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5E06E" w14:textId="77777777" w:rsidR="00764D6A" w:rsidRPr="003B51CE" w:rsidRDefault="00EA4A22">
      <w:pPr>
        <w:pStyle w:val="Heading1"/>
      </w:pPr>
      <w:r w:rsidRPr="003B51CE">
        <w:t>Murray–Darling Communities Investment Package</w:t>
      </w:r>
    </w:p>
    <w:p w14:paraId="521F9BCD" w14:textId="77777777" w:rsidR="00C43C4F" w:rsidRPr="003B51CE" w:rsidRDefault="00EA4A22" w:rsidP="00C43C4F">
      <w:pPr>
        <w:pStyle w:val="Subtitle"/>
      </w:pPr>
      <w:r w:rsidRPr="003B51CE">
        <w:t>First report into implementation March 2021</w:t>
      </w:r>
    </w:p>
    <w:p w14:paraId="21A8D806" w14:textId="77777777" w:rsidR="00764D6A" w:rsidRPr="003B51CE" w:rsidRDefault="00EA4A22" w:rsidP="00C43C4F">
      <w:pPr>
        <w:pStyle w:val="Picture"/>
      </w:pPr>
      <w:r w:rsidRPr="003B51CE">
        <w:drawing>
          <wp:inline distT="0" distB="0" distL="0" distR="0" wp14:anchorId="3AF62306" wp14:editId="0FAA8110">
            <wp:extent cx="5403850" cy="5435600"/>
            <wp:effectExtent l="0" t="0" r="6350" b="0"/>
            <wp:docPr id="364054526" name="Picture 7" descr="C:\Users\lb0005\AppData\Local\Microsoft\Windows\INetCache\Content.Word\MDB-Biosphere_V5.jpg"/>
            <wp:cNvGraphicFramePr/>
            <a:graphic xmlns:a="http://schemas.openxmlformats.org/drawingml/2006/main">
              <a:graphicData uri="http://schemas.openxmlformats.org/drawingml/2006/picture">
                <pic:pic xmlns:pic="http://schemas.openxmlformats.org/drawingml/2006/picture">
                  <pic:nvPicPr>
                    <pic:cNvPr id="3" name="Picture 3" descr="C:\Users\lb0005\AppData\Local\Microsoft\Windows\INetCache\Content.Word\MDB-Biosphere_V5.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03850" cy="5435600"/>
                    </a:xfrm>
                    <a:prstGeom prst="rect">
                      <a:avLst/>
                    </a:prstGeom>
                    <a:noFill/>
                    <a:ln>
                      <a:noFill/>
                    </a:ln>
                  </pic:spPr>
                </pic:pic>
              </a:graphicData>
            </a:graphic>
          </wp:inline>
        </w:drawing>
      </w:r>
    </w:p>
    <w:p w14:paraId="65741BC5" w14:textId="77777777" w:rsidR="00764D6A" w:rsidRPr="003B51CE" w:rsidRDefault="00EA4A22" w:rsidP="00C43C4F">
      <w:pPr>
        <w:pStyle w:val="Heading2"/>
        <w:numPr>
          <w:ilvl w:val="0"/>
          <w:numId w:val="0"/>
        </w:numPr>
      </w:pPr>
      <w:r w:rsidRPr="003B51CE">
        <w:lastRenderedPageBreak/>
        <w:t>Progressing Community Investment Package implementation report</w:t>
      </w:r>
    </w:p>
    <w:p w14:paraId="325A3A3F" w14:textId="77777777" w:rsidR="00C43C4F" w:rsidRPr="003B51CE" w:rsidRDefault="00EA4A22" w:rsidP="00C43C4F">
      <w:pPr>
        <w:spacing w:after="0" w:line="240" w:lineRule="auto"/>
      </w:pPr>
      <w:r w:rsidRPr="003B51CE">
        <w:t>The Australian Government’s $270 million Murray–Darling Communities Investment Package was announced on 4 September 2020 to put communities at the heart of the Basin Plan. The Department of Agriculture, Water and the Environment undertook to report publicl</w:t>
      </w:r>
      <w:r w:rsidRPr="003B51CE">
        <w:t xml:space="preserve">y on progress with implementing the package three times a year to ensure accountability to communities. This is the first report. </w:t>
      </w:r>
    </w:p>
    <w:p w14:paraId="4A794905" w14:textId="77777777" w:rsidR="00C43C4F" w:rsidRPr="003B51CE" w:rsidRDefault="00C43C4F" w:rsidP="00C43C4F">
      <w:pPr>
        <w:pStyle w:val="ListParagraph"/>
        <w:spacing w:after="0" w:line="240" w:lineRule="auto"/>
        <w:ind w:left="1080"/>
      </w:pPr>
    </w:p>
    <w:p w14:paraId="29F31F42" w14:textId="77777777" w:rsidR="00C43C4F" w:rsidRPr="003B51CE" w:rsidRDefault="00EA4A22" w:rsidP="00C43C4F">
      <w:pPr>
        <w:spacing w:after="0" w:line="240" w:lineRule="auto"/>
      </w:pPr>
      <w:r w:rsidRPr="003B51CE">
        <w:t xml:space="preserve">The Investment Package responds to needs identified by the community, stakeholders and governments and centers on three key </w:t>
      </w:r>
      <w:r w:rsidRPr="003B51CE">
        <w:t>themes:</w:t>
      </w:r>
    </w:p>
    <w:p w14:paraId="6F02E3AA" w14:textId="77777777" w:rsidR="00C43C4F" w:rsidRPr="003B51CE" w:rsidRDefault="00EA4A22" w:rsidP="00C43C4F">
      <w:pPr>
        <w:pStyle w:val="ListParagraph"/>
        <w:numPr>
          <w:ilvl w:val="0"/>
          <w:numId w:val="34"/>
        </w:numPr>
        <w:spacing w:after="0" w:line="240" w:lineRule="auto"/>
      </w:pPr>
      <w:r w:rsidRPr="003B51CE">
        <w:t>Investing in community resilience and river health</w:t>
      </w:r>
    </w:p>
    <w:p w14:paraId="5CE4F5E7" w14:textId="77777777" w:rsidR="00C43C4F" w:rsidRPr="003B51CE" w:rsidRDefault="00EA4A22" w:rsidP="00C43C4F">
      <w:pPr>
        <w:pStyle w:val="ListParagraph"/>
        <w:numPr>
          <w:ilvl w:val="0"/>
          <w:numId w:val="34"/>
        </w:numPr>
        <w:spacing w:after="0" w:line="240" w:lineRule="auto"/>
      </w:pPr>
      <w:r w:rsidRPr="003B51CE">
        <w:t xml:space="preserve">Building trust, </w:t>
      </w:r>
      <w:proofErr w:type="gramStart"/>
      <w:r w:rsidRPr="003B51CE">
        <w:t>transparency</w:t>
      </w:r>
      <w:proofErr w:type="gramEnd"/>
      <w:r w:rsidRPr="003B51CE">
        <w:t xml:space="preserve"> and accountability in governments, and</w:t>
      </w:r>
    </w:p>
    <w:p w14:paraId="56BA9694" w14:textId="77777777" w:rsidR="00C43C4F" w:rsidRPr="003B51CE" w:rsidRDefault="00EA4A22" w:rsidP="00C43C4F">
      <w:pPr>
        <w:pStyle w:val="ListParagraph"/>
        <w:numPr>
          <w:ilvl w:val="0"/>
          <w:numId w:val="34"/>
        </w:numPr>
        <w:spacing w:after="0" w:line="240" w:lineRule="auto"/>
      </w:pPr>
      <w:r w:rsidRPr="003B51CE">
        <w:t>Improving implementation of the Basin Plan</w:t>
      </w:r>
    </w:p>
    <w:p w14:paraId="4F2F88AD" w14:textId="77777777" w:rsidR="00C43C4F" w:rsidRPr="003B51CE" w:rsidRDefault="00C43C4F" w:rsidP="00C43C4F">
      <w:pPr>
        <w:pStyle w:val="ListParagraph"/>
        <w:spacing w:after="0" w:line="240" w:lineRule="auto"/>
        <w:ind w:left="1080"/>
      </w:pPr>
    </w:p>
    <w:p w14:paraId="6D9B37AD" w14:textId="77777777" w:rsidR="00C43C4F" w:rsidRPr="003B51CE" w:rsidRDefault="00EA4A22" w:rsidP="00C43C4F">
      <w:pPr>
        <w:spacing w:after="0" w:line="240" w:lineRule="auto"/>
      </w:pPr>
      <w:r w:rsidRPr="003B51CE">
        <w:t>The Australian Government's new approach to implementing the Basin Plan through the I</w:t>
      </w:r>
      <w:r w:rsidRPr="003B51CE">
        <w:t xml:space="preserve">nvestment Package includes practical and realistic measures: </w:t>
      </w:r>
    </w:p>
    <w:p w14:paraId="76B3D816" w14:textId="77777777" w:rsidR="00C43C4F" w:rsidRPr="003B51CE" w:rsidRDefault="00EA4A22" w:rsidP="00C43C4F">
      <w:pPr>
        <w:pStyle w:val="ListParagraph"/>
        <w:numPr>
          <w:ilvl w:val="0"/>
          <w:numId w:val="34"/>
        </w:numPr>
        <w:spacing w:after="0" w:line="240" w:lineRule="auto"/>
      </w:pPr>
      <w:r w:rsidRPr="003B51CE">
        <w:t>ending water buybacks</w:t>
      </w:r>
    </w:p>
    <w:p w14:paraId="6C75C817" w14:textId="77777777" w:rsidR="00C43C4F" w:rsidRPr="003B51CE" w:rsidRDefault="00EA4A22" w:rsidP="00C43C4F">
      <w:pPr>
        <w:pStyle w:val="ListParagraph"/>
        <w:numPr>
          <w:ilvl w:val="0"/>
          <w:numId w:val="34"/>
        </w:numPr>
        <w:spacing w:after="0" w:line="240" w:lineRule="auto"/>
      </w:pPr>
      <w:r w:rsidRPr="003B51CE">
        <w:t>shifting the focus of water efficiency programs to off-farm projects to protect communities and economies, and</w:t>
      </w:r>
    </w:p>
    <w:p w14:paraId="7D89FD2F" w14:textId="77777777" w:rsidR="00C43C4F" w:rsidRPr="003B51CE" w:rsidRDefault="00EA4A22" w:rsidP="00C43C4F">
      <w:pPr>
        <w:pStyle w:val="ListParagraph"/>
        <w:numPr>
          <w:ilvl w:val="0"/>
          <w:numId w:val="34"/>
        </w:numPr>
        <w:spacing w:after="0" w:line="240" w:lineRule="auto"/>
      </w:pPr>
      <w:r w:rsidRPr="003B51CE">
        <w:t xml:space="preserve">ensuring that the projects to avoid 605 GL of water buybacks </w:t>
      </w:r>
      <w:r w:rsidRPr="003B51CE">
        <w:t>are flexible, succeed and have community support.</w:t>
      </w:r>
    </w:p>
    <w:p w14:paraId="31C2E465" w14:textId="77777777" w:rsidR="00C43C4F" w:rsidRPr="003B51CE" w:rsidRDefault="00C43C4F" w:rsidP="00C43C4F">
      <w:pPr>
        <w:pStyle w:val="ListParagraph"/>
        <w:spacing w:after="0" w:line="240" w:lineRule="auto"/>
        <w:ind w:left="1080"/>
      </w:pPr>
    </w:p>
    <w:p w14:paraId="1CC0B4F6" w14:textId="77777777" w:rsidR="00764D6A" w:rsidRPr="003B51CE" w:rsidRDefault="00EA4A22" w:rsidP="00C43C4F">
      <w:pPr>
        <w:spacing w:after="0" w:line="240" w:lineRule="auto"/>
      </w:pPr>
      <w:r w:rsidRPr="003B51CE">
        <w:t xml:space="preserve">The next report into implementation of the Murray–Darling Communities Investment Package is due in July 2021. </w:t>
      </w:r>
      <w:r w:rsidR="00E91D72" w:rsidRPr="003B51CE">
        <w:br w:type="page"/>
      </w:r>
    </w:p>
    <w:p w14:paraId="27EAF2AC" w14:textId="77777777" w:rsidR="00764D6A" w:rsidRPr="003B51CE" w:rsidRDefault="00764D6A">
      <w:pPr>
        <w:sectPr w:rsidR="00764D6A" w:rsidRPr="003B51CE">
          <w:headerReference w:type="default" r:id="rId12"/>
          <w:footerReference w:type="default" r:id="rId13"/>
          <w:headerReference w:type="first" r:id="rId14"/>
          <w:pgSz w:w="11906" w:h="16838"/>
          <w:pgMar w:top="1418" w:right="1418" w:bottom="1418" w:left="1418" w:header="567" w:footer="283" w:gutter="0"/>
          <w:pgNumType w:fmt="lowerRoman" w:start="1"/>
          <w:cols w:space="708"/>
          <w:titlePg/>
          <w:docGrid w:linePitch="360"/>
        </w:sectPr>
      </w:pPr>
    </w:p>
    <w:p w14:paraId="7B6C77E3" w14:textId="77777777" w:rsidR="00764D6A" w:rsidRPr="003B51CE" w:rsidRDefault="00EA4A22" w:rsidP="00284D14">
      <w:pPr>
        <w:rPr>
          <w:rFonts w:ascii="Calibri" w:eastAsiaTheme="minorEastAsia" w:hAnsi="Calibri"/>
          <w:bCs/>
          <w:color w:val="000000"/>
          <w:sz w:val="56"/>
          <w:szCs w:val="28"/>
          <w:lang w:eastAsia="ja-JP"/>
        </w:rPr>
      </w:pPr>
      <w:r w:rsidRPr="003B51CE">
        <w:rPr>
          <w:rFonts w:ascii="Calibri" w:eastAsiaTheme="minorEastAsia" w:hAnsi="Calibri"/>
          <w:bCs/>
          <w:color w:val="000000"/>
          <w:sz w:val="56"/>
          <w:szCs w:val="28"/>
          <w:lang w:eastAsia="ja-JP"/>
        </w:rPr>
        <w:lastRenderedPageBreak/>
        <w:t>Investing in community resilience and river health</w:t>
      </w:r>
    </w:p>
    <w:p w14:paraId="0B4043A4" w14:textId="77777777" w:rsidR="00C43C4F" w:rsidRPr="003B51CE" w:rsidRDefault="00EA4A22" w:rsidP="00C43C4F">
      <w:r w:rsidRPr="003B51CE">
        <w:t xml:space="preserve">The </w:t>
      </w:r>
      <w:r w:rsidRPr="003B51CE">
        <w:t xml:space="preserve">3rd round of the Murray–Darling Basin Economic Development Program opened for applications on 3 March 2021 following a </w:t>
      </w:r>
      <w:proofErr w:type="gramStart"/>
      <w:r w:rsidRPr="003B51CE">
        <w:t>4 week</w:t>
      </w:r>
      <w:proofErr w:type="gramEnd"/>
      <w:r w:rsidRPr="003B51CE">
        <w:t xml:space="preserve"> consultation process seeking feedback on the program guidelines. The 3rd round makes $34 million available to communities in grant</w:t>
      </w:r>
      <w:r w:rsidRPr="003B51CE">
        <w:t>s valued at between $50,000 and $1 million. The program is focused on 38 communities that have been most impacted by past water recovery and recogni</w:t>
      </w:r>
      <w:r w:rsidR="0087695D" w:rsidRPr="003B51CE">
        <w:t>s</w:t>
      </w:r>
      <w:r w:rsidRPr="003B51CE">
        <w:t>es that they know how best to tackle the challenges they face, and what kinds of economic activity would be</w:t>
      </w:r>
      <w:r w:rsidRPr="003B51CE">
        <w:t xml:space="preserve">st support them. </w:t>
      </w:r>
    </w:p>
    <w:p w14:paraId="3B6FADF0" w14:textId="77777777" w:rsidR="00C43C4F" w:rsidRPr="003B51CE" w:rsidRDefault="00EA4A22" w:rsidP="00C43C4F">
      <w:r w:rsidRPr="003B51CE">
        <w:t xml:space="preserve">The $20 million Healthy Rivers Program also opened for applications on 3 March and is designed to turn local knowledge into action for Basin farmers, </w:t>
      </w:r>
      <w:proofErr w:type="gramStart"/>
      <w:r w:rsidRPr="003B51CE">
        <w:t>landholders</w:t>
      </w:r>
      <w:proofErr w:type="gramEnd"/>
      <w:r w:rsidRPr="003B51CE">
        <w:t xml:space="preserve"> and community organisations. Practical, on-ground projects to improve the he</w:t>
      </w:r>
      <w:r w:rsidRPr="003B51CE">
        <w:t xml:space="preserve">alth of rivers and wetlands across the entire Basin are eligible under the 1st $6 million round which offers small grants valued between $5,000 and $50,000. </w:t>
      </w:r>
    </w:p>
    <w:p w14:paraId="4670B557" w14:textId="77777777" w:rsidR="00C43C4F" w:rsidRPr="003B51CE" w:rsidRDefault="00EA4A22" w:rsidP="00B0486D">
      <w:pPr>
        <w:spacing w:after="120"/>
      </w:pPr>
      <w:r w:rsidRPr="003B51CE">
        <w:t>An outcome of the consultations was to redouble efforts to make sure all interested parties have t</w:t>
      </w:r>
      <w:r w:rsidRPr="003B51CE">
        <w:t>he opportunity and support they need to apply for the grant programs.</w:t>
      </w:r>
    </w:p>
    <w:p w14:paraId="6CE9ACAF" w14:textId="77777777" w:rsidR="00C43C4F" w:rsidRPr="003B51CE" w:rsidRDefault="00EA4A22" w:rsidP="00C43C4F">
      <w:pPr>
        <w:pStyle w:val="Heading3"/>
        <w:numPr>
          <w:ilvl w:val="0"/>
          <w:numId w:val="0"/>
        </w:numPr>
        <w:ind w:left="964" w:hanging="964"/>
        <w:rPr>
          <w:lang w:val="en-US"/>
        </w:rPr>
      </w:pPr>
      <w:r w:rsidRPr="003B51CE">
        <w:rPr>
          <w:lang w:val="en-US"/>
        </w:rPr>
        <w:t>Invest in community resilience and river health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29"/>
        <w:gridCol w:w="6115"/>
        <w:gridCol w:w="1422"/>
        <w:gridCol w:w="4326"/>
      </w:tblGrid>
      <w:tr w:rsidR="00567C49" w14:paraId="19D9AA41" w14:textId="77777777" w:rsidTr="00474D3C">
        <w:trPr>
          <w:cantSplit/>
          <w:tblHeader/>
        </w:trPr>
        <w:tc>
          <w:tcPr>
            <w:tcW w:w="761" w:type="pct"/>
            <w:tcMar>
              <w:left w:w="108" w:type="dxa"/>
              <w:right w:w="108" w:type="dxa"/>
            </w:tcMar>
          </w:tcPr>
          <w:p w14:paraId="5B92ACDC" w14:textId="77777777" w:rsidR="00C43C4F" w:rsidRPr="003B51CE" w:rsidRDefault="00EA4A22" w:rsidP="00474D3C">
            <w:pPr>
              <w:pStyle w:val="TableHeading"/>
            </w:pPr>
            <w:r w:rsidRPr="003B51CE">
              <w:t>What we are doing</w:t>
            </w:r>
          </w:p>
        </w:tc>
        <w:tc>
          <w:tcPr>
            <w:tcW w:w="2185" w:type="pct"/>
            <w:tcMar>
              <w:left w:w="108" w:type="dxa"/>
              <w:right w:w="108" w:type="dxa"/>
            </w:tcMar>
          </w:tcPr>
          <w:p w14:paraId="24FE545B" w14:textId="77777777" w:rsidR="00C43C4F" w:rsidRPr="003B51CE" w:rsidRDefault="00EA4A22" w:rsidP="00474D3C">
            <w:pPr>
              <w:pStyle w:val="TableHeading"/>
            </w:pPr>
            <w:r w:rsidRPr="003B51CE">
              <w:t>How we will do it</w:t>
            </w:r>
          </w:p>
        </w:tc>
        <w:tc>
          <w:tcPr>
            <w:tcW w:w="508" w:type="pct"/>
            <w:tcMar>
              <w:left w:w="108" w:type="dxa"/>
              <w:right w:w="108" w:type="dxa"/>
            </w:tcMar>
          </w:tcPr>
          <w:p w14:paraId="4BF6F821" w14:textId="77777777" w:rsidR="00C43C4F" w:rsidRPr="003B51CE" w:rsidRDefault="00EA4A22" w:rsidP="00474D3C">
            <w:pPr>
              <w:pStyle w:val="TableHeading"/>
            </w:pPr>
            <w:r w:rsidRPr="003B51CE">
              <w:t>By when</w:t>
            </w:r>
          </w:p>
        </w:tc>
        <w:tc>
          <w:tcPr>
            <w:tcW w:w="1546" w:type="pct"/>
          </w:tcPr>
          <w:p w14:paraId="5C99F85B" w14:textId="77777777" w:rsidR="00C43C4F" w:rsidRPr="003B51CE" w:rsidRDefault="00EA4A22" w:rsidP="00474D3C">
            <w:pPr>
              <w:pStyle w:val="TableHeading"/>
            </w:pPr>
            <w:r w:rsidRPr="003B51CE">
              <w:t>What have we done</w:t>
            </w:r>
          </w:p>
        </w:tc>
      </w:tr>
      <w:tr w:rsidR="00567C49" w14:paraId="6A72E95C" w14:textId="77777777" w:rsidTr="00474D3C">
        <w:tc>
          <w:tcPr>
            <w:tcW w:w="761" w:type="pct"/>
            <w:tcMar>
              <w:left w:w="108" w:type="dxa"/>
              <w:right w:w="108" w:type="dxa"/>
            </w:tcMar>
          </w:tcPr>
          <w:p w14:paraId="4E65485E" w14:textId="77777777" w:rsidR="00C43C4F" w:rsidRPr="003B51CE" w:rsidRDefault="00EA4A22" w:rsidP="00474D3C">
            <w:pPr>
              <w:pStyle w:val="TableText"/>
            </w:pPr>
            <w:r>
              <w:rPr>
                <w:noProof/>
              </w:rPr>
              <mc:AlternateContent>
                <mc:Choice Requires="wps">
                  <w:drawing>
                    <wp:anchor distT="0" distB="0" distL="114300" distR="114300" simplePos="0" relativeHeight="251658240" behindDoc="0" locked="0" layoutInCell="1" allowOverlap="1" wp14:anchorId="1B25FB29" wp14:editId="1B211E27">
                      <wp:simplePos x="0" y="0"/>
                      <wp:positionH relativeFrom="column">
                        <wp:posOffset>1278646</wp:posOffset>
                      </wp:positionH>
                      <wp:positionV relativeFrom="paragraph">
                        <wp:posOffset>515521</wp:posOffset>
                      </wp:positionV>
                      <wp:extent cx="7533249"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75332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59264" from="100.7pt,40.6pt" to="693.85pt,40.6pt" strokecolor="black"/>
                  </w:pict>
                </mc:Fallback>
              </mc:AlternateContent>
            </w:r>
            <w:r w:rsidR="002D3308" w:rsidRPr="003B51CE">
              <w:t>Maximising the benefits of the Basin Plan for communities</w:t>
            </w:r>
          </w:p>
        </w:tc>
        <w:tc>
          <w:tcPr>
            <w:tcW w:w="2185" w:type="pct"/>
            <w:tcMar>
              <w:left w:w="108" w:type="dxa"/>
              <w:right w:w="108" w:type="dxa"/>
            </w:tcMar>
          </w:tcPr>
          <w:p w14:paraId="1E96264D" w14:textId="77777777" w:rsidR="00C43C4F" w:rsidRPr="003B51CE" w:rsidRDefault="00EA4A22" w:rsidP="00474D3C">
            <w:pPr>
              <w:pStyle w:val="TableText"/>
            </w:pPr>
            <w:r w:rsidRPr="003B51CE">
              <w:t xml:space="preserve">Deliver $34 </w:t>
            </w:r>
            <w:r w:rsidRPr="003B51CE">
              <w:t>million for economic assistance to communities struggling with the effects of water recovery by extending the successful competitive grants Murray–Darling Basin Economic Development Program.</w:t>
            </w:r>
          </w:p>
          <w:p w14:paraId="01481DE3" w14:textId="77777777" w:rsidR="00B0486D" w:rsidRPr="003B51CE" w:rsidRDefault="00B0486D" w:rsidP="00474D3C">
            <w:pPr>
              <w:pStyle w:val="TableText"/>
            </w:pPr>
          </w:p>
          <w:p w14:paraId="46AF2CA3" w14:textId="77777777" w:rsidR="00C43C4F" w:rsidRPr="003B51CE" w:rsidRDefault="00EA4A22" w:rsidP="00474D3C">
            <w:pPr>
              <w:pStyle w:val="TableText"/>
            </w:pPr>
            <w:r w:rsidRPr="003B51CE">
              <w:t>Grants may be used to provide eligible communities impacted by w</w:t>
            </w:r>
            <w:r w:rsidRPr="003B51CE">
              <w:t>ater recovery programs with practical assistance to boost tourism and recreation and to diversify economically.</w:t>
            </w:r>
          </w:p>
        </w:tc>
        <w:tc>
          <w:tcPr>
            <w:tcW w:w="508" w:type="pct"/>
            <w:tcMar>
              <w:left w:w="108" w:type="dxa"/>
              <w:right w:w="108" w:type="dxa"/>
            </w:tcMar>
          </w:tcPr>
          <w:p w14:paraId="49503245" w14:textId="77777777" w:rsidR="00C43C4F" w:rsidRPr="003B51CE" w:rsidRDefault="00EA4A22" w:rsidP="00474D3C">
            <w:pPr>
              <w:pStyle w:val="TableText"/>
            </w:pPr>
            <w:r w:rsidRPr="003B51CE">
              <w:t>Q1 2021 – round 3</w:t>
            </w:r>
          </w:p>
          <w:p w14:paraId="24A56A31" w14:textId="77777777" w:rsidR="00C43C4F" w:rsidRPr="003B51CE" w:rsidRDefault="00C43C4F" w:rsidP="00474D3C">
            <w:pPr>
              <w:pStyle w:val="TableText"/>
            </w:pPr>
          </w:p>
          <w:p w14:paraId="78E7AD91" w14:textId="77777777" w:rsidR="00B0486D" w:rsidRPr="003B51CE" w:rsidRDefault="00B0486D" w:rsidP="00474D3C">
            <w:pPr>
              <w:pStyle w:val="TableText"/>
            </w:pPr>
          </w:p>
          <w:p w14:paraId="6AFA96B9" w14:textId="77777777" w:rsidR="00C43C4F" w:rsidRPr="003B51CE" w:rsidRDefault="00EA4A22" w:rsidP="00474D3C">
            <w:pPr>
              <w:pStyle w:val="TableText"/>
            </w:pPr>
            <w:r w:rsidRPr="003B51CE">
              <w:t>Q1 2022 – round 4</w:t>
            </w:r>
          </w:p>
        </w:tc>
        <w:tc>
          <w:tcPr>
            <w:tcW w:w="1546" w:type="pct"/>
          </w:tcPr>
          <w:p w14:paraId="2A752B93" w14:textId="77777777" w:rsidR="00C43C4F" w:rsidRPr="003B51CE" w:rsidRDefault="00EA4A22" w:rsidP="00474D3C">
            <w:pPr>
              <w:pStyle w:val="TableText"/>
            </w:pPr>
            <w:r w:rsidRPr="003B51CE">
              <w:t xml:space="preserve">Eligible communities can apply for round 3 of the EDP from 3 March to 12 April 2021. </w:t>
            </w:r>
          </w:p>
          <w:p w14:paraId="6C155D53" w14:textId="77777777" w:rsidR="00C43C4F" w:rsidRPr="003B51CE" w:rsidRDefault="00C43C4F" w:rsidP="00474D3C">
            <w:pPr>
              <w:pStyle w:val="TableText"/>
            </w:pPr>
          </w:p>
          <w:p w14:paraId="0AAA1877" w14:textId="77777777" w:rsidR="00B0486D" w:rsidRPr="003B51CE" w:rsidRDefault="00B0486D" w:rsidP="00474D3C">
            <w:pPr>
              <w:pStyle w:val="TableText"/>
            </w:pPr>
          </w:p>
          <w:p w14:paraId="3A794281" w14:textId="77777777" w:rsidR="00C43C4F" w:rsidRPr="003B51CE" w:rsidRDefault="00EA4A22" w:rsidP="00474D3C">
            <w:pPr>
              <w:pStyle w:val="TableText"/>
            </w:pPr>
            <w:r w:rsidRPr="003B51CE">
              <w:t xml:space="preserve">The government is </w:t>
            </w:r>
            <w:r w:rsidRPr="003B51CE">
              <w:t>making all the funding available through round 3 to maximise the benefits earlier for communities and contribute to regional stimulus.</w:t>
            </w:r>
          </w:p>
          <w:p w14:paraId="58F92E52" w14:textId="77777777" w:rsidR="00C43C4F" w:rsidRPr="003B51CE" w:rsidRDefault="00EA4A22" w:rsidP="00474D3C">
            <w:pPr>
              <w:pStyle w:val="TableText"/>
            </w:pPr>
            <w:r w:rsidRPr="003B51CE">
              <w:t>Consultation on the guidelines was undertaken from 18 December 2020 to 22 January 2021.</w:t>
            </w:r>
          </w:p>
        </w:tc>
      </w:tr>
      <w:tr w:rsidR="00567C49" w14:paraId="11E28F6E" w14:textId="77777777" w:rsidTr="00474D3C">
        <w:tc>
          <w:tcPr>
            <w:tcW w:w="761" w:type="pct"/>
            <w:tcMar>
              <w:left w:w="108" w:type="dxa"/>
              <w:right w:w="108" w:type="dxa"/>
            </w:tcMar>
          </w:tcPr>
          <w:p w14:paraId="556F6C00" w14:textId="77777777" w:rsidR="00C43C4F" w:rsidRPr="003B51CE" w:rsidRDefault="00EA4A22" w:rsidP="00474D3C">
            <w:pPr>
              <w:pStyle w:val="TableText"/>
            </w:pPr>
            <w:r w:rsidRPr="003B51CE">
              <w:t xml:space="preserve">Improving river health for </w:t>
            </w:r>
            <w:r w:rsidRPr="003B51CE">
              <w:t>all users</w:t>
            </w:r>
          </w:p>
        </w:tc>
        <w:tc>
          <w:tcPr>
            <w:tcW w:w="2185" w:type="pct"/>
            <w:tcMar>
              <w:left w:w="108" w:type="dxa"/>
              <w:right w:w="108" w:type="dxa"/>
            </w:tcMar>
          </w:tcPr>
          <w:p w14:paraId="2E8F2653" w14:textId="77777777" w:rsidR="00B0486D" w:rsidRPr="003B51CE" w:rsidRDefault="00EA4A22" w:rsidP="00474D3C">
            <w:pPr>
              <w:pStyle w:val="TableText"/>
            </w:pPr>
            <w:r w:rsidRPr="003B51CE">
              <w:t>Deliver $20 million to fund community-driven grants for on-ground projects that will improve the health of rivers and wetlands.</w:t>
            </w:r>
          </w:p>
          <w:p w14:paraId="44BE0E53" w14:textId="77777777" w:rsidR="00C43C4F" w:rsidRPr="003B51CE" w:rsidRDefault="00EA4A22" w:rsidP="00474D3C">
            <w:pPr>
              <w:pStyle w:val="TableText"/>
            </w:pPr>
            <w:r w:rsidRPr="003B51CE">
              <w:t>This builds on existing commitments to the environment of:</w:t>
            </w:r>
          </w:p>
          <w:p w14:paraId="4A386DA1" w14:textId="77777777" w:rsidR="00C43C4F" w:rsidRPr="003B51CE" w:rsidRDefault="00EA4A22" w:rsidP="00C43C4F">
            <w:pPr>
              <w:pStyle w:val="TableText"/>
              <w:numPr>
                <w:ilvl w:val="0"/>
                <w:numId w:val="35"/>
              </w:numPr>
            </w:pPr>
            <w:r w:rsidRPr="003B51CE">
              <w:t>$6 million for fish ways in the Lower Darling</w:t>
            </w:r>
          </w:p>
          <w:p w14:paraId="71D28D68" w14:textId="77777777" w:rsidR="00B0486D" w:rsidRPr="003B51CE" w:rsidRDefault="00EA4A22" w:rsidP="002D3308">
            <w:pPr>
              <w:pStyle w:val="TableText"/>
              <w:numPr>
                <w:ilvl w:val="0"/>
                <w:numId w:val="35"/>
              </w:numPr>
            </w:pPr>
            <w:r w:rsidRPr="003B51CE">
              <w:t xml:space="preserve">$10 </w:t>
            </w:r>
            <w:r w:rsidRPr="003B51CE">
              <w:t>million to establish hatcheries at St George and Menindee</w:t>
            </w:r>
          </w:p>
          <w:p w14:paraId="3587B968" w14:textId="77777777" w:rsidR="00B0486D" w:rsidRPr="003B51CE" w:rsidRDefault="00EA4A22" w:rsidP="002D3308">
            <w:pPr>
              <w:pStyle w:val="TableText"/>
              <w:numPr>
                <w:ilvl w:val="0"/>
                <w:numId w:val="35"/>
              </w:numPr>
            </w:pPr>
            <w:r w:rsidRPr="003B51CE">
              <w:t>$15 million to fence Northern Basin riverbanks</w:t>
            </w:r>
          </w:p>
          <w:p w14:paraId="32E0908A" w14:textId="77777777" w:rsidR="00C43C4F" w:rsidRPr="003B51CE" w:rsidRDefault="00EA4A22" w:rsidP="00C43C4F">
            <w:pPr>
              <w:pStyle w:val="TableText"/>
              <w:numPr>
                <w:ilvl w:val="0"/>
                <w:numId w:val="35"/>
              </w:numPr>
            </w:pPr>
            <w:r w:rsidRPr="003B51CE">
              <w:t>$9.2 million to modify and decommission water infrastructure at Toorale.</w:t>
            </w:r>
          </w:p>
        </w:tc>
        <w:tc>
          <w:tcPr>
            <w:tcW w:w="508" w:type="pct"/>
            <w:tcMar>
              <w:left w:w="108" w:type="dxa"/>
              <w:right w:w="108" w:type="dxa"/>
            </w:tcMar>
          </w:tcPr>
          <w:p w14:paraId="6C15DC17" w14:textId="77777777" w:rsidR="00C43C4F" w:rsidRPr="003B51CE" w:rsidRDefault="00EA4A22" w:rsidP="00474D3C">
            <w:pPr>
              <w:pStyle w:val="TableText"/>
            </w:pPr>
            <w:r w:rsidRPr="003B51CE">
              <w:t>Q1 2021</w:t>
            </w:r>
          </w:p>
        </w:tc>
        <w:tc>
          <w:tcPr>
            <w:tcW w:w="1546" w:type="pct"/>
          </w:tcPr>
          <w:p w14:paraId="1DA95605" w14:textId="77777777" w:rsidR="00C43C4F" w:rsidRPr="003B51CE" w:rsidRDefault="00EA4A22" w:rsidP="00474D3C">
            <w:pPr>
              <w:pStyle w:val="TableText"/>
            </w:pPr>
            <w:r w:rsidRPr="003B51CE">
              <w:t>Round one of the $20 million Healthy Rivers grants program opened on 3</w:t>
            </w:r>
            <w:r w:rsidRPr="003B51CE">
              <w:t xml:space="preserve"> March and closes on 31 March 2021. This is a $6 million small grant round. Two further grant rounds are expected to be available to the community in the middle of this year.</w:t>
            </w:r>
          </w:p>
          <w:p w14:paraId="0455B471" w14:textId="77777777" w:rsidR="00C43C4F" w:rsidRPr="003B51CE" w:rsidRDefault="00EA4A22" w:rsidP="00474D3C">
            <w:pPr>
              <w:pStyle w:val="TableText"/>
            </w:pPr>
            <w:r w:rsidRPr="003B51CE">
              <w:t>$1.1 million to NSW to progress planning for improved fish passage in the Lower D</w:t>
            </w:r>
            <w:r w:rsidRPr="003B51CE">
              <w:t>arling announced 23 February 2021.</w:t>
            </w:r>
          </w:p>
          <w:p w14:paraId="66F8167C" w14:textId="77777777" w:rsidR="00C43C4F" w:rsidRPr="003B51CE" w:rsidRDefault="00EA4A22" w:rsidP="00474D3C">
            <w:pPr>
              <w:pStyle w:val="TableText"/>
            </w:pPr>
            <w:bookmarkStart w:id="0" w:name="_Hlk66870220"/>
            <w:r w:rsidRPr="003B51CE">
              <w:t xml:space="preserve">About $200,000 </w:t>
            </w:r>
            <w:r w:rsidR="00B460C2" w:rsidRPr="003B51CE">
              <w:t xml:space="preserve">to </w:t>
            </w:r>
            <w:r w:rsidRPr="003B51CE">
              <w:t xml:space="preserve">the Central Darling Shire Council and the South West Indigenous Corporation for </w:t>
            </w:r>
            <w:r w:rsidRPr="003B51CE">
              <w:lastRenderedPageBreak/>
              <w:t>feasibility studies to establish the native fish hatcheries at St George and Menindee respectively.</w:t>
            </w:r>
          </w:p>
          <w:bookmarkEnd w:id="0"/>
          <w:p w14:paraId="56837F2B" w14:textId="77777777" w:rsidR="00C43C4F" w:rsidRPr="003B51CE" w:rsidRDefault="00EA4A22" w:rsidP="00474D3C">
            <w:pPr>
              <w:pStyle w:val="TableText"/>
            </w:pPr>
            <w:r w:rsidRPr="003B51CE">
              <w:t xml:space="preserve">Over $7 million to NSW for the Fencing Northern Riverbank Program was announced on 22 January 2021 – work is continuing for pilot works in Queensland. </w:t>
            </w:r>
          </w:p>
          <w:p w14:paraId="0DB27296" w14:textId="77777777" w:rsidR="00C43C4F" w:rsidRPr="003B51CE" w:rsidRDefault="00EA4A22" w:rsidP="00474D3C">
            <w:pPr>
              <w:pStyle w:val="TableText"/>
            </w:pPr>
            <w:r w:rsidRPr="003B51CE">
              <w:t>NSW is progressing the preparatory work to modify the Boera and Homestead Dams</w:t>
            </w:r>
            <w:r w:rsidR="00B460C2" w:rsidRPr="003B51CE">
              <w:t xml:space="preserve"> at Toorale.</w:t>
            </w:r>
          </w:p>
        </w:tc>
      </w:tr>
      <w:tr w:rsidR="00567C49" w14:paraId="5C495D2B" w14:textId="77777777" w:rsidTr="00474D3C">
        <w:tc>
          <w:tcPr>
            <w:tcW w:w="761" w:type="pct"/>
            <w:tcMar>
              <w:left w:w="108" w:type="dxa"/>
              <w:right w:w="108" w:type="dxa"/>
            </w:tcMar>
          </w:tcPr>
          <w:p w14:paraId="3BA52582" w14:textId="77777777" w:rsidR="00C43C4F" w:rsidRPr="003B51CE" w:rsidRDefault="00EA4A22" w:rsidP="00474D3C">
            <w:pPr>
              <w:pStyle w:val="TableText"/>
            </w:pPr>
            <w:r w:rsidRPr="003B51CE">
              <w:lastRenderedPageBreak/>
              <w:t>Delivering e</w:t>
            </w:r>
            <w:r w:rsidRPr="003B51CE">
              <w:t>nvironmental outcomes in the Riverland</w:t>
            </w:r>
          </w:p>
        </w:tc>
        <w:tc>
          <w:tcPr>
            <w:tcW w:w="2185" w:type="pct"/>
            <w:tcMar>
              <w:left w:w="108" w:type="dxa"/>
              <w:right w:w="108" w:type="dxa"/>
            </w:tcMar>
          </w:tcPr>
          <w:p w14:paraId="499CCF0F" w14:textId="77777777" w:rsidR="00C43C4F" w:rsidRPr="003B51CE" w:rsidRDefault="00EA4A22" w:rsidP="00474D3C">
            <w:pPr>
              <w:pStyle w:val="TableText"/>
            </w:pPr>
            <w:r w:rsidRPr="003B51CE">
              <w:t>Deliver $37.6 million in practical projects to sustain Riverland environments. We will work with the South Australian Government to deliver projects. This action recognises that there have been delays in progress towa</w:t>
            </w:r>
            <w:r w:rsidRPr="003B51CE">
              <w:t xml:space="preserve">rds securing an additional 450 GL of water to improve river health and habitats on the lower Murray. </w:t>
            </w:r>
          </w:p>
          <w:p w14:paraId="1FC03C55" w14:textId="77777777" w:rsidR="00C43C4F" w:rsidRPr="003B51CE" w:rsidRDefault="00C43C4F" w:rsidP="00474D3C">
            <w:pPr>
              <w:pStyle w:val="TableText"/>
            </w:pPr>
          </w:p>
          <w:p w14:paraId="2CD7401A" w14:textId="77777777" w:rsidR="00C43C4F" w:rsidRPr="003B51CE" w:rsidRDefault="00C43C4F" w:rsidP="00474D3C">
            <w:pPr>
              <w:pStyle w:val="TableText"/>
            </w:pPr>
          </w:p>
          <w:p w14:paraId="58C2FA43" w14:textId="77777777" w:rsidR="00C43C4F" w:rsidRPr="003B51CE" w:rsidRDefault="00C43C4F" w:rsidP="00474D3C">
            <w:pPr>
              <w:pStyle w:val="TableText"/>
            </w:pPr>
          </w:p>
          <w:p w14:paraId="4B07CDDB" w14:textId="77777777" w:rsidR="00C43C4F" w:rsidRPr="003B51CE" w:rsidRDefault="00C43C4F" w:rsidP="00474D3C">
            <w:pPr>
              <w:pStyle w:val="TableText"/>
            </w:pPr>
          </w:p>
          <w:p w14:paraId="05712B85" w14:textId="77777777" w:rsidR="00C43C4F" w:rsidRPr="003B51CE" w:rsidRDefault="00C43C4F" w:rsidP="00474D3C">
            <w:pPr>
              <w:pStyle w:val="TableText"/>
            </w:pPr>
          </w:p>
          <w:p w14:paraId="619F4270" w14:textId="77777777" w:rsidR="00C43C4F" w:rsidRPr="003B51CE" w:rsidRDefault="00C43C4F" w:rsidP="00474D3C">
            <w:pPr>
              <w:pStyle w:val="TableText"/>
            </w:pPr>
          </w:p>
          <w:p w14:paraId="35C4BA93" w14:textId="77777777" w:rsidR="00C43C4F" w:rsidRPr="003B51CE" w:rsidRDefault="00C43C4F" w:rsidP="00474D3C">
            <w:pPr>
              <w:pStyle w:val="TableText"/>
            </w:pPr>
          </w:p>
          <w:p w14:paraId="573664DB" w14:textId="77777777" w:rsidR="00C43C4F" w:rsidRPr="003B51CE" w:rsidRDefault="00C43C4F" w:rsidP="00474D3C">
            <w:pPr>
              <w:pStyle w:val="TableText"/>
            </w:pPr>
          </w:p>
          <w:p w14:paraId="5CC7FC06" w14:textId="77777777" w:rsidR="00C43C4F" w:rsidRPr="003B51CE" w:rsidRDefault="00EA4A22" w:rsidP="00474D3C">
            <w:pPr>
              <w:pStyle w:val="TableText"/>
            </w:pPr>
            <w:r w:rsidRPr="003B51CE">
              <w:t xml:space="preserve">Recover the 450 GL of water for the environment in ways that support Basin communities. </w:t>
            </w:r>
          </w:p>
          <w:p w14:paraId="7F1C638B" w14:textId="77777777" w:rsidR="00C43C4F" w:rsidRPr="003B51CE" w:rsidRDefault="00C43C4F" w:rsidP="00474D3C">
            <w:pPr>
              <w:pStyle w:val="TableText"/>
            </w:pPr>
          </w:p>
        </w:tc>
        <w:tc>
          <w:tcPr>
            <w:tcW w:w="508" w:type="pct"/>
            <w:tcMar>
              <w:left w:w="108" w:type="dxa"/>
              <w:right w:w="108" w:type="dxa"/>
            </w:tcMar>
          </w:tcPr>
          <w:p w14:paraId="7F23C4E0" w14:textId="77777777" w:rsidR="00C43C4F" w:rsidRPr="003B51CE" w:rsidRDefault="00EA4A22" w:rsidP="00474D3C">
            <w:pPr>
              <w:pStyle w:val="TableText"/>
            </w:pPr>
            <w:r w:rsidRPr="003B51CE">
              <w:t>Q4 2020</w:t>
            </w:r>
          </w:p>
          <w:p w14:paraId="1A44CF78" w14:textId="77777777" w:rsidR="00261002" w:rsidRPr="003B51CE" w:rsidRDefault="00EA4A22" w:rsidP="00261002">
            <w:pPr>
              <w:pStyle w:val="TableText"/>
            </w:pPr>
            <w:r w:rsidRPr="003B51CE">
              <w:t>– establish</w:t>
            </w:r>
          </w:p>
          <w:p w14:paraId="5CD7FF71" w14:textId="77777777" w:rsidR="00C43C4F" w:rsidRPr="003B51CE" w:rsidRDefault="00C43C4F" w:rsidP="00474D3C">
            <w:pPr>
              <w:pStyle w:val="TableText"/>
            </w:pPr>
          </w:p>
          <w:p w14:paraId="656F6B83" w14:textId="77777777" w:rsidR="00C43C4F" w:rsidRPr="003B51CE" w:rsidRDefault="00C43C4F" w:rsidP="00474D3C">
            <w:pPr>
              <w:pStyle w:val="TableText"/>
            </w:pPr>
          </w:p>
          <w:p w14:paraId="7E7C7C25" w14:textId="77777777" w:rsidR="00C43C4F" w:rsidRPr="003B51CE" w:rsidRDefault="00C43C4F" w:rsidP="00474D3C">
            <w:pPr>
              <w:pStyle w:val="TableText"/>
            </w:pPr>
          </w:p>
          <w:p w14:paraId="08B38571" w14:textId="77777777" w:rsidR="00C43C4F" w:rsidRPr="003B51CE" w:rsidRDefault="00C43C4F" w:rsidP="00474D3C">
            <w:pPr>
              <w:pStyle w:val="TableText"/>
            </w:pPr>
          </w:p>
          <w:p w14:paraId="6A12E60A" w14:textId="77777777" w:rsidR="00C43C4F" w:rsidRPr="003B51CE" w:rsidRDefault="00C43C4F" w:rsidP="00474D3C">
            <w:pPr>
              <w:pStyle w:val="TableText"/>
            </w:pPr>
          </w:p>
          <w:p w14:paraId="720FEAFE" w14:textId="77777777" w:rsidR="00C43C4F" w:rsidRPr="003B51CE" w:rsidRDefault="00C43C4F" w:rsidP="00474D3C">
            <w:pPr>
              <w:pStyle w:val="TableText"/>
            </w:pPr>
          </w:p>
          <w:p w14:paraId="67B6F88C" w14:textId="77777777" w:rsidR="00C43C4F" w:rsidRPr="003B51CE" w:rsidRDefault="00C43C4F" w:rsidP="00474D3C">
            <w:pPr>
              <w:pStyle w:val="TableText"/>
            </w:pPr>
          </w:p>
          <w:p w14:paraId="716A10D0" w14:textId="77777777" w:rsidR="00C43C4F" w:rsidRPr="003B51CE" w:rsidRDefault="00C43C4F" w:rsidP="00474D3C">
            <w:pPr>
              <w:pStyle w:val="TableText"/>
            </w:pPr>
          </w:p>
          <w:p w14:paraId="0D13E25E" w14:textId="77777777" w:rsidR="00C43C4F" w:rsidRPr="003B51CE" w:rsidRDefault="00C43C4F" w:rsidP="00474D3C">
            <w:pPr>
              <w:pStyle w:val="TableText"/>
            </w:pPr>
          </w:p>
          <w:p w14:paraId="4EDFEBB7" w14:textId="77777777" w:rsidR="00C43C4F" w:rsidRPr="003B51CE" w:rsidRDefault="00C43C4F" w:rsidP="00474D3C">
            <w:pPr>
              <w:pStyle w:val="TableText"/>
            </w:pPr>
          </w:p>
          <w:p w14:paraId="7F62B4D3" w14:textId="77777777" w:rsidR="00C43C4F" w:rsidRPr="003B51CE" w:rsidRDefault="00EA4A22" w:rsidP="00474D3C">
            <w:pPr>
              <w:pStyle w:val="TableText"/>
            </w:pPr>
            <w:r w:rsidRPr="003B51CE">
              <w:t xml:space="preserve">Q2 2022 </w:t>
            </w:r>
          </w:p>
        </w:tc>
        <w:tc>
          <w:tcPr>
            <w:tcW w:w="1546" w:type="pct"/>
          </w:tcPr>
          <w:p w14:paraId="08C011B2" w14:textId="77777777" w:rsidR="00C43C4F" w:rsidRPr="003B51CE" w:rsidRDefault="00EA4A22" w:rsidP="00474D3C">
            <w:pPr>
              <w:pStyle w:val="TableText"/>
            </w:pPr>
            <w:r w:rsidRPr="003B51CE">
              <w:t xml:space="preserve">Projects </w:t>
            </w:r>
            <w:r w:rsidR="00B460C2" w:rsidRPr="003B51CE">
              <w:t>have been</w:t>
            </w:r>
            <w:r w:rsidRPr="003B51CE">
              <w:t xml:space="preserve"> agreed with the South Australian Government to achieve landscape-scale improvements and benefit important fish species:</w:t>
            </w:r>
          </w:p>
          <w:p w14:paraId="4B7383B3" w14:textId="77777777" w:rsidR="00C43C4F" w:rsidRPr="003B51CE" w:rsidRDefault="00EA4A22" w:rsidP="00C43C4F">
            <w:pPr>
              <w:pStyle w:val="TableText"/>
              <w:numPr>
                <w:ilvl w:val="0"/>
                <w:numId w:val="36"/>
              </w:numPr>
            </w:pPr>
            <w:r w:rsidRPr="003B51CE">
              <w:t xml:space="preserve">Restoring natural river patterns in the Lock 6 reach </w:t>
            </w:r>
          </w:p>
          <w:p w14:paraId="2990400C" w14:textId="77777777" w:rsidR="00C43C4F" w:rsidRPr="003B51CE" w:rsidRDefault="00EA4A22" w:rsidP="00C43C4F">
            <w:pPr>
              <w:pStyle w:val="TableText"/>
              <w:numPr>
                <w:ilvl w:val="0"/>
                <w:numId w:val="36"/>
              </w:numPr>
            </w:pPr>
            <w:r w:rsidRPr="003B51CE">
              <w:t xml:space="preserve">River infrastructure and operational investments in the Lock 3 </w:t>
            </w:r>
            <w:r w:rsidRPr="003B51CE">
              <w:t>reach</w:t>
            </w:r>
          </w:p>
          <w:p w14:paraId="1DF5D3EB" w14:textId="77777777" w:rsidR="00C43C4F" w:rsidRPr="003B51CE" w:rsidRDefault="00EA4A22" w:rsidP="00C43C4F">
            <w:pPr>
              <w:pStyle w:val="TableText"/>
              <w:numPr>
                <w:ilvl w:val="0"/>
                <w:numId w:val="36"/>
              </w:numPr>
            </w:pPr>
            <w:r w:rsidRPr="003B51CE">
              <w:t>Reinstating natural habitat conditions in the Bookmark Creek area.</w:t>
            </w:r>
          </w:p>
          <w:p w14:paraId="7ACFA3C0" w14:textId="77777777" w:rsidR="00C43C4F" w:rsidRPr="003B51CE" w:rsidRDefault="00EA4A22" w:rsidP="00474D3C">
            <w:pPr>
              <w:pStyle w:val="TableText"/>
            </w:pPr>
            <w:r w:rsidRPr="003B51CE">
              <w:t>Landowners and other stakeholders will be consulted as planning and implementation of these works proceed.</w:t>
            </w:r>
          </w:p>
          <w:p w14:paraId="0ACA0499" w14:textId="77777777" w:rsidR="00C43C4F" w:rsidRPr="003B51CE" w:rsidRDefault="00C43C4F" w:rsidP="00474D3C">
            <w:pPr>
              <w:pStyle w:val="TableText"/>
            </w:pPr>
          </w:p>
          <w:p w14:paraId="031F2133" w14:textId="77777777" w:rsidR="00C43C4F" w:rsidRPr="003B51CE" w:rsidRDefault="00EA4A22" w:rsidP="00474D3C">
            <w:pPr>
              <w:pStyle w:val="TableText"/>
            </w:pPr>
            <w:r w:rsidRPr="003B51CE">
              <w:t>The Off-farm Efficiency Program will progress Basin Plan river health targe</w:t>
            </w:r>
            <w:r w:rsidRPr="003B51CE">
              <w:t>ts without reducing the consumptive pool. The new approach is demonstrated through the Goulburn Murray Water $177.5 million project that will generate 15.9 GL of water for the environment.</w:t>
            </w:r>
          </w:p>
        </w:tc>
      </w:tr>
      <w:tr w:rsidR="00567C49" w14:paraId="50882C59" w14:textId="77777777" w:rsidTr="00474D3C">
        <w:tc>
          <w:tcPr>
            <w:tcW w:w="761" w:type="pct"/>
            <w:tcMar>
              <w:left w:w="108" w:type="dxa"/>
              <w:right w:w="108" w:type="dxa"/>
            </w:tcMar>
          </w:tcPr>
          <w:p w14:paraId="05882AF2" w14:textId="77777777" w:rsidR="00C43C4F" w:rsidRPr="003B51CE" w:rsidRDefault="00EA4A22" w:rsidP="00474D3C">
            <w:pPr>
              <w:pStyle w:val="TableText"/>
              <w:rPr>
                <w:lang w:val="en-US"/>
              </w:rPr>
            </w:pPr>
            <w:r w:rsidRPr="003B51CE">
              <w:rPr>
                <w:lang w:val="en-US"/>
              </w:rPr>
              <w:t xml:space="preserve">Supporting First Nations Australians to play an active role in </w:t>
            </w:r>
            <w:r w:rsidRPr="003B51CE">
              <w:rPr>
                <w:lang w:val="en-US"/>
              </w:rPr>
              <w:t>river health</w:t>
            </w:r>
          </w:p>
        </w:tc>
        <w:tc>
          <w:tcPr>
            <w:tcW w:w="2185" w:type="pct"/>
            <w:tcMar>
              <w:left w:w="108" w:type="dxa"/>
              <w:right w:w="108" w:type="dxa"/>
            </w:tcMar>
          </w:tcPr>
          <w:p w14:paraId="53E434BE" w14:textId="77777777" w:rsidR="00C43C4F" w:rsidRPr="003B51CE" w:rsidRDefault="00EA4A22" w:rsidP="00474D3C">
            <w:pPr>
              <w:pStyle w:val="TableText"/>
            </w:pPr>
            <w:r w:rsidRPr="003B51CE">
              <w:t>Deliver $3.1 million for four new First Nations River Rangers teams, creating around 20 jobs.</w:t>
            </w:r>
          </w:p>
          <w:p w14:paraId="74C84B04" w14:textId="77777777" w:rsidR="00C43C4F" w:rsidRPr="003B51CE" w:rsidRDefault="00C43C4F" w:rsidP="00474D3C">
            <w:pPr>
              <w:pStyle w:val="TableText"/>
            </w:pPr>
          </w:p>
          <w:p w14:paraId="42F2CB2B" w14:textId="77777777" w:rsidR="00C43C4F" w:rsidRPr="003B51CE" w:rsidRDefault="00EA4A22" w:rsidP="00474D3C">
            <w:pPr>
              <w:pStyle w:val="TableText"/>
            </w:pPr>
            <w:r w:rsidRPr="003B51CE">
              <w:t>Agree the framework for implementing the $40 million Aboriginal water entitlements program with Aboriginal communities.</w:t>
            </w:r>
          </w:p>
          <w:p w14:paraId="77690E0E" w14:textId="77777777" w:rsidR="00C43C4F" w:rsidRPr="003B51CE" w:rsidRDefault="00C43C4F" w:rsidP="00474D3C">
            <w:pPr>
              <w:pStyle w:val="TableText"/>
            </w:pPr>
          </w:p>
          <w:p w14:paraId="144D1C56" w14:textId="77777777" w:rsidR="00C43C4F" w:rsidRPr="003B51CE" w:rsidRDefault="00C43C4F" w:rsidP="00474D3C">
            <w:pPr>
              <w:pStyle w:val="TableText"/>
            </w:pPr>
          </w:p>
          <w:p w14:paraId="6D44BC6C" w14:textId="77777777" w:rsidR="00C43C4F" w:rsidRPr="003B51CE" w:rsidRDefault="00EA4A22" w:rsidP="00474D3C">
            <w:pPr>
              <w:pStyle w:val="TableText"/>
            </w:pPr>
            <w:r w:rsidRPr="003B51CE">
              <w:t>Appointment of an Indigeno</w:t>
            </w:r>
            <w:r w:rsidRPr="003B51CE">
              <w:t>us board member to the Murray–Darling Basin Authority.</w:t>
            </w:r>
          </w:p>
          <w:p w14:paraId="00FD6962" w14:textId="77777777" w:rsidR="00C43C4F" w:rsidRPr="003B51CE" w:rsidRDefault="00C43C4F" w:rsidP="00474D3C">
            <w:pPr>
              <w:pStyle w:val="TableText"/>
            </w:pPr>
          </w:p>
        </w:tc>
        <w:tc>
          <w:tcPr>
            <w:tcW w:w="508" w:type="pct"/>
            <w:tcMar>
              <w:left w:w="108" w:type="dxa"/>
              <w:right w:w="108" w:type="dxa"/>
            </w:tcMar>
          </w:tcPr>
          <w:p w14:paraId="14C088AE" w14:textId="77777777" w:rsidR="00C43C4F" w:rsidRPr="003B51CE" w:rsidRDefault="00EA4A22" w:rsidP="00474D3C">
            <w:pPr>
              <w:pStyle w:val="TableText"/>
            </w:pPr>
            <w:r w:rsidRPr="003B51CE">
              <w:t>Q3 2021</w:t>
            </w:r>
          </w:p>
          <w:p w14:paraId="394837E8" w14:textId="77777777" w:rsidR="00C43C4F" w:rsidRPr="003B51CE" w:rsidRDefault="00EA4A22" w:rsidP="00474D3C">
            <w:pPr>
              <w:pStyle w:val="TableText"/>
            </w:pPr>
            <w:r w:rsidRPr="003B51CE">
              <w:t>– establish</w:t>
            </w:r>
          </w:p>
          <w:p w14:paraId="22958335" w14:textId="77777777" w:rsidR="00C43C4F" w:rsidRPr="003B51CE" w:rsidRDefault="00C43C4F" w:rsidP="00474D3C">
            <w:pPr>
              <w:pStyle w:val="TableText"/>
            </w:pPr>
          </w:p>
          <w:p w14:paraId="5CD741CC" w14:textId="77777777" w:rsidR="00C43C4F" w:rsidRPr="003B51CE" w:rsidRDefault="00EA4A22" w:rsidP="00474D3C">
            <w:pPr>
              <w:pStyle w:val="TableText"/>
            </w:pPr>
            <w:r w:rsidRPr="003B51CE">
              <w:t>Q1 2021</w:t>
            </w:r>
          </w:p>
          <w:p w14:paraId="49041C21" w14:textId="77777777" w:rsidR="00C43C4F" w:rsidRPr="003B51CE" w:rsidRDefault="00EA4A22" w:rsidP="00474D3C">
            <w:pPr>
              <w:pStyle w:val="TableText"/>
            </w:pPr>
            <w:r w:rsidRPr="003B51CE">
              <w:t>– establish</w:t>
            </w:r>
          </w:p>
          <w:p w14:paraId="3DB802D8" w14:textId="77777777" w:rsidR="00C43C4F" w:rsidRPr="003B51CE" w:rsidRDefault="00C43C4F" w:rsidP="00474D3C">
            <w:pPr>
              <w:pStyle w:val="TableText"/>
            </w:pPr>
          </w:p>
          <w:p w14:paraId="5751DEAD" w14:textId="77777777" w:rsidR="00C43C4F" w:rsidRPr="003B51CE" w:rsidRDefault="00EA4A22" w:rsidP="00474D3C">
            <w:pPr>
              <w:pStyle w:val="TableText"/>
            </w:pPr>
            <w:r w:rsidRPr="003B51CE">
              <w:t>Q4 2020</w:t>
            </w:r>
          </w:p>
          <w:p w14:paraId="7AD87440" w14:textId="77777777" w:rsidR="00C43C4F" w:rsidRPr="003B51CE" w:rsidRDefault="00EA4A22" w:rsidP="00474D3C">
            <w:pPr>
              <w:pStyle w:val="TableText"/>
            </w:pPr>
            <w:r w:rsidRPr="003B51CE">
              <w:t>– appoint</w:t>
            </w:r>
          </w:p>
          <w:p w14:paraId="5CF0C08C" w14:textId="77777777" w:rsidR="00C43C4F" w:rsidRPr="003B51CE" w:rsidRDefault="00C43C4F" w:rsidP="00474D3C">
            <w:pPr>
              <w:pStyle w:val="TableText"/>
            </w:pPr>
          </w:p>
        </w:tc>
        <w:tc>
          <w:tcPr>
            <w:tcW w:w="1546" w:type="pct"/>
          </w:tcPr>
          <w:p w14:paraId="1B179A19" w14:textId="77777777" w:rsidR="00C43C4F" w:rsidRPr="003B51CE" w:rsidRDefault="00EA4A22" w:rsidP="00474D3C">
            <w:pPr>
              <w:pStyle w:val="TableText"/>
            </w:pPr>
            <w:r w:rsidRPr="003B51CE">
              <w:t xml:space="preserve">The National Indigenous Australians Agency will open a grants round to progress this measure </w:t>
            </w:r>
            <w:r w:rsidR="00B460C2" w:rsidRPr="003B51CE">
              <w:t>at the end of March 2021.</w:t>
            </w:r>
          </w:p>
          <w:p w14:paraId="737F5F63" w14:textId="77777777" w:rsidR="00C43C4F" w:rsidRPr="003B51CE" w:rsidRDefault="00EA4A22" w:rsidP="00474D3C">
            <w:pPr>
              <w:pStyle w:val="TableText"/>
            </w:pPr>
            <w:r w:rsidRPr="003B51CE">
              <w:t>An implementation framework is expected to be agreed with Basin Indigenous peak organisations</w:t>
            </w:r>
            <w:r w:rsidR="003B51CE">
              <w:t xml:space="preserve"> in mid</w:t>
            </w:r>
            <w:r w:rsidRPr="003B51CE">
              <w:t xml:space="preserve"> 2021.</w:t>
            </w:r>
          </w:p>
          <w:p w14:paraId="787B3C8B" w14:textId="77777777" w:rsidR="00C43C4F" w:rsidRPr="003B51CE" w:rsidRDefault="00C43C4F" w:rsidP="00474D3C">
            <w:pPr>
              <w:pStyle w:val="TableText"/>
            </w:pPr>
          </w:p>
          <w:p w14:paraId="2ACE89C6" w14:textId="77777777" w:rsidR="00C43C4F" w:rsidRPr="003B51CE" w:rsidRDefault="00EA4A22" w:rsidP="00474D3C">
            <w:pPr>
              <w:pStyle w:val="TableText"/>
            </w:pPr>
            <w:r w:rsidRPr="003B51CE">
              <w:t>Mr Rene Woods was appointed a</w:t>
            </w:r>
            <w:r w:rsidRPr="003B51CE">
              <w:t>s the first dedicated Indigenous member of the board of the Murray-Darling Basin Authority by Minister Keith Pitt on 18 December 2020.</w:t>
            </w:r>
          </w:p>
        </w:tc>
      </w:tr>
    </w:tbl>
    <w:p w14:paraId="131A2DBF" w14:textId="77777777" w:rsidR="00DD4719" w:rsidRPr="003B51CE" w:rsidRDefault="00EA4A22" w:rsidP="00DD4719">
      <w:pPr>
        <w:pStyle w:val="Heading3"/>
        <w:numPr>
          <w:ilvl w:val="0"/>
          <w:numId w:val="0"/>
        </w:numPr>
        <w:rPr>
          <w:rFonts w:eastAsiaTheme="minorEastAsia" w:cstheme="minorBidi"/>
          <w:b w:val="0"/>
          <w:color w:val="000000"/>
          <w:sz w:val="56"/>
          <w:szCs w:val="28"/>
          <w:lang w:eastAsia="ja-JP"/>
        </w:rPr>
      </w:pPr>
      <w:r w:rsidRPr="003B51CE">
        <w:rPr>
          <w:rFonts w:eastAsiaTheme="minorEastAsia" w:cstheme="minorBidi"/>
          <w:b w:val="0"/>
          <w:color w:val="000000"/>
          <w:sz w:val="56"/>
          <w:szCs w:val="28"/>
          <w:lang w:eastAsia="ja-JP"/>
        </w:rPr>
        <w:lastRenderedPageBreak/>
        <w:t xml:space="preserve">Build trust, </w:t>
      </w:r>
      <w:proofErr w:type="gramStart"/>
      <w:r w:rsidRPr="003B51CE">
        <w:rPr>
          <w:rFonts w:eastAsiaTheme="minorEastAsia" w:cstheme="minorBidi"/>
          <w:b w:val="0"/>
          <w:color w:val="000000"/>
          <w:sz w:val="56"/>
          <w:szCs w:val="28"/>
          <w:lang w:eastAsia="ja-JP"/>
        </w:rPr>
        <w:t>transparency</w:t>
      </w:r>
      <w:proofErr w:type="gramEnd"/>
      <w:r w:rsidRPr="003B51CE">
        <w:rPr>
          <w:rFonts w:eastAsiaTheme="minorEastAsia" w:cstheme="minorBidi"/>
          <w:b w:val="0"/>
          <w:color w:val="000000"/>
          <w:sz w:val="56"/>
          <w:szCs w:val="28"/>
          <w:lang w:eastAsia="ja-JP"/>
        </w:rPr>
        <w:t xml:space="preserve"> and accountability in government</w:t>
      </w:r>
    </w:p>
    <w:p w14:paraId="6E59C2F0" w14:textId="77777777" w:rsidR="00DD4719" w:rsidRPr="003B51CE" w:rsidRDefault="00EA4A22" w:rsidP="00DD4719">
      <w:r w:rsidRPr="003B51CE">
        <w:t>The Australian Government is delivering the highest accountab</w:t>
      </w:r>
      <w:r w:rsidRPr="003B51CE">
        <w:t>ility regarding management of our scarce water resources by establishing a statutory and independent Inspector</w:t>
      </w:r>
      <w:r w:rsidR="00261002">
        <w:t>-</w:t>
      </w:r>
      <w:r w:rsidRPr="003B51CE">
        <w:t xml:space="preserve">General of Water Compliance. This brings together the water compliance role of the Murray-Darling Basin Authority with the assurance role of the </w:t>
      </w:r>
      <w:r w:rsidRPr="003B51CE">
        <w:t>Interim Inspector-General of Water Compliance</w:t>
      </w:r>
      <w:r w:rsidR="00261002">
        <w:t xml:space="preserve"> </w:t>
      </w:r>
      <w:r w:rsidR="00261002" w:rsidRPr="00261002">
        <w:t>that replaced the Interim</w:t>
      </w:r>
      <w:r w:rsidR="00261002">
        <w:t>-</w:t>
      </w:r>
      <w:r w:rsidR="00261002" w:rsidRPr="00261002">
        <w:t>Inspector General of Murray–Darling Basin Water Resources</w:t>
      </w:r>
      <w:r w:rsidRPr="003B51CE">
        <w:t>. The Hon. Troy Grant was appointed to the role on 16 December 2020.</w:t>
      </w:r>
    </w:p>
    <w:p w14:paraId="04986721" w14:textId="77777777" w:rsidR="00DD4719" w:rsidRPr="003B51CE" w:rsidRDefault="00EA4A22" w:rsidP="00DD4719">
      <w:r w:rsidRPr="003B51CE">
        <w:t>Establishing the role requires amendments to the Water Act</w:t>
      </w:r>
      <w:r w:rsidRPr="003B51CE">
        <w:t xml:space="preserve"> 2007 and the Basin Plan 2012. These reforms are being developed in consultation with Basin states and the ACT. The Australian Government </w:t>
      </w:r>
      <w:r w:rsidR="00B460C2" w:rsidRPr="003B51CE">
        <w:t>will</w:t>
      </w:r>
      <w:r w:rsidRPr="003B51CE">
        <w:t xml:space="preserve"> introduce a Bill </w:t>
      </w:r>
      <w:r w:rsidR="00B460C2" w:rsidRPr="003B51CE">
        <w:t>this year</w:t>
      </w:r>
      <w:r w:rsidRPr="003B51CE">
        <w:t>. Subject to the legislation passing a statutory Inspector-General will be appointed la</w:t>
      </w:r>
      <w:r w:rsidRPr="003B51CE">
        <w:t>ter in 2021.</w:t>
      </w:r>
    </w:p>
    <w:p w14:paraId="65B90CDE" w14:textId="77777777" w:rsidR="00DD4719" w:rsidRPr="003B51CE" w:rsidRDefault="00EA4A22" w:rsidP="00DD4719">
      <w:r w:rsidRPr="003B51CE">
        <w:t xml:space="preserve">The new role brings together the Commonwealth's responsibility into a single statutory office to: </w:t>
      </w:r>
    </w:p>
    <w:p w14:paraId="072F7D1D" w14:textId="77777777" w:rsidR="00DD4719" w:rsidRPr="003B51CE" w:rsidRDefault="00EA4A22" w:rsidP="00DD4719">
      <w:pPr>
        <w:pStyle w:val="ListParagraph"/>
        <w:numPr>
          <w:ilvl w:val="0"/>
          <w:numId w:val="37"/>
        </w:numPr>
        <w:spacing w:after="160" w:line="259" w:lineRule="auto"/>
      </w:pPr>
      <w:r w:rsidRPr="003B51CE">
        <w:t>improve trust and transparency in implementing the Commonwealth's Basin water reform agenda</w:t>
      </w:r>
    </w:p>
    <w:p w14:paraId="43DF7A8E" w14:textId="77777777" w:rsidR="00DD4719" w:rsidRPr="003B51CE" w:rsidRDefault="00EA4A22" w:rsidP="00DD4719">
      <w:pPr>
        <w:pStyle w:val="ListParagraph"/>
        <w:numPr>
          <w:ilvl w:val="0"/>
          <w:numId w:val="37"/>
        </w:numPr>
        <w:spacing w:after="160" w:line="259" w:lineRule="auto"/>
      </w:pPr>
      <w:r w:rsidRPr="003B51CE">
        <w:t xml:space="preserve">deliver greater consistency and </w:t>
      </w:r>
      <w:r w:rsidRPr="003B51CE">
        <w:t>harmonisation of water regulation across the Basin; and</w:t>
      </w:r>
    </w:p>
    <w:p w14:paraId="6F6D7C30" w14:textId="77777777" w:rsidR="00DD4719" w:rsidRPr="003B51CE" w:rsidRDefault="00EA4A22" w:rsidP="00DD4719">
      <w:pPr>
        <w:pStyle w:val="ListParagraph"/>
        <w:numPr>
          <w:ilvl w:val="0"/>
          <w:numId w:val="37"/>
        </w:numPr>
        <w:spacing w:after="160" w:line="259" w:lineRule="auto"/>
      </w:pPr>
      <w:r w:rsidRPr="003B51CE">
        <w:t>strengthen Basin Plan compliance and enforcement.</w:t>
      </w:r>
    </w:p>
    <w:p w14:paraId="56423F23" w14:textId="77777777" w:rsidR="00DD4719" w:rsidRPr="003B51CE" w:rsidRDefault="00EA4A22" w:rsidP="00DD4719">
      <w:pPr>
        <w:pStyle w:val="Heading3"/>
        <w:numPr>
          <w:ilvl w:val="0"/>
          <w:numId w:val="0"/>
        </w:numPr>
        <w:ind w:left="964" w:hanging="964"/>
        <w:rPr>
          <w:lang w:val="en-US"/>
        </w:rPr>
      </w:pPr>
      <w:r w:rsidRPr="003B51CE">
        <w:rPr>
          <w:lang w:val="en-US"/>
        </w:rPr>
        <w:t xml:space="preserve">Build trust, </w:t>
      </w:r>
      <w:proofErr w:type="gramStart"/>
      <w:r w:rsidRPr="003B51CE">
        <w:rPr>
          <w:lang w:val="en-US"/>
        </w:rPr>
        <w:t>transparency</w:t>
      </w:r>
      <w:proofErr w:type="gramEnd"/>
      <w:r w:rsidRPr="003B51CE">
        <w:rPr>
          <w:lang w:val="en-US"/>
        </w:rPr>
        <w:t xml:space="preserve"> and accountability in government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702"/>
        <w:gridCol w:w="4977"/>
        <w:gridCol w:w="1422"/>
        <w:gridCol w:w="5891"/>
      </w:tblGrid>
      <w:tr w:rsidR="00567C49" w14:paraId="16098755" w14:textId="77777777" w:rsidTr="00474D3C">
        <w:trPr>
          <w:cantSplit/>
          <w:tblHeader/>
        </w:trPr>
        <w:tc>
          <w:tcPr>
            <w:tcW w:w="608" w:type="pct"/>
            <w:tcMar>
              <w:left w:w="108" w:type="dxa"/>
              <w:right w:w="108" w:type="dxa"/>
            </w:tcMar>
          </w:tcPr>
          <w:p w14:paraId="467D0BBD" w14:textId="77777777" w:rsidR="00DD4719" w:rsidRPr="003B51CE" w:rsidRDefault="00EA4A22" w:rsidP="00474D3C">
            <w:pPr>
              <w:pStyle w:val="TableHeading"/>
            </w:pPr>
            <w:r w:rsidRPr="003B51CE">
              <w:t>What we are doing</w:t>
            </w:r>
          </w:p>
        </w:tc>
        <w:tc>
          <w:tcPr>
            <w:tcW w:w="1778" w:type="pct"/>
            <w:tcMar>
              <w:left w:w="108" w:type="dxa"/>
              <w:right w:w="108" w:type="dxa"/>
            </w:tcMar>
          </w:tcPr>
          <w:p w14:paraId="46382C53" w14:textId="77777777" w:rsidR="00DD4719" w:rsidRPr="003B51CE" w:rsidRDefault="00EA4A22" w:rsidP="00474D3C">
            <w:pPr>
              <w:pStyle w:val="TableHeading"/>
            </w:pPr>
            <w:r w:rsidRPr="003B51CE">
              <w:t>How we will do it</w:t>
            </w:r>
          </w:p>
        </w:tc>
        <w:tc>
          <w:tcPr>
            <w:tcW w:w="508" w:type="pct"/>
            <w:tcMar>
              <w:left w:w="108" w:type="dxa"/>
              <w:right w:w="108" w:type="dxa"/>
            </w:tcMar>
          </w:tcPr>
          <w:p w14:paraId="74093DBF" w14:textId="77777777" w:rsidR="00DD4719" w:rsidRPr="003B51CE" w:rsidRDefault="00EA4A22" w:rsidP="00474D3C">
            <w:pPr>
              <w:pStyle w:val="TableHeading"/>
            </w:pPr>
            <w:r w:rsidRPr="003B51CE">
              <w:t>By when</w:t>
            </w:r>
          </w:p>
        </w:tc>
        <w:tc>
          <w:tcPr>
            <w:tcW w:w="2105" w:type="pct"/>
          </w:tcPr>
          <w:p w14:paraId="2192C12C" w14:textId="77777777" w:rsidR="00DD4719" w:rsidRPr="003B51CE" w:rsidRDefault="00EA4A22" w:rsidP="00474D3C">
            <w:pPr>
              <w:pStyle w:val="TableHeading"/>
            </w:pPr>
            <w:r w:rsidRPr="003B51CE">
              <w:t xml:space="preserve">What </w:t>
            </w:r>
            <w:r w:rsidR="00067838" w:rsidRPr="003B51CE">
              <w:t>have we done</w:t>
            </w:r>
          </w:p>
        </w:tc>
      </w:tr>
      <w:tr w:rsidR="00567C49" w14:paraId="2E7DEBD7" w14:textId="77777777" w:rsidTr="00474D3C">
        <w:tc>
          <w:tcPr>
            <w:tcW w:w="608" w:type="pct"/>
            <w:tcMar>
              <w:left w:w="108" w:type="dxa"/>
              <w:right w:w="108" w:type="dxa"/>
            </w:tcMar>
          </w:tcPr>
          <w:p w14:paraId="06999343" w14:textId="77777777" w:rsidR="00DD4719" w:rsidRPr="003B51CE" w:rsidRDefault="00EA4A22" w:rsidP="00474D3C">
            <w:pPr>
              <w:pStyle w:val="TableText"/>
            </w:pPr>
            <w:r w:rsidRPr="003B51CE">
              <w:t xml:space="preserve">Providing stronger </w:t>
            </w:r>
            <w:r w:rsidRPr="003B51CE">
              <w:t>leadership</w:t>
            </w:r>
          </w:p>
        </w:tc>
        <w:tc>
          <w:tcPr>
            <w:tcW w:w="1778" w:type="pct"/>
            <w:tcMar>
              <w:left w:w="108" w:type="dxa"/>
              <w:right w:w="108" w:type="dxa"/>
            </w:tcMar>
          </w:tcPr>
          <w:p w14:paraId="4CB31A7A" w14:textId="77777777" w:rsidR="00DD4719" w:rsidRPr="003B51CE" w:rsidRDefault="00EA4A22" w:rsidP="00474D3C">
            <w:pPr>
              <w:pStyle w:val="TableText"/>
            </w:pPr>
            <w:r w:rsidRPr="003B51CE">
              <w:t>Build a culture of genuine engagement and trust with communities and between governments.</w:t>
            </w:r>
          </w:p>
          <w:p w14:paraId="0E0B8973" w14:textId="77777777" w:rsidR="00DD4719" w:rsidRPr="003B51CE" w:rsidRDefault="00DD4719" w:rsidP="00474D3C">
            <w:pPr>
              <w:pStyle w:val="TableText"/>
            </w:pPr>
          </w:p>
          <w:p w14:paraId="6BA4AD0F" w14:textId="77777777" w:rsidR="00DD4719" w:rsidRPr="003B51CE" w:rsidRDefault="00DD4719" w:rsidP="00474D3C">
            <w:pPr>
              <w:pStyle w:val="TableText"/>
            </w:pPr>
          </w:p>
          <w:p w14:paraId="278FFFB4" w14:textId="77777777" w:rsidR="00DD4719" w:rsidRPr="003B51CE" w:rsidRDefault="00DD4719" w:rsidP="00474D3C">
            <w:pPr>
              <w:pStyle w:val="TableText"/>
            </w:pPr>
          </w:p>
          <w:p w14:paraId="5A515B8E" w14:textId="77777777" w:rsidR="00DD4719" w:rsidRPr="003B51CE" w:rsidRDefault="00EA4A22" w:rsidP="00474D3C">
            <w:pPr>
              <w:pStyle w:val="TableText"/>
            </w:pPr>
            <w:r w:rsidRPr="003B51CE">
              <w:t>Maximising the benefits of the Basin Plan for all communities.</w:t>
            </w:r>
          </w:p>
          <w:p w14:paraId="7E323524" w14:textId="77777777" w:rsidR="00DD4719" w:rsidRPr="003B51CE" w:rsidRDefault="00DD4719" w:rsidP="00474D3C">
            <w:pPr>
              <w:pStyle w:val="TableText"/>
            </w:pPr>
          </w:p>
          <w:p w14:paraId="672DAF1F" w14:textId="77777777" w:rsidR="00DD4719" w:rsidRPr="003B51CE" w:rsidRDefault="00DD4719" w:rsidP="00474D3C">
            <w:pPr>
              <w:pStyle w:val="TableText"/>
            </w:pPr>
          </w:p>
          <w:p w14:paraId="5EA41AA4" w14:textId="77777777" w:rsidR="00DD4719" w:rsidRPr="003B51CE" w:rsidRDefault="00EA4A22" w:rsidP="00474D3C">
            <w:pPr>
              <w:pStyle w:val="TableText"/>
            </w:pPr>
            <w:r w:rsidRPr="003B51CE">
              <w:t>Lead the Murray-Darling Basin Ministerial Council in empowering communities to determin</w:t>
            </w:r>
            <w:r w:rsidRPr="003B51CE">
              <w:t xml:space="preserve">e their own future and to keep governments accountable.  </w:t>
            </w:r>
          </w:p>
          <w:p w14:paraId="589EF25F" w14:textId="77777777" w:rsidR="00DD4719" w:rsidRPr="003B51CE" w:rsidRDefault="00DD4719" w:rsidP="00474D3C">
            <w:pPr>
              <w:pStyle w:val="TableText"/>
            </w:pPr>
          </w:p>
          <w:p w14:paraId="64C51CD2" w14:textId="77777777" w:rsidR="00DD4719" w:rsidRPr="003B51CE" w:rsidRDefault="00EA4A22" w:rsidP="00474D3C">
            <w:pPr>
              <w:pStyle w:val="TableText"/>
            </w:pPr>
            <w:r w:rsidRPr="003B51CE">
              <w:t>Report 3 times a year on progress against the Package.</w:t>
            </w:r>
          </w:p>
          <w:p w14:paraId="78EF9D38" w14:textId="77777777" w:rsidR="00DD4719" w:rsidRPr="003B51CE" w:rsidRDefault="00DD4719" w:rsidP="00474D3C">
            <w:pPr>
              <w:pStyle w:val="TableText"/>
            </w:pPr>
          </w:p>
          <w:p w14:paraId="1B6F73FE" w14:textId="77777777" w:rsidR="00DD4719" w:rsidRPr="003B51CE" w:rsidRDefault="00EA4A22" w:rsidP="00474D3C">
            <w:pPr>
              <w:pStyle w:val="TableText"/>
            </w:pPr>
            <w:r w:rsidRPr="003B51CE">
              <w:lastRenderedPageBreak/>
              <w:t>Use the outcomes of the Sefton report to inform future work and decisions on implementing the Basin Plan.</w:t>
            </w:r>
          </w:p>
          <w:p w14:paraId="1DC19A7D" w14:textId="77777777" w:rsidR="00DD4719" w:rsidRPr="003B51CE" w:rsidRDefault="00DD4719" w:rsidP="00474D3C">
            <w:pPr>
              <w:pStyle w:val="TableText"/>
            </w:pPr>
          </w:p>
          <w:p w14:paraId="27505E44" w14:textId="77777777" w:rsidR="00DD4719" w:rsidRPr="003B51CE" w:rsidRDefault="00DD4719" w:rsidP="00474D3C">
            <w:pPr>
              <w:pStyle w:val="TableText"/>
            </w:pPr>
          </w:p>
          <w:p w14:paraId="513D1AAA" w14:textId="77777777" w:rsidR="00DD4719" w:rsidRPr="003B51CE" w:rsidRDefault="00EA4A22" w:rsidP="00474D3C">
            <w:pPr>
              <w:pStyle w:val="TableText"/>
            </w:pPr>
            <w:r w:rsidRPr="003B51CE">
              <w:t xml:space="preserve">Appointed Air Chief </w:t>
            </w:r>
            <w:r w:rsidRPr="003B51CE">
              <w:t>Marshal Sir Angus Houston AK, AFC (Ret’d) to provide strong and strategic leadership as Chair of the Murray–Darling Basin Authority.</w:t>
            </w:r>
          </w:p>
        </w:tc>
        <w:tc>
          <w:tcPr>
            <w:tcW w:w="508" w:type="pct"/>
            <w:tcMar>
              <w:left w:w="108" w:type="dxa"/>
              <w:right w:w="108" w:type="dxa"/>
            </w:tcMar>
          </w:tcPr>
          <w:p w14:paraId="3034BBEF" w14:textId="77777777" w:rsidR="00DD4719" w:rsidRPr="003B51CE" w:rsidRDefault="00EA4A22" w:rsidP="00474D3C">
            <w:pPr>
              <w:pStyle w:val="TableText"/>
            </w:pPr>
            <w:r w:rsidRPr="003B51CE">
              <w:lastRenderedPageBreak/>
              <w:t>Q4 2020</w:t>
            </w:r>
          </w:p>
          <w:p w14:paraId="721A80EF" w14:textId="77777777" w:rsidR="00DD4719" w:rsidRPr="003B51CE" w:rsidRDefault="00EA4A22" w:rsidP="00474D3C">
            <w:pPr>
              <w:pStyle w:val="TableText"/>
            </w:pPr>
            <w:r w:rsidRPr="003B51CE">
              <w:t>– ongoing</w:t>
            </w:r>
          </w:p>
          <w:p w14:paraId="7DD14B1B" w14:textId="77777777" w:rsidR="00DD4719" w:rsidRPr="003B51CE" w:rsidRDefault="00DD4719" w:rsidP="00474D3C">
            <w:pPr>
              <w:pStyle w:val="TableText"/>
            </w:pPr>
          </w:p>
          <w:p w14:paraId="613B356E" w14:textId="77777777" w:rsidR="00DD4719" w:rsidRPr="003B51CE" w:rsidRDefault="00DD4719" w:rsidP="00474D3C">
            <w:pPr>
              <w:pStyle w:val="TableText"/>
            </w:pPr>
          </w:p>
          <w:p w14:paraId="377DA915" w14:textId="77777777" w:rsidR="00DD4719" w:rsidRPr="003B51CE" w:rsidRDefault="00DD4719" w:rsidP="00474D3C">
            <w:pPr>
              <w:pStyle w:val="TableText"/>
            </w:pPr>
          </w:p>
          <w:p w14:paraId="6ACC6896" w14:textId="77777777" w:rsidR="00DD4719" w:rsidRPr="003B51CE" w:rsidRDefault="00EA4A22" w:rsidP="00474D3C">
            <w:pPr>
              <w:pStyle w:val="TableText"/>
            </w:pPr>
            <w:r w:rsidRPr="003B51CE">
              <w:t xml:space="preserve">Ongoing </w:t>
            </w:r>
          </w:p>
        </w:tc>
        <w:tc>
          <w:tcPr>
            <w:tcW w:w="2105" w:type="pct"/>
          </w:tcPr>
          <w:p w14:paraId="3ED53A27" w14:textId="77777777" w:rsidR="00DD4719" w:rsidRPr="003B51CE" w:rsidRDefault="00EA4A22" w:rsidP="00474D3C">
            <w:pPr>
              <w:pStyle w:val="TableText"/>
            </w:pPr>
            <w:r w:rsidRPr="003B51CE">
              <w:t>An inaugural joint Basin Officials Committee, Murray-Darling Basin Authority board and the Ba</w:t>
            </w:r>
            <w:r w:rsidRPr="003B51CE">
              <w:t xml:space="preserve">sin Community Committee meeting was held 21 October 2020 to deepen relationships and identify ways to work better for communities. </w:t>
            </w:r>
          </w:p>
          <w:p w14:paraId="1524C728" w14:textId="77777777" w:rsidR="00DD4719" w:rsidRPr="003B51CE" w:rsidRDefault="00DD4719" w:rsidP="00474D3C">
            <w:pPr>
              <w:pStyle w:val="TableText"/>
            </w:pPr>
          </w:p>
          <w:p w14:paraId="3EF90CF8" w14:textId="77777777" w:rsidR="00DD4719" w:rsidRPr="003B51CE" w:rsidRDefault="00EA4A22" w:rsidP="00474D3C">
            <w:pPr>
              <w:pStyle w:val="TableText"/>
            </w:pPr>
            <w:r w:rsidRPr="003B51CE">
              <w:t>The Department of Agriculture, Water and the Environment has established a new stakeholder function to support refocusing o</w:t>
            </w:r>
            <w:r w:rsidRPr="003B51CE">
              <w:t>ur business on building relationships with communities to improve water reform.</w:t>
            </w:r>
          </w:p>
          <w:p w14:paraId="73734BD9" w14:textId="77777777" w:rsidR="00DD4719" w:rsidRPr="003B51CE" w:rsidRDefault="00DD4719" w:rsidP="00474D3C">
            <w:pPr>
              <w:pStyle w:val="TableText"/>
            </w:pPr>
          </w:p>
          <w:p w14:paraId="2931C828" w14:textId="77777777" w:rsidR="00DD4719" w:rsidRPr="003B51CE" w:rsidRDefault="00EA4A22" w:rsidP="00474D3C">
            <w:pPr>
              <w:pStyle w:val="TableText"/>
            </w:pPr>
            <w:r>
              <w:t>On 27 November 2020 ministers agreed that implementation of the Communities Investment Package was a priority.</w:t>
            </w:r>
          </w:p>
          <w:p w14:paraId="75D877FA" w14:textId="77777777" w:rsidR="00DD4719" w:rsidRPr="003B51CE" w:rsidRDefault="00EA4A22" w:rsidP="00474D3C">
            <w:pPr>
              <w:pStyle w:val="TableText"/>
            </w:pPr>
            <w:r w:rsidRPr="003B51CE">
              <w:t xml:space="preserve">The first progress report has been delivered on time. </w:t>
            </w:r>
          </w:p>
          <w:p w14:paraId="0C7F9CAC" w14:textId="77777777" w:rsidR="00DD4719" w:rsidRPr="003B51CE" w:rsidRDefault="00DD4719" w:rsidP="00474D3C">
            <w:pPr>
              <w:pStyle w:val="TableText"/>
            </w:pPr>
          </w:p>
          <w:p w14:paraId="16AA26DD" w14:textId="77777777" w:rsidR="00DD4719" w:rsidRPr="003B51CE" w:rsidRDefault="00EA4A22" w:rsidP="00474D3C">
            <w:pPr>
              <w:pStyle w:val="TableText"/>
            </w:pPr>
            <w:r w:rsidRPr="003B51CE">
              <w:t>The Aust</w:t>
            </w:r>
            <w:r w:rsidRPr="003B51CE">
              <w:t xml:space="preserve">ralian Government response to the Sefton report was published on 2 October 2020. The report informed the development of the Investment </w:t>
            </w:r>
            <w:r w:rsidRPr="003B51CE">
              <w:lastRenderedPageBreak/>
              <w:t>Package and continues to be a key reference in the implementation of the Package.</w:t>
            </w:r>
          </w:p>
          <w:p w14:paraId="18A19E7D" w14:textId="77777777" w:rsidR="00DD4719" w:rsidRPr="003B51CE" w:rsidRDefault="00EA4A22" w:rsidP="00474D3C">
            <w:pPr>
              <w:pStyle w:val="TableText"/>
            </w:pPr>
            <w:r w:rsidRPr="003B51CE">
              <w:t>Sir Angus Houston continues to meet wit</w:t>
            </w:r>
            <w:r w:rsidRPr="003B51CE">
              <w:t>h a cross section of stakeholders virtually and in person.</w:t>
            </w:r>
          </w:p>
          <w:p w14:paraId="0B49EFB7" w14:textId="77777777" w:rsidR="00DD4719" w:rsidRPr="003B51CE" w:rsidRDefault="00EA4A22" w:rsidP="00474D3C">
            <w:pPr>
              <w:pStyle w:val="TableText"/>
            </w:pPr>
            <w:r w:rsidRPr="003B51CE">
              <w:t xml:space="preserve">On 11 and 12 March the MDBA held a Basin Climate Resilience Summit that brought together leaders from </w:t>
            </w:r>
            <w:proofErr w:type="gramStart"/>
            <w:r w:rsidRPr="003B51CE">
              <w:t>a number of</w:t>
            </w:r>
            <w:proofErr w:type="gramEnd"/>
            <w:r w:rsidRPr="003B51CE">
              <w:t xml:space="preserve"> fields to share climate adaptation knowledge and innovations to help communities an</w:t>
            </w:r>
            <w:r w:rsidRPr="003B51CE">
              <w:t>d the environment adjust to the impacts of climate change in the Murray–Darling Basin.</w:t>
            </w:r>
          </w:p>
        </w:tc>
      </w:tr>
      <w:tr w:rsidR="00567C49" w14:paraId="4D67A5FB" w14:textId="77777777" w:rsidTr="00474D3C">
        <w:tc>
          <w:tcPr>
            <w:tcW w:w="608" w:type="pct"/>
            <w:tcMar>
              <w:left w:w="108" w:type="dxa"/>
              <w:right w:w="108" w:type="dxa"/>
            </w:tcMar>
          </w:tcPr>
          <w:p w14:paraId="2FCD5EF7" w14:textId="77777777" w:rsidR="00DD4719" w:rsidRPr="003B51CE" w:rsidRDefault="00EA4A22" w:rsidP="00474D3C">
            <w:pPr>
              <w:pStyle w:val="TableText"/>
            </w:pPr>
            <w:bookmarkStart w:id="1" w:name="_Hlk66803836"/>
            <w:r w:rsidRPr="003B51CE">
              <w:lastRenderedPageBreak/>
              <w:t>Ensuring stronger compliance</w:t>
            </w:r>
          </w:p>
        </w:tc>
        <w:tc>
          <w:tcPr>
            <w:tcW w:w="1778" w:type="pct"/>
            <w:tcMar>
              <w:left w:w="108" w:type="dxa"/>
              <w:right w:w="108" w:type="dxa"/>
            </w:tcMar>
          </w:tcPr>
          <w:p w14:paraId="74C0E49F" w14:textId="77777777" w:rsidR="00DD4719" w:rsidRPr="003B51CE" w:rsidRDefault="00EA4A22" w:rsidP="00474D3C">
            <w:pPr>
              <w:pStyle w:val="TableText"/>
            </w:pPr>
            <w:r w:rsidRPr="003B51CE">
              <w:t xml:space="preserve">Establish a statutory and independent Inspector-General of Water Compliance. This will bring together the water compliance role of the </w:t>
            </w:r>
            <w:r w:rsidRPr="003B51CE">
              <w:t>Murray–Darling Basin Authority with the assurance role of the Interim Inspector-General of Murray–Darling Basin Water Resources.</w:t>
            </w:r>
          </w:p>
          <w:p w14:paraId="270F9F20" w14:textId="77777777" w:rsidR="00DD4719" w:rsidRPr="003B51CE" w:rsidRDefault="00DD4719" w:rsidP="00474D3C">
            <w:pPr>
              <w:pStyle w:val="TableText"/>
            </w:pPr>
          </w:p>
          <w:p w14:paraId="1D584FBD" w14:textId="77777777" w:rsidR="00DD4719" w:rsidRPr="003B51CE" w:rsidRDefault="00DD4719" w:rsidP="00474D3C">
            <w:pPr>
              <w:pStyle w:val="TableText"/>
            </w:pPr>
          </w:p>
          <w:p w14:paraId="5FF7D994" w14:textId="77777777" w:rsidR="00DD4719" w:rsidRPr="003B51CE" w:rsidRDefault="00EA4A22" w:rsidP="00474D3C">
            <w:pPr>
              <w:pStyle w:val="TableText"/>
            </w:pPr>
            <w:r w:rsidRPr="003B51CE">
              <w:t>Deliver $38.7 million to improve Commonwealth water compliance functions. This builds on the Commonwealth’s existing commitme</w:t>
            </w:r>
            <w:r w:rsidRPr="003B51CE">
              <w:t>nt of $60 million for improvements in water metering and remote sensing.</w:t>
            </w:r>
          </w:p>
        </w:tc>
        <w:tc>
          <w:tcPr>
            <w:tcW w:w="508" w:type="pct"/>
            <w:tcMar>
              <w:left w:w="108" w:type="dxa"/>
              <w:right w:w="108" w:type="dxa"/>
            </w:tcMar>
          </w:tcPr>
          <w:p w14:paraId="4262ED64" w14:textId="77777777" w:rsidR="00DD4719" w:rsidRPr="003B51CE" w:rsidRDefault="00EA4A22" w:rsidP="00474D3C">
            <w:pPr>
              <w:pStyle w:val="TableText"/>
            </w:pPr>
            <w:r w:rsidRPr="003B51CE">
              <w:t>Q3 2021</w:t>
            </w:r>
          </w:p>
          <w:p w14:paraId="6839DB02" w14:textId="77777777" w:rsidR="00DD4719" w:rsidRPr="003B51CE" w:rsidRDefault="00EA4A22" w:rsidP="00474D3C">
            <w:pPr>
              <w:pStyle w:val="TableText"/>
            </w:pPr>
            <w:r w:rsidRPr="003B51CE">
              <w:t>– ongoing</w:t>
            </w:r>
          </w:p>
          <w:p w14:paraId="0E93D916" w14:textId="77777777" w:rsidR="00DD4719" w:rsidRPr="003B51CE" w:rsidRDefault="00DD4719" w:rsidP="00474D3C">
            <w:pPr>
              <w:pStyle w:val="TableText"/>
            </w:pPr>
          </w:p>
        </w:tc>
        <w:tc>
          <w:tcPr>
            <w:tcW w:w="2105" w:type="pct"/>
          </w:tcPr>
          <w:p w14:paraId="58FBD00C" w14:textId="77777777" w:rsidR="00DD4719" w:rsidRPr="003B51CE" w:rsidRDefault="00EA4A22" w:rsidP="00474D3C">
            <w:pPr>
              <w:pStyle w:val="TableText"/>
            </w:pPr>
            <w:r w:rsidRPr="003B51CE">
              <w:t xml:space="preserve">Draft legislation to establish the statutory Inspector-General is being developed in consultation with Basin states and the Interim Inspector-General. </w:t>
            </w:r>
          </w:p>
          <w:p w14:paraId="4F6938E5" w14:textId="77777777" w:rsidR="00DD4719" w:rsidRPr="003B51CE" w:rsidRDefault="00EA4A22" w:rsidP="00474D3C">
            <w:pPr>
              <w:pStyle w:val="TableText"/>
            </w:pPr>
            <w:r w:rsidRPr="003B51CE">
              <w:t>An interim I</w:t>
            </w:r>
            <w:r w:rsidRPr="003B51CE">
              <w:t>nspector</w:t>
            </w:r>
            <w:r w:rsidR="00261002">
              <w:t>-</w:t>
            </w:r>
            <w:r w:rsidRPr="003B51CE">
              <w:t>General of Water Compliance, Mr Troy Grant, was appointed on 16 December 2020 to strengthen accountability and compliance with the Water Act and the Basin Plan and building greater confidence in the integrity of water management.</w:t>
            </w:r>
          </w:p>
          <w:p w14:paraId="12B88F8C" w14:textId="77777777" w:rsidR="00DD4719" w:rsidRPr="003B51CE" w:rsidRDefault="00EA4A22" w:rsidP="00474D3C">
            <w:pPr>
              <w:pStyle w:val="TableText"/>
            </w:pPr>
            <w:r w:rsidRPr="003B51CE">
              <w:t>Work to transitio</w:t>
            </w:r>
            <w:r w:rsidRPr="003B51CE">
              <w:t>n MDBA compliance functions into the Office of the Inspector</w:t>
            </w:r>
            <w:r w:rsidR="00261002">
              <w:t>-</w:t>
            </w:r>
            <w:r w:rsidRPr="003B51CE">
              <w:t xml:space="preserve">General of Water Compliance is underway. </w:t>
            </w:r>
          </w:p>
        </w:tc>
      </w:tr>
      <w:bookmarkEnd w:id="1"/>
      <w:tr w:rsidR="00567C49" w14:paraId="3DC8A77E" w14:textId="77777777" w:rsidTr="00474D3C">
        <w:tc>
          <w:tcPr>
            <w:tcW w:w="608" w:type="pct"/>
            <w:tcMar>
              <w:left w:w="108" w:type="dxa"/>
              <w:right w:w="108" w:type="dxa"/>
            </w:tcMar>
          </w:tcPr>
          <w:p w14:paraId="1C5769E6" w14:textId="77777777" w:rsidR="00DD4719" w:rsidRPr="003B51CE" w:rsidRDefault="00EA4A22" w:rsidP="00474D3C">
            <w:pPr>
              <w:pStyle w:val="TableText"/>
            </w:pPr>
            <w:r w:rsidRPr="003B51CE">
              <w:t>Providing better information</w:t>
            </w:r>
          </w:p>
        </w:tc>
        <w:tc>
          <w:tcPr>
            <w:tcW w:w="1778" w:type="pct"/>
            <w:tcMar>
              <w:left w:w="108" w:type="dxa"/>
              <w:right w:w="108" w:type="dxa"/>
            </w:tcMar>
          </w:tcPr>
          <w:p w14:paraId="60865C9E" w14:textId="77777777" w:rsidR="00DD4719" w:rsidRPr="003B51CE" w:rsidRDefault="00EA4A22" w:rsidP="00474D3C">
            <w:pPr>
              <w:pStyle w:val="TableText"/>
            </w:pPr>
            <w:r w:rsidRPr="003B51CE">
              <w:t>Bring together water information from across governments in a more accessible format for water users and communities.</w:t>
            </w:r>
          </w:p>
          <w:p w14:paraId="1D9BFEDB" w14:textId="77777777" w:rsidR="00DD4719" w:rsidRPr="003B51CE" w:rsidRDefault="00EA4A22" w:rsidP="00474D3C">
            <w:pPr>
              <w:pStyle w:val="TableText"/>
            </w:pPr>
            <w:r w:rsidRPr="003B51CE">
              <w:t>The d</w:t>
            </w:r>
            <w:r w:rsidRPr="003B51CE">
              <w:t xml:space="preserve">etailed platform will provide a one-stop shop for water storage, in-stream </w:t>
            </w:r>
            <w:proofErr w:type="gramStart"/>
            <w:r w:rsidRPr="003B51CE">
              <w:t>flows</w:t>
            </w:r>
            <w:proofErr w:type="gramEnd"/>
            <w:r w:rsidRPr="003B51CE">
              <w:t xml:space="preserve"> and trade information.</w:t>
            </w:r>
          </w:p>
          <w:p w14:paraId="048CC8CA" w14:textId="77777777" w:rsidR="00DD4719" w:rsidRPr="003B51CE" w:rsidRDefault="00EA4A22" w:rsidP="00474D3C">
            <w:pPr>
              <w:pStyle w:val="TableText"/>
            </w:pPr>
            <w:r w:rsidRPr="003B51CE">
              <w:t>This builds on the existing investment of $4.9 million to the Bureau of Meteorology to improve real-time reporting on water flows.</w:t>
            </w:r>
          </w:p>
        </w:tc>
        <w:tc>
          <w:tcPr>
            <w:tcW w:w="508" w:type="pct"/>
            <w:tcMar>
              <w:left w:w="108" w:type="dxa"/>
              <w:right w:w="108" w:type="dxa"/>
            </w:tcMar>
          </w:tcPr>
          <w:p w14:paraId="27FFADD3" w14:textId="77777777" w:rsidR="00DD4719" w:rsidRPr="003B51CE" w:rsidRDefault="00EA4A22" w:rsidP="00474D3C">
            <w:pPr>
              <w:pStyle w:val="TableText"/>
            </w:pPr>
            <w:r w:rsidRPr="003B51CE">
              <w:t>Q3 2021</w:t>
            </w:r>
          </w:p>
        </w:tc>
        <w:tc>
          <w:tcPr>
            <w:tcW w:w="2105" w:type="pct"/>
          </w:tcPr>
          <w:p w14:paraId="16BC3339" w14:textId="77777777" w:rsidR="00DD4719" w:rsidRPr="003B51CE" w:rsidRDefault="00EA4A22" w:rsidP="00474D3C">
            <w:pPr>
              <w:pStyle w:val="TableText"/>
            </w:pPr>
            <w:r w:rsidRPr="003B51CE">
              <w:t xml:space="preserve">A first </w:t>
            </w:r>
            <w:r w:rsidRPr="003B51CE">
              <w:t xml:space="preserve">release of an interim interface is due in the middle of the year. User needs analysis is now </w:t>
            </w:r>
            <w:proofErr w:type="gramStart"/>
            <w:r w:rsidRPr="003B51CE">
              <w:t>complete, and</w:t>
            </w:r>
            <w:proofErr w:type="gramEnd"/>
            <w:r w:rsidRPr="003B51CE">
              <w:t xml:space="preserve"> is informing the staging and design of the single source platform.</w:t>
            </w:r>
          </w:p>
          <w:p w14:paraId="4D05D4B1" w14:textId="77777777" w:rsidR="005A50F0" w:rsidRPr="003B51CE" w:rsidRDefault="005A50F0" w:rsidP="00474D3C">
            <w:pPr>
              <w:pStyle w:val="TableText"/>
            </w:pPr>
          </w:p>
          <w:p w14:paraId="73BD72F9" w14:textId="77777777" w:rsidR="005A50F0" w:rsidRPr="003B51CE" w:rsidRDefault="005A50F0" w:rsidP="00474D3C">
            <w:pPr>
              <w:pStyle w:val="TableText"/>
            </w:pPr>
          </w:p>
          <w:p w14:paraId="45F0B125" w14:textId="77777777" w:rsidR="005A50F0" w:rsidRPr="003B51CE" w:rsidRDefault="00EA4A22" w:rsidP="00474D3C">
            <w:pPr>
              <w:pStyle w:val="TableText"/>
            </w:pPr>
            <w:r w:rsidRPr="003B51CE">
              <w:t>User needs analysis is complete.</w:t>
            </w:r>
          </w:p>
        </w:tc>
      </w:tr>
      <w:tr w:rsidR="00567C49" w14:paraId="29193615" w14:textId="77777777" w:rsidTr="00474D3C">
        <w:tc>
          <w:tcPr>
            <w:tcW w:w="608" w:type="pct"/>
            <w:tcMar>
              <w:left w:w="108" w:type="dxa"/>
              <w:right w:w="108" w:type="dxa"/>
            </w:tcMar>
          </w:tcPr>
          <w:p w14:paraId="55CE5873" w14:textId="77777777" w:rsidR="00DD4719" w:rsidRPr="003B51CE" w:rsidRDefault="00EA4A22" w:rsidP="00474D3C">
            <w:pPr>
              <w:pStyle w:val="TableText"/>
              <w:rPr>
                <w:lang w:val="en-US"/>
              </w:rPr>
            </w:pPr>
            <w:r w:rsidRPr="003B51CE">
              <w:t>Better monitoring and reporting of social, eco</w:t>
            </w:r>
            <w:r w:rsidRPr="003B51CE">
              <w:t>nomic and environment conditions</w:t>
            </w:r>
          </w:p>
        </w:tc>
        <w:tc>
          <w:tcPr>
            <w:tcW w:w="1778" w:type="pct"/>
            <w:tcMar>
              <w:left w:w="108" w:type="dxa"/>
              <w:right w:w="108" w:type="dxa"/>
            </w:tcMar>
          </w:tcPr>
          <w:p w14:paraId="68241F26" w14:textId="77777777" w:rsidR="00DD4719" w:rsidRPr="003B51CE" w:rsidRDefault="00EA4A22" w:rsidP="00474D3C">
            <w:pPr>
              <w:pStyle w:val="CommentText"/>
              <w:spacing w:after="0"/>
              <w:rPr>
                <w:sz w:val="18"/>
                <w:szCs w:val="22"/>
              </w:rPr>
            </w:pPr>
            <w:r w:rsidRPr="003B51CE">
              <w:rPr>
                <w:sz w:val="18"/>
                <w:szCs w:val="22"/>
              </w:rPr>
              <w:t xml:space="preserve">Deliver $7.5 million to monitor social, </w:t>
            </w:r>
            <w:proofErr w:type="gramStart"/>
            <w:r w:rsidRPr="003B51CE">
              <w:rPr>
                <w:sz w:val="18"/>
                <w:szCs w:val="22"/>
              </w:rPr>
              <w:t>economic</w:t>
            </w:r>
            <w:proofErr w:type="gramEnd"/>
            <w:r w:rsidRPr="003B51CE">
              <w:rPr>
                <w:sz w:val="18"/>
                <w:szCs w:val="22"/>
              </w:rPr>
              <w:t xml:space="preserve"> and environmental conditions in the Basin.</w:t>
            </w:r>
          </w:p>
          <w:p w14:paraId="4CCBD9CF" w14:textId="77777777" w:rsidR="00DD4719" w:rsidRPr="003B51CE" w:rsidRDefault="00DD4719" w:rsidP="00474D3C">
            <w:pPr>
              <w:pStyle w:val="TableText"/>
            </w:pPr>
          </w:p>
          <w:p w14:paraId="436FAE58" w14:textId="77777777" w:rsidR="00DD4719" w:rsidRPr="003B51CE" w:rsidRDefault="00DD4719" w:rsidP="00474D3C">
            <w:pPr>
              <w:pStyle w:val="TableText"/>
            </w:pPr>
          </w:p>
          <w:p w14:paraId="2E803F23" w14:textId="77777777" w:rsidR="00DD4719" w:rsidRPr="003B51CE" w:rsidRDefault="00EA4A22" w:rsidP="00474D3C">
            <w:pPr>
              <w:pStyle w:val="TableText"/>
            </w:pPr>
            <w:r w:rsidRPr="003B51CE">
              <w:t xml:space="preserve">This action builds on a $20 million investment in Basin-specific research so river management can be based on the best available </w:t>
            </w:r>
            <w:r w:rsidRPr="003B51CE">
              <w:t>science.</w:t>
            </w:r>
          </w:p>
          <w:p w14:paraId="0902DB0A" w14:textId="77777777" w:rsidR="00DD4719" w:rsidRPr="003B51CE" w:rsidRDefault="00DD4719" w:rsidP="00474D3C">
            <w:pPr>
              <w:pStyle w:val="TableText"/>
            </w:pPr>
          </w:p>
        </w:tc>
        <w:tc>
          <w:tcPr>
            <w:tcW w:w="508" w:type="pct"/>
            <w:tcMar>
              <w:left w:w="108" w:type="dxa"/>
              <w:right w:w="108" w:type="dxa"/>
            </w:tcMar>
          </w:tcPr>
          <w:p w14:paraId="4D99C062" w14:textId="77777777" w:rsidR="00DD4719" w:rsidRDefault="00EA4A22" w:rsidP="00474D3C">
            <w:pPr>
              <w:pStyle w:val="TableText"/>
            </w:pPr>
            <w:r w:rsidRPr="003B51CE">
              <w:t>Q3 2021</w:t>
            </w:r>
          </w:p>
          <w:p w14:paraId="1E7660D2" w14:textId="77777777" w:rsidR="00261002" w:rsidRPr="003B51CE" w:rsidRDefault="00EA4A22" w:rsidP="00261002">
            <w:pPr>
              <w:pStyle w:val="TableText"/>
            </w:pPr>
            <w:r w:rsidRPr="003B51CE">
              <w:t>– establish</w:t>
            </w:r>
          </w:p>
          <w:p w14:paraId="3E6D1D60" w14:textId="77777777" w:rsidR="00261002" w:rsidRPr="003B51CE" w:rsidRDefault="00261002" w:rsidP="00474D3C">
            <w:pPr>
              <w:pStyle w:val="TableText"/>
            </w:pPr>
          </w:p>
        </w:tc>
        <w:tc>
          <w:tcPr>
            <w:tcW w:w="2105" w:type="pct"/>
          </w:tcPr>
          <w:p w14:paraId="7B0CB17B" w14:textId="77777777" w:rsidR="00DD4719" w:rsidRPr="003B51CE" w:rsidRDefault="00EA4A22" w:rsidP="00474D3C">
            <w:pPr>
              <w:pStyle w:val="TableText"/>
            </w:pPr>
            <w:r w:rsidRPr="003B51CE">
              <w:t xml:space="preserve">Work to establish the priority areas for monitoring social, </w:t>
            </w:r>
            <w:proofErr w:type="gramStart"/>
            <w:r w:rsidRPr="003B51CE">
              <w:t>economic</w:t>
            </w:r>
            <w:proofErr w:type="gramEnd"/>
            <w:r w:rsidRPr="003B51CE">
              <w:t xml:space="preserve"> and environmental conditions in the Basin is underway. A team of expert consultants has been engaged to develop an integrated monitoring and </w:t>
            </w:r>
            <w:r w:rsidRPr="003B51CE">
              <w:t>evaluation program.</w:t>
            </w:r>
          </w:p>
          <w:p w14:paraId="3101B212" w14:textId="77777777" w:rsidR="00DD4719" w:rsidRPr="003B51CE" w:rsidRDefault="00EA4A22" w:rsidP="00474D3C">
            <w:pPr>
              <w:pStyle w:val="TableText"/>
            </w:pPr>
            <w:r w:rsidRPr="003B51CE">
              <w:t>A panel to oversee the $20 million Murray-Darling Water and Environment Research Program has been established by the M</w:t>
            </w:r>
            <w:r>
              <w:t>urray-Darling Basin Authority</w:t>
            </w:r>
            <w:r w:rsidRPr="003B51CE">
              <w:t xml:space="preserve">. Two consortia have been selected through an open tender process – one led by the CSIRO </w:t>
            </w:r>
            <w:r w:rsidRPr="003B51CE">
              <w:t>and the other led by La Trobe University.</w:t>
            </w:r>
          </w:p>
        </w:tc>
      </w:tr>
    </w:tbl>
    <w:p w14:paraId="473C796D" w14:textId="77777777" w:rsidR="00C43C4F" w:rsidRPr="003B51CE" w:rsidRDefault="00C43C4F" w:rsidP="00C43C4F"/>
    <w:p w14:paraId="760B3478" w14:textId="77777777" w:rsidR="00AA7366" w:rsidRPr="003B51CE" w:rsidRDefault="00EA4A22" w:rsidP="00AA7366">
      <w:pPr>
        <w:rPr>
          <w:rFonts w:ascii="Calibri" w:eastAsiaTheme="minorEastAsia" w:hAnsi="Calibri"/>
          <w:bCs/>
          <w:color w:val="000000"/>
          <w:sz w:val="56"/>
          <w:szCs w:val="28"/>
          <w:lang w:eastAsia="ja-JP"/>
        </w:rPr>
      </w:pPr>
      <w:r w:rsidRPr="003B51CE">
        <w:rPr>
          <w:rFonts w:ascii="Calibri" w:eastAsiaTheme="minorEastAsia" w:hAnsi="Calibri"/>
          <w:bCs/>
          <w:color w:val="000000"/>
          <w:sz w:val="56"/>
          <w:szCs w:val="28"/>
          <w:lang w:eastAsia="ja-JP"/>
        </w:rPr>
        <w:lastRenderedPageBreak/>
        <w:t>Improving implementation of the Basin Plan</w:t>
      </w:r>
    </w:p>
    <w:p w14:paraId="26E8D2AF" w14:textId="77777777" w:rsidR="00AA7366" w:rsidRPr="003B51CE" w:rsidRDefault="00EA4A22" w:rsidP="00AA7366">
      <w:pPr>
        <w:spacing w:after="120" w:line="240" w:lineRule="auto"/>
        <w:rPr>
          <w:rFonts w:cstheme="minorHAnsi"/>
        </w:rPr>
      </w:pPr>
      <w:r w:rsidRPr="003B51CE">
        <w:rPr>
          <w:rFonts w:cstheme="minorHAnsi"/>
        </w:rPr>
        <w:t xml:space="preserve">The Australian Government has put an end to water buybacks and has shifted the focus of water recovery to off-farm projects, to avoid any impacts on farmer’s water </w:t>
      </w:r>
      <w:r w:rsidRPr="003B51CE">
        <w:rPr>
          <w:rFonts w:cstheme="minorHAnsi"/>
        </w:rPr>
        <w:t>licenses.</w:t>
      </w:r>
    </w:p>
    <w:p w14:paraId="4CE75D6A" w14:textId="77777777" w:rsidR="00BD7E65" w:rsidRPr="003B51CE" w:rsidRDefault="00EA4A22" w:rsidP="00022E4B">
      <w:pPr>
        <w:spacing w:after="120" w:line="240" w:lineRule="auto"/>
        <w:rPr>
          <w:rFonts w:cstheme="minorHAnsi"/>
        </w:rPr>
      </w:pPr>
      <w:r w:rsidRPr="003B51CE">
        <w:rPr>
          <w:rFonts w:cstheme="minorHAnsi"/>
        </w:rPr>
        <w:t>The Australian Government has closed the Water Efficiency Program and replaced it with a new Off-farm Water Efficiency program to recover water off-farm for enhanced environmental outcomes as part of Murray–Darling Basin Plan implementation.</w:t>
      </w:r>
    </w:p>
    <w:p w14:paraId="62F77D2E" w14:textId="77777777" w:rsidR="00AA7366" w:rsidRPr="003B51CE" w:rsidRDefault="00EA4A22" w:rsidP="00AA7366">
      <w:pPr>
        <w:pStyle w:val="subdots"/>
        <w:numPr>
          <w:ilvl w:val="0"/>
          <w:numId w:val="0"/>
        </w:numPr>
        <w:rPr>
          <w:rFonts w:ascii="Cambria" w:hAnsi="Cambria"/>
          <w:lang w:eastAsia="en-US"/>
        </w:rPr>
      </w:pPr>
      <w:r w:rsidRPr="003B51CE">
        <w:rPr>
          <w:rFonts w:ascii="Cambria" w:hAnsi="Cambria"/>
          <w:lang w:eastAsia="en-US"/>
        </w:rPr>
        <w:t>This</w:t>
      </w:r>
      <w:r w:rsidRPr="003B51CE">
        <w:rPr>
          <w:rFonts w:ascii="Cambria" w:hAnsi="Cambria"/>
          <w:lang w:eastAsia="en-US"/>
        </w:rPr>
        <w:t xml:space="preserve"> delivers on the Australian Government’s commitment to focus efforts on off-farm water efficiency rather than on-farm. </w:t>
      </w:r>
    </w:p>
    <w:p w14:paraId="4B8A271A" w14:textId="77777777" w:rsidR="00AA7366" w:rsidRPr="003B51CE" w:rsidRDefault="00EA4A22" w:rsidP="00AA7366">
      <w:pPr>
        <w:spacing w:after="120" w:line="240" w:lineRule="auto"/>
        <w:rPr>
          <w:rFonts w:cstheme="minorHAnsi"/>
        </w:rPr>
      </w:pPr>
      <w:r w:rsidRPr="003B51CE">
        <w:rPr>
          <w:rFonts w:cstheme="minorHAnsi"/>
        </w:rPr>
        <w:t>An example of the potential of the new off-farm focus is the $177.5 million investment to modernize and upgrade ageing off-farm water in</w:t>
      </w:r>
      <w:r w:rsidRPr="003B51CE">
        <w:rPr>
          <w:rFonts w:cstheme="minorHAnsi"/>
        </w:rPr>
        <w:t>frastructure in the Goulburn-Murray Irrigation district in Victoria to save 15.9 GL. This is a demonstration of the sort of projects that will provide significant economic stimulus for local and regional communities by creating hundreds of fulltime jobs du</w:t>
      </w:r>
      <w:r w:rsidRPr="003B51CE">
        <w:rPr>
          <w:rFonts w:cstheme="minorHAnsi"/>
        </w:rPr>
        <w:t>ring the construction phase while also delivering significant environmental outcomes.</w:t>
      </w:r>
    </w:p>
    <w:p w14:paraId="0E0ADEAC" w14:textId="77777777" w:rsidR="00AA7366" w:rsidRPr="003B51CE" w:rsidRDefault="00EA4A22" w:rsidP="00AA7366">
      <w:pPr>
        <w:pStyle w:val="Heading3"/>
        <w:numPr>
          <w:ilvl w:val="0"/>
          <w:numId w:val="0"/>
        </w:numPr>
        <w:ind w:left="964" w:hanging="964"/>
        <w:rPr>
          <w:lang w:val="en-US"/>
        </w:rPr>
      </w:pPr>
      <w:bookmarkStart w:id="2" w:name="_Toc49258982"/>
      <w:r w:rsidRPr="003B51CE">
        <w:rPr>
          <w:lang w:val="en-US"/>
        </w:rPr>
        <w:t>Improving implementation of the Basin Plan</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077"/>
        <w:gridCol w:w="4435"/>
        <w:gridCol w:w="2076"/>
        <w:gridCol w:w="5404"/>
      </w:tblGrid>
      <w:tr w:rsidR="00567C49" w14:paraId="5237F416" w14:textId="77777777" w:rsidTr="00474D3C">
        <w:trPr>
          <w:cantSplit/>
          <w:tblHeader/>
        </w:trPr>
        <w:tc>
          <w:tcPr>
            <w:tcW w:w="742" w:type="pct"/>
            <w:tcMar>
              <w:left w:w="108" w:type="dxa"/>
              <w:right w:w="108" w:type="dxa"/>
            </w:tcMar>
          </w:tcPr>
          <w:p w14:paraId="520D383C" w14:textId="77777777" w:rsidR="00AA7366" w:rsidRPr="003B51CE" w:rsidRDefault="00EA4A22" w:rsidP="00474D3C">
            <w:pPr>
              <w:pStyle w:val="TableHeading"/>
            </w:pPr>
            <w:r w:rsidRPr="003B51CE">
              <w:t>What we are doing</w:t>
            </w:r>
          </w:p>
        </w:tc>
        <w:tc>
          <w:tcPr>
            <w:tcW w:w="1585" w:type="pct"/>
            <w:tcMar>
              <w:left w:w="108" w:type="dxa"/>
              <w:right w:w="108" w:type="dxa"/>
            </w:tcMar>
          </w:tcPr>
          <w:p w14:paraId="60334823" w14:textId="77777777" w:rsidR="00AA7366" w:rsidRPr="003B51CE" w:rsidRDefault="00EA4A22" w:rsidP="00474D3C">
            <w:pPr>
              <w:pStyle w:val="TableHeading"/>
            </w:pPr>
            <w:r w:rsidRPr="003B51CE">
              <w:t>How we will do it</w:t>
            </w:r>
          </w:p>
        </w:tc>
        <w:tc>
          <w:tcPr>
            <w:tcW w:w="742" w:type="pct"/>
            <w:tcMar>
              <w:left w:w="108" w:type="dxa"/>
              <w:right w:w="108" w:type="dxa"/>
            </w:tcMar>
          </w:tcPr>
          <w:p w14:paraId="2A634799" w14:textId="77777777" w:rsidR="00AA7366" w:rsidRPr="003B51CE" w:rsidRDefault="00EA4A22" w:rsidP="00474D3C">
            <w:pPr>
              <w:pStyle w:val="TableHeading"/>
            </w:pPr>
            <w:r w:rsidRPr="003B51CE">
              <w:t>By when</w:t>
            </w:r>
          </w:p>
        </w:tc>
        <w:tc>
          <w:tcPr>
            <w:tcW w:w="1931" w:type="pct"/>
          </w:tcPr>
          <w:p w14:paraId="3DBE8D1A" w14:textId="77777777" w:rsidR="00AA7366" w:rsidRPr="003B51CE" w:rsidRDefault="00EA4A22" w:rsidP="00474D3C">
            <w:pPr>
              <w:pStyle w:val="TableHeading"/>
            </w:pPr>
            <w:r w:rsidRPr="003B51CE">
              <w:t>What have we done</w:t>
            </w:r>
          </w:p>
        </w:tc>
      </w:tr>
      <w:tr w:rsidR="00567C49" w14:paraId="4BAAB6FF" w14:textId="77777777" w:rsidTr="00474D3C">
        <w:tc>
          <w:tcPr>
            <w:tcW w:w="742" w:type="pct"/>
            <w:tcMar>
              <w:left w:w="108" w:type="dxa"/>
              <w:right w:w="108" w:type="dxa"/>
            </w:tcMar>
          </w:tcPr>
          <w:p w14:paraId="479BE16F" w14:textId="77777777" w:rsidR="00AA7366" w:rsidRPr="003B51CE" w:rsidRDefault="00EA4A22" w:rsidP="00474D3C">
            <w:pPr>
              <w:pStyle w:val="TableText"/>
            </w:pPr>
            <w:r w:rsidRPr="003B51CE">
              <w:rPr>
                <w:lang w:val="en-US"/>
              </w:rPr>
              <w:t xml:space="preserve">Designing and delivering water programs in </w:t>
            </w:r>
            <w:r w:rsidRPr="003B51CE">
              <w:rPr>
                <w:lang w:val="en-US"/>
              </w:rPr>
              <w:t>partnership with communities</w:t>
            </w:r>
          </w:p>
        </w:tc>
        <w:tc>
          <w:tcPr>
            <w:tcW w:w="1585" w:type="pct"/>
            <w:tcMar>
              <w:left w:w="108" w:type="dxa"/>
              <w:right w:w="108" w:type="dxa"/>
            </w:tcMar>
          </w:tcPr>
          <w:p w14:paraId="42243950" w14:textId="77777777" w:rsidR="00AA7366" w:rsidRPr="003B51CE" w:rsidRDefault="00EA4A22" w:rsidP="00474D3C">
            <w:pPr>
              <w:pStyle w:val="TableText"/>
            </w:pPr>
            <w:r w:rsidRPr="003B51CE">
              <w:t xml:space="preserve">More effectively seek community input and demonstrate how that feedback has been used in the design, </w:t>
            </w:r>
            <w:proofErr w:type="gramStart"/>
            <w:r w:rsidRPr="003B51CE">
              <w:t>delivery</w:t>
            </w:r>
            <w:proofErr w:type="gramEnd"/>
            <w:r w:rsidRPr="003B51CE">
              <w:t xml:space="preserve"> and evaluation of programs.</w:t>
            </w:r>
          </w:p>
          <w:p w14:paraId="02B791AD" w14:textId="77777777" w:rsidR="00AA7366" w:rsidRPr="003B51CE" w:rsidRDefault="00AA7366" w:rsidP="00474D3C">
            <w:pPr>
              <w:pStyle w:val="TableText"/>
            </w:pPr>
          </w:p>
        </w:tc>
        <w:tc>
          <w:tcPr>
            <w:tcW w:w="742" w:type="pct"/>
            <w:tcMar>
              <w:left w:w="108" w:type="dxa"/>
              <w:right w:w="108" w:type="dxa"/>
            </w:tcMar>
          </w:tcPr>
          <w:p w14:paraId="575C44A1" w14:textId="77777777" w:rsidR="00AA7366" w:rsidRPr="003B51CE" w:rsidRDefault="00EA4A22" w:rsidP="00474D3C">
            <w:pPr>
              <w:pStyle w:val="TableText"/>
            </w:pPr>
            <w:r w:rsidRPr="003B51CE">
              <w:t xml:space="preserve">From Q4 2020 </w:t>
            </w:r>
          </w:p>
          <w:p w14:paraId="09C1C9D5" w14:textId="77777777" w:rsidR="00AA7366" w:rsidRPr="003B51CE" w:rsidRDefault="00EA4A22" w:rsidP="00474D3C">
            <w:pPr>
              <w:pStyle w:val="TableText"/>
            </w:pPr>
            <w:r w:rsidRPr="003B51CE">
              <w:t xml:space="preserve">– ongoing </w:t>
            </w:r>
          </w:p>
        </w:tc>
        <w:tc>
          <w:tcPr>
            <w:tcW w:w="1931" w:type="pct"/>
          </w:tcPr>
          <w:p w14:paraId="6A68A5BA" w14:textId="77777777" w:rsidR="00AA7366" w:rsidRPr="003B51CE" w:rsidRDefault="00EA4A22" w:rsidP="00474D3C">
            <w:pPr>
              <w:pStyle w:val="TableText"/>
            </w:pPr>
            <w:r w:rsidRPr="003B51CE">
              <w:t xml:space="preserve">The Department has sought community views concerning the </w:t>
            </w:r>
            <w:r w:rsidRPr="003B51CE">
              <w:t>intended outcomes and eligibility requirements of the new Healthy Rivers Grants and the Economic Development Program’s third round. The feedback received was considered and publicly reported on to show how it was used to inform the design and delivery of t</w:t>
            </w:r>
            <w:r w:rsidRPr="003B51CE">
              <w:t>he programs.</w:t>
            </w:r>
          </w:p>
        </w:tc>
      </w:tr>
      <w:tr w:rsidR="00567C49" w14:paraId="6A202BD8" w14:textId="77777777" w:rsidTr="00474D3C">
        <w:tc>
          <w:tcPr>
            <w:tcW w:w="742" w:type="pct"/>
            <w:tcMar>
              <w:left w:w="108" w:type="dxa"/>
              <w:right w:w="108" w:type="dxa"/>
            </w:tcMar>
          </w:tcPr>
          <w:p w14:paraId="6F3B3A16" w14:textId="77777777" w:rsidR="00AA7366" w:rsidRPr="003B51CE" w:rsidRDefault="00EA4A22" w:rsidP="00474D3C">
            <w:pPr>
              <w:pStyle w:val="TableText"/>
            </w:pPr>
            <w:r w:rsidRPr="003B51CE">
              <w:t>Investing in off-farm water efficiency projects to increase water recovery</w:t>
            </w:r>
          </w:p>
        </w:tc>
        <w:tc>
          <w:tcPr>
            <w:tcW w:w="1585" w:type="pct"/>
            <w:tcMar>
              <w:left w:w="108" w:type="dxa"/>
              <w:right w:w="108" w:type="dxa"/>
            </w:tcMar>
          </w:tcPr>
          <w:p w14:paraId="4E305BF2" w14:textId="77777777" w:rsidR="00AA7366" w:rsidRPr="003B51CE" w:rsidRDefault="00EA4A22" w:rsidP="00474D3C">
            <w:pPr>
              <w:pStyle w:val="TableText"/>
            </w:pPr>
            <w:r w:rsidRPr="003B51CE">
              <w:t>Shift the focus away from on-farm water efficiencies and buybacks.</w:t>
            </w:r>
          </w:p>
          <w:p w14:paraId="304439CB" w14:textId="77777777" w:rsidR="00AA7366" w:rsidRPr="003B51CE" w:rsidRDefault="00EA4A22" w:rsidP="00474D3C">
            <w:pPr>
              <w:pStyle w:val="TableText"/>
            </w:pPr>
            <w:r w:rsidRPr="003B51CE">
              <w:t xml:space="preserve">Work with the states and irrigation networks to identify projects to generate water savings through off-farm infrastructure. </w:t>
            </w:r>
          </w:p>
          <w:p w14:paraId="4469E348" w14:textId="77777777" w:rsidR="00AA7366" w:rsidRPr="003B51CE" w:rsidRDefault="00AA7366" w:rsidP="00474D3C">
            <w:pPr>
              <w:pStyle w:val="TableText"/>
            </w:pPr>
          </w:p>
        </w:tc>
        <w:tc>
          <w:tcPr>
            <w:tcW w:w="742" w:type="pct"/>
            <w:tcMar>
              <w:left w:w="108" w:type="dxa"/>
              <w:right w:w="108" w:type="dxa"/>
            </w:tcMar>
          </w:tcPr>
          <w:p w14:paraId="2D412663" w14:textId="77777777" w:rsidR="00AA7366" w:rsidRPr="003B51CE" w:rsidRDefault="00EA4A22" w:rsidP="00474D3C">
            <w:pPr>
              <w:pStyle w:val="TableText"/>
            </w:pPr>
            <w:r w:rsidRPr="003B51CE">
              <w:t>Q4 2020</w:t>
            </w:r>
          </w:p>
          <w:p w14:paraId="376A66A7" w14:textId="77777777" w:rsidR="00AA7366" w:rsidRPr="003B51CE" w:rsidRDefault="00EA4A22" w:rsidP="00474D3C">
            <w:pPr>
              <w:pStyle w:val="TableText"/>
            </w:pPr>
            <w:r w:rsidRPr="003B51CE">
              <w:t>– ongoing</w:t>
            </w:r>
          </w:p>
        </w:tc>
        <w:tc>
          <w:tcPr>
            <w:tcW w:w="1931" w:type="pct"/>
          </w:tcPr>
          <w:tbl>
            <w:tblPr>
              <w:tblW w:w="0" w:type="auto"/>
              <w:tblBorders>
                <w:top w:val="nil"/>
                <w:left w:val="nil"/>
                <w:bottom w:val="nil"/>
                <w:right w:val="nil"/>
              </w:tblBorders>
              <w:tblLook w:val="0000" w:firstRow="0" w:lastRow="0" w:firstColumn="0" w:lastColumn="0" w:noHBand="0" w:noVBand="0"/>
            </w:tblPr>
            <w:tblGrid>
              <w:gridCol w:w="5324"/>
            </w:tblGrid>
            <w:tr w:rsidR="00567C49" w14:paraId="277EF0DC" w14:textId="77777777">
              <w:trPr>
                <w:trHeight w:val="560"/>
              </w:trPr>
              <w:tc>
                <w:tcPr>
                  <w:tcW w:w="0" w:type="auto"/>
                </w:tcPr>
                <w:p w14:paraId="07F0E179" w14:textId="77777777" w:rsidR="00B91C8C" w:rsidRDefault="00EA4A22" w:rsidP="00B91C8C">
                  <w:pPr>
                    <w:pStyle w:val="Pa7"/>
                    <w:spacing w:before="20" w:after="20"/>
                    <w:ind w:left="-93"/>
                    <w:rPr>
                      <w:rFonts w:ascii="Cambria" w:eastAsiaTheme="minorHAnsi" w:hAnsi="Cambria" w:cstheme="minorBidi"/>
                      <w:sz w:val="18"/>
                      <w:szCs w:val="22"/>
                      <w:lang w:eastAsia="en-US"/>
                    </w:rPr>
                  </w:pPr>
                  <w:r w:rsidRPr="003B51CE">
                    <w:rPr>
                      <w:rFonts w:ascii="Cambria" w:eastAsiaTheme="minorHAnsi" w:hAnsi="Cambria" w:cstheme="minorBidi"/>
                      <w:sz w:val="18"/>
                      <w:szCs w:val="22"/>
                      <w:lang w:eastAsia="en-US"/>
                    </w:rPr>
                    <w:t>The Water Efficiency Program was closed on 2 March 2021. The Australian Government will now focus the $1.54 bil</w:t>
                  </w:r>
                  <w:r w:rsidRPr="003B51CE">
                    <w:rPr>
                      <w:rFonts w:ascii="Cambria" w:eastAsiaTheme="minorHAnsi" w:hAnsi="Cambria" w:cstheme="minorBidi"/>
                      <w:sz w:val="18"/>
                      <w:szCs w:val="22"/>
                      <w:lang w:eastAsia="en-US"/>
                    </w:rPr>
                    <w:t xml:space="preserve">lion in the Water for the Environment Special Account on off-farm efficiency projects. </w:t>
                  </w:r>
                </w:p>
                <w:p w14:paraId="3F069967" w14:textId="77777777" w:rsidR="002D3308" w:rsidRPr="002D3308" w:rsidRDefault="002D3308" w:rsidP="002D3308">
                  <w:pPr>
                    <w:pStyle w:val="Default"/>
                    <w:rPr>
                      <w:lang w:eastAsia="en-US"/>
                    </w:rPr>
                  </w:pPr>
                </w:p>
                <w:p w14:paraId="7B37D1F7" w14:textId="77777777" w:rsidR="00B91C8C" w:rsidRPr="003B51CE" w:rsidRDefault="00EA4A22" w:rsidP="00B91C8C">
                  <w:pPr>
                    <w:pStyle w:val="Pa7"/>
                    <w:spacing w:before="20" w:after="20"/>
                    <w:ind w:left="-93"/>
                    <w:rPr>
                      <w:rFonts w:ascii="Cambria" w:eastAsiaTheme="minorHAnsi" w:hAnsi="Cambria" w:cstheme="minorBidi"/>
                      <w:sz w:val="18"/>
                      <w:szCs w:val="22"/>
                      <w:lang w:eastAsia="en-US"/>
                    </w:rPr>
                  </w:pPr>
                  <w:r w:rsidRPr="003B51CE">
                    <w:rPr>
                      <w:rFonts w:ascii="Cambria" w:eastAsiaTheme="minorHAnsi" w:hAnsi="Cambria" w:cstheme="minorBidi"/>
                      <w:sz w:val="18"/>
                      <w:szCs w:val="22"/>
                      <w:lang w:eastAsia="en-US"/>
                    </w:rPr>
                    <w:t xml:space="preserve">A stocktake of potential off-farm projects to generate water savings was presented to the Ministerial Council on 27 </w:t>
                  </w:r>
                  <w:proofErr w:type="gramStart"/>
                  <w:r w:rsidRPr="003B51CE">
                    <w:rPr>
                      <w:rFonts w:ascii="Cambria" w:eastAsiaTheme="minorHAnsi" w:hAnsi="Cambria" w:cstheme="minorBidi"/>
                      <w:sz w:val="18"/>
                      <w:szCs w:val="22"/>
                      <w:lang w:eastAsia="en-US"/>
                    </w:rPr>
                    <w:t>November,</w:t>
                  </w:r>
                  <w:proofErr w:type="gramEnd"/>
                  <w:r w:rsidRPr="003B51CE">
                    <w:rPr>
                      <w:rFonts w:ascii="Cambria" w:eastAsiaTheme="minorHAnsi" w:hAnsi="Cambria" w:cstheme="minorBidi"/>
                      <w:sz w:val="18"/>
                      <w:szCs w:val="22"/>
                      <w:lang w:eastAsia="en-US"/>
                    </w:rPr>
                    <w:t xml:space="preserve"> 2020. This </w:t>
                  </w:r>
                  <w:r w:rsidR="00B460C2" w:rsidRPr="003B51CE">
                    <w:rPr>
                      <w:rFonts w:ascii="Cambria" w:eastAsiaTheme="minorHAnsi" w:hAnsi="Cambria" w:cstheme="minorBidi"/>
                      <w:sz w:val="18"/>
                      <w:szCs w:val="22"/>
                      <w:lang w:eastAsia="en-US"/>
                    </w:rPr>
                    <w:t>stocktake</w:t>
                  </w:r>
                  <w:r w:rsidRPr="003B51CE">
                    <w:rPr>
                      <w:rFonts w:ascii="Cambria" w:eastAsiaTheme="minorHAnsi" w:hAnsi="Cambria" w:cstheme="minorBidi"/>
                      <w:sz w:val="18"/>
                      <w:szCs w:val="22"/>
                      <w:lang w:eastAsia="en-US"/>
                    </w:rPr>
                    <w:t xml:space="preserve"> identified about 50 </w:t>
                  </w:r>
                  <w:r w:rsidRPr="003B51CE">
                    <w:rPr>
                      <w:rFonts w:ascii="Cambria" w:eastAsiaTheme="minorHAnsi" w:hAnsi="Cambria" w:cstheme="minorBidi"/>
                      <w:sz w:val="18"/>
                      <w:szCs w:val="22"/>
                      <w:lang w:eastAsia="en-US"/>
                    </w:rPr>
                    <w:t xml:space="preserve">concept proposals including 10 that are shovel ready. </w:t>
                  </w:r>
                </w:p>
              </w:tc>
            </w:tr>
          </w:tbl>
          <w:p w14:paraId="4BEAF2C6" w14:textId="77777777" w:rsidR="00AA7366" w:rsidRPr="003B51CE" w:rsidRDefault="00AA7366" w:rsidP="00474D3C">
            <w:pPr>
              <w:pStyle w:val="TableText"/>
            </w:pPr>
          </w:p>
          <w:p w14:paraId="0F708161" w14:textId="77777777" w:rsidR="00AA7366" w:rsidRPr="003B51CE" w:rsidRDefault="00EA4A22" w:rsidP="00474D3C">
            <w:pPr>
              <w:pStyle w:val="TableText"/>
            </w:pPr>
            <w:r w:rsidRPr="003B51CE">
              <w:t>The Goulburn Murray Water Water Efficiency Project will receive $177.5 million from the Australian Government to modernise and upgrade ageing off-farm water infrastructure in the Goulburn-Murray Irrigation District generating 15.9 GL of water for the envir</w:t>
            </w:r>
            <w:r w:rsidRPr="003B51CE">
              <w:t xml:space="preserve">onment. </w:t>
            </w:r>
          </w:p>
        </w:tc>
      </w:tr>
      <w:tr w:rsidR="00567C49" w14:paraId="1589B271" w14:textId="77777777" w:rsidTr="00474D3C">
        <w:tc>
          <w:tcPr>
            <w:tcW w:w="742" w:type="pct"/>
            <w:tcMar>
              <w:left w:w="108" w:type="dxa"/>
              <w:right w:w="108" w:type="dxa"/>
            </w:tcMar>
          </w:tcPr>
          <w:p w14:paraId="6F3EF3DA" w14:textId="77777777" w:rsidR="00AA7366" w:rsidRPr="003B51CE" w:rsidRDefault="00EA4A22" w:rsidP="00474D3C">
            <w:pPr>
              <w:pStyle w:val="TableText"/>
              <w:rPr>
                <w:lang w:val="en-US"/>
              </w:rPr>
            </w:pPr>
            <w:r w:rsidRPr="003B51CE">
              <w:rPr>
                <w:lang w:val="en-US"/>
              </w:rPr>
              <w:lastRenderedPageBreak/>
              <w:t xml:space="preserve">Strengthening working relationships between the Australian Government, </w:t>
            </w:r>
            <w:proofErr w:type="gramStart"/>
            <w:r w:rsidRPr="003B51CE">
              <w:rPr>
                <w:lang w:val="en-US"/>
              </w:rPr>
              <w:t>states</w:t>
            </w:r>
            <w:proofErr w:type="gramEnd"/>
            <w:r w:rsidRPr="003B51CE">
              <w:rPr>
                <w:lang w:val="en-US"/>
              </w:rPr>
              <w:t xml:space="preserve"> and local government to improve delivery of the Basin Plan</w:t>
            </w:r>
          </w:p>
        </w:tc>
        <w:tc>
          <w:tcPr>
            <w:tcW w:w="1585" w:type="pct"/>
            <w:tcMar>
              <w:left w:w="108" w:type="dxa"/>
              <w:right w:w="108" w:type="dxa"/>
            </w:tcMar>
          </w:tcPr>
          <w:p w14:paraId="5D1DF219" w14:textId="77777777" w:rsidR="00AA7366" w:rsidRPr="003B51CE" w:rsidRDefault="00EA4A22" w:rsidP="00474D3C">
            <w:pPr>
              <w:pStyle w:val="TableText"/>
            </w:pPr>
            <w:r w:rsidRPr="003B51CE">
              <w:t xml:space="preserve">Work with Basin states to accelerate planning and delivery of supply and constraints projects that are at </w:t>
            </w:r>
            <w:r w:rsidRPr="003B51CE">
              <w:t>risk of not being delivered by 2024. We will partner with the National Water Grid Authority on these projects.</w:t>
            </w:r>
          </w:p>
          <w:p w14:paraId="60DD8551" w14:textId="77777777" w:rsidR="00AA7366" w:rsidRPr="003B51CE" w:rsidRDefault="00AA7366" w:rsidP="00474D3C">
            <w:pPr>
              <w:pStyle w:val="TableText"/>
            </w:pPr>
          </w:p>
          <w:p w14:paraId="2D506545" w14:textId="77777777" w:rsidR="00AA7366" w:rsidRPr="003B51CE" w:rsidRDefault="00EA4A22" w:rsidP="00474D3C">
            <w:pPr>
              <w:pStyle w:val="TableText"/>
            </w:pPr>
            <w:r w:rsidRPr="003B51CE">
              <w:t>This action builds on the government’s existing commitment of $1.5 billion for these projects.</w:t>
            </w:r>
          </w:p>
          <w:p w14:paraId="0049D0AD" w14:textId="77777777" w:rsidR="00AA7366" w:rsidRPr="003B51CE" w:rsidRDefault="00AA7366" w:rsidP="00474D3C">
            <w:pPr>
              <w:pStyle w:val="TableText"/>
            </w:pPr>
          </w:p>
          <w:p w14:paraId="2AD730B3" w14:textId="77777777" w:rsidR="00AA7366" w:rsidRPr="003B51CE" w:rsidRDefault="00EA4A22" w:rsidP="00474D3C">
            <w:pPr>
              <w:pStyle w:val="TableText"/>
            </w:pPr>
            <w:r w:rsidRPr="003B51CE">
              <w:t>Develop a new National Partnership agreement bet</w:t>
            </w:r>
            <w:r w:rsidRPr="003B51CE">
              <w:t xml:space="preserve">ween the Australian and Basin state governments to provide funding for new and ongoing activities required to implement the Basin Plan. </w:t>
            </w:r>
          </w:p>
        </w:tc>
        <w:tc>
          <w:tcPr>
            <w:tcW w:w="742" w:type="pct"/>
            <w:tcMar>
              <w:left w:w="108" w:type="dxa"/>
              <w:right w:w="108" w:type="dxa"/>
            </w:tcMar>
          </w:tcPr>
          <w:p w14:paraId="1C74112E" w14:textId="77777777" w:rsidR="00AA7366" w:rsidRPr="003B51CE" w:rsidRDefault="00EA4A22" w:rsidP="00474D3C">
            <w:pPr>
              <w:pStyle w:val="TableText"/>
            </w:pPr>
            <w:r w:rsidRPr="003B51CE">
              <w:t>Q4 2020</w:t>
            </w:r>
          </w:p>
          <w:p w14:paraId="2BC3E4E2" w14:textId="77777777" w:rsidR="00AA7366" w:rsidRPr="003B51CE" w:rsidRDefault="00EA4A22" w:rsidP="00474D3C">
            <w:pPr>
              <w:pStyle w:val="TableText"/>
            </w:pPr>
            <w:r w:rsidRPr="003B51CE">
              <w:t>– ongoing</w:t>
            </w:r>
          </w:p>
        </w:tc>
        <w:tc>
          <w:tcPr>
            <w:tcW w:w="1931" w:type="pct"/>
          </w:tcPr>
          <w:p w14:paraId="15307D68" w14:textId="77777777" w:rsidR="00AA7366" w:rsidRPr="003B51CE" w:rsidRDefault="00EA4A22" w:rsidP="00474D3C">
            <w:pPr>
              <w:pStyle w:val="TableText"/>
            </w:pPr>
            <w:r w:rsidRPr="003B51CE">
              <w:t xml:space="preserve">Ministers confirmed on 27 November 2020 that community engagement and support for supply and </w:t>
            </w:r>
            <w:r w:rsidRPr="003B51CE">
              <w:t>constraints projects remains vitally important to all Basin governments. A ministerial council meeting is planned for April to consider pathways for dealing with at-risk projects.</w:t>
            </w:r>
          </w:p>
          <w:p w14:paraId="0047C751" w14:textId="77777777" w:rsidR="0019352E" w:rsidRPr="003B51CE" w:rsidRDefault="0019352E" w:rsidP="00474D3C">
            <w:pPr>
              <w:pStyle w:val="TableText"/>
            </w:pPr>
          </w:p>
          <w:p w14:paraId="5CB61B4E" w14:textId="77777777" w:rsidR="00B460C2" w:rsidRPr="003B51CE" w:rsidRDefault="00EA4A22" w:rsidP="00474D3C">
            <w:pPr>
              <w:pStyle w:val="TableText"/>
            </w:pPr>
            <w:r w:rsidRPr="003B51CE">
              <w:t>The National Water Grid is providing support on best practice project plann</w:t>
            </w:r>
            <w:r w:rsidRPr="003B51CE">
              <w:t xml:space="preserve">ing, </w:t>
            </w:r>
            <w:proofErr w:type="gramStart"/>
            <w:r w:rsidRPr="003B51CE">
              <w:t>management</w:t>
            </w:r>
            <w:proofErr w:type="gramEnd"/>
            <w:r w:rsidRPr="003B51CE">
              <w:t xml:space="preserve"> and governance.</w:t>
            </w:r>
          </w:p>
          <w:p w14:paraId="514277F9" w14:textId="77777777" w:rsidR="00AA7366" w:rsidRPr="003B51CE" w:rsidRDefault="00AA7366" w:rsidP="00474D3C">
            <w:pPr>
              <w:pStyle w:val="TableText"/>
            </w:pPr>
          </w:p>
          <w:p w14:paraId="7E015E40" w14:textId="77777777" w:rsidR="00AA7366" w:rsidRDefault="00EA4A22" w:rsidP="00474D3C">
            <w:pPr>
              <w:pStyle w:val="TableText"/>
            </w:pPr>
            <w:r w:rsidRPr="003B51CE">
              <w:t xml:space="preserve">At the Ministerial Council meeting of 27 November </w:t>
            </w:r>
            <w:r w:rsidR="00B460C2" w:rsidRPr="003B51CE">
              <w:t xml:space="preserve">2020, </w:t>
            </w:r>
            <w:r w:rsidRPr="003B51CE">
              <w:t>Basin Ministers agreed the principles for collective action to improve Basin Plan outcomes</w:t>
            </w:r>
            <w:r w:rsidR="00B460C2" w:rsidRPr="003B51CE">
              <w:t>.</w:t>
            </w:r>
          </w:p>
        </w:tc>
      </w:tr>
    </w:tbl>
    <w:p w14:paraId="5E8F4FD2" w14:textId="77777777" w:rsidR="00C43C4F" w:rsidRDefault="00C43C4F" w:rsidP="00C43C4F"/>
    <w:sectPr w:rsidR="00C43C4F" w:rsidSect="00DD4719">
      <w:pgSz w:w="16838" w:h="11906" w:orient="landscape"/>
      <w:pgMar w:top="993" w:right="1418" w:bottom="1135"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AFF83" w14:textId="77777777" w:rsidR="00000000" w:rsidRDefault="00EA4A22">
      <w:pPr>
        <w:spacing w:after="0" w:line="240" w:lineRule="auto"/>
      </w:pPr>
      <w:r>
        <w:separator/>
      </w:r>
    </w:p>
  </w:endnote>
  <w:endnote w:type="continuationSeparator" w:id="0">
    <w:p w14:paraId="4E0F3190" w14:textId="77777777" w:rsidR="00000000" w:rsidRDefault="00EA4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ilo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E1759" w14:textId="77777777" w:rsidR="00C02519" w:rsidRDefault="00EA4A22">
    <w:pPr>
      <w:pStyle w:val="Footer"/>
    </w:pPr>
    <w:r>
      <w:t xml:space="preserve">Department of Agriculture, </w:t>
    </w:r>
    <w:proofErr w:type="gramStart"/>
    <w:r>
      <w:t>Water</w:t>
    </w:r>
    <w:proofErr w:type="gramEnd"/>
    <w:r>
      <w:t xml:space="preserve"> and the Environment</w:t>
    </w:r>
  </w:p>
  <w:p w14:paraId="6EE26375" w14:textId="77777777" w:rsidR="00C02519" w:rsidRDefault="00EA4A22">
    <w:pPr>
      <w:pStyle w:val="Footer"/>
    </w:pPr>
    <w:r>
      <w:fldChar w:fldCharType="begin"/>
    </w:r>
    <w:r>
      <w:instrText xml:space="preserve"> PAGE   \* MERGEFORMAT </w:instrText>
    </w:r>
    <w:r>
      <w:fldChar w:fldCharType="separate"/>
    </w:r>
    <w:r w:rsidR="00B8242F">
      <w:rPr>
        <w:noProof/>
      </w:rPr>
      <w:t>ii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E71DE" w14:textId="77777777" w:rsidR="00000000" w:rsidRDefault="00EA4A22">
      <w:pPr>
        <w:spacing w:after="0" w:line="240" w:lineRule="auto"/>
      </w:pPr>
      <w:r>
        <w:separator/>
      </w:r>
    </w:p>
  </w:footnote>
  <w:footnote w:type="continuationSeparator" w:id="0">
    <w:p w14:paraId="1D80D619" w14:textId="77777777" w:rsidR="00000000" w:rsidRDefault="00EA4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FC6FF" w14:textId="77777777" w:rsidR="00C02519" w:rsidRDefault="00EA4A22">
    <w:pPr>
      <w:pStyle w:val="Header"/>
    </w:pPr>
    <w:r>
      <w:t xml:space="preserve">Murray–Darling Communities Investment Package: first report into implementation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0145F" w14:textId="77777777" w:rsidR="00C02519" w:rsidRDefault="00EA4A22">
    <w:pPr>
      <w:pStyle w:val="Header"/>
      <w:jc w:val="left"/>
    </w:pPr>
    <w:r>
      <w:rPr>
        <w:noProof/>
        <w:lang w:eastAsia="en-AU"/>
      </w:rPr>
      <w:drawing>
        <wp:inline distT="0" distB="0" distL="0" distR="0" wp14:anchorId="31C3025E" wp14:editId="213E9DA0">
          <wp:extent cx="2123264" cy="6372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4E06A2E4">
      <w:start w:val="1"/>
      <w:numFmt w:val="bullet"/>
      <w:pStyle w:val="TableBullet2"/>
      <w:lvlText w:val=""/>
      <w:lvlJc w:val="left"/>
      <w:pPr>
        <w:ind w:left="1004" w:hanging="360"/>
      </w:pPr>
      <w:rPr>
        <w:rFonts w:ascii="Symbol" w:hAnsi="Symbol" w:hint="default"/>
      </w:rPr>
    </w:lvl>
    <w:lvl w:ilvl="1" w:tplc="A66297A4" w:tentative="1">
      <w:start w:val="1"/>
      <w:numFmt w:val="bullet"/>
      <w:lvlText w:val="o"/>
      <w:lvlJc w:val="left"/>
      <w:pPr>
        <w:ind w:left="1724" w:hanging="360"/>
      </w:pPr>
      <w:rPr>
        <w:rFonts w:ascii="Courier New" w:hAnsi="Courier New" w:cs="Courier New" w:hint="default"/>
      </w:rPr>
    </w:lvl>
    <w:lvl w:ilvl="2" w:tplc="E9BA112A" w:tentative="1">
      <w:start w:val="1"/>
      <w:numFmt w:val="bullet"/>
      <w:lvlText w:val=""/>
      <w:lvlJc w:val="left"/>
      <w:pPr>
        <w:ind w:left="2444" w:hanging="360"/>
      </w:pPr>
      <w:rPr>
        <w:rFonts w:ascii="Wingdings" w:hAnsi="Wingdings" w:hint="default"/>
      </w:rPr>
    </w:lvl>
    <w:lvl w:ilvl="3" w:tplc="F6E41DDA" w:tentative="1">
      <w:start w:val="1"/>
      <w:numFmt w:val="bullet"/>
      <w:lvlText w:val=""/>
      <w:lvlJc w:val="left"/>
      <w:pPr>
        <w:ind w:left="3164" w:hanging="360"/>
      </w:pPr>
      <w:rPr>
        <w:rFonts w:ascii="Symbol" w:hAnsi="Symbol" w:hint="default"/>
      </w:rPr>
    </w:lvl>
    <w:lvl w:ilvl="4" w:tplc="9754D814" w:tentative="1">
      <w:start w:val="1"/>
      <w:numFmt w:val="bullet"/>
      <w:lvlText w:val="o"/>
      <w:lvlJc w:val="left"/>
      <w:pPr>
        <w:ind w:left="3884" w:hanging="360"/>
      </w:pPr>
      <w:rPr>
        <w:rFonts w:ascii="Courier New" w:hAnsi="Courier New" w:cs="Courier New" w:hint="default"/>
      </w:rPr>
    </w:lvl>
    <w:lvl w:ilvl="5" w:tplc="F14EDBCE" w:tentative="1">
      <w:start w:val="1"/>
      <w:numFmt w:val="bullet"/>
      <w:lvlText w:val=""/>
      <w:lvlJc w:val="left"/>
      <w:pPr>
        <w:ind w:left="4604" w:hanging="360"/>
      </w:pPr>
      <w:rPr>
        <w:rFonts w:ascii="Wingdings" w:hAnsi="Wingdings" w:hint="default"/>
      </w:rPr>
    </w:lvl>
    <w:lvl w:ilvl="6" w:tplc="2AF668FA" w:tentative="1">
      <w:start w:val="1"/>
      <w:numFmt w:val="bullet"/>
      <w:lvlText w:val=""/>
      <w:lvlJc w:val="left"/>
      <w:pPr>
        <w:ind w:left="5324" w:hanging="360"/>
      </w:pPr>
      <w:rPr>
        <w:rFonts w:ascii="Symbol" w:hAnsi="Symbol" w:hint="default"/>
      </w:rPr>
    </w:lvl>
    <w:lvl w:ilvl="7" w:tplc="9EE668AC" w:tentative="1">
      <w:start w:val="1"/>
      <w:numFmt w:val="bullet"/>
      <w:lvlText w:val="o"/>
      <w:lvlJc w:val="left"/>
      <w:pPr>
        <w:ind w:left="6044" w:hanging="360"/>
      </w:pPr>
      <w:rPr>
        <w:rFonts w:ascii="Courier New" w:hAnsi="Courier New" w:cs="Courier New" w:hint="default"/>
      </w:rPr>
    </w:lvl>
    <w:lvl w:ilvl="8" w:tplc="0226EA8A"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7FFC6200">
      <w:start w:val="1"/>
      <w:numFmt w:val="bullet"/>
      <w:pStyle w:val="TableBullet1"/>
      <w:lvlText w:val=""/>
      <w:lvlJc w:val="left"/>
      <w:pPr>
        <w:ind w:left="720" w:hanging="360"/>
      </w:pPr>
      <w:rPr>
        <w:rFonts w:ascii="Symbol" w:hAnsi="Symbol" w:hint="default"/>
      </w:rPr>
    </w:lvl>
    <w:lvl w:ilvl="1" w:tplc="0D641E56" w:tentative="1">
      <w:start w:val="1"/>
      <w:numFmt w:val="bullet"/>
      <w:lvlText w:val="o"/>
      <w:lvlJc w:val="left"/>
      <w:pPr>
        <w:ind w:left="1440" w:hanging="360"/>
      </w:pPr>
      <w:rPr>
        <w:rFonts w:ascii="Courier New" w:hAnsi="Courier New" w:cs="Courier New" w:hint="default"/>
      </w:rPr>
    </w:lvl>
    <w:lvl w:ilvl="2" w:tplc="152A41EC" w:tentative="1">
      <w:start w:val="1"/>
      <w:numFmt w:val="bullet"/>
      <w:lvlText w:val=""/>
      <w:lvlJc w:val="left"/>
      <w:pPr>
        <w:ind w:left="2160" w:hanging="360"/>
      </w:pPr>
      <w:rPr>
        <w:rFonts w:ascii="Wingdings" w:hAnsi="Wingdings" w:hint="default"/>
      </w:rPr>
    </w:lvl>
    <w:lvl w:ilvl="3" w:tplc="8CBA49DC" w:tentative="1">
      <w:start w:val="1"/>
      <w:numFmt w:val="bullet"/>
      <w:lvlText w:val=""/>
      <w:lvlJc w:val="left"/>
      <w:pPr>
        <w:ind w:left="2880" w:hanging="360"/>
      </w:pPr>
      <w:rPr>
        <w:rFonts w:ascii="Symbol" w:hAnsi="Symbol" w:hint="default"/>
      </w:rPr>
    </w:lvl>
    <w:lvl w:ilvl="4" w:tplc="10C6F2C0" w:tentative="1">
      <w:start w:val="1"/>
      <w:numFmt w:val="bullet"/>
      <w:lvlText w:val="o"/>
      <w:lvlJc w:val="left"/>
      <w:pPr>
        <w:ind w:left="3600" w:hanging="360"/>
      </w:pPr>
      <w:rPr>
        <w:rFonts w:ascii="Courier New" w:hAnsi="Courier New" w:cs="Courier New" w:hint="default"/>
      </w:rPr>
    </w:lvl>
    <w:lvl w:ilvl="5" w:tplc="69460958" w:tentative="1">
      <w:start w:val="1"/>
      <w:numFmt w:val="bullet"/>
      <w:lvlText w:val=""/>
      <w:lvlJc w:val="left"/>
      <w:pPr>
        <w:ind w:left="4320" w:hanging="360"/>
      </w:pPr>
      <w:rPr>
        <w:rFonts w:ascii="Wingdings" w:hAnsi="Wingdings" w:hint="default"/>
      </w:rPr>
    </w:lvl>
    <w:lvl w:ilvl="6" w:tplc="B094B178" w:tentative="1">
      <w:start w:val="1"/>
      <w:numFmt w:val="bullet"/>
      <w:lvlText w:val=""/>
      <w:lvlJc w:val="left"/>
      <w:pPr>
        <w:ind w:left="5040" w:hanging="360"/>
      </w:pPr>
      <w:rPr>
        <w:rFonts w:ascii="Symbol" w:hAnsi="Symbol" w:hint="default"/>
      </w:rPr>
    </w:lvl>
    <w:lvl w:ilvl="7" w:tplc="CFAA3A6E" w:tentative="1">
      <w:start w:val="1"/>
      <w:numFmt w:val="bullet"/>
      <w:lvlText w:val="o"/>
      <w:lvlJc w:val="left"/>
      <w:pPr>
        <w:ind w:left="5760" w:hanging="360"/>
      </w:pPr>
      <w:rPr>
        <w:rFonts w:ascii="Courier New" w:hAnsi="Courier New" w:cs="Courier New" w:hint="default"/>
      </w:rPr>
    </w:lvl>
    <w:lvl w:ilvl="8" w:tplc="EE70D2FE" w:tentative="1">
      <w:start w:val="1"/>
      <w:numFmt w:val="bullet"/>
      <w:lvlText w:val=""/>
      <w:lvlJc w:val="left"/>
      <w:pPr>
        <w:ind w:left="6480" w:hanging="360"/>
      </w:pPr>
      <w:rPr>
        <w:rFonts w:ascii="Wingdings" w:hAnsi="Wingdings" w:hint="default"/>
      </w:rPr>
    </w:lvl>
  </w:abstractNum>
  <w:abstractNum w:abstractNumId="10" w15:restartNumberingAfterBreak="0">
    <w:nsid w:val="1BD33715"/>
    <w:multiLevelType w:val="hybridMultilevel"/>
    <w:tmpl w:val="9DE83D2C"/>
    <w:lvl w:ilvl="0" w:tplc="AE2ECFE8">
      <w:start w:val="1"/>
      <w:numFmt w:val="bullet"/>
      <w:lvlText w:val=""/>
      <w:lvlJc w:val="left"/>
      <w:pPr>
        <w:ind w:left="360" w:hanging="360"/>
      </w:pPr>
      <w:rPr>
        <w:rFonts w:ascii="Symbol" w:hAnsi="Symbol" w:hint="default"/>
      </w:rPr>
    </w:lvl>
    <w:lvl w:ilvl="1" w:tplc="9E84C9C6" w:tentative="1">
      <w:start w:val="1"/>
      <w:numFmt w:val="bullet"/>
      <w:lvlText w:val="o"/>
      <w:lvlJc w:val="left"/>
      <w:pPr>
        <w:ind w:left="1080" w:hanging="360"/>
      </w:pPr>
      <w:rPr>
        <w:rFonts w:ascii="Courier New" w:hAnsi="Courier New" w:cs="Courier New" w:hint="default"/>
      </w:rPr>
    </w:lvl>
    <w:lvl w:ilvl="2" w:tplc="5ED0D140" w:tentative="1">
      <w:start w:val="1"/>
      <w:numFmt w:val="bullet"/>
      <w:lvlText w:val=""/>
      <w:lvlJc w:val="left"/>
      <w:pPr>
        <w:ind w:left="1800" w:hanging="360"/>
      </w:pPr>
      <w:rPr>
        <w:rFonts w:ascii="Wingdings" w:hAnsi="Wingdings" w:hint="default"/>
      </w:rPr>
    </w:lvl>
    <w:lvl w:ilvl="3" w:tplc="10725710" w:tentative="1">
      <w:start w:val="1"/>
      <w:numFmt w:val="bullet"/>
      <w:lvlText w:val=""/>
      <w:lvlJc w:val="left"/>
      <w:pPr>
        <w:ind w:left="2520" w:hanging="360"/>
      </w:pPr>
      <w:rPr>
        <w:rFonts w:ascii="Symbol" w:hAnsi="Symbol" w:hint="default"/>
      </w:rPr>
    </w:lvl>
    <w:lvl w:ilvl="4" w:tplc="6B120CEE" w:tentative="1">
      <w:start w:val="1"/>
      <w:numFmt w:val="bullet"/>
      <w:lvlText w:val="o"/>
      <w:lvlJc w:val="left"/>
      <w:pPr>
        <w:ind w:left="3240" w:hanging="360"/>
      </w:pPr>
      <w:rPr>
        <w:rFonts w:ascii="Courier New" w:hAnsi="Courier New" w:cs="Courier New" w:hint="default"/>
      </w:rPr>
    </w:lvl>
    <w:lvl w:ilvl="5" w:tplc="843EB980" w:tentative="1">
      <w:start w:val="1"/>
      <w:numFmt w:val="bullet"/>
      <w:lvlText w:val=""/>
      <w:lvlJc w:val="left"/>
      <w:pPr>
        <w:ind w:left="3960" w:hanging="360"/>
      </w:pPr>
      <w:rPr>
        <w:rFonts w:ascii="Wingdings" w:hAnsi="Wingdings" w:hint="default"/>
      </w:rPr>
    </w:lvl>
    <w:lvl w:ilvl="6" w:tplc="076AB826" w:tentative="1">
      <w:start w:val="1"/>
      <w:numFmt w:val="bullet"/>
      <w:lvlText w:val=""/>
      <w:lvlJc w:val="left"/>
      <w:pPr>
        <w:ind w:left="4680" w:hanging="360"/>
      </w:pPr>
      <w:rPr>
        <w:rFonts w:ascii="Symbol" w:hAnsi="Symbol" w:hint="default"/>
      </w:rPr>
    </w:lvl>
    <w:lvl w:ilvl="7" w:tplc="41384F64" w:tentative="1">
      <w:start w:val="1"/>
      <w:numFmt w:val="bullet"/>
      <w:lvlText w:val="o"/>
      <w:lvlJc w:val="left"/>
      <w:pPr>
        <w:ind w:left="5400" w:hanging="360"/>
      </w:pPr>
      <w:rPr>
        <w:rFonts w:ascii="Courier New" w:hAnsi="Courier New" w:cs="Courier New" w:hint="default"/>
      </w:rPr>
    </w:lvl>
    <w:lvl w:ilvl="8" w:tplc="473677A8" w:tentative="1">
      <w:start w:val="1"/>
      <w:numFmt w:val="bullet"/>
      <w:lvlText w:val=""/>
      <w:lvlJc w:val="left"/>
      <w:pPr>
        <w:ind w:left="6120" w:hanging="360"/>
      </w:pPr>
      <w:rPr>
        <w:rFonts w:ascii="Wingdings" w:hAnsi="Wingdings" w:hint="default"/>
      </w:rPr>
    </w:lvl>
  </w:abstractNum>
  <w:abstractNum w:abstractNumId="11" w15:restartNumberingAfterBreak="0">
    <w:nsid w:val="1CD71580"/>
    <w:multiLevelType w:val="hybridMultilevel"/>
    <w:tmpl w:val="16AAE240"/>
    <w:lvl w:ilvl="0" w:tplc="DC38D0F0">
      <w:start w:val="1"/>
      <w:numFmt w:val="bullet"/>
      <w:lvlText w:val=""/>
      <w:lvlJc w:val="left"/>
      <w:pPr>
        <w:ind w:left="360" w:hanging="360"/>
      </w:pPr>
      <w:rPr>
        <w:rFonts w:ascii="Symbol" w:hAnsi="Symbol" w:hint="default"/>
        <w:color w:val="FF7900"/>
      </w:rPr>
    </w:lvl>
    <w:lvl w:ilvl="1" w:tplc="12E66388">
      <w:start w:val="1"/>
      <w:numFmt w:val="bullet"/>
      <w:lvlText w:val="o"/>
      <w:lvlJc w:val="left"/>
      <w:pPr>
        <w:ind w:left="1440" w:hanging="360"/>
      </w:pPr>
      <w:rPr>
        <w:rFonts w:ascii="Courier New" w:hAnsi="Courier New" w:cs="Courier New" w:hint="default"/>
      </w:rPr>
    </w:lvl>
    <w:lvl w:ilvl="2" w:tplc="D5048D88" w:tentative="1">
      <w:start w:val="1"/>
      <w:numFmt w:val="bullet"/>
      <w:lvlText w:val=""/>
      <w:lvlJc w:val="left"/>
      <w:pPr>
        <w:ind w:left="2160" w:hanging="360"/>
      </w:pPr>
      <w:rPr>
        <w:rFonts w:ascii="Wingdings" w:hAnsi="Wingdings" w:hint="default"/>
      </w:rPr>
    </w:lvl>
    <w:lvl w:ilvl="3" w:tplc="1698024C" w:tentative="1">
      <w:start w:val="1"/>
      <w:numFmt w:val="bullet"/>
      <w:lvlText w:val=""/>
      <w:lvlJc w:val="left"/>
      <w:pPr>
        <w:ind w:left="2880" w:hanging="360"/>
      </w:pPr>
      <w:rPr>
        <w:rFonts w:ascii="Symbol" w:hAnsi="Symbol" w:hint="default"/>
      </w:rPr>
    </w:lvl>
    <w:lvl w:ilvl="4" w:tplc="913AD0C8" w:tentative="1">
      <w:start w:val="1"/>
      <w:numFmt w:val="bullet"/>
      <w:lvlText w:val="o"/>
      <w:lvlJc w:val="left"/>
      <w:pPr>
        <w:ind w:left="3600" w:hanging="360"/>
      </w:pPr>
      <w:rPr>
        <w:rFonts w:ascii="Courier New" w:hAnsi="Courier New" w:cs="Courier New" w:hint="default"/>
      </w:rPr>
    </w:lvl>
    <w:lvl w:ilvl="5" w:tplc="45F2D56A" w:tentative="1">
      <w:start w:val="1"/>
      <w:numFmt w:val="bullet"/>
      <w:lvlText w:val=""/>
      <w:lvlJc w:val="left"/>
      <w:pPr>
        <w:ind w:left="4320" w:hanging="360"/>
      </w:pPr>
      <w:rPr>
        <w:rFonts w:ascii="Wingdings" w:hAnsi="Wingdings" w:hint="default"/>
      </w:rPr>
    </w:lvl>
    <w:lvl w:ilvl="6" w:tplc="C1D0D1E8" w:tentative="1">
      <w:start w:val="1"/>
      <w:numFmt w:val="bullet"/>
      <w:lvlText w:val=""/>
      <w:lvlJc w:val="left"/>
      <w:pPr>
        <w:ind w:left="5040" w:hanging="360"/>
      </w:pPr>
      <w:rPr>
        <w:rFonts w:ascii="Symbol" w:hAnsi="Symbol" w:hint="default"/>
      </w:rPr>
    </w:lvl>
    <w:lvl w:ilvl="7" w:tplc="57E203BE" w:tentative="1">
      <w:start w:val="1"/>
      <w:numFmt w:val="bullet"/>
      <w:lvlText w:val="o"/>
      <w:lvlJc w:val="left"/>
      <w:pPr>
        <w:ind w:left="5760" w:hanging="360"/>
      </w:pPr>
      <w:rPr>
        <w:rFonts w:ascii="Courier New" w:hAnsi="Courier New" w:cs="Courier New" w:hint="default"/>
      </w:rPr>
    </w:lvl>
    <w:lvl w:ilvl="8" w:tplc="ECC00476" w:tentative="1">
      <w:start w:val="1"/>
      <w:numFmt w:val="bullet"/>
      <w:lvlText w:val=""/>
      <w:lvlJc w:val="left"/>
      <w:pPr>
        <w:ind w:left="6480" w:hanging="360"/>
      </w:pPr>
      <w:rPr>
        <w:rFonts w:ascii="Wingdings" w:hAnsi="Wingdings" w:hint="default"/>
      </w:rPr>
    </w:lvl>
  </w:abstractNum>
  <w:abstractNum w:abstractNumId="12" w15:restartNumberingAfterBreak="0">
    <w:nsid w:val="1EB42155"/>
    <w:multiLevelType w:val="hybridMultilevel"/>
    <w:tmpl w:val="C9A42606"/>
    <w:lvl w:ilvl="0" w:tplc="91ACF9AC">
      <w:numFmt w:val="bullet"/>
      <w:lvlText w:val="•"/>
      <w:lvlJc w:val="left"/>
      <w:pPr>
        <w:ind w:left="1080" w:hanging="720"/>
      </w:pPr>
      <w:rPr>
        <w:rFonts w:ascii="Cambria" w:eastAsiaTheme="minorHAnsi" w:hAnsi="Cambria" w:cstheme="minorBidi" w:hint="default"/>
      </w:rPr>
    </w:lvl>
    <w:lvl w:ilvl="1" w:tplc="0270FFD8" w:tentative="1">
      <w:start w:val="1"/>
      <w:numFmt w:val="bullet"/>
      <w:lvlText w:val="o"/>
      <w:lvlJc w:val="left"/>
      <w:pPr>
        <w:ind w:left="1440" w:hanging="360"/>
      </w:pPr>
      <w:rPr>
        <w:rFonts w:ascii="Courier New" w:hAnsi="Courier New" w:cs="Courier New" w:hint="default"/>
      </w:rPr>
    </w:lvl>
    <w:lvl w:ilvl="2" w:tplc="BAC485FA" w:tentative="1">
      <w:start w:val="1"/>
      <w:numFmt w:val="bullet"/>
      <w:lvlText w:val=""/>
      <w:lvlJc w:val="left"/>
      <w:pPr>
        <w:ind w:left="2160" w:hanging="360"/>
      </w:pPr>
      <w:rPr>
        <w:rFonts w:ascii="Wingdings" w:hAnsi="Wingdings" w:hint="default"/>
      </w:rPr>
    </w:lvl>
    <w:lvl w:ilvl="3" w:tplc="4BB281D0" w:tentative="1">
      <w:start w:val="1"/>
      <w:numFmt w:val="bullet"/>
      <w:lvlText w:val=""/>
      <w:lvlJc w:val="left"/>
      <w:pPr>
        <w:ind w:left="2880" w:hanging="360"/>
      </w:pPr>
      <w:rPr>
        <w:rFonts w:ascii="Symbol" w:hAnsi="Symbol" w:hint="default"/>
      </w:rPr>
    </w:lvl>
    <w:lvl w:ilvl="4" w:tplc="7B90A7F0" w:tentative="1">
      <w:start w:val="1"/>
      <w:numFmt w:val="bullet"/>
      <w:lvlText w:val="o"/>
      <w:lvlJc w:val="left"/>
      <w:pPr>
        <w:ind w:left="3600" w:hanging="360"/>
      </w:pPr>
      <w:rPr>
        <w:rFonts w:ascii="Courier New" w:hAnsi="Courier New" w:cs="Courier New" w:hint="default"/>
      </w:rPr>
    </w:lvl>
    <w:lvl w:ilvl="5" w:tplc="1642380C" w:tentative="1">
      <w:start w:val="1"/>
      <w:numFmt w:val="bullet"/>
      <w:lvlText w:val=""/>
      <w:lvlJc w:val="left"/>
      <w:pPr>
        <w:ind w:left="4320" w:hanging="360"/>
      </w:pPr>
      <w:rPr>
        <w:rFonts w:ascii="Wingdings" w:hAnsi="Wingdings" w:hint="default"/>
      </w:rPr>
    </w:lvl>
    <w:lvl w:ilvl="6" w:tplc="7AF81A6E" w:tentative="1">
      <w:start w:val="1"/>
      <w:numFmt w:val="bullet"/>
      <w:lvlText w:val=""/>
      <w:lvlJc w:val="left"/>
      <w:pPr>
        <w:ind w:left="5040" w:hanging="360"/>
      </w:pPr>
      <w:rPr>
        <w:rFonts w:ascii="Symbol" w:hAnsi="Symbol" w:hint="default"/>
      </w:rPr>
    </w:lvl>
    <w:lvl w:ilvl="7" w:tplc="3946AE0A" w:tentative="1">
      <w:start w:val="1"/>
      <w:numFmt w:val="bullet"/>
      <w:lvlText w:val="o"/>
      <w:lvlJc w:val="left"/>
      <w:pPr>
        <w:ind w:left="5760" w:hanging="360"/>
      </w:pPr>
      <w:rPr>
        <w:rFonts w:ascii="Courier New" w:hAnsi="Courier New" w:cs="Courier New" w:hint="default"/>
      </w:rPr>
    </w:lvl>
    <w:lvl w:ilvl="8" w:tplc="663EAF5A"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80324A3"/>
    <w:multiLevelType w:val="hybridMultilevel"/>
    <w:tmpl w:val="6EDE9E8A"/>
    <w:lvl w:ilvl="0" w:tplc="C7103C24">
      <w:start w:val="1"/>
      <w:numFmt w:val="bullet"/>
      <w:lvlText w:val=""/>
      <w:lvlJc w:val="left"/>
      <w:pPr>
        <w:ind w:left="720" w:hanging="360"/>
      </w:pPr>
      <w:rPr>
        <w:rFonts w:ascii="Symbol" w:hAnsi="Symbol" w:hint="default"/>
      </w:rPr>
    </w:lvl>
    <w:lvl w:ilvl="1" w:tplc="BF769438" w:tentative="1">
      <w:start w:val="1"/>
      <w:numFmt w:val="bullet"/>
      <w:lvlText w:val="o"/>
      <w:lvlJc w:val="left"/>
      <w:pPr>
        <w:ind w:left="1440" w:hanging="360"/>
      </w:pPr>
      <w:rPr>
        <w:rFonts w:ascii="Courier New" w:hAnsi="Courier New" w:cs="Courier New" w:hint="default"/>
      </w:rPr>
    </w:lvl>
    <w:lvl w:ilvl="2" w:tplc="AD1C97E0" w:tentative="1">
      <w:start w:val="1"/>
      <w:numFmt w:val="bullet"/>
      <w:lvlText w:val=""/>
      <w:lvlJc w:val="left"/>
      <w:pPr>
        <w:ind w:left="2160" w:hanging="360"/>
      </w:pPr>
      <w:rPr>
        <w:rFonts w:ascii="Wingdings" w:hAnsi="Wingdings" w:hint="default"/>
      </w:rPr>
    </w:lvl>
    <w:lvl w:ilvl="3" w:tplc="01D23658" w:tentative="1">
      <w:start w:val="1"/>
      <w:numFmt w:val="bullet"/>
      <w:lvlText w:val=""/>
      <w:lvlJc w:val="left"/>
      <w:pPr>
        <w:ind w:left="2880" w:hanging="360"/>
      </w:pPr>
      <w:rPr>
        <w:rFonts w:ascii="Symbol" w:hAnsi="Symbol" w:hint="default"/>
      </w:rPr>
    </w:lvl>
    <w:lvl w:ilvl="4" w:tplc="4ED83044" w:tentative="1">
      <w:start w:val="1"/>
      <w:numFmt w:val="bullet"/>
      <w:lvlText w:val="o"/>
      <w:lvlJc w:val="left"/>
      <w:pPr>
        <w:ind w:left="3600" w:hanging="360"/>
      </w:pPr>
      <w:rPr>
        <w:rFonts w:ascii="Courier New" w:hAnsi="Courier New" w:cs="Courier New" w:hint="default"/>
      </w:rPr>
    </w:lvl>
    <w:lvl w:ilvl="5" w:tplc="0D909D70" w:tentative="1">
      <w:start w:val="1"/>
      <w:numFmt w:val="bullet"/>
      <w:lvlText w:val=""/>
      <w:lvlJc w:val="left"/>
      <w:pPr>
        <w:ind w:left="4320" w:hanging="360"/>
      </w:pPr>
      <w:rPr>
        <w:rFonts w:ascii="Wingdings" w:hAnsi="Wingdings" w:hint="default"/>
      </w:rPr>
    </w:lvl>
    <w:lvl w:ilvl="6" w:tplc="7814FC14" w:tentative="1">
      <w:start w:val="1"/>
      <w:numFmt w:val="bullet"/>
      <w:lvlText w:val=""/>
      <w:lvlJc w:val="left"/>
      <w:pPr>
        <w:ind w:left="5040" w:hanging="360"/>
      </w:pPr>
      <w:rPr>
        <w:rFonts w:ascii="Symbol" w:hAnsi="Symbol" w:hint="default"/>
      </w:rPr>
    </w:lvl>
    <w:lvl w:ilvl="7" w:tplc="0F84AAE2" w:tentative="1">
      <w:start w:val="1"/>
      <w:numFmt w:val="bullet"/>
      <w:lvlText w:val="o"/>
      <w:lvlJc w:val="left"/>
      <w:pPr>
        <w:ind w:left="5760" w:hanging="360"/>
      </w:pPr>
      <w:rPr>
        <w:rFonts w:ascii="Courier New" w:hAnsi="Courier New" w:cs="Courier New" w:hint="default"/>
      </w:rPr>
    </w:lvl>
    <w:lvl w:ilvl="8" w:tplc="1DA2279A" w:tentative="1">
      <w:start w:val="1"/>
      <w:numFmt w:val="bullet"/>
      <w:lvlText w:val=""/>
      <w:lvlJc w:val="left"/>
      <w:pPr>
        <w:ind w:left="6480" w:hanging="360"/>
      </w:pPr>
      <w:rPr>
        <w:rFonts w:ascii="Wingdings" w:hAnsi="Wingding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5B8135A"/>
    <w:multiLevelType w:val="hybridMultilevel"/>
    <w:tmpl w:val="4CE8E21A"/>
    <w:lvl w:ilvl="0" w:tplc="55C628CC">
      <w:numFmt w:val="bullet"/>
      <w:lvlText w:val="•"/>
      <w:lvlJc w:val="left"/>
      <w:pPr>
        <w:ind w:left="1080" w:hanging="720"/>
      </w:pPr>
      <w:rPr>
        <w:rFonts w:ascii="Calibri" w:eastAsiaTheme="minorHAnsi" w:hAnsi="Calibri" w:cs="Calibri" w:hint="default"/>
      </w:rPr>
    </w:lvl>
    <w:lvl w:ilvl="1" w:tplc="7D828606" w:tentative="1">
      <w:start w:val="1"/>
      <w:numFmt w:val="bullet"/>
      <w:lvlText w:val="o"/>
      <w:lvlJc w:val="left"/>
      <w:pPr>
        <w:ind w:left="1440" w:hanging="360"/>
      </w:pPr>
      <w:rPr>
        <w:rFonts w:ascii="Courier New" w:hAnsi="Courier New" w:cs="Courier New" w:hint="default"/>
      </w:rPr>
    </w:lvl>
    <w:lvl w:ilvl="2" w:tplc="F9CA42DA" w:tentative="1">
      <w:start w:val="1"/>
      <w:numFmt w:val="bullet"/>
      <w:lvlText w:val=""/>
      <w:lvlJc w:val="left"/>
      <w:pPr>
        <w:ind w:left="2160" w:hanging="360"/>
      </w:pPr>
      <w:rPr>
        <w:rFonts w:ascii="Wingdings" w:hAnsi="Wingdings" w:hint="default"/>
      </w:rPr>
    </w:lvl>
    <w:lvl w:ilvl="3" w:tplc="004E1F00" w:tentative="1">
      <w:start w:val="1"/>
      <w:numFmt w:val="bullet"/>
      <w:lvlText w:val=""/>
      <w:lvlJc w:val="left"/>
      <w:pPr>
        <w:ind w:left="2880" w:hanging="360"/>
      </w:pPr>
      <w:rPr>
        <w:rFonts w:ascii="Symbol" w:hAnsi="Symbol" w:hint="default"/>
      </w:rPr>
    </w:lvl>
    <w:lvl w:ilvl="4" w:tplc="9028F8B4" w:tentative="1">
      <w:start w:val="1"/>
      <w:numFmt w:val="bullet"/>
      <w:lvlText w:val="o"/>
      <w:lvlJc w:val="left"/>
      <w:pPr>
        <w:ind w:left="3600" w:hanging="360"/>
      </w:pPr>
      <w:rPr>
        <w:rFonts w:ascii="Courier New" w:hAnsi="Courier New" w:cs="Courier New" w:hint="default"/>
      </w:rPr>
    </w:lvl>
    <w:lvl w:ilvl="5" w:tplc="B290ADCE" w:tentative="1">
      <w:start w:val="1"/>
      <w:numFmt w:val="bullet"/>
      <w:lvlText w:val=""/>
      <w:lvlJc w:val="left"/>
      <w:pPr>
        <w:ind w:left="4320" w:hanging="360"/>
      </w:pPr>
      <w:rPr>
        <w:rFonts w:ascii="Wingdings" w:hAnsi="Wingdings" w:hint="default"/>
      </w:rPr>
    </w:lvl>
    <w:lvl w:ilvl="6" w:tplc="355C5AF4" w:tentative="1">
      <w:start w:val="1"/>
      <w:numFmt w:val="bullet"/>
      <w:lvlText w:val=""/>
      <w:lvlJc w:val="left"/>
      <w:pPr>
        <w:ind w:left="5040" w:hanging="360"/>
      </w:pPr>
      <w:rPr>
        <w:rFonts w:ascii="Symbol" w:hAnsi="Symbol" w:hint="default"/>
      </w:rPr>
    </w:lvl>
    <w:lvl w:ilvl="7" w:tplc="CCAC6022" w:tentative="1">
      <w:start w:val="1"/>
      <w:numFmt w:val="bullet"/>
      <w:lvlText w:val="o"/>
      <w:lvlJc w:val="left"/>
      <w:pPr>
        <w:ind w:left="5760" w:hanging="360"/>
      </w:pPr>
      <w:rPr>
        <w:rFonts w:ascii="Courier New" w:hAnsi="Courier New" w:cs="Courier New" w:hint="default"/>
      </w:rPr>
    </w:lvl>
    <w:lvl w:ilvl="8" w:tplc="55A0630A" w:tentative="1">
      <w:start w:val="1"/>
      <w:numFmt w:val="bullet"/>
      <w:lvlText w:val=""/>
      <w:lvlJc w:val="left"/>
      <w:pPr>
        <w:ind w:left="6480" w:hanging="360"/>
      </w:pPr>
      <w:rPr>
        <w:rFonts w:ascii="Wingdings" w:hAnsi="Wingdings" w:hint="default"/>
      </w:rPr>
    </w:lvl>
  </w:abstractNum>
  <w:abstractNum w:abstractNumId="18" w15:restartNumberingAfterBreak="0">
    <w:nsid w:val="363E3698"/>
    <w:multiLevelType w:val="hybridMultilevel"/>
    <w:tmpl w:val="BC92E1C4"/>
    <w:lvl w:ilvl="0" w:tplc="B54A876A">
      <w:numFmt w:val="bullet"/>
      <w:lvlText w:val=""/>
      <w:lvlJc w:val="left"/>
      <w:pPr>
        <w:ind w:left="1080" w:hanging="720"/>
      </w:pPr>
      <w:rPr>
        <w:rFonts w:ascii="Symbol" w:eastAsiaTheme="minorHAnsi" w:hAnsi="Symbol" w:cstheme="minorBidi" w:hint="default"/>
      </w:rPr>
    </w:lvl>
    <w:lvl w:ilvl="1" w:tplc="55225DC0" w:tentative="1">
      <w:start w:val="1"/>
      <w:numFmt w:val="bullet"/>
      <w:lvlText w:val="o"/>
      <w:lvlJc w:val="left"/>
      <w:pPr>
        <w:ind w:left="1440" w:hanging="360"/>
      </w:pPr>
      <w:rPr>
        <w:rFonts w:ascii="Courier New" w:hAnsi="Courier New" w:cs="Courier New" w:hint="default"/>
      </w:rPr>
    </w:lvl>
    <w:lvl w:ilvl="2" w:tplc="2D56C024" w:tentative="1">
      <w:start w:val="1"/>
      <w:numFmt w:val="bullet"/>
      <w:lvlText w:val=""/>
      <w:lvlJc w:val="left"/>
      <w:pPr>
        <w:ind w:left="2160" w:hanging="360"/>
      </w:pPr>
      <w:rPr>
        <w:rFonts w:ascii="Wingdings" w:hAnsi="Wingdings" w:hint="default"/>
      </w:rPr>
    </w:lvl>
    <w:lvl w:ilvl="3" w:tplc="A9EA02D2" w:tentative="1">
      <w:start w:val="1"/>
      <w:numFmt w:val="bullet"/>
      <w:lvlText w:val=""/>
      <w:lvlJc w:val="left"/>
      <w:pPr>
        <w:ind w:left="2880" w:hanging="360"/>
      </w:pPr>
      <w:rPr>
        <w:rFonts w:ascii="Symbol" w:hAnsi="Symbol" w:hint="default"/>
      </w:rPr>
    </w:lvl>
    <w:lvl w:ilvl="4" w:tplc="8B66717A" w:tentative="1">
      <w:start w:val="1"/>
      <w:numFmt w:val="bullet"/>
      <w:lvlText w:val="o"/>
      <w:lvlJc w:val="left"/>
      <w:pPr>
        <w:ind w:left="3600" w:hanging="360"/>
      </w:pPr>
      <w:rPr>
        <w:rFonts w:ascii="Courier New" w:hAnsi="Courier New" w:cs="Courier New" w:hint="default"/>
      </w:rPr>
    </w:lvl>
    <w:lvl w:ilvl="5" w:tplc="D4F657A2" w:tentative="1">
      <w:start w:val="1"/>
      <w:numFmt w:val="bullet"/>
      <w:lvlText w:val=""/>
      <w:lvlJc w:val="left"/>
      <w:pPr>
        <w:ind w:left="4320" w:hanging="360"/>
      </w:pPr>
      <w:rPr>
        <w:rFonts w:ascii="Wingdings" w:hAnsi="Wingdings" w:hint="default"/>
      </w:rPr>
    </w:lvl>
    <w:lvl w:ilvl="6" w:tplc="6E4CB1EA" w:tentative="1">
      <w:start w:val="1"/>
      <w:numFmt w:val="bullet"/>
      <w:lvlText w:val=""/>
      <w:lvlJc w:val="left"/>
      <w:pPr>
        <w:ind w:left="5040" w:hanging="360"/>
      </w:pPr>
      <w:rPr>
        <w:rFonts w:ascii="Symbol" w:hAnsi="Symbol" w:hint="default"/>
      </w:rPr>
    </w:lvl>
    <w:lvl w:ilvl="7" w:tplc="122A314E" w:tentative="1">
      <w:start w:val="1"/>
      <w:numFmt w:val="bullet"/>
      <w:lvlText w:val="o"/>
      <w:lvlJc w:val="left"/>
      <w:pPr>
        <w:ind w:left="5760" w:hanging="360"/>
      </w:pPr>
      <w:rPr>
        <w:rFonts w:ascii="Courier New" w:hAnsi="Courier New" w:cs="Courier New" w:hint="default"/>
      </w:rPr>
    </w:lvl>
    <w:lvl w:ilvl="8" w:tplc="05E45646" w:tentative="1">
      <w:start w:val="1"/>
      <w:numFmt w:val="bullet"/>
      <w:lvlText w:val=""/>
      <w:lvlJc w:val="left"/>
      <w:pPr>
        <w:ind w:left="6480" w:hanging="360"/>
      </w:pPr>
      <w:rPr>
        <w:rFonts w:ascii="Wingdings" w:hAnsi="Wingdings" w:hint="default"/>
      </w:rPr>
    </w:lvl>
  </w:abstractNum>
  <w:abstractNum w:abstractNumId="19" w15:restartNumberingAfterBreak="0">
    <w:nsid w:val="394A15FE"/>
    <w:multiLevelType w:val="multilevel"/>
    <w:tmpl w:val="F36C17E8"/>
    <w:numStyleLink w:val="Headinglist"/>
  </w:abstractNum>
  <w:abstractNum w:abstractNumId="20" w15:restartNumberingAfterBreak="0">
    <w:nsid w:val="414F4729"/>
    <w:multiLevelType w:val="multilevel"/>
    <w:tmpl w:val="A0241B28"/>
    <w:numStyleLink w:val="List1"/>
  </w:abstractNum>
  <w:abstractNum w:abstractNumId="21" w15:restartNumberingAfterBreak="0">
    <w:nsid w:val="486800B4"/>
    <w:multiLevelType w:val="multilevel"/>
    <w:tmpl w:val="A0241B28"/>
    <w:numStyleLink w:val="List1"/>
  </w:abstractNum>
  <w:abstractNum w:abstractNumId="22" w15:restartNumberingAfterBreak="0">
    <w:nsid w:val="48DE2E4A"/>
    <w:multiLevelType w:val="hybridMultilevel"/>
    <w:tmpl w:val="B7086130"/>
    <w:lvl w:ilvl="0" w:tplc="59FEBF30">
      <w:start w:val="1"/>
      <w:numFmt w:val="bullet"/>
      <w:pStyle w:val="BoxTextBullet"/>
      <w:lvlText w:val=""/>
      <w:lvlJc w:val="left"/>
      <w:pPr>
        <w:ind w:left="720" w:hanging="360"/>
      </w:pPr>
      <w:rPr>
        <w:rFonts w:ascii="Symbol" w:hAnsi="Symbol" w:hint="default"/>
      </w:rPr>
    </w:lvl>
    <w:lvl w:ilvl="1" w:tplc="1412790E" w:tentative="1">
      <w:start w:val="1"/>
      <w:numFmt w:val="bullet"/>
      <w:lvlText w:val="o"/>
      <w:lvlJc w:val="left"/>
      <w:pPr>
        <w:ind w:left="1440" w:hanging="360"/>
      </w:pPr>
      <w:rPr>
        <w:rFonts w:ascii="Courier New" w:hAnsi="Courier New" w:cs="Courier New" w:hint="default"/>
      </w:rPr>
    </w:lvl>
    <w:lvl w:ilvl="2" w:tplc="B37E63D2" w:tentative="1">
      <w:start w:val="1"/>
      <w:numFmt w:val="bullet"/>
      <w:lvlText w:val=""/>
      <w:lvlJc w:val="left"/>
      <w:pPr>
        <w:ind w:left="2160" w:hanging="360"/>
      </w:pPr>
      <w:rPr>
        <w:rFonts w:ascii="Wingdings" w:hAnsi="Wingdings" w:hint="default"/>
      </w:rPr>
    </w:lvl>
    <w:lvl w:ilvl="3" w:tplc="000AC262" w:tentative="1">
      <w:start w:val="1"/>
      <w:numFmt w:val="bullet"/>
      <w:lvlText w:val=""/>
      <w:lvlJc w:val="left"/>
      <w:pPr>
        <w:ind w:left="2880" w:hanging="360"/>
      </w:pPr>
      <w:rPr>
        <w:rFonts w:ascii="Symbol" w:hAnsi="Symbol" w:hint="default"/>
      </w:rPr>
    </w:lvl>
    <w:lvl w:ilvl="4" w:tplc="E4622C24" w:tentative="1">
      <w:start w:val="1"/>
      <w:numFmt w:val="bullet"/>
      <w:lvlText w:val="o"/>
      <w:lvlJc w:val="left"/>
      <w:pPr>
        <w:ind w:left="3600" w:hanging="360"/>
      </w:pPr>
      <w:rPr>
        <w:rFonts w:ascii="Courier New" w:hAnsi="Courier New" w:cs="Courier New" w:hint="default"/>
      </w:rPr>
    </w:lvl>
    <w:lvl w:ilvl="5" w:tplc="B508983C" w:tentative="1">
      <w:start w:val="1"/>
      <w:numFmt w:val="bullet"/>
      <w:lvlText w:val=""/>
      <w:lvlJc w:val="left"/>
      <w:pPr>
        <w:ind w:left="4320" w:hanging="360"/>
      </w:pPr>
      <w:rPr>
        <w:rFonts w:ascii="Wingdings" w:hAnsi="Wingdings" w:hint="default"/>
      </w:rPr>
    </w:lvl>
    <w:lvl w:ilvl="6" w:tplc="C0AC1D78" w:tentative="1">
      <w:start w:val="1"/>
      <w:numFmt w:val="bullet"/>
      <w:lvlText w:val=""/>
      <w:lvlJc w:val="left"/>
      <w:pPr>
        <w:ind w:left="5040" w:hanging="360"/>
      </w:pPr>
      <w:rPr>
        <w:rFonts w:ascii="Symbol" w:hAnsi="Symbol" w:hint="default"/>
      </w:rPr>
    </w:lvl>
    <w:lvl w:ilvl="7" w:tplc="DA021214" w:tentative="1">
      <w:start w:val="1"/>
      <w:numFmt w:val="bullet"/>
      <w:lvlText w:val="o"/>
      <w:lvlJc w:val="left"/>
      <w:pPr>
        <w:ind w:left="5760" w:hanging="360"/>
      </w:pPr>
      <w:rPr>
        <w:rFonts w:ascii="Courier New" w:hAnsi="Courier New" w:cs="Courier New" w:hint="default"/>
      </w:rPr>
    </w:lvl>
    <w:lvl w:ilvl="8" w:tplc="D0B2B564" w:tentative="1">
      <w:start w:val="1"/>
      <w:numFmt w:val="bullet"/>
      <w:lvlText w:val=""/>
      <w:lvlJc w:val="left"/>
      <w:pPr>
        <w:ind w:left="6480" w:hanging="360"/>
      </w:pPr>
      <w:rPr>
        <w:rFonts w:ascii="Wingdings" w:hAnsi="Wingdings" w:hint="default"/>
      </w:rPr>
    </w:lvl>
  </w:abstractNum>
  <w:abstractNum w:abstractNumId="23" w15:restartNumberingAfterBreak="0">
    <w:nsid w:val="48FF3076"/>
    <w:multiLevelType w:val="hybridMultilevel"/>
    <w:tmpl w:val="031A64E8"/>
    <w:lvl w:ilvl="0" w:tplc="17E29B5E">
      <w:numFmt w:val="bullet"/>
      <w:lvlText w:val="•"/>
      <w:lvlJc w:val="left"/>
      <w:pPr>
        <w:ind w:left="1080" w:hanging="720"/>
      </w:pPr>
      <w:rPr>
        <w:rFonts w:ascii="Cambria" w:eastAsiaTheme="minorHAnsi" w:hAnsi="Cambria" w:cstheme="minorBidi" w:hint="default"/>
      </w:rPr>
    </w:lvl>
    <w:lvl w:ilvl="1" w:tplc="0680A798" w:tentative="1">
      <w:start w:val="1"/>
      <w:numFmt w:val="bullet"/>
      <w:lvlText w:val="o"/>
      <w:lvlJc w:val="left"/>
      <w:pPr>
        <w:ind w:left="1440" w:hanging="360"/>
      </w:pPr>
      <w:rPr>
        <w:rFonts w:ascii="Courier New" w:hAnsi="Courier New" w:cs="Courier New" w:hint="default"/>
      </w:rPr>
    </w:lvl>
    <w:lvl w:ilvl="2" w:tplc="EF6C8FB4" w:tentative="1">
      <w:start w:val="1"/>
      <w:numFmt w:val="bullet"/>
      <w:lvlText w:val=""/>
      <w:lvlJc w:val="left"/>
      <w:pPr>
        <w:ind w:left="2160" w:hanging="360"/>
      </w:pPr>
      <w:rPr>
        <w:rFonts w:ascii="Wingdings" w:hAnsi="Wingdings" w:hint="default"/>
      </w:rPr>
    </w:lvl>
    <w:lvl w:ilvl="3" w:tplc="92069D12" w:tentative="1">
      <w:start w:val="1"/>
      <w:numFmt w:val="bullet"/>
      <w:lvlText w:val=""/>
      <w:lvlJc w:val="left"/>
      <w:pPr>
        <w:ind w:left="2880" w:hanging="360"/>
      </w:pPr>
      <w:rPr>
        <w:rFonts w:ascii="Symbol" w:hAnsi="Symbol" w:hint="default"/>
      </w:rPr>
    </w:lvl>
    <w:lvl w:ilvl="4" w:tplc="5B9E3354" w:tentative="1">
      <w:start w:val="1"/>
      <w:numFmt w:val="bullet"/>
      <w:lvlText w:val="o"/>
      <w:lvlJc w:val="left"/>
      <w:pPr>
        <w:ind w:left="3600" w:hanging="360"/>
      </w:pPr>
      <w:rPr>
        <w:rFonts w:ascii="Courier New" w:hAnsi="Courier New" w:cs="Courier New" w:hint="default"/>
      </w:rPr>
    </w:lvl>
    <w:lvl w:ilvl="5" w:tplc="7C20356C" w:tentative="1">
      <w:start w:val="1"/>
      <w:numFmt w:val="bullet"/>
      <w:lvlText w:val=""/>
      <w:lvlJc w:val="left"/>
      <w:pPr>
        <w:ind w:left="4320" w:hanging="360"/>
      </w:pPr>
      <w:rPr>
        <w:rFonts w:ascii="Wingdings" w:hAnsi="Wingdings" w:hint="default"/>
      </w:rPr>
    </w:lvl>
    <w:lvl w:ilvl="6" w:tplc="DAD008AA" w:tentative="1">
      <w:start w:val="1"/>
      <w:numFmt w:val="bullet"/>
      <w:lvlText w:val=""/>
      <w:lvlJc w:val="left"/>
      <w:pPr>
        <w:ind w:left="5040" w:hanging="360"/>
      </w:pPr>
      <w:rPr>
        <w:rFonts w:ascii="Symbol" w:hAnsi="Symbol" w:hint="default"/>
      </w:rPr>
    </w:lvl>
    <w:lvl w:ilvl="7" w:tplc="BBF062F0" w:tentative="1">
      <w:start w:val="1"/>
      <w:numFmt w:val="bullet"/>
      <w:lvlText w:val="o"/>
      <w:lvlJc w:val="left"/>
      <w:pPr>
        <w:ind w:left="5760" w:hanging="360"/>
      </w:pPr>
      <w:rPr>
        <w:rFonts w:ascii="Courier New" w:hAnsi="Courier New" w:cs="Courier New" w:hint="default"/>
      </w:rPr>
    </w:lvl>
    <w:lvl w:ilvl="8" w:tplc="0A96564C"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BE78A4F8"/>
    <w:numStyleLink w:val="Numberlist"/>
  </w:abstractNum>
  <w:abstractNum w:abstractNumId="2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7"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0"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8C10A1"/>
    <w:multiLevelType w:val="multilevel"/>
    <w:tmpl w:val="BE78A4F8"/>
    <w:numStyleLink w:val="Numberlist"/>
  </w:abstractNum>
  <w:abstractNum w:abstractNumId="32" w15:restartNumberingAfterBreak="0">
    <w:nsid w:val="733934B7"/>
    <w:multiLevelType w:val="multilevel"/>
    <w:tmpl w:val="A0241B28"/>
    <w:numStyleLink w:val="List1"/>
  </w:abstractNum>
  <w:abstractNum w:abstractNumId="33" w15:restartNumberingAfterBreak="0">
    <w:nsid w:val="7BE00D48"/>
    <w:multiLevelType w:val="hybridMultilevel"/>
    <w:tmpl w:val="DF52D0E2"/>
    <w:lvl w:ilvl="0" w:tplc="F566CB3E">
      <w:start w:val="1"/>
      <w:numFmt w:val="bullet"/>
      <w:pStyle w:val="dots"/>
      <w:lvlText w:val=""/>
      <w:lvlJc w:val="left"/>
      <w:pPr>
        <w:ind w:left="360" w:hanging="360"/>
      </w:pPr>
      <w:rPr>
        <w:rFonts w:ascii="Symbol" w:hAnsi="Symbol" w:hint="default"/>
      </w:rPr>
    </w:lvl>
    <w:lvl w:ilvl="1" w:tplc="BDBA2DEE">
      <w:start w:val="1"/>
      <w:numFmt w:val="bullet"/>
      <w:pStyle w:val="subdots"/>
      <w:lvlText w:val="o"/>
      <w:lvlJc w:val="left"/>
      <w:pPr>
        <w:ind w:left="1080" w:hanging="360"/>
      </w:pPr>
      <w:rPr>
        <w:rFonts w:ascii="Courier New" w:hAnsi="Courier New" w:cs="Courier New" w:hint="default"/>
      </w:rPr>
    </w:lvl>
    <w:lvl w:ilvl="2" w:tplc="65421FE4">
      <w:start w:val="1"/>
      <w:numFmt w:val="bullet"/>
      <w:lvlText w:val=""/>
      <w:lvlJc w:val="left"/>
      <w:pPr>
        <w:ind w:left="1800" w:hanging="360"/>
      </w:pPr>
      <w:rPr>
        <w:rFonts w:ascii="Wingdings" w:hAnsi="Wingdings" w:hint="default"/>
      </w:rPr>
    </w:lvl>
    <w:lvl w:ilvl="3" w:tplc="DAA20380" w:tentative="1">
      <w:start w:val="1"/>
      <w:numFmt w:val="bullet"/>
      <w:lvlText w:val=""/>
      <w:lvlJc w:val="left"/>
      <w:pPr>
        <w:ind w:left="2520" w:hanging="360"/>
      </w:pPr>
      <w:rPr>
        <w:rFonts w:ascii="Symbol" w:hAnsi="Symbol" w:hint="default"/>
      </w:rPr>
    </w:lvl>
    <w:lvl w:ilvl="4" w:tplc="A5286570" w:tentative="1">
      <w:start w:val="1"/>
      <w:numFmt w:val="bullet"/>
      <w:lvlText w:val="o"/>
      <w:lvlJc w:val="left"/>
      <w:pPr>
        <w:ind w:left="3240" w:hanging="360"/>
      </w:pPr>
      <w:rPr>
        <w:rFonts w:ascii="Courier New" w:hAnsi="Courier New" w:cs="Courier New" w:hint="default"/>
      </w:rPr>
    </w:lvl>
    <w:lvl w:ilvl="5" w:tplc="DE76DD5C" w:tentative="1">
      <w:start w:val="1"/>
      <w:numFmt w:val="bullet"/>
      <w:lvlText w:val=""/>
      <w:lvlJc w:val="left"/>
      <w:pPr>
        <w:ind w:left="3960" w:hanging="360"/>
      </w:pPr>
      <w:rPr>
        <w:rFonts w:ascii="Wingdings" w:hAnsi="Wingdings" w:hint="default"/>
      </w:rPr>
    </w:lvl>
    <w:lvl w:ilvl="6" w:tplc="982E9D94" w:tentative="1">
      <w:start w:val="1"/>
      <w:numFmt w:val="bullet"/>
      <w:lvlText w:val=""/>
      <w:lvlJc w:val="left"/>
      <w:pPr>
        <w:ind w:left="4680" w:hanging="360"/>
      </w:pPr>
      <w:rPr>
        <w:rFonts w:ascii="Symbol" w:hAnsi="Symbol" w:hint="default"/>
      </w:rPr>
    </w:lvl>
    <w:lvl w:ilvl="7" w:tplc="A142EFFE" w:tentative="1">
      <w:start w:val="1"/>
      <w:numFmt w:val="bullet"/>
      <w:lvlText w:val="o"/>
      <w:lvlJc w:val="left"/>
      <w:pPr>
        <w:ind w:left="5400" w:hanging="360"/>
      </w:pPr>
      <w:rPr>
        <w:rFonts w:ascii="Courier New" w:hAnsi="Courier New" w:cs="Courier New" w:hint="default"/>
      </w:rPr>
    </w:lvl>
    <w:lvl w:ilvl="8" w:tplc="766EED68" w:tentative="1">
      <w:start w:val="1"/>
      <w:numFmt w:val="bullet"/>
      <w:lvlText w:val=""/>
      <w:lvlJc w:val="left"/>
      <w:pPr>
        <w:ind w:left="6120" w:hanging="360"/>
      </w:pPr>
      <w:rPr>
        <w:rFonts w:ascii="Wingdings" w:hAnsi="Wingdings" w:hint="default"/>
      </w:rPr>
    </w:lvl>
  </w:abstractNum>
  <w:abstractNum w:abstractNumId="34" w15:restartNumberingAfterBreak="0">
    <w:nsid w:val="7D7B2F65"/>
    <w:multiLevelType w:val="hybridMultilevel"/>
    <w:tmpl w:val="DA10362C"/>
    <w:lvl w:ilvl="0" w:tplc="4426BCEE">
      <w:start w:val="1"/>
      <w:numFmt w:val="bullet"/>
      <w:lvlText w:val=""/>
      <w:lvlJc w:val="left"/>
      <w:pPr>
        <w:ind w:left="360" w:hanging="360"/>
      </w:pPr>
      <w:rPr>
        <w:rFonts w:ascii="Symbol" w:hAnsi="Symbol" w:hint="default"/>
      </w:rPr>
    </w:lvl>
    <w:lvl w:ilvl="1" w:tplc="726CF662" w:tentative="1">
      <w:start w:val="1"/>
      <w:numFmt w:val="bullet"/>
      <w:lvlText w:val="o"/>
      <w:lvlJc w:val="left"/>
      <w:pPr>
        <w:ind w:left="1080" w:hanging="360"/>
      </w:pPr>
      <w:rPr>
        <w:rFonts w:ascii="Courier New" w:hAnsi="Courier New" w:cs="Courier New" w:hint="default"/>
      </w:rPr>
    </w:lvl>
    <w:lvl w:ilvl="2" w:tplc="CAAA6294" w:tentative="1">
      <w:start w:val="1"/>
      <w:numFmt w:val="bullet"/>
      <w:lvlText w:val=""/>
      <w:lvlJc w:val="left"/>
      <w:pPr>
        <w:ind w:left="1800" w:hanging="360"/>
      </w:pPr>
      <w:rPr>
        <w:rFonts w:ascii="Wingdings" w:hAnsi="Wingdings" w:hint="default"/>
      </w:rPr>
    </w:lvl>
    <w:lvl w:ilvl="3" w:tplc="3F587B6A" w:tentative="1">
      <w:start w:val="1"/>
      <w:numFmt w:val="bullet"/>
      <w:lvlText w:val=""/>
      <w:lvlJc w:val="left"/>
      <w:pPr>
        <w:ind w:left="2520" w:hanging="360"/>
      </w:pPr>
      <w:rPr>
        <w:rFonts w:ascii="Symbol" w:hAnsi="Symbol" w:hint="default"/>
      </w:rPr>
    </w:lvl>
    <w:lvl w:ilvl="4" w:tplc="1748954E" w:tentative="1">
      <w:start w:val="1"/>
      <w:numFmt w:val="bullet"/>
      <w:lvlText w:val="o"/>
      <w:lvlJc w:val="left"/>
      <w:pPr>
        <w:ind w:left="3240" w:hanging="360"/>
      </w:pPr>
      <w:rPr>
        <w:rFonts w:ascii="Courier New" w:hAnsi="Courier New" w:cs="Courier New" w:hint="default"/>
      </w:rPr>
    </w:lvl>
    <w:lvl w:ilvl="5" w:tplc="791CA31E" w:tentative="1">
      <w:start w:val="1"/>
      <w:numFmt w:val="bullet"/>
      <w:lvlText w:val=""/>
      <w:lvlJc w:val="left"/>
      <w:pPr>
        <w:ind w:left="3960" w:hanging="360"/>
      </w:pPr>
      <w:rPr>
        <w:rFonts w:ascii="Wingdings" w:hAnsi="Wingdings" w:hint="default"/>
      </w:rPr>
    </w:lvl>
    <w:lvl w:ilvl="6" w:tplc="5A12C01E" w:tentative="1">
      <w:start w:val="1"/>
      <w:numFmt w:val="bullet"/>
      <w:lvlText w:val=""/>
      <w:lvlJc w:val="left"/>
      <w:pPr>
        <w:ind w:left="4680" w:hanging="360"/>
      </w:pPr>
      <w:rPr>
        <w:rFonts w:ascii="Symbol" w:hAnsi="Symbol" w:hint="default"/>
      </w:rPr>
    </w:lvl>
    <w:lvl w:ilvl="7" w:tplc="EF7C2502" w:tentative="1">
      <w:start w:val="1"/>
      <w:numFmt w:val="bullet"/>
      <w:lvlText w:val="o"/>
      <w:lvlJc w:val="left"/>
      <w:pPr>
        <w:ind w:left="5400" w:hanging="360"/>
      </w:pPr>
      <w:rPr>
        <w:rFonts w:ascii="Courier New" w:hAnsi="Courier New" w:cs="Courier New" w:hint="default"/>
      </w:rPr>
    </w:lvl>
    <w:lvl w:ilvl="8" w:tplc="1DFCBEC2" w:tentative="1">
      <w:start w:val="1"/>
      <w:numFmt w:val="bullet"/>
      <w:lvlText w:val=""/>
      <w:lvlJc w:val="left"/>
      <w:pPr>
        <w:ind w:left="6120" w:hanging="360"/>
      </w:pPr>
      <w:rPr>
        <w:rFonts w:ascii="Wingdings" w:hAnsi="Wingdings" w:hint="default"/>
      </w:rPr>
    </w:lvl>
  </w:abstractNum>
  <w:num w:numId="1">
    <w:abstractNumId w:val="6"/>
  </w:num>
  <w:num w:numId="2">
    <w:abstractNumId w:val="21"/>
  </w:num>
  <w:num w:numId="3">
    <w:abstractNumId w:val="22"/>
  </w:num>
  <w:num w:numId="4">
    <w:abstractNumId w:val="9"/>
  </w:num>
  <w:num w:numId="5">
    <w:abstractNumId w:val="28"/>
  </w:num>
  <w:num w:numId="6">
    <w:abstractNumId w:val="29"/>
  </w:num>
  <w:num w:numId="7">
    <w:abstractNumId w:val="7"/>
  </w:num>
  <w:num w:numId="8">
    <w:abstractNumId w:val="14"/>
  </w:num>
  <w:num w:numId="9">
    <w:abstractNumId w:val="19"/>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1"/>
  </w:num>
  <w:num w:numId="16">
    <w:abstractNumId w:val="26"/>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
  </w:num>
  <w:num w:numId="20">
    <w:abstractNumId w:val="0"/>
  </w:num>
  <w:num w:numId="21">
    <w:abstractNumId w:val="16"/>
  </w:num>
  <w:num w:numId="22">
    <w:abstractNumId w:val="24"/>
  </w:num>
  <w:num w:numId="23">
    <w:abstractNumId w:val="31"/>
  </w:num>
  <w:num w:numId="24">
    <w:abstractNumId w:val="13"/>
  </w:num>
  <w:num w:numId="25">
    <w:abstractNumId w:val="2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5"/>
  </w:num>
  <w:num w:numId="29">
    <w:abstractNumId w:val="27"/>
  </w:num>
  <w:num w:numId="30">
    <w:abstractNumId w:val="8"/>
  </w:num>
  <w:num w:numId="31">
    <w:abstractNumId w:val="15"/>
  </w:num>
  <w:num w:numId="32">
    <w:abstractNumId w:val="23"/>
  </w:num>
  <w:num w:numId="33">
    <w:abstractNumId w:val="12"/>
  </w:num>
  <w:num w:numId="34">
    <w:abstractNumId w:val="18"/>
  </w:num>
  <w:num w:numId="35">
    <w:abstractNumId w:val="10"/>
  </w:num>
  <w:num w:numId="36">
    <w:abstractNumId w:val="34"/>
  </w:num>
  <w:num w:numId="37">
    <w:abstractNumId w:val="17"/>
  </w:num>
  <w:num w:numId="38">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42F"/>
    <w:rsid w:val="00022E4B"/>
    <w:rsid w:val="00067838"/>
    <w:rsid w:val="00101426"/>
    <w:rsid w:val="0019352E"/>
    <w:rsid w:val="00222137"/>
    <w:rsid w:val="00261002"/>
    <w:rsid w:val="00284D14"/>
    <w:rsid w:val="00286307"/>
    <w:rsid w:val="002B7EAA"/>
    <w:rsid w:val="002D3308"/>
    <w:rsid w:val="003B51CE"/>
    <w:rsid w:val="004150EF"/>
    <w:rsid w:val="00474D3C"/>
    <w:rsid w:val="004B1D54"/>
    <w:rsid w:val="005043EB"/>
    <w:rsid w:val="00567C49"/>
    <w:rsid w:val="0058002B"/>
    <w:rsid w:val="005A50F0"/>
    <w:rsid w:val="005D1E55"/>
    <w:rsid w:val="006C5145"/>
    <w:rsid w:val="00764D6A"/>
    <w:rsid w:val="00773056"/>
    <w:rsid w:val="008369FE"/>
    <w:rsid w:val="00861EDE"/>
    <w:rsid w:val="0087695D"/>
    <w:rsid w:val="00972D8A"/>
    <w:rsid w:val="00AA7366"/>
    <w:rsid w:val="00B0486D"/>
    <w:rsid w:val="00B460C2"/>
    <w:rsid w:val="00B5740E"/>
    <w:rsid w:val="00B8242F"/>
    <w:rsid w:val="00B91C8C"/>
    <w:rsid w:val="00B97E61"/>
    <w:rsid w:val="00BD7E65"/>
    <w:rsid w:val="00C003C5"/>
    <w:rsid w:val="00C02519"/>
    <w:rsid w:val="00C2209F"/>
    <w:rsid w:val="00C43C4F"/>
    <w:rsid w:val="00C85C62"/>
    <w:rsid w:val="00DD4719"/>
    <w:rsid w:val="00E20810"/>
    <w:rsid w:val="00E555B2"/>
    <w:rsid w:val="00E81AE1"/>
    <w:rsid w:val="00E91D72"/>
    <w:rsid w:val="00EA4A22"/>
    <w:rsid w:val="00EB6C6E"/>
    <w:rsid w:val="00EF55CC"/>
    <w:rsid w:val="00F04729"/>
    <w:rsid w:val="00F35395"/>
    <w:rsid w:val="00FA27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8D8F"/>
  <w15:docId w15:val="{DA1DAD34-4122-4856-9AAA-E9DFBF29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ListParagraph">
    <w:name w:val="List Paragraph"/>
    <w:basedOn w:val="Normal"/>
    <w:link w:val="ListParagraphChar"/>
    <w:uiPriority w:val="34"/>
    <w:qFormat/>
    <w:rsid w:val="00C43C4F"/>
    <w:pPr>
      <w:ind w:left="720"/>
      <w:contextualSpacing/>
    </w:pPr>
  </w:style>
  <w:style w:type="character" w:customStyle="1" w:styleId="ListParagraphChar">
    <w:name w:val="List Paragraph Char"/>
    <w:basedOn w:val="DefaultParagraphFont"/>
    <w:link w:val="ListParagraph"/>
    <w:uiPriority w:val="34"/>
    <w:rsid w:val="00DD4719"/>
    <w:rPr>
      <w:rFonts w:eastAsiaTheme="minorHAnsi" w:cstheme="minorBidi"/>
      <w:sz w:val="22"/>
      <w:szCs w:val="22"/>
      <w:lang w:eastAsia="en-US"/>
    </w:rPr>
  </w:style>
  <w:style w:type="paragraph" w:customStyle="1" w:styleId="dots">
    <w:name w:val="dots"/>
    <w:basedOn w:val="ListParagraph"/>
    <w:qFormat/>
    <w:rsid w:val="00AA7366"/>
    <w:pPr>
      <w:numPr>
        <w:numId w:val="38"/>
      </w:numPr>
      <w:spacing w:after="120" w:line="240" w:lineRule="auto"/>
      <w:contextualSpacing w:val="0"/>
    </w:pPr>
    <w:rPr>
      <w:rFonts w:asciiTheme="minorHAnsi" w:hAnsiTheme="minorHAnsi" w:cstheme="minorHAnsi"/>
      <w:lang w:eastAsia="en-AU"/>
    </w:rPr>
  </w:style>
  <w:style w:type="paragraph" w:customStyle="1" w:styleId="subdots">
    <w:name w:val="sub dots"/>
    <w:basedOn w:val="ListParagraph"/>
    <w:qFormat/>
    <w:rsid w:val="00AA7366"/>
    <w:pPr>
      <w:numPr>
        <w:ilvl w:val="1"/>
        <w:numId w:val="38"/>
      </w:numPr>
      <w:spacing w:after="120" w:line="240" w:lineRule="auto"/>
      <w:contextualSpacing w:val="0"/>
    </w:pPr>
    <w:rPr>
      <w:rFonts w:asciiTheme="minorHAnsi" w:hAnsiTheme="minorHAnsi" w:cstheme="minorHAnsi"/>
      <w:lang w:eastAsia="en-AU"/>
    </w:rPr>
  </w:style>
  <w:style w:type="paragraph" w:customStyle="1" w:styleId="Default">
    <w:name w:val="Default"/>
    <w:rsid w:val="00B91C8C"/>
    <w:pPr>
      <w:autoSpaceDE w:val="0"/>
      <w:autoSpaceDN w:val="0"/>
      <w:adjustRightInd w:val="0"/>
    </w:pPr>
    <w:rPr>
      <w:rFonts w:ascii="MiloPro-Light" w:hAnsi="MiloPro-Light" w:cs="MiloPro-Light"/>
      <w:color w:val="000000"/>
      <w:sz w:val="24"/>
      <w:szCs w:val="24"/>
    </w:rPr>
  </w:style>
  <w:style w:type="paragraph" w:customStyle="1" w:styleId="Pa7">
    <w:name w:val="Pa7"/>
    <w:basedOn w:val="Default"/>
    <w:next w:val="Default"/>
    <w:uiPriority w:val="99"/>
    <w:rsid w:val="00B91C8C"/>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EE32792156D4AAEB6C213DF3076FB" ma:contentTypeVersion="10" ma:contentTypeDescription="Create a new document." ma:contentTypeScope="" ma:versionID="3ddc50125bfef27436fb31b066663a24">
  <xsd:schema xmlns:xsd="http://www.w3.org/2001/XMLSchema" xmlns:xs="http://www.w3.org/2001/XMLSchema" xmlns:p="http://schemas.microsoft.com/office/2006/metadata/properties" xmlns:ns2="67b9edc4-e3a8-4496-a90f-2b9854fe35c2" xmlns:ns3="da87d787-0c89-40d5-bbfb-be767bc14863" targetNamespace="http://schemas.microsoft.com/office/2006/metadata/properties" ma:root="true" ma:fieldsID="0968ac2f27f8a46e5ad0900205a098fd" ns2:_="" ns3:_="">
    <xsd:import namespace="67b9edc4-e3a8-4496-a90f-2b9854fe35c2"/>
    <xsd:import namespace="da87d787-0c89-40d5-bbfb-be767bc14863"/>
    <xsd:element name="properties">
      <xsd:complexType>
        <xsd:sequence>
          <xsd:element name="documentManagement">
            <xsd:complexType>
              <xsd:all>
                <xsd:element ref="ns2:Purpose" minOccurs="0"/>
                <xsd:element ref="ns2:MediaServiceMetadata" minOccurs="0"/>
                <xsd:element ref="ns2:MediaServiceFastMetadata" minOccurs="0"/>
                <xsd:element ref="ns2:c9855bf3401b484e8340b5b8eb40b69e" minOccurs="0"/>
                <xsd:element ref="ns3:TaxCatchAll" minOccurs="0"/>
                <xsd:element ref="ns2:ff31a84d4fbc41fa9a69e30de6eaee2d" minOccurs="0"/>
                <xsd:element ref="ns2:Own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9edc4-e3a8-4496-a90f-2b9854fe35c2" elementFormDefault="qualified">
    <xsd:import namespace="http://schemas.microsoft.com/office/2006/documentManagement/types"/>
    <xsd:import namespace="http://schemas.microsoft.com/office/infopath/2007/PartnerControls"/>
    <xsd:element name="Purpose" ma:index="8" nillable="true" ma:displayName="Purpose" ma:format="Dropdown" ma:internalName="Purpose">
      <xsd:simpleType>
        <xsd:restriction base="dms:Choice">
          <xsd:enumeration value="Form"/>
          <xsd:enumeration value="Template"/>
          <xsd:enumeration value="Image asse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c9855bf3401b484e8340b5b8eb40b69e" ma:index="12" nillable="true" ma:taxonomy="true" ma:internalName="c9855bf3401b484e8340b5b8eb40b69e" ma:taxonomyFieldName="Topic" ma:displayName="Topic" ma:default="" ma:fieldId="{c9855bf3-401b-484e-8340-b5b8eb40b69e}"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ff31a84d4fbc41fa9a69e30de6eaee2d" ma:index="15" nillable="true" ma:taxonomy="true" ma:internalName="ff31a84d4fbc41fa9a69e30de6eaee2d" ma:taxonomyFieldName="Sub_x002d_topic" ma:displayName="Sub-topic" ma:default="" ma:fieldId="{ff31a84d-4fbc-41fa-9a69-e30de6eaee2d}"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Owner" ma:index="16" nillable="true" ma:displayName="Owner (Section)" ma:description="Name of Section responsible for this content" ma:format="Dropdown" ma:internalName="Owner">
      <xsd:simpleType>
        <xsd:restriction base="dms:Text">
          <xsd:maxLength value="255"/>
        </xsd:restriction>
      </xsd:simpleType>
    </xsd:element>
    <xsd:element name="Status" ma:index="17" nillable="true" ma:displayName="Status" ma:default="Interim" ma:format="Dropdown" ma:internalName="Status">
      <xsd:simpleType>
        <xsd:restriction base="dms:Choice">
          <xsd:enumeration value="Interim"/>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a87d787-0c89-40d5-bbfb-be767bc1486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0ff2cd0-6dd7-406c-888e-0bcfa46ad602}" ma:internalName="TaxCatchAll" ma:showField="CatchAllData" ma:web="da87d787-0c89-40d5-bbfb-be767bc14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rpose xmlns="67b9edc4-e3a8-4496-a90f-2b9854fe35c2">Template</Purpose>
    <ff31a84d4fbc41fa9a69e30de6eaee2d xmlns="67b9edc4-e3a8-4496-a90f-2b9854fe35c2">
      <Terms xmlns="http://schemas.microsoft.com/office/infopath/2007/PartnerControls">
        <TermInfo xmlns="http://schemas.microsoft.com/office/infopath/2007/PartnerControls">
          <TermName xmlns="http://schemas.microsoft.com/office/infopath/2007/PartnerControls">Producing materials</TermName>
          <TermId xmlns="http://schemas.microsoft.com/office/infopath/2007/PartnerControls">beb6dc92-c563-4210-bba1-1e3436ed4519</TermId>
        </TermInfo>
      </Terms>
    </ff31a84d4fbc41fa9a69e30de6eaee2d>
    <c9855bf3401b484e8340b5b8eb40b69e xmlns="67b9edc4-e3a8-4496-a90f-2b9854fe35c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12cafea6-325a-4b57-9617-7aee99b0bb8e</TermId>
        </TermInfo>
      </Terms>
    </c9855bf3401b484e8340b5b8eb40b69e>
    <TaxCatchAll xmlns="da87d787-0c89-40d5-bbfb-be767bc14863">
      <Value>8</Value>
      <Value>7</Value>
    </TaxCatchAll>
    <Status xmlns="67b9edc4-e3a8-4496-a90f-2b9854fe35c2">Interim</Status>
    <Owner xmlns="67b9edc4-e3a8-4496-a90f-2b9854fe35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5742E77E-E95E-46A3-AB36-0E5B78298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9edc4-e3a8-4496-a90f-2b9854fe35c2"/>
    <ds:schemaRef ds:uri="da87d787-0c89-40d5-bbfb-be767bc14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purl.org/dc/terms/"/>
    <ds:schemaRef ds:uri="67b9edc4-e3a8-4496-a90f-2b9854fe35c2"/>
    <ds:schemaRef ds:uri="http://schemas.microsoft.com/office/2006/documentManagement/types"/>
    <ds:schemaRef ds:uri="da87d787-0c89-40d5-bbfb-be767bc14863"/>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FD25894B-61AF-42DA-87C8-E0BAD0C9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Murray–Darling Communities Investment Package - First report into implementation March 2021</vt:lpstr>
    </vt:vector>
  </TitlesOfParts>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Communities Investment Package - First report into implementation March 2021</dc:title>
  <dc:creator>Department of Agriculture, Water and the Environment</dc:creator>
  <cp:lastModifiedBy>Grocott, Paul</cp:lastModifiedBy>
  <cp:revision>2</cp:revision>
  <cp:lastPrinted>1899-12-31T13:00:00Z</cp:lastPrinted>
  <dcterms:created xsi:type="dcterms:W3CDTF">2021-03-24T04:10:00Z</dcterms:created>
  <dcterms:modified xsi:type="dcterms:W3CDTF">2021-03-24T07:09:00Z</dcterms:modified>
</cp:coreProperties>
</file>