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55DE5" w14:textId="77777777" w:rsidR="00460D9F" w:rsidRDefault="00CF0B00" w:rsidP="00EB4380">
      <w:pPr>
        <w:pStyle w:val="Heading1"/>
      </w:pPr>
      <w:bookmarkStart w:id="0" w:name="_Hlk64370232"/>
      <w:r w:rsidRPr="00EB4380">
        <w:t>Murray–Darling Communities Investment Package</w:t>
      </w:r>
    </w:p>
    <w:bookmarkEnd w:id="0"/>
    <w:p w14:paraId="480FECC3" w14:textId="77777777" w:rsidR="00EB4380" w:rsidRPr="00E47FC7" w:rsidRDefault="00CF0B00" w:rsidP="00EB4380">
      <w:pPr>
        <w:rPr>
          <w:lang w:val="en-US"/>
        </w:rPr>
      </w:pPr>
      <w:r w:rsidRPr="00E47FC7">
        <w:rPr>
          <w:lang w:val="en-US"/>
        </w:rPr>
        <w:t xml:space="preserve">The Murray–Darling Basin Plan is a long-term $13 billion investment in Australia’s most important food bowl, its </w:t>
      </w:r>
      <w:proofErr w:type="gramStart"/>
      <w:r w:rsidRPr="00E47FC7">
        <w:rPr>
          <w:lang w:val="en-US"/>
        </w:rPr>
        <w:t>people</w:t>
      </w:r>
      <w:proofErr w:type="gramEnd"/>
      <w:r w:rsidRPr="00E47FC7">
        <w:rPr>
          <w:lang w:val="en-US"/>
        </w:rPr>
        <w:t xml:space="preserve"> and its environment. The Australian Government is putting communities and jobs at the heart of the Murray–Darling Basin Plan.</w:t>
      </w:r>
    </w:p>
    <w:p w14:paraId="25FAD520" w14:textId="414822FF" w:rsidR="00955221" w:rsidRDefault="00CF0B00" w:rsidP="00955221">
      <w:pPr>
        <w:rPr>
          <w:rFonts w:cs="Calibri"/>
          <w:i/>
          <w:iCs/>
          <w:lang w:val="en-US"/>
        </w:rPr>
      </w:pPr>
      <w:r w:rsidRPr="00E47FC7">
        <w:rPr>
          <w:lang w:val="en-US"/>
        </w:rPr>
        <w:t xml:space="preserve">To achieve a sustainable and certain future for the Basin, its people, industries and environment the Australian Government has set out a package comprising 11 actions and supported by </w:t>
      </w:r>
      <w:r w:rsidR="003A6D08" w:rsidRPr="00CB39B9">
        <w:rPr>
          <w:lang w:val="en-US"/>
        </w:rPr>
        <w:t>$269.</w:t>
      </w:r>
      <w:r w:rsidR="009D2FEA">
        <w:rPr>
          <w:lang w:val="en-US"/>
        </w:rPr>
        <w:t>6</w:t>
      </w:r>
      <w:r w:rsidR="003A6D08" w:rsidRPr="00CB39B9">
        <w:rPr>
          <w:lang w:val="en-US"/>
        </w:rPr>
        <w:t> million</w:t>
      </w:r>
      <w:r w:rsidR="003A6D08" w:rsidRPr="00E47FC7">
        <w:rPr>
          <w:lang w:val="en-US"/>
        </w:rPr>
        <w:t xml:space="preserve"> </w:t>
      </w:r>
      <w:r w:rsidRPr="00E47FC7">
        <w:rPr>
          <w:lang w:val="en-US"/>
        </w:rPr>
        <w:t>in funding.</w:t>
      </w:r>
      <w:r w:rsidR="00460D9F">
        <w:rPr>
          <w:lang w:val="en-US"/>
        </w:rPr>
        <w:t xml:space="preserve"> </w:t>
      </w:r>
      <w:r w:rsidRPr="00955221">
        <w:rPr>
          <w:lang w:val="en-US"/>
        </w:rPr>
        <w:t>This is the total value of the investment package following the 2020 Budget.</w:t>
      </w:r>
    </w:p>
    <w:p w14:paraId="22CEEFC3" w14:textId="77777777" w:rsidR="00460D9F" w:rsidRDefault="00CF0B00" w:rsidP="00955221">
      <w:r w:rsidRPr="00EB4380">
        <w:t>Our commitment</w:t>
      </w:r>
    </w:p>
    <w:p w14:paraId="77D0DC16" w14:textId="77777777" w:rsidR="00460D9F" w:rsidRDefault="00CF0B00" w:rsidP="00EB4380">
      <w:pPr>
        <w:pStyle w:val="ListBullet"/>
      </w:pPr>
      <w:r w:rsidRPr="00EB4380">
        <w:t>Invest in community resilience and river health</w:t>
      </w:r>
    </w:p>
    <w:p w14:paraId="22982670" w14:textId="77777777" w:rsidR="00460D9F" w:rsidRDefault="00CF0B00" w:rsidP="00EB4380">
      <w:pPr>
        <w:pStyle w:val="ListBullet"/>
      </w:pPr>
      <w:r w:rsidRPr="00EB4380">
        <w:t xml:space="preserve">Build trust, </w:t>
      </w:r>
      <w:proofErr w:type="gramStart"/>
      <w:r w:rsidRPr="00EB4380">
        <w:t>transparency</w:t>
      </w:r>
      <w:proofErr w:type="gramEnd"/>
      <w:r w:rsidRPr="00EB4380">
        <w:t xml:space="preserve"> and accountability in government</w:t>
      </w:r>
    </w:p>
    <w:p w14:paraId="420766A3" w14:textId="77777777" w:rsidR="00EB4380" w:rsidRPr="00EB4380" w:rsidRDefault="00CF0B00" w:rsidP="00EB4380">
      <w:pPr>
        <w:pStyle w:val="ListBullet"/>
      </w:pPr>
      <w:r w:rsidRPr="00EB4380">
        <w:t>Improving implementation of the Basin Plan.</w:t>
      </w:r>
    </w:p>
    <w:p w14:paraId="30F94DC9" w14:textId="77777777" w:rsidR="00460D9F" w:rsidRDefault="00CF0B00" w:rsidP="00EB4380">
      <w:pPr>
        <w:pStyle w:val="Heading2"/>
        <w:numPr>
          <w:ilvl w:val="0"/>
          <w:numId w:val="0"/>
        </w:numPr>
        <w:ind w:left="720" w:hanging="720"/>
      </w:pPr>
      <w:r w:rsidRPr="00EB4380">
        <w:t>Actions</w:t>
      </w:r>
    </w:p>
    <w:p w14:paraId="6729F84D" w14:textId="77777777" w:rsidR="00460D9F" w:rsidRDefault="00CF0B00" w:rsidP="00EB4380">
      <w:pPr>
        <w:pStyle w:val="ListBullet"/>
      </w:pPr>
      <w:r w:rsidRPr="00EB4380">
        <w:t>Stronger leadership</w:t>
      </w:r>
    </w:p>
    <w:p w14:paraId="50278B79" w14:textId="77777777" w:rsidR="00460D9F" w:rsidRDefault="00CF0B00" w:rsidP="00EB4380">
      <w:pPr>
        <w:pStyle w:val="ListBullet"/>
      </w:pPr>
      <w:r w:rsidRPr="00EB4380">
        <w:t>Stronger compliance</w:t>
      </w:r>
    </w:p>
    <w:p w14:paraId="181E7135" w14:textId="77777777" w:rsidR="00460D9F" w:rsidRDefault="00CF0B00" w:rsidP="00EB4380">
      <w:pPr>
        <w:pStyle w:val="ListBullet"/>
      </w:pPr>
      <w:r w:rsidRPr="00EB4380">
        <w:t>Better information</w:t>
      </w:r>
    </w:p>
    <w:p w14:paraId="62E9C655" w14:textId="77777777" w:rsidR="00460D9F" w:rsidRDefault="00CF0B00" w:rsidP="00EB4380">
      <w:pPr>
        <w:pStyle w:val="ListBullet"/>
      </w:pPr>
      <w:r w:rsidRPr="00EB4380">
        <w:t>Better monitoring and reporting of social, economic and environment conditions</w:t>
      </w:r>
    </w:p>
    <w:p w14:paraId="3D6AA10B" w14:textId="77777777" w:rsidR="00460D9F" w:rsidRDefault="00CF0B00" w:rsidP="00EB4380">
      <w:pPr>
        <w:pStyle w:val="ListBullet"/>
      </w:pPr>
      <w:r w:rsidRPr="00EB4380">
        <w:t>Investing in rivers and wetlands</w:t>
      </w:r>
    </w:p>
    <w:p w14:paraId="3EB0E7A1" w14:textId="77777777" w:rsidR="00460D9F" w:rsidRDefault="00CF0B00" w:rsidP="00EB4380">
      <w:pPr>
        <w:pStyle w:val="ListBullet"/>
      </w:pPr>
      <w:r w:rsidRPr="00EB4380">
        <w:t>Investing in communities</w:t>
      </w:r>
    </w:p>
    <w:p w14:paraId="23B2F404" w14:textId="77777777" w:rsidR="00460D9F" w:rsidRDefault="00CF0B00" w:rsidP="00EB4380">
      <w:pPr>
        <w:pStyle w:val="ListBullet"/>
      </w:pPr>
      <w:r w:rsidRPr="00EB4380">
        <w:t>Supporting First Nations Australians</w:t>
      </w:r>
    </w:p>
    <w:p w14:paraId="2347FFD7" w14:textId="77777777" w:rsidR="00460D9F" w:rsidRDefault="00CF0B00" w:rsidP="00EB4380">
      <w:pPr>
        <w:pStyle w:val="ListBullet"/>
      </w:pPr>
      <w:r w:rsidRPr="00EB4380">
        <w:t>Investing in off-farm water efficiency projects</w:t>
      </w:r>
    </w:p>
    <w:p w14:paraId="1C2EB266" w14:textId="77777777" w:rsidR="00460D9F" w:rsidRDefault="00CF0B00" w:rsidP="00EB4380">
      <w:pPr>
        <w:pStyle w:val="ListBullet"/>
      </w:pPr>
      <w:r w:rsidRPr="00EB4380">
        <w:t>Designing and delivering water programs in partnership with communities</w:t>
      </w:r>
    </w:p>
    <w:p w14:paraId="467EBDFC" w14:textId="77777777" w:rsidR="00460D9F" w:rsidRDefault="00CF0B00" w:rsidP="00EB4380">
      <w:pPr>
        <w:pStyle w:val="ListBullet"/>
      </w:pPr>
      <w:r w:rsidRPr="00EB4380">
        <w:t>Delivering environmental outcomes for the Riverland</w:t>
      </w:r>
    </w:p>
    <w:p w14:paraId="074B389A" w14:textId="77777777" w:rsidR="00460D9F" w:rsidRDefault="00CF0B00" w:rsidP="00EB4380">
      <w:pPr>
        <w:pStyle w:val="ListBullet"/>
      </w:pPr>
      <w:r w:rsidRPr="00EB4380">
        <w:t xml:space="preserve">Strengthening working relationships between the Australian Government, </w:t>
      </w:r>
      <w:proofErr w:type="gramStart"/>
      <w:r w:rsidRPr="00EB4380">
        <w:t>states</w:t>
      </w:r>
      <w:proofErr w:type="gramEnd"/>
      <w:r w:rsidRPr="00EB4380">
        <w:t xml:space="preserve"> and local government to improve delivery of the Basin Plan.</w:t>
      </w:r>
    </w:p>
    <w:p w14:paraId="6BC72D6E" w14:textId="77777777" w:rsidR="00EB4380" w:rsidRPr="00EB4380" w:rsidRDefault="00CF0B00" w:rsidP="00460D9F">
      <w:pPr>
        <w:pStyle w:val="Heading2"/>
        <w:keepNext w:val="0"/>
        <w:pageBreakBefore/>
        <w:numPr>
          <w:ilvl w:val="0"/>
          <w:numId w:val="0"/>
        </w:numPr>
      </w:pPr>
      <w:r w:rsidRPr="00EB4380">
        <w:lastRenderedPageBreak/>
        <w:t xml:space="preserve">Investment </w:t>
      </w:r>
      <w:r w:rsidR="00460D9F">
        <w:t>p</w:t>
      </w:r>
      <w:r w:rsidRPr="00EB4380">
        <w:t>ackage</w:t>
      </w:r>
    </w:p>
    <w:p w14:paraId="5326CBB9" w14:textId="77777777" w:rsidR="00EB4380" w:rsidRPr="00EB4380" w:rsidRDefault="00CF0B00" w:rsidP="00EB4380">
      <w:pPr>
        <w:pStyle w:val="Caption"/>
      </w:pPr>
      <w:bookmarkStart w:id="1" w:name="_Toc49258981"/>
      <w:bookmarkStart w:id="2" w:name="_Toc49258980"/>
      <w:r w:rsidRPr="00EB4380">
        <w:t>Invest in community resilience and river health</w:t>
      </w:r>
      <w:bookmarkEnd w:id="1"/>
    </w:p>
    <w:tbl>
      <w:tblPr>
        <w:tblW w:w="5082" w:type="pct"/>
        <w:tblBorders>
          <w:insideH w:val="single" w:sz="4" w:space="0" w:color="auto"/>
        </w:tblBorders>
        <w:tblCellMar>
          <w:left w:w="40" w:type="dxa"/>
          <w:right w:w="40" w:type="dxa"/>
        </w:tblCellMar>
        <w:tblLook w:val="04A0" w:firstRow="1" w:lastRow="0" w:firstColumn="1" w:lastColumn="0" w:noHBand="0" w:noVBand="1"/>
      </w:tblPr>
      <w:tblGrid>
        <w:gridCol w:w="2834"/>
        <w:gridCol w:w="4115"/>
        <w:gridCol w:w="2270"/>
      </w:tblGrid>
      <w:tr w:rsidR="0072440B" w14:paraId="0D2E8BB3" w14:textId="77777777" w:rsidTr="00751F14">
        <w:trPr>
          <w:cantSplit/>
          <w:tblHeader/>
        </w:trPr>
        <w:tc>
          <w:tcPr>
            <w:tcW w:w="1537" w:type="pct"/>
            <w:tcBorders>
              <w:top w:val="single" w:sz="4" w:space="0" w:color="auto"/>
              <w:bottom w:val="single" w:sz="4" w:space="0" w:color="auto"/>
            </w:tcBorders>
            <w:tcMar>
              <w:top w:w="0" w:type="dxa"/>
              <w:left w:w="108" w:type="dxa"/>
              <w:bottom w:w="0" w:type="dxa"/>
              <w:right w:w="108" w:type="dxa"/>
            </w:tcMar>
            <w:hideMark/>
          </w:tcPr>
          <w:p w14:paraId="12624E4E" w14:textId="77777777" w:rsidR="00EB4380" w:rsidRDefault="00CF0B00" w:rsidP="00BF6DCF">
            <w:pPr>
              <w:pStyle w:val="TableHeading"/>
              <w:spacing w:line="256" w:lineRule="auto"/>
            </w:pPr>
            <w:r>
              <w:t>What we are doing</w:t>
            </w:r>
          </w:p>
        </w:tc>
        <w:tc>
          <w:tcPr>
            <w:tcW w:w="2232" w:type="pct"/>
            <w:tcBorders>
              <w:top w:val="single" w:sz="4" w:space="0" w:color="auto"/>
              <w:bottom w:val="single" w:sz="4" w:space="0" w:color="auto"/>
            </w:tcBorders>
            <w:tcMar>
              <w:top w:w="0" w:type="dxa"/>
              <w:left w:w="108" w:type="dxa"/>
              <w:bottom w:w="0" w:type="dxa"/>
              <w:right w:w="108" w:type="dxa"/>
            </w:tcMar>
            <w:hideMark/>
          </w:tcPr>
          <w:p w14:paraId="6062AE7F" w14:textId="77777777" w:rsidR="00EB4380" w:rsidRDefault="00CF0B00" w:rsidP="00BF6DCF">
            <w:pPr>
              <w:pStyle w:val="TableHeading"/>
              <w:spacing w:line="256" w:lineRule="auto"/>
            </w:pPr>
            <w:r>
              <w:t>How we will do it</w:t>
            </w:r>
          </w:p>
        </w:tc>
        <w:tc>
          <w:tcPr>
            <w:tcW w:w="1231" w:type="pct"/>
            <w:tcBorders>
              <w:top w:val="single" w:sz="4" w:space="0" w:color="auto"/>
              <w:bottom w:val="single" w:sz="4" w:space="0" w:color="auto"/>
            </w:tcBorders>
            <w:tcMar>
              <w:top w:w="0" w:type="dxa"/>
              <w:left w:w="108" w:type="dxa"/>
              <w:bottom w:w="0" w:type="dxa"/>
              <w:right w:w="108" w:type="dxa"/>
            </w:tcMar>
            <w:hideMark/>
          </w:tcPr>
          <w:p w14:paraId="44CD25C3" w14:textId="77777777" w:rsidR="00EB4380" w:rsidRDefault="00CF0B00" w:rsidP="00BF6DCF">
            <w:pPr>
              <w:pStyle w:val="TableHeading"/>
              <w:spacing w:line="256" w:lineRule="auto"/>
            </w:pPr>
            <w:r>
              <w:t>By when</w:t>
            </w:r>
          </w:p>
        </w:tc>
      </w:tr>
      <w:tr w:rsidR="0072440B" w14:paraId="22CE461F" w14:textId="77777777" w:rsidTr="00751F14">
        <w:tc>
          <w:tcPr>
            <w:tcW w:w="1537" w:type="pct"/>
            <w:tcBorders>
              <w:top w:val="single" w:sz="4" w:space="0" w:color="auto"/>
            </w:tcBorders>
            <w:tcMar>
              <w:top w:w="0" w:type="dxa"/>
              <w:left w:w="108" w:type="dxa"/>
              <w:bottom w:w="0" w:type="dxa"/>
              <w:right w:w="108" w:type="dxa"/>
            </w:tcMar>
            <w:hideMark/>
          </w:tcPr>
          <w:p w14:paraId="4DB20E0B" w14:textId="77777777" w:rsidR="00EB4380" w:rsidRDefault="00CF0B00" w:rsidP="00BF6DCF">
            <w:pPr>
              <w:pStyle w:val="TableText"/>
              <w:spacing w:line="256" w:lineRule="auto"/>
            </w:pPr>
            <w:r>
              <w:t>Maximising the benefits of the Basin Plan for communities</w:t>
            </w:r>
          </w:p>
        </w:tc>
        <w:tc>
          <w:tcPr>
            <w:tcW w:w="2232" w:type="pct"/>
            <w:tcBorders>
              <w:top w:val="single" w:sz="4" w:space="0" w:color="auto"/>
            </w:tcBorders>
            <w:tcMar>
              <w:top w:w="0" w:type="dxa"/>
              <w:left w:w="108" w:type="dxa"/>
              <w:bottom w:w="0" w:type="dxa"/>
              <w:right w:w="108" w:type="dxa"/>
            </w:tcMar>
            <w:hideMark/>
          </w:tcPr>
          <w:p w14:paraId="42D1A8CB" w14:textId="77777777" w:rsidR="00EB4380" w:rsidRDefault="00CF0B00" w:rsidP="00BF6DCF">
            <w:pPr>
              <w:pStyle w:val="TableText"/>
              <w:spacing w:line="256" w:lineRule="auto"/>
            </w:pPr>
            <w:r>
              <w:t>Deliver $34 million for economic assistance to communities struggling with the effects of water recovery by extending the successful competitive grants Murray–Darling Basin Economic Development Program.</w:t>
            </w:r>
          </w:p>
          <w:p w14:paraId="004543B3" w14:textId="77777777" w:rsidR="00EB4380" w:rsidRDefault="00CF0B00" w:rsidP="00BF6DCF">
            <w:pPr>
              <w:pStyle w:val="TableText"/>
              <w:spacing w:line="256" w:lineRule="auto"/>
            </w:pPr>
            <w:r>
              <w:t>Grants may be used to provide eligible communities impacted by water recovery programs with practical assistance to boost tourism and recreation and to diversify economically.</w:t>
            </w:r>
          </w:p>
          <w:p w14:paraId="7C42D63B" w14:textId="77777777" w:rsidR="00EB4380" w:rsidRDefault="00CF0B00" w:rsidP="00BF6DCF">
            <w:pPr>
              <w:pStyle w:val="TableText"/>
              <w:spacing w:line="256" w:lineRule="auto"/>
            </w:pPr>
            <w:r>
              <w:t>This action responds to needs identified in the Sefton report and builds on the $40 million investment to date from 2 rounds of the Murray–Darling Basin Economic Development Program.</w:t>
            </w:r>
          </w:p>
          <w:p w14:paraId="2B219C15" w14:textId="77777777" w:rsidR="00EB4380" w:rsidRDefault="00CF0B00" w:rsidP="00BF6DCF">
            <w:pPr>
              <w:pStyle w:val="TableText"/>
              <w:spacing w:line="256" w:lineRule="auto"/>
            </w:pPr>
            <w:r>
              <w:t>This action responds to recommendations of the Sefton report.</w:t>
            </w:r>
          </w:p>
        </w:tc>
        <w:tc>
          <w:tcPr>
            <w:tcW w:w="1231" w:type="pct"/>
            <w:tcBorders>
              <w:top w:val="single" w:sz="4" w:space="0" w:color="auto"/>
            </w:tcBorders>
            <w:tcMar>
              <w:top w:w="0" w:type="dxa"/>
              <w:left w:w="108" w:type="dxa"/>
              <w:bottom w:w="0" w:type="dxa"/>
              <w:right w:w="108" w:type="dxa"/>
            </w:tcMar>
          </w:tcPr>
          <w:p w14:paraId="436DA33A" w14:textId="77777777" w:rsidR="00460D9F" w:rsidRDefault="00CF0B00" w:rsidP="00BF6DCF">
            <w:pPr>
              <w:pStyle w:val="TableText"/>
              <w:spacing w:line="256" w:lineRule="auto"/>
            </w:pPr>
            <w:r>
              <w:t>Quarter 1 2021 – round 3</w:t>
            </w:r>
          </w:p>
          <w:p w14:paraId="601BBA7D" w14:textId="77777777" w:rsidR="00EB4380" w:rsidRDefault="00CF0B00" w:rsidP="00BF6DCF">
            <w:pPr>
              <w:pStyle w:val="TableText"/>
              <w:spacing w:line="256" w:lineRule="auto"/>
            </w:pPr>
            <w:r>
              <w:t>Quarter 1 2022 – round 4</w:t>
            </w:r>
          </w:p>
        </w:tc>
      </w:tr>
      <w:tr w:rsidR="0072440B" w14:paraId="17D8FCB1" w14:textId="77777777" w:rsidTr="00751F14">
        <w:tc>
          <w:tcPr>
            <w:tcW w:w="1537" w:type="pct"/>
            <w:tcMar>
              <w:top w:w="0" w:type="dxa"/>
              <w:left w:w="108" w:type="dxa"/>
              <w:bottom w:w="0" w:type="dxa"/>
              <w:right w:w="108" w:type="dxa"/>
            </w:tcMar>
            <w:hideMark/>
          </w:tcPr>
          <w:p w14:paraId="5E64DEA3" w14:textId="77777777" w:rsidR="00EB4380" w:rsidRDefault="00CF0B00" w:rsidP="00BF6DCF">
            <w:pPr>
              <w:pStyle w:val="TableText"/>
              <w:spacing w:line="256" w:lineRule="auto"/>
            </w:pPr>
            <w:r>
              <w:t>Improving river health for all users</w:t>
            </w:r>
          </w:p>
        </w:tc>
        <w:tc>
          <w:tcPr>
            <w:tcW w:w="2232" w:type="pct"/>
            <w:tcMar>
              <w:top w:w="0" w:type="dxa"/>
              <w:left w:w="108" w:type="dxa"/>
              <w:bottom w:w="0" w:type="dxa"/>
              <w:right w:w="108" w:type="dxa"/>
            </w:tcMar>
            <w:hideMark/>
          </w:tcPr>
          <w:p w14:paraId="5EBE0913" w14:textId="77777777" w:rsidR="00EB4380" w:rsidRDefault="00CF0B00" w:rsidP="00BF6DCF">
            <w:pPr>
              <w:pStyle w:val="TableText"/>
              <w:spacing w:line="256" w:lineRule="auto"/>
            </w:pPr>
            <w:r>
              <w:t>Deliver $20 million to fund community-driven grants for on-ground projects that will improve the health of rivers and wetlands.</w:t>
            </w:r>
          </w:p>
          <w:p w14:paraId="3B6F1364" w14:textId="77777777" w:rsidR="00EB4380" w:rsidRDefault="00CF0B00" w:rsidP="00BF6DCF">
            <w:pPr>
              <w:pStyle w:val="TableText"/>
              <w:spacing w:line="256" w:lineRule="auto"/>
            </w:pPr>
            <w:r>
              <w:t>This builds on existing commitments to the environment of:</w:t>
            </w:r>
          </w:p>
          <w:p w14:paraId="2F47B5FA" w14:textId="77777777" w:rsidR="00EB4380" w:rsidRDefault="00CF0B00" w:rsidP="00EB4380">
            <w:pPr>
              <w:pStyle w:val="TableText"/>
              <w:numPr>
                <w:ilvl w:val="0"/>
                <w:numId w:val="32"/>
              </w:numPr>
              <w:spacing w:line="256" w:lineRule="auto"/>
            </w:pPr>
            <w:r>
              <w:t>$6 million for a fish passage in the Lower Darling</w:t>
            </w:r>
          </w:p>
          <w:p w14:paraId="6D1CF8B5" w14:textId="77777777" w:rsidR="00EB4380" w:rsidRDefault="00CF0B00" w:rsidP="00EB4380">
            <w:pPr>
              <w:pStyle w:val="TableText"/>
              <w:numPr>
                <w:ilvl w:val="0"/>
                <w:numId w:val="32"/>
              </w:numPr>
              <w:spacing w:line="256" w:lineRule="auto"/>
            </w:pPr>
            <w:r>
              <w:t>$10 million to establish hatcheries at St George and Menindee</w:t>
            </w:r>
          </w:p>
          <w:p w14:paraId="0B7E1D23" w14:textId="77777777" w:rsidR="00EB4380" w:rsidRDefault="00CF0B00" w:rsidP="00EB4380">
            <w:pPr>
              <w:pStyle w:val="TableText"/>
              <w:numPr>
                <w:ilvl w:val="0"/>
                <w:numId w:val="32"/>
              </w:numPr>
              <w:spacing w:line="256" w:lineRule="auto"/>
            </w:pPr>
            <w:r>
              <w:t>$15 million to fence Northern Basin riverbanks</w:t>
            </w:r>
          </w:p>
          <w:p w14:paraId="0030720E" w14:textId="77777777" w:rsidR="00EB4380" w:rsidRDefault="00CF0B00" w:rsidP="00EB4380">
            <w:pPr>
              <w:pStyle w:val="TableText"/>
              <w:numPr>
                <w:ilvl w:val="0"/>
                <w:numId w:val="32"/>
              </w:numPr>
              <w:spacing w:line="256" w:lineRule="auto"/>
            </w:pPr>
            <w:r>
              <w:t xml:space="preserve">$9.2 million to modify and decommission water infrastructure at </w:t>
            </w:r>
            <w:proofErr w:type="spellStart"/>
            <w:r>
              <w:t>Toorale</w:t>
            </w:r>
            <w:proofErr w:type="spellEnd"/>
            <w:r>
              <w:t>.</w:t>
            </w:r>
          </w:p>
        </w:tc>
        <w:tc>
          <w:tcPr>
            <w:tcW w:w="1231" w:type="pct"/>
            <w:tcMar>
              <w:top w:w="0" w:type="dxa"/>
              <w:left w:w="108" w:type="dxa"/>
              <w:bottom w:w="0" w:type="dxa"/>
              <w:right w:w="108" w:type="dxa"/>
            </w:tcMar>
            <w:hideMark/>
          </w:tcPr>
          <w:p w14:paraId="5D942840" w14:textId="77777777" w:rsidR="00EB4380" w:rsidRDefault="00CF0B00" w:rsidP="00BF6DCF">
            <w:pPr>
              <w:pStyle w:val="TableText"/>
              <w:spacing w:line="256" w:lineRule="auto"/>
            </w:pPr>
            <w:r>
              <w:t>Quarter 1 2021</w:t>
            </w:r>
          </w:p>
        </w:tc>
      </w:tr>
      <w:tr w:rsidR="0072440B" w14:paraId="6B3B9138" w14:textId="77777777" w:rsidTr="00751F14">
        <w:tc>
          <w:tcPr>
            <w:tcW w:w="1537" w:type="pct"/>
            <w:tcMar>
              <w:top w:w="0" w:type="dxa"/>
              <w:left w:w="108" w:type="dxa"/>
              <w:bottom w:w="0" w:type="dxa"/>
              <w:right w:w="108" w:type="dxa"/>
            </w:tcMar>
            <w:hideMark/>
          </w:tcPr>
          <w:p w14:paraId="7A62C134" w14:textId="77777777" w:rsidR="00EB4380" w:rsidRDefault="00CF0B00" w:rsidP="00BF6DCF">
            <w:pPr>
              <w:pStyle w:val="TableText"/>
              <w:spacing w:line="256" w:lineRule="auto"/>
            </w:pPr>
            <w:r>
              <w:t>Delivering environmental outcomes in the Riverland</w:t>
            </w:r>
          </w:p>
        </w:tc>
        <w:tc>
          <w:tcPr>
            <w:tcW w:w="2232" w:type="pct"/>
            <w:tcMar>
              <w:top w:w="0" w:type="dxa"/>
              <w:left w:w="108" w:type="dxa"/>
              <w:bottom w:w="0" w:type="dxa"/>
              <w:right w:w="108" w:type="dxa"/>
            </w:tcMar>
            <w:hideMark/>
          </w:tcPr>
          <w:p w14:paraId="399ADCDB" w14:textId="77777777" w:rsidR="00460D9F" w:rsidRDefault="00CF0B00" w:rsidP="00BF6DCF">
            <w:pPr>
              <w:pStyle w:val="TableText"/>
              <w:spacing w:line="256" w:lineRule="auto"/>
            </w:pPr>
            <w:r>
              <w:t>Deliver $37.6 million in practical projects to sustain Riverland environments. We will work with the South Australian Government to deliver projects. This action recognises that there have been delays in progress towards securing an additional 450 GL of water to improve river health and habitats on the lower Murray.</w:t>
            </w:r>
          </w:p>
          <w:p w14:paraId="051785DE" w14:textId="77777777" w:rsidR="00460D9F" w:rsidRDefault="00CF0B00" w:rsidP="00BF6DCF">
            <w:pPr>
              <w:pStyle w:val="TableText"/>
              <w:spacing w:line="256" w:lineRule="auto"/>
            </w:pPr>
            <w:r>
              <w:t>Recover the 450 GL of water for the environment in ways that support Basin communities.</w:t>
            </w:r>
          </w:p>
          <w:p w14:paraId="727753FC" w14:textId="77777777" w:rsidR="00EB4380" w:rsidRDefault="00CF0B00" w:rsidP="00BF6DCF">
            <w:pPr>
              <w:pStyle w:val="TableText"/>
              <w:spacing w:line="256" w:lineRule="auto"/>
            </w:pPr>
            <w:r>
              <w:t>This action responds to the findings of the WESA report and the recommendations of the Sefton report.</w:t>
            </w:r>
          </w:p>
        </w:tc>
        <w:tc>
          <w:tcPr>
            <w:tcW w:w="1231" w:type="pct"/>
            <w:tcMar>
              <w:top w:w="0" w:type="dxa"/>
              <w:left w:w="108" w:type="dxa"/>
              <w:bottom w:w="0" w:type="dxa"/>
              <w:right w:w="108" w:type="dxa"/>
            </w:tcMar>
            <w:hideMark/>
          </w:tcPr>
          <w:p w14:paraId="66DDEF8B" w14:textId="77777777" w:rsidR="00EB4380" w:rsidRDefault="00CF0B00" w:rsidP="00BF6DCF">
            <w:pPr>
              <w:pStyle w:val="TableText"/>
              <w:spacing w:line="256" w:lineRule="auto"/>
            </w:pPr>
            <w:r>
              <w:t>Quarter 4 2020</w:t>
            </w:r>
          </w:p>
        </w:tc>
      </w:tr>
      <w:tr w:rsidR="0072440B" w14:paraId="6D1AC01D" w14:textId="77777777" w:rsidTr="00751F14">
        <w:tc>
          <w:tcPr>
            <w:tcW w:w="1537" w:type="pct"/>
            <w:tcMar>
              <w:top w:w="0" w:type="dxa"/>
              <w:left w:w="108" w:type="dxa"/>
              <w:bottom w:w="0" w:type="dxa"/>
              <w:right w:w="108" w:type="dxa"/>
            </w:tcMar>
            <w:hideMark/>
          </w:tcPr>
          <w:p w14:paraId="673EF67F" w14:textId="77777777" w:rsidR="00EB4380" w:rsidRDefault="00CF0B00" w:rsidP="00BF6DCF">
            <w:pPr>
              <w:pStyle w:val="TableText"/>
              <w:spacing w:line="256" w:lineRule="auto"/>
              <w:rPr>
                <w:lang w:val="en-US"/>
              </w:rPr>
            </w:pPr>
            <w:r>
              <w:rPr>
                <w:lang w:val="en-US"/>
              </w:rPr>
              <w:t>Supporting First Nations Australians to play an active role in river health</w:t>
            </w:r>
          </w:p>
        </w:tc>
        <w:tc>
          <w:tcPr>
            <w:tcW w:w="2232" w:type="pct"/>
            <w:tcMar>
              <w:top w:w="0" w:type="dxa"/>
              <w:left w:w="108" w:type="dxa"/>
              <w:bottom w:w="0" w:type="dxa"/>
              <w:right w:w="108" w:type="dxa"/>
            </w:tcMar>
            <w:hideMark/>
          </w:tcPr>
          <w:p w14:paraId="7583485D" w14:textId="77777777" w:rsidR="00EB4380" w:rsidRDefault="00CF0B00" w:rsidP="00BF6DCF">
            <w:pPr>
              <w:pStyle w:val="TableText"/>
              <w:spacing w:line="256" w:lineRule="auto"/>
            </w:pPr>
            <w:r>
              <w:t>Deliver $3.1 million for four new First Nations River Rangers teams, creating around 20 jobs.</w:t>
            </w:r>
          </w:p>
          <w:p w14:paraId="487C1D02" w14:textId="77777777" w:rsidR="00EB4380" w:rsidRDefault="00CF0B00" w:rsidP="00BF6DCF">
            <w:pPr>
              <w:pStyle w:val="TableText"/>
              <w:spacing w:line="256" w:lineRule="auto"/>
            </w:pPr>
            <w:r>
              <w:t>Agree the framework for implementing the $40 million Aboriginal water entitlements program with Aboriginal communities.</w:t>
            </w:r>
          </w:p>
          <w:p w14:paraId="5C71AE11" w14:textId="77777777" w:rsidR="00EB4380" w:rsidRDefault="00CF0B00" w:rsidP="00BF6DCF">
            <w:pPr>
              <w:pStyle w:val="TableText"/>
              <w:spacing w:line="256" w:lineRule="auto"/>
            </w:pPr>
            <w:r>
              <w:t>Appointment of an Indigenous board member to the Murray–Darling Basin Authority.</w:t>
            </w:r>
          </w:p>
          <w:p w14:paraId="102FA1F0" w14:textId="77777777" w:rsidR="00EB4380" w:rsidRDefault="00CF0B00" w:rsidP="00BF6DCF">
            <w:pPr>
              <w:pStyle w:val="TableText"/>
              <w:spacing w:line="256" w:lineRule="auto"/>
            </w:pPr>
            <w:r>
              <w:t>This action partly responds to recommendations of the Sefton report.</w:t>
            </w:r>
          </w:p>
        </w:tc>
        <w:tc>
          <w:tcPr>
            <w:tcW w:w="1231" w:type="pct"/>
            <w:tcMar>
              <w:top w:w="0" w:type="dxa"/>
              <w:left w:w="108" w:type="dxa"/>
              <w:bottom w:w="0" w:type="dxa"/>
              <w:right w:w="108" w:type="dxa"/>
            </w:tcMar>
          </w:tcPr>
          <w:p w14:paraId="0E642CE9" w14:textId="77777777" w:rsidR="00460D9F" w:rsidRDefault="00CF0B00" w:rsidP="00BF6DCF">
            <w:pPr>
              <w:pStyle w:val="TableText"/>
              <w:spacing w:line="256" w:lineRule="auto"/>
            </w:pPr>
            <w:r>
              <w:t>Quarter 3 2021</w:t>
            </w:r>
          </w:p>
          <w:p w14:paraId="341BAD61" w14:textId="77777777" w:rsidR="00460D9F" w:rsidRDefault="00CF0B00" w:rsidP="00BF6DCF">
            <w:pPr>
              <w:pStyle w:val="TableText"/>
              <w:spacing w:line="256" w:lineRule="auto"/>
            </w:pPr>
            <w:r>
              <w:t>Quarter 1 2021</w:t>
            </w:r>
          </w:p>
          <w:p w14:paraId="24D727B3" w14:textId="77777777" w:rsidR="00EB4380" w:rsidRDefault="00CF0B00" w:rsidP="00BF6DCF">
            <w:pPr>
              <w:pStyle w:val="TableText"/>
              <w:spacing w:line="256" w:lineRule="auto"/>
            </w:pPr>
            <w:r>
              <w:t>Quarter 4 2020</w:t>
            </w:r>
          </w:p>
        </w:tc>
      </w:tr>
    </w:tbl>
    <w:p w14:paraId="3648FA51" w14:textId="77777777" w:rsidR="00EB4380" w:rsidRPr="005335EF" w:rsidRDefault="00CF0B00" w:rsidP="00EB4380">
      <w:pPr>
        <w:pStyle w:val="Caption"/>
      </w:pPr>
      <w:r w:rsidRPr="005335EF">
        <w:lastRenderedPageBreak/>
        <w:t xml:space="preserve">Build trust, </w:t>
      </w:r>
      <w:proofErr w:type="gramStart"/>
      <w:r w:rsidRPr="005335EF">
        <w:t>transparency</w:t>
      </w:r>
      <w:proofErr w:type="gramEnd"/>
      <w:r w:rsidRPr="005335EF">
        <w:t xml:space="preserve"> and accountability</w:t>
      </w:r>
      <w:bookmarkEnd w:id="2"/>
      <w:r w:rsidRPr="005335EF">
        <w:t xml:space="preserve"> in government</w:t>
      </w:r>
    </w:p>
    <w:tbl>
      <w:tblPr>
        <w:tblW w:w="5000" w:type="pct"/>
        <w:tblBorders>
          <w:insideH w:val="single" w:sz="4" w:space="0" w:color="auto"/>
        </w:tblBorders>
        <w:tblCellMar>
          <w:left w:w="40" w:type="dxa"/>
          <w:right w:w="40" w:type="dxa"/>
        </w:tblCellMar>
        <w:tblLook w:val="04A0" w:firstRow="1" w:lastRow="0" w:firstColumn="1" w:lastColumn="0" w:noHBand="0" w:noVBand="1"/>
      </w:tblPr>
      <w:tblGrid>
        <w:gridCol w:w="2833"/>
        <w:gridCol w:w="4116"/>
        <w:gridCol w:w="2121"/>
      </w:tblGrid>
      <w:tr w:rsidR="0072440B" w14:paraId="094C4C65" w14:textId="77777777" w:rsidTr="00751F14">
        <w:trPr>
          <w:cantSplit/>
          <w:tblHeader/>
        </w:trPr>
        <w:tc>
          <w:tcPr>
            <w:tcW w:w="1562" w:type="pct"/>
            <w:tcBorders>
              <w:top w:val="single" w:sz="4" w:space="0" w:color="auto"/>
              <w:bottom w:val="single" w:sz="4" w:space="0" w:color="auto"/>
            </w:tcBorders>
            <w:tcMar>
              <w:top w:w="0" w:type="dxa"/>
              <w:left w:w="108" w:type="dxa"/>
              <w:bottom w:w="0" w:type="dxa"/>
              <w:right w:w="108" w:type="dxa"/>
            </w:tcMar>
            <w:hideMark/>
          </w:tcPr>
          <w:p w14:paraId="28B7D0EA" w14:textId="77777777" w:rsidR="00EB4380" w:rsidRDefault="00CF0B00" w:rsidP="00BF6DCF">
            <w:pPr>
              <w:pStyle w:val="TableHeading"/>
              <w:spacing w:line="256" w:lineRule="auto"/>
            </w:pPr>
            <w:r>
              <w:t>What we are doing</w:t>
            </w:r>
          </w:p>
        </w:tc>
        <w:tc>
          <w:tcPr>
            <w:tcW w:w="2269" w:type="pct"/>
            <w:tcBorders>
              <w:top w:val="single" w:sz="4" w:space="0" w:color="auto"/>
              <w:bottom w:val="single" w:sz="4" w:space="0" w:color="auto"/>
            </w:tcBorders>
            <w:tcMar>
              <w:top w:w="0" w:type="dxa"/>
              <w:left w:w="108" w:type="dxa"/>
              <w:bottom w:w="0" w:type="dxa"/>
              <w:right w:w="108" w:type="dxa"/>
            </w:tcMar>
            <w:hideMark/>
          </w:tcPr>
          <w:p w14:paraId="2ED67288" w14:textId="77777777" w:rsidR="00EB4380" w:rsidRDefault="00CF0B00" w:rsidP="00BF6DCF">
            <w:pPr>
              <w:pStyle w:val="TableHeading"/>
              <w:spacing w:line="256" w:lineRule="auto"/>
            </w:pPr>
            <w:r>
              <w:t>How we will do it</w:t>
            </w:r>
          </w:p>
        </w:tc>
        <w:tc>
          <w:tcPr>
            <w:tcW w:w="1169" w:type="pct"/>
            <w:tcBorders>
              <w:top w:val="single" w:sz="4" w:space="0" w:color="auto"/>
              <w:bottom w:val="single" w:sz="4" w:space="0" w:color="auto"/>
            </w:tcBorders>
            <w:tcMar>
              <w:top w:w="0" w:type="dxa"/>
              <w:left w:w="108" w:type="dxa"/>
              <w:bottom w:w="0" w:type="dxa"/>
              <w:right w:w="108" w:type="dxa"/>
            </w:tcMar>
            <w:hideMark/>
          </w:tcPr>
          <w:p w14:paraId="73F496DB" w14:textId="77777777" w:rsidR="00EB4380" w:rsidRDefault="00CF0B00" w:rsidP="00BF6DCF">
            <w:pPr>
              <w:pStyle w:val="TableHeading"/>
              <w:spacing w:line="256" w:lineRule="auto"/>
            </w:pPr>
            <w:r>
              <w:t>By when</w:t>
            </w:r>
          </w:p>
        </w:tc>
      </w:tr>
      <w:tr w:rsidR="0072440B" w14:paraId="5F7BCA45" w14:textId="77777777" w:rsidTr="00751F14">
        <w:tc>
          <w:tcPr>
            <w:tcW w:w="1562" w:type="pct"/>
            <w:tcBorders>
              <w:top w:val="single" w:sz="4" w:space="0" w:color="auto"/>
            </w:tcBorders>
            <w:tcMar>
              <w:top w:w="0" w:type="dxa"/>
              <w:left w:w="108" w:type="dxa"/>
              <w:bottom w:w="0" w:type="dxa"/>
              <w:right w:w="108" w:type="dxa"/>
            </w:tcMar>
            <w:hideMark/>
          </w:tcPr>
          <w:p w14:paraId="4F1B637B" w14:textId="77777777" w:rsidR="00EB4380" w:rsidRDefault="00CF0B00" w:rsidP="00BF6DCF">
            <w:pPr>
              <w:pStyle w:val="TableText"/>
              <w:spacing w:line="256" w:lineRule="auto"/>
            </w:pPr>
            <w:r>
              <w:t>Providing stronger leadership</w:t>
            </w:r>
          </w:p>
        </w:tc>
        <w:tc>
          <w:tcPr>
            <w:tcW w:w="2269" w:type="pct"/>
            <w:tcBorders>
              <w:top w:val="single" w:sz="4" w:space="0" w:color="auto"/>
            </w:tcBorders>
            <w:tcMar>
              <w:top w:w="0" w:type="dxa"/>
              <w:left w:w="108" w:type="dxa"/>
              <w:bottom w:w="0" w:type="dxa"/>
              <w:right w:w="108" w:type="dxa"/>
            </w:tcMar>
            <w:hideMark/>
          </w:tcPr>
          <w:p w14:paraId="68C446A3" w14:textId="77777777" w:rsidR="00EB4380" w:rsidRDefault="00CF0B00" w:rsidP="00BF6DCF">
            <w:pPr>
              <w:pStyle w:val="TableText"/>
              <w:spacing w:line="256" w:lineRule="auto"/>
            </w:pPr>
            <w:r>
              <w:t>Build a culture of genuine engagement and trust with communities and between governments.</w:t>
            </w:r>
          </w:p>
          <w:p w14:paraId="4CD6DD11" w14:textId="77777777" w:rsidR="00EB4380" w:rsidRDefault="00CF0B00" w:rsidP="00BF6DCF">
            <w:pPr>
              <w:pStyle w:val="TableText"/>
              <w:spacing w:line="256" w:lineRule="auto"/>
            </w:pPr>
            <w:r>
              <w:t>Maximising the benefits of the Basin Plan for all communities.</w:t>
            </w:r>
          </w:p>
          <w:p w14:paraId="69EBA6B2" w14:textId="77777777" w:rsidR="00460D9F" w:rsidRDefault="00CF0B00" w:rsidP="00BF6DCF">
            <w:pPr>
              <w:pStyle w:val="TableText"/>
              <w:spacing w:line="256" w:lineRule="auto"/>
            </w:pPr>
            <w:r>
              <w:t>Lead the Murray-Darling Basin Ministerial Council in empowering communities to determine their own future and to keep governments accountable.</w:t>
            </w:r>
          </w:p>
          <w:p w14:paraId="1066EC7C" w14:textId="77777777" w:rsidR="00EB4380" w:rsidRDefault="00CF0B00" w:rsidP="00BF6DCF">
            <w:pPr>
              <w:pStyle w:val="TableText"/>
              <w:spacing w:line="256" w:lineRule="auto"/>
            </w:pPr>
            <w:r>
              <w:t>Report 3 times a year on progress against the Package.</w:t>
            </w:r>
          </w:p>
          <w:p w14:paraId="578B0126" w14:textId="77777777" w:rsidR="00EB4380" w:rsidRDefault="00CF0B00" w:rsidP="00BF6DCF">
            <w:pPr>
              <w:pStyle w:val="TableText"/>
              <w:spacing w:line="256" w:lineRule="auto"/>
            </w:pPr>
            <w:r>
              <w:t>Use the outcomes of the Sefton report to inform future work and decisions on implementing the Basin Plan.</w:t>
            </w:r>
          </w:p>
          <w:p w14:paraId="0AB8002D" w14:textId="77777777" w:rsidR="00EB4380" w:rsidRDefault="00CF0B00" w:rsidP="00BF6DCF">
            <w:pPr>
              <w:pStyle w:val="TableText"/>
              <w:spacing w:line="256" w:lineRule="auto"/>
            </w:pPr>
            <w:r>
              <w:t>Appointed Air Chief Marshal Sir Angus Houston AK, AFC (</w:t>
            </w:r>
            <w:proofErr w:type="spellStart"/>
            <w:r>
              <w:t>Ret’d</w:t>
            </w:r>
            <w:proofErr w:type="spellEnd"/>
            <w:r>
              <w:t>) to provide strong and strategic leadership as Chair of the Murray–Darling Basin Authority.</w:t>
            </w:r>
          </w:p>
          <w:p w14:paraId="4FEB6B01" w14:textId="77777777" w:rsidR="00EB4380" w:rsidRDefault="00CF0B00" w:rsidP="00BF6DCF">
            <w:pPr>
              <w:pStyle w:val="TableText"/>
              <w:spacing w:line="256" w:lineRule="auto"/>
            </w:pPr>
            <w:r>
              <w:t>This action responds to recommendations of the Sefton report.</w:t>
            </w:r>
          </w:p>
        </w:tc>
        <w:tc>
          <w:tcPr>
            <w:tcW w:w="1169" w:type="pct"/>
            <w:tcBorders>
              <w:top w:val="single" w:sz="4" w:space="0" w:color="auto"/>
            </w:tcBorders>
            <w:tcMar>
              <w:top w:w="0" w:type="dxa"/>
              <w:left w:w="108" w:type="dxa"/>
              <w:bottom w:w="0" w:type="dxa"/>
              <w:right w:w="108" w:type="dxa"/>
            </w:tcMar>
          </w:tcPr>
          <w:p w14:paraId="1574E919" w14:textId="77777777" w:rsidR="00460D9F" w:rsidRDefault="00CF0B00" w:rsidP="00BF6DCF">
            <w:pPr>
              <w:pStyle w:val="TableText"/>
              <w:spacing w:line="256" w:lineRule="auto"/>
            </w:pPr>
            <w:r>
              <w:t>Quarter 4 2020</w:t>
            </w:r>
          </w:p>
          <w:p w14:paraId="411F0E7E" w14:textId="77777777" w:rsidR="00EB4380" w:rsidRDefault="00CF0B00" w:rsidP="00BF6DCF">
            <w:pPr>
              <w:pStyle w:val="TableText"/>
              <w:spacing w:line="256" w:lineRule="auto"/>
            </w:pPr>
            <w:r>
              <w:t>Complete</w:t>
            </w:r>
          </w:p>
        </w:tc>
      </w:tr>
      <w:tr w:rsidR="0072440B" w14:paraId="5A665539" w14:textId="77777777" w:rsidTr="00751F14">
        <w:tc>
          <w:tcPr>
            <w:tcW w:w="1562" w:type="pct"/>
            <w:tcMar>
              <w:top w:w="0" w:type="dxa"/>
              <w:left w:w="108" w:type="dxa"/>
              <w:bottom w:w="0" w:type="dxa"/>
              <w:right w:w="108" w:type="dxa"/>
            </w:tcMar>
            <w:hideMark/>
          </w:tcPr>
          <w:p w14:paraId="2B0B9262" w14:textId="77777777" w:rsidR="00EB4380" w:rsidRDefault="00CF0B00" w:rsidP="00BF6DCF">
            <w:pPr>
              <w:pStyle w:val="TableText"/>
              <w:spacing w:line="256" w:lineRule="auto"/>
            </w:pPr>
            <w:r>
              <w:t>Ensuring stronger compliance</w:t>
            </w:r>
          </w:p>
        </w:tc>
        <w:tc>
          <w:tcPr>
            <w:tcW w:w="2269" w:type="pct"/>
            <w:tcMar>
              <w:top w:w="0" w:type="dxa"/>
              <w:left w:w="108" w:type="dxa"/>
              <w:bottom w:w="0" w:type="dxa"/>
              <w:right w:w="108" w:type="dxa"/>
            </w:tcMar>
            <w:hideMark/>
          </w:tcPr>
          <w:p w14:paraId="75FB80DB" w14:textId="77777777" w:rsidR="00EB4380" w:rsidRDefault="00CF0B00" w:rsidP="00BF6DCF">
            <w:pPr>
              <w:pStyle w:val="TableText"/>
              <w:spacing w:line="256" w:lineRule="auto"/>
            </w:pPr>
            <w:r>
              <w:t>Establish a statutory and independent Inspector-General of Water Compliance. This will bring together the water compliance role of the Murray–Darling Basin Authority with the assurance role of the Interim Inspector-General of Murray–Darling Basin Water Resources.</w:t>
            </w:r>
          </w:p>
          <w:p w14:paraId="4C8B47CC" w14:textId="77777777" w:rsidR="00EB4380" w:rsidRDefault="00CF0B00" w:rsidP="00BF6DCF">
            <w:pPr>
              <w:pStyle w:val="TableText"/>
              <w:spacing w:line="256" w:lineRule="auto"/>
            </w:pPr>
            <w:r>
              <w:t>Deliver $38.7 million to improve Commonwealth water compliance functions. This builds on the Commonwealth’s existing commitment of $60 million for improvements in water metering and remote sensing.</w:t>
            </w:r>
          </w:p>
          <w:p w14:paraId="164E28DD" w14:textId="77777777" w:rsidR="00EB4380" w:rsidRDefault="00CF0B00" w:rsidP="00BF6DCF">
            <w:pPr>
              <w:pStyle w:val="TableText"/>
              <w:spacing w:line="256" w:lineRule="auto"/>
            </w:pPr>
            <w:r>
              <w:t>This action responds to recommendations of the Sefton report and the interim ACCC report.</w:t>
            </w:r>
          </w:p>
        </w:tc>
        <w:tc>
          <w:tcPr>
            <w:tcW w:w="1169" w:type="pct"/>
            <w:tcMar>
              <w:top w:w="0" w:type="dxa"/>
              <w:left w:w="108" w:type="dxa"/>
              <w:bottom w:w="0" w:type="dxa"/>
              <w:right w:w="108" w:type="dxa"/>
            </w:tcMar>
            <w:hideMark/>
          </w:tcPr>
          <w:p w14:paraId="4F827243" w14:textId="77777777" w:rsidR="00EB4380" w:rsidRDefault="00CF0B00" w:rsidP="00BF6DCF">
            <w:pPr>
              <w:pStyle w:val="TableText"/>
              <w:spacing w:line="256" w:lineRule="auto"/>
            </w:pPr>
            <w:r>
              <w:t>Quarter 3 2021</w:t>
            </w:r>
          </w:p>
        </w:tc>
      </w:tr>
      <w:tr w:rsidR="0072440B" w14:paraId="5B3647F3" w14:textId="77777777" w:rsidTr="00751F14">
        <w:tc>
          <w:tcPr>
            <w:tcW w:w="1562" w:type="pct"/>
            <w:tcMar>
              <w:top w:w="0" w:type="dxa"/>
              <w:left w:w="108" w:type="dxa"/>
              <w:bottom w:w="0" w:type="dxa"/>
              <w:right w:w="108" w:type="dxa"/>
            </w:tcMar>
            <w:hideMark/>
          </w:tcPr>
          <w:p w14:paraId="22E0403A" w14:textId="77777777" w:rsidR="00EB4380" w:rsidRDefault="00CF0B00" w:rsidP="00BF6DCF">
            <w:pPr>
              <w:pStyle w:val="TableText"/>
              <w:spacing w:line="256" w:lineRule="auto"/>
            </w:pPr>
            <w:r>
              <w:t>Providing better information</w:t>
            </w:r>
          </w:p>
        </w:tc>
        <w:tc>
          <w:tcPr>
            <w:tcW w:w="2269" w:type="pct"/>
            <w:tcMar>
              <w:top w:w="0" w:type="dxa"/>
              <w:left w:w="108" w:type="dxa"/>
              <w:bottom w:w="0" w:type="dxa"/>
              <w:right w:w="108" w:type="dxa"/>
            </w:tcMar>
            <w:hideMark/>
          </w:tcPr>
          <w:p w14:paraId="100CC6B7" w14:textId="77777777" w:rsidR="00EB4380" w:rsidRDefault="00CF0B00" w:rsidP="00BF6DCF">
            <w:pPr>
              <w:pStyle w:val="TableText"/>
              <w:spacing w:line="256" w:lineRule="auto"/>
            </w:pPr>
            <w:r>
              <w:t>Bring together water information from across governments in a more accessible format for water users and communities.</w:t>
            </w:r>
          </w:p>
          <w:p w14:paraId="5530258F" w14:textId="77777777" w:rsidR="00EB4380" w:rsidRDefault="00CF0B00" w:rsidP="00BF6DCF">
            <w:pPr>
              <w:pStyle w:val="TableText"/>
              <w:spacing w:line="256" w:lineRule="auto"/>
            </w:pPr>
            <w:r>
              <w:t xml:space="preserve">The detailed platform will provide a one-stop shop for water storage, in-stream </w:t>
            </w:r>
            <w:proofErr w:type="gramStart"/>
            <w:r>
              <w:t>flows</w:t>
            </w:r>
            <w:proofErr w:type="gramEnd"/>
            <w:r>
              <w:t xml:space="preserve"> and trade information.</w:t>
            </w:r>
          </w:p>
          <w:p w14:paraId="331DB8F0" w14:textId="77777777" w:rsidR="00EB4380" w:rsidRDefault="00CF0B00" w:rsidP="00BF6DCF">
            <w:pPr>
              <w:pStyle w:val="TableText"/>
              <w:spacing w:line="256" w:lineRule="auto"/>
            </w:pPr>
            <w:r>
              <w:t>This builds on the existing investment of $4.9 million to the Bureau of Meteorology to improve real-time reporting on water flows.</w:t>
            </w:r>
          </w:p>
          <w:p w14:paraId="164CAECD" w14:textId="77777777" w:rsidR="00EB4380" w:rsidRDefault="00CF0B00" w:rsidP="00BF6DCF">
            <w:pPr>
              <w:pStyle w:val="TableText"/>
              <w:spacing w:line="256" w:lineRule="auto"/>
            </w:pPr>
            <w:r>
              <w:t>This action responds to recommendations of the Sefton report and the interim ACCC report.</w:t>
            </w:r>
          </w:p>
        </w:tc>
        <w:tc>
          <w:tcPr>
            <w:tcW w:w="1169" w:type="pct"/>
            <w:tcMar>
              <w:top w:w="0" w:type="dxa"/>
              <w:left w:w="108" w:type="dxa"/>
              <w:bottom w:w="0" w:type="dxa"/>
              <w:right w:w="108" w:type="dxa"/>
            </w:tcMar>
            <w:hideMark/>
          </w:tcPr>
          <w:p w14:paraId="16DA9942" w14:textId="77777777" w:rsidR="00EB4380" w:rsidRDefault="00CF0B00" w:rsidP="00BF6DCF">
            <w:pPr>
              <w:pStyle w:val="TableText"/>
              <w:spacing w:line="256" w:lineRule="auto"/>
            </w:pPr>
            <w:r>
              <w:t>Quarter 3 2021</w:t>
            </w:r>
          </w:p>
        </w:tc>
      </w:tr>
      <w:tr w:rsidR="0072440B" w14:paraId="01858227" w14:textId="77777777" w:rsidTr="00751F14">
        <w:tc>
          <w:tcPr>
            <w:tcW w:w="1562" w:type="pct"/>
            <w:tcMar>
              <w:top w:w="0" w:type="dxa"/>
              <w:left w:w="108" w:type="dxa"/>
              <w:bottom w:w="0" w:type="dxa"/>
              <w:right w:w="108" w:type="dxa"/>
            </w:tcMar>
            <w:hideMark/>
          </w:tcPr>
          <w:p w14:paraId="4C732059" w14:textId="77777777" w:rsidR="00EB4380" w:rsidRDefault="00CF0B00" w:rsidP="00BF6DCF">
            <w:pPr>
              <w:pStyle w:val="TableText"/>
              <w:spacing w:line="256" w:lineRule="auto"/>
              <w:rPr>
                <w:lang w:val="en-US"/>
              </w:rPr>
            </w:pPr>
            <w:r>
              <w:t>Better monitoring and reporting of social, economic and environment conditions</w:t>
            </w:r>
          </w:p>
        </w:tc>
        <w:tc>
          <w:tcPr>
            <w:tcW w:w="2269" w:type="pct"/>
            <w:tcMar>
              <w:top w:w="0" w:type="dxa"/>
              <w:left w:w="108" w:type="dxa"/>
              <w:bottom w:w="0" w:type="dxa"/>
              <w:right w:w="108" w:type="dxa"/>
            </w:tcMar>
            <w:hideMark/>
          </w:tcPr>
          <w:p w14:paraId="77ACE5D2" w14:textId="77777777" w:rsidR="00EB4380" w:rsidRDefault="00CF0B00" w:rsidP="00BF6DCF">
            <w:pPr>
              <w:pStyle w:val="CommentText"/>
              <w:spacing w:after="0"/>
              <w:rPr>
                <w:sz w:val="18"/>
                <w:szCs w:val="22"/>
              </w:rPr>
            </w:pPr>
            <w:r>
              <w:rPr>
                <w:sz w:val="18"/>
                <w:szCs w:val="22"/>
              </w:rPr>
              <w:t xml:space="preserve">Deliver $7.5 million to monitor social, </w:t>
            </w:r>
            <w:proofErr w:type="gramStart"/>
            <w:r>
              <w:rPr>
                <w:sz w:val="18"/>
                <w:szCs w:val="22"/>
              </w:rPr>
              <w:t>economic</w:t>
            </w:r>
            <w:proofErr w:type="gramEnd"/>
            <w:r>
              <w:rPr>
                <w:sz w:val="18"/>
                <w:szCs w:val="22"/>
              </w:rPr>
              <w:t xml:space="preserve"> and environmental conditions in the Basin.</w:t>
            </w:r>
          </w:p>
          <w:p w14:paraId="3EF9B448" w14:textId="77777777" w:rsidR="00EB4380" w:rsidRDefault="00CF0B00" w:rsidP="00BF6DCF">
            <w:pPr>
              <w:pStyle w:val="TableText"/>
              <w:spacing w:line="256" w:lineRule="auto"/>
            </w:pPr>
            <w:r>
              <w:t>This action builds on a $20 million investment in Basin-specific research so river management can be based on the best available science.</w:t>
            </w:r>
          </w:p>
          <w:p w14:paraId="0C8605E7" w14:textId="77777777" w:rsidR="00EB4380" w:rsidRDefault="00CF0B00" w:rsidP="00BF6DCF">
            <w:pPr>
              <w:pStyle w:val="TableText"/>
              <w:spacing w:line="256" w:lineRule="auto"/>
            </w:pPr>
            <w:r>
              <w:t>This action responds to recommendations of the Sefton report.</w:t>
            </w:r>
          </w:p>
        </w:tc>
        <w:tc>
          <w:tcPr>
            <w:tcW w:w="1169" w:type="pct"/>
            <w:tcMar>
              <w:top w:w="0" w:type="dxa"/>
              <w:left w:w="108" w:type="dxa"/>
              <w:bottom w:w="0" w:type="dxa"/>
              <w:right w:w="108" w:type="dxa"/>
            </w:tcMar>
            <w:hideMark/>
          </w:tcPr>
          <w:p w14:paraId="0C9D16EF" w14:textId="77777777" w:rsidR="00EB4380" w:rsidRDefault="00CF0B00" w:rsidP="00BF6DCF">
            <w:pPr>
              <w:pStyle w:val="TableText"/>
              <w:spacing w:line="256" w:lineRule="auto"/>
            </w:pPr>
            <w:r>
              <w:t>Quarter 1 2021</w:t>
            </w:r>
          </w:p>
        </w:tc>
      </w:tr>
    </w:tbl>
    <w:p w14:paraId="79DED5E6" w14:textId="77777777" w:rsidR="00EB4380" w:rsidRDefault="00CF0B00" w:rsidP="00EB4380">
      <w:pPr>
        <w:pStyle w:val="Caption"/>
        <w:rPr>
          <w:sz w:val="36"/>
          <w:lang w:val="en-US"/>
        </w:rPr>
      </w:pPr>
      <w:bookmarkStart w:id="3" w:name="_Toc49258982"/>
      <w:r>
        <w:rPr>
          <w:lang w:val="en-US"/>
        </w:rPr>
        <w:lastRenderedPageBreak/>
        <w:t>Improving implementation of the Basin Plan</w:t>
      </w:r>
      <w:bookmarkEnd w:id="3"/>
    </w:p>
    <w:tbl>
      <w:tblPr>
        <w:tblW w:w="5000" w:type="pct"/>
        <w:tblBorders>
          <w:top w:val="single" w:sz="4" w:space="0" w:color="auto"/>
          <w:bottom w:val="single" w:sz="4" w:space="0" w:color="auto"/>
        </w:tblBorders>
        <w:tblCellMar>
          <w:left w:w="40" w:type="dxa"/>
          <w:right w:w="40" w:type="dxa"/>
        </w:tblCellMar>
        <w:tblLook w:val="04A0" w:firstRow="1" w:lastRow="0" w:firstColumn="1" w:lastColumn="0" w:noHBand="0" w:noVBand="1"/>
      </w:tblPr>
      <w:tblGrid>
        <w:gridCol w:w="2550"/>
        <w:gridCol w:w="4399"/>
        <w:gridCol w:w="2121"/>
      </w:tblGrid>
      <w:tr w:rsidR="0072440B" w14:paraId="22D49967" w14:textId="77777777" w:rsidTr="00460D9F">
        <w:trPr>
          <w:cantSplit/>
          <w:tblHeader/>
        </w:trPr>
        <w:tc>
          <w:tcPr>
            <w:tcW w:w="1406" w:type="pct"/>
            <w:tcBorders>
              <w:top w:val="single" w:sz="4" w:space="0" w:color="auto"/>
              <w:bottom w:val="single" w:sz="4" w:space="0" w:color="auto"/>
            </w:tcBorders>
            <w:tcMar>
              <w:top w:w="0" w:type="dxa"/>
              <w:left w:w="108" w:type="dxa"/>
              <w:bottom w:w="0" w:type="dxa"/>
              <w:right w:w="108" w:type="dxa"/>
            </w:tcMar>
            <w:hideMark/>
          </w:tcPr>
          <w:p w14:paraId="74C0E08C" w14:textId="77777777" w:rsidR="00EB4380" w:rsidRDefault="00CF0B00" w:rsidP="00BF6DCF">
            <w:pPr>
              <w:pStyle w:val="TableHeading"/>
              <w:spacing w:line="256" w:lineRule="auto"/>
            </w:pPr>
            <w:r>
              <w:t>What we are doing</w:t>
            </w:r>
          </w:p>
        </w:tc>
        <w:tc>
          <w:tcPr>
            <w:tcW w:w="2425" w:type="pct"/>
            <w:tcBorders>
              <w:top w:val="single" w:sz="4" w:space="0" w:color="auto"/>
              <w:bottom w:val="single" w:sz="4" w:space="0" w:color="auto"/>
            </w:tcBorders>
            <w:tcMar>
              <w:top w:w="0" w:type="dxa"/>
              <w:left w:w="108" w:type="dxa"/>
              <w:bottom w:w="0" w:type="dxa"/>
              <w:right w:w="108" w:type="dxa"/>
            </w:tcMar>
            <w:hideMark/>
          </w:tcPr>
          <w:p w14:paraId="26735A50" w14:textId="77777777" w:rsidR="00EB4380" w:rsidRDefault="00CF0B00" w:rsidP="00BF6DCF">
            <w:pPr>
              <w:pStyle w:val="TableHeading"/>
              <w:spacing w:line="256" w:lineRule="auto"/>
            </w:pPr>
            <w:r>
              <w:t>How we will do it</w:t>
            </w:r>
          </w:p>
        </w:tc>
        <w:tc>
          <w:tcPr>
            <w:tcW w:w="1169" w:type="pct"/>
            <w:tcBorders>
              <w:top w:val="single" w:sz="4" w:space="0" w:color="auto"/>
              <w:bottom w:val="single" w:sz="4" w:space="0" w:color="auto"/>
            </w:tcBorders>
            <w:tcMar>
              <w:top w:w="0" w:type="dxa"/>
              <w:left w:w="108" w:type="dxa"/>
              <w:bottom w:w="0" w:type="dxa"/>
              <w:right w:w="108" w:type="dxa"/>
            </w:tcMar>
            <w:hideMark/>
          </w:tcPr>
          <w:p w14:paraId="325C87DB" w14:textId="77777777" w:rsidR="00EB4380" w:rsidRDefault="00CF0B00" w:rsidP="00BF6DCF">
            <w:pPr>
              <w:pStyle w:val="TableHeading"/>
              <w:spacing w:line="256" w:lineRule="auto"/>
            </w:pPr>
            <w:r>
              <w:t>By when</w:t>
            </w:r>
          </w:p>
        </w:tc>
      </w:tr>
      <w:tr w:rsidR="0072440B" w14:paraId="3EF894A4" w14:textId="77777777" w:rsidTr="00460D9F">
        <w:tc>
          <w:tcPr>
            <w:tcW w:w="1406" w:type="pct"/>
            <w:tcBorders>
              <w:top w:val="single" w:sz="4" w:space="0" w:color="auto"/>
              <w:bottom w:val="single" w:sz="4" w:space="0" w:color="auto"/>
            </w:tcBorders>
            <w:tcMar>
              <w:top w:w="0" w:type="dxa"/>
              <w:left w:w="108" w:type="dxa"/>
              <w:bottom w:w="0" w:type="dxa"/>
              <w:right w:w="108" w:type="dxa"/>
            </w:tcMar>
            <w:hideMark/>
          </w:tcPr>
          <w:p w14:paraId="510DCAC6" w14:textId="77777777" w:rsidR="00EB4380" w:rsidRDefault="00CF0B00" w:rsidP="00BF6DCF">
            <w:pPr>
              <w:pStyle w:val="TableText"/>
              <w:spacing w:line="256" w:lineRule="auto"/>
            </w:pPr>
            <w:r>
              <w:rPr>
                <w:lang w:val="en-US"/>
              </w:rPr>
              <w:t>Designing and delivering water programs in partnership with communities</w:t>
            </w:r>
          </w:p>
        </w:tc>
        <w:tc>
          <w:tcPr>
            <w:tcW w:w="2425" w:type="pct"/>
            <w:tcBorders>
              <w:top w:val="single" w:sz="4" w:space="0" w:color="auto"/>
              <w:bottom w:val="single" w:sz="4" w:space="0" w:color="auto"/>
            </w:tcBorders>
            <w:tcMar>
              <w:top w:w="0" w:type="dxa"/>
              <w:left w:w="108" w:type="dxa"/>
              <w:bottom w:w="0" w:type="dxa"/>
              <w:right w:w="108" w:type="dxa"/>
            </w:tcMar>
            <w:hideMark/>
          </w:tcPr>
          <w:p w14:paraId="1928FD47" w14:textId="77777777" w:rsidR="00EB4380" w:rsidRDefault="00CF0B00" w:rsidP="00BF6DCF">
            <w:pPr>
              <w:pStyle w:val="TableText"/>
              <w:spacing w:line="256" w:lineRule="auto"/>
            </w:pPr>
            <w:r>
              <w:t xml:space="preserve">More effectively seek community input and demonstrate how that feedback has been used in the design, </w:t>
            </w:r>
            <w:proofErr w:type="gramStart"/>
            <w:r>
              <w:t>delivery</w:t>
            </w:r>
            <w:proofErr w:type="gramEnd"/>
            <w:r>
              <w:t xml:space="preserve"> and evaluation of programs.</w:t>
            </w:r>
          </w:p>
          <w:p w14:paraId="54893D1F" w14:textId="77777777" w:rsidR="00EB4380" w:rsidRDefault="00CF0B00" w:rsidP="00BF6DCF">
            <w:pPr>
              <w:pStyle w:val="TableText"/>
              <w:spacing w:line="256" w:lineRule="auto"/>
            </w:pPr>
            <w:r>
              <w:t>This action responds to recommendations of the Sefton report.</w:t>
            </w:r>
          </w:p>
        </w:tc>
        <w:tc>
          <w:tcPr>
            <w:tcW w:w="1169" w:type="pct"/>
            <w:tcBorders>
              <w:top w:val="single" w:sz="4" w:space="0" w:color="auto"/>
              <w:bottom w:val="single" w:sz="4" w:space="0" w:color="auto"/>
            </w:tcBorders>
            <w:tcMar>
              <w:top w:w="0" w:type="dxa"/>
              <w:left w:w="108" w:type="dxa"/>
              <w:bottom w:w="0" w:type="dxa"/>
              <w:right w:w="108" w:type="dxa"/>
            </w:tcMar>
            <w:hideMark/>
          </w:tcPr>
          <w:p w14:paraId="2FFAAE2C" w14:textId="77777777" w:rsidR="00EB4380" w:rsidRDefault="00CF0B00" w:rsidP="00BF6DCF">
            <w:pPr>
              <w:pStyle w:val="TableText"/>
              <w:spacing w:line="256" w:lineRule="auto"/>
            </w:pPr>
            <w:r>
              <w:t xml:space="preserve">From Quarter 4 2020 – ongoing </w:t>
            </w:r>
          </w:p>
        </w:tc>
      </w:tr>
      <w:tr w:rsidR="0072440B" w14:paraId="1A55B450" w14:textId="77777777" w:rsidTr="00460D9F">
        <w:tc>
          <w:tcPr>
            <w:tcW w:w="1406" w:type="pct"/>
            <w:tcBorders>
              <w:top w:val="single" w:sz="4" w:space="0" w:color="auto"/>
              <w:bottom w:val="single" w:sz="4" w:space="0" w:color="auto"/>
            </w:tcBorders>
            <w:tcMar>
              <w:top w:w="0" w:type="dxa"/>
              <w:left w:w="108" w:type="dxa"/>
              <w:bottom w:w="0" w:type="dxa"/>
              <w:right w:w="108" w:type="dxa"/>
            </w:tcMar>
            <w:hideMark/>
          </w:tcPr>
          <w:p w14:paraId="616B3C6E" w14:textId="77777777" w:rsidR="00EB4380" w:rsidRDefault="00CF0B00" w:rsidP="00BF6DCF">
            <w:pPr>
              <w:pStyle w:val="TableText"/>
              <w:spacing w:line="256" w:lineRule="auto"/>
            </w:pPr>
            <w:r>
              <w:t>Investing in off-farm water efficiency projects to increase water recovery</w:t>
            </w:r>
          </w:p>
        </w:tc>
        <w:tc>
          <w:tcPr>
            <w:tcW w:w="2425" w:type="pct"/>
            <w:tcBorders>
              <w:top w:val="single" w:sz="4" w:space="0" w:color="auto"/>
              <w:bottom w:val="single" w:sz="4" w:space="0" w:color="auto"/>
            </w:tcBorders>
            <w:tcMar>
              <w:top w:w="0" w:type="dxa"/>
              <w:left w:w="108" w:type="dxa"/>
              <w:bottom w:w="0" w:type="dxa"/>
              <w:right w:w="108" w:type="dxa"/>
            </w:tcMar>
            <w:hideMark/>
          </w:tcPr>
          <w:p w14:paraId="69FA3488" w14:textId="77777777" w:rsidR="00EB4380" w:rsidRDefault="00CF0B00" w:rsidP="00BF6DCF">
            <w:pPr>
              <w:pStyle w:val="TableText"/>
              <w:spacing w:line="256" w:lineRule="auto"/>
            </w:pPr>
            <w:r>
              <w:t>Shift the focus away from on-farm water efficiencies and buybacks.</w:t>
            </w:r>
          </w:p>
          <w:p w14:paraId="3EBE26D0" w14:textId="77777777" w:rsidR="00460D9F" w:rsidRDefault="00CF0B00" w:rsidP="00BF6DCF">
            <w:pPr>
              <w:pStyle w:val="TableText"/>
              <w:spacing w:line="256" w:lineRule="auto"/>
            </w:pPr>
            <w:r>
              <w:t>Work with the states and irrigation networks to identify projects to generate water savings through off-farm infrastructure.</w:t>
            </w:r>
          </w:p>
          <w:p w14:paraId="1FE3D880" w14:textId="77777777" w:rsidR="00EB4380" w:rsidRDefault="00CF0B00" w:rsidP="00BF6DCF">
            <w:pPr>
              <w:pStyle w:val="TableText"/>
              <w:spacing w:line="256" w:lineRule="auto"/>
            </w:pPr>
            <w:r>
              <w:t>This action responds to the findings of the WESA report and the recommendations of the Sefton report.</w:t>
            </w:r>
          </w:p>
        </w:tc>
        <w:tc>
          <w:tcPr>
            <w:tcW w:w="1169" w:type="pct"/>
            <w:tcBorders>
              <w:top w:val="single" w:sz="4" w:space="0" w:color="auto"/>
              <w:bottom w:val="single" w:sz="4" w:space="0" w:color="auto"/>
            </w:tcBorders>
            <w:tcMar>
              <w:top w:w="0" w:type="dxa"/>
              <w:left w:w="108" w:type="dxa"/>
              <w:bottom w:w="0" w:type="dxa"/>
              <w:right w:w="108" w:type="dxa"/>
            </w:tcMar>
            <w:hideMark/>
          </w:tcPr>
          <w:p w14:paraId="02F55F4D" w14:textId="77777777" w:rsidR="00EB4380" w:rsidRDefault="00CF0B00" w:rsidP="00BF6DCF">
            <w:pPr>
              <w:pStyle w:val="TableText"/>
              <w:spacing w:line="256" w:lineRule="auto"/>
            </w:pPr>
            <w:r>
              <w:t>Quarter 4 2020</w:t>
            </w:r>
          </w:p>
        </w:tc>
      </w:tr>
      <w:tr w:rsidR="0072440B" w14:paraId="70934292" w14:textId="77777777" w:rsidTr="00460D9F">
        <w:tc>
          <w:tcPr>
            <w:tcW w:w="1406" w:type="pct"/>
            <w:tcBorders>
              <w:top w:val="single" w:sz="4" w:space="0" w:color="auto"/>
            </w:tcBorders>
            <w:tcMar>
              <w:top w:w="0" w:type="dxa"/>
              <w:left w:w="108" w:type="dxa"/>
              <w:bottom w:w="0" w:type="dxa"/>
              <w:right w:w="108" w:type="dxa"/>
            </w:tcMar>
            <w:hideMark/>
          </w:tcPr>
          <w:p w14:paraId="64F32266" w14:textId="77777777" w:rsidR="00EB4380" w:rsidRDefault="00CF0B00" w:rsidP="00BF6DCF">
            <w:pPr>
              <w:pStyle w:val="TableText"/>
              <w:spacing w:line="256" w:lineRule="auto"/>
              <w:rPr>
                <w:lang w:val="en-US"/>
              </w:rPr>
            </w:pPr>
            <w:r>
              <w:rPr>
                <w:lang w:val="en-US"/>
              </w:rPr>
              <w:t xml:space="preserve">Strengthening working relationships between the Australian Government, </w:t>
            </w:r>
            <w:proofErr w:type="gramStart"/>
            <w:r>
              <w:rPr>
                <w:lang w:val="en-US"/>
              </w:rPr>
              <w:t>states</w:t>
            </w:r>
            <w:proofErr w:type="gramEnd"/>
            <w:r>
              <w:rPr>
                <w:lang w:val="en-US"/>
              </w:rPr>
              <w:t xml:space="preserve"> and local government to improve delivery of the Basin Plan</w:t>
            </w:r>
          </w:p>
        </w:tc>
        <w:tc>
          <w:tcPr>
            <w:tcW w:w="2425" w:type="pct"/>
            <w:tcBorders>
              <w:top w:val="single" w:sz="4" w:space="0" w:color="auto"/>
            </w:tcBorders>
            <w:tcMar>
              <w:top w:w="0" w:type="dxa"/>
              <w:left w:w="108" w:type="dxa"/>
              <w:bottom w:w="0" w:type="dxa"/>
              <w:right w:w="108" w:type="dxa"/>
            </w:tcMar>
            <w:hideMark/>
          </w:tcPr>
          <w:p w14:paraId="5E7BA2E1" w14:textId="77777777" w:rsidR="00EB4380" w:rsidRDefault="00CF0B00" w:rsidP="00BF6DCF">
            <w:pPr>
              <w:pStyle w:val="TableText"/>
              <w:spacing w:line="256" w:lineRule="auto"/>
            </w:pPr>
            <w:r>
              <w:t>Work with Basin states to accelerate planning and delivery of supply and constraints projects that are at risk of not being delivered by 2024. We will partner with the National Water Grid Authority on these projects.</w:t>
            </w:r>
          </w:p>
          <w:p w14:paraId="48248D4B" w14:textId="77777777" w:rsidR="00EB4380" w:rsidRDefault="00CF0B00" w:rsidP="00BF6DCF">
            <w:pPr>
              <w:pStyle w:val="TableText"/>
              <w:spacing w:line="256" w:lineRule="auto"/>
            </w:pPr>
            <w:r>
              <w:t>This action builds on the government’s existing commitment of $1.5 billion for these projects.</w:t>
            </w:r>
          </w:p>
          <w:p w14:paraId="3D4D643E" w14:textId="77777777" w:rsidR="00460D9F" w:rsidRDefault="00CF0B00" w:rsidP="00BF6DCF">
            <w:pPr>
              <w:pStyle w:val="TableText"/>
              <w:spacing w:line="256" w:lineRule="auto"/>
            </w:pPr>
            <w:r>
              <w:t>Develop a new National Partnership agreement between the Australian and Basin state governments to provide funding for new and ongoing activities required to implement the Basin Plan.</w:t>
            </w:r>
          </w:p>
          <w:p w14:paraId="5D0B6AE0" w14:textId="77777777" w:rsidR="00EB4380" w:rsidRDefault="00CF0B00" w:rsidP="00BF6DCF">
            <w:pPr>
              <w:pStyle w:val="TableText"/>
              <w:spacing w:line="256" w:lineRule="auto"/>
            </w:pPr>
            <w:r>
              <w:t>This action responds to the findings of the WESA report and the recommendations of the Sefton report.</w:t>
            </w:r>
          </w:p>
        </w:tc>
        <w:tc>
          <w:tcPr>
            <w:tcW w:w="1169" w:type="pct"/>
            <w:tcBorders>
              <w:top w:val="single" w:sz="4" w:space="0" w:color="auto"/>
            </w:tcBorders>
            <w:tcMar>
              <w:top w:w="0" w:type="dxa"/>
              <w:left w:w="108" w:type="dxa"/>
              <w:bottom w:w="0" w:type="dxa"/>
              <w:right w:w="108" w:type="dxa"/>
            </w:tcMar>
            <w:hideMark/>
          </w:tcPr>
          <w:p w14:paraId="1A0FF0BD" w14:textId="77777777" w:rsidR="00EB4380" w:rsidRDefault="00CF0B00" w:rsidP="00BF6DCF">
            <w:pPr>
              <w:pStyle w:val="TableText"/>
              <w:spacing w:line="256" w:lineRule="auto"/>
            </w:pPr>
            <w:r>
              <w:t>Quarter 4 2020</w:t>
            </w:r>
          </w:p>
        </w:tc>
      </w:tr>
    </w:tbl>
    <w:p w14:paraId="5C6DD8EB" w14:textId="77777777" w:rsidR="00EB4380" w:rsidRPr="00BE3111" w:rsidRDefault="00EB4380" w:rsidP="00EB4380"/>
    <w:sectPr w:rsidR="00EB4380" w:rsidRPr="00BE3111">
      <w:headerReference w:type="default" r:id="rId11"/>
      <w:footerReference w:type="default" r:id="rId12"/>
      <w:headerReference w:type="first" r:id="rId13"/>
      <w:footerReference w:type="first" r:id="rId1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30EF4" w14:textId="77777777" w:rsidR="007B546F" w:rsidRDefault="00CF0B00">
      <w:pPr>
        <w:spacing w:after="0" w:line="240" w:lineRule="auto"/>
      </w:pPr>
      <w:r>
        <w:separator/>
      </w:r>
    </w:p>
  </w:endnote>
  <w:endnote w:type="continuationSeparator" w:id="0">
    <w:p w14:paraId="5C4359E4" w14:textId="77777777" w:rsidR="007B546F" w:rsidRDefault="00CF0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EF45E" w14:textId="77777777" w:rsidR="00D06356" w:rsidRDefault="00CF0B00">
    <w:pPr>
      <w:pStyle w:val="Footer"/>
    </w:pPr>
    <w:r>
      <w:t xml:space="preserve">Department of Agriculture, </w:t>
    </w:r>
    <w:proofErr w:type="gramStart"/>
    <w:r>
      <w:t>Water</w:t>
    </w:r>
    <w:proofErr w:type="gramEnd"/>
    <w:r>
      <w:t xml:space="preserve"> and the Environment</w:t>
    </w:r>
  </w:p>
  <w:p w14:paraId="26117532" w14:textId="77777777" w:rsidR="00D06356" w:rsidRDefault="00CF0B00">
    <w:pPr>
      <w:pStyle w:val="Footer"/>
    </w:pPr>
    <w:r>
      <w:fldChar w:fldCharType="begin"/>
    </w:r>
    <w:r>
      <w:instrText xml:space="preserve"> PAGE   \* MERGEFORMAT </w:instrText>
    </w:r>
    <w:r>
      <w:fldChar w:fldCharType="separate"/>
    </w:r>
    <w:r w:rsidR="005F0E4D">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F2697" w14:textId="77777777" w:rsidR="00D06356" w:rsidRDefault="00CF0B00">
    <w:pPr>
      <w:pStyle w:val="Footer"/>
    </w:pPr>
    <w:r>
      <w:t xml:space="preserve">Department of Agriculture, </w:t>
    </w:r>
    <w:proofErr w:type="gramStart"/>
    <w:r>
      <w:t>Water</w:t>
    </w:r>
    <w:proofErr w:type="gramEnd"/>
    <w:r>
      <w:t xml:space="preserve"> and the Environment</w:t>
    </w:r>
  </w:p>
  <w:p w14:paraId="1B1857AF" w14:textId="77777777" w:rsidR="00D06356" w:rsidRDefault="00CF0B00">
    <w:pPr>
      <w:pStyle w:val="Footer"/>
    </w:pPr>
    <w:r>
      <w:fldChar w:fldCharType="begin"/>
    </w:r>
    <w:r>
      <w:instrText xml:space="preserve"> PAGE   \* MERGEFORMAT </w:instrText>
    </w:r>
    <w:r>
      <w:fldChar w:fldCharType="separate"/>
    </w:r>
    <w:r w:rsidR="005F0E4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78F33" w14:textId="77777777" w:rsidR="007B546F" w:rsidRDefault="00CF0B00">
      <w:pPr>
        <w:spacing w:after="0" w:line="240" w:lineRule="auto"/>
      </w:pPr>
      <w:r>
        <w:separator/>
      </w:r>
    </w:p>
  </w:footnote>
  <w:footnote w:type="continuationSeparator" w:id="0">
    <w:p w14:paraId="2D773DAD" w14:textId="77777777" w:rsidR="007B546F" w:rsidRDefault="00CF0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19C52" w14:textId="77777777" w:rsidR="00D06356" w:rsidRPr="00460D9F" w:rsidRDefault="00CF0B00" w:rsidP="00460D9F">
    <w:pPr>
      <w:pStyle w:val="Header"/>
    </w:pPr>
    <w:r w:rsidRPr="00460D9F">
      <w:t>Murray–Darling Communities Investment Package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A8676" w14:textId="77777777" w:rsidR="00D06356" w:rsidRDefault="00CF0B00">
    <w:pPr>
      <w:pStyle w:val="Header"/>
      <w:jc w:val="left"/>
    </w:pPr>
    <w:r>
      <w:rPr>
        <w:noProof/>
        <w:lang w:eastAsia="en-AU"/>
      </w:rPr>
      <w:drawing>
        <wp:inline distT="0" distB="0" distL="0" distR="0" wp14:anchorId="2CC65FA2" wp14:editId="514F87D1">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58034"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197C198E">
      <w:start w:val="1"/>
      <w:numFmt w:val="bullet"/>
      <w:pStyle w:val="TableBullet2"/>
      <w:lvlText w:val=""/>
      <w:lvlJc w:val="left"/>
      <w:pPr>
        <w:ind w:left="1004" w:hanging="360"/>
      </w:pPr>
      <w:rPr>
        <w:rFonts w:ascii="Symbol" w:hAnsi="Symbol" w:hint="default"/>
      </w:rPr>
    </w:lvl>
    <w:lvl w:ilvl="1" w:tplc="C5587C24" w:tentative="1">
      <w:start w:val="1"/>
      <w:numFmt w:val="bullet"/>
      <w:lvlText w:val="o"/>
      <w:lvlJc w:val="left"/>
      <w:pPr>
        <w:ind w:left="1724" w:hanging="360"/>
      </w:pPr>
      <w:rPr>
        <w:rFonts w:ascii="Courier New" w:hAnsi="Courier New" w:cs="Courier New" w:hint="default"/>
      </w:rPr>
    </w:lvl>
    <w:lvl w:ilvl="2" w:tplc="0848F5B2" w:tentative="1">
      <w:start w:val="1"/>
      <w:numFmt w:val="bullet"/>
      <w:lvlText w:val=""/>
      <w:lvlJc w:val="left"/>
      <w:pPr>
        <w:ind w:left="2444" w:hanging="360"/>
      </w:pPr>
      <w:rPr>
        <w:rFonts w:ascii="Wingdings" w:hAnsi="Wingdings" w:hint="default"/>
      </w:rPr>
    </w:lvl>
    <w:lvl w:ilvl="3" w:tplc="637A9454" w:tentative="1">
      <w:start w:val="1"/>
      <w:numFmt w:val="bullet"/>
      <w:lvlText w:val=""/>
      <w:lvlJc w:val="left"/>
      <w:pPr>
        <w:ind w:left="3164" w:hanging="360"/>
      </w:pPr>
      <w:rPr>
        <w:rFonts w:ascii="Symbol" w:hAnsi="Symbol" w:hint="default"/>
      </w:rPr>
    </w:lvl>
    <w:lvl w:ilvl="4" w:tplc="093E07BE" w:tentative="1">
      <w:start w:val="1"/>
      <w:numFmt w:val="bullet"/>
      <w:lvlText w:val="o"/>
      <w:lvlJc w:val="left"/>
      <w:pPr>
        <w:ind w:left="3884" w:hanging="360"/>
      </w:pPr>
      <w:rPr>
        <w:rFonts w:ascii="Courier New" w:hAnsi="Courier New" w:cs="Courier New" w:hint="default"/>
      </w:rPr>
    </w:lvl>
    <w:lvl w:ilvl="5" w:tplc="577EE132" w:tentative="1">
      <w:start w:val="1"/>
      <w:numFmt w:val="bullet"/>
      <w:lvlText w:val=""/>
      <w:lvlJc w:val="left"/>
      <w:pPr>
        <w:ind w:left="4604" w:hanging="360"/>
      </w:pPr>
      <w:rPr>
        <w:rFonts w:ascii="Wingdings" w:hAnsi="Wingdings" w:hint="default"/>
      </w:rPr>
    </w:lvl>
    <w:lvl w:ilvl="6" w:tplc="B890F578" w:tentative="1">
      <w:start w:val="1"/>
      <w:numFmt w:val="bullet"/>
      <w:lvlText w:val=""/>
      <w:lvlJc w:val="left"/>
      <w:pPr>
        <w:ind w:left="5324" w:hanging="360"/>
      </w:pPr>
      <w:rPr>
        <w:rFonts w:ascii="Symbol" w:hAnsi="Symbol" w:hint="default"/>
      </w:rPr>
    </w:lvl>
    <w:lvl w:ilvl="7" w:tplc="A0EAB9BE" w:tentative="1">
      <w:start w:val="1"/>
      <w:numFmt w:val="bullet"/>
      <w:lvlText w:val="o"/>
      <w:lvlJc w:val="left"/>
      <w:pPr>
        <w:ind w:left="6044" w:hanging="360"/>
      </w:pPr>
      <w:rPr>
        <w:rFonts w:ascii="Courier New" w:hAnsi="Courier New" w:cs="Courier New" w:hint="default"/>
      </w:rPr>
    </w:lvl>
    <w:lvl w:ilvl="8" w:tplc="33BAC0B4"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A6C8F0B0">
      <w:start w:val="1"/>
      <w:numFmt w:val="bullet"/>
      <w:pStyle w:val="TableBullet1"/>
      <w:lvlText w:val=""/>
      <w:lvlJc w:val="left"/>
      <w:pPr>
        <w:ind w:left="720" w:hanging="360"/>
      </w:pPr>
      <w:rPr>
        <w:rFonts w:ascii="Symbol" w:hAnsi="Symbol" w:hint="default"/>
      </w:rPr>
    </w:lvl>
    <w:lvl w:ilvl="1" w:tplc="54803E08" w:tentative="1">
      <w:start w:val="1"/>
      <w:numFmt w:val="bullet"/>
      <w:lvlText w:val="o"/>
      <w:lvlJc w:val="left"/>
      <w:pPr>
        <w:ind w:left="1440" w:hanging="360"/>
      </w:pPr>
      <w:rPr>
        <w:rFonts w:ascii="Courier New" w:hAnsi="Courier New" w:cs="Courier New" w:hint="default"/>
      </w:rPr>
    </w:lvl>
    <w:lvl w:ilvl="2" w:tplc="188C0926" w:tentative="1">
      <w:start w:val="1"/>
      <w:numFmt w:val="bullet"/>
      <w:lvlText w:val=""/>
      <w:lvlJc w:val="left"/>
      <w:pPr>
        <w:ind w:left="2160" w:hanging="360"/>
      </w:pPr>
      <w:rPr>
        <w:rFonts w:ascii="Wingdings" w:hAnsi="Wingdings" w:hint="default"/>
      </w:rPr>
    </w:lvl>
    <w:lvl w:ilvl="3" w:tplc="71B0003C" w:tentative="1">
      <w:start w:val="1"/>
      <w:numFmt w:val="bullet"/>
      <w:lvlText w:val=""/>
      <w:lvlJc w:val="left"/>
      <w:pPr>
        <w:ind w:left="2880" w:hanging="360"/>
      </w:pPr>
      <w:rPr>
        <w:rFonts w:ascii="Symbol" w:hAnsi="Symbol" w:hint="default"/>
      </w:rPr>
    </w:lvl>
    <w:lvl w:ilvl="4" w:tplc="6BCAA3EE" w:tentative="1">
      <w:start w:val="1"/>
      <w:numFmt w:val="bullet"/>
      <w:lvlText w:val="o"/>
      <w:lvlJc w:val="left"/>
      <w:pPr>
        <w:ind w:left="3600" w:hanging="360"/>
      </w:pPr>
      <w:rPr>
        <w:rFonts w:ascii="Courier New" w:hAnsi="Courier New" w:cs="Courier New" w:hint="default"/>
      </w:rPr>
    </w:lvl>
    <w:lvl w:ilvl="5" w:tplc="56185432" w:tentative="1">
      <w:start w:val="1"/>
      <w:numFmt w:val="bullet"/>
      <w:lvlText w:val=""/>
      <w:lvlJc w:val="left"/>
      <w:pPr>
        <w:ind w:left="4320" w:hanging="360"/>
      </w:pPr>
      <w:rPr>
        <w:rFonts w:ascii="Wingdings" w:hAnsi="Wingdings" w:hint="default"/>
      </w:rPr>
    </w:lvl>
    <w:lvl w:ilvl="6" w:tplc="5FD4A6BE" w:tentative="1">
      <w:start w:val="1"/>
      <w:numFmt w:val="bullet"/>
      <w:lvlText w:val=""/>
      <w:lvlJc w:val="left"/>
      <w:pPr>
        <w:ind w:left="5040" w:hanging="360"/>
      </w:pPr>
      <w:rPr>
        <w:rFonts w:ascii="Symbol" w:hAnsi="Symbol" w:hint="default"/>
      </w:rPr>
    </w:lvl>
    <w:lvl w:ilvl="7" w:tplc="6744357E" w:tentative="1">
      <w:start w:val="1"/>
      <w:numFmt w:val="bullet"/>
      <w:lvlText w:val="o"/>
      <w:lvlJc w:val="left"/>
      <w:pPr>
        <w:ind w:left="5760" w:hanging="360"/>
      </w:pPr>
      <w:rPr>
        <w:rFonts w:ascii="Courier New" w:hAnsi="Courier New" w:cs="Courier New" w:hint="default"/>
      </w:rPr>
    </w:lvl>
    <w:lvl w:ilvl="8" w:tplc="9BD602BA" w:tentative="1">
      <w:start w:val="1"/>
      <w:numFmt w:val="bullet"/>
      <w:lvlText w:val=""/>
      <w:lvlJc w:val="left"/>
      <w:pPr>
        <w:ind w:left="6480" w:hanging="360"/>
      </w:pPr>
      <w:rPr>
        <w:rFonts w:ascii="Wingdings" w:hAnsi="Wingdings" w:hint="default"/>
      </w:rPr>
    </w:lvl>
  </w:abstractNum>
  <w:abstractNum w:abstractNumId="11" w15:restartNumberingAfterBreak="0">
    <w:nsid w:val="1BD33715"/>
    <w:multiLevelType w:val="hybridMultilevel"/>
    <w:tmpl w:val="9DE83D2C"/>
    <w:lvl w:ilvl="0" w:tplc="B42C7A54">
      <w:start w:val="1"/>
      <w:numFmt w:val="bullet"/>
      <w:lvlText w:val=""/>
      <w:lvlJc w:val="left"/>
      <w:pPr>
        <w:ind w:left="360" w:hanging="360"/>
      </w:pPr>
      <w:rPr>
        <w:rFonts w:ascii="Symbol" w:hAnsi="Symbol" w:hint="default"/>
      </w:rPr>
    </w:lvl>
    <w:lvl w:ilvl="1" w:tplc="72E06FE6">
      <w:start w:val="1"/>
      <w:numFmt w:val="bullet"/>
      <w:lvlText w:val="o"/>
      <w:lvlJc w:val="left"/>
      <w:pPr>
        <w:ind w:left="1080" w:hanging="360"/>
      </w:pPr>
      <w:rPr>
        <w:rFonts w:ascii="Courier New" w:hAnsi="Courier New" w:cs="Courier New" w:hint="default"/>
      </w:rPr>
    </w:lvl>
    <w:lvl w:ilvl="2" w:tplc="41CC90EC">
      <w:start w:val="1"/>
      <w:numFmt w:val="bullet"/>
      <w:lvlText w:val=""/>
      <w:lvlJc w:val="left"/>
      <w:pPr>
        <w:ind w:left="1800" w:hanging="360"/>
      </w:pPr>
      <w:rPr>
        <w:rFonts w:ascii="Wingdings" w:hAnsi="Wingdings" w:hint="default"/>
      </w:rPr>
    </w:lvl>
    <w:lvl w:ilvl="3" w:tplc="5940679A">
      <w:start w:val="1"/>
      <w:numFmt w:val="bullet"/>
      <w:lvlText w:val=""/>
      <w:lvlJc w:val="left"/>
      <w:pPr>
        <w:ind w:left="2520" w:hanging="360"/>
      </w:pPr>
      <w:rPr>
        <w:rFonts w:ascii="Symbol" w:hAnsi="Symbol" w:hint="default"/>
      </w:rPr>
    </w:lvl>
    <w:lvl w:ilvl="4" w:tplc="073E1862">
      <w:start w:val="1"/>
      <w:numFmt w:val="bullet"/>
      <w:lvlText w:val="o"/>
      <w:lvlJc w:val="left"/>
      <w:pPr>
        <w:ind w:left="3240" w:hanging="360"/>
      </w:pPr>
      <w:rPr>
        <w:rFonts w:ascii="Courier New" w:hAnsi="Courier New" w:cs="Courier New" w:hint="default"/>
      </w:rPr>
    </w:lvl>
    <w:lvl w:ilvl="5" w:tplc="E1249ECA">
      <w:start w:val="1"/>
      <w:numFmt w:val="bullet"/>
      <w:lvlText w:val=""/>
      <w:lvlJc w:val="left"/>
      <w:pPr>
        <w:ind w:left="3960" w:hanging="360"/>
      </w:pPr>
      <w:rPr>
        <w:rFonts w:ascii="Wingdings" w:hAnsi="Wingdings" w:hint="default"/>
      </w:rPr>
    </w:lvl>
    <w:lvl w:ilvl="6" w:tplc="19B48BB0">
      <w:start w:val="1"/>
      <w:numFmt w:val="bullet"/>
      <w:lvlText w:val=""/>
      <w:lvlJc w:val="left"/>
      <w:pPr>
        <w:ind w:left="4680" w:hanging="360"/>
      </w:pPr>
      <w:rPr>
        <w:rFonts w:ascii="Symbol" w:hAnsi="Symbol" w:hint="default"/>
      </w:rPr>
    </w:lvl>
    <w:lvl w:ilvl="7" w:tplc="4E7EB6C2">
      <w:start w:val="1"/>
      <w:numFmt w:val="bullet"/>
      <w:lvlText w:val="o"/>
      <w:lvlJc w:val="left"/>
      <w:pPr>
        <w:ind w:left="5400" w:hanging="360"/>
      </w:pPr>
      <w:rPr>
        <w:rFonts w:ascii="Courier New" w:hAnsi="Courier New" w:cs="Courier New" w:hint="default"/>
      </w:rPr>
    </w:lvl>
    <w:lvl w:ilvl="8" w:tplc="A066E26A">
      <w:start w:val="1"/>
      <w:numFmt w:val="bullet"/>
      <w:lvlText w:val=""/>
      <w:lvlJc w:val="left"/>
      <w:pPr>
        <w:ind w:left="6120" w:hanging="360"/>
      </w:pPr>
      <w:rPr>
        <w:rFonts w:ascii="Wingdings" w:hAnsi="Wingdings" w:hint="default"/>
      </w:rPr>
    </w:lvl>
  </w:abstractNum>
  <w:abstractNum w:abstractNumId="12" w15:restartNumberingAfterBreak="0">
    <w:nsid w:val="1CD71580"/>
    <w:multiLevelType w:val="hybridMultilevel"/>
    <w:tmpl w:val="16AAE240"/>
    <w:lvl w:ilvl="0" w:tplc="304A161E">
      <w:start w:val="1"/>
      <w:numFmt w:val="bullet"/>
      <w:lvlText w:val=""/>
      <w:lvlJc w:val="left"/>
      <w:pPr>
        <w:ind w:left="360" w:hanging="360"/>
      </w:pPr>
      <w:rPr>
        <w:rFonts w:ascii="Symbol" w:hAnsi="Symbol" w:hint="default"/>
        <w:color w:val="FF7900"/>
      </w:rPr>
    </w:lvl>
    <w:lvl w:ilvl="1" w:tplc="F1169BE8">
      <w:start w:val="1"/>
      <w:numFmt w:val="bullet"/>
      <w:lvlText w:val="o"/>
      <w:lvlJc w:val="left"/>
      <w:pPr>
        <w:ind w:left="1440" w:hanging="360"/>
      </w:pPr>
      <w:rPr>
        <w:rFonts w:ascii="Courier New" w:hAnsi="Courier New" w:cs="Courier New" w:hint="default"/>
      </w:rPr>
    </w:lvl>
    <w:lvl w:ilvl="2" w:tplc="9CA6F44C" w:tentative="1">
      <w:start w:val="1"/>
      <w:numFmt w:val="bullet"/>
      <w:lvlText w:val=""/>
      <w:lvlJc w:val="left"/>
      <w:pPr>
        <w:ind w:left="2160" w:hanging="360"/>
      </w:pPr>
      <w:rPr>
        <w:rFonts w:ascii="Wingdings" w:hAnsi="Wingdings" w:hint="default"/>
      </w:rPr>
    </w:lvl>
    <w:lvl w:ilvl="3" w:tplc="B71AE72A" w:tentative="1">
      <w:start w:val="1"/>
      <w:numFmt w:val="bullet"/>
      <w:lvlText w:val=""/>
      <w:lvlJc w:val="left"/>
      <w:pPr>
        <w:ind w:left="2880" w:hanging="360"/>
      </w:pPr>
      <w:rPr>
        <w:rFonts w:ascii="Symbol" w:hAnsi="Symbol" w:hint="default"/>
      </w:rPr>
    </w:lvl>
    <w:lvl w:ilvl="4" w:tplc="F53ECD68" w:tentative="1">
      <w:start w:val="1"/>
      <w:numFmt w:val="bullet"/>
      <w:lvlText w:val="o"/>
      <w:lvlJc w:val="left"/>
      <w:pPr>
        <w:ind w:left="3600" w:hanging="360"/>
      </w:pPr>
      <w:rPr>
        <w:rFonts w:ascii="Courier New" w:hAnsi="Courier New" w:cs="Courier New" w:hint="default"/>
      </w:rPr>
    </w:lvl>
    <w:lvl w:ilvl="5" w:tplc="ADF41A18" w:tentative="1">
      <w:start w:val="1"/>
      <w:numFmt w:val="bullet"/>
      <w:lvlText w:val=""/>
      <w:lvlJc w:val="left"/>
      <w:pPr>
        <w:ind w:left="4320" w:hanging="360"/>
      </w:pPr>
      <w:rPr>
        <w:rFonts w:ascii="Wingdings" w:hAnsi="Wingdings" w:hint="default"/>
      </w:rPr>
    </w:lvl>
    <w:lvl w:ilvl="6" w:tplc="89A8647C" w:tentative="1">
      <w:start w:val="1"/>
      <w:numFmt w:val="bullet"/>
      <w:lvlText w:val=""/>
      <w:lvlJc w:val="left"/>
      <w:pPr>
        <w:ind w:left="5040" w:hanging="360"/>
      </w:pPr>
      <w:rPr>
        <w:rFonts w:ascii="Symbol" w:hAnsi="Symbol" w:hint="default"/>
      </w:rPr>
    </w:lvl>
    <w:lvl w:ilvl="7" w:tplc="49688860" w:tentative="1">
      <w:start w:val="1"/>
      <w:numFmt w:val="bullet"/>
      <w:lvlText w:val="o"/>
      <w:lvlJc w:val="left"/>
      <w:pPr>
        <w:ind w:left="5760" w:hanging="360"/>
      </w:pPr>
      <w:rPr>
        <w:rFonts w:ascii="Courier New" w:hAnsi="Courier New" w:cs="Courier New" w:hint="default"/>
      </w:rPr>
    </w:lvl>
    <w:lvl w:ilvl="8" w:tplc="4A4EE2CA"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BE78A4F8"/>
    <w:numStyleLink w:val="Numberlist"/>
  </w:abstractNum>
  <w:abstractNum w:abstractNumId="16" w15:restartNumberingAfterBreak="0">
    <w:nsid w:val="394A15FE"/>
    <w:multiLevelType w:val="multilevel"/>
    <w:tmpl w:val="F36C17E8"/>
    <w:numStyleLink w:val="Headinglist"/>
  </w:abstractNum>
  <w:abstractNum w:abstractNumId="17" w15:restartNumberingAfterBreak="0">
    <w:nsid w:val="414F4729"/>
    <w:multiLevelType w:val="multilevel"/>
    <w:tmpl w:val="23887CA2"/>
    <w:numStyleLink w:val="List1"/>
  </w:abstractNum>
  <w:abstractNum w:abstractNumId="18" w15:restartNumberingAfterBreak="0">
    <w:nsid w:val="486800B4"/>
    <w:multiLevelType w:val="multilevel"/>
    <w:tmpl w:val="23887CA2"/>
    <w:numStyleLink w:val="List1"/>
  </w:abstractNum>
  <w:abstractNum w:abstractNumId="19" w15:restartNumberingAfterBreak="0">
    <w:nsid w:val="48DE2E4A"/>
    <w:multiLevelType w:val="hybridMultilevel"/>
    <w:tmpl w:val="B7086130"/>
    <w:lvl w:ilvl="0" w:tplc="D624DA8E">
      <w:start w:val="1"/>
      <w:numFmt w:val="bullet"/>
      <w:pStyle w:val="BoxTextBullet"/>
      <w:lvlText w:val=""/>
      <w:lvlJc w:val="left"/>
      <w:pPr>
        <w:ind w:left="720" w:hanging="360"/>
      </w:pPr>
      <w:rPr>
        <w:rFonts w:ascii="Symbol" w:hAnsi="Symbol" w:hint="default"/>
      </w:rPr>
    </w:lvl>
    <w:lvl w:ilvl="1" w:tplc="3AF06582" w:tentative="1">
      <w:start w:val="1"/>
      <w:numFmt w:val="bullet"/>
      <w:lvlText w:val="o"/>
      <w:lvlJc w:val="left"/>
      <w:pPr>
        <w:ind w:left="1440" w:hanging="360"/>
      </w:pPr>
      <w:rPr>
        <w:rFonts w:ascii="Courier New" w:hAnsi="Courier New" w:cs="Courier New" w:hint="default"/>
      </w:rPr>
    </w:lvl>
    <w:lvl w:ilvl="2" w:tplc="9156385C" w:tentative="1">
      <w:start w:val="1"/>
      <w:numFmt w:val="bullet"/>
      <w:lvlText w:val=""/>
      <w:lvlJc w:val="left"/>
      <w:pPr>
        <w:ind w:left="2160" w:hanging="360"/>
      </w:pPr>
      <w:rPr>
        <w:rFonts w:ascii="Wingdings" w:hAnsi="Wingdings" w:hint="default"/>
      </w:rPr>
    </w:lvl>
    <w:lvl w:ilvl="3" w:tplc="996EA378" w:tentative="1">
      <w:start w:val="1"/>
      <w:numFmt w:val="bullet"/>
      <w:lvlText w:val=""/>
      <w:lvlJc w:val="left"/>
      <w:pPr>
        <w:ind w:left="2880" w:hanging="360"/>
      </w:pPr>
      <w:rPr>
        <w:rFonts w:ascii="Symbol" w:hAnsi="Symbol" w:hint="default"/>
      </w:rPr>
    </w:lvl>
    <w:lvl w:ilvl="4" w:tplc="AEB4AF8C" w:tentative="1">
      <w:start w:val="1"/>
      <w:numFmt w:val="bullet"/>
      <w:lvlText w:val="o"/>
      <w:lvlJc w:val="left"/>
      <w:pPr>
        <w:ind w:left="3600" w:hanging="360"/>
      </w:pPr>
      <w:rPr>
        <w:rFonts w:ascii="Courier New" w:hAnsi="Courier New" w:cs="Courier New" w:hint="default"/>
      </w:rPr>
    </w:lvl>
    <w:lvl w:ilvl="5" w:tplc="0B26EAE0" w:tentative="1">
      <w:start w:val="1"/>
      <w:numFmt w:val="bullet"/>
      <w:lvlText w:val=""/>
      <w:lvlJc w:val="left"/>
      <w:pPr>
        <w:ind w:left="4320" w:hanging="360"/>
      </w:pPr>
      <w:rPr>
        <w:rFonts w:ascii="Wingdings" w:hAnsi="Wingdings" w:hint="default"/>
      </w:rPr>
    </w:lvl>
    <w:lvl w:ilvl="6" w:tplc="467678FC" w:tentative="1">
      <w:start w:val="1"/>
      <w:numFmt w:val="bullet"/>
      <w:lvlText w:val=""/>
      <w:lvlJc w:val="left"/>
      <w:pPr>
        <w:ind w:left="5040" w:hanging="360"/>
      </w:pPr>
      <w:rPr>
        <w:rFonts w:ascii="Symbol" w:hAnsi="Symbol" w:hint="default"/>
      </w:rPr>
    </w:lvl>
    <w:lvl w:ilvl="7" w:tplc="FDD20968" w:tentative="1">
      <w:start w:val="1"/>
      <w:numFmt w:val="bullet"/>
      <w:lvlText w:val="o"/>
      <w:lvlJc w:val="left"/>
      <w:pPr>
        <w:ind w:left="5760" w:hanging="360"/>
      </w:pPr>
      <w:rPr>
        <w:rFonts w:ascii="Courier New" w:hAnsi="Courier New" w:cs="Courier New" w:hint="default"/>
      </w:rPr>
    </w:lvl>
    <w:lvl w:ilvl="8" w:tplc="3A74BD98"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23887CA2"/>
    <w:numStyleLink w:val="List1"/>
  </w:abstractNum>
  <w:num w:numId="1">
    <w:abstractNumId w:val="7"/>
  </w:num>
  <w:num w:numId="2">
    <w:abstractNumId w:val="18"/>
  </w:num>
  <w:num w:numId="3">
    <w:abstractNumId w:val="19"/>
  </w:num>
  <w:num w:numId="4">
    <w:abstractNumId w:val="10"/>
  </w:num>
  <w:num w:numId="5">
    <w:abstractNumId w:val="24"/>
  </w:num>
  <w:num w:numId="6">
    <w:abstractNumId w:val="25"/>
  </w:num>
  <w:num w:numId="7">
    <w:abstractNumId w:val="8"/>
  </w:num>
  <w:num w:numId="8">
    <w:abstractNumId w:val="14"/>
  </w:num>
  <w:num w:numId="9">
    <w:abstractNumId w:val="16"/>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2"/>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
  </w:num>
  <w:num w:numId="20">
    <w:abstractNumId w:val="0"/>
  </w:num>
  <w:num w:numId="21">
    <w:abstractNumId w:val="15"/>
  </w:num>
  <w:num w:numId="22">
    <w:abstractNumId w:val="20"/>
  </w:num>
  <w:num w:numId="23">
    <w:abstractNumId w:val="27"/>
  </w:num>
  <w:num w:numId="24">
    <w:abstractNumId w:val="13"/>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1"/>
  </w:num>
  <w:num w:numId="29">
    <w:abstractNumId w:val="23"/>
  </w:num>
  <w:num w:numId="30">
    <w:abstractNumId w:val="9"/>
  </w:num>
  <w:num w:numId="31">
    <w:abstractNumId w:val="5"/>
  </w:num>
  <w:num w:numId="3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D4"/>
    <w:rsid w:val="0016164B"/>
    <w:rsid w:val="0021761E"/>
    <w:rsid w:val="002547B2"/>
    <w:rsid w:val="003A6D08"/>
    <w:rsid w:val="003C2A09"/>
    <w:rsid w:val="00425C42"/>
    <w:rsid w:val="00430850"/>
    <w:rsid w:val="00460D9F"/>
    <w:rsid w:val="00486C20"/>
    <w:rsid w:val="005335EF"/>
    <w:rsid w:val="005F0E4D"/>
    <w:rsid w:val="00664E65"/>
    <w:rsid w:val="0072440B"/>
    <w:rsid w:val="007405CB"/>
    <w:rsid w:val="00751F14"/>
    <w:rsid w:val="007B546F"/>
    <w:rsid w:val="007C5B94"/>
    <w:rsid w:val="007F6696"/>
    <w:rsid w:val="0082249A"/>
    <w:rsid w:val="00833933"/>
    <w:rsid w:val="00955221"/>
    <w:rsid w:val="009A6AD4"/>
    <w:rsid w:val="009D2FEA"/>
    <w:rsid w:val="00AA70E3"/>
    <w:rsid w:val="00AB0FBE"/>
    <w:rsid w:val="00AF5211"/>
    <w:rsid w:val="00B01FB8"/>
    <w:rsid w:val="00BD22E0"/>
    <w:rsid w:val="00BE3111"/>
    <w:rsid w:val="00BF6DCF"/>
    <w:rsid w:val="00CB39B9"/>
    <w:rsid w:val="00CF0B00"/>
    <w:rsid w:val="00D06356"/>
    <w:rsid w:val="00D13F71"/>
    <w:rsid w:val="00D45274"/>
    <w:rsid w:val="00D45E0E"/>
    <w:rsid w:val="00D666DC"/>
    <w:rsid w:val="00E362EF"/>
    <w:rsid w:val="00E47FC7"/>
    <w:rsid w:val="00EB4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E085"/>
  <w15:docId w15:val="{912D0828-D4C0-4857-9BD3-5449C727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d0804da3-829c-40b8-a882-a14fb33d2383</TermId>
        </TermInfo>
      </Terms>
    </bb374297174b4bdba831a078c8472ed4>
    <TaxCatchAll xmlns="7cf0e0db-f490-4122-abae-21917392c748">
      <Value>307</Value>
    </TaxCatchAll>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purl.org/dc/dcmitype/"/>
    <ds:schemaRef ds:uri="http://schemas.microsoft.com/office/infopath/2007/PartnerControls"/>
    <ds:schemaRef ds:uri="7cf0e0db-f490-4122-abae-21917392c748"/>
    <ds:schemaRef ds:uri="http://purl.org/dc/elements/1.1/"/>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1121</Words>
  <Characters>6393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Murray–Darling Communities Investment Package overview</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Communities Investment Package overview</dc:title>
  <dc:creator>Department of Agriculture, Water and the Environment</dc:creator>
  <cp:lastModifiedBy>Dang, Van</cp:lastModifiedBy>
  <cp:revision>2</cp:revision>
  <cp:lastPrinted>1899-12-31T13:00:00Z</cp:lastPrinted>
  <dcterms:created xsi:type="dcterms:W3CDTF">2021-04-21T02:49:00Z</dcterms:created>
  <dcterms:modified xsi:type="dcterms:W3CDTF">2021-04-21T02:49:00Z</dcterms:modified>
</cp:coreProperties>
</file>