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5E06E" w14:textId="77777777" w:rsidR="00764D6A" w:rsidRPr="003B51CE" w:rsidRDefault="00EA4A22">
      <w:pPr>
        <w:pStyle w:val="Heading1"/>
      </w:pPr>
      <w:r w:rsidRPr="003B51CE">
        <w:t>Murray–Darling Communities Investment Package</w:t>
      </w:r>
    </w:p>
    <w:p w14:paraId="521F9BCD" w14:textId="1043F326" w:rsidR="00C43C4F" w:rsidRPr="003B51CE" w:rsidRDefault="004F4A4C" w:rsidP="00C43C4F">
      <w:pPr>
        <w:pStyle w:val="Subtitle"/>
      </w:pPr>
      <w:r>
        <w:t>Second</w:t>
      </w:r>
      <w:r w:rsidR="00EA4A22" w:rsidRPr="003B51CE">
        <w:t xml:space="preserve"> report into implementation </w:t>
      </w:r>
      <w:r w:rsidR="00F30A66">
        <w:t>September</w:t>
      </w:r>
      <w:r w:rsidRPr="003B51CE">
        <w:t xml:space="preserve"> </w:t>
      </w:r>
      <w:r w:rsidR="00EA4A22" w:rsidRPr="003B51CE">
        <w:t>2021</w:t>
      </w:r>
    </w:p>
    <w:p w14:paraId="21A8D806" w14:textId="037FBA43" w:rsidR="00286E91" w:rsidRDefault="00EA4A22" w:rsidP="00C43C4F">
      <w:pPr>
        <w:pStyle w:val="Picture"/>
      </w:pPr>
      <w:r w:rsidRPr="003B51CE">
        <w:drawing>
          <wp:inline distT="0" distB="0" distL="0" distR="0" wp14:anchorId="3AF62306" wp14:editId="0FAA8110">
            <wp:extent cx="5403850" cy="5435600"/>
            <wp:effectExtent l="0" t="0" r="6350" b="0"/>
            <wp:docPr id="364054526" name="Picture 7" descr="C:\Users\lb0005\AppData\Local\Microsoft\Windows\INetCache\Content.Word\MDB-Biosphere_V5.jpg"/>
            <wp:cNvGraphicFramePr/>
            <a:graphic xmlns:a="http://schemas.openxmlformats.org/drawingml/2006/main">
              <a:graphicData uri="http://schemas.openxmlformats.org/drawingml/2006/picture">
                <pic:pic xmlns:pic="http://schemas.openxmlformats.org/drawingml/2006/picture">
                  <pic:nvPicPr>
                    <pic:cNvPr id="3" name="Picture 3" descr="C:\Users\lb0005\AppData\Local\Microsoft\Windows\INetCache\Content.Word\MDB-Biosphere_V5.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403850" cy="5435600"/>
                    </a:xfrm>
                    <a:prstGeom prst="rect">
                      <a:avLst/>
                    </a:prstGeom>
                    <a:noFill/>
                    <a:ln>
                      <a:noFill/>
                    </a:ln>
                  </pic:spPr>
                </pic:pic>
              </a:graphicData>
            </a:graphic>
          </wp:inline>
        </w:drawing>
      </w:r>
    </w:p>
    <w:p w14:paraId="65741BC5" w14:textId="694A810C" w:rsidR="00764D6A" w:rsidRPr="003B51CE" w:rsidRDefault="00EA4A22" w:rsidP="00286E91">
      <w:pPr>
        <w:pStyle w:val="Heading2"/>
        <w:numPr>
          <w:ilvl w:val="0"/>
          <w:numId w:val="0"/>
        </w:numPr>
      </w:pPr>
      <w:r w:rsidRPr="003B51CE">
        <w:lastRenderedPageBreak/>
        <w:t>Progressing Community Investment Package implementation report</w:t>
      </w:r>
    </w:p>
    <w:p w14:paraId="0EDF4F08" w14:textId="40EE41E6" w:rsidR="004F4A4C" w:rsidRDefault="004F4A4C" w:rsidP="00286E91">
      <w:r>
        <w:t>Delivery of the</w:t>
      </w:r>
      <w:r w:rsidR="00EA4A22" w:rsidRPr="003B51CE">
        <w:t xml:space="preserve"> Australian Government’s $270 million Murray–Darling Communities Investment Package </w:t>
      </w:r>
      <w:r w:rsidR="00165855">
        <w:t xml:space="preserve">(Investment Package) </w:t>
      </w:r>
      <w:r>
        <w:t xml:space="preserve">is </w:t>
      </w:r>
      <w:r w:rsidR="00165855">
        <w:t>continuing</w:t>
      </w:r>
      <w:r w:rsidR="00EA4A22" w:rsidRPr="003B51CE">
        <w:t xml:space="preserve">. </w:t>
      </w:r>
      <w:r w:rsidR="00B97432">
        <w:t>Since</w:t>
      </w:r>
      <w:r>
        <w:t xml:space="preserve"> the package was announced</w:t>
      </w:r>
      <w:r w:rsidR="00855EE2">
        <w:t>,</w:t>
      </w:r>
      <w:r>
        <w:t xml:space="preserve"> </w:t>
      </w:r>
      <w:r w:rsidRPr="003B51CE">
        <w:t>on 4 September 2020</w:t>
      </w:r>
      <w:r w:rsidR="00855EE2">
        <w:t>,</w:t>
      </w:r>
      <w:r w:rsidRPr="003B51CE">
        <w:t xml:space="preserve"> </w:t>
      </w:r>
      <w:r>
        <w:t xml:space="preserve">good progress has been </w:t>
      </w:r>
      <w:r w:rsidR="00855EE2">
        <w:t>made.</w:t>
      </w:r>
    </w:p>
    <w:p w14:paraId="4A794905" w14:textId="2C4B9A48" w:rsidR="00C43C4F" w:rsidRPr="003B51CE" w:rsidRDefault="00EA4A22" w:rsidP="00286E91">
      <w:r w:rsidRPr="003B51CE">
        <w:t>Th</w:t>
      </w:r>
      <w:r w:rsidR="00855EE2">
        <w:t xml:space="preserve">is is the second public report </w:t>
      </w:r>
      <w:r w:rsidR="00165855">
        <w:t>from</w:t>
      </w:r>
      <w:r w:rsidR="00855EE2">
        <w:t xml:space="preserve"> the</w:t>
      </w:r>
      <w:r w:rsidRPr="003B51CE">
        <w:t xml:space="preserve"> Department of Agriculture, </w:t>
      </w:r>
      <w:proofErr w:type="gramStart"/>
      <w:r w:rsidRPr="003B51CE">
        <w:t>Water</w:t>
      </w:r>
      <w:proofErr w:type="gramEnd"/>
      <w:r w:rsidRPr="003B51CE">
        <w:t xml:space="preserve"> and the Environment on progress</w:t>
      </w:r>
      <w:r w:rsidR="00165855">
        <w:t xml:space="preserve"> in the implementation of the Investment Package,</w:t>
      </w:r>
      <w:r w:rsidR="00855EE2">
        <w:t xml:space="preserve"> put</w:t>
      </w:r>
      <w:r w:rsidR="00165855">
        <w:t>ting</w:t>
      </w:r>
      <w:r w:rsidR="00855EE2">
        <w:t xml:space="preserve"> communities back at the centre of the </w:t>
      </w:r>
      <w:r w:rsidR="00165855">
        <w:t xml:space="preserve">Murray–Darling </w:t>
      </w:r>
      <w:r w:rsidR="00855EE2">
        <w:t>Basin Plan</w:t>
      </w:r>
      <w:r w:rsidR="00A17267">
        <w:t xml:space="preserve"> (Basin Plan)</w:t>
      </w:r>
      <w:r w:rsidRPr="003B51CE">
        <w:t xml:space="preserve">. </w:t>
      </w:r>
    </w:p>
    <w:p w14:paraId="29F31F42" w14:textId="603BE922" w:rsidR="00C43C4F" w:rsidRPr="003B51CE" w:rsidRDefault="00EA4A22" w:rsidP="00286E91">
      <w:r w:rsidRPr="003B51CE">
        <w:t xml:space="preserve">The Investment Package responds to needs identified by the community, stakeholders and governments </w:t>
      </w:r>
      <w:r w:rsidR="00BC4B6F">
        <w:t>across</w:t>
      </w:r>
      <w:r w:rsidRPr="003B51CE">
        <w:t xml:space="preserve"> </w:t>
      </w:r>
      <w:r w:rsidR="00F4562A">
        <w:t>3</w:t>
      </w:r>
      <w:r w:rsidRPr="003B51CE">
        <w:t xml:space="preserve"> key themes:</w:t>
      </w:r>
    </w:p>
    <w:p w14:paraId="6F02E3AA" w14:textId="6B6A8536" w:rsidR="00C43C4F" w:rsidRPr="003B51CE" w:rsidRDefault="00A17267" w:rsidP="00286E91">
      <w:pPr>
        <w:pStyle w:val="ListBullet"/>
      </w:pPr>
      <w:r>
        <w:t>i</w:t>
      </w:r>
      <w:r w:rsidR="00EA4A22" w:rsidRPr="003B51CE">
        <w:t>nvesting in community resilience and river health</w:t>
      </w:r>
    </w:p>
    <w:p w14:paraId="5CE4F5E7" w14:textId="70854646" w:rsidR="00C43C4F" w:rsidRPr="003B51CE" w:rsidRDefault="00A17267" w:rsidP="00286E91">
      <w:pPr>
        <w:pStyle w:val="ListBullet"/>
      </w:pPr>
      <w:r>
        <w:t>b</w:t>
      </w:r>
      <w:r w:rsidR="00EA4A22" w:rsidRPr="003B51CE">
        <w:t xml:space="preserve">uilding trust, </w:t>
      </w:r>
      <w:proofErr w:type="gramStart"/>
      <w:r w:rsidR="00EA4A22" w:rsidRPr="003B51CE">
        <w:t>transparency</w:t>
      </w:r>
      <w:proofErr w:type="gramEnd"/>
      <w:r w:rsidR="00EA4A22" w:rsidRPr="003B51CE">
        <w:t xml:space="preserve"> and accountability in governments</w:t>
      </w:r>
    </w:p>
    <w:p w14:paraId="4F2F88AD" w14:textId="43E5EDBB" w:rsidR="00C43C4F" w:rsidRPr="003B51CE" w:rsidRDefault="00A17267" w:rsidP="00286E91">
      <w:pPr>
        <w:pStyle w:val="ListBullet"/>
      </w:pPr>
      <w:r>
        <w:t>i</w:t>
      </w:r>
      <w:r w:rsidR="00EA4A22" w:rsidRPr="003B51CE">
        <w:t>mproving implementation of the Basin Plan</w:t>
      </w:r>
      <w:r w:rsidR="00F4562A">
        <w:t>.</w:t>
      </w:r>
    </w:p>
    <w:p w14:paraId="6D9B37AD" w14:textId="76A75A5B" w:rsidR="00C43C4F" w:rsidRPr="003B51CE" w:rsidRDefault="00EA4A22" w:rsidP="00286E91">
      <w:r w:rsidRPr="003B51CE">
        <w:t xml:space="preserve">The Investment Package </w:t>
      </w:r>
      <w:r w:rsidR="00855EE2">
        <w:t>is about</w:t>
      </w:r>
      <w:r w:rsidRPr="003B51CE">
        <w:t xml:space="preserve"> practical and realistic measures</w:t>
      </w:r>
      <w:r w:rsidR="00855EE2">
        <w:t xml:space="preserve"> that will support </w:t>
      </w:r>
      <w:r w:rsidR="00AB7B4D">
        <w:t xml:space="preserve">Murray–Darling </w:t>
      </w:r>
      <w:r w:rsidR="00855EE2">
        <w:t xml:space="preserve">Basin </w:t>
      </w:r>
      <w:r w:rsidR="00AB7B4D">
        <w:t xml:space="preserve">(Basin) </w:t>
      </w:r>
      <w:r w:rsidR="00F4562A">
        <w:t>g</w:t>
      </w:r>
      <w:r w:rsidR="00855EE2">
        <w:t>overnments</w:t>
      </w:r>
      <w:r w:rsidR="00F4562A">
        <w:t xml:space="preserve"> to</w:t>
      </w:r>
      <w:r w:rsidR="00855EE2">
        <w:t xml:space="preserve"> deliver on </w:t>
      </w:r>
      <w:r w:rsidR="00A17267">
        <w:t xml:space="preserve">their </w:t>
      </w:r>
      <w:r w:rsidR="00855EE2">
        <w:t>Basin Plan commitments by</w:t>
      </w:r>
      <w:r w:rsidRPr="003B51CE">
        <w:t xml:space="preserve">: </w:t>
      </w:r>
    </w:p>
    <w:p w14:paraId="1471350B" w14:textId="77777777" w:rsidR="0086198C" w:rsidRPr="003B51CE" w:rsidRDefault="0086198C" w:rsidP="0086198C">
      <w:pPr>
        <w:pStyle w:val="ListBullet"/>
      </w:pPr>
      <w:r w:rsidRPr="003B51CE">
        <w:t>ending water buybacks</w:t>
      </w:r>
    </w:p>
    <w:p w14:paraId="560CAA81" w14:textId="466749BC" w:rsidR="0086198C" w:rsidRPr="003B51CE" w:rsidRDefault="0086198C" w:rsidP="0086198C">
      <w:pPr>
        <w:pStyle w:val="ListBullet"/>
      </w:pPr>
      <w:r w:rsidRPr="003B51CE">
        <w:t>shifting the focus of water efficiency programs to off-farm projects to protect communities and economies</w:t>
      </w:r>
    </w:p>
    <w:p w14:paraId="1A9B1E35" w14:textId="49432263" w:rsidR="00244160" w:rsidRDefault="00244160" w:rsidP="0086198C">
      <w:pPr>
        <w:pStyle w:val="ListBullet"/>
      </w:pPr>
      <w:r>
        <w:t>put</w:t>
      </w:r>
      <w:r w:rsidR="00612F6E">
        <w:t>ting</w:t>
      </w:r>
      <w:r>
        <w:t xml:space="preserve"> funds into the hands of communities to grow their economic resilience</w:t>
      </w:r>
    </w:p>
    <w:p w14:paraId="76B3D816" w14:textId="6BE59DE0" w:rsidR="00C43C4F" w:rsidRPr="003B51CE" w:rsidRDefault="00855EE2" w:rsidP="00286E91">
      <w:pPr>
        <w:pStyle w:val="ListBullet"/>
      </w:pPr>
      <w:r>
        <w:t xml:space="preserve">establishing a statutory and independent Inspector-General of Water Compliance to improve trust and confidence in </w:t>
      </w:r>
      <w:r w:rsidR="00A17267">
        <w:t xml:space="preserve">Basin </w:t>
      </w:r>
      <w:r>
        <w:t>water management systems</w:t>
      </w:r>
    </w:p>
    <w:p w14:paraId="31C2E465" w14:textId="458AE982" w:rsidR="00C43C4F" w:rsidRPr="003B51CE" w:rsidRDefault="00244160" w:rsidP="00286E91">
      <w:pPr>
        <w:pStyle w:val="ListBullet"/>
      </w:pPr>
      <w:r>
        <w:t xml:space="preserve">working together to deliver a suite of projects that </w:t>
      </w:r>
      <w:r w:rsidR="00096135">
        <w:t>keep 605 GL of water in productive use while achieving the environmental outcomes of the Basin Plan.</w:t>
      </w:r>
    </w:p>
    <w:p w14:paraId="1CC0B4F6" w14:textId="29958EE5" w:rsidR="00764D6A" w:rsidRPr="003B51CE" w:rsidRDefault="00EA4A22" w:rsidP="00286E91">
      <w:r w:rsidRPr="003B51CE">
        <w:t xml:space="preserve">The next report into implementation of the Murray–Darling Communities Investment Package is due </w:t>
      </w:r>
      <w:r w:rsidR="00BC4B6F">
        <w:t>before the end of the year</w:t>
      </w:r>
      <w:r w:rsidRPr="003B51CE">
        <w:t xml:space="preserve">. </w:t>
      </w:r>
    </w:p>
    <w:p w14:paraId="27EAF2AC" w14:textId="77777777" w:rsidR="00764D6A" w:rsidRPr="003B51CE" w:rsidRDefault="00764D6A">
      <w:pPr>
        <w:sectPr w:rsidR="00764D6A" w:rsidRPr="003B51CE">
          <w:headerReference w:type="default" r:id="rId12"/>
          <w:footerReference w:type="default" r:id="rId13"/>
          <w:headerReference w:type="first" r:id="rId14"/>
          <w:pgSz w:w="11906" w:h="16838"/>
          <w:pgMar w:top="1418" w:right="1418" w:bottom="1418" w:left="1418" w:header="567" w:footer="283" w:gutter="0"/>
          <w:pgNumType w:fmt="lowerRoman" w:start="1"/>
          <w:cols w:space="708"/>
          <w:titlePg/>
          <w:docGrid w:linePitch="360"/>
        </w:sectPr>
      </w:pPr>
    </w:p>
    <w:p w14:paraId="7B6C77E3" w14:textId="77777777" w:rsidR="00764D6A" w:rsidRPr="003B51CE" w:rsidRDefault="00EA4A22" w:rsidP="00286E91">
      <w:pPr>
        <w:pStyle w:val="Heading2"/>
        <w:numPr>
          <w:ilvl w:val="0"/>
          <w:numId w:val="0"/>
        </w:numPr>
        <w:ind w:left="720" w:hanging="720"/>
      </w:pPr>
      <w:r w:rsidRPr="003B51CE">
        <w:lastRenderedPageBreak/>
        <w:t>Investing in community resilience and river health</w:t>
      </w:r>
    </w:p>
    <w:p w14:paraId="0B4043A4" w14:textId="29314CD1" w:rsidR="00C43C4F" w:rsidRPr="00942ECD" w:rsidRDefault="00EA4A22" w:rsidP="00286E91">
      <w:r w:rsidRPr="00EA194C">
        <w:t xml:space="preserve">The 3rd round of the Murray–Darling Basin Economic Development Program </w:t>
      </w:r>
      <w:r w:rsidR="00A324F8">
        <w:t xml:space="preserve">is supporting nearly 60 </w:t>
      </w:r>
      <w:r w:rsidR="00096135" w:rsidRPr="00EA194C">
        <w:t>projects in communities across the Basin most impacted by historic water recovery</w:t>
      </w:r>
      <w:r w:rsidRPr="00EA194C">
        <w:t>.</w:t>
      </w:r>
      <w:r w:rsidR="00096135" w:rsidRPr="00EA194C">
        <w:t xml:space="preserve"> </w:t>
      </w:r>
      <w:r w:rsidR="00AB7B4D">
        <w:t xml:space="preserve">Outcomes from the </w:t>
      </w:r>
      <w:r w:rsidR="00AB7B4D" w:rsidRPr="00AF2766">
        <w:t xml:space="preserve">$39 million approved </w:t>
      </w:r>
      <w:r w:rsidR="00AB7B4D" w:rsidRPr="00942ECD">
        <w:t xml:space="preserve">under </w:t>
      </w:r>
      <w:r w:rsidR="00AB7B4D">
        <w:t>r</w:t>
      </w:r>
      <w:r w:rsidR="00AB7B4D" w:rsidRPr="00942ECD">
        <w:t>ounds 1 and 2 of the program show local people have the best ideas to help their local communities.</w:t>
      </w:r>
      <w:r w:rsidR="00AB7B4D">
        <w:t xml:space="preserve"> </w:t>
      </w:r>
      <w:r w:rsidR="00AF2766">
        <w:t>The projects receiving round 3 funding have demonstrated that they will generate jobs and economic activity in the towns and regions that put them forward. The</w:t>
      </w:r>
      <w:r w:rsidR="00AB7B4D">
        <w:t>y</w:t>
      </w:r>
      <w:r w:rsidR="00AF2766">
        <w:t xml:space="preserve"> provide </w:t>
      </w:r>
      <w:r w:rsidR="002C4428">
        <w:t>additional</w:t>
      </w:r>
      <w:r w:rsidR="00AF2766">
        <w:t xml:space="preserve"> </w:t>
      </w:r>
      <w:r w:rsidR="00AB7B4D">
        <w:t xml:space="preserve">employment </w:t>
      </w:r>
      <w:r w:rsidR="00AF2766">
        <w:t>benefits because grant</w:t>
      </w:r>
      <w:r w:rsidR="00096135" w:rsidRPr="003B51CE">
        <w:t xml:space="preserve"> </w:t>
      </w:r>
      <w:r w:rsidR="00AF2766">
        <w:t xml:space="preserve">recipients </w:t>
      </w:r>
      <w:r w:rsidR="00AB7B4D">
        <w:t>must</w:t>
      </w:r>
      <w:r w:rsidR="00AF2766">
        <w:t xml:space="preserve"> </w:t>
      </w:r>
      <w:r w:rsidR="00AF2766" w:rsidRPr="00AF2766">
        <w:t>us</w:t>
      </w:r>
      <w:r w:rsidR="00AF2766">
        <w:t>e</w:t>
      </w:r>
      <w:r w:rsidR="00AF2766" w:rsidRPr="00AF2766">
        <w:t xml:space="preserve"> local suppliers and resources</w:t>
      </w:r>
      <w:r w:rsidR="00AF2766">
        <w:t xml:space="preserve"> when they’re implementing the project</w:t>
      </w:r>
      <w:r w:rsidR="00AB7B4D">
        <w:t>s</w:t>
      </w:r>
      <w:r w:rsidR="00AF2766">
        <w:t xml:space="preserve">. </w:t>
      </w:r>
    </w:p>
    <w:p w14:paraId="6BE8723B" w14:textId="08418E63" w:rsidR="00134432" w:rsidRPr="003B51CE" w:rsidRDefault="00134432" w:rsidP="00286E91">
      <w:r w:rsidRPr="00942ECD">
        <w:t>The first round of small grants</w:t>
      </w:r>
      <w:r w:rsidR="00534EA7">
        <w:t xml:space="preserve"> (</w:t>
      </w:r>
      <w:r w:rsidRPr="00942ECD">
        <w:t>between $5</w:t>
      </w:r>
      <w:r w:rsidR="00F4562A">
        <w:t>,</w:t>
      </w:r>
      <w:r w:rsidRPr="00942ECD">
        <w:t>000 and $50,000</w:t>
      </w:r>
      <w:r w:rsidR="00534EA7">
        <w:t>)</w:t>
      </w:r>
      <w:r w:rsidRPr="00942ECD">
        <w:t xml:space="preserve"> </w:t>
      </w:r>
      <w:r w:rsidR="00303D43">
        <w:t xml:space="preserve">of </w:t>
      </w:r>
      <w:r w:rsidR="00303D43" w:rsidRPr="00942ECD">
        <w:t xml:space="preserve">the Healthy Rivers grants program </w:t>
      </w:r>
      <w:r w:rsidRPr="00942ECD">
        <w:t xml:space="preserve">have been awarded. 73 </w:t>
      </w:r>
      <w:r w:rsidR="00534EA7">
        <w:t>of these</w:t>
      </w:r>
      <w:r w:rsidRPr="00942ECD">
        <w:t xml:space="preserve"> grants will be </w:t>
      </w:r>
      <w:r w:rsidR="008C46E8" w:rsidRPr="00942ECD">
        <w:t>used</w:t>
      </w:r>
      <w:r w:rsidRPr="00942ECD">
        <w:t xml:space="preserve"> by community</w:t>
      </w:r>
      <w:r>
        <w:t xml:space="preserve"> groups, including </w:t>
      </w:r>
      <w:r w:rsidRPr="00134432">
        <w:t>schools, Scouts, Landcare groups, people living with disabilities and First Nations</w:t>
      </w:r>
      <w:r>
        <w:t xml:space="preserve"> to make a difference to their stretch of the river. Grants can be used to improve the health of local rivers by funding things like revegetation, constructing riverbank fencing, and controlling invasive species. These grants are also required to be spent locally. Two further rounds – consisting of a small grants round and a large grants round – </w:t>
      </w:r>
      <w:r w:rsidR="0052258E">
        <w:t>opened recently</w:t>
      </w:r>
      <w:r>
        <w:t>.</w:t>
      </w:r>
    </w:p>
    <w:p w14:paraId="6CE9ACAF" w14:textId="77777777" w:rsidR="00C43C4F" w:rsidRPr="003B51CE" w:rsidRDefault="00EA4A22" w:rsidP="00C43C4F">
      <w:pPr>
        <w:pStyle w:val="Heading3"/>
        <w:numPr>
          <w:ilvl w:val="0"/>
          <w:numId w:val="0"/>
        </w:numPr>
        <w:ind w:left="964" w:hanging="964"/>
        <w:rPr>
          <w:lang w:val="en-US"/>
        </w:rPr>
      </w:pPr>
      <w:r w:rsidRPr="003B51CE">
        <w:rPr>
          <w:lang w:val="en-US"/>
        </w:rPr>
        <w:t>Invest in community resilience and river health</w:t>
      </w:r>
    </w:p>
    <w:tbl>
      <w:tblPr>
        <w:tblStyle w:val="TableGrid"/>
        <w:tblW w:w="14392" w:type="dxa"/>
        <w:tblBorders>
          <w:left w:val="none" w:sz="0" w:space="0" w:color="auto"/>
          <w:right w:val="none" w:sz="0" w:space="0" w:color="auto"/>
          <w:insideV w:val="none" w:sz="0" w:space="0" w:color="auto"/>
        </w:tblBorders>
        <w:tblLook w:val="04A0" w:firstRow="1" w:lastRow="0" w:firstColumn="1" w:lastColumn="0" w:noHBand="0" w:noVBand="1"/>
      </w:tblPr>
      <w:tblGrid>
        <w:gridCol w:w="1933"/>
        <w:gridCol w:w="3879"/>
        <w:gridCol w:w="1693"/>
        <w:gridCol w:w="1359"/>
        <w:gridCol w:w="5528"/>
      </w:tblGrid>
      <w:tr w:rsidR="0086198C" w:rsidRPr="005F7497" w14:paraId="69ED2D35" w14:textId="77777777" w:rsidTr="00B97432">
        <w:trPr>
          <w:cantSplit/>
          <w:tblHeader/>
        </w:trPr>
        <w:tc>
          <w:tcPr>
            <w:tcW w:w="1933" w:type="dxa"/>
          </w:tcPr>
          <w:p w14:paraId="77B806C0" w14:textId="77777777" w:rsidR="0086198C" w:rsidRPr="005F7497" w:rsidRDefault="0086198C" w:rsidP="000D54FB">
            <w:pPr>
              <w:pStyle w:val="TableHeading"/>
            </w:pPr>
            <w:r w:rsidRPr="005F7497">
              <w:t>What we are doing</w:t>
            </w:r>
          </w:p>
        </w:tc>
        <w:tc>
          <w:tcPr>
            <w:tcW w:w="3879" w:type="dxa"/>
          </w:tcPr>
          <w:p w14:paraId="69E7DB73" w14:textId="77777777" w:rsidR="0086198C" w:rsidRPr="005F7497" w:rsidRDefault="0086198C" w:rsidP="000D54FB">
            <w:pPr>
              <w:pStyle w:val="TableHeading"/>
            </w:pPr>
            <w:r w:rsidRPr="005F7497">
              <w:t>How we will do it</w:t>
            </w:r>
          </w:p>
        </w:tc>
        <w:tc>
          <w:tcPr>
            <w:tcW w:w="1693" w:type="dxa"/>
          </w:tcPr>
          <w:p w14:paraId="7EDAB399" w14:textId="77777777" w:rsidR="0086198C" w:rsidRPr="005F7497" w:rsidRDefault="0086198C" w:rsidP="000D54FB">
            <w:pPr>
              <w:pStyle w:val="TableHeading"/>
            </w:pPr>
            <w:r w:rsidRPr="005F7497">
              <w:t>By when</w:t>
            </w:r>
          </w:p>
        </w:tc>
        <w:tc>
          <w:tcPr>
            <w:tcW w:w="1359" w:type="dxa"/>
          </w:tcPr>
          <w:p w14:paraId="16F21BDF" w14:textId="3B82C721" w:rsidR="0086198C" w:rsidRPr="005F7497" w:rsidRDefault="0086198C" w:rsidP="000D54FB">
            <w:pPr>
              <w:pStyle w:val="TableHeading"/>
            </w:pPr>
            <w:r>
              <w:t>Status</w:t>
            </w:r>
          </w:p>
        </w:tc>
        <w:tc>
          <w:tcPr>
            <w:tcW w:w="5528" w:type="dxa"/>
          </w:tcPr>
          <w:p w14:paraId="2728F935" w14:textId="2EB5FE86" w:rsidR="0086198C" w:rsidRPr="005F7497" w:rsidRDefault="0086198C" w:rsidP="000D54FB">
            <w:pPr>
              <w:pStyle w:val="TableHeading"/>
            </w:pPr>
            <w:r w:rsidRPr="005F7497">
              <w:t>What have we done</w:t>
            </w:r>
          </w:p>
        </w:tc>
      </w:tr>
      <w:tr w:rsidR="0086198C" w:rsidRPr="005F7497" w14:paraId="0CB80EE1" w14:textId="77777777" w:rsidTr="00B97432">
        <w:tc>
          <w:tcPr>
            <w:tcW w:w="1933" w:type="dxa"/>
          </w:tcPr>
          <w:p w14:paraId="4AEC4AFB" w14:textId="77777777" w:rsidR="0086198C" w:rsidRPr="005F7497" w:rsidRDefault="0086198C" w:rsidP="000D54FB">
            <w:pPr>
              <w:pStyle w:val="TableText"/>
            </w:pPr>
            <w:r w:rsidRPr="005F7497">
              <w:t>Maximising the benefits of the Basin Plan for communities</w:t>
            </w:r>
          </w:p>
        </w:tc>
        <w:tc>
          <w:tcPr>
            <w:tcW w:w="3879" w:type="dxa"/>
          </w:tcPr>
          <w:p w14:paraId="66055B45" w14:textId="77777777" w:rsidR="0086198C" w:rsidRPr="005F7497" w:rsidRDefault="0086198C" w:rsidP="000D54FB">
            <w:pPr>
              <w:pStyle w:val="TableText"/>
            </w:pPr>
            <w:r w:rsidRPr="003B51CE">
              <w:t>Deliver $34 million for economic assistance to communities struggling with the effects of water recovery by extending the successful competitive grants Murray–Darling Basin Economic Development Program.</w:t>
            </w:r>
          </w:p>
        </w:tc>
        <w:tc>
          <w:tcPr>
            <w:tcW w:w="1693" w:type="dxa"/>
          </w:tcPr>
          <w:p w14:paraId="768B48F8" w14:textId="66E78D7E" w:rsidR="0086198C" w:rsidRPr="005F7497" w:rsidRDefault="0086198C" w:rsidP="000D54FB">
            <w:pPr>
              <w:pStyle w:val="TableText"/>
            </w:pPr>
            <w:r w:rsidRPr="003B51CE">
              <w:t xml:space="preserve">Q1 2021 </w:t>
            </w:r>
          </w:p>
        </w:tc>
        <w:tc>
          <w:tcPr>
            <w:tcW w:w="1359" w:type="dxa"/>
          </w:tcPr>
          <w:p w14:paraId="3A82E446" w14:textId="4A3A7365" w:rsidR="0086198C" w:rsidRPr="00EA194C" w:rsidRDefault="00194881" w:rsidP="000D54FB">
            <w:pPr>
              <w:pStyle w:val="TableText"/>
            </w:pPr>
            <w:r>
              <w:t>C</w:t>
            </w:r>
            <w:r w:rsidR="00A324F8">
              <w:t>OMPLETE</w:t>
            </w:r>
          </w:p>
        </w:tc>
        <w:tc>
          <w:tcPr>
            <w:tcW w:w="5528" w:type="dxa"/>
          </w:tcPr>
          <w:p w14:paraId="587B494E" w14:textId="2613E72B" w:rsidR="0086198C" w:rsidRPr="005F7497" w:rsidRDefault="0086198C" w:rsidP="000D54FB">
            <w:pPr>
              <w:pStyle w:val="TableText"/>
            </w:pPr>
            <w:r w:rsidRPr="00EA194C">
              <w:t>5</w:t>
            </w:r>
            <w:r w:rsidR="00A324F8">
              <w:t>8</w:t>
            </w:r>
            <w:r w:rsidRPr="00EA194C">
              <w:t xml:space="preserve"> projects were awarded </w:t>
            </w:r>
            <w:r w:rsidR="00CF7515">
              <w:t xml:space="preserve">a total of </w:t>
            </w:r>
            <w:r>
              <w:t>$</w:t>
            </w:r>
            <w:r w:rsidR="00A324F8">
              <w:t>34</w:t>
            </w:r>
            <w:r>
              <w:t xml:space="preserve"> million in </w:t>
            </w:r>
            <w:r w:rsidRPr="00EA194C">
              <w:t>funding in June and July 2021.</w:t>
            </w:r>
            <w:r w:rsidR="00CD58E8">
              <w:t xml:space="preserve"> Grant applications were received between 3</w:t>
            </w:r>
            <w:r w:rsidR="00CF7515">
              <w:t> </w:t>
            </w:r>
            <w:r w:rsidR="00CD58E8">
              <w:t>March</w:t>
            </w:r>
            <w:r w:rsidR="00CF7515">
              <w:t> </w:t>
            </w:r>
            <w:r w:rsidR="00CD58E8">
              <w:t>2021 and 12 April 2021</w:t>
            </w:r>
            <w:r w:rsidR="00194881">
              <w:t xml:space="preserve"> following consultation on the guidelines.</w:t>
            </w:r>
          </w:p>
        </w:tc>
      </w:tr>
      <w:tr w:rsidR="0086198C" w:rsidRPr="005F7497" w14:paraId="367775E7" w14:textId="77777777" w:rsidTr="00B97432">
        <w:tc>
          <w:tcPr>
            <w:tcW w:w="1933" w:type="dxa"/>
          </w:tcPr>
          <w:p w14:paraId="0C1F838A" w14:textId="77777777" w:rsidR="0086198C" w:rsidRPr="005F7497" w:rsidRDefault="0086198C" w:rsidP="000D54FB">
            <w:pPr>
              <w:pStyle w:val="TableText"/>
            </w:pPr>
            <w:r w:rsidRPr="003B51CE">
              <w:t>Improving river health for all users</w:t>
            </w:r>
          </w:p>
        </w:tc>
        <w:tc>
          <w:tcPr>
            <w:tcW w:w="3879" w:type="dxa"/>
          </w:tcPr>
          <w:p w14:paraId="300608A5" w14:textId="77777777" w:rsidR="0086198C" w:rsidRDefault="0086198C" w:rsidP="000D54FB">
            <w:pPr>
              <w:pStyle w:val="TableText"/>
            </w:pPr>
            <w:r w:rsidRPr="003B51CE">
              <w:t>Deliver $20 million to fund community-driven grants for on-ground projects that will improve the health of rivers and wetlands.</w:t>
            </w:r>
          </w:p>
          <w:p w14:paraId="72866EAA" w14:textId="77777777" w:rsidR="0086198C" w:rsidRPr="003B51CE" w:rsidRDefault="0086198C" w:rsidP="000D54FB">
            <w:pPr>
              <w:pStyle w:val="TableText"/>
            </w:pPr>
            <w:r w:rsidRPr="003B51CE">
              <w:t>This builds on existing commitments to the environment of:</w:t>
            </w:r>
          </w:p>
          <w:p w14:paraId="2A506FF6" w14:textId="77777777" w:rsidR="0086198C" w:rsidRPr="003B51CE" w:rsidRDefault="0086198C" w:rsidP="000D54FB">
            <w:pPr>
              <w:pStyle w:val="TableBullet1"/>
            </w:pPr>
            <w:r w:rsidRPr="003B51CE">
              <w:t>$6 million for fish ways in the Lower Darling</w:t>
            </w:r>
          </w:p>
          <w:p w14:paraId="6AE4021D" w14:textId="77777777" w:rsidR="0086198C" w:rsidRPr="003B51CE" w:rsidRDefault="0086198C" w:rsidP="000D54FB">
            <w:pPr>
              <w:pStyle w:val="TableBullet1"/>
            </w:pPr>
            <w:r w:rsidRPr="003B51CE">
              <w:t>$10 million to establish hatcheries at St George and Menindee</w:t>
            </w:r>
          </w:p>
          <w:p w14:paraId="4831F2E5" w14:textId="77777777" w:rsidR="0086198C" w:rsidRPr="003B51CE" w:rsidRDefault="0086198C" w:rsidP="000D54FB">
            <w:pPr>
              <w:pStyle w:val="TableBullet1"/>
            </w:pPr>
            <w:r w:rsidRPr="003B51CE">
              <w:t>$15 million to fence Northern Basin riverbanks</w:t>
            </w:r>
          </w:p>
          <w:p w14:paraId="3F400572" w14:textId="77777777" w:rsidR="0086198C" w:rsidRPr="005F7497" w:rsidRDefault="0086198C" w:rsidP="000D54FB">
            <w:pPr>
              <w:pStyle w:val="TableBullet1"/>
            </w:pPr>
            <w:r w:rsidRPr="003B51CE">
              <w:t>$9.2 million to modify and decommission water infrastructure at Toorale.</w:t>
            </w:r>
          </w:p>
        </w:tc>
        <w:tc>
          <w:tcPr>
            <w:tcW w:w="1693" w:type="dxa"/>
          </w:tcPr>
          <w:p w14:paraId="161DC07B" w14:textId="4D0C1F63" w:rsidR="0086198C" w:rsidRPr="005F7497" w:rsidRDefault="0086198C" w:rsidP="000D54FB">
            <w:pPr>
              <w:pStyle w:val="TableText"/>
            </w:pPr>
            <w:r w:rsidRPr="00942ECD">
              <w:t>Q1 2021</w:t>
            </w:r>
            <w:r>
              <w:t xml:space="preserve"> </w:t>
            </w:r>
          </w:p>
        </w:tc>
        <w:tc>
          <w:tcPr>
            <w:tcW w:w="1359" w:type="dxa"/>
          </w:tcPr>
          <w:p w14:paraId="09E244E6" w14:textId="5826C488" w:rsidR="0086198C" w:rsidRDefault="0086198C" w:rsidP="000D54FB">
            <w:pPr>
              <w:pStyle w:val="TableText"/>
            </w:pPr>
            <w:r>
              <w:t>Round 1 C</w:t>
            </w:r>
            <w:r w:rsidR="00854E4A">
              <w:t>OMPLETE</w:t>
            </w:r>
          </w:p>
          <w:p w14:paraId="04320151" w14:textId="4694CC37" w:rsidR="0086198C" w:rsidRDefault="0086198C" w:rsidP="007C6DCE">
            <w:pPr>
              <w:pStyle w:val="TableText"/>
              <w:spacing w:after="0"/>
            </w:pPr>
          </w:p>
          <w:p w14:paraId="556B3EFC" w14:textId="77777777" w:rsidR="007C6DCE" w:rsidRDefault="007C6DCE" w:rsidP="007C6DCE">
            <w:pPr>
              <w:pStyle w:val="TableText"/>
              <w:spacing w:before="0"/>
            </w:pPr>
          </w:p>
          <w:p w14:paraId="159DE9E2" w14:textId="4DB7DDCE" w:rsidR="0086198C" w:rsidRPr="00942ECD" w:rsidRDefault="0086198C" w:rsidP="000D54FB">
            <w:pPr>
              <w:pStyle w:val="TableText"/>
            </w:pPr>
            <w:r>
              <w:t>ONGOING</w:t>
            </w:r>
          </w:p>
        </w:tc>
        <w:tc>
          <w:tcPr>
            <w:tcW w:w="5528" w:type="dxa"/>
          </w:tcPr>
          <w:p w14:paraId="0E6DEEE7" w14:textId="32B029C2" w:rsidR="0086198C" w:rsidRPr="00942ECD" w:rsidRDefault="0086198C" w:rsidP="000D54FB">
            <w:pPr>
              <w:pStyle w:val="TableText"/>
            </w:pPr>
            <w:r w:rsidRPr="00942ECD">
              <w:t>Round 1 of Healthy Rivers grants program awarded $3.08 million to community groups to improve their stretch of river.</w:t>
            </w:r>
            <w:r w:rsidR="00194881">
              <w:t xml:space="preserve"> The grants were open for applications between </w:t>
            </w:r>
            <w:r w:rsidR="009022CF">
              <w:t xml:space="preserve">3 </w:t>
            </w:r>
            <w:r w:rsidR="00194881">
              <w:t xml:space="preserve">March  and </w:t>
            </w:r>
            <w:r w:rsidR="009022CF">
              <w:t xml:space="preserve">31 </w:t>
            </w:r>
            <w:r w:rsidR="00194881">
              <w:t>March 2021.</w:t>
            </w:r>
            <w:r w:rsidR="001B756C">
              <w:t xml:space="preserve"> </w:t>
            </w:r>
          </w:p>
          <w:p w14:paraId="58730097" w14:textId="73FCA3FC" w:rsidR="001B756C" w:rsidRDefault="001B756C" w:rsidP="000D54FB">
            <w:pPr>
              <w:pStyle w:val="TableText"/>
            </w:pPr>
            <w:r>
              <w:t xml:space="preserve">Round 2 </w:t>
            </w:r>
            <w:r w:rsidRPr="00942ECD">
              <w:t xml:space="preserve">of Healthy Rivers grants program </w:t>
            </w:r>
            <w:r w:rsidR="009A1184">
              <w:t>was</w:t>
            </w:r>
            <w:r>
              <w:t xml:space="preserve"> launched in August</w:t>
            </w:r>
            <w:r w:rsidR="00CF7515">
              <w:t> </w:t>
            </w:r>
            <w:r w:rsidR="009022CF">
              <w:t>2021</w:t>
            </w:r>
            <w:r>
              <w:t xml:space="preserve"> with the remaining $17 million in grants available to community groups.</w:t>
            </w:r>
          </w:p>
          <w:p w14:paraId="690D119E" w14:textId="391B4CE3" w:rsidR="00BB0960" w:rsidRDefault="00BB0960" w:rsidP="000D54FB">
            <w:pPr>
              <w:pStyle w:val="TableText"/>
            </w:pPr>
            <w:r w:rsidRPr="00BB0960">
              <w:t>N</w:t>
            </w:r>
            <w:r>
              <w:t xml:space="preserve">ew </w:t>
            </w:r>
            <w:r w:rsidRPr="00BB0960">
              <w:t>S</w:t>
            </w:r>
            <w:r>
              <w:t xml:space="preserve">outh </w:t>
            </w:r>
            <w:r w:rsidRPr="00BB0960">
              <w:t>W</w:t>
            </w:r>
            <w:r>
              <w:t>ales</w:t>
            </w:r>
            <w:r w:rsidRPr="00BB0960">
              <w:t xml:space="preserve"> </w:t>
            </w:r>
            <w:r>
              <w:t>is</w:t>
            </w:r>
            <w:r w:rsidRPr="00BB0960">
              <w:t xml:space="preserve"> progress</w:t>
            </w:r>
            <w:r>
              <w:t>ing</w:t>
            </w:r>
            <w:r w:rsidRPr="00BB0960">
              <w:t xml:space="preserve"> planning for improved fish passage in the Lower Darling </w:t>
            </w:r>
            <w:r>
              <w:t>following the</w:t>
            </w:r>
            <w:r w:rsidRPr="00BB0960">
              <w:t xml:space="preserve"> February 2021</w:t>
            </w:r>
            <w:r>
              <w:t xml:space="preserve"> announcement </w:t>
            </w:r>
            <w:r w:rsidR="00A166FF">
              <w:t>releasing</w:t>
            </w:r>
            <w:r>
              <w:t xml:space="preserve"> $1.1 million</w:t>
            </w:r>
            <w:r w:rsidR="00CF7515">
              <w:t xml:space="preserve"> in funding</w:t>
            </w:r>
            <w:r>
              <w:t>.</w:t>
            </w:r>
          </w:p>
          <w:p w14:paraId="2A72BA95" w14:textId="651CE9CF" w:rsidR="0086198C" w:rsidRPr="00942ECD" w:rsidRDefault="0086198C" w:rsidP="000D54FB">
            <w:pPr>
              <w:pStyle w:val="TableText"/>
            </w:pPr>
            <w:r>
              <w:t>Work continues with the Menindee and St George communities on proposals for native fish hatcheries.</w:t>
            </w:r>
          </w:p>
          <w:p w14:paraId="0E6CB57B" w14:textId="34F24F85" w:rsidR="0086198C" w:rsidRPr="00942ECD" w:rsidRDefault="0086198C" w:rsidP="000D54FB">
            <w:pPr>
              <w:pStyle w:val="TableText"/>
            </w:pPr>
            <w:bookmarkStart w:id="0" w:name="_Hlk79485275"/>
            <w:r w:rsidRPr="00D70AE4">
              <w:t xml:space="preserve">The rollout of the Fencing Northern Riverbanks Program in Queensland and New South Wales is underway. </w:t>
            </w:r>
            <w:r>
              <w:t>The</w:t>
            </w:r>
            <w:r w:rsidRPr="00D70AE4">
              <w:t xml:space="preserve"> Commonwealth has provided $2.1 million to support a pilot program in Queensland, </w:t>
            </w:r>
            <w:r w:rsidRPr="00D70AE4">
              <w:lastRenderedPageBreak/>
              <w:t>and</w:t>
            </w:r>
            <w:r>
              <w:t xml:space="preserve"> </w:t>
            </w:r>
            <w:r w:rsidRPr="00D70AE4">
              <w:t xml:space="preserve">develop long-term strategic plans and program roll out </w:t>
            </w:r>
            <w:r>
              <w:t xml:space="preserve">activities </w:t>
            </w:r>
            <w:r w:rsidRPr="00D70AE4">
              <w:t>in both states.</w:t>
            </w:r>
          </w:p>
          <w:bookmarkEnd w:id="0"/>
          <w:p w14:paraId="7B7AF0DE" w14:textId="77777777" w:rsidR="0086198C" w:rsidRPr="005F7497" w:rsidRDefault="0086198C" w:rsidP="000D54FB">
            <w:pPr>
              <w:pStyle w:val="TableText"/>
            </w:pPr>
            <w:r w:rsidRPr="00942ECD">
              <w:t>On-ground works to modify the Boera and Homestead dams at Toorale are underway and expected to take 12 months.</w:t>
            </w:r>
          </w:p>
        </w:tc>
      </w:tr>
      <w:tr w:rsidR="0086198C" w:rsidRPr="005F7497" w14:paraId="4627BAE2" w14:textId="77777777" w:rsidTr="007C6DCE">
        <w:trPr>
          <w:trHeight w:val="2420"/>
        </w:trPr>
        <w:tc>
          <w:tcPr>
            <w:tcW w:w="1933" w:type="dxa"/>
            <w:vMerge w:val="restart"/>
          </w:tcPr>
          <w:p w14:paraId="1FF2DF22" w14:textId="77777777" w:rsidR="0086198C" w:rsidRPr="005F7497" w:rsidRDefault="0086198C" w:rsidP="000D54FB">
            <w:pPr>
              <w:pStyle w:val="TableText"/>
            </w:pPr>
            <w:r>
              <w:lastRenderedPageBreak/>
              <w:t>Delivering environmental outcomes in the Riverland</w:t>
            </w:r>
          </w:p>
        </w:tc>
        <w:tc>
          <w:tcPr>
            <w:tcW w:w="3879" w:type="dxa"/>
          </w:tcPr>
          <w:p w14:paraId="4366E861" w14:textId="77777777" w:rsidR="0086198C" w:rsidRPr="005F7497" w:rsidRDefault="0086198C" w:rsidP="000D54FB">
            <w:pPr>
              <w:pStyle w:val="TableText"/>
            </w:pPr>
            <w:r w:rsidRPr="003B51CE">
              <w:t>Deliver $37.6 million in practical projects to sustain Riverland environments. We will work with the South Australian Government to deliver projects. This action recognises that there have been delays in progress towards securing an additional 450 GL of water to improve river health and habitats on the lower Murra</w:t>
            </w:r>
            <w:r>
              <w:t>y.</w:t>
            </w:r>
          </w:p>
        </w:tc>
        <w:tc>
          <w:tcPr>
            <w:tcW w:w="1693" w:type="dxa"/>
          </w:tcPr>
          <w:p w14:paraId="5DEDA096" w14:textId="1581A3BD" w:rsidR="0086198C" w:rsidRPr="005F7497" w:rsidRDefault="0086198C" w:rsidP="000D54FB">
            <w:pPr>
              <w:pStyle w:val="TableText"/>
            </w:pPr>
            <w:r>
              <w:t>Q4 2020</w:t>
            </w:r>
          </w:p>
        </w:tc>
        <w:tc>
          <w:tcPr>
            <w:tcW w:w="1359" w:type="dxa"/>
          </w:tcPr>
          <w:p w14:paraId="4B94466B" w14:textId="58BB5DA2" w:rsidR="0086198C" w:rsidRPr="00F1682E" w:rsidRDefault="0086198C" w:rsidP="000D54FB">
            <w:pPr>
              <w:rPr>
                <w:sz w:val="18"/>
              </w:rPr>
            </w:pPr>
            <w:r>
              <w:rPr>
                <w:sz w:val="18"/>
              </w:rPr>
              <w:t>ONGOING</w:t>
            </w:r>
          </w:p>
        </w:tc>
        <w:tc>
          <w:tcPr>
            <w:tcW w:w="5528" w:type="dxa"/>
          </w:tcPr>
          <w:p w14:paraId="7BB75838" w14:textId="77777777" w:rsidR="007C1F35" w:rsidRPr="003B51CE" w:rsidRDefault="007C1F35" w:rsidP="007C1F35">
            <w:pPr>
              <w:pStyle w:val="TableText"/>
            </w:pPr>
            <w:r w:rsidRPr="003B51CE">
              <w:t>Projects have been agreed with the South Australian Government to achieve landscape-scale improvements and benefit important fish species:</w:t>
            </w:r>
          </w:p>
          <w:p w14:paraId="43C068D6" w14:textId="47E819A1" w:rsidR="007C1F35" w:rsidRPr="003B51CE" w:rsidRDefault="00CF7515" w:rsidP="007C1F35">
            <w:pPr>
              <w:pStyle w:val="TableText"/>
              <w:numPr>
                <w:ilvl w:val="0"/>
                <w:numId w:val="36"/>
              </w:numPr>
            </w:pPr>
            <w:r>
              <w:t>r</w:t>
            </w:r>
            <w:r w:rsidR="007C1F35" w:rsidRPr="003B51CE">
              <w:t xml:space="preserve">estoring natural river patterns in the Lock 6 reach </w:t>
            </w:r>
          </w:p>
          <w:p w14:paraId="4782A366" w14:textId="2E2C1A7E" w:rsidR="007C1F35" w:rsidRPr="003B51CE" w:rsidRDefault="00CF7515" w:rsidP="007C1F35">
            <w:pPr>
              <w:pStyle w:val="TableText"/>
              <w:numPr>
                <w:ilvl w:val="0"/>
                <w:numId w:val="36"/>
              </w:numPr>
            </w:pPr>
            <w:r>
              <w:t>r</w:t>
            </w:r>
            <w:r w:rsidR="007C1F35" w:rsidRPr="003B51CE">
              <w:t>iver infrastructure and operational investments in the Lock 3 reach</w:t>
            </w:r>
          </w:p>
          <w:p w14:paraId="79C348BB" w14:textId="6D0127EA" w:rsidR="007C1F35" w:rsidRPr="003B51CE" w:rsidRDefault="00CF7515" w:rsidP="007C1F35">
            <w:pPr>
              <w:pStyle w:val="TableText"/>
              <w:numPr>
                <w:ilvl w:val="0"/>
                <w:numId w:val="36"/>
              </w:numPr>
            </w:pPr>
            <w:r>
              <w:t>r</w:t>
            </w:r>
            <w:r w:rsidR="007C1F35" w:rsidRPr="003B51CE">
              <w:t>einstating natural habitat conditions in the Bookmark Creek area.</w:t>
            </w:r>
          </w:p>
          <w:p w14:paraId="0036820C" w14:textId="36919A9D" w:rsidR="0086198C" w:rsidRPr="005F7497" w:rsidRDefault="0086198C" w:rsidP="007C6DCE">
            <w:pPr>
              <w:pStyle w:val="TableText"/>
            </w:pPr>
            <w:r w:rsidRPr="00F1682E">
              <w:t xml:space="preserve">The implementation plan covering all projects is complete </w:t>
            </w:r>
            <w:r w:rsidR="00CF7515">
              <w:t xml:space="preserve">to now progress with </w:t>
            </w:r>
            <w:r w:rsidRPr="00F1682E">
              <w:t>environmental works and stakeholder engagement</w:t>
            </w:r>
            <w:r>
              <w:t>.</w:t>
            </w:r>
            <w:r w:rsidRPr="00F1682E">
              <w:t xml:space="preserve"> </w:t>
            </w:r>
          </w:p>
        </w:tc>
      </w:tr>
      <w:tr w:rsidR="0086198C" w:rsidRPr="005F7497" w14:paraId="7F2A61A1" w14:textId="77777777" w:rsidTr="00B97432">
        <w:trPr>
          <w:trHeight w:val="720"/>
        </w:trPr>
        <w:tc>
          <w:tcPr>
            <w:tcW w:w="1933" w:type="dxa"/>
            <w:vMerge/>
          </w:tcPr>
          <w:p w14:paraId="7D39569A" w14:textId="77777777" w:rsidR="0086198C" w:rsidRDefault="0086198C" w:rsidP="000D54FB">
            <w:pPr>
              <w:pStyle w:val="TableText"/>
            </w:pPr>
          </w:p>
        </w:tc>
        <w:tc>
          <w:tcPr>
            <w:tcW w:w="3879" w:type="dxa"/>
          </w:tcPr>
          <w:p w14:paraId="1BBC4CC1" w14:textId="77777777" w:rsidR="0086198C" w:rsidRDefault="0086198C" w:rsidP="000D54FB">
            <w:pPr>
              <w:pStyle w:val="TableText"/>
            </w:pPr>
            <w:r w:rsidRPr="003B51CE">
              <w:t xml:space="preserve">Recover the 450 GL of water for the environment in ways that support Basin communities. </w:t>
            </w:r>
          </w:p>
        </w:tc>
        <w:tc>
          <w:tcPr>
            <w:tcW w:w="1693" w:type="dxa"/>
          </w:tcPr>
          <w:p w14:paraId="21D956DD" w14:textId="77777777" w:rsidR="0086198C" w:rsidRPr="005F7497" w:rsidRDefault="0086198C" w:rsidP="000D54FB">
            <w:pPr>
              <w:pStyle w:val="TableText"/>
            </w:pPr>
            <w:r>
              <w:t>Q2 2022</w:t>
            </w:r>
          </w:p>
        </w:tc>
        <w:tc>
          <w:tcPr>
            <w:tcW w:w="1359" w:type="dxa"/>
          </w:tcPr>
          <w:p w14:paraId="4687B095" w14:textId="79CF7BDC" w:rsidR="0086198C" w:rsidRPr="00BC4B6F" w:rsidRDefault="00A166FF" w:rsidP="000D54FB">
            <w:pPr>
              <w:pStyle w:val="TableText"/>
            </w:pPr>
            <w:r>
              <w:t>ONGOING</w:t>
            </w:r>
          </w:p>
        </w:tc>
        <w:tc>
          <w:tcPr>
            <w:tcW w:w="5528" w:type="dxa"/>
          </w:tcPr>
          <w:p w14:paraId="2BE86476" w14:textId="0AE53EDF" w:rsidR="0086198C" w:rsidRDefault="0086198C" w:rsidP="000D54FB">
            <w:pPr>
              <w:pStyle w:val="TableText"/>
            </w:pPr>
            <w:r w:rsidRPr="00BC4B6F">
              <w:t xml:space="preserve">Basin states can nominate infrastructure projects through the $1.33 billion Off-farm Efficiency Program, to generate water savings for the environment without taking water from farmers. This </w:t>
            </w:r>
            <w:r w:rsidR="007C1F35">
              <w:t xml:space="preserve">follows </w:t>
            </w:r>
            <w:hyperlink r:id="rId15" w:history="1">
              <w:r w:rsidRPr="00BC4B6F">
                <w:rPr>
                  <w:rStyle w:val="Hyperlink"/>
                </w:rPr>
                <w:t>consultation on the Off-</w:t>
              </w:r>
              <w:r>
                <w:rPr>
                  <w:rStyle w:val="Hyperlink"/>
                </w:rPr>
                <w:t>f</w:t>
              </w:r>
              <w:r w:rsidRPr="00BC4B6F">
                <w:rPr>
                  <w:rStyle w:val="Hyperlink"/>
                </w:rPr>
                <w:t>arm Efficiency Program’s</w:t>
              </w:r>
            </w:hyperlink>
            <w:r w:rsidRPr="00BC4B6F">
              <w:t xml:space="preserve"> $150 million grant component that close</w:t>
            </w:r>
            <w:r w:rsidR="007C1F35">
              <w:t>d</w:t>
            </w:r>
            <w:r w:rsidRPr="00BC4B6F">
              <w:t xml:space="preserve"> on 20 August.</w:t>
            </w:r>
          </w:p>
          <w:p w14:paraId="29E63274" w14:textId="0D62BA9E" w:rsidR="007C1F35" w:rsidRPr="005F7497" w:rsidRDefault="007C1F35" w:rsidP="000D54FB">
            <w:pPr>
              <w:pStyle w:val="TableText"/>
            </w:pPr>
            <w:r w:rsidRPr="003B51CE">
              <w:t>The new approach is demonstrated through the Goulburn Murray Water $177.5 million project that will generate 15.9 GL of water for the environment.</w:t>
            </w:r>
          </w:p>
        </w:tc>
      </w:tr>
      <w:tr w:rsidR="0086198C" w:rsidRPr="005F7497" w14:paraId="5EF5498B" w14:textId="77777777" w:rsidTr="00B97432">
        <w:tc>
          <w:tcPr>
            <w:tcW w:w="1933" w:type="dxa"/>
            <w:vMerge w:val="restart"/>
          </w:tcPr>
          <w:p w14:paraId="17F0675C" w14:textId="77777777" w:rsidR="0086198C" w:rsidRPr="005F7497" w:rsidRDefault="0086198C" w:rsidP="000D54FB">
            <w:pPr>
              <w:pStyle w:val="TableText"/>
            </w:pPr>
            <w:r w:rsidRPr="003B51CE">
              <w:rPr>
                <w:lang w:val="en-US"/>
              </w:rPr>
              <w:t>Supporting First Nations Australians to play an active role in river health</w:t>
            </w:r>
          </w:p>
        </w:tc>
        <w:tc>
          <w:tcPr>
            <w:tcW w:w="3879" w:type="dxa"/>
          </w:tcPr>
          <w:p w14:paraId="7CB9F049" w14:textId="338A41BF" w:rsidR="0086198C" w:rsidRPr="005F7497" w:rsidRDefault="0086198C" w:rsidP="000D54FB">
            <w:pPr>
              <w:pStyle w:val="TableText"/>
            </w:pPr>
            <w:r w:rsidRPr="003B51CE">
              <w:t xml:space="preserve">Deliver $3.1 million for </w:t>
            </w:r>
            <w:r>
              <w:t>4</w:t>
            </w:r>
            <w:r w:rsidRPr="003B51CE">
              <w:t xml:space="preserve"> new First Nations River Rangers teams, creating around 20 jobs.</w:t>
            </w:r>
          </w:p>
        </w:tc>
        <w:tc>
          <w:tcPr>
            <w:tcW w:w="1693" w:type="dxa"/>
          </w:tcPr>
          <w:p w14:paraId="044425BF" w14:textId="5781901E" w:rsidR="0086198C" w:rsidRPr="005F7497" w:rsidRDefault="0086198C" w:rsidP="000D54FB">
            <w:pPr>
              <w:pStyle w:val="TableText"/>
            </w:pPr>
            <w:r>
              <w:t>Q3 2021</w:t>
            </w:r>
          </w:p>
        </w:tc>
        <w:tc>
          <w:tcPr>
            <w:tcW w:w="1359" w:type="dxa"/>
          </w:tcPr>
          <w:p w14:paraId="0ECFB15F" w14:textId="64F419CC" w:rsidR="0086198C" w:rsidRDefault="00A166FF" w:rsidP="000D54FB">
            <w:pPr>
              <w:pStyle w:val="TableText"/>
            </w:pPr>
            <w:r>
              <w:t>COMPLETE</w:t>
            </w:r>
          </w:p>
        </w:tc>
        <w:tc>
          <w:tcPr>
            <w:tcW w:w="5528" w:type="dxa"/>
          </w:tcPr>
          <w:p w14:paraId="4568C25D" w14:textId="62934266" w:rsidR="0086198C" w:rsidRPr="005F7497" w:rsidRDefault="0086198C" w:rsidP="000D54FB">
            <w:pPr>
              <w:pStyle w:val="TableText"/>
            </w:pPr>
            <w:r>
              <w:t xml:space="preserve">Five new Indigenous </w:t>
            </w:r>
            <w:r w:rsidR="009022CF">
              <w:t xml:space="preserve">River </w:t>
            </w:r>
            <w:r>
              <w:t xml:space="preserve">Ranger Groups were announced on 31 July 2021 creating 27 positions. They are </w:t>
            </w:r>
            <w:r w:rsidRPr="00942ECD">
              <w:t>Border Ranges Contractors; Dharriwaa Elders Group; First People of the Millewa-Mallee Aboriginal Corporation; Yarkuwa Indigenous Knowledge Centre Aboriginal Corporation; and Nari Nari Tribal Council</w:t>
            </w:r>
            <w:r w:rsidRPr="007972EE">
              <w:t>.</w:t>
            </w:r>
          </w:p>
        </w:tc>
      </w:tr>
      <w:tr w:rsidR="0086198C" w:rsidRPr="005F7497" w14:paraId="55D62E09" w14:textId="77777777" w:rsidTr="00B97432">
        <w:tc>
          <w:tcPr>
            <w:tcW w:w="1933" w:type="dxa"/>
            <w:vMerge/>
          </w:tcPr>
          <w:p w14:paraId="03133896" w14:textId="77777777" w:rsidR="0086198C" w:rsidRPr="005F7497" w:rsidRDefault="0086198C" w:rsidP="000D54FB">
            <w:pPr>
              <w:pStyle w:val="TableText"/>
            </w:pPr>
          </w:p>
        </w:tc>
        <w:tc>
          <w:tcPr>
            <w:tcW w:w="3879" w:type="dxa"/>
          </w:tcPr>
          <w:p w14:paraId="136E72DD" w14:textId="77777777" w:rsidR="0086198C" w:rsidRPr="005F7497" w:rsidRDefault="0086198C" w:rsidP="000D54FB">
            <w:pPr>
              <w:pStyle w:val="TableText"/>
            </w:pPr>
            <w:r w:rsidRPr="003B51CE">
              <w:t>Agree the framework for implementing the $40 million Aboriginal water entitlements program with Aboriginal communities.</w:t>
            </w:r>
          </w:p>
        </w:tc>
        <w:tc>
          <w:tcPr>
            <w:tcW w:w="1693" w:type="dxa"/>
          </w:tcPr>
          <w:p w14:paraId="0F394DC0" w14:textId="2082A67E" w:rsidR="0086198C" w:rsidRPr="005F7497" w:rsidRDefault="0086198C" w:rsidP="000D54FB">
            <w:pPr>
              <w:pStyle w:val="TableText"/>
            </w:pPr>
            <w:r>
              <w:t xml:space="preserve">Q1 2021 </w:t>
            </w:r>
          </w:p>
        </w:tc>
        <w:tc>
          <w:tcPr>
            <w:tcW w:w="1359" w:type="dxa"/>
          </w:tcPr>
          <w:p w14:paraId="787C8FDB" w14:textId="59C531FC" w:rsidR="0086198C" w:rsidRPr="00726506" w:rsidRDefault="00A166FF" w:rsidP="000D54FB">
            <w:pPr>
              <w:pStyle w:val="TableText"/>
            </w:pPr>
            <w:r>
              <w:t>ONGOING</w:t>
            </w:r>
          </w:p>
        </w:tc>
        <w:tc>
          <w:tcPr>
            <w:tcW w:w="5528" w:type="dxa"/>
          </w:tcPr>
          <w:p w14:paraId="2468717A" w14:textId="50D43831" w:rsidR="0086198C" w:rsidRPr="005F7497" w:rsidRDefault="0086198C" w:rsidP="000D54FB">
            <w:pPr>
              <w:pStyle w:val="TableText"/>
            </w:pPr>
            <w:r w:rsidRPr="00726506">
              <w:t>The department and the Minister continue to consider delivery options.</w:t>
            </w:r>
          </w:p>
        </w:tc>
      </w:tr>
      <w:tr w:rsidR="0086198C" w:rsidRPr="005F7497" w14:paraId="5827CE5D" w14:textId="77777777" w:rsidTr="00B97432">
        <w:tc>
          <w:tcPr>
            <w:tcW w:w="1933" w:type="dxa"/>
            <w:vMerge/>
          </w:tcPr>
          <w:p w14:paraId="14B0EB82" w14:textId="77777777" w:rsidR="0086198C" w:rsidRPr="005F7497" w:rsidRDefault="0086198C" w:rsidP="000D54FB">
            <w:pPr>
              <w:pStyle w:val="TableText"/>
            </w:pPr>
          </w:p>
        </w:tc>
        <w:tc>
          <w:tcPr>
            <w:tcW w:w="3879" w:type="dxa"/>
          </w:tcPr>
          <w:p w14:paraId="6247A4B4" w14:textId="77777777" w:rsidR="0086198C" w:rsidRPr="005F7497" w:rsidRDefault="0086198C" w:rsidP="000D54FB">
            <w:pPr>
              <w:pStyle w:val="TableText"/>
            </w:pPr>
            <w:r w:rsidRPr="003B51CE">
              <w:t>Appointment of an Indigenous board member to the Murray–Darling Basin Authority.</w:t>
            </w:r>
          </w:p>
        </w:tc>
        <w:tc>
          <w:tcPr>
            <w:tcW w:w="1693" w:type="dxa"/>
          </w:tcPr>
          <w:p w14:paraId="71867C5B" w14:textId="4F39F036" w:rsidR="0086198C" w:rsidRPr="005F7497" w:rsidRDefault="0086198C" w:rsidP="000D54FB">
            <w:pPr>
              <w:pStyle w:val="TableText"/>
            </w:pPr>
            <w:r>
              <w:t xml:space="preserve">Q4 2020 </w:t>
            </w:r>
          </w:p>
        </w:tc>
        <w:tc>
          <w:tcPr>
            <w:tcW w:w="1359" w:type="dxa"/>
          </w:tcPr>
          <w:p w14:paraId="076B07A5" w14:textId="3E5C26A8" w:rsidR="0086198C" w:rsidRPr="003B51CE" w:rsidRDefault="00A166FF" w:rsidP="000D54FB">
            <w:pPr>
              <w:pStyle w:val="TableText"/>
            </w:pPr>
            <w:r>
              <w:t>COMPLETE</w:t>
            </w:r>
          </w:p>
        </w:tc>
        <w:tc>
          <w:tcPr>
            <w:tcW w:w="5528" w:type="dxa"/>
          </w:tcPr>
          <w:p w14:paraId="4F5DAFA3" w14:textId="1BBCE087" w:rsidR="0086198C" w:rsidRPr="005F7497" w:rsidRDefault="0086198C" w:rsidP="000D54FB">
            <w:pPr>
              <w:pStyle w:val="TableText"/>
            </w:pPr>
            <w:r w:rsidRPr="003B51CE">
              <w:t xml:space="preserve">Mr Rene Woods </w:t>
            </w:r>
            <w:r w:rsidR="007C1F35">
              <w:t xml:space="preserve">was appointed </w:t>
            </w:r>
            <w:r w:rsidR="007C1F35" w:rsidRPr="003B51CE">
              <w:t>as the first dedicated Indigenous member of the board of the Murray-Darling Basin Authority by Minister Keith Pitt on 18 December 2020.</w:t>
            </w:r>
          </w:p>
        </w:tc>
      </w:tr>
    </w:tbl>
    <w:p w14:paraId="131A2DBF" w14:textId="4BE041AC" w:rsidR="00DD4719" w:rsidRPr="003B51CE" w:rsidRDefault="00EA4A22" w:rsidP="00286E91">
      <w:pPr>
        <w:pStyle w:val="Heading2"/>
        <w:numPr>
          <w:ilvl w:val="0"/>
          <w:numId w:val="0"/>
        </w:numPr>
        <w:ind w:left="720" w:hanging="720"/>
        <w:rPr>
          <w:b/>
        </w:rPr>
      </w:pPr>
      <w:r w:rsidRPr="003B51CE">
        <w:lastRenderedPageBreak/>
        <w:t xml:space="preserve">Build trust, </w:t>
      </w:r>
      <w:proofErr w:type="gramStart"/>
      <w:r w:rsidRPr="003B51CE">
        <w:t>transparency</w:t>
      </w:r>
      <w:proofErr w:type="gramEnd"/>
      <w:r w:rsidRPr="003B51CE">
        <w:t xml:space="preserve"> and accountability in government</w:t>
      </w:r>
    </w:p>
    <w:p w14:paraId="3D11F05D" w14:textId="40E0E9AF" w:rsidR="00CB16BF" w:rsidRDefault="00CB16BF" w:rsidP="00286E91">
      <w:r w:rsidRPr="001D74E4">
        <w:t xml:space="preserve">The </w:t>
      </w:r>
      <w:r w:rsidR="00755FBB" w:rsidRPr="001D74E4">
        <w:t xml:space="preserve">statutory appointment of Australia’s first Inspector General for Water Compliance was finalised on 5 August 2021, along with the </w:t>
      </w:r>
      <w:r w:rsidR="008C46E8" w:rsidRPr="001D74E4">
        <w:t>establishment</w:t>
      </w:r>
      <w:r w:rsidR="00755FBB" w:rsidRPr="001D74E4">
        <w:t xml:space="preserve"> of the Office of Water Compliance. </w:t>
      </w:r>
      <w:r w:rsidRPr="001D74E4">
        <w:t>The legislation</w:t>
      </w:r>
      <w:r w:rsidR="00755FBB" w:rsidRPr="001D74E4">
        <w:t>, that passed the Australian Parliament on 24 June,</w:t>
      </w:r>
      <w:r w:rsidRPr="001D74E4">
        <w:t xml:space="preserve"> establishes a strong and independent regulator to monitor and oversee water compliance in the Murray–Darling Basin. It delivers on the Australian Government’s commitment to increase trust and transparency with Basin communities by providing them with assurance that water is well managed in the Murray–Darling Basin. The statutory Inspector-General</w:t>
      </w:r>
      <w:r w:rsidR="00755FBB" w:rsidRPr="001D74E4">
        <w:t>, the Hon Troy Grant, is independent of the department and Minister and controls his workplan and budget</w:t>
      </w:r>
      <w:r w:rsidR="00A324F8">
        <w:t xml:space="preserve">. </w:t>
      </w:r>
      <w:r w:rsidRPr="001D74E4">
        <w:t>A key role for the Inspector–General will be to encourage greater consistency in the guidelines and standards across the Basin</w:t>
      </w:r>
      <w:r w:rsidR="00B021E2">
        <w:t xml:space="preserve"> </w:t>
      </w:r>
      <w:r w:rsidR="00A324F8">
        <w:t>–</w:t>
      </w:r>
      <w:r w:rsidR="00B021E2">
        <w:t xml:space="preserve"> </w:t>
      </w:r>
      <w:r w:rsidRPr="001D74E4">
        <w:t>so all water users are held</w:t>
      </w:r>
      <w:r>
        <w:t xml:space="preserve"> to the same high bar.</w:t>
      </w:r>
    </w:p>
    <w:p w14:paraId="3569F31A" w14:textId="2C24780D" w:rsidR="00AA045E" w:rsidRDefault="00AA045E" w:rsidP="00286E91">
      <w:r>
        <w:t xml:space="preserve">The first iteration of the </w:t>
      </w:r>
      <w:hyperlink r:id="rId16" w:history="1">
        <w:r w:rsidRPr="0029031F">
          <w:rPr>
            <w:rStyle w:val="Hyperlink"/>
          </w:rPr>
          <w:t>Murray–Darling</w:t>
        </w:r>
        <w:r w:rsidR="00F934FC">
          <w:rPr>
            <w:rStyle w:val="Hyperlink"/>
          </w:rPr>
          <w:t xml:space="preserve"> Basin</w:t>
        </w:r>
        <w:r w:rsidRPr="0029031F">
          <w:rPr>
            <w:rStyle w:val="Hyperlink"/>
          </w:rPr>
          <w:t xml:space="preserve"> Water Information Portal</w:t>
        </w:r>
      </w:hyperlink>
      <w:r>
        <w:t xml:space="preserve"> has been released. The portal</w:t>
      </w:r>
      <w:r w:rsidR="0029031F">
        <w:t xml:space="preserve">, hosted by the Bureau of </w:t>
      </w:r>
      <w:r w:rsidR="008C46E8">
        <w:t>Meteorology</w:t>
      </w:r>
      <w:r w:rsidR="0029031F">
        <w:t>,</w:t>
      </w:r>
      <w:r>
        <w:t xml:space="preserve"> provides information on available water, allocation volumes, water use, water trade and prices, environmental </w:t>
      </w:r>
      <w:proofErr w:type="gramStart"/>
      <w:r>
        <w:t>water</w:t>
      </w:r>
      <w:proofErr w:type="gramEnd"/>
      <w:r>
        <w:t xml:space="preserve"> and weather. It also provides a directory to other resources hosted by other state and federal agencies for those seeking more detailed information. Feedback on this version is encouraged so future releases can improve on function and information.</w:t>
      </w:r>
    </w:p>
    <w:p w14:paraId="56423F23" w14:textId="77777777" w:rsidR="00DD4719" w:rsidRPr="003B51CE" w:rsidRDefault="00EA4A22" w:rsidP="00DD4719">
      <w:pPr>
        <w:pStyle w:val="Heading3"/>
        <w:numPr>
          <w:ilvl w:val="0"/>
          <w:numId w:val="0"/>
        </w:numPr>
        <w:ind w:left="964" w:hanging="964"/>
        <w:rPr>
          <w:lang w:val="en-US"/>
        </w:rPr>
      </w:pPr>
      <w:r w:rsidRPr="003B51CE">
        <w:rPr>
          <w:lang w:val="en-US"/>
        </w:rPr>
        <w:t>Build trust, transparency and accountability in government</w:t>
      </w:r>
    </w:p>
    <w:tbl>
      <w:tblPr>
        <w:tblW w:w="4973"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1215"/>
        <w:gridCol w:w="3450"/>
        <w:gridCol w:w="902"/>
        <w:gridCol w:w="1407"/>
        <w:gridCol w:w="6952"/>
      </w:tblGrid>
      <w:tr w:rsidR="00A166FF" w14:paraId="27A42C43" w14:textId="77777777" w:rsidTr="00A166FF">
        <w:trPr>
          <w:cantSplit/>
          <w:tblHeader/>
        </w:trPr>
        <w:tc>
          <w:tcPr>
            <w:tcW w:w="436" w:type="pct"/>
            <w:tcMar>
              <w:left w:w="108" w:type="dxa"/>
              <w:right w:w="108" w:type="dxa"/>
            </w:tcMar>
          </w:tcPr>
          <w:p w14:paraId="4B15DB93" w14:textId="77777777" w:rsidR="00A166FF" w:rsidRPr="003B51CE" w:rsidRDefault="00A166FF" w:rsidP="000D54FB">
            <w:pPr>
              <w:pStyle w:val="TableHeading"/>
            </w:pPr>
            <w:r w:rsidRPr="003B51CE">
              <w:t>What we are doing</w:t>
            </w:r>
          </w:p>
        </w:tc>
        <w:tc>
          <w:tcPr>
            <w:tcW w:w="1239" w:type="pct"/>
            <w:tcMar>
              <w:left w:w="108" w:type="dxa"/>
              <w:right w:w="108" w:type="dxa"/>
            </w:tcMar>
          </w:tcPr>
          <w:p w14:paraId="209581C7" w14:textId="77777777" w:rsidR="00A166FF" w:rsidRPr="003B51CE" w:rsidRDefault="00A166FF" w:rsidP="000D54FB">
            <w:pPr>
              <w:pStyle w:val="TableHeading"/>
            </w:pPr>
            <w:r w:rsidRPr="003B51CE">
              <w:t>How we will do it</w:t>
            </w:r>
          </w:p>
        </w:tc>
        <w:tc>
          <w:tcPr>
            <w:tcW w:w="324" w:type="pct"/>
            <w:tcMar>
              <w:left w:w="108" w:type="dxa"/>
              <w:right w:w="108" w:type="dxa"/>
            </w:tcMar>
          </w:tcPr>
          <w:p w14:paraId="22A06DEF" w14:textId="77777777" w:rsidR="00A166FF" w:rsidRPr="003B51CE" w:rsidRDefault="00A166FF" w:rsidP="000D54FB">
            <w:pPr>
              <w:pStyle w:val="TableHeading"/>
            </w:pPr>
            <w:r w:rsidRPr="003B51CE">
              <w:t>By when</w:t>
            </w:r>
          </w:p>
        </w:tc>
        <w:tc>
          <w:tcPr>
            <w:tcW w:w="505" w:type="pct"/>
          </w:tcPr>
          <w:p w14:paraId="27DEF865" w14:textId="0BFE2FAC" w:rsidR="00A166FF" w:rsidRPr="003B51CE" w:rsidRDefault="00A166FF" w:rsidP="00B97432">
            <w:pPr>
              <w:pStyle w:val="TableHeading"/>
              <w:ind w:right="816"/>
            </w:pPr>
            <w:r>
              <w:t>Status</w:t>
            </w:r>
          </w:p>
        </w:tc>
        <w:tc>
          <w:tcPr>
            <w:tcW w:w="2496" w:type="pct"/>
          </w:tcPr>
          <w:p w14:paraId="7FA63DF7" w14:textId="791EA64E" w:rsidR="00A166FF" w:rsidRPr="003B51CE" w:rsidRDefault="00A166FF" w:rsidP="000D54FB">
            <w:pPr>
              <w:pStyle w:val="TableHeading"/>
            </w:pPr>
            <w:r w:rsidRPr="003B51CE">
              <w:t>What have we done</w:t>
            </w:r>
          </w:p>
        </w:tc>
      </w:tr>
      <w:tr w:rsidR="00A166FF" w14:paraId="5C7746B7" w14:textId="77777777" w:rsidTr="00A166FF">
        <w:tc>
          <w:tcPr>
            <w:tcW w:w="436" w:type="pct"/>
            <w:vMerge w:val="restart"/>
            <w:tcMar>
              <w:left w:w="108" w:type="dxa"/>
              <w:right w:w="108" w:type="dxa"/>
            </w:tcMar>
          </w:tcPr>
          <w:p w14:paraId="6042BFCF" w14:textId="77777777" w:rsidR="00A166FF" w:rsidRPr="003B51CE" w:rsidRDefault="00A166FF" w:rsidP="000D54FB">
            <w:pPr>
              <w:pStyle w:val="TableText"/>
            </w:pPr>
            <w:r w:rsidRPr="003B51CE">
              <w:t>Providing stronger leadership</w:t>
            </w:r>
          </w:p>
        </w:tc>
        <w:tc>
          <w:tcPr>
            <w:tcW w:w="1239" w:type="pct"/>
            <w:tcMar>
              <w:left w:w="108" w:type="dxa"/>
              <w:right w:w="108" w:type="dxa"/>
            </w:tcMar>
          </w:tcPr>
          <w:p w14:paraId="7BC54E40" w14:textId="77777777" w:rsidR="00A166FF" w:rsidRPr="003B51CE" w:rsidRDefault="00A166FF" w:rsidP="000D54FB">
            <w:pPr>
              <w:pStyle w:val="TableText"/>
            </w:pPr>
            <w:r w:rsidRPr="003B51CE">
              <w:t>Build a culture of genuine engagement and trust with communities and between governments</w:t>
            </w:r>
            <w:r>
              <w:t>.</w:t>
            </w:r>
          </w:p>
        </w:tc>
        <w:tc>
          <w:tcPr>
            <w:tcW w:w="324" w:type="pct"/>
            <w:tcMar>
              <w:left w:w="108" w:type="dxa"/>
              <w:right w:w="108" w:type="dxa"/>
            </w:tcMar>
          </w:tcPr>
          <w:p w14:paraId="5B57D639" w14:textId="48027699" w:rsidR="00A166FF" w:rsidRPr="003B51CE" w:rsidRDefault="00A166FF" w:rsidP="000D54FB">
            <w:pPr>
              <w:pStyle w:val="TableText"/>
            </w:pPr>
            <w:r w:rsidRPr="003B51CE">
              <w:t>Q4 2020</w:t>
            </w:r>
            <w:r>
              <w:t xml:space="preserve"> </w:t>
            </w:r>
          </w:p>
        </w:tc>
        <w:tc>
          <w:tcPr>
            <w:tcW w:w="505" w:type="pct"/>
          </w:tcPr>
          <w:p w14:paraId="0E413E11" w14:textId="49A42FDD" w:rsidR="00A166FF" w:rsidRDefault="00A166FF" w:rsidP="000D54FB">
            <w:pPr>
              <w:pStyle w:val="TableText"/>
            </w:pPr>
            <w:r>
              <w:t>ONGOING</w:t>
            </w:r>
          </w:p>
        </w:tc>
        <w:tc>
          <w:tcPr>
            <w:tcW w:w="2496" w:type="pct"/>
          </w:tcPr>
          <w:p w14:paraId="53C234FA" w14:textId="0F71B5A5" w:rsidR="00A166FF" w:rsidRPr="003B51CE" w:rsidRDefault="00A166FF" w:rsidP="000D54FB">
            <w:pPr>
              <w:pStyle w:val="TableText"/>
            </w:pPr>
            <w:r>
              <w:t xml:space="preserve">The </w:t>
            </w:r>
            <w:r w:rsidR="00F47A12">
              <w:t>second</w:t>
            </w:r>
            <w:r>
              <w:t xml:space="preserve"> joint </w:t>
            </w:r>
            <w:r w:rsidRPr="003B51CE">
              <w:t>Basin Officials Committee, Murray</w:t>
            </w:r>
            <w:r w:rsidR="00F47A12">
              <w:t>–</w:t>
            </w:r>
            <w:r w:rsidRPr="003B51CE">
              <w:t>Darling Basin Authority board and Basin Community Committee meeting was held</w:t>
            </w:r>
            <w:r>
              <w:t xml:space="preserve"> in Griffith on 10 June 2021</w:t>
            </w:r>
            <w:r w:rsidR="00F47A12">
              <w:t>,</w:t>
            </w:r>
            <w:r>
              <w:t xml:space="preserve"> focused on increasing transparency of decision making for communities. An outcome of the meeting was a commitment to publish </w:t>
            </w:r>
            <w:hyperlink r:id="rId17" w:history="1">
              <w:r w:rsidRPr="002C4428">
                <w:rPr>
                  <w:rStyle w:val="Hyperlink"/>
                </w:rPr>
                <w:t>Basin Officials Committee outcomes</w:t>
              </w:r>
            </w:hyperlink>
            <w:r>
              <w:t xml:space="preserve"> with the first published on 11 June 2021. </w:t>
            </w:r>
          </w:p>
        </w:tc>
      </w:tr>
      <w:tr w:rsidR="00A166FF" w14:paraId="5E86CDEA" w14:textId="77777777" w:rsidTr="00A166FF">
        <w:tc>
          <w:tcPr>
            <w:tcW w:w="436" w:type="pct"/>
            <w:vMerge/>
            <w:tcMar>
              <w:left w:w="108" w:type="dxa"/>
              <w:right w:w="108" w:type="dxa"/>
            </w:tcMar>
          </w:tcPr>
          <w:p w14:paraId="66E0C9E6" w14:textId="77777777" w:rsidR="00A166FF" w:rsidRPr="003B51CE" w:rsidRDefault="00A166FF" w:rsidP="000D54FB">
            <w:pPr>
              <w:pStyle w:val="TableText"/>
            </w:pPr>
          </w:p>
        </w:tc>
        <w:tc>
          <w:tcPr>
            <w:tcW w:w="1239" w:type="pct"/>
            <w:tcMar>
              <w:left w:w="108" w:type="dxa"/>
              <w:right w:w="108" w:type="dxa"/>
            </w:tcMar>
          </w:tcPr>
          <w:p w14:paraId="58AE5A37" w14:textId="77777777" w:rsidR="00A166FF" w:rsidRPr="003B51CE" w:rsidRDefault="00A166FF" w:rsidP="000D54FB">
            <w:pPr>
              <w:pStyle w:val="TableText"/>
            </w:pPr>
            <w:r w:rsidRPr="003B51CE">
              <w:t>Maximising the benefits of the Basin Plan for all communities.</w:t>
            </w:r>
          </w:p>
        </w:tc>
        <w:tc>
          <w:tcPr>
            <w:tcW w:w="324" w:type="pct"/>
            <w:tcMar>
              <w:left w:w="108" w:type="dxa"/>
              <w:right w:w="108" w:type="dxa"/>
            </w:tcMar>
          </w:tcPr>
          <w:p w14:paraId="33C7CBC5" w14:textId="218CA8F2" w:rsidR="00A166FF" w:rsidRPr="003B51CE" w:rsidRDefault="00A166FF" w:rsidP="000D54FB">
            <w:pPr>
              <w:pStyle w:val="TableText"/>
            </w:pPr>
          </w:p>
        </w:tc>
        <w:tc>
          <w:tcPr>
            <w:tcW w:w="505" w:type="pct"/>
          </w:tcPr>
          <w:p w14:paraId="4FD2F74E" w14:textId="363401D2" w:rsidR="00A166FF" w:rsidRPr="003B51CE" w:rsidRDefault="00A166FF" w:rsidP="000D54FB">
            <w:pPr>
              <w:pStyle w:val="TableText"/>
            </w:pPr>
            <w:r>
              <w:t xml:space="preserve">ONGOING </w:t>
            </w:r>
          </w:p>
        </w:tc>
        <w:tc>
          <w:tcPr>
            <w:tcW w:w="2496" w:type="pct"/>
          </w:tcPr>
          <w:p w14:paraId="12E10B9A" w14:textId="622F903D" w:rsidR="00A166FF" w:rsidRDefault="00A166FF" w:rsidP="000D54FB">
            <w:pPr>
              <w:pStyle w:val="TableText"/>
            </w:pPr>
            <w:r w:rsidRPr="003B51CE">
              <w:t xml:space="preserve">The Department of Agriculture, Water and the Environment </w:t>
            </w:r>
            <w:r>
              <w:t>sponsored the Murray–Darling Association’s conference in May 2021. The Murray–Darling Basin Authority’s conference in Griffith, June 2021 was another opportunity to connect with Basin communities and hear their views</w:t>
            </w:r>
            <w:r w:rsidRPr="003B51CE">
              <w:t>.</w:t>
            </w:r>
          </w:p>
        </w:tc>
      </w:tr>
      <w:tr w:rsidR="00A166FF" w14:paraId="59798386" w14:textId="77777777" w:rsidTr="00A166FF">
        <w:tc>
          <w:tcPr>
            <w:tcW w:w="436" w:type="pct"/>
            <w:vMerge/>
            <w:tcMar>
              <w:left w:w="108" w:type="dxa"/>
              <w:right w:w="108" w:type="dxa"/>
            </w:tcMar>
          </w:tcPr>
          <w:p w14:paraId="749661F9" w14:textId="77777777" w:rsidR="00A166FF" w:rsidRPr="003B51CE" w:rsidRDefault="00A166FF" w:rsidP="000D54FB">
            <w:pPr>
              <w:pStyle w:val="TableText"/>
            </w:pPr>
          </w:p>
        </w:tc>
        <w:tc>
          <w:tcPr>
            <w:tcW w:w="1239" w:type="pct"/>
            <w:tcMar>
              <w:left w:w="108" w:type="dxa"/>
              <w:right w:w="108" w:type="dxa"/>
            </w:tcMar>
          </w:tcPr>
          <w:p w14:paraId="483970BD" w14:textId="77777777" w:rsidR="00A166FF" w:rsidRPr="003B51CE" w:rsidRDefault="00A166FF" w:rsidP="000D54FB">
            <w:pPr>
              <w:pStyle w:val="TableText"/>
            </w:pPr>
            <w:r w:rsidRPr="003B51CE">
              <w:t>Lead the Murray-Darling Basin Ministerial Council in empowering communities to determine their own future and to keep governments accountable.</w:t>
            </w:r>
          </w:p>
        </w:tc>
        <w:tc>
          <w:tcPr>
            <w:tcW w:w="324" w:type="pct"/>
            <w:tcMar>
              <w:left w:w="108" w:type="dxa"/>
              <w:right w:w="108" w:type="dxa"/>
            </w:tcMar>
          </w:tcPr>
          <w:p w14:paraId="5EA6D00F" w14:textId="55BD5A36" w:rsidR="00A166FF" w:rsidRPr="003B51CE" w:rsidRDefault="00A166FF" w:rsidP="000D54FB">
            <w:pPr>
              <w:pStyle w:val="TableText"/>
            </w:pPr>
          </w:p>
        </w:tc>
        <w:tc>
          <w:tcPr>
            <w:tcW w:w="505" w:type="pct"/>
          </w:tcPr>
          <w:p w14:paraId="50E279B4" w14:textId="471CC2B0" w:rsidR="00A166FF" w:rsidRDefault="00A166FF" w:rsidP="000D54FB">
            <w:pPr>
              <w:pStyle w:val="TableText"/>
            </w:pPr>
            <w:r>
              <w:t>ONGOING</w:t>
            </w:r>
          </w:p>
        </w:tc>
        <w:tc>
          <w:tcPr>
            <w:tcW w:w="2496" w:type="pct"/>
          </w:tcPr>
          <w:p w14:paraId="4088C1A4" w14:textId="6B665BF3" w:rsidR="00A166FF" w:rsidRDefault="00A166FF" w:rsidP="000D54FB">
            <w:pPr>
              <w:pStyle w:val="TableText"/>
            </w:pPr>
            <w:r>
              <w:t xml:space="preserve">The Ministerial Council held a strategic discussion on 29 April and reconfirmed its shared commitment to progressing projects that keep 605 gigalitres (GL) of water in productive use in the southern Murray–Darling Basin. The council agreed to publish </w:t>
            </w:r>
            <w:hyperlink r:id="rId18" w:history="1">
              <w:r w:rsidRPr="00F934FC">
                <w:rPr>
                  <w:rStyle w:val="Hyperlink"/>
                </w:rPr>
                <w:t>quarterly update reports</w:t>
              </w:r>
            </w:hyperlink>
            <w:r>
              <w:t xml:space="preserve"> to ensure communities have up to date information about how projects are tracking.</w:t>
            </w:r>
          </w:p>
        </w:tc>
      </w:tr>
      <w:tr w:rsidR="00A166FF" w14:paraId="2F81A2BF" w14:textId="77777777" w:rsidTr="00A166FF">
        <w:tc>
          <w:tcPr>
            <w:tcW w:w="436" w:type="pct"/>
            <w:vMerge/>
            <w:tcMar>
              <w:left w:w="108" w:type="dxa"/>
              <w:right w:w="108" w:type="dxa"/>
            </w:tcMar>
          </w:tcPr>
          <w:p w14:paraId="25B78871" w14:textId="77777777" w:rsidR="00A166FF" w:rsidRPr="003B51CE" w:rsidRDefault="00A166FF" w:rsidP="000D54FB">
            <w:pPr>
              <w:pStyle w:val="TableText"/>
            </w:pPr>
          </w:p>
        </w:tc>
        <w:tc>
          <w:tcPr>
            <w:tcW w:w="1239" w:type="pct"/>
            <w:tcMar>
              <w:left w:w="108" w:type="dxa"/>
              <w:right w:w="108" w:type="dxa"/>
            </w:tcMar>
          </w:tcPr>
          <w:p w14:paraId="0CFA2BF3" w14:textId="77777777" w:rsidR="00A166FF" w:rsidRPr="003B51CE" w:rsidRDefault="00A166FF" w:rsidP="000D54FB">
            <w:pPr>
              <w:pStyle w:val="TableText"/>
            </w:pPr>
            <w:r w:rsidRPr="003B51CE">
              <w:t>Report 3 times a year on progress against the Package.</w:t>
            </w:r>
          </w:p>
        </w:tc>
        <w:tc>
          <w:tcPr>
            <w:tcW w:w="324" w:type="pct"/>
            <w:tcMar>
              <w:left w:w="108" w:type="dxa"/>
              <w:right w:w="108" w:type="dxa"/>
            </w:tcMar>
          </w:tcPr>
          <w:p w14:paraId="7474B508" w14:textId="5C3AB297" w:rsidR="00A166FF" w:rsidRPr="003B51CE" w:rsidRDefault="00A166FF" w:rsidP="000D54FB">
            <w:pPr>
              <w:pStyle w:val="TableText"/>
            </w:pPr>
          </w:p>
        </w:tc>
        <w:tc>
          <w:tcPr>
            <w:tcW w:w="505" w:type="pct"/>
          </w:tcPr>
          <w:p w14:paraId="5FF3BADC" w14:textId="069B35EE" w:rsidR="00A166FF" w:rsidDel="00700BCA" w:rsidRDefault="00A166FF" w:rsidP="000D54FB">
            <w:pPr>
              <w:pStyle w:val="TableText"/>
            </w:pPr>
            <w:r>
              <w:t>ONGOING</w:t>
            </w:r>
          </w:p>
        </w:tc>
        <w:tc>
          <w:tcPr>
            <w:tcW w:w="2496" w:type="pct"/>
          </w:tcPr>
          <w:p w14:paraId="3C51F71B" w14:textId="6001C4C1" w:rsidR="00A166FF" w:rsidRDefault="00A166FF" w:rsidP="000D54FB">
            <w:pPr>
              <w:pStyle w:val="TableText"/>
            </w:pPr>
            <w:r>
              <w:t>This is the second report</w:t>
            </w:r>
            <w:r w:rsidRPr="003B51CE">
              <w:t>.</w:t>
            </w:r>
          </w:p>
        </w:tc>
      </w:tr>
      <w:tr w:rsidR="00A166FF" w14:paraId="4C5AE810" w14:textId="77777777" w:rsidTr="00A166FF">
        <w:tc>
          <w:tcPr>
            <w:tcW w:w="436" w:type="pct"/>
            <w:vMerge/>
            <w:tcMar>
              <w:left w:w="108" w:type="dxa"/>
              <w:right w:w="108" w:type="dxa"/>
            </w:tcMar>
          </w:tcPr>
          <w:p w14:paraId="1B4D4E5C" w14:textId="77777777" w:rsidR="00A166FF" w:rsidRPr="003B51CE" w:rsidRDefault="00A166FF" w:rsidP="000D54FB">
            <w:pPr>
              <w:pStyle w:val="TableText"/>
            </w:pPr>
          </w:p>
        </w:tc>
        <w:tc>
          <w:tcPr>
            <w:tcW w:w="1239" w:type="pct"/>
            <w:tcMar>
              <w:left w:w="108" w:type="dxa"/>
              <w:right w:w="108" w:type="dxa"/>
            </w:tcMar>
          </w:tcPr>
          <w:p w14:paraId="7FC3D225" w14:textId="77777777" w:rsidR="00A166FF" w:rsidRPr="003B51CE" w:rsidRDefault="00A166FF" w:rsidP="000D54FB">
            <w:pPr>
              <w:pStyle w:val="TableText"/>
            </w:pPr>
            <w:r w:rsidRPr="003B51CE">
              <w:t>Use the outcomes of the Sefton report to inform future work and decisions on implementing the Basin Plan.</w:t>
            </w:r>
          </w:p>
        </w:tc>
        <w:tc>
          <w:tcPr>
            <w:tcW w:w="324" w:type="pct"/>
            <w:tcMar>
              <w:left w:w="108" w:type="dxa"/>
              <w:right w:w="108" w:type="dxa"/>
            </w:tcMar>
          </w:tcPr>
          <w:p w14:paraId="1661D486" w14:textId="3EE5FF6C" w:rsidR="00A166FF" w:rsidRPr="003B51CE" w:rsidRDefault="00A166FF" w:rsidP="000D54FB">
            <w:pPr>
              <w:pStyle w:val="TableText"/>
            </w:pPr>
          </w:p>
        </w:tc>
        <w:tc>
          <w:tcPr>
            <w:tcW w:w="505" w:type="pct"/>
          </w:tcPr>
          <w:p w14:paraId="57751FA1" w14:textId="6B34E9F6" w:rsidR="00A166FF" w:rsidRDefault="00A166FF" w:rsidP="000D54FB">
            <w:pPr>
              <w:pStyle w:val="TableText"/>
            </w:pPr>
            <w:r>
              <w:t>ONGOING</w:t>
            </w:r>
          </w:p>
        </w:tc>
        <w:tc>
          <w:tcPr>
            <w:tcW w:w="2496" w:type="pct"/>
          </w:tcPr>
          <w:p w14:paraId="4222CE8E" w14:textId="22C9EE02" w:rsidR="00A166FF" w:rsidRDefault="00A166FF" w:rsidP="000D54FB">
            <w:pPr>
              <w:pStyle w:val="TableText"/>
            </w:pPr>
            <w:r>
              <w:t>There is ongoing consideration of the report in</w:t>
            </w:r>
            <w:r w:rsidR="008C46E8">
              <w:t xml:space="preserve"> developing</w:t>
            </w:r>
            <w:r>
              <w:t xml:space="preserve"> policy and program</w:t>
            </w:r>
            <w:r w:rsidR="008C46E8">
              <w:t>s</w:t>
            </w:r>
            <w:r>
              <w:t>.</w:t>
            </w:r>
          </w:p>
        </w:tc>
      </w:tr>
      <w:tr w:rsidR="00A166FF" w14:paraId="3A797D18" w14:textId="77777777" w:rsidTr="00A166FF">
        <w:tc>
          <w:tcPr>
            <w:tcW w:w="436" w:type="pct"/>
            <w:vMerge/>
            <w:tcMar>
              <w:left w:w="108" w:type="dxa"/>
              <w:right w:w="108" w:type="dxa"/>
            </w:tcMar>
          </w:tcPr>
          <w:p w14:paraId="56859CC8" w14:textId="77777777" w:rsidR="00A166FF" w:rsidRPr="003B51CE" w:rsidRDefault="00A166FF" w:rsidP="000D54FB">
            <w:pPr>
              <w:pStyle w:val="TableText"/>
            </w:pPr>
          </w:p>
        </w:tc>
        <w:tc>
          <w:tcPr>
            <w:tcW w:w="1239" w:type="pct"/>
            <w:tcMar>
              <w:left w:w="108" w:type="dxa"/>
              <w:right w:w="108" w:type="dxa"/>
            </w:tcMar>
          </w:tcPr>
          <w:p w14:paraId="5EDC7EDE" w14:textId="77777777" w:rsidR="00A166FF" w:rsidRPr="003B51CE" w:rsidRDefault="00A166FF" w:rsidP="000D54FB">
            <w:pPr>
              <w:pStyle w:val="TableText"/>
            </w:pPr>
            <w:r w:rsidRPr="003B51CE">
              <w:t>Appointed Air Chief Marshal Sir Angus Houston AK, AFC (Ret’d) to provide strong and strategic leadership as Chair of the Murray–Darling Basin Authority.</w:t>
            </w:r>
          </w:p>
        </w:tc>
        <w:tc>
          <w:tcPr>
            <w:tcW w:w="324" w:type="pct"/>
            <w:tcMar>
              <w:left w:w="108" w:type="dxa"/>
              <w:right w:w="108" w:type="dxa"/>
            </w:tcMar>
          </w:tcPr>
          <w:p w14:paraId="4BFBFF29" w14:textId="1884ADE0" w:rsidR="00A166FF" w:rsidRPr="003B51CE" w:rsidRDefault="00A166FF" w:rsidP="000D54FB">
            <w:pPr>
              <w:pStyle w:val="TableText"/>
            </w:pPr>
          </w:p>
        </w:tc>
        <w:tc>
          <w:tcPr>
            <w:tcW w:w="505" w:type="pct"/>
          </w:tcPr>
          <w:p w14:paraId="37969B89" w14:textId="782F5894" w:rsidR="00A166FF" w:rsidRPr="003B51CE" w:rsidRDefault="00A166FF" w:rsidP="000D54FB">
            <w:pPr>
              <w:pStyle w:val="TableText"/>
            </w:pPr>
            <w:r>
              <w:t>COMPLETE</w:t>
            </w:r>
          </w:p>
        </w:tc>
        <w:tc>
          <w:tcPr>
            <w:tcW w:w="2496" w:type="pct"/>
          </w:tcPr>
          <w:p w14:paraId="1D78B30B" w14:textId="52A7D73A" w:rsidR="00A166FF" w:rsidRDefault="00A166FF" w:rsidP="000D54FB">
            <w:pPr>
              <w:pStyle w:val="TableText"/>
            </w:pPr>
            <w:r w:rsidRPr="003B51CE">
              <w:t>Sir Angus Houston continues to meet with a cross section of stakeholders virtually and in person.</w:t>
            </w:r>
            <w:r w:rsidR="00A161E8">
              <w:t xml:space="preserve"> </w:t>
            </w:r>
          </w:p>
        </w:tc>
      </w:tr>
      <w:tr w:rsidR="00A166FF" w14:paraId="33E37F11" w14:textId="77777777" w:rsidTr="00A166FF">
        <w:trPr>
          <w:trHeight w:val="905"/>
        </w:trPr>
        <w:tc>
          <w:tcPr>
            <w:tcW w:w="436" w:type="pct"/>
            <w:vMerge w:val="restart"/>
            <w:tcMar>
              <w:left w:w="108" w:type="dxa"/>
              <w:right w:w="108" w:type="dxa"/>
            </w:tcMar>
          </w:tcPr>
          <w:p w14:paraId="61C0E23A" w14:textId="77777777" w:rsidR="00A166FF" w:rsidRPr="003B51CE" w:rsidRDefault="00A166FF" w:rsidP="000D54FB">
            <w:pPr>
              <w:pStyle w:val="TableText"/>
            </w:pPr>
            <w:bookmarkStart w:id="1" w:name="_Hlk66803836"/>
            <w:r w:rsidRPr="003B51CE">
              <w:t>Ensuring stronger compliance</w:t>
            </w:r>
          </w:p>
        </w:tc>
        <w:tc>
          <w:tcPr>
            <w:tcW w:w="1239" w:type="pct"/>
            <w:tcMar>
              <w:left w:w="108" w:type="dxa"/>
              <w:right w:w="108" w:type="dxa"/>
            </w:tcMar>
          </w:tcPr>
          <w:p w14:paraId="3FB3A31D" w14:textId="77777777" w:rsidR="00A166FF" w:rsidRPr="003B51CE" w:rsidRDefault="00A166FF" w:rsidP="000D54FB">
            <w:pPr>
              <w:pStyle w:val="TableText"/>
            </w:pPr>
            <w:r w:rsidRPr="003B51CE">
              <w:t>Establish a statutory and independent Inspector-General of Water Compliance. This will bring together the water compliance role of the Murray–Darling Basin Authority with the assurance role of the Interim Inspector-General of Murray–Darling Basin Water Resources.</w:t>
            </w:r>
          </w:p>
        </w:tc>
        <w:tc>
          <w:tcPr>
            <w:tcW w:w="324" w:type="pct"/>
            <w:tcMar>
              <w:left w:w="108" w:type="dxa"/>
              <w:right w:w="108" w:type="dxa"/>
            </w:tcMar>
          </w:tcPr>
          <w:p w14:paraId="6985536B" w14:textId="350F2379" w:rsidR="00A166FF" w:rsidRPr="003B51CE" w:rsidRDefault="00A166FF" w:rsidP="000D54FB">
            <w:pPr>
              <w:pStyle w:val="TableText"/>
            </w:pPr>
            <w:r w:rsidRPr="003B51CE">
              <w:t>Q3 2021</w:t>
            </w:r>
            <w:r>
              <w:t xml:space="preserve"> </w:t>
            </w:r>
          </w:p>
        </w:tc>
        <w:tc>
          <w:tcPr>
            <w:tcW w:w="505" w:type="pct"/>
          </w:tcPr>
          <w:p w14:paraId="62F1FE05" w14:textId="44D56271" w:rsidR="00A166FF" w:rsidRPr="001D74E4" w:rsidRDefault="00A166FF" w:rsidP="000D54FB">
            <w:pPr>
              <w:pStyle w:val="TableText"/>
            </w:pPr>
            <w:r>
              <w:t>COMPLETE</w:t>
            </w:r>
          </w:p>
        </w:tc>
        <w:tc>
          <w:tcPr>
            <w:tcW w:w="2496" w:type="pct"/>
          </w:tcPr>
          <w:p w14:paraId="3ADE1F71" w14:textId="27D9A093" w:rsidR="00A166FF" w:rsidRPr="001D74E4" w:rsidRDefault="00A166FF" w:rsidP="000D54FB">
            <w:pPr>
              <w:pStyle w:val="TableText"/>
            </w:pPr>
            <w:r w:rsidRPr="001D74E4">
              <w:t xml:space="preserve">The statutory Office of the Inspector General of Water Compliance was established on 5 August following the passage of the legislation through the Australian Parliament with bi-partisan support on 24 June 2021. </w:t>
            </w:r>
          </w:p>
          <w:p w14:paraId="7668F748" w14:textId="77777777" w:rsidR="00A166FF" w:rsidRPr="003B51CE" w:rsidRDefault="00A166FF" w:rsidP="000D54FB">
            <w:pPr>
              <w:pStyle w:val="TableText"/>
            </w:pPr>
            <w:r w:rsidRPr="001D74E4">
              <w:t>The Inspector-General of Water Compliance, Mr Troy Grant, has been appointed as the first statutory and independent office holder. The Inspector General has a role monitoring Commonwealth and Basin state agencies in relation to their obligations in managing Basin water resources to make sure no one is marking their own homework.</w:t>
            </w:r>
          </w:p>
        </w:tc>
      </w:tr>
      <w:tr w:rsidR="00A166FF" w14:paraId="4288DE68" w14:textId="77777777" w:rsidTr="00A166FF">
        <w:trPr>
          <w:trHeight w:val="905"/>
        </w:trPr>
        <w:tc>
          <w:tcPr>
            <w:tcW w:w="436" w:type="pct"/>
            <w:vMerge/>
            <w:tcMar>
              <w:left w:w="108" w:type="dxa"/>
              <w:right w:w="108" w:type="dxa"/>
            </w:tcMar>
          </w:tcPr>
          <w:p w14:paraId="398E7708" w14:textId="77777777" w:rsidR="00A166FF" w:rsidRPr="003B51CE" w:rsidRDefault="00A166FF" w:rsidP="000D54FB">
            <w:pPr>
              <w:pStyle w:val="TableText"/>
            </w:pPr>
          </w:p>
        </w:tc>
        <w:tc>
          <w:tcPr>
            <w:tcW w:w="1239" w:type="pct"/>
            <w:tcMar>
              <w:left w:w="108" w:type="dxa"/>
              <w:right w:w="108" w:type="dxa"/>
            </w:tcMar>
          </w:tcPr>
          <w:p w14:paraId="29794F2A" w14:textId="77777777" w:rsidR="00A166FF" w:rsidRPr="003B51CE" w:rsidRDefault="00A166FF" w:rsidP="000D54FB">
            <w:pPr>
              <w:pStyle w:val="TableText"/>
            </w:pPr>
            <w:r w:rsidRPr="003B51CE">
              <w:t>Deliver $38.7 million to improve Commonwealth water compliance functions. This builds on the Commonwealth’s existing commitment of $60 million for improvements in water metering and remote sensing.</w:t>
            </w:r>
          </w:p>
        </w:tc>
        <w:tc>
          <w:tcPr>
            <w:tcW w:w="324" w:type="pct"/>
            <w:tcMar>
              <w:left w:w="108" w:type="dxa"/>
              <w:right w:w="108" w:type="dxa"/>
            </w:tcMar>
          </w:tcPr>
          <w:p w14:paraId="2DDECF42" w14:textId="20D09C2C" w:rsidR="00A166FF" w:rsidRPr="003B51CE" w:rsidRDefault="00A166FF" w:rsidP="000D54FB">
            <w:pPr>
              <w:pStyle w:val="TableText"/>
            </w:pPr>
            <w:r w:rsidRPr="003B51CE">
              <w:t>Q3 2021</w:t>
            </w:r>
            <w:r>
              <w:t xml:space="preserve"> </w:t>
            </w:r>
          </w:p>
        </w:tc>
        <w:tc>
          <w:tcPr>
            <w:tcW w:w="505" w:type="pct"/>
          </w:tcPr>
          <w:p w14:paraId="4E308341" w14:textId="44A7ADE8" w:rsidR="00A166FF" w:rsidRPr="001D74E4" w:rsidRDefault="00A166FF" w:rsidP="000D54FB">
            <w:pPr>
              <w:pStyle w:val="TableText"/>
            </w:pPr>
            <w:r>
              <w:t>COMPLETE</w:t>
            </w:r>
          </w:p>
        </w:tc>
        <w:tc>
          <w:tcPr>
            <w:tcW w:w="2496" w:type="pct"/>
          </w:tcPr>
          <w:p w14:paraId="57C1D803" w14:textId="37BC844A" w:rsidR="00A166FF" w:rsidRDefault="00A166FF" w:rsidP="000D54FB">
            <w:pPr>
              <w:pStyle w:val="TableText"/>
            </w:pPr>
            <w:r w:rsidRPr="001D74E4">
              <w:t xml:space="preserve">The transition of compliance functions from the MDBA to the Office of Inspector-General of Water Compliance has taken place. The Office has 33 staff located in 5 locations </w:t>
            </w:r>
            <w:r w:rsidR="008C46E8" w:rsidRPr="001D74E4">
              <w:t>across</w:t>
            </w:r>
            <w:r w:rsidRPr="001D74E4">
              <w:t xml:space="preserve"> the Basin.</w:t>
            </w:r>
          </w:p>
        </w:tc>
      </w:tr>
      <w:bookmarkEnd w:id="1"/>
      <w:tr w:rsidR="00A166FF" w14:paraId="26795E87" w14:textId="77777777" w:rsidTr="00A166FF">
        <w:tc>
          <w:tcPr>
            <w:tcW w:w="436" w:type="pct"/>
            <w:tcMar>
              <w:left w:w="108" w:type="dxa"/>
              <w:right w:w="108" w:type="dxa"/>
            </w:tcMar>
          </w:tcPr>
          <w:p w14:paraId="17C9042A" w14:textId="77777777" w:rsidR="00A166FF" w:rsidRPr="003B51CE" w:rsidRDefault="00A166FF" w:rsidP="000D54FB">
            <w:pPr>
              <w:pStyle w:val="TableText"/>
            </w:pPr>
            <w:r w:rsidRPr="003B51CE">
              <w:t>Providing better information</w:t>
            </w:r>
          </w:p>
        </w:tc>
        <w:tc>
          <w:tcPr>
            <w:tcW w:w="1239" w:type="pct"/>
            <w:tcMar>
              <w:left w:w="108" w:type="dxa"/>
              <w:right w:w="108" w:type="dxa"/>
            </w:tcMar>
          </w:tcPr>
          <w:p w14:paraId="15B18492" w14:textId="77777777" w:rsidR="00A166FF" w:rsidRPr="003B51CE" w:rsidRDefault="00A166FF" w:rsidP="000D54FB">
            <w:pPr>
              <w:pStyle w:val="TableText"/>
            </w:pPr>
            <w:r w:rsidRPr="003B51CE">
              <w:t>Bring together water information from across governments in a more accessible format for water users and communities.</w:t>
            </w:r>
          </w:p>
          <w:p w14:paraId="2B96E076" w14:textId="7988D03B" w:rsidR="00A166FF" w:rsidRPr="003B51CE" w:rsidRDefault="00A166FF">
            <w:pPr>
              <w:pStyle w:val="TableText"/>
            </w:pPr>
            <w:r w:rsidRPr="003B51CE">
              <w:t>The detailed platform will provide a one-stop shop for water storage, in-stream flows and trade information.</w:t>
            </w:r>
            <w:r w:rsidR="008C46E8">
              <w:t xml:space="preserve"> </w:t>
            </w:r>
            <w:r w:rsidRPr="003B51CE">
              <w:t>This builds on the existing investment of $4.9 million to the Bureau of Meteorology to improve real-time reporting on water flows.</w:t>
            </w:r>
          </w:p>
        </w:tc>
        <w:tc>
          <w:tcPr>
            <w:tcW w:w="324" w:type="pct"/>
            <w:tcMar>
              <w:left w:w="108" w:type="dxa"/>
              <w:right w:w="108" w:type="dxa"/>
            </w:tcMar>
          </w:tcPr>
          <w:p w14:paraId="562DE988" w14:textId="248E49C4" w:rsidR="00A166FF" w:rsidRPr="003B51CE" w:rsidRDefault="00A166FF" w:rsidP="000D54FB">
            <w:pPr>
              <w:pStyle w:val="TableText"/>
            </w:pPr>
            <w:r w:rsidRPr="003B51CE">
              <w:t>Q3 2021</w:t>
            </w:r>
            <w:r>
              <w:t xml:space="preserve"> </w:t>
            </w:r>
          </w:p>
        </w:tc>
        <w:tc>
          <w:tcPr>
            <w:tcW w:w="505" w:type="pct"/>
          </w:tcPr>
          <w:p w14:paraId="4028D731" w14:textId="0B7BB22A" w:rsidR="00A166FF" w:rsidRDefault="00A166FF" w:rsidP="000D54FB">
            <w:pPr>
              <w:pStyle w:val="TableText"/>
            </w:pPr>
            <w:r>
              <w:t>COMPLETE</w:t>
            </w:r>
          </w:p>
        </w:tc>
        <w:tc>
          <w:tcPr>
            <w:tcW w:w="2496" w:type="pct"/>
          </w:tcPr>
          <w:p w14:paraId="3A64D801" w14:textId="3628393E" w:rsidR="00A166FF" w:rsidRDefault="00A166FF" w:rsidP="000D54FB">
            <w:pPr>
              <w:pStyle w:val="TableText"/>
            </w:pPr>
            <w:r>
              <w:t xml:space="preserve">The first version of the </w:t>
            </w:r>
            <w:hyperlink r:id="rId19" w:history="1">
              <w:r w:rsidRPr="002C4428">
                <w:rPr>
                  <w:rStyle w:val="Hyperlink"/>
                </w:rPr>
                <w:t>Murray–Darling Basin Water Information Portal</w:t>
              </w:r>
            </w:hyperlink>
            <w:r>
              <w:t xml:space="preserve"> was released by the Bureau of Meteorology on 30 June 2021. </w:t>
            </w:r>
          </w:p>
          <w:p w14:paraId="49BF70C9" w14:textId="77777777" w:rsidR="00A166FF" w:rsidRDefault="00A166FF" w:rsidP="000D54FB">
            <w:pPr>
              <w:pStyle w:val="TableText"/>
            </w:pPr>
            <w:r>
              <w:t>The bureau is seeking user feedback to improve the portal over the next three years.</w:t>
            </w:r>
          </w:p>
          <w:p w14:paraId="5056A15D" w14:textId="77777777" w:rsidR="00A166FF" w:rsidRPr="003B51CE" w:rsidRDefault="00A166FF" w:rsidP="000D54FB">
            <w:pPr>
              <w:pStyle w:val="TableText"/>
            </w:pPr>
            <w:r>
              <w:t>This brings together the work with New South Wales and Queensland, to improve northern Basin water information through the Enhanced Water Monitoring and Information Program, with the MDB single source information platform work which is also being developed in collaboration with all Basin states.</w:t>
            </w:r>
          </w:p>
        </w:tc>
      </w:tr>
      <w:tr w:rsidR="00A166FF" w14:paraId="63AD3648" w14:textId="77777777" w:rsidTr="00A166FF">
        <w:trPr>
          <w:trHeight w:val="847"/>
        </w:trPr>
        <w:tc>
          <w:tcPr>
            <w:tcW w:w="436" w:type="pct"/>
            <w:vMerge w:val="restart"/>
            <w:tcMar>
              <w:left w:w="108" w:type="dxa"/>
              <w:right w:w="108" w:type="dxa"/>
            </w:tcMar>
          </w:tcPr>
          <w:p w14:paraId="192C308B" w14:textId="77777777" w:rsidR="00A166FF" w:rsidRPr="003B51CE" w:rsidRDefault="00A166FF" w:rsidP="000D54FB">
            <w:pPr>
              <w:pStyle w:val="TableText"/>
              <w:rPr>
                <w:lang w:val="en-US"/>
              </w:rPr>
            </w:pPr>
            <w:r w:rsidRPr="003B51CE">
              <w:t>Better monitoring and reporting of social, economic and environment conditions</w:t>
            </w:r>
          </w:p>
        </w:tc>
        <w:tc>
          <w:tcPr>
            <w:tcW w:w="1239" w:type="pct"/>
            <w:tcMar>
              <w:left w:w="108" w:type="dxa"/>
              <w:right w:w="108" w:type="dxa"/>
            </w:tcMar>
          </w:tcPr>
          <w:p w14:paraId="4F4F139F" w14:textId="77777777" w:rsidR="00A166FF" w:rsidRPr="00733CC7" w:rsidRDefault="00A166FF" w:rsidP="003647E2">
            <w:pPr>
              <w:pStyle w:val="TableText"/>
            </w:pPr>
            <w:r w:rsidRPr="003B51CE">
              <w:t>Deliver $7.5 million to monitor social, economic and environmental conditions in the Basin.</w:t>
            </w:r>
          </w:p>
        </w:tc>
        <w:tc>
          <w:tcPr>
            <w:tcW w:w="324" w:type="pct"/>
            <w:tcMar>
              <w:left w:w="108" w:type="dxa"/>
              <w:right w:w="108" w:type="dxa"/>
            </w:tcMar>
          </w:tcPr>
          <w:p w14:paraId="27B08D69" w14:textId="01B0B4AE" w:rsidR="00A166FF" w:rsidRPr="003B51CE" w:rsidRDefault="00A166FF" w:rsidP="000D54FB">
            <w:pPr>
              <w:pStyle w:val="TableText"/>
            </w:pPr>
            <w:r w:rsidRPr="003B51CE">
              <w:t>Q3 2021</w:t>
            </w:r>
            <w:r>
              <w:t xml:space="preserve"> </w:t>
            </w:r>
          </w:p>
        </w:tc>
        <w:tc>
          <w:tcPr>
            <w:tcW w:w="505" w:type="pct"/>
          </w:tcPr>
          <w:p w14:paraId="5DC9E110" w14:textId="42166EFA" w:rsidR="00A166FF" w:rsidRDefault="00A166FF" w:rsidP="000D54FB">
            <w:pPr>
              <w:pStyle w:val="TableText"/>
            </w:pPr>
            <w:r>
              <w:t>ONGOING</w:t>
            </w:r>
          </w:p>
        </w:tc>
        <w:tc>
          <w:tcPr>
            <w:tcW w:w="2496" w:type="pct"/>
          </w:tcPr>
          <w:p w14:paraId="3B2DB608" w14:textId="242D4C26" w:rsidR="00A166FF" w:rsidRPr="003B51CE" w:rsidRDefault="00A166FF" w:rsidP="000D54FB">
            <w:pPr>
              <w:pStyle w:val="TableText"/>
            </w:pPr>
            <w:r>
              <w:t>The Murray–Darling Basin Authority is progressing the 3</w:t>
            </w:r>
            <w:r w:rsidR="008C46E8">
              <w:t>-</w:t>
            </w:r>
            <w:r>
              <w:t>year program’s design and implementation plan.</w:t>
            </w:r>
          </w:p>
        </w:tc>
      </w:tr>
      <w:tr w:rsidR="00A166FF" w14:paraId="6A670B6B" w14:textId="77777777" w:rsidTr="00585AE2">
        <w:trPr>
          <w:trHeight w:val="552"/>
        </w:trPr>
        <w:tc>
          <w:tcPr>
            <w:tcW w:w="436" w:type="pct"/>
            <w:vMerge/>
            <w:tcMar>
              <w:left w:w="108" w:type="dxa"/>
              <w:right w:w="108" w:type="dxa"/>
            </w:tcMar>
          </w:tcPr>
          <w:p w14:paraId="07085F25" w14:textId="77777777" w:rsidR="00A166FF" w:rsidRPr="003B51CE" w:rsidRDefault="00A166FF" w:rsidP="000D54FB">
            <w:pPr>
              <w:pStyle w:val="TableText"/>
            </w:pPr>
          </w:p>
        </w:tc>
        <w:tc>
          <w:tcPr>
            <w:tcW w:w="1239" w:type="pct"/>
            <w:tcMar>
              <w:left w:w="108" w:type="dxa"/>
              <w:right w:w="108" w:type="dxa"/>
            </w:tcMar>
          </w:tcPr>
          <w:p w14:paraId="6736D300" w14:textId="77777777" w:rsidR="00A166FF" w:rsidRPr="003B51CE" w:rsidRDefault="00A166FF" w:rsidP="000D54FB">
            <w:pPr>
              <w:pStyle w:val="TableText"/>
            </w:pPr>
            <w:r w:rsidRPr="003B51CE">
              <w:t>This action builds on a $20 million investment in Basin-specific research so river management can be based on the best available science.</w:t>
            </w:r>
          </w:p>
        </w:tc>
        <w:tc>
          <w:tcPr>
            <w:tcW w:w="324" w:type="pct"/>
            <w:tcMar>
              <w:left w:w="108" w:type="dxa"/>
              <w:right w:w="108" w:type="dxa"/>
            </w:tcMar>
          </w:tcPr>
          <w:p w14:paraId="3D49888F" w14:textId="4EBB2E2E" w:rsidR="00A166FF" w:rsidRPr="003B51CE" w:rsidRDefault="00A166FF" w:rsidP="000D54FB">
            <w:pPr>
              <w:pStyle w:val="TableText"/>
            </w:pPr>
            <w:r w:rsidRPr="003B51CE">
              <w:t>Q3 2021</w:t>
            </w:r>
            <w:r>
              <w:t xml:space="preserve"> </w:t>
            </w:r>
          </w:p>
        </w:tc>
        <w:tc>
          <w:tcPr>
            <w:tcW w:w="505" w:type="pct"/>
          </w:tcPr>
          <w:p w14:paraId="4309C8EC" w14:textId="2502065A" w:rsidR="00A166FF" w:rsidRDefault="00A166FF" w:rsidP="000D54FB">
            <w:pPr>
              <w:pStyle w:val="TableText"/>
            </w:pPr>
            <w:r>
              <w:t>ONGOING</w:t>
            </w:r>
          </w:p>
        </w:tc>
        <w:tc>
          <w:tcPr>
            <w:tcW w:w="2496" w:type="pct"/>
          </w:tcPr>
          <w:p w14:paraId="49089C75" w14:textId="681B2242" w:rsidR="00A166FF" w:rsidRDefault="00A161E8" w:rsidP="000D54FB">
            <w:pPr>
              <w:pStyle w:val="TableText"/>
            </w:pPr>
            <w:r w:rsidRPr="003B51CE">
              <w:t>A panel to oversee the $20 million Murray</w:t>
            </w:r>
            <w:r w:rsidR="008C46E8">
              <w:t>–</w:t>
            </w:r>
            <w:r w:rsidRPr="003B51CE">
              <w:t xml:space="preserve">Darling Water and Environment Research Program </w:t>
            </w:r>
            <w:r w:rsidR="00F47A12">
              <w:t>was</w:t>
            </w:r>
            <w:r w:rsidRPr="003B51CE">
              <w:t xml:space="preserve"> established by the M</w:t>
            </w:r>
            <w:r>
              <w:t>urray</w:t>
            </w:r>
            <w:r w:rsidR="008C46E8">
              <w:t>–</w:t>
            </w:r>
            <w:r>
              <w:t>Darling Basin Authority</w:t>
            </w:r>
            <w:r w:rsidRPr="003B51CE">
              <w:t xml:space="preserve">. Two consortia </w:t>
            </w:r>
            <w:r w:rsidR="008C46E8">
              <w:t>were</w:t>
            </w:r>
            <w:r w:rsidRPr="003B51CE">
              <w:t xml:space="preserve"> selected through an open tender process</w:t>
            </w:r>
            <w:r w:rsidR="00F47A12">
              <w:t>,</w:t>
            </w:r>
            <w:r w:rsidRPr="003B51CE">
              <w:t xml:space="preserve"> one led by the CSIRO and the other by La Trobe University</w:t>
            </w:r>
            <w:r>
              <w:t xml:space="preserve">. </w:t>
            </w:r>
            <w:r w:rsidR="00A166FF">
              <w:t xml:space="preserve">The program </w:t>
            </w:r>
            <w:r w:rsidR="008C46E8">
              <w:t xml:space="preserve">aims to </w:t>
            </w:r>
            <w:r w:rsidR="00A166FF">
              <w:t>st</w:t>
            </w:r>
            <w:r w:rsidR="00A166FF" w:rsidRPr="00CB4AF3">
              <w:t>rengthen scientific knowledge of the Murray</w:t>
            </w:r>
            <w:r w:rsidR="008C46E8">
              <w:t>–</w:t>
            </w:r>
            <w:r w:rsidR="00A166FF" w:rsidRPr="00CB4AF3">
              <w:t>Darling Basin</w:t>
            </w:r>
            <w:r w:rsidR="008C46E8">
              <w:t xml:space="preserve">, </w:t>
            </w:r>
            <w:r w:rsidR="00A166FF" w:rsidRPr="00CB4AF3">
              <w:t xml:space="preserve">inform water and environment management decisions </w:t>
            </w:r>
            <w:r w:rsidR="00A166FF">
              <w:t>and</w:t>
            </w:r>
            <w:r w:rsidR="00A166FF" w:rsidRPr="00CB4AF3">
              <w:t xml:space="preserve"> improve outcomes for the Basin and communities</w:t>
            </w:r>
            <w:r w:rsidR="008C46E8">
              <w:t>.</w:t>
            </w:r>
          </w:p>
        </w:tc>
      </w:tr>
    </w:tbl>
    <w:p w14:paraId="760B3478" w14:textId="77777777" w:rsidR="00AA7366" w:rsidRPr="003B51CE" w:rsidRDefault="00EA4A22" w:rsidP="00EE1710">
      <w:pPr>
        <w:pStyle w:val="Heading2"/>
        <w:numPr>
          <w:ilvl w:val="0"/>
          <w:numId w:val="0"/>
        </w:numPr>
        <w:ind w:left="720" w:hanging="720"/>
      </w:pPr>
      <w:r w:rsidRPr="003B51CE">
        <w:lastRenderedPageBreak/>
        <w:t>Improving implementation of the Basin Plan</w:t>
      </w:r>
    </w:p>
    <w:p w14:paraId="62566AFC" w14:textId="15F78722" w:rsidR="00C82FA4" w:rsidRDefault="00C82FA4" w:rsidP="00AA7366">
      <w:pPr>
        <w:spacing w:after="120" w:line="240" w:lineRule="auto"/>
        <w:rPr>
          <w:rFonts w:cstheme="minorHAnsi"/>
        </w:rPr>
      </w:pPr>
      <w:r>
        <w:rPr>
          <w:rFonts w:cstheme="minorHAnsi"/>
        </w:rPr>
        <w:t xml:space="preserve">All Basin jurisdictions are redoubling efforts to deliver the suite of projects to keep 605 GL of water in productive use while delivering Basin Plan outcomes. </w:t>
      </w:r>
      <w:r w:rsidR="00E85A32">
        <w:rPr>
          <w:rFonts w:cstheme="minorHAnsi"/>
        </w:rPr>
        <w:t xml:space="preserve">These projects, known as the Sustainable Diversion Limit Adjustment Mechanism projects, improve water use and management, to enable the same environmental benefits but with less water recovery. </w:t>
      </w:r>
    </w:p>
    <w:p w14:paraId="32BDC741" w14:textId="0DF76D2B" w:rsidR="00E85A32" w:rsidRDefault="00C82FA4" w:rsidP="00E85A32">
      <w:pPr>
        <w:spacing w:after="120" w:line="240" w:lineRule="auto"/>
        <w:rPr>
          <w:rFonts w:cstheme="minorHAnsi"/>
        </w:rPr>
      </w:pPr>
      <w:r w:rsidRPr="00C82FA4">
        <w:rPr>
          <w:rFonts w:cstheme="minorHAnsi"/>
        </w:rPr>
        <w:t>New South Wales, with Commonwealth support, is accelerating 5 key projects to secure approximately 45 GL of the Sustainable Diversion Limit Offset before 2024.</w:t>
      </w:r>
      <w:r>
        <w:rPr>
          <w:rFonts w:cstheme="minorHAnsi"/>
        </w:rPr>
        <w:t xml:space="preserve"> Victoria is </w:t>
      </w:r>
      <w:r w:rsidR="00E85A32">
        <w:rPr>
          <w:rFonts w:cstheme="minorHAnsi"/>
        </w:rPr>
        <w:t xml:space="preserve">receiving </w:t>
      </w:r>
      <w:r w:rsidR="00E85A32" w:rsidRPr="00E85A32">
        <w:rPr>
          <w:rFonts w:cstheme="minorHAnsi"/>
        </w:rPr>
        <w:t xml:space="preserve">more than $70 million for projects to improve flows in the Goulburn and Murray Rivers and </w:t>
      </w:r>
      <w:r w:rsidR="00E85A32">
        <w:rPr>
          <w:rFonts w:cstheme="minorHAnsi"/>
        </w:rPr>
        <w:t xml:space="preserve">to </w:t>
      </w:r>
      <w:r w:rsidR="00E85A32" w:rsidRPr="00E85A32">
        <w:rPr>
          <w:rFonts w:cstheme="minorHAnsi"/>
        </w:rPr>
        <w:t>help restore 9 key floodplains.</w:t>
      </w:r>
      <w:r w:rsidR="00E85A32">
        <w:rPr>
          <w:rFonts w:cstheme="minorHAnsi"/>
        </w:rPr>
        <w:t xml:space="preserve"> The</w:t>
      </w:r>
      <w:r w:rsidR="00E85A32" w:rsidRPr="00E85A32">
        <w:rPr>
          <w:rFonts w:cstheme="minorHAnsi"/>
        </w:rPr>
        <w:t xml:space="preserve"> funding demonstrates the </w:t>
      </w:r>
      <w:r w:rsidR="00E85A32">
        <w:rPr>
          <w:rFonts w:cstheme="minorHAnsi"/>
        </w:rPr>
        <w:t xml:space="preserve">shared </w:t>
      </w:r>
      <w:r w:rsidR="00E85A32" w:rsidRPr="00E85A32">
        <w:rPr>
          <w:rFonts w:cstheme="minorHAnsi"/>
        </w:rPr>
        <w:t>commitment to fast-track the implementation of projects critical for delivering the Murray–Darling Basin Plan and maximising positive environmental outcomes.</w:t>
      </w:r>
    </w:p>
    <w:p w14:paraId="6823B554" w14:textId="185230F8" w:rsidR="002C4428" w:rsidRPr="00E85A32" w:rsidRDefault="002C4428" w:rsidP="00E85A32">
      <w:pPr>
        <w:spacing w:after="120" w:line="240" w:lineRule="auto"/>
        <w:rPr>
          <w:rFonts w:cstheme="minorHAnsi"/>
        </w:rPr>
      </w:pPr>
      <w:r>
        <w:rPr>
          <w:rFonts w:cstheme="minorHAnsi"/>
        </w:rPr>
        <w:t>The Australian Government continues to work with Basin jurisdictions and irrigation networks to develop projects that can recover 450</w:t>
      </w:r>
      <w:r w:rsidR="00A324F8">
        <w:rPr>
          <w:rFonts w:cstheme="minorHAnsi"/>
        </w:rPr>
        <w:t> </w:t>
      </w:r>
      <w:r>
        <w:rPr>
          <w:rFonts w:cstheme="minorHAnsi"/>
        </w:rPr>
        <w:t xml:space="preserve">GL of additional water for the environment. Efficiency measures, that result in new or upgraded off-farm infrastructure, improve the environmental outcomes under the Basin Plan. These projects generate water savings </w:t>
      </w:r>
      <w:r w:rsidR="00C9724E">
        <w:rPr>
          <w:rFonts w:cstheme="minorHAnsi"/>
        </w:rPr>
        <w:t>from</w:t>
      </w:r>
      <w:r>
        <w:rPr>
          <w:rFonts w:cstheme="minorHAnsi"/>
        </w:rPr>
        <w:t xml:space="preserve"> water that would otherwise be lost or wasted</w:t>
      </w:r>
      <w:r w:rsidR="00C9724E">
        <w:rPr>
          <w:rFonts w:cstheme="minorHAnsi"/>
        </w:rPr>
        <w:t xml:space="preserve">, recovering it </w:t>
      </w:r>
      <w:r>
        <w:rPr>
          <w:rFonts w:cstheme="minorHAnsi"/>
        </w:rPr>
        <w:t>for use by the environment.</w:t>
      </w:r>
    </w:p>
    <w:p w14:paraId="0E0ADEAC" w14:textId="77777777" w:rsidR="00AA7366" w:rsidRPr="003B51CE" w:rsidRDefault="00EA4A22" w:rsidP="00AA7366">
      <w:pPr>
        <w:pStyle w:val="Heading3"/>
        <w:numPr>
          <w:ilvl w:val="0"/>
          <w:numId w:val="0"/>
        </w:numPr>
        <w:ind w:left="964" w:hanging="964"/>
        <w:rPr>
          <w:lang w:val="en-US"/>
        </w:rPr>
      </w:pPr>
      <w:bookmarkStart w:id="2" w:name="_Toc49258982"/>
      <w:r w:rsidRPr="003B51CE">
        <w:rPr>
          <w:lang w:val="en-US"/>
        </w:rPr>
        <w:t>Improving implementation of the Basin Plan</w:t>
      </w:r>
      <w:bookmarkEnd w:id="2"/>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1482"/>
        <w:gridCol w:w="3164"/>
        <w:gridCol w:w="1481"/>
        <w:gridCol w:w="1297"/>
        <w:gridCol w:w="6578"/>
      </w:tblGrid>
      <w:tr w:rsidR="00A166FF" w14:paraId="664C78E0" w14:textId="77777777" w:rsidTr="00B97432">
        <w:trPr>
          <w:cantSplit/>
          <w:tblHeader/>
        </w:trPr>
        <w:tc>
          <w:tcPr>
            <w:tcW w:w="529" w:type="pct"/>
            <w:tcMar>
              <w:left w:w="108" w:type="dxa"/>
              <w:right w:w="108" w:type="dxa"/>
            </w:tcMar>
          </w:tcPr>
          <w:p w14:paraId="730672F1" w14:textId="77777777" w:rsidR="00A166FF" w:rsidRPr="003B51CE" w:rsidRDefault="00A166FF" w:rsidP="000D54FB">
            <w:pPr>
              <w:pStyle w:val="TableHeading"/>
            </w:pPr>
            <w:r w:rsidRPr="003B51CE">
              <w:t>What we are doing</w:t>
            </w:r>
          </w:p>
        </w:tc>
        <w:tc>
          <w:tcPr>
            <w:tcW w:w="1130" w:type="pct"/>
            <w:tcMar>
              <w:left w:w="108" w:type="dxa"/>
              <w:right w:w="108" w:type="dxa"/>
            </w:tcMar>
          </w:tcPr>
          <w:p w14:paraId="59746F8D" w14:textId="77777777" w:rsidR="00A166FF" w:rsidRPr="003B51CE" w:rsidRDefault="00A166FF" w:rsidP="000D54FB">
            <w:pPr>
              <w:pStyle w:val="TableHeading"/>
            </w:pPr>
            <w:r w:rsidRPr="003B51CE">
              <w:t>How we will do it</w:t>
            </w:r>
          </w:p>
        </w:tc>
        <w:tc>
          <w:tcPr>
            <w:tcW w:w="529" w:type="pct"/>
            <w:tcMar>
              <w:left w:w="108" w:type="dxa"/>
              <w:right w:w="108" w:type="dxa"/>
            </w:tcMar>
          </w:tcPr>
          <w:p w14:paraId="62E8528E" w14:textId="77777777" w:rsidR="00A166FF" w:rsidRPr="003B51CE" w:rsidRDefault="00A166FF" w:rsidP="000D54FB">
            <w:pPr>
              <w:pStyle w:val="TableHeading"/>
            </w:pPr>
            <w:r w:rsidRPr="003B51CE">
              <w:t>By when</w:t>
            </w:r>
          </w:p>
        </w:tc>
        <w:tc>
          <w:tcPr>
            <w:tcW w:w="463" w:type="pct"/>
          </w:tcPr>
          <w:p w14:paraId="7675ED90" w14:textId="6B02BE95" w:rsidR="00A166FF" w:rsidRPr="003B51CE" w:rsidRDefault="00A166FF" w:rsidP="000D54FB">
            <w:pPr>
              <w:pStyle w:val="TableHeading"/>
            </w:pPr>
            <w:r>
              <w:t>Status</w:t>
            </w:r>
          </w:p>
        </w:tc>
        <w:tc>
          <w:tcPr>
            <w:tcW w:w="2349" w:type="pct"/>
          </w:tcPr>
          <w:p w14:paraId="05B405BB" w14:textId="0B7DDC37" w:rsidR="00A166FF" w:rsidRPr="003B51CE" w:rsidRDefault="00A166FF" w:rsidP="000D54FB">
            <w:pPr>
              <w:pStyle w:val="TableHeading"/>
            </w:pPr>
            <w:r w:rsidRPr="003B51CE">
              <w:t>What have we done</w:t>
            </w:r>
          </w:p>
        </w:tc>
      </w:tr>
      <w:tr w:rsidR="00A166FF" w14:paraId="56C20C1A" w14:textId="77777777" w:rsidTr="00B97432">
        <w:tc>
          <w:tcPr>
            <w:tcW w:w="529" w:type="pct"/>
            <w:tcMar>
              <w:left w:w="108" w:type="dxa"/>
              <w:right w:w="108" w:type="dxa"/>
            </w:tcMar>
          </w:tcPr>
          <w:p w14:paraId="1EC60E15" w14:textId="77777777" w:rsidR="00A166FF" w:rsidRPr="003B51CE" w:rsidRDefault="00A166FF" w:rsidP="000D54FB">
            <w:pPr>
              <w:pStyle w:val="TableText"/>
            </w:pPr>
            <w:r w:rsidRPr="003B51CE">
              <w:rPr>
                <w:lang w:val="en-US"/>
              </w:rPr>
              <w:t>Designing and delivering water programs in partnership with communities</w:t>
            </w:r>
          </w:p>
        </w:tc>
        <w:tc>
          <w:tcPr>
            <w:tcW w:w="1130" w:type="pct"/>
            <w:tcMar>
              <w:left w:w="108" w:type="dxa"/>
              <w:right w:w="108" w:type="dxa"/>
            </w:tcMar>
          </w:tcPr>
          <w:p w14:paraId="2F16F3E7" w14:textId="77777777" w:rsidR="00A166FF" w:rsidRPr="003B51CE" w:rsidRDefault="00A166FF" w:rsidP="000D54FB">
            <w:pPr>
              <w:pStyle w:val="TableText"/>
            </w:pPr>
            <w:r w:rsidRPr="003B51CE">
              <w:t>More effectively seek community input and demonstrate how that feedback has been used in the design, delivery and evaluation of programs.</w:t>
            </w:r>
          </w:p>
        </w:tc>
        <w:tc>
          <w:tcPr>
            <w:tcW w:w="529" w:type="pct"/>
            <w:tcMar>
              <w:left w:w="108" w:type="dxa"/>
              <w:right w:w="108" w:type="dxa"/>
            </w:tcMar>
          </w:tcPr>
          <w:p w14:paraId="1E97A835" w14:textId="37FE61DA" w:rsidR="00A166FF" w:rsidRPr="003B51CE" w:rsidRDefault="00A166FF" w:rsidP="000D54FB">
            <w:pPr>
              <w:pStyle w:val="TableText"/>
            </w:pPr>
            <w:r w:rsidRPr="003B51CE">
              <w:t xml:space="preserve">Q4 2020 </w:t>
            </w:r>
          </w:p>
        </w:tc>
        <w:tc>
          <w:tcPr>
            <w:tcW w:w="463" w:type="pct"/>
          </w:tcPr>
          <w:p w14:paraId="7D4CBD4D" w14:textId="5ED998A4" w:rsidR="00A166FF" w:rsidRPr="00700BCA" w:rsidRDefault="00A166FF" w:rsidP="000D54FB">
            <w:pPr>
              <w:pStyle w:val="TableText"/>
            </w:pPr>
            <w:r>
              <w:t>ONGOING</w:t>
            </w:r>
          </w:p>
        </w:tc>
        <w:tc>
          <w:tcPr>
            <w:tcW w:w="2349" w:type="pct"/>
          </w:tcPr>
          <w:p w14:paraId="084CDEAE" w14:textId="61943A68" w:rsidR="00A166FF" w:rsidRDefault="00A166FF" w:rsidP="000D54FB">
            <w:pPr>
              <w:pStyle w:val="TableText"/>
            </w:pPr>
            <w:r w:rsidRPr="00700BCA">
              <w:t xml:space="preserve">The department </w:t>
            </w:r>
            <w:r w:rsidR="00A161E8">
              <w:t>has consulted</w:t>
            </w:r>
            <w:r w:rsidRPr="00700BCA">
              <w:t xml:space="preserve"> on the Off-farm Efficiency Program grant component that will make $150 million available to irrigation infrastructure organisations to improve </w:t>
            </w:r>
            <w:r w:rsidR="008C46E8" w:rsidRPr="00700BCA">
              <w:t>infrastructure</w:t>
            </w:r>
            <w:r w:rsidRPr="00700BCA">
              <w:t xml:space="preserve"> and return water to the environment. The Basin Community Committee is providing advice from a community perspective.</w:t>
            </w:r>
          </w:p>
          <w:p w14:paraId="3B1CB113" w14:textId="44B52449" w:rsidR="00A161E8" w:rsidRPr="003B51CE" w:rsidRDefault="00A161E8" w:rsidP="000D54FB">
            <w:pPr>
              <w:pStyle w:val="TableText"/>
            </w:pPr>
            <w:r w:rsidRPr="003B51CE">
              <w:t xml:space="preserve">The Department </w:t>
            </w:r>
            <w:r>
              <w:t>also</w:t>
            </w:r>
            <w:r w:rsidRPr="003B51CE">
              <w:t xml:space="preserve"> sought community views concerning the intended outcomes and eligibility requirements of the new Healthy Rivers Grants and the Economic Development Program’s third round. The feedback received was considered and publicly reported on to show how it was used to inform the design and delivery of the programs.</w:t>
            </w:r>
          </w:p>
        </w:tc>
      </w:tr>
      <w:tr w:rsidR="00A166FF" w14:paraId="1124CCEA" w14:textId="77777777" w:rsidTr="00B97432">
        <w:tc>
          <w:tcPr>
            <w:tcW w:w="529" w:type="pct"/>
            <w:tcMar>
              <w:left w:w="108" w:type="dxa"/>
              <w:right w:w="108" w:type="dxa"/>
            </w:tcMar>
          </w:tcPr>
          <w:p w14:paraId="6D57385B" w14:textId="77777777" w:rsidR="00A166FF" w:rsidRPr="003B51CE" w:rsidRDefault="00A166FF" w:rsidP="000D54FB">
            <w:pPr>
              <w:pStyle w:val="TableText"/>
            </w:pPr>
            <w:r w:rsidRPr="003B51CE">
              <w:t>Investing in off-farm water efficiency projects to increase water recovery</w:t>
            </w:r>
          </w:p>
        </w:tc>
        <w:tc>
          <w:tcPr>
            <w:tcW w:w="1130" w:type="pct"/>
            <w:tcMar>
              <w:left w:w="108" w:type="dxa"/>
              <w:right w:w="108" w:type="dxa"/>
            </w:tcMar>
          </w:tcPr>
          <w:p w14:paraId="4619DF03" w14:textId="77777777" w:rsidR="00A166FF" w:rsidRPr="003B51CE" w:rsidRDefault="00A166FF" w:rsidP="000D54FB">
            <w:pPr>
              <w:pStyle w:val="TableText"/>
            </w:pPr>
            <w:r w:rsidRPr="003B51CE">
              <w:t>Shift the focus away from on-farm water efficiencies and buybacks.</w:t>
            </w:r>
          </w:p>
          <w:p w14:paraId="698D5BEA" w14:textId="77777777" w:rsidR="00A166FF" w:rsidRPr="003B51CE" w:rsidRDefault="00A166FF" w:rsidP="000D54FB">
            <w:pPr>
              <w:pStyle w:val="TableText"/>
            </w:pPr>
            <w:r w:rsidRPr="003B51CE">
              <w:t>Work with the states and irrigation networks to identify projects to generate water savings through off-farm infrastructure.</w:t>
            </w:r>
          </w:p>
        </w:tc>
        <w:tc>
          <w:tcPr>
            <w:tcW w:w="529" w:type="pct"/>
            <w:tcMar>
              <w:left w:w="108" w:type="dxa"/>
              <w:right w:w="108" w:type="dxa"/>
            </w:tcMar>
          </w:tcPr>
          <w:p w14:paraId="6F0C1A70" w14:textId="5DAA1C17" w:rsidR="00A166FF" w:rsidRPr="003B51CE" w:rsidRDefault="00A166FF" w:rsidP="000D54FB">
            <w:pPr>
              <w:pStyle w:val="TableText"/>
            </w:pPr>
            <w:r w:rsidRPr="003B51CE">
              <w:t>Q4 2020</w:t>
            </w:r>
            <w:r>
              <w:t xml:space="preserve"> </w:t>
            </w:r>
          </w:p>
        </w:tc>
        <w:tc>
          <w:tcPr>
            <w:tcW w:w="463" w:type="pct"/>
          </w:tcPr>
          <w:p w14:paraId="23237872" w14:textId="3FAF7C32" w:rsidR="00A166FF" w:rsidRPr="00700BCA" w:rsidRDefault="00F97BB6" w:rsidP="000D54FB">
            <w:pPr>
              <w:pStyle w:val="TableText"/>
            </w:pPr>
            <w:r>
              <w:t>COMPLETE</w:t>
            </w:r>
          </w:p>
        </w:tc>
        <w:tc>
          <w:tcPr>
            <w:tcW w:w="2349" w:type="pct"/>
          </w:tcPr>
          <w:p w14:paraId="3E5F333F" w14:textId="0E919AA6" w:rsidR="00A166FF" w:rsidRPr="000361C2" w:rsidRDefault="00A166FF" w:rsidP="000D54FB">
            <w:pPr>
              <w:pStyle w:val="TableText"/>
            </w:pPr>
            <w:r w:rsidRPr="00700BCA">
              <w:t xml:space="preserve">Through the Off-farm </w:t>
            </w:r>
            <w:r w:rsidR="008C46E8" w:rsidRPr="00700BCA">
              <w:t>Efficiency</w:t>
            </w:r>
            <w:r w:rsidRPr="00700BCA">
              <w:t xml:space="preserve"> Program there is $1.33 billion available to fund projects that generate water savings off-farm through the State Led Off-farm stream. These projects will generate jobs, improve delivery of water to farms and increase </w:t>
            </w:r>
            <w:r w:rsidRPr="000361C2">
              <w:t>water available to grow crops and contribute water to deliver enhanced environmental outcomes.</w:t>
            </w:r>
          </w:p>
          <w:p w14:paraId="6172F7F9" w14:textId="6344DD31" w:rsidR="00A161E8" w:rsidRPr="00726506" w:rsidRDefault="00A161E8" w:rsidP="000D54FB">
            <w:pPr>
              <w:pStyle w:val="TableText"/>
              <w:rPr>
                <w:highlight w:val="lightGray"/>
              </w:rPr>
            </w:pPr>
            <w:r w:rsidRPr="000361C2">
              <w:t>This follows a stocktake of potential</w:t>
            </w:r>
            <w:r w:rsidRPr="00A161E8">
              <w:t xml:space="preserve"> off-farm projects to generate water savings was presented to the Ministerial Council on 27 November 2020. This stocktake identified about 50 concept proposals including 10 that are shovel ready</w:t>
            </w:r>
            <w:r>
              <w:t xml:space="preserve">. </w:t>
            </w:r>
            <w:r w:rsidRPr="003B51CE">
              <w:t xml:space="preserve">The Goulburn Murray Water Efficiency Project will receive $177.5 million from the Australian Government to modernise and upgrade ageing off-farm water infrastructure in the </w:t>
            </w:r>
            <w:r w:rsidRPr="003B51CE">
              <w:lastRenderedPageBreak/>
              <w:t>Goulburn-Murray Irrigation District generating 15.9 GL of water for the environment</w:t>
            </w:r>
          </w:p>
          <w:p w14:paraId="653DDBC4" w14:textId="0FE9C000" w:rsidR="007C1F35" w:rsidRPr="003B51CE" w:rsidRDefault="00A166FF" w:rsidP="000361C2">
            <w:pPr>
              <w:pStyle w:val="TableText"/>
            </w:pPr>
            <w:r>
              <w:t>The Water Efficiency Program closed to new applications in March 2021. All project proposals lodged before the program ceased are being assessed and finalised. 25 projects, valued at $10.1 million are now contracted to generate 709 ML of water savings for the environment</w:t>
            </w:r>
            <w:r w:rsidR="00A161E8">
              <w:t>.</w:t>
            </w:r>
          </w:p>
        </w:tc>
      </w:tr>
      <w:tr w:rsidR="00A166FF" w14:paraId="2CEF4B5C" w14:textId="77777777" w:rsidTr="00B97432">
        <w:trPr>
          <w:trHeight w:val="1433"/>
        </w:trPr>
        <w:tc>
          <w:tcPr>
            <w:tcW w:w="529" w:type="pct"/>
            <w:vMerge w:val="restart"/>
            <w:tcMar>
              <w:left w:w="108" w:type="dxa"/>
              <w:right w:w="108" w:type="dxa"/>
            </w:tcMar>
          </w:tcPr>
          <w:p w14:paraId="4BD5F743" w14:textId="5CAA320F" w:rsidR="00A166FF" w:rsidRPr="003B51CE" w:rsidRDefault="00A166FF" w:rsidP="000D54FB">
            <w:pPr>
              <w:pStyle w:val="TableText"/>
              <w:rPr>
                <w:lang w:val="en-US"/>
              </w:rPr>
            </w:pPr>
            <w:r w:rsidRPr="003B51CE">
              <w:rPr>
                <w:lang w:val="en-US"/>
              </w:rPr>
              <w:lastRenderedPageBreak/>
              <w:t>Strengthening working relationships between the Australian Government, states</w:t>
            </w:r>
            <w:r w:rsidR="008C46E8">
              <w:rPr>
                <w:lang w:val="en-US"/>
              </w:rPr>
              <w:t>,</w:t>
            </w:r>
            <w:r w:rsidRPr="003B51CE">
              <w:rPr>
                <w:lang w:val="en-US"/>
              </w:rPr>
              <w:t xml:space="preserve"> and local government to improve delivery of the Basin Plan</w:t>
            </w:r>
          </w:p>
        </w:tc>
        <w:tc>
          <w:tcPr>
            <w:tcW w:w="1130" w:type="pct"/>
            <w:tcMar>
              <w:left w:w="108" w:type="dxa"/>
              <w:right w:w="108" w:type="dxa"/>
            </w:tcMar>
          </w:tcPr>
          <w:p w14:paraId="6A7B9F67" w14:textId="77777777" w:rsidR="00A166FF" w:rsidRPr="003B51CE" w:rsidRDefault="00A166FF" w:rsidP="000D54FB">
            <w:pPr>
              <w:pStyle w:val="TableText"/>
            </w:pPr>
            <w:r w:rsidRPr="003B51CE">
              <w:t>Work with Basin states to accelerate planning and delivery of supply and constraints projects that are at risk of not being delivered by 2024. We will partner with the National Water Grid Authority on these projects.</w:t>
            </w:r>
          </w:p>
        </w:tc>
        <w:tc>
          <w:tcPr>
            <w:tcW w:w="529" w:type="pct"/>
            <w:tcMar>
              <w:left w:w="108" w:type="dxa"/>
              <w:right w:w="108" w:type="dxa"/>
            </w:tcMar>
          </w:tcPr>
          <w:p w14:paraId="239F18FF" w14:textId="3B53274E" w:rsidR="00A166FF" w:rsidRPr="003B51CE" w:rsidRDefault="00A166FF" w:rsidP="000D54FB">
            <w:pPr>
              <w:pStyle w:val="TableText"/>
            </w:pPr>
            <w:r w:rsidRPr="003B51CE">
              <w:t>Q4 2020</w:t>
            </w:r>
            <w:r>
              <w:t xml:space="preserve"> </w:t>
            </w:r>
          </w:p>
        </w:tc>
        <w:tc>
          <w:tcPr>
            <w:tcW w:w="463" w:type="pct"/>
          </w:tcPr>
          <w:p w14:paraId="301BF140" w14:textId="12037256" w:rsidR="00A166FF" w:rsidRDefault="00F97BB6" w:rsidP="000D54FB">
            <w:pPr>
              <w:pStyle w:val="TableText"/>
            </w:pPr>
            <w:r>
              <w:t>ONGOING</w:t>
            </w:r>
          </w:p>
        </w:tc>
        <w:tc>
          <w:tcPr>
            <w:tcW w:w="2349" w:type="pct"/>
          </w:tcPr>
          <w:p w14:paraId="298EBBAA" w14:textId="22D06769" w:rsidR="00A166FF" w:rsidRDefault="00A166FF" w:rsidP="000D54FB">
            <w:pPr>
              <w:pStyle w:val="TableText"/>
            </w:pPr>
            <w:r>
              <w:t>The Ministerial Council strategic discussion on 29 April 2021 heard that 30 of the 36 projects were on track to deliver 75% of the required offset</w:t>
            </w:r>
            <w:r w:rsidRPr="003B51CE">
              <w:t>.</w:t>
            </w:r>
            <w:r>
              <w:t xml:space="preserve"> </w:t>
            </w:r>
          </w:p>
          <w:p w14:paraId="63C2381B" w14:textId="77777777" w:rsidR="00A166FF" w:rsidRDefault="00A166FF" w:rsidP="000D54FB">
            <w:pPr>
              <w:pStyle w:val="TableText"/>
            </w:pPr>
            <w:r>
              <w:t>Ministers agreed that the Menindee Lakes and Yanco Creek Offtake projects needed to be rescoped, taking account of community views.</w:t>
            </w:r>
          </w:p>
        </w:tc>
      </w:tr>
      <w:tr w:rsidR="00A166FF" w14:paraId="2C9285DD" w14:textId="77777777" w:rsidTr="00B97432">
        <w:trPr>
          <w:trHeight w:val="1432"/>
        </w:trPr>
        <w:tc>
          <w:tcPr>
            <w:tcW w:w="529" w:type="pct"/>
            <w:vMerge/>
            <w:tcMar>
              <w:left w:w="108" w:type="dxa"/>
              <w:right w:w="108" w:type="dxa"/>
            </w:tcMar>
          </w:tcPr>
          <w:p w14:paraId="732AE34F" w14:textId="77777777" w:rsidR="00A166FF" w:rsidRPr="003B51CE" w:rsidRDefault="00A166FF" w:rsidP="000D54FB">
            <w:pPr>
              <w:pStyle w:val="TableText"/>
              <w:rPr>
                <w:lang w:val="en-US"/>
              </w:rPr>
            </w:pPr>
          </w:p>
        </w:tc>
        <w:tc>
          <w:tcPr>
            <w:tcW w:w="1130" w:type="pct"/>
            <w:tcMar>
              <w:left w:w="108" w:type="dxa"/>
              <w:right w:w="108" w:type="dxa"/>
            </w:tcMar>
          </w:tcPr>
          <w:p w14:paraId="4F5F3433" w14:textId="77777777" w:rsidR="00A166FF" w:rsidRPr="003B51CE" w:rsidRDefault="00A166FF" w:rsidP="000D54FB">
            <w:pPr>
              <w:pStyle w:val="TableText"/>
            </w:pPr>
            <w:r w:rsidRPr="003B51CE">
              <w:t>This action builds on the government’s existing commitment of $1.5 billion for these projects.</w:t>
            </w:r>
          </w:p>
        </w:tc>
        <w:tc>
          <w:tcPr>
            <w:tcW w:w="529" w:type="pct"/>
            <w:tcMar>
              <w:left w:w="108" w:type="dxa"/>
              <w:right w:w="108" w:type="dxa"/>
            </w:tcMar>
          </w:tcPr>
          <w:p w14:paraId="126274F4" w14:textId="0017A705" w:rsidR="00A166FF" w:rsidRPr="003B51CE" w:rsidRDefault="00A166FF" w:rsidP="000D54FB">
            <w:pPr>
              <w:pStyle w:val="TableText"/>
            </w:pPr>
            <w:r w:rsidRPr="003B51CE">
              <w:t>Q4 2020</w:t>
            </w:r>
            <w:r>
              <w:t xml:space="preserve"> </w:t>
            </w:r>
          </w:p>
        </w:tc>
        <w:tc>
          <w:tcPr>
            <w:tcW w:w="463" w:type="pct"/>
          </w:tcPr>
          <w:p w14:paraId="7ACC81B1" w14:textId="108C64EA" w:rsidR="00A166FF" w:rsidRDefault="00F97BB6" w:rsidP="000D54FB">
            <w:pPr>
              <w:pStyle w:val="TableText"/>
              <w:spacing w:before="0" w:after="0"/>
            </w:pPr>
            <w:r>
              <w:t>ONGOING</w:t>
            </w:r>
          </w:p>
        </w:tc>
        <w:tc>
          <w:tcPr>
            <w:tcW w:w="2349" w:type="pct"/>
          </w:tcPr>
          <w:p w14:paraId="662D61BF" w14:textId="0CCAD8E0" w:rsidR="00A166FF" w:rsidRDefault="00A166FF" w:rsidP="000D54FB">
            <w:pPr>
              <w:pStyle w:val="TableText"/>
              <w:spacing w:before="0" w:after="0"/>
            </w:pPr>
            <w:r>
              <w:t>Minister Pitt has provided $330 million to New South Wales to accelerate delivery of:</w:t>
            </w:r>
          </w:p>
          <w:p w14:paraId="760BC38F" w14:textId="77777777" w:rsidR="00A166FF" w:rsidRPr="008F0EF8" w:rsidRDefault="00A166FF" w:rsidP="000D54FB">
            <w:pPr>
              <w:pStyle w:val="TableBullet1"/>
            </w:pPr>
            <w:r w:rsidRPr="008F0EF8">
              <w:t xml:space="preserve">Koondrook-Perricoota Flow Enabling Works (part of the Yarrawonga to Wakool constraints) </w:t>
            </w:r>
          </w:p>
          <w:p w14:paraId="3C5A49B9" w14:textId="77777777" w:rsidR="00A166FF" w:rsidRPr="008F0EF8" w:rsidRDefault="00A166FF" w:rsidP="000D54FB">
            <w:pPr>
              <w:pStyle w:val="TableBullet1"/>
            </w:pPr>
            <w:r w:rsidRPr="008F0EF8">
              <w:t xml:space="preserve">Mid-Murray Anabranches Constraints Demonstration Reach (part of the Yarrawonga to Wakool constraints) </w:t>
            </w:r>
          </w:p>
          <w:p w14:paraId="6ECB12F3" w14:textId="77777777" w:rsidR="00A166FF" w:rsidRDefault="00A166FF" w:rsidP="000D54FB">
            <w:pPr>
              <w:pStyle w:val="TableBullet1"/>
            </w:pPr>
            <w:r w:rsidRPr="008F0EF8">
              <w:t>Sustainable Diversion Limits offsets in the Lower Murray: Locks 8 and 9 project</w:t>
            </w:r>
          </w:p>
          <w:p w14:paraId="7FA2DED2" w14:textId="77777777" w:rsidR="00A166FF" w:rsidRPr="008F0EF8" w:rsidRDefault="00A166FF" w:rsidP="000D54FB">
            <w:pPr>
              <w:pStyle w:val="TableBullet1"/>
            </w:pPr>
            <w:r>
              <w:t>Murrumbidgee and Murray National Park Project</w:t>
            </w:r>
          </w:p>
          <w:p w14:paraId="264B29E2" w14:textId="77777777" w:rsidR="00A166FF" w:rsidRPr="00FE6822" w:rsidRDefault="00A166FF" w:rsidP="000D54FB">
            <w:pPr>
              <w:pStyle w:val="TableBullet1"/>
            </w:pPr>
            <w:r w:rsidRPr="008F0EF8">
              <w:t>Modernising Supply Systems for Effluent Creeks Project (Yanco Creek Modernisation Project)</w:t>
            </w:r>
          </w:p>
        </w:tc>
      </w:tr>
      <w:tr w:rsidR="00A166FF" w14:paraId="25E8DC15" w14:textId="77777777" w:rsidTr="00B97432">
        <w:trPr>
          <w:trHeight w:val="1432"/>
        </w:trPr>
        <w:tc>
          <w:tcPr>
            <w:tcW w:w="529" w:type="pct"/>
            <w:vMerge/>
            <w:tcMar>
              <w:left w:w="108" w:type="dxa"/>
              <w:right w:w="108" w:type="dxa"/>
            </w:tcMar>
          </w:tcPr>
          <w:p w14:paraId="0C26430F" w14:textId="77777777" w:rsidR="00A166FF" w:rsidRPr="003B51CE" w:rsidRDefault="00A166FF" w:rsidP="000D54FB">
            <w:pPr>
              <w:pStyle w:val="TableText"/>
              <w:rPr>
                <w:lang w:val="en-US"/>
              </w:rPr>
            </w:pPr>
          </w:p>
        </w:tc>
        <w:tc>
          <w:tcPr>
            <w:tcW w:w="1130" w:type="pct"/>
            <w:tcMar>
              <w:left w:w="108" w:type="dxa"/>
              <w:right w:w="108" w:type="dxa"/>
            </w:tcMar>
          </w:tcPr>
          <w:p w14:paraId="32E74CC6" w14:textId="77777777" w:rsidR="00A166FF" w:rsidRPr="003B51CE" w:rsidRDefault="00A166FF" w:rsidP="000D54FB">
            <w:pPr>
              <w:pStyle w:val="TableText"/>
            </w:pPr>
            <w:r w:rsidRPr="003B51CE">
              <w:t>Develop a new National Partnership agreement between the Australian and Basin state governments to provide funding for new and ongoing activities required to implement the Basin Plan.</w:t>
            </w:r>
          </w:p>
        </w:tc>
        <w:tc>
          <w:tcPr>
            <w:tcW w:w="529" w:type="pct"/>
            <w:tcMar>
              <w:left w:w="108" w:type="dxa"/>
              <w:right w:w="108" w:type="dxa"/>
            </w:tcMar>
          </w:tcPr>
          <w:p w14:paraId="6E7915DA" w14:textId="5CEEC4CB" w:rsidR="00A166FF" w:rsidRPr="003B51CE" w:rsidRDefault="00A166FF" w:rsidP="000D54FB">
            <w:pPr>
              <w:pStyle w:val="TableText"/>
            </w:pPr>
            <w:r w:rsidRPr="003B51CE">
              <w:t>Q4 2020</w:t>
            </w:r>
            <w:r>
              <w:t xml:space="preserve"> </w:t>
            </w:r>
          </w:p>
        </w:tc>
        <w:tc>
          <w:tcPr>
            <w:tcW w:w="463" w:type="pct"/>
          </w:tcPr>
          <w:p w14:paraId="7925D517" w14:textId="7ED0B31E" w:rsidR="00A166FF" w:rsidDel="00700BCA" w:rsidRDefault="00F97BB6" w:rsidP="000D54FB">
            <w:pPr>
              <w:pStyle w:val="TableText"/>
            </w:pPr>
            <w:r>
              <w:t>COMPLETE</w:t>
            </w:r>
          </w:p>
        </w:tc>
        <w:tc>
          <w:tcPr>
            <w:tcW w:w="2349" w:type="pct"/>
          </w:tcPr>
          <w:p w14:paraId="0E1DBD03" w14:textId="63E69F6E" w:rsidR="00A166FF" w:rsidRDefault="00A166FF" w:rsidP="000D54FB">
            <w:pPr>
              <w:pStyle w:val="TableText"/>
            </w:pPr>
            <w:r>
              <w:t xml:space="preserve">A new $60 </w:t>
            </w:r>
            <w:r w:rsidR="008C46E8">
              <w:t>million</w:t>
            </w:r>
            <w:r>
              <w:t xml:space="preserve"> federation funding agreement for 2021-24 provides on-going support for Basin state governments to implement the Basin Plan.</w:t>
            </w:r>
          </w:p>
        </w:tc>
      </w:tr>
    </w:tbl>
    <w:p w14:paraId="5E8F4FD2" w14:textId="77777777" w:rsidR="00C43C4F" w:rsidRDefault="00C43C4F" w:rsidP="00C43C4F"/>
    <w:sectPr w:rsidR="00C43C4F" w:rsidSect="00DD4719">
      <w:pgSz w:w="16838" w:h="11906" w:orient="landscape"/>
      <w:pgMar w:top="993" w:right="1418" w:bottom="1135"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AD2D1" w14:textId="77777777" w:rsidR="00762B4C" w:rsidRDefault="00762B4C">
      <w:pPr>
        <w:spacing w:after="0" w:line="240" w:lineRule="auto"/>
      </w:pPr>
      <w:r>
        <w:separator/>
      </w:r>
    </w:p>
  </w:endnote>
  <w:endnote w:type="continuationSeparator" w:id="0">
    <w:p w14:paraId="31F2E9DC" w14:textId="77777777" w:rsidR="00762B4C" w:rsidRDefault="00762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MiloPro-Light">
    <w:altName w:val="Calibri"/>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1759" w14:textId="77777777" w:rsidR="00C02519" w:rsidRDefault="00EA4A22">
    <w:pPr>
      <w:pStyle w:val="Footer"/>
    </w:pPr>
    <w:r>
      <w:t>Department of Agriculture, Water and the Environment</w:t>
    </w:r>
  </w:p>
  <w:p w14:paraId="6EE26375" w14:textId="77777777" w:rsidR="00C02519" w:rsidRDefault="00EA4A22">
    <w:pPr>
      <w:pStyle w:val="Footer"/>
    </w:pPr>
    <w:r>
      <w:fldChar w:fldCharType="begin"/>
    </w:r>
    <w:r>
      <w:instrText xml:space="preserve"> PAGE   \* MERGEFORMAT </w:instrText>
    </w:r>
    <w:r>
      <w:fldChar w:fldCharType="separate"/>
    </w:r>
    <w:r w:rsidR="00B8242F">
      <w:rPr>
        <w:noProof/>
      </w:rPr>
      <w:t>ii</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35FC0" w14:textId="77777777" w:rsidR="00762B4C" w:rsidRDefault="00762B4C">
      <w:pPr>
        <w:spacing w:after="0" w:line="240" w:lineRule="auto"/>
      </w:pPr>
      <w:r>
        <w:separator/>
      </w:r>
    </w:p>
  </w:footnote>
  <w:footnote w:type="continuationSeparator" w:id="0">
    <w:p w14:paraId="0CBA96AD" w14:textId="77777777" w:rsidR="00762B4C" w:rsidRDefault="00762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C6FF" w14:textId="38261A33" w:rsidR="00C02519" w:rsidRDefault="00EA4A22">
    <w:pPr>
      <w:pStyle w:val="Header"/>
    </w:pPr>
    <w:r>
      <w:t xml:space="preserve">Murray–Darling Communities Investment Package: </w:t>
    </w:r>
    <w:r w:rsidR="002B15B0">
      <w:t>second</w:t>
    </w:r>
    <w:r>
      <w:t xml:space="preserve"> report into implementation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145F" w14:textId="54C48C8C" w:rsidR="00C02519" w:rsidRDefault="00EA4A22">
    <w:pPr>
      <w:pStyle w:val="Header"/>
      <w:jc w:val="left"/>
    </w:pPr>
    <w:r>
      <w:rPr>
        <w:noProof/>
        <w:lang w:eastAsia="en-AU"/>
      </w:rPr>
      <w:drawing>
        <wp:inline distT="0" distB="0" distL="0" distR="0" wp14:anchorId="31C3025E" wp14:editId="213E9DA0">
          <wp:extent cx="2123264" cy="6372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1923184"/>
    <w:multiLevelType w:val="multilevel"/>
    <w:tmpl w:val="AE6A91E6"/>
    <w:lvl w:ilvl="0">
      <w:start w:val="1"/>
      <w:numFmt w:val="decimal"/>
      <w:lvlText w:val="%1."/>
      <w:lvlJc w:val="left"/>
      <w:pPr>
        <w:tabs>
          <w:tab w:val="num" w:pos="567"/>
        </w:tabs>
        <w:ind w:left="567" w:hanging="567"/>
      </w:pPr>
      <w:rPr>
        <w:rFonts w:cs="Times New Roman" w:hint="default"/>
        <w:b w:val="0"/>
        <w:sz w:val="23"/>
        <w:szCs w:val="23"/>
      </w:rPr>
    </w:lvl>
    <w:lvl w:ilvl="1">
      <w:start w:val="1"/>
      <w:numFmt w:val="bullet"/>
      <w:lvlText w:val=""/>
      <w:lvlJc w:val="left"/>
      <w:pPr>
        <w:tabs>
          <w:tab w:val="num" w:pos="924"/>
        </w:tabs>
        <w:ind w:left="924" w:hanging="357"/>
      </w:pPr>
      <w:rPr>
        <w:rFonts w:ascii="Symbol" w:hAnsi="Symbol" w:hint="default"/>
      </w:rPr>
    </w:lvl>
    <w:lvl w:ilvl="2">
      <w:start w:val="1"/>
      <w:numFmt w:val="lowerRoman"/>
      <w:lvlText w:val="%3."/>
      <w:lvlJc w:val="left"/>
      <w:pPr>
        <w:tabs>
          <w:tab w:val="num" w:pos="1281"/>
        </w:tabs>
        <w:ind w:left="1281" w:hanging="357"/>
      </w:pPr>
      <w:rPr>
        <w:rFonts w:cs="Times New Roman" w:hint="default"/>
      </w:rPr>
    </w:lvl>
    <w:lvl w:ilvl="3">
      <w:start w:val="1"/>
      <w:numFmt w:val="decimal"/>
      <w:lvlText w:val="(%4)"/>
      <w:lvlJc w:val="left"/>
      <w:pPr>
        <w:tabs>
          <w:tab w:val="num" w:pos="1639"/>
        </w:tabs>
        <w:ind w:left="1639" w:hanging="3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12056DAA"/>
    <w:multiLevelType w:val="hybridMultilevel"/>
    <w:tmpl w:val="C5CCCECC"/>
    <w:lvl w:ilvl="0" w:tplc="4E06A2E4">
      <w:start w:val="1"/>
      <w:numFmt w:val="bullet"/>
      <w:pStyle w:val="TableBullet2"/>
      <w:lvlText w:val=""/>
      <w:lvlJc w:val="left"/>
      <w:pPr>
        <w:ind w:left="1004" w:hanging="360"/>
      </w:pPr>
      <w:rPr>
        <w:rFonts w:ascii="Symbol" w:hAnsi="Symbol" w:hint="default"/>
      </w:rPr>
    </w:lvl>
    <w:lvl w:ilvl="1" w:tplc="A66297A4" w:tentative="1">
      <w:start w:val="1"/>
      <w:numFmt w:val="bullet"/>
      <w:lvlText w:val="o"/>
      <w:lvlJc w:val="left"/>
      <w:pPr>
        <w:ind w:left="1724" w:hanging="360"/>
      </w:pPr>
      <w:rPr>
        <w:rFonts w:ascii="Courier New" w:hAnsi="Courier New" w:cs="Courier New" w:hint="default"/>
      </w:rPr>
    </w:lvl>
    <w:lvl w:ilvl="2" w:tplc="E9BA112A" w:tentative="1">
      <w:start w:val="1"/>
      <w:numFmt w:val="bullet"/>
      <w:lvlText w:val=""/>
      <w:lvlJc w:val="left"/>
      <w:pPr>
        <w:ind w:left="2444" w:hanging="360"/>
      </w:pPr>
      <w:rPr>
        <w:rFonts w:ascii="Wingdings" w:hAnsi="Wingdings" w:hint="default"/>
      </w:rPr>
    </w:lvl>
    <w:lvl w:ilvl="3" w:tplc="F6E41DDA" w:tentative="1">
      <w:start w:val="1"/>
      <w:numFmt w:val="bullet"/>
      <w:lvlText w:val=""/>
      <w:lvlJc w:val="left"/>
      <w:pPr>
        <w:ind w:left="3164" w:hanging="360"/>
      </w:pPr>
      <w:rPr>
        <w:rFonts w:ascii="Symbol" w:hAnsi="Symbol" w:hint="default"/>
      </w:rPr>
    </w:lvl>
    <w:lvl w:ilvl="4" w:tplc="9754D814" w:tentative="1">
      <w:start w:val="1"/>
      <w:numFmt w:val="bullet"/>
      <w:lvlText w:val="o"/>
      <w:lvlJc w:val="left"/>
      <w:pPr>
        <w:ind w:left="3884" w:hanging="360"/>
      </w:pPr>
      <w:rPr>
        <w:rFonts w:ascii="Courier New" w:hAnsi="Courier New" w:cs="Courier New" w:hint="default"/>
      </w:rPr>
    </w:lvl>
    <w:lvl w:ilvl="5" w:tplc="F14EDBCE" w:tentative="1">
      <w:start w:val="1"/>
      <w:numFmt w:val="bullet"/>
      <w:lvlText w:val=""/>
      <w:lvlJc w:val="left"/>
      <w:pPr>
        <w:ind w:left="4604" w:hanging="360"/>
      </w:pPr>
      <w:rPr>
        <w:rFonts w:ascii="Wingdings" w:hAnsi="Wingdings" w:hint="default"/>
      </w:rPr>
    </w:lvl>
    <w:lvl w:ilvl="6" w:tplc="2AF668FA" w:tentative="1">
      <w:start w:val="1"/>
      <w:numFmt w:val="bullet"/>
      <w:lvlText w:val=""/>
      <w:lvlJc w:val="left"/>
      <w:pPr>
        <w:ind w:left="5324" w:hanging="360"/>
      </w:pPr>
      <w:rPr>
        <w:rFonts w:ascii="Symbol" w:hAnsi="Symbol" w:hint="default"/>
      </w:rPr>
    </w:lvl>
    <w:lvl w:ilvl="7" w:tplc="9EE668AC" w:tentative="1">
      <w:start w:val="1"/>
      <w:numFmt w:val="bullet"/>
      <w:lvlText w:val="o"/>
      <w:lvlJc w:val="left"/>
      <w:pPr>
        <w:ind w:left="6044" w:hanging="360"/>
      </w:pPr>
      <w:rPr>
        <w:rFonts w:ascii="Courier New" w:hAnsi="Courier New" w:cs="Courier New" w:hint="default"/>
      </w:rPr>
    </w:lvl>
    <w:lvl w:ilvl="8" w:tplc="0226EA8A"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7FFC6200">
      <w:start w:val="1"/>
      <w:numFmt w:val="bullet"/>
      <w:pStyle w:val="TableBullet1"/>
      <w:lvlText w:val=""/>
      <w:lvlJc w:val="left"/>
      <w:pPr>
        <w:ind w:left="720" w:hanging="360"/>
      </w:pPr>
      <w:rPr>
        <w:rFonts w:ascii="Symbol" w:hAnsi="Symbol" w:hint="default"/>
      </w:rPr>
    </w:lvl>
    <w:lvl w:ilvl="1" w:tplc="0D641E56" w:tentative="1">
      <w:start w:val="1"/>
      <w:numFmt w:val="bullet"/>
      <w:lvlText w:val="o"/>
      <w:lvlJc w:val="left"/>
      <w:pPr>
        <w:ind w:left="1440" w:hanging="360"/>
      </w:pPr>
      <w:rPr>
        <w:rFonts w:ascii="Courier New" w:hAnsi="Courier New" w:cs="Courier New" w:hint="default"/>
      </w:rPr>
    </w:lvl>
    <w:lvl w:ilvl="2" w:tplc="152A41EC" w:tentative="1">
      <w:start w:val="1"/>
      <w:numFmt w:val="bullet"/>
      <w:lvlText w:val=""/>
      <w:lvlJc w:val="left"/>
      <w:pPr>
        <w:ind w:left="2160" w:hanging="360"/>
      </w:pPr>
      <w:rPr>
        <w:rFonts w:ascii="Wingdings" w:hAnsi="Wingdings" w:hint="default"/>
      </w:rPr>
    </w:lvl>
    <w:lvl w:ilvl="3" w:tplc="8CBA49DC" w:tentative="1">
      <w:start w:val="1"/>
      <w:numFmt w:val="bullet"/>
      <w:lvlText w:val=""/>
      <w:lvlJc w:val="left"/>
      <w:pPr>
        <w:ind w:left="2880" w:hanging="360"/>
      </w:pPr>
      <w:rPr>
        <w:rFonts w:ascii="Symbol" w:hAnsi="Symbol" w:hint="default"/>
      </w:rPr>
    </w:lvl>
    <w:lvl w:ilvl="4" w:tplc="10C6F2C0" w:tentative="1">
      <w:start w:val="1"/>
      <w:numFmt w:val="bullet"/>
      <w:lvlText w:val="o"/>
      <w:lvlJc w:val="left"/>
      <w:pPr>
        <w:ind w:left="3600" w:hanging="360"/>
      </w:pPr>
      <w:rPr>
        <w:rFonts w:ascii="Courier New" w:hAnsi="Courier New" w:cs="Courier New" w:hint="default"/>
      </w:rPr>
    </w:lvl>
    <w:lvl w:ilvl="5" w:tplc="69460958" w:tentative="1">
      <w:start w:val="1"/>
      <w:numFmt w:val="bullet"/>
      <w:lvlText w:val=""/>
      <w:lvlJc w:val="left"/>
      <w:pPr>
        <w:ind w:left="4320" w:hanging="360"/>
      </w:pPr>
      <w:rPr>
        <w:rFonts w:ascii="Wingdings" w:hAnsi="Wingdings" w:hint="default"/>
      </w:rPr>
    </w:lvl>
    <w:lvl w:ilvl="6" w:tplc="B094B178" w:tentative="1">
      <w:start w:val="1"/>
      <w:numFmt w:val="bullet"/>
      <w:lvlText w:val=""/>
      <w:lvlJc w:val="left"/>
      <w:pPr>
        <w:ind w:left="5040" w:hanging="360"/>
      </w:pPr>
      <w:rPr>
        <w:rFonts w:ascii="Symbol" w:hAnsi="Symbol" w:hint="default"/>
      </w:rPr>
    </w:lvl>
    <w:lvl w:ilvl="7" w:tplc="CFAA3A6E" w:tentative="1">
      <w:start w:val="1"/>
      <w:numFmt w:val="bullet"/>
      <w:lvlText w:val="o"/>
      <w:lvlJc w:val="left"/>
      <w:pPr>
        <w:ind w:left="5760" w:hanging="360"/>
      </w:pPr>
      <w:rPr>
        <w:rFonts w:ascii="Courier New" w:hAnsi="Courier New" w:cs="Courier New" w:hint="default"/>
      </w:rPr>
    </w:lvl>
    <w:lvl w:ilvl="8" w:tplc="EE70D2FE" w:tentative="1">
      <w:start w:val="1"/>
      <w:numFmt w:val="bullet"/>
      <w:lvlText w:val=""/>
      <w:lvlJc w:val="left"/>
      <w:pPr>
        <w:ind w:left="6480" w:hanging="360"/>
      </w:pPr>
      <w:rPr>
        <w:rFonts w:ascii="Wingdings" w:hAnsi="Wingdings" w:hint="default"/>
      </w:rPr>
    </w:lvl>
  </w:abstractNum>
  <w:abstractNum w:abstractNumId="11" w15:restartNumberingAfterBreak="0">
    <w:nsid w:val="1BD33715"/>
    <w:multiLevelType w:val="hybridMultilevel"/>
    <w:tmpl w:val="9DE83D2C"/>
    <w:lvl w:ilvl="0" w:tplc="AE2ECFE8">
      <w:start w:val="1"/>
      <w:numFmt w:val="bullet"/>
      <w:lvlText w:val=""/>
      <w:lvlJc w:val="left"/>
      <w:pPr>
        <w:ind w:left="360" w:hanging="360"/>
      </w:pPr>
      <w:rPr>
        <w:rFonts w:ascii="Symbol" w:hAnsi="Symbol" w:hint="default"/>
      </w:rPr>
    </w:lvl>
    <w:lvl w:ilvl="1" w:tplc="9E84C9C6" w:tentative="1">
      <w:start w:val="1"/>
      <w:numFmt w:val="bullet"/>
      <w:lvlText w:val="o"/>
      <w:lvlJc w:val="left"/>
      <w:pPr>
        <w:ind w:left="1080" w:hanging="360"/>
      </w:pPr>
      <w:rPr>
        <w:rFonts w:ascii="Courier New" w:hAnsi="Courier New" w:cs="Courier New" w:hint="default"/>
      </w:rPr>
    </w:lvl>
    <w:lvl w:ilvl="2" w:tplc="5ED0D140" w:tentative="1">
      <w:start w:val="1"/>
      <w:numFmt w:val="bullet"/>
      <w:lvlText w:val=""/>
      <w:lvlJc w:val="left"/>
      <w:pPr>
        <w:ind w:left="1800" w:hanging="360"/>
      </w:pPr>
      <w:rPr>
        <w:rFonts w:ascii="Wingdings" w:hAnsi="Wingdings" w:hint="default"/>
      </w:rPr>
    </w:lvl>
    <w:lvl w:ilvl="3" w:tplc="10725710" w:tentative="1">
      <w:start w:val="1"/>
      <w:numFmt w:val="bullet"/>
      <w:lvlText w:val=""/>
      <w:lvlJc w:val="left"/>
      <w:pPr>
        <w:ind w:left="2520" w:hanging="360"/>
      </w:pPr>
      <w:rPr>
        <w:rFonts w:ascii="Symbol" w:hAnsi="Symbol" w:hint="default"/>
      </w:rPr>
    </w:lvl>
    <w:lvl w:ilvl="4" w:tplc="6B120CEE" w:tentative="1">
      <w:start w:val="1"/>
      <w:numFmt w:val="bullet"/>
      <w:lvlText w:val="o"/>
      <w:lvlJc w:val="left"/>
      <w:pPr>
        <w:ind w:left="3240" w:hanging="360"/>
      </w:pPr>
      <w:rPr>
        <w:rFonts w:ascii="Courier New" w:hAnsi="Courier New" w:cs="Courier New" w:hint="default"/>
      </w:rPr>
    </w:lvl>
    <w:lvl w:ilvl="5" w:tplc="843EB980" w:tentative="1">
      <w:start w:val="1"/>
      <w:numFmt w:val="bullet"/>
      <w:lvlText w:val=""/>
      <w:lvlJc w:val="left"/>
      <w:pPr>
        <w:ind w:left="3960" w:hanging="360"/>
      </w:pPr>
      <w:rPr>
        <w:rFonts w:ascii="Wingdings" w:hAnsi="Wingdings" w:hint="default"/>
      </w:rPr>
    </w:lvl>
    <w:lvl w:ilvl="6" w:tplc="076AB826" w:tentative="1">
      <w:start w:val="1"/>
      <w:numFmt w:val="bullet"/>
      <w:lvlText w:val=""/>
      <w:lvlJc w:val="left"/>
      <w:pPr>
        <w:ind w:left="4680" w:hanging="360"/>
      </w:pPr>
      <w:rPr>
        <w:rFonts w:ascii="Symbol" w:hAnsi="Symbol" w:hint="default"/>
      </w:rPr>
    </w:lvl>
    <w:lvl w:ilvl="7" w:tplc="41384F64" w:tentative="1">
      <w:start w:val="1"/>
      <w:numFmt w:val="bullet"/>
      <w:lvlText w:val="o"/>
      <w:lvlJc w:val="left"/>
      <w:pPr>
        <w:ind w:left="5400" w:hanging="360"/>
      </w:pPr>
      <w:rPr>
        <w:rFonts w:ascii="Courier New" w:hAnsi="Courier New" w:cs="Courier New" w:hint="default"/>
      </w:rPr>
    </w:lvl>
    <w:lvl w:ilvl="8" w:tplc="473677A8" w:tentative="1">
      <w:start w:val="1"/>
      <w:numFmt w:val="bullet"/>
      <w:lvlText w:val=""/>
      <w:lvlJc w:val="left"/>
      <w:pPr>
        <w:ind w:left="6120" w:hanging="360"/>
      </w:pPr>
      <w:rPr>
        <w:rFonts w:ascii="Wingdings" w:hAnsi="Wingdings" w:hint="default"/>
      </w:rPr>
    </w:lvl>
  </w:abstractNum>
  <w:abstractNum w:abstractNumId="12" w15:restartNumberingAfterBreak="0">
    <w:nsid w:val="1CD71580"/>
    <w:multiLevelType w:val="hybridMultilevel"/>
    <w:tmpl w:val="16AAE240"/>
    <w:lvl w:ilvl="0" w:tplc="DC38D0F0">
      <w:start w:val="1"/>
      <w:numFmt w:val="bullet"/>
      <w:lvlText w:val=""/>
      <w:lvlJc w:val="left"/>
      <w:pPr>
        <w:ind w:left="360" w:hanging="360"/>
      </w:pPr>
      <w:rPr>
        <w:rFonts w:ascii="Symbol" w:hAnsi="Symbol" w:hint="default"/>
        <w:color w:val="FF7900"/>
      </w:rPr>
    </w:lvl>
    <w:lvl w:ilvl="1" w:tplc="12E66388">
      <w:start w:val="1"/>
      <w:numFmt w:val="bullet"/>
      <w:lvlText w:val="o"/>
      <w:lvlJc w:val="left"/>
      <w:pPr>
        <w:ind w:left="1440" w:hanging="360"/>
      </w:pPr>
      <w:rPr>
        <w:rFonts w:ascii="Courier New" w:hAnsi="Courier New" w:cs="Courier New" w:hint="default"/>
      </w:rPr>
    </w:lvl>
    <w:lvl w:ilvl="2" w:tplc="D5048D88" w:tentative="1">
      <w:start w:val="1"/>
      <w:numFmt w:val="bullet"/>
      <w:lvlText w:val=""/>
      <w:lvlJc w:val="left"/>
      <w:pPr>
        <w:ind w:left="2160" w:hanging="360"/>
      </w:pPr>
      <w:rPr>
        <w:rFonts w:ascii="Wingdings" w:hAnsi="Wingdings" w:hint="default"/>
      </w:rPr>
    </w:lvl>
    <w:lvl w:ilvl="3" w:tplc="1698024C" w:tentative="1">
      <w:start w:val="1"/>
      <w:numFmt w:val="bullet"/>
      <w:lvlText w:val=""/>
      <w:lvlJc w:val="left"/>
      <w:pPr>
        <w:ind w:left="2880" w:hanging="360"/>
      </w:pPr>
      <w:rPr>
        <w:rFonts w:ascii="Symbol" w:hAnsi="Symbol" w:hint="default"/>
      </w:rPr>
    </w:lvl>
    <w:lvl w:ilvl="4" w:tplc="913AD0C8" w:tentative="1">
      <w:start w:val="1"/>
      <w:numFmt w:val="bullet"/>
      <w:lvlText w:val="o"/>
      <w:lvlJc w:val="left"/>
      <w:pPr>
        <w:ind w:left="3600" w:hanging="360"/>
      </w:pPr>
      <w:rPr>
        <w:rFonts w:ascii="Courier New" w:hAnsi="Courier New" w:cs="Courier New" w:hint="default"/>
      </w:rPr>
    </w:lvl>
    <w:lvl w:ilvl="5" w:tplc="45F2D56A" w:tentative="1">
      <w:start w:val="1"/>
      <w:numFmt w:val="bullet"/>
      <w:lvlText w:val=""/>
      <w:lvlJc w:val="left"/>
      <w:pPr>
        <w:ind w:left="4320" w:hanging="360"/>
      </w:pPr>
      <w:rPr>
        <w:rFonts w:ascii="Wingdings" w:hAnsi="Wingdings" w:hint="default"/>
      </w:rPr>
    </w:lvl>
    <w:lvl w:ilvl="6" w:tplc="C1D0D1E8" w:tentative="1">
      <w:start w:val="1"/>
      <w:numFmt w:val="bullet"/>
      <w:lvlText w:val=""/>
      <w:lvlJc w:val="left"/>
      <w:pPr>
        <w:ind w:left="5040" w:hanging="360"/>
      </w:pPr>
      <w:rPr>
        <w:rFonts w:ascii="Symbol" w:hAnsi="Symbol" w:hint="default"/>
      </w:rPr>
    </w:lvl>
    <w:lvl w:ilvl="7" w:tplc="57E203BE" w:tentative="1">
      <w:start w:val="1"/>
      <w:numFmt w:val="bullet"/>
      <w:lvlText w:val="o"/>
      <w:lvlJc w:val="left"/>
      <w:pPr>
        <w:ind w:left="5760" w:hanging="360"/>
      </w:pPr>
      <w:rPr>
        <w:rFonts w:ascii="Courier New" w:hAnsi="Courier New" w:cs="Courier New" w:hint="default"/>
      </w:rPr>
    </w:lvl>
    <w:lvl w:ilvl="8" w:tplc="ECC00476" w:tentative="1">
      <w:start w:val="1"/>
      <w:numFmt w:val="bullet"/>
      <w:lvlText w:val=""/>
      <w:lvlJc w:val="left"/>
      <w:pPr>
        <w:ind w:left="6480" w:hanging="360"/>
      </w:pPr>
      <w:rPr>
        <w:rFonts w:ascii="Wingdings" w:hAnsi="Wingdings" w:hint="default"/>
      </w:rPr>
    </w:lvl>
  </w:abstractNum>
  <w:abstractNum w:abstractNumId="13" w15:restartNumberingAfterBreak="0">
    <w:nsid w:val="1EB42155"/>
    <w:multiLevelType w:val="hybridMultilevel"/>
    <w:tmpl w:val="C9A42606"/>
    <w:lvl w:ilvl="0" w:tplc="91ACF9AC">
      <w:numFmt w:val="bullet"/>
      <w:lvlText w:val="•"/>
      <w:lvlJc w:val="left"/>
      <w:pPr>
        <w:ind w:left="1080" w:hanging="720"/>
      </w:pPr>
      <w:rPr>
        <w:rFonts w:ascii="Cambria" w:eastAsiaTheme="minorHAnsi" w:hAnsi="Cambria" w:cstheme="minorBidi" w:hint="default"/>
      </w:rPr>
    </w:lvl>
    <w:lvl w:ilvl="1" w:tplc="0270FFD8" w:tentative="1">
      <w:start w:val="1"/>
      <w:numFmt w:val="bullet"/>
      <w:lvlText w:val="o"/>
      <w:lvlJc w:val="left"/>
      <w:pPr>
        <w:ind w:left="1440" w:hanging="360"/>
      </w:pPr>
      <w:rPr>
        <w:rFonts w:ascii="Courier New" w:hAnsi="Courier New" w:cs="Courier New" w:hint="default"/>
      </w:rPr>
    </w:lvl>
    <w:lvl w:ilvl="2" w:tplc="BAC485FA" w:tentative="1">
      <w:start w:val="1"/>
      <w:numFmt w:val="bullet"/>
      <w:lvlText w:val=""/>
      <w:lvlJc w:val="left"/>
      <w:pPr>
        <w:ind w:left="2160" w:hanging="360"/>
      </w:pPr>
      <w:rPr>
        <w:rFonts w:ascii="Wingdings" w:hAnsi="Wingdings" w:hint="default"/>
      </w:rPr>
    </w:lvl>
    <w:lvl w:ilvl="3" w:tplc="4BB281D0" w:tentative="1">
      <w:start w:val="1"/>
      <w:numFmt w:val="bullet"/>
      <w:lvlText w:val=""/>
      <w:lvlJc w:val="left"/>
      <w:pPr>
        <w:ind w:left="2880" w:hanging="360"/>
      </w:pPr>
      <w:rPr>
        <w:rFonts w:ascii="Symbol" w:hAnsi="Symbol" w:hint="default"/>
      </w:rPr>
    </w:lvl>
    <w:lvl w:ilvl="4" w:tplc="7B90A7F0" w:tentative="1">
      <w:start w:val="1"/>
      <w:numFmt w:val="bullet"/>
      <w:lvlText w:val="o"/>
      <w:lvlJc w:val="left"/>
      <w:pPr>
        <w:ind w:left="3600" w:hanging="360"/>
      </w:pPr>
      <w:rPr>
        <w:rFonts w:ascii="Courier New" w:hAnsi="Courier New" w:cs="Courier New" w:hint="default"/>
      </w:rPr>
    </w:lvl>
    <w:lvl w:ilvl="5" w:tplc="1642380C" w:tentative="1">
      <w:start w:val="1"/>
      <w:numFmt w:val="bullet"/>
      <w:lvlText w:val=""/>
      <w:lvlJc w:val="left"/>
      <w:pPr>
        <w:ind w:left="4320" w:hanging="360"/>
      </w:pPr>
      <w:rPr>
        <w:rFonts w:ascii="Wingdings" w:hAnsi="Wingdings" w:hint="default"/>
      </w:rPr>
    </w:lvl>
    <w:lvl w:ilvl="6" w:tplc="7AF81A6E" w:tentative="1">
      <w:start w:val="1"/>
      <w:numFmt w:val="bullet"/>
      <w:lvlText w:val=""/>
      <w:lvlJc w:val="left"/>
      <w:pPr>
        <w:ind w:left="5040" w:hanging="360"/>
      </w:pPr>
      <w:rPr>
        <w:rFonts w:ascii="Symbol" w:hAnsi="Symbol" w:hint="default"/>
      </w:rPr>
    </w:lvl>
    <w:lvl w:ilvl="7" w:tplc="3946AE0A" w:tentative="1">
      <w:start w:val="1"/>
      <w:numFmt w:val="bullet"/>
      <w:lvlText w:val="o"/>
      <w:lvlJc w:val="left"/>
      <w:pPr>
        <w:ind w:left="5760" w:hanging="360"/>
      </w:pPr>
      <w:rPr>
        <w:rFonts w:ascii="Courier New" w:hAnsi="Courier New" w:cs="Courier New" w:hint="default"/>
      </w:rPr>
    </w:lvl>
    <w:lvl w:ilvl="8" w:tplc="663EAF5A"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80324A3"/>
    <w:multiLevelType w:val="hybridMultilevel"/>
    <w:tmpl w:val="6EDE9E8A"/>
    <w:lvl w:ilvl="0" w:tplc="C7103C24">
      <w:start w:val="1"/>
      <w:numFmt w:val="bullet"/>
      <w:lvlText w:val=""/>
      <w:lvlJc w:val="left"/>
      <w:pPr>
        <w:ind w:left="720" w:hanging="360"/>
      </w:pPr>
      <w:rPr>
        <w:rFonts w:ascii="Symbol" w:hAnsi="Symbol" w:hint="default"/>
      </w:rPr>
    </w:lvl>
    <w:lvl w:ilvl="1" w:tplc="BF769438" w:tentative="1">
      <w:start w:val="1"/>
      <w:numFmt w:val="bullet"/>
      <w:lvlText w:val="o"/>
      <w:lvlJc w:val="left"/>
      <w:pPr>
        <w:ind w:left="1440" w:hanging="360"/>
      </w:pPr>
      <w:rPr>
        <w:rFonts w:ascii="Courier New" w:hAnsi="Courier New" w:cs="Courier New" w:hint="default"/>
      </w:rPr>
    </w:lvl>
    <w:lvl w:ilvl="2" w:tplc="AD1C97E0" w:tentative="1">
      <w:start w:val="1"/>
      <w:numFmt w:val="bullet"/>
      <w:lvlText w:val=""/>
      <w:lvlJc w:val="left"/>
      <w:pPr>
        <w:ind w:left="2160" w:hanging="360"/>
      </w:pPr>
      <w:rPr>
        <w:rFonts w:ascii="Wingdings" w:hAnsi="Wingdings" w:hint="default"/>
      </w:rPr>
    </w:lvl>
    <w:lvl w:ilvl="3" w:tplc="01D23658" w:tentative="1">
      <w:start w:val="1"/>
      <w:numFmt w:val="bullet"/>
      <w:lvlText w:val=""/>
      <w:lvlJc w:val="left"/>
      <w:pPr>
        <w:ind w:left="2880" w:hanging="360"/>
      </w:pPr>
      <w:rPr>
        <w:rFonts w:ascii="Symbol" w:hAnsi="Symbol" w:hint="default"/>
      </w:rPr>
    </w:lvl>
    <w:lvl w:ilvl="4" w:tplc="4ED83044" w:tentative="1">
      <w:start w:val="1"/>
      <w:numFmt w:val="bullet"/>
      <w:lvlText w:val="o"/>
      <w:lvlJc w:val="left"/>
      <w:pPr>
        <w:ind w:left="3600" w:hanging="360"/>
      </w:pPr>
      <w:rPr>
        <w:rFonts w:ascii="Courier New" w:hAnsi="Courier New" w:cs="Courier New" w:hint="default"/>
      </w:rPr>
    </w:lvl>
    <w:lvl w:ilvl="5" w:tplc="0D909D70" w:tentative="1">
      <w:start w:val="1"/>
      <w:numFmt w:val="bullet"/>
      <w:lvlText w:val=""/>
      <w:lvlJc w:val="left"/>
      <w:pPr>
        <w:ind w:left="4320" w:hanging="360"/>
      </w:pPr>
      <w:rPr>
        <w:rFonts w:ascii="Wingdings" w:hAnsi="Wingdings" w:hint="default"/>
      </w:rPr>
    </w:lvl>
    <w:lvl w:ilvl="6" w:tplc="7814FC14" w:tentative="1">
      <w:start w:val="1"/>
      <w:numFmt w:val="bullet"/>
      <w:lvlText w:val=""/>
      <w:lvlJc w:val="left"/>
      <w:pPr>
        <w:ind w:left="5040" w:hanging="360"/>
      </w:pPr>
      <w:rPr>
        <w:rFonts w:ascii="Symbol" w:hAnsi="Symbol" w:hint="default"/>
      </w:rPr>
    </w:lvl>
    <w:lvl w:ilvl="7" w:tplc="0F84AAE2" w:tentative="1">
      <w:start w:val="1"/>
      <w:numFmt w:val="bullet"/>
      <w:lvlText w:val="o"/>
      <w:lvlJc w:val="left"/>
      <w:pPr>
        <w:ind w:left="5760" w:hanging="360"/>
      </w:pPr>
      <w:rPr>
        <w:rFonts w:ascii="Courier New" w:hAnsi="Courier New" w:cs="Courier New" w:hint="default"/>
      </w:rPr>
    </w:lvl>
    <w:lvl w:ilvl="8" w:tplc="1DA2279A" w:tentative="1">
      <w:start w:val="1"/>
      <w:numFmt w:val="bullet"/>
      <w:lvlText w:val=""/>
      <w:lvlJc w:val="left"/>
      <w:pPr>
        <w:ind w:left="6480" w:hanging="360"/>
      </w:pPr>
      <w:rPr>
        <w:rFonts w:ascii="Wingdings" w:hAnsi="Wingdings" w:hint="default"/>
      </w:rPr>
    </w:lvl>
  </w:abstractNum>
  <w:abstractNum w:abstractNumId="17" w15:restartNumberingAfterBreak="0">
    <w:nsid w:val="2B103637"/>
    <w:multiLevelType w:val="multilevel"/>
    <w:tmpl w:val="BE78A4F8"/>
    <w:numStyleLink w:val="Numberlist"/>
  </w:abstractNum>
  <w:abstractNum w:abstractNumId="18" w15:restartNumberingAfterBreak="0">
    <w:nsid w:val="35B8135A"/>
    <w:multiLevelType w:val="hybridMultilevel"/>
    <w:tmpl w:val="4CE8E21A"/>
    <w:lvl w:ilvl="0" w:tplc="55C628CC">
      <w:numFmt w:val="bullet"/>
      <w:lvlText w:val="•"/>
      <w:lvlJc w:val="left"/>
      <w:pPr>
        <w:ind w:left="1080" w:hanging="720"/>
      </w:pPr>
      <w:rPr>
        <w:rFonts w:ascii="Calibri" w:eastAsiaTheme="minorHAnsi" w:hAnsi="Calibri" w:cs="Calibri" w:hint="default"/>
      </w:rPr>
    </w:lvl>
    <w:lvl w:ilvl="1" w:tplc="7D828606" w:tentative="1">
      <w:start w:val="1"/>
      <w:numFmt w:val="bullet"/>
      <w:lvlText w:val="o"/>
      <w:lvlJc w:val="left"/>
      <w:pPr>
        <w:ind w:left="1440" w:hanging="360"/>
      </w:pPr>
      <w:rPr>
        <w:rFonts w:ascii="Courier New" w:hAnsi="Courier New" w:cs="Courier New" w:hint="default"/>
      </w:rPr>
    </w:lvl>
    <w:lvl w:ilvl="2" w:tplc="F9CA42DA" w:tentative="1">
      <w:start w:val="1"/>
      <w:numFmt w:val="bullet"/>
      <w:lvlText w:val=""/>
      <w:lvlJc w:val="left"/>
      <w:pPr>
        <w:ind w:left="2160" w:hanging="360"/>
      </w:pPr>
      <w:rPr>
        <w:rFonts w:ascii="Wingdings" w:hAnsi="Wingdings" w:hint="default"/>
      </w:rPr>
    </w:lvl>
    <w:lvl w:ilvl="3" w:tplc="004E1F00" w:tentative="1">
      <w:start w:val="1"/>
      <w:numFmt w:val="bullet"/>
      <w:lvlText w:val=""/>
      <w:lvlJc w:val="left"/>
      <w:pPr>
        <w:ind w:left="2880" w:hanging="360"/>
      </w:pPr>
      <w:rPr>
        <w:rFonts w:ascii="Symbol" w:hAnsi="Symbol" w:hint="default"/>
      </w:rPr>
    </w:lvl>
    <w:lvl w:ilvl="4" w:tplc="9028F8B4" w:tentative="1">
      <w:start w:val="1"/>
      <w:numFmt w:val="bullet"/>
      <w:lvlText w:val="o"/>
      <w:lvlJc w:val="left"/>
      <w:pPr>
        <w:ind w:left="3600" w:hanging="360"/>
      </w:pPr>
      <w:rPr>
        <w:rFonts w:ascii="Courier New" w:hAnsi="Courier New" w:cs="Courier New" w:hint="default"/>
      </w:rPr>
    </w:lvl>
    <w:lvl w:ilvl="5" w:tplc="B290ADCE" w:tentative="1">
      <w:start w:val="1"/>
      <w:numFmt w:val="bullet"/>
      <w:lvlText w:val=""/>
      <w:lvlJc w:val="left"/>
      <w:pPr>
        <w:ind w:left="4320" w:hanging="360"/>
      </w:pPr>
      <w:rPr>
        <w:rFonts w:ascii="Wingdings" w:hAnsi="Wingdings" w:hint="default"/>
      </w:rPr>
    </w:lvl>
    <w:lvl w:ilvl="6" w:tplc="355C5AF4" w:tentative="1">
      <w:start w:val="1"/>
      <w:numFmt w:val="bullet"/>
      <w:lvlText w:val=""/>
      <w:lvlJc w:val="left"/>
      <w:pPr>
        <w:ind w:left="5040" w:hanging="360"/>
      </w:pPr>
      <w:rPr>
        <w:rFonts w:ascii="Symbol" w:hAnsi="Symbol" w:hint="default"/>
      </w:rPr>
    </w:lvl>
    <w:lvl w:ilvl="7" w:tplc="CCAC6022" w:tentative="1">
      <w:start w:val="1"/>
      <w:numFmt w:val="bullet"/>
      <w:lvlText w:val="o"/>
      <w:lvlJc w:val="left"/>
      <w:pPr>
        <w:ind w:left="5760" w:hanging="360"/>
      </w:pPr>
      <w:rPr>
        <w:rFonts w:ascii="Courier New" w:hAnsi="Courier New" w:cs="Courier New" w:hint="default"/>
      </w:rPr>
    </w:lvl>
    <w:lvl w:ilvl="8" w:tplc="55A0630A" w:tentative="1">
      <w:start w:val="1"/>
      <w:numFmt w:val="bullet"/>
      <w:lvlText w:val=""/>
      <w:lvlJc w:val="left"/>
      <w:pPr>
        <w:ind w:left="6480" w:hanging="360"/>
      </w:pPr>
      <w:rPr>
        <w:rFonts w:ascii="Wingdings" w:hAnsi="Wingdings" w:hint="default"/>
      </w:rPr>
    </w:lvl>
  </w:abstractNum>
  <w:abstractNum w:abstractNumId="19" w15:restartNumberingAfterBreak="0">
    <w:nsid w:val="363E3698"/>
    <w:multiLevelType w:val="hybridMultilevel"/>
    <w:tmpl w:val="BC92E1C4"/>
    <w:lvl w:ilvl="0" w:tplc="B54A876A">
      <w:numFmt w:val="bullet"/>
      <w:lvlText w:val=""/>
      <w:lvlJc w:val="left"/>
      <w:pPr>
        <w:ind w:left="1080" w:hanging="720"/>
      </w:pPr>
      <w:rPr>
        <w:rFonts w:ascii="Symbol" w:eastAsiaTheme="minorHAnsi" w:hAnsi="Symbol" w:cstheme="minorBidi" w:hint="default"/>
      </w:rPr>
    </w:lvl>
    <w:lvl w:ilvl="1" w:tplc="55225DC0" w:tentative="1">
      <w:start w:val="1"/>
      <w:numFmt w:val="bullet"/>
      <w:lvlText w:val="o"/>
      <w:lvlJc w:val="left"/>
      <w:pPr>
        <w:ind w:left="1440" w:hanging="360"/>
      </w:pPr>
      <w:rPr>
        <w:rFonts w:ascii="Courier New" w:hAnsi="Courier New" w:cs="Courier New" w:hint="default"/>
      </w:rPr>
    </w:lvl>
    <w:lvl w:ilvl="2" w:tplc="2D56C024" w:tentative="1">
      <w:start w:val="1"/>
      <w:numFmt w:val="bullet"/>
      <w:lvlText w:val=""/>
      <w:lvlJc w:val="left"/>
      <w:pPr>
        <w:ind w:left="2160" w:hanging="360"/>
      </w:pPr>
      <w:rPr>
        <w:rFonts w:ascii="Wingdings" w:hAnsi="Wingdings" w:hint="default"/>
      </w:rPr>
    </w:lvl>
    <w:lvl w:ilvl="3" w:tplc="A9EA02D2" w:tentative="1">
      <w:start w:val="1"/>
      <w:numFmt w:val="bullet"/>
      <w:lvlText w:val=""/>
      <w:lvlJc w:val="left"/>
      <w:pPr>
        <w:ind w:left="2880" w:hanging="360"/>
      </w:pPr>
      <w:rPr>
        <w:rFonts w:ascii="Symbol" w:hAnsi="Symbol" w:hint="default"/>
      </w:rPr>
    </w:lvl>
    <w:lvl w:ilvl="4" w:tplc="8B66717A" w:tentative="1">
      <w:start w:val="1"/>
      <w:numFmt w:val="bullet"/>
      <w:lvlText w:val="o"/>
      <w:lvlJc w:val="left"/>
      <w:pPr>
        <w:ind w:left="3600" w:hanging="360"/>
      </w:pPr>
      <w:rPr>
        <w:rFonts w:ascii="Courier New" w:hAnsi="Courier New" w:cs="Courier New" w:hint="default"/>
      </w:rPr>
    </w:lvl>
    <w:lvl w:ilvl="5" w:tplc="D4F657A2" w:tentative="1">
      <w:start w:val="1"/>
      <w:numFmt w:val="bullet"/>
      <w:lvlText w:val=""/>
      <w:lvlJc w:val="left"/>
      <w:pPr>
        <w:ind w:left="4320" w:hanging="360"/>
      </w:pPr>
      <w:rPr>
        <w:rFonts w:ascii="Wingdings" w:hAnsi="Wingdings" w:hint="default"/>
      </w:rPr>
    </w:lvl>
    <w:lvl w:ilvl="6" w:tplc="6E4CB1EA" w:tentative="1">
      <w:start w:val="1"/>
      <w:numFmt w:val="bullet"/>
      <w:lvlText w:val=""/>
      <w:lvlJc w:val="left"/>
      <w:pPr>
        <w:ind w:left="5040" w:hanging="360"/>
      </w:pPr>
      <w:rPr>
        <w:rFonts w:ascii="Symbol" w:hAnsi="Symbol" w:hint="default"/>
      </w:rPr>
    </w:lvl>
    <w:lvl w:ilvl="7" w:tplc="122A314E" w:tentative="1">
      <w:start w:val="1"/>
      <w:numFmt w:val="bullet"/>
      <w:lvlText w:val="o"/>
      <w:lvlJc w:val="left"/>
      <w:pPr>
        <w:ind w:left="5760" w:hanging="360"/>
      </w:pPr>
      <w:rPr>
        <w:rFonts w:ascii="Courier New" w:hAnsi="Courier New" w:cs="Courier New" w:hint="default"/>
      </w:rPr>
    </w:lvl>
    <w:lvl w:ilvl="8" w:tplc="05E45646" w:tentative="1">
      <w:start w:val="1"/>
      <w:numFmt w:val="bullet"/>
      <w:lvlText w:val=""/>
      <w:lvlJc w:val="left"/>
      <w:pPr>
        <w:ind w:left="6480" w:hanging="360"/>
      </w:pPr>
      <w:rPr>
        <w:rFonts w:ascii="Wingdings" w:hAnsi="Wingdings" w:hint="default"/>
      </w:rPr>
    </w:lvl>
  </w:abstractNum>
  <w:abstractNum w:abstractNumId="20" w15:restartNumberingAfterBreak="0">
    <w:nsid w:val="394A15FE"/>
    <w:multiLevelType w:val="multilevel"/>
    <w:tmpl w:val="F36C17E8"/>
    <w:numStyleLink w:val="Headinglist"/>
  </w:abstractNum>
  <w:abstractNum w:abstractNumId="21" w15:restartNumberingAfterBreak="0">
    <w:nsid w:val="414F4729"/>
    <w:multiLevelType w:val="multilevel"/>
    <w:tmpl w:val="A0241B28"/>
    <w:numStyleLink w:val="List1"/>
  </w:abstractNum>
  <w:abstractNum w:abstractNumId="22" w15:restartNumberingAfterBreak="0">
    <w:nsid w:val="486800B4"/>
    <w:multiLevelType w:val="multilevel"/>
    <w:tmpl w:val="A0241B28"/>
    <w:numStyleLink w:val="List1"/>
  </w:abstractNum>
  <w:abstractNum w:abstractNumId="23" w15:restartNumberingAfterBreak="0">
    <w:nsid w:val="48DE2E4A"/>
    <w:multiLevelType w:val="hybridMultilevel"/>
    <w:tmpl w:val="B7086130"/>
    <w:lvl w:ilvl="0" w:tplc="59FEBF30">
      <w:start w:val="1"/>
      <w:numFmt w:val="bullet"/>
      <w:pStyle w:val="BoxTextBullet"/>
      <w:lvlText w:val=""/>
      <w:lvlJc w:val="left"/>
      <w:pPr>
        <w:ind w:left="720" w:hanging="360"/>
      </w:pPr>
      <w:rPr>
        <w:rFonts w:ascii="Symbol" w:hAnsi="Symbol" w:hint="default"/>
      </w:rPr>
    </w:lvl>
    <w:lvl w:ilvl="1" w:tplc="1412790E" w:tentative="1">
      <w:start w:val="1"/>
      <w:numFmt w:val="bullet"/>
      <w:lvlText w:val="o"/>
      <w:lvlJc w:val="left"/>
      <w:pPr>
        <w:ind w:left="1440" w:hanging="360"/>
      </w:pPr>
      <w:rPr>
        <w:rFonts w:ascii="Courier New" w:hAnsi="Courier New" w:cs="Courier New" w:hint="default"/>
      </w:rPr>
    </w:lvl>
    <w:lvl w:ilvl="2" w:tplc="B37E63D2" w:tentative="1">
      <w:start w:val="1"/>
      <w:numFmt w:val="bullet"/>
      <w:lvlText w:val=""/>
      <w:lvlJc w:val="left"/>
      <w:pPr>
        <w:ind w:left="2160" w:hanging="360"/>
      </w:pPr>
      <w:rPr>
        <w:rFonts w:ascii="Wingdings" w:hAnsi="Wingdings" w:hint="default"/>
      </w:rPr>
    </w:lvl>
    <w:lvl w:ilvl="3" w:tplc="000AC262" w:tentative="1">
      <w:start w:val="1"/>
      <w:numFmt w:val="bullet"/>
      <w:lvlText w:val=""/>
      <w:lvlJc w:val="left"/>
      <w:pPr>
        <w:ind w:left="2880" w:hanging="360"/>
      </w:pPr>
      <w:rPr>
        <w:rFonts w:ascii="Symbol" w:hAnsi="Symbol" w:hint="default"/>
      </w:rPr>
    </w:lvl>
    <w:lvl w:ilvl="4" w:tplc="E4622C24" w:tentative="1">
      <w:start w:val="1"/>
      <w:numFmt w:val="bullet"/>
      <w:lvlText w:val="o"/>
      <w:lvlJc w:val="left"/>
      <w:pPr>
        <w:ind w:left="3600" w:hanging="360"/>
      </w:pPr>
      <w:rPr>
        <w:rFonts w:ascii="Courier New" w:hAnsi="Courier New" w:cs="Courier New" w:hint="default"/>
      </w:rPr>
    </w:lvl>
    <w:lvl w:ilvl="5" w:tplc="B508983C" w:tentative="1">
      <w:start w:val="1"/>
      <w:numFmt w:val="bullet"/>
      <w:lvlText w:val=""/>
      <w:lvlJc w:val="left"/>
      <w:pPr>
        <w:ind w:left="4320" w:hanging="360"/>
      </w:pPr>
      <w:rPr>
        <w:rFonts w:ascii="Wingdings" w:hAnsi="Wingdings" w:hint="default"/>
      </w:rPr>
    </w:lvl>
    <w:lvl w:ilvl="6" w:tplc="C0AC1D78" w:tentative="1">
      <w:start w:val="1"/>
      <w:numFmt w:val="bullet"/>
      <w:lvlText w:val=""/>
      <w:lvlJc w:val="left"/>
      <w:pPr>
        <w:ind w:left="5040" w:hanging="360"/>
      </w:pPr>
      <w:rPr>
        <w:rFonts w:ascii="Symbol" w:hAnsi="Symbol" w:hint="default"/>
      </w:rPr>
    </w:lvl>
    <w:lvl w:ilvl="7" w:tplc="DA021214" w:tentative="1">
      <w:start w:val="1"/>
      <w:numFmt w:val="bullet"/>
      <w:lvlText w:val="o"/>
      <w:lvlJc w:val="left"/>
      <w:pPr>
        <w:ind w:left="5760" w:hanging="360"/>
      </w:pPr>
      <w:rPr>
        <w:rFonts w:ascii="Courier New" w:hAnsi="Courier New" w:cs="Courier New" w:hint="default"/>
      </w:rPr>
    </w:lvl>
    <w:lvl w:ilvl="8" w:tplc="D0B2B564" w:tentative="1">
      <w:start w:val="1"/>
      <w:numFmt w:val="bullet"/>
      <w:lvlText w:val=""/>
      <w:lvlJc w:val="left"/>
      <w:pPr>
        <w:ind w:left="6480" w:hanging="360"/>
      </w:pPr>
      <w:rPr>
        <w:rFonts w:ascii="Wingdings" w:hAnsi="Wingdings" w:hint="default"/>
      </w:rPr>
    </w:lvl>
  </w:abstractNum>
  <w:abstractNum w:abstractNumId="24" w15:restartNumberingAfterBreak="0">
    <w:nsid w:val="48FF3076"/>
    <w:multiLevelType w:val="hybridMultilevel"/>
    <w:tmpl w:val="031A64E8"/>
    <w:lvl w:ilvl="0" w:tplc="17E29B5E">
      <w:numFmt w:val="bullet"/>
      <w:lvlText w:val="•"/>
      <w:lvlJc w:val="left"/>
      <w:pPr>
        <w:ind w:left="1080" w:hanging="720"/>
      </w:pPr>
      <w:rPr>
        <w:rFonts w:ascii="Cambria" w:eastAsiaTheme="minorHAnsi" w:hAnsi="Cambria" w:cstheme="minorBidi" w:hint="default"/>
      </w:rPr>
    </w:lvl>
    <w:lvl w:ilvl="1" w:tplc="0680A798" w:tentative="1">
      <w:start w:val="1"/>
      <w:numFmt w:val="bullet"/>
      <w:lvlText w:val="o"/>
      <w:lvlJc w:val="left"/>
      <w:pPr>
        <w:ind w:left="1440" w:hanging="360"/>
      </w:pPr>
      <w:rPr>
        <w:rFonts w:ascii="Courier New" w:hAnsi="Courier New" w:cs="Courier New" w:hint="default"/>
      </w:rPr>
    </w:lvl>
    <w:lvl w:ilvl="2" w:tplc="EF6C8FB4" w:tentative="1">
      <w:start w:val="1"/>
      <w:numFmt w:val="bullet"/>
      <w:lvlText w:val=""/>
      <w:lvlJc w:val="left"/>
      <w:pPr>
        <w:ind w:left="2160" w:hanging="360"/>
      </w:pPr>
      <w:rPr>
        <w:rFonts w:ascii="Wingdings" w:hAnsi="Wingdings" w:hint="default"/>
      </w:rPr>
    </w:lvl>
    <w:lvl w:ilvl="3" w:tplc="92069D12" w:tentative="1">
      <w:start w:val="1"/>
      <w:numFmt w:val="bullet"/>
      <w:lvlText w:val=""/>
      <w:lvlJc w:val="left"/>
      <w:pPr>
        <w:ind w:left="2880" w:hanging="360"/>
      </w:pPr>
      <w:rPr>
        <w:rFonts w:ascii="Symbol" w:hAnsi="Symbol" w:hint="default"/>
      </w:rPr>
    </w:lvl>
    <w:lvl w:ilvl="4" w:tplc="5B9E3354" w:tentative="1">
      <w:start w:val="1"/>
      <w:numFmt w:val="bullet"/>
      <w:lvlText w:val="o"/>
      <w:lvlJc w:val="left"/>
      <w:pPr>
        <w:ind w:left="3600" w:hanging="360"/>
      </w:pPr>
      <w:rPr>
        <w:rFonts w:ascii="Courier New" w:hAnsi="Courier New" w:cs="Courier New" w:hint="default"/>
      </w:rPr>
    </w:lvl>
    <w:lvl w:ilvl="5" w:tplc="7C20356C" w:tentative="1">
      <w:start w:val="1"/>
      <w:numFmt w:val="bullet"/>
      <w:lvlText w:val=""/>
      <w:lvlJc w:val="left"/>
      <w:pPr>
        <w:ind w:left="4320" w:hanging="360"/>
      </w:pPr>
      <w:rPr>
        <w:rFonts w:ascii="Wingdings" w:hAnsi="Wingdings" w:hint="default"/>
      </w:rPr>
    </w:lvl>
    <w:lvl w:ilvl="6" w:tplc="DAD008AA" w:tentative="1">
      <w:start w:val="1"/>
      <w:numFmt w:val="bullet"/>
      <w:lvlText w:val=""/>
      <w:lvlJc w:val="left"/>
      <w:pPr>
        <w:ind w:left="5040" w:hanging="360"/>
      </w:pPr>
      <w:rPr>
        <w:rFonts w:ascii="Symbol" w:hAnsi="Symbol" w:hint="default"/>
      </w:rPr>
    </w:lvl>
    <w:lvl w:ilvl="7" w:tplc="BBF062F0" w:tentative="1">
      <w:start w:val="1"/>
      <w:numFmt w:val="bullet"/>
      <w:lvlText w:val="o"/>
      <w:lvlJc w:val="left"/>
      <w:pPr>
        <w:ind w:left="5760" w:hanging="360"/>
      </w:pPr>
      <w:rPr>
        <w:rFonts w:ascii="Courier New" w:hAnsi="Courier New" w:cs="Courier New" w:hint="default"/>
      </w:rPr>
    </w:lvl>
    <w:lvl w:ilvl="8" w:tplc="0A96564C" w:tentative="1">
      <w:start w:val="1"/>
      <w:numFmt w:val="bullet"/>
      <w:lvlText w:val=""/>
      <w:lvlJc w:val="left"/>
      <w:pPr>
        <w:ind w:left="6480" w:hanging="360"/>
      </w:pPr>
      <w:rPr>
        <w:rFonts w:ascii="Wingdings" w:hAnsi="Wingdings" w:hint="default"/>
      </w:rPr>
    </w:lvl>
  </w:abstractNum>
  <w:abstractNum w:abstractNumId="25" w15:restartNumberingAfterBreak="0">
    <w:nsid w:val="496159DC"/>
    <w:multiLevelType w:val="multilevel"/>
    <w:tmpl w:val="BE78A4F8"/>
    <w:numStyleLink w:val="Numberlist"/>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8"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1"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8C10A1"/>
    <w:multiLevelType w:val="multilevel"/>
    <w:tmpl w:val="BE78A4F8"/>
    <w:numStyleLink w:val="Numberlist"/>
  </w:abstractNum>
  <w:abstractNum w:abstractNumId="33" w15:restartNumberingAfterBreak="0">
    <w:nsid w:val="733934B7"/>
    <w:multiLevelType w:val="multilevel"/>
    <w:tmpl w:val="A0241B28"/>
    <w:numStyleLink w:val="List1"/>
  </w:abstractNum>
  <w:abstractNum w:abstractNumId="34" w15:restartNumberingAfterBreak="0">
    <w:nsid w:val="745376BC"/>
    <w:multiLevelType w:val="hybridMultilevel"/>
    <w:tmpl w:val="2A707208"/>
    <w:lvl w:ilvl="0" w:tplc="D4A0B436">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854AAC"/>
    <w:multiLevelType w:val="multilevel"/>
    <w:tmpl w:val="1750A43A"/>
    <w:lvl w:ilvl="0">
      <w:start w:val="1"/>
      <w:numFmt w:val="decimal"/>
      <w:pStyle w:val="Paragraphnumbering"/>
      <w:lvlText w:val="%1."/>
      <w:lvlJc w:val="left"/>
      <w:pPr>
        <w:tabs>
          <w:tab w:val="num" w:pos="567"/>
        </w:tabs>
        <w:ind w:left="567" w:hanging="567"/>
      </w:pPr>
      <w:rPr>
        <w:rFonts w:cs="Times New Roman" w:hint="default"/>
        <w:b w:val="0"/>
        <w:sz w:val="23"/>
        <w:szCs w:val="23"/>
      </w:rPr>
    </w:lvl>
    <w:lvl w:ilvl="1">
      <w:start w:val="1"/>
      <w:numFmt w:val="lowerLetter"/>
      <w:lvlText w:val="%2."/>
      <w:lvlJc w:val="left"/>
      <w:pPr>
        <w:tabs>
          <w:tab w:val="num" w:pos="924"/>
        </w:tabs>
        <w:ind w:left="924" w:hanging="357"/>
      </w:pPr>
      <w:rPr>
        <w:rFonts w:cs="Times New Roman" w:hint="default"/>
      </w:rPr>
    </w:lvl>
    <w:lvl w:ilvl="2">
      <w:start w:val="1"/>
      <w:numFmt w:val="lowerRoman"/>
      <w:lvlText w:val="%3."/>
      <w:lvlJc w:val="left"/>
      <w:pPr>
        <w:tabs>
          <w:tab w:val="num" w:pos="1281"/>
        </w:tabs>
        <w:ind w:left="1281" w:hanging="357"/>
      </w:pPr>
      <w:rPr>
        <w:rFonts w:cs="Times New Roman" w:hint="default"/>
      </w:rPr>
    </w:lvl>
    <w:lvl w:ilvl="3">
      <w:start w:val="1"/>
      <w:numFmt w:val="decimal"/>
      <w:lvlText w:val="(%4)"/>
      <w:lvlJc w:val="left"/>
      <w:pPr>
        <w:tabs>
          <w:tab w:val="num" w:pos="1639"/>
        </w:tabs>
        <w:ind w:left="1639" w:hanging="3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BE00D48"/>
    <w:multiLevelType w:val="hybridMultilevel"/>
    <w:tmpl w:val="DF52D0E2"/>
    <w:lvl w:ilvl="0" w:tplc="F566CB3E">
      <w:start w:val="1"/>
      <w:numFmt w:val="bullet"/>
      <w:pStyle w:val="dots"/>
      <w:lvlText w:val=""/>
      <w:lvlJc w:val="left"/>
      <w:pPr>
        <w:ind w:left="360" w:hanging="360"/>
      </w:pPr>
      <w:rPr>
        <w:rFonts w:ascii="Symbol" w:hAnsi="Symbol" w:hint="default"/>
      </w:rPr>
    </w:lvl>
    <w:lvl w:ilvl="1" w:tplc="BDBA2DEE">
      <w:start w:val="1"/>
      <w:numFmt w:val="bullet"/>
      <w:pStyle w:val="subdots"/>
      <w:lvlText w:val="o"/>
      <w:lvlJc w:val="left"/>
      <w:pPr>
        <w:ind w:left="1080" w:hanging="360"/>
      </w:pPr>
      <w:rPr>
        <w:rFonts w:ascii="Courier New" w:hAnsi="Courier New" w:cs="Courier New" w:hint="default"/>
      </w:rPr>
    </w:lvl>
    <w:lvl w:ilvl="2" w:tplc="65421FE4">
      <w:start w:val="1"/>
      <w:numFmt w:val="bullet"/>
      <w:lvlText w:val=""/>
      <w:lvlJc w:val="left"/>
      <w:pPr>
        <w:ind w:left="1800" w:hanging="360"/>
      </w:pPr>
      <w:rPr>
        <w:rFonts w:ascii="Wingdings" w:hAnsi="Wingdings" w:hint="default"/>
      </w:rPr>
    </w:lvl>
    <w:lvl w:ilvl="3" w:tplc="DAA20380" w:tentative="1">
      <w:start w:val="1"/>
      <w:numFmt w:val="bullet"/>
      <w:lvlText w:val=""/>
      <w:lvlJc w:val="left"/>
      <w:pPr>
        <w:ind w:left="2520" w:hanging="360"/>
      </w:pPr>
      <w:rPr>
        <w:rFonts w:ascii="Symbol" w:hAnsi="Symbol" w:hint="default"/>
      </w:rPr>
    </w:lvl>
    <w:lvl w:ilvl="4" w:tplc="A5286570" w:tentative="1">
      <w:start w:val="1"/>
      <w:numFmt w:val="bullet"/>
      <w:lvlText w:val="o"/>
      <w:lvlJc w:val="left"/>
      <w:pPr>
        <w:ind w:left="3240" w:hanging="360"/>
      </w:pPr>
      <w:rPr>
        <w:rFonts w:ascii="Courier New" w:hAnsi="Courier New" w:cs="Courier New" w:hint="default"/>
      </w:rPr>
    </w:lvl>
    <w:lvl w:ilvl="5" w:tplc="DE76DD5C" w:tentative="1">
      <w:start w:val="1"/>
      <w:numFmt w:val="bullet"/>
      <w:lvlText w:val=""/>
      <w:lvlJc w:val="left"/>
      <w:pPr>
        <w:ind w:left="3960" w:hanging="360"/>
      </w:pPr>
      <w:rPr>
        <w:rFonts w:ascii="Wingdings" w:hAnsi="Wingdings" w:hint="default"/>
      </w:rPr>
    </w:lvl>
    <w:lvl w:ilvl="6" w:tplc="982E9D94" w:tentative="1">
      <w:start w:val="1"/>
      <w:numFmt w:val="bullet"/>
      <w:lvlText w:val=""/>
      <w:lvlJc w:val="left"/>
      <w:pPr>
        <w:ind w:left="4680" w:hanging="360"/>
      </w:pPr>
      <w:rPr>
        <w:rFonts w:ascii="Symbol" w:hAnsi="Symbol" w:hint="default"/>
      </w:rPr>
    </w:lvl>
    <w:lvl w:ilvl="7" w:tplc="A142EFFE" w:tentative="1">
      <w:start w:val="1"/>
      <w:numFmt w:val="bullet"/>
      <w:lvlText w:val="o"/>
      <w:lvlJc w:val="left"/>
      <w:pPr>
        <w:ind w:left="5400" w:hanging="360"/>
      </w:pPr>
      <w:rPr>
        <w:rFonts w:ascii="Courier New" w:hAnsi="Courier New" w:cs="Courier New" w:hint="default"/>
      </w:rPr>
    </w:lvl>
    <w:lvl w:ilvl="8" w:tplc="766EED68" w:tentative="1">
      <w:start w:val="1"/>
      <w:numFmt w:val="bullet"/>
      <w:lvlText w:val=""/>
      <w:lvlJc w:val="left"/>
      <w:pPr>
        <w:ind w:left="6120" w:hanging="360"/>
      </w:pPr>
      <w:rPr>
        <w:rFonts w:ascii="Wingdings" w:hAnsi="Wingdings" w:hint="default"/>
      </w:rPr>
    </w:lvl>
  </w:abstractNum>
  <w:abstractNum w:abstractNumId="37" w15:restartNumberingAfterBreak="0">
    <w:nsid w:val="7D7B2F65"/>
    <w:multiLevelType w:val="hybridMultilevel"/>
    <w:tmpl w:val="DA10362C"/>
    <w:lvl w:ilvl="0" w:tplc="4426BCEE">
      <w:start w:val="1"/>
      <w:numFmt w:val="bullet"/>
      <w:lvlText w:val=""/>
      <w:lvlJc w:val="left"/>
      <w:pPr>
        <w:ind w:left="360" w:hanging="360"/>
      </w:pPr>
      <w:rPr>
        <w:rFonts w:ascii="Symbol" w:hAnsi="Symbol" w:hint="default"/>
      </w:rPr>
    </w:lvl>
    <w:lvl w:ilvl="1" w:tplc="726CF662" w:tentative="1">
      <w:start w:val="1"/>
      <w:numFmt w:val="bullet"/>
      <w:lvlText w:val="o"/>
      <w:lvlJc w:val="left"/>
      <w:pPr>
        <w:ind w:left="1080" w:hanging="360"/>
      </w:pPr>
      <w:rPr>
        <w:rFonts w:ascii="Courier New" w:hAnsi="Courier New" w:cs="Courier New" w:hint="default"/>
      </w:rPr>
    </w:lvl>
    <w:lvl w:ilvl="2" w:tplc="CAAA6294" w:tentative="1">
      <w:start w:val="1"/>
      <w:numFmt w:val="bullet"/>
      <w:lvlText w:val=""/>
      <w:lvlJc w:val="left"/>
      <w:pPr>
        <w:ind w:left="1800" w:hanging="360"/>
      </w:pPr>
      <w:rPr>
        <w:rFonts w:ascii="Wingdings" w:hAnsi="Wingdings" w:hint="default"/>
      </w:rPr>
    </w:lvl>
    <w:lvl w:ilvl="3" w:tplc="3F587B6A" w:tentative="1">
      <w:start w:val="1"/>
      <w:numFmt w:val="bullet"/>
      <w:lvlText w:val=""/>
      <w:lvlJc w:val="left"/>
      <w:pPr>
        <w:ind w:left="2520" w:hanging="360"/>
      </w:pPr>
      <w:rPr>
        <w:rFonts w:ascii="Symbol" w:hAnsi="Symbol" w:hint="default"/>
      </w:rPr>
    </w:lvl>
    <w:lvl w:ilvl="4" w:tplc="1748954E" w:tentative="1">
      <w:start w:val="1"/>
      <w:numFmt w:val="bullet"/>
      <w:lvlText w:val="o"/>
      <w:lvlJc w:val="left"/>
      <w:pPr>
        <w:ind w:left="3240" w:hanging="360"/>
      </w:pPr>
      <w:rPr>
        <w:rFonts w:ascii="Courier New" w:hAnsi="Courier New" w:cs="Courier New" w:hint="default"/>
      </w:rPr>
    </w:lvl>
    <w:lvl w:ilvl="5" w:tplc="791CA31E" w:tentative="1">
      <w:start w:val="1"/>
      <w:numFmt w:val="bullet"/>
      <w:lvlText w:val=""/>
      <w:lvlJc w:val="left"/>
      <w:pPr>
        <w:ind w:left="3960" w:hanging="360"/>
      </w:pPr>
      <w:rPr>
        <w:rFonts w:ascii="Wingdings" w:hAnsi="Wingdings" w:hint="default"/>
      </w:rPr>
    </w:lvl>
    <w:lvl w:ilvl="6" w:tplc="5A12C01E" w:tentative="1">
      <w:start w:val="1"/>
      <w:numFmt w:val="bullet"/>
      <w:lvlText w:val=""/>
      <w:lvlJc w:val="left"/>
      <w:pPr>
        <w:ind w:left="4680" w:hanging="360"/>
      </w:pPr>
      <w:rPr>
        <w:rFonts w:ascii="Symbol" w:hAnsi="Symbol" w:hint="default"/>
      </w:rPr>
    </w:lvl>
    <w:lvl w:ilvl="7" w:tplc="EF7C2502" w:tentative="1">
      <w:start w:val="1"/>
      <w:numFmt w:val="bullet"/>
      <w:lvlText w:val="o"/>
      <w:lvlJc w:val="left"/>
      <w:pPr>
        <w:ind w:left="5400" w:hanging="360"/>
      </w:pPr>
      <w:rPr>
        <w:rFonts w:ascii="Courier New" w:hAnsi="Courier New" w:cs="Courier New" w:hint="default"/>
      </w:rPr>
    </w:lvl>
    <w:lvl w:ilvl="8" w:tplc="1DFCBEC2" w:tentative="1">
      <w:start w:val="1"/>
      <w:numFmt w:val="bullet"/>
      <w:lvlText w:val=""/>
      <w:lvlJc w:val="left"/>
      <w:pPr>
        <w:ind w:left="6120" w:hanging="360"/>
      </w:pPr>
      <w:rPr>
        <w:rFonts w:ascii="Wingdings" w:hAnsi="Wingdings" w:hint="default"/>
      </w:rPr>
    </w:lvl>
  </w:abstractNum>
  <w:num w:numId="1">
    <w:abstractNumId w:val="6"/>
  </w:num>
  <w:num w:numId="2">
    <w:abstractNumId w:val="22"/>
  </w:num>
  <w:num w:numId="3">
    <w:abstractNumId w:val="23"/>
  </w:num>
  <w:num w:numId="4">
    <w:abstractNumId w:val="10"/>
  </w:num>
  <w:num w:numId="5">
    <w:abstractNumId w:val="29"/>
  </w:num>
  <w:num w:numId="6">
    <w:abstractNumId w:val="30"/>
  </w:num>
  <w:num w:numId="7">
    <w:abstractNumId w:val="7"/>
  </w:num>
  <w:num w:numId="8">
    <w:abstractNumId w:val="15"/>
  </w:num>
  <w:num w:numId="9">
    <w:abstractNumId w:val="20"/>
  </w:num>
  <w:num w:numId="10">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2"/>
  </w:num>
  <w:num w:numId="16">
    <w:abstractNumId w:val="2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
  </w:num>
  <w:num w:numId="20">
    <w:abstractNumId w:val="0"/>
  </w:num>
  <w:num w:numId="21">
    <w:abstractNumId w:val="17"/>
  </w:num>
  <w:num w:numId="22">
    <w:abstractNumId w:val="25"/>
  </w:num>
  <w:num w:numId="23">
    <w:abstractNumId w:val="32"/>
  </w:num>
  <w:num w:numId="24">
    <w:abstractNumId w:val="14"/>
  </w:num>
  <w:num w:numId="25">
    <w:abstractNumId w:val="21"/>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6"/>
  </w:num>
  <w:num w:numId="29">
    <w:abstractNumId w:val="28"/>
  </w:num>
  <w:num w:numId="30">
    <w:abstractNumId w:val="9"/>
  </w:num>
  <w:num w:numId="31">
    <w:abstractNumId w:val="16"/>
  </w:num>
  <w:num w:numId="32">
    <w:abstractNumId w:val="24"/>
  </w:num>
  <w:num w:numId="33">
    <w:abstractNumId w:val="13"/>
  </w:num>
  <w:num w:numId="34">
    <w:abstractNumId w:val="19"/>
  </w:num>
  <w:num w:numId="35">
    <w:abstractNumId w:val="11"/>
  </w:num>
  <w:num w:numId="36">
    <w:abstractNumId w:val="37"/>
  </w:num>
  <w:num w:numId="37">
    <w:abstractNumId w:val="18"/>
  </w:num>
  <w:num w:numId="38">
    <w:abstractNumId w:val="36"/>
  </w:num>
  <w:num w:numId="39">
    <w:abstractNumId w:val="34"/>
  </w:num>
  <w:num w:numId="40">
    <w:abstractNumId w:val="35"/>
  </w:num>
  <w:num w:numId="41">
    <w:abstractNumId w:val="8"/>
  </w:num>
  <w:num w:numId="42">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42F"/>
    <w:rsid w:val="00022E4B"/>
    <w:rsid w:val="000361C2"/>
    <w:rsid w:val="00047F47"/>
    <w:rsid w:val="0005581A"/>
    <w:rsid w:val="00067838"/>
    <w:rsid w:val="00096135"/>
    <w:rsid w:val="000B624C"/>
    <w:rsid w:val="000B714A"/>
    <w:rsid w:val="000D54FB"/>
    <w:rsid w:val="000F1153"/>
    <w:rsid w:val="00101426"/>
    <w:rsid w:val="00105064"/>
    <w:rsid w:val="00105F10"/>
    <w:rsid w:val="00127F9D"/>
    <w:rsid w:val="00134432"/>
    <w:rsid w:val="001431DF"/>
    <w:rsid w:val="001631E1"/>
    <w:rsid w:val="00165855"/>
    <w:rsid w:val="0019352E"/>
    <w:rsid w:val="00194881"/>
    <w:rsid w:val="001B756C"/>
    <w:rsid w:val="001D74E4"/>
    <w:rsid w:val="001E3584"/>
    <w:rsid w:val="001E4358"/>
    <w:rsid w:val="002044C9"/>
    <w:rsid w:val="00222137"/>
    <w:rsid w:val="002259AC"/>
    <w:rsid w:val="00244160"/>
    <w:rsid w:val="00252FDD"/>
    <w:rsid w:val="00261002"/>
    <w:rsid w:val="00282215"/>
    <w:rsid w:val="00284D14"/>
    <w:rsid w:val="00286307"/>
    <w:rsid w:val="00286E91"/>
    <w:rsid w:val="0029031F"/>
    <w:rsid w:val="002B15B0"/>
    <w:rsid w:val="002B7EAA"/>
    <w:rsid w:val="002C4428"/>
    <w:rsid w:val="002D061A"/>
    <w:rsid w:val="002D3308"/>
    <w:rsid w:val="002E0DBE"/>
    <w:rsid w:val="00303D43"/>
    <w:rsid w:val="003647E2"/>
    <w:rsid w:val="00387631"/>
    <w:rsid w:val="003B51CE"/>
    <w:rsid w:val="004150EF"/>
    <w:rsid w:val="00431A30"/>
    <w:rsid w:val="00474D3C"/>
    <w:rsid w:val="004B1D54"/>
    <w:rsid w:val="004C6640"/>
    <w:rsid w:val="004F4A4C"/>
    <w:rsid w:val="005043EB"/>
    <w:rsid w:val="005074DB"/>
    <w:rsid w:val="0052258E"/>
    <w:rsid w:val="00534EA7"/>
    <w:rsid w:val="00567C49"/>
    <w:rsid w:val="0058002B"/>
    <w:rsid w:val="00585AE2"/>
    <w:rsid w:val="005A50F0"/>
    <w:rsid w:val="005A61D7"/>
    <w:rsid w:val="005D10D9"/>
    <w:rsid w:val="005D1E55"/>
    <w:rsid w:val="00612F6E"/>
    <w:rsid w:val="00654880"/>
    <w:rsid w:val="006822C9"/>
    <w:rsid w:val="00687FDC"/>
    <w:rsid w:val="006C5145"/>
    <w:rsid w:val="006D2F28"/>
    <w:rsid w:val="00700BCA"/>
    <w:rsid w:val="00726506"/>
    <w:rsid w:val="00727151"/>
    <w:rsid w:val="0073363D"/>
    <w:rsid w:val="00755FBB"/>
    <w:rsid w:val="00762B4C"/>
    <w:rsid w:val="00764D6A"/>
    <w:rsid w:val="00765F59"/>
    <w:rsid w:val="00773056"/>
    <w:rsid w:val="00775995"/>
    <w:rsid w:val="007972EE"/>
    <w:rsid w:val="007C1F35"/>
    <w:rsid w:val="007C6DCE"/>
    <w:rsid w:val="008015DC"/>
    <w:rsid w:val="00830CA7"/>
    <w:rsid w:val="008369FE"/>
    <w:rsid w:val="00854E4A"/>
    <w:rsid w:val="00855EE2"/>
    <w:rsid w:val="0086198C"/>
    <w:rsid w:val="00861EDE"/>
    <w:rsid w:val="00875B9B"/>
    <w:rsid w:val="0087695D"/>
    <w:rsid w:val="00896713"/>
    <w:rsid w:val="008C46E8"/>
    <w:rsid w:val="008C730F"/>
    <w:rsid w:val="009022CF"/>
    <w:rsid w:val="00942ECD"/>
    <w:rsid w:val="00972D8A"/>
    <w:rsid w:val="00981715"/>
    <w:rsid w:val="009A1184"/>
    <w:rsid w:val="009A7105"/>
    <w:rsid w:val="009E087F"/>
    <w:rsid w:val="00A161E8"/>
    <w:rsid w:val="00A166FF"/>
    <w:rsid w:val="00A17267"/>
    <w:rsid w:val="00A324F8"/>
    <w:rsid w:val="00AA045E"/>
    <w:rsid w:val="00AA7366"/>
    <w:rsid w:val="00AB7B4D"/>
    <w:rsid w:val="00AF2766"/>
    <w:rsid w:val="00B021E2"/>
    <w:rsid w:val="00B023DD"/>
    <w:rsid w:val="00B0486D"/>
    <w:rsid w:val="00B050BB"/>
    <w:rsid w:val="00B460C2"/>
    <w:rsid w:val="00B51828"/>
    <w:rsid w:val="00B5740E"/>
    <w:rsid w:val="00B71965"/>
    <w:rsid w:val="00B8242F"/>
    <w:rsid w:val="00B91C8C"/>
    <w:rsid w:val="00B97432"/>
    <w:rsid w:val="00B97E61"/>
    <w:rsid w:val="00BA36BD"/>
    <w:rsid w:val="00BB0960"/>
    <w:rsid w:val="00BC4B6F"/>
    <w:rsid w:val="00BD7E65"/>
    <w:rsid w:val="00BE444D"/>
    <w:rsid w:val="00C003C5"/>
    <w:rsid w:val="00C02519"/>
    <w:rsid w:val="00C2209F"/>
    <w:rsid w:val="00C43C4F"/>
    <w:rsid w:val="00C82FA4"/>
    <w:rsid w:val="00C85C62"/>
    <w:rsid w:val="00C9724E"/>
    <w:rsid w:val="00CB16BF"/>
    <w:rsid w:val="00CB4AF3"/>
    <w:rsid w:val="00CC0FC5"/>
    <w:rsid w:val="00CD2AE8"/>
    <w:rsid w:val="00CD58E8"/>
    <w:rsid w:val="00CF7515"/>
    <w:rsid w:val="00D0125D"/>
    <w:rsid w:val="00D10B02"/>
    <w:rsid w:val="00D271BA"/>
    <w:rsid w:val="00D70034"/>
    <w:rsid w:val="00D70AE4"/>
    <w:rsid w:val="00DA776D"/>
    <w:rsid w:val="00DD4719"/>
    <w:rsid w:val="00E20810"/>
    <w:rsid w:val="00E26DA2"/>
    <w:rsid w:val="00E435A1"/>
    <w:rsid w:val="00E555B2"/>
    <w:rsid w:val="00E81AE1"/>
    <w:rsid w:val="00E85A32"/>
    <w:rsid w:val="00E91D72"/>
    <w:rsid w:val="00EA194C"/>
    <w:rsid w:val="00EA4A22"/>
    <w:rsid w:val="00EA6C88"/>
    <w:rsid w:val="00EB6C6E"/>
    <w:rsid w:val="00EE08F0"/>
    <w:rsid w:val="00EE1710"/>
    <w:rsid w:val="00EF55CC"/>
    <w:rsid w:val="00F04729"/>
    <w:rsid w:val="00F05632"/>
    <w:rsid w:val="00F1682E"/>
    <w:rsid w:val="00F30A66"/>
    <w:rsid w:val="00F35395"/>
    <w:rsid w:val="00F4562A"/>
    <w:rsid w:val="00F47A12"/>
    <w:rsid w:val="00F934FC"/>
    <w:rsid w:val="00F97BB6"/>
    <w:rsid w:val="00FA27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E88D8F"/>
  <w15:docId w15:val="{6BDBF1E1-370F-47BA-919F-BCDC7506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ListParagraph">
    <w:name w:val="List Paragraph"/>
    <w:basedOn w:val="Normal"/>
    <w:link w:val="ListParagraphChar"/>
    <w:uiPriority w:val="34"/>
    <w:qFormat/>
    <w:rsid w:val="00C43C4F"/>
    <w:pPr>
      <w:ind w:left="720"/>
      <w:contextualSpacing/>
    </w:pPr>
  </w:style>
  <w:style w:type="character" w:customStyle="1" w:styleId="ListParagraphChar">
    <w:name w:val="List Paragraph Char"/>
    <w:basedOn w:val="DefaultParagraphFont"/>
    <w:link w:val="ListParagraph"/>
    <w:uiPriority w:val="34"/>
    <w:rsid w:val="00DD4719"/>
    <w:rPr>
      <w:rFonts w:eastAsiaTheme="minorHAnsi" w:cstheme="minorBidi"/>
      <w:sz w:val="22"/>
      <w:szCs w:val="22"/>
      <w:lang w:eastAsia="en-US"/>
    </w:rPr>
  </w:style>
  <w:style w:type="paragraph" w:customStyle="1" w:styleId="dots">
    <w:name w:val="dots"/>
    <w:basedOn w:val="ListParagraph"/>
    <w:qFormat/>
    <w:rsid w:val="00AA7366"/>
    <w:pPr>
      <w:numPr>
        <w:numId w:val="38"/>
      </w:numPr>
      <w:spacing w:after="120" w:line="240" w:lineRule="auto"/>
      <w:contextualSpacing w:val="0"/>
    </w:pPr>
    <w:rPr>
      <w:rFonts w:asciiTheme="minorHAnsi" w:hAnsiTheme="minorHAnsi" w:cstheme="minorHAnsi"/>
      <w:lang w:eastAsia="en-AU"/>
    </w:rPr>
  </w:style>
  <w:style w:type="paragraph" w:customStyle="1" w:styleId="subdots">
    <w:name w:val="sub dots"/>
    <w:basedOn w:val="ListParagraph"/>
    <w:qFormat/>
    <w:rsid w:val="00AA7366"/>
    <w:pPr>
      <w:numPr>
        <w:ilvl w:val="1"/>
        <w:numId w:val="38"/>
      </w:numPr>
      <w:spacing w:after="120" w:line="240" w:lineRule="auto"/>
      <w:contextualSpacing w:val="0"/>
    </w:pPr>
    <w:rPr>
      <w:rFonts w:asciiTheme="minorHAnsi" w:hAnsiTheme="minorHAnsi" w:cstheme="minorHAnsi"/>
      <w:lang w:eastAsia="en-AU"/>
    </w:rPr>
  </w:style>
  <w:style w:type="paragraph" w:customStyle="1" w:styleId="Default">
    <w:name w:val="Default"/>
    <w:rsid w:val="00B91C8C"/>
    <w:pPr>
      <w:autoSpaceDE w:val="0"/>
      <w:autoSpaceDN w:val="0"/>
      <w:adjustRightInd w:val="0"/>
    </w:pPr>
    <w:rPr>
      <w:rFonts w:ascii="MiloPro-Light" w:hAnsi="MiloPro-Light" w:cs="MiloPro-Light"/>
      <w:color w:val="000000"/>
      <w:sz w:val="24"/>
      <w:szCs w:val="24"/>
    </w:rPr>
  </w:style>
  <w:style w:type="paragraph" w:customStyle="1" w:styleId="Pa7">
    <w:name w:val="Pa7"/>
    <w:basedOn w:val="Default"/>
    <w:next w:val="Default"/>
    <w:uiPriority w:val="99"/>
    <w:rsid w:val="00B91C8C"/>
    <w:pPr>
      <w:spacing w:line="181" w:lineRule="atLeast"/>
    </w:pPr>
    <w:rPr>
      <w:rFonts w:cs="Times New Roman"/>
      <w:color w:val="auto"/>
    </w:rPr>
  </w:style>
  <w:style w:type="paragraph" w:customStyle="1" w:styleId="Paragraphnumbering">
    <w:name w:val="Paragraph numbering"/>
    <w:basedOn w:val="Normal"/>
    <w:link w:val="ParagraphnumberingChar"/>
    <w:qFormat/>
    <w:rsid w:val="00612F6E"/>
    <w:pPr>
      <w:numPr>
        <w:numId w:val="40"/>
      </w:numPr>
      <w:spacing w:after="240" w:line="260" w:lineRule="exact"/>
      <w:jc w:val="both"/>
    </w:pPr>
    <w:rPr>
      <w:rFonts w:ascii="Corbel" w:eastAsia="Times New Roman" w:hAnsi="Corbel" w:cs="Times New Roman"/>
      <w:color w:val="000000"/>
      <w:sz w:val="23"/>
      <w:szCs w:val="20"/>
      <w:lang w:eastAsia="en-AU"/>
    </w:rPr>
  </w:style>
  <w:style w:type="character" w:customStyle="1" w:styleId="ParagraphnumberingChar">
    <w:name w:val="Paragraph numbering Char"/>
    <w:basedOn w:val="DefaultParagraphFont"/>
    <w:link w:val="Paragraphnumbering"/>
    <w:rsid w:val="00612F6E"/>
    <w:rPr>
      <w:rFonts w:ascii="Corbel" w:eastAsia="Times New Roman" w:hAnsi="Corbel"/>
      <w:color w:val="000000"/>
      <w:sz w:val="23"/>
    </w:rPr>
  </w:style>
  <w:style w:type="character" w:styleId="UnresolvedMention">
    <w:name w:val="Unresolved Mention"/>
    <w:basedOn w:val="DefaultParagraphFont"/>
    <w:uiPriority w:val="99"/>
    <w:rsid w:val="002C4428"/>
    <w:rPr>
      <w:color w:val="605E5C"/>
      <w:shd w:val="clear" w:color="auto" w:fill="E1DFDD"/>
    </w:rPr>
  </w:style>
  <w:style w:type="paragraph" w:styleId="Revision">
    <w:name w:val="Revision"/>
    <w:hidden/>
    <w:uiPriority w:val="99"/>
    <w:semiHidden/>
    <w:rsid w:val="00252FDD"/>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mdba.gov.au/publications/independent-reports/sustainable-diversion-limit-adjustment-mechanism-progra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mdba.gov.au/publications/governance/basin-officials-committee-decisions-activities" TargetMode="External"/><Relationship Id="rId2" Type="http://schemas.openxmlformats.org/officeDocument/2006/relationships/customXml" Target="../customXml/item2.xml"/><Relationship Id="rId16" Type="http://schemas.openxmlformats.org/officeDocument/2006/relationships/hyperlink" Target="https://mdbwip.bom.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haveyoursay.awe.gov.au/off-farm-efficiency-grants-program" TargetMode="External"/><Relationship Id="rId10" Type="http://schemas.openxmlformats.org/officeDocument/2006/relationships/endnotes" Target="endnotes.xml"/><Relationship Id="rId19" Type="http://schemas.openxmlformats.org/officeDocument/2006/relationships/hyperlink" Target="https://mdbwip.bom.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9DDC29A04CD1F43926BDDA96B08B959" ma:contentTypeVersion="" ma:contentTypeDescription="PDMS Document Site Content Type" ma:contentTypeScope="" ma:versionID="e072d118e20ff7f6cf90d4feac8f55ea">
  <xsd:schema xmlns:xsd="http://www.w3.org/2001/XMLSchema" xmlns:xs="http://www.w3.org/2001/XMLSchema" xmlns:p="http://schemas.microsoft.com/office/2006/metadata/properties" xmlns:ns2="B049B726-D331-4B83-BA2D-33DCD58C9CD1" targetNamespace="http://schemas.microsoft.com/office/2006/metadata/properties" ma:root="true" ma:fieldsID="eb8488a5c5850f56b1ec674014f36b11" ns2:_="">
    <xsd:import namespace="B049B726-D331-4B83-BA2D-33DCD58C9CD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9B726-D331-4B83-BA2D-33DCD58C9CD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B049B726-D331-4B83-BA2D-33DCD58C9C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4849A-FC5F-4E3A-97A6-FC786B684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9B726-D331-4B83-BA2D-33DCD58C9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5894B-61AF-42DA-87C8-E0BAD0C9BE30}">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B049B726-D331-4B83-BA2D-33DCD58C9CD1"/>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2944</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Murray–Darling Communities Investment Package - Second report into implementation August 2021</vt:lpstr>
    </vt:vector>
  </TitlesOfParts>
  <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Communities Investment Package - Second report into implementation August 2021</dc:title>
  <dc:subject/>
  <dc:creator>Department of Agriculture, Water and the Environment</dc:creator>
  <cp:keywords/>
  <dc:description/>
  <cp:lastModifiedBy>Dodd, Rebecca</cp:lastModifiedBy>
  <cp:revision>3</cp:revision>
  <cp:lastPrinted>1899-12-31T13:00:00Z</cp:lastPrinted>
  <dcterms:created xsi:type="dcterms:W3CDTF">2021-09-13T05:55:00Z</dcterms:created>
  <dcterms:modified xsi:type="dcterms:W3CDTF">2021-09-17T04:02:00Z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0x010100266966F133664895A6EE3632470D45F50029DDC29A04CD1F43926BDDA96B08B959</vt:lpwstr>
  </property>
</Properties>
</file>