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932E6" w:rsidRPr="00873432" w:rsidP="00F932E6" w14:paraId="30FC80B8" w14:textId="77777777">
      <w:pPr>
        <w:pStyle w:val="Heading1"/>
        <w:rPr>
          <w:lang w:val="en-US"/>
        </w:rPr>
      </w:pPr>
      <w:bookmarkStart w:id="0" w:name="_Hlk64362288"/>
      <w:bookmarkEnd w:id="0"/>
      <w:r>
        <w:rPr>
          <w:lang w:val="en-US"/>
        </w:rPr>
        <w:t xml:space="preserve">Murray–Darling </w:t>
      </w:r>
      <w:r w:rsidR="00A27C03">
        <w:rPr>
          <w:lang w:val="en-US"/>
        </w:rPr>
        <w:t>Communities Investment Package</w:t>
      </w:r>
    </w:p>
    <w:p w:rsidR="00F932E6" w:rsidP="00F932E6" w14:paraId="61E2F2D3" w14:textId="77777777">
      <w:pPr>
        <w:pStyle w:val="Picture"/>
        <w:spacing w:before="600"/>
      </w:pPr>
      <w:r>
        <w:drawing>
          <wp:inline distT="0" distB="0" distL="0" distR="0">
            <wp:extent cx="5759450" cy="5759450"/>
            <wp:effectExtent l="0" t="0" r="0" b="0"/>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8349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9450" cy="5759450"/>
                    </a:xfrm>
                    <a:prstGeom prst="rect">
                      <a:avLst/>
                    </a:prstGeom>
                    <a:noFill/>
                    <a:ln>
                      <a:noFill/>
                    </a:ln>
                  </pic:spPr>
                </pic:pic>
              </a:graphicData>
            </a:graphic>
          </wp:inline>
        </w:drawing>
      </w:r>
    </w:p>
    <w:p w:rsidR="00F932E6" w:rsidP="00F932E6" w14:paraId="5A8A7CA4" w14:textId="77777777">
      <w:pPr>
        <w:pStyle w:val="Normalsmall"/>
      </w:pPr>
      <w:r>
        <w:br w:type="page"/>
      </w:r>
      <w:r>
        <w:t>© Commonwealth of Australia 2020</w:t>
      </w:r>
    </w:p>
    <w:p w:rsidR="00F932E6" w:rsidP="00F932E6" w14:paraId="0DDC8050" w14:textId="77777777">
      <w:pPr>
        <w:pStyle w:val="Normalsmall"/>
        <w:rPr>
          <w:rStyle w:val="Strong"/>
        </w:rPr>
      </w:pPr>
      <w:r>
        <w:rPr>
          <w:rStyle w:val="Strong"/>
        </w:rPr>
        <w:t>Ownership of intellectual property rights</w:t>
      </w:r>
    </w:p>
    <w:p w:rsidR="00F932E6" w:rsidP="00F932E6" w14:paraId="5F3343A5" w14:textId="77777777">
      <w:pPr>
        <w:pStyle w:val="Normalsmall"/>
      </w:pPr>
      <w:r>
        <w:t>Unless otherwise noted, copyright (and any other intellectual property rights) in this publication is owned by the Commonwealth of Australia (referred to as the Commonwealth).</w:t>
      </w:r>
    </w:p>
    <w:p w:rsidR="00F932E6" w:rsidP="00F932E6" w14:paraId="4CB6EED3" w14:textId="77777777">
      <w:pPr>
        <w:pStyle w:val="Normalsmall"/>
        <w:rPr>
          <w:rStyle w:val="Strong"/>
        </w:rPr>
      </w:pPr>
      <w:r>
        <w:rPr>
          <w:rStyle w:val="Strong"/>
        </w:rPr>
        <w:t>Creative Commons licence</w:t>
      </w:r>
    </w:p>
    <w:p w:rsidR="00F932E6" w:rsidP="00F932E6" w14:paraId="20F50559" w14:textId="77777777">
      <w:pPr>
        <w:pStyle w:val="Normalsmall"/>
      </w:pPr>
      <w:r>
        <w:t>All material in this publication is licensed under a Creative Commons Attribution 4.0 International Licence except content supplied by third parties, logos and the Commonwealth Coat of Arms.</w:t>
      </w:r>
    </w:p>
    <w:p w:rsidR="00F932E6" w:rsidP="00F932E6" w14:paraId="72DAE200" w14:textId="77777777">
      <w:pPr>
        <w:pStyle w:val="Normalsmall"/>
      </w:pPr>
      <w:r>
        <w:t xml:space="preserve">Inquiries about the licence and any use of this document should be emailed to </w:t>
      </w:r>
      <w:r w:rsidRPr="00CD29E9">
        <w:t>copyright@awe.gov.au</w:t>
      </w:r>
      <w:r>
        <w:t>.</w:t>
      </w:r>
    </w:p>
    <w:p w:rsidR="00F932E6" w:rsidP="00F932E6" w14:paraId="521CFC74" w14:textId="77777777">
      <w:pPr>
        <w:pStyle w:val="Normalsmall"/>
      </w:pPr>
      <w:r>
        <w:rPr>
          <w:noProof/>
          <w:lang w:eastAsia="en-AU"/>
        </w:rPr>
        <w:drawing>
          <wp:inline distT="0" distB="0" distL="0" distR="0">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17264" name="Picture 1" descr="C:\Documents and Settings\west merryn\Local Settings\Temporary Internet Files\Content.Word\by.png"/>
                    <pic:cNvPicPr>
                      <a:picLocks noChangeAspect="1" noChangeArrowheads="1"/>
                    </pic:cNvPicPr>
                  </pic:nvPicPr>
                  <pic:blipFill>
                    <a:blip xmlns:r="http://schemas.openxmlformats.org/officeDocument/2006/relationships" r:embed="rId9"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F932E6" w:rsidP="00F932E6" w14:paraId="3D0DE20E" w14:textId="77777777">
      <w:pPr>
        <w:pStyle w:val="Normalsmall"/>
        <w:rPr>
          <w:rStyle w:val="Strong"/>
        </w:rPr>
      </w:pPr>
      <w:r>
        <w:rPr>
          <w:rStyle w:val="Strong"/>
        </w:rPr>
        <w:t>Cataloguing data</w:t>
      </w:r>
    </w:p>
    <w:p w:rsidR="00F932E6" w:rsidP="00F932E6" w14:paraId="58A60CD9" w14:textId="77777777">
      <w:pPr>
        <w:pStyle w:val="Normalsmall"/>
      </w:pPr>
      <w:r>
        <w:t>This publication (and any material sourced from it) should be attributed as: Department of Agriculture, Water and the Environment 2020,</w:t>
      </w:r>
      <w:r w:rsidRPr="00EF77CC">
        <w:rPr>
          <w:i/>
        </w:rPr>
        <w:t xml:space="preserve"> </w:t>
      </w:r>
      <w:r w:rsidR="00A27C03">
        <w:rPr>
          <w:i/>
        </w:rPr>
        <w:t>Murray-Darling Communities Investment Package</w:t>
      </w:r>
      <w:r w:rsidRPr="00EF77CC">
        <w:rPr>
          <w:i/>
        </w:rPr>
        <w:t>,</w:t>
      </w:r>
      <w:r>
        <w:t xml:space="preserve"> Department of Agriculture, Water and the Environment, Canberra, </w:t>
      </w:r>
      <w:r w:rsidR="00CA50B8">
        <w:t>September</w:t>
      </w:r>
      <w:r>
        <w:t>. CC BY 4.0.</w:t>
      </w:r>
    </w:p>
    <w:p w:rsidR="00F932E6" w:rsidRPr="00113A6A" w:rsidP="00F932E6" w14:paraId="7547D1E5" w14:textId="77777777">
      <w:pPr>
        <w:pStyle w:val="Normalsmall"/>
      </w:pPr>
      <w:r w:rsidRPr="00113A6A">
        <w:t xml:space="preserve">ISBN </w:t>
      </w:r>
      <w:r w:rsidRPr="003E231A" w:rsidR="003E231A">
        <w:t>978-1-76003-320-0</w:t>
      </w:r>
    </w:p>
    <w:p w:rsidR="00F932E6" w:rsidP="00F932E6" w14:paraId="5F4C4210" w14:textId="77777777">
      <w:pPr>
        <w:pStyle w:val="Normalsmall"/>
      </w:pPr>
      <w:r>
        <w:t xml:space="preserve">This publication is </w:t>
      </w:r>
      <w:r w:rsidRPr="00E20810">
        <w:t xml:space="preserve">available at </w:t>
      </w:r>
      <w:r w:rsidRPr="00374198" w:rsidR="003E231A">
        <w:t>www.agriculture.gov.au/water/mdb</w:t>
      </w:r>
      <w:r w:rsidRPr="00E20810">
        <w:t>.</w:t>
      </w:r>
    </w:p>
    <w:p w:rsidR="00F932E6" w:rsidP="00F932E6" w14:paraId="0B8F5408" w14:textId="77777777">
      <w:pPr>
        <w:pStyle w:val="Normalsmall"/>
        <w:spacing w:after="0"/>
      </w:pPr>
      <w:r>
        <w:t>Department of Agriculture, Water and the Environment</w:t>
      </w:r>
    </w:p>
    <w:p w:rsidR="00F932E6" w:rsidP="00F932E6" w14:paraId="14975FD2" w14:textId="77777777">
      <w:pPr>
        <w:pStyle w:val="Normalsmall"/>
        <w:spacing w:after="0"/>
      </w:pPr>
      <w:r>
        <w:t>GPO Box 858 Canberra ACT 2601</w:t>
      </w:r>
    </w:p>
    <w:p w:rsidR="00F932E6" w:rsidP="00F932E6" w14:paraId="0E43B583" w14:textId="77777777">
      <w:pPr>
        <w:pStyle w:val="Normalsmall"/>
        <w:spacing w:after="0"/>
      </w:pPr>
      <w:r>
        <w:t xml:space="preserve">Telephone </w:t>
      </w:r>
      <w:r w:rsidRPr="00773056">
        <w:t>1800 900 090</w:t>
      </w:r>
    </w:p>
    <w:p w:rsidR="00F932E6" w:rsidP="00F932E6" w14:paraId="56971B3C" w14:textId="77777777">
      <w:pPr>
        <w:pStyle w:val="Normalsmall"/>
      </w:pPr>
      <w:r w:rsidRPr="00E20810">
        <w:t>Web awe.gov.au</w:t>
      </w:r>
    </w:p>
    <w:p w:rsidR="00F932E6" w:rsidRPr="00590EB3" w:rsidP="00F932E6" w14:paraId="7DFCB2EC" w14:textId="77777777">
      <w:pPr>
        <w:pStyle w:val="Normalsmall"/>
      </w:pPr>
      <w:r w:rsidRPr="0038443F">
        <w:t xml:space="preserve">The Australian Government acting through the Department of Agriculture, Water and the Environment has exercised due care and skill in preparing and compiling the information and data in this publication. Notwithstanding, the </w:t>
      </w:r>
      <w:r w:rsidRPr="00B01958">
        <w:t>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rsidR="00F932E6" w:rsidP="00F932E6" w14:paraId="6268F7AD" w14:textId="77777777">
      <w:pPr>
        <w:pStyle w:val="Heading2"/>
        <w:numPr>
          <w:ilvl w:val="0"/>
          <w:numId w:val="0"/>
        </w:numPr>
        <w:ind w:left="709" w:hanging="709"/>
      </w:pPr>
      <w:bookmarkStart w:id="1" w:name="_Toc49258974"/>
      <w:bookmarkStart w:id="2" w:name="_Toc430782148"/>
      <w:r>
        <w:t>Foreword</w:t>
      </w:r>
      <w:bookmarkEnd w:id="1"/>
      <w:bookmarkEnd w:id="2"/>
    </w:p>
    <w:p w:rsidR="00F932E6" w:rsidP="00F932E6" w14:paraId="6FF29012" w14:textId="77777777">
      <w:pPr>
        <w:rPr>
          <w:lang w:val="en-US"/>
        </w:rPr>
      </w:pPr>
      <w:r>
        <w:rPr>
          <w:noProof/>
          <w:lang w:eastAsia="en-AU"/>
        </w:rPr>
        <w:drawing>
          <wp:anchor distT="0" distB="0" distL="114300" distR="114300" simplePos="0" relativeHeight="251658240" behindDoc="1" locked="0" layoutInCell="1" allowOverlap="1">
            <wp:simplePos x="0" y="0"/>
            <wp:positionH relativeFrom="column">
              <wp:posOffset>4065270</wp:posOffset>
            </wp:positionH>
            <wp:positionV relativeFrom="paragraph">
              <wp:posOffset>6651</wp:posOffset>
            </wp:positionV>
            <wp:extent cx="1562735" cy="1977390"/>
            <wp:effectExtent l="0" t="0" r="0" b="3810"/>
            <wp:wrapTight wrapText="left">
              <wp:wrapPolygon>
                <wp:start x="0" y="0"/>
                <wp:lineTo x="0" y="21434"/>
                <wp:lineTo x="21328" y="21434"/>
                <wp:lineTo x="21328" y="0"/>
                <wp:lineTo x="0" y="0"/>
              </wp:wrapPolygon>
            </wp:wrapTight>
            <wp:docPr id="8" name="Picture 8" descr="Australian Government Minister for Natural Resources, Water and Northern Australia, Keith P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72750" name="Pitt_Keith_20180408_28.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2735" cy="1977390"/>
                    </a:xfrm>
                    <a:prstGeom prst="rect">
                      <a:avLst/>
                    </a:prstGeom>
                  </pic:spPr>
                </pic:pic>
              </a:graphicData>
            </a:graphic>
            <wp14:sizeRelH relativeFrom="margin">
              <wp14:pctWidth>0</wp14:pctWidth>
            </wp14:sizeRelH>
            <wp14:sizeRelV relativeFrom="margin">
              <wp14:pctHeight>0</wp14:pctHeight>
            </wp14:sizeRelV>
          </wp:anchor>
        </w:drawing>
      </w:r>
      <w:r>
        <w:rPr>
          <w:lang w:val="en-US"/>
        </w:rPr>
        <w:t xml:space="preserve">This </w:t>
      </w:r>
      <w:r w:rsidR="00A27C03">
        <w:rPr>
          <w:lang w:val="en-US"/>
        </w:rPr>
        <w:t xml:space="preserve">investment package </w:t>
      </w:r>
      <w:r>
        <w:rPr>
          <w:lang w:val="en-US"/>
        </w:rPr>
        <w:t>is about putting communities and jobs at the heart of the Murray–Darling Basin Plan. At a time when Basin communities have endured years of drought, a summer of terrible bushfires and while the COVID-19 pandemic continues to eat away at household confidence we need to invest in the people and the places that generate our nation’s wealth.</w:t>
      </w:r>
    </w:p>
    <w:p w:rsidR="00F932E6" w:rsidRPr="00FD2E2C" w:rsidP="00F932E6" w14:paraId="478DF5C7" w14:textId="77777777">
      <w:pPr>
        <w:rPr>
          <w:lang w:val="en-US"/>
        </w:rPr>
      </w:pPr>
      <w:r>
        <w:rPr>
          <w:lang w:val="en-US"/>
        </w:rPr>
        <w:t xml:space="preserve">In the 8 years since the Basin Plan was legislated a number of eminent reviews have identified improvements to water reform.  Some communities have lost faith because this historic reform has become a catch-all for rural and regional decline. Its impacts have been highly variable – causing distress for some communities while others have prospered. We need to remember the original purpose of the Plan – to ensure a certain and sustainable future for communities, industries and the </w:t>
      </w:r>
      <w:r w:rsidRPr="00FD2E2C">
        <w:rPr>
          <w:lang w:val="en-US"/>
        </w:rPr>
        <w:t xml:space="preserve">environment. </w:t>
      </w:r>
      <w:r w:rsidRPr="00FD2E2C" w:rsidR="00827E45">
        <w:rPr>
          <w:lang w:val="en-US"/>
        </w:rPr>
        <w:t xml:space="preserve">We need a vibrant and profitable irrigated agricultural sector. </w:t>
      </w:r>
      <w:r w:rsidRPr="00FD2E2C">
        <w:rPr>
          <w:lang w:val="en-US"/>
        </w:rPr>
        <w:t>The time for reviews has passed and it’s time now to take practical action and demonstrate leadership.</w:t>
      </w:r>
    </w:p>
    <w:p w:rsidR="00F932E6" w:rsidRPr="00C90B1C" w:rsidP="00F932E6" w14:paraId="2C1ABB38" w14:textId="039A0176">
      <w:pPr>
        <w:rPr>
          <w:lang w:val="en-US"/>
        </w:rPr>
      </w:pPr>
      <w:r w:rsidRPr="00C90B1C">
        <w:rPr>
          <w:lang w:val="en-US"/>
        </w:rPr>
        <w:t xml:space="preserve">The Australian Government is investing over </w:t>
      </w:r>
      <w:bookmarkStart w:id="3" w:name="_Hlk64297277"/>
      <w:r w:rsidRPr="00CB39B9" w:rsidR="002F1E8F">
        <w:rPr>
          <w:lang w:val="en-US"/>
        </w:rPr>
        <w:t>$2</w:t>
      </w:r>
      <w:r w:rsidR="007F2C2B">
        <w:rPr>
          <w:lang w:val="en-US"/>
        </w:rPr>
        <w:t>30</w:t>
      </w:r>
      <w:r w:rsidRPr="00CB39B9" w:rsidR="002F1E8F">
        <w:rPr>
          <w:lang w:val="en-US"/>
        </w:rPr>
        <w:t> million</w:t>
      </w:r>
      <w:bookmarkEnd w:id="3"/>
      <w:r w:rsidRPr="00C90B1C" w:rsidR="002F1E8F">
        <w:rPr>
          <w:lang w:val="en-US"/>
        </w:rPr>
        <w:t xml:space="preserve"> </w:t>
      </w:r>
      <w:r w:rsidRPr="00C90B1C">
        <w:rPr>
          <w:lang w:val="en-US"/>
        </w:rPr>
        <w:t xml:space="preserve">in new actions to create jobs and economic activity. The </w:t>
      </w:r>
      <w:r w:rsidR="000E07E0">
        <w:rPr>
          <w:lang w:val="en-US"/>
        </w:rPr>
        <w:t>actions</w:t>
      </w:r>
      <w:r w:rsidRPr="00C90B1C" w:rsidR="000E07E0">
        <w:rPr>
          <w:lang w:val="en-US"/>
        </w:rPr>
        <w:t xml:space="preserve"> </w:t>
      </w:r>
      <w:r w:rsidRPr="00C90B1C">
        <w:rPr>
          <w:lang w:val="en-US"/>
        </w:rPr>
        <w:t xml:space="preserve">we undertake must benefit communities as well as the rivers and wetlands that make up our shared natural heritage. All the actions have been designed to avoid any need for future additional water buybacks. Instead the Government will focus on recovering water for the environment by modernising off-farm water delivery infrastructure. </w:t>
      </w:r>
    </w:p>
    <w:p w:rsidR="00F932E6" w:rsidP="00F932E6" w14:paraId="188D2AB6" w14:textId="77777777">
      <w:pPr>
        <w:rPr>
          <w:lang w:val="en-US"/>
        </w:rPr>
      </w:pPr>
      <w:r w:rsidRPr="00C90B1C">
        <w:rPr>
          <w:lang w:val="en-US"/>
        </w:rPr>
        <w:t>The Basin is an economic and ecological powerhouse and protecting it is a shared responsibility. The Australian Government is one of six governments that agreed in 2012 to restore the Basin's health at a time when the devastation of the millennium drought was at the forefront of the collective consciousness. I look forward to working with communities</w:t>
      </w:r>
      <w:r w:rsidRPr="00C90B1C" w:rsidR="00827E45">
        <w:rPr>
          <w:lang w:val="en-US"/>
        </w:rPr>
        <w:t xml:space="preserve"> and my </w:t>
      </w:r>
      <w:r w:rsidRPr="00FD2E2C">
        <w:rPr>
          <w:lang w:val="en-US"/>
        </w:rPr>
        <w:t>Murray-Darling Basin Ministerial Council colleagues, to deliver a Basin Plan for</w:t>
      </w:r>
      <w:r>
        <w:rPr>
          <w:lang w:val="en-US"/>
        </w:rPr>
        <w:t xml:space="preserve"> communities. I have tasked my department to work with Basin jurisdictions and communities to realise the actions </w:t>
      </w:r>
      <w:r w:rsidR="00827E45">
        <w:rPr>
          <w:lang w:val="en-US"/>
        </w:rPr>
        <w:t xml:space="preserve">set out </w:t>
      </w:r>
      <w:r>
        <w:rPr>
          <w:lang w:val="en-US"/>
        </w:rPr>
        <w:t xml:space="preserve">in this </w:t>
      </w:r>
      <w:r w:rsidR="00A92BFF">
        <w:rPr>
          <w:lang w:val="en-US"/>
        </w:rPr>
        <w:t>Package</w:t>
      </w:r>
      <w:r>
        <w:rPr>
          <w:lang w:val="en-US"/>
        </w:rPr>
        <w:t xml:space="preserve">. </w:t>
      </w:r>
    </w:p>
    <w:p w:rsidR="00F932E6" w:rsidP="00F932E6" w14:paraId="7AAC5A03" w14:textId="77777777">
      <w:pPr>
        <w:rPr>
          <w:lang w:val="en-US"/>
        </w:rPr>
      </w:pPr>
      <w:r>
        <w:rPr>
          <w:lang w:val="en-US"/>
        </w:rPr>
        <w:t xml:space="preserve">This </w:t>
      </w:r>
      <w:r w:rsidR="00A92BFF">
        <w:rPr>
          <w:lang w:val="en-US"/>
        </w:rPr>
        <w:t xml:space="preserve">Package </w:t>
      </w:r>
      <w:r>
        <w:rPr>
          <w:lang w:val="en-US"/>
        </w:rPr>
        <w:t>outlines the Australian Government’s refreshed approach and reaffirms our commitment to the Basin Plan – because it is about making sure future generations have a sustainable and certain future. It’s an investment that puts people at the centre of the reform and provides a pathway to achieve a sustainable Basin for all Australians.</w:t>
      </w:r>
    </w:p>
    <w:p w:rsidR="00F932E6" w:rsidP="00F932E6" w14:paraId="41061362" w14:textId="77777777">
      <w:pPr>
        <w:spacing w:after="0"/>
      </w:pPr>
      <w:r>
        <w:t>The Hon. Keith Pitt MP</w:t>
      </w:r>
    </w:p>
    <w:p w:rsidR="00F932E6" w:rsidP="00F932E6" w14:paraId="21227ED4" w14:textId="77777777">
      <w:pPr>
        <w:spacing w:after="0"/>
      </w:pPr>
      <w:r>
        <w:t xml:space="preserve">Minister for </w:t>
      </w:r>
      <w:r w:rsidRPr="00B92228">
        <w:t>Resources, Water and Northern Australia</w:t>
      </w:r>
    </w:p>
    <w:p w:rsidR="00A63DD0" w:rsidP="00F932E6" w14:paraId="436857E4" w14:textId="77777777">
      <w:pPr>
        <w:spacing w:after="0"/>
      </w:pPr>
    </w:p>
    <w:p w:rsidR="00A63DD0" w:rsidP="00F932E6" w14:paraId="1500AD9B" w14:textId="77777777">
      <w:pPr>
        <w:spacing w:after="0"/>
      </w:pPr>
      <w:r>
        <w:rPr>
          <w:noProof/>
          <w:lang w:eastAsia="en-AU"/>
        </w:rPr>
        <w:drawing>
          <wp:inline distT="0" distB="0" distL="0" distR="0">
            <wp:extent cx="1295400" cy="666750"/>
            <wp:effectExtent l="0" t="0" r="0" b="0"/>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24069"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666750"/>
                    </a:xfrm>
                    <a:prstGeom prst="rect">
                      <a:avLst/>
                    </a:prstGeom>
                    <a:noFill/>
                    <a:ln>
                      <a:noFill/>
                    </a:ln>
                  </pic:spPr>
                </pic:pic>
              </a:graphicData>
            </a:graphic>
          </wp:inline>
        </w:drawing>
      </w:r>
    </w:p>
    <w:sdt>
      <w:sdtPr>
        <w:rPr>
          <w:rFonts w:ascii="Cambria" w:hAnsi="Cambria" w:eastAsiaTheme="minorHAnsi"/>
          <w:bCs w:val="0"/>
          <w:color w:val="auto"/>
          <w:sz w:val="22"/>
          <w:szCs w:val="22"/>
          <w:lang w:eastAsia="en-US"/>
        </w:rPr>
        <w:id w:val="-760297017"/>
        <w:docPartObj>
          <w:docPartGallery w:val="Table of Contents"/>
          <w:docPartUnique/>
        </w:docPartObj>
      </w:sdtPr>
      <w:sdtEndPr>
        <w:rPr>
          <w:b/>
          <w:noProof/>
        </w:rPr>
      </w:sdtEndPr>
      <w:sdtContent>
        <w:p w:rsidR="00F932E6" w:rsidP="00F932E6" w14:paraId="5610DCBD" w14:textId="77777777">
          <w:pPr>
            <w:pStyle w:val="TOCHeading"/>
            <w:pageBreakBefore/>
          </w:pPr>
          <w:r w:rsidRPr="00113A6A">
            <w:t>Contents</w:t>
          </w:r>
        </w:p>
        <w:p w:rsidR="00F932E6" w:rsidP="00F932E6" w14:paraId="5FF118CC" w14:textId="79D2FFCF">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r>
            <w:fldChar w:fldCharType="begin"/>
          </w:r>
          <w:r>
            <w:instrText xml:space="preserve"> HYPERLINK \l "_Toc49258974" </w:instrText>
          </w:r>
          <w:r>
            <w:fldChar w:fldCharType="separate"/>
          </w:r>
          <w:r w:rsidRPr="00E02BA3">
            <w:rPr>
              <w:rStyle w:val="Hyperlink"/>
            </w:rPr>
            <w:t>Foreword</w:t>
          </w:r>
          <w:r>
            <w:rPr>
              <w:webHidden/>
            </w:rPr>
            <w:tab/>
          </w:r>
          <w:r>
            <w:rPr>
              <w:webHidden/>
            </w:rPr>
            <w:fldChar w:fldCharType="begin"/>
          </w:r>
          <w:r>
            <w:rPr>
              <w:webHidden/>
            </w:rPr>
            <w:instrText xml:space="preserve"> PAGEREF _Toc49258974 \h </w:instrText>
          </w:r>
          <w:r>
            <w:rPr>
              <w:webHidden/>
            </w:rPr>
            <w:fldChar w:fldCharType="separate"/>
          </w:r>
          <w:r w:rsidR="003C50EE">
            <w:rPr>
              <w:webHidden/>
            </w:rPr>
            <w:t>iii</w:t>
          </w:r>
          <w:r>
            <w:rPr>
              <w:webHidden/>
            </w:rPr>
            <w:fldChar w:fldCharType="end"/>
          </w:r>
          <w:r>
            <w:fldChar w:fldCharType="end"/>
          </w:r>
        </w:p>
        <w:p w:rsidR="00F932E6" w:rsidP="00F932E6" w14:paraId="3F5137A8" w14:textId="77777777">
          <w:pPr>
            <w:pStyle w:val="TOC1"/>
            <w:rPr>
              <w:rFonts w:asciiTheme="minorHAnsi" w:eastAsiaTheme="minorEastAsia" w:hAnsiTheme="minorHAnsi"/>
              <w:b w:val="0"/>
              <w:lang w:eastAsia="en-AU"/>
            </w:rPr>
          </w:pPr>
          <w:r>
            <w:fldChar w:fldCharType="begin"/>
          </w:r>
          <w:r>
            <w:instrText xml:space="preserve"> HYPERLINK \l "_Toc49258975" </w:instrText>
          </w:r>
          <w:r>
            <w:fldChar w:fldCharType="separate"/>
          </w:r>
          <w:r w:rsidR="00133BA0">
            <w:rPr>
              <w:rStyle w:val="Hyperlink"/>
            </w:rPr>
            <w:t>Shifting the focus</w:t>
          </w:r>
          <w:r w:rsidR="0056230D">
            <w:rPr>
              <w:webHidden/>
            </w:rPr>
            <w:tab/>
          </w:r>
          <w:r w:rsidR="002F1E8F">
            <w:rPr>
              <w:webHidden/>
            </w:rPr>
            <w:t>1</w:t>
          </w:r>
          <w:r>
            <w:fldChar w:fldCharType="end"/>
          </w:r>
        </w:p>
        <w:p w:rsidR="00133BA0" w:rsidRPr="00C90B1C" w:rsidP="00133BA0" w14:paraId="29D0F0F0" w14:textId="77777777">
          <w:pPr>
            <w:pStyle w:val="TOC1"/>
            <w:ind w:left="426"/>
            <w:rPr>
              <w:b w:val="0"/>
              <w:bCs/>
            </w:rPr>
          </w:pPr>
          <w:r w:rsidRPr="00C90B1C">
            <w:rPr>
              <w:b w:val="0"/>
              <w:bCs/>
            </w:rPr>
            <w:t>Progress to date</w:t>
          </w:r>
          <w:r w:rsidRPr="00C90B1C">
            <w:rPr>
              <w:b w:val="0"/>
              <w:bCs/>
            </w:rPr>
            <w:tab/>
            <w:t>1</w:t>
          </w:r>
        </w:p>
        <w:p w:rsidR="00F932E6" w:rsidRPr="00C90B1C" w:rsidP="00C90B1C" w14:paraId="4FB7F6E9" w14:textId="77777777">
          <w:pPr>
            <w:pStyle w:val="TOC1"/>
            <w:ind w:left="426"/>
            <w:rPr>
              <w:rFonts w:asciiTheme="minorHAnsi" w:eastAsiaTheme="minorEastAsia" w:hAnsiTheme="minorHAnsi"/>
              <w:b w:val="0"/>
              <w:bCs/>
              <w:lang w:eastAsia="en-AU"/>
            </w:rPr>
          </w:pPr>
          <w:r w:rsidRPr="00C90B1C">
            <w:rPr>
              <w:b w:val="0"/>
              <w:bCs/>
            </w:rPr>
            <w:t>Case for change</w:t>
          </w:r>
          <w:r w:rsidRPr="00C90B1C">
            <w:rPr>
              <w:b w:val="0"/>
              <w:bCs/>
            </w:rPr>
            <w:tab/>
            <w:t>1</w:t>
          </w:r>
        </w:p>
        <w:p w:rsidR="00F932E6" w:rsidP="00C90B1C" w14:paraId="5F882CAC" w14:textId="77777777">
          <w:pPr>
            <w:pStyle w:val="TOC1"/>
            <w:ind w:left="426"/>
            <w:rPr>
              <w:rFonts w:asciiTheme="minorHAnsi" w:eastAsiaTheme="minorEastAsia" w:hAnsiTheme="minorHAnsi"/>
              <w:b w:val="0"/>
              <w:lang w:eastAsia="en-AU"/>
            </w:rPr>
          </w:pPr>
          <w:r>
            <w:fldChar w:fldCharType="begin"/>
          </w:r>
          <w:r>
            <w:instrText xml:space="preserve"> HYPERLINK \l "_Toc49258978" </w:instrText>
          </w:r>
          <w:r>
            <w:fldChar w:fldCharType="separate"/>
          </w:r>
          <w:r w:rsidRPr="00C90B1C" w:rsidR="00133BA0">
            <w:rPr>
              <w:rStyle w:val="Hyperlink"/>
              <w:b w:val="0"/>
              <w:bCs/>
              <w:lang w:val="en-US"/>
            </w:rPr>
            <w:t>A new approach</w:t>
          </w:r>
          <w:r w:rsidRPr="00C90B1C" w:rsidR="0056230D">
            <w:rPr>
              <w:b w:val="0"/>
              <w:bCs/>
              <w:webHidden/>
            </w:rPr>
            <w:tab/>
          </w:r>
          <w:r w:rsidRPr="00C90B1C" w:rsidR="00133BA0">
            <w:rPr>
              <w:b w:val="0"/>
              <w:bCs/>
              <w:webHidden/>
            </w:rPr>
            <w:t>3</w:t>
          </w:r>
          <w:r>
            <w:fldChar w:fldCharType="end"/>
          </w:r>
        </w:p>
        <w:p w:rsidR="00F932E6" w:rsidP="00F932E6" w14:paraId="0626AF22" w14:textId="0BE624C2">
          <w:pPr>
            <w:pStyle w:val="TOC1"/>
            <w:rPr>
              <w:rFonts w:asciiTheme="minorHAnsi" w:eastAsiaTheme="minorEastAsia" w:hAnsiTheme="minorHAnsi"/>
              <w:b w:val="0"/>
              <w:lang w:eastAsia="en-AU"/>
            </w:rPr>
          </w:pPr>
          <w:r>
            <w:fldChar w:fldCharType="begin"/>
          </w:r>
          <w:r>
            <w:instrText xml:space="preserve"> HYPERLINK \l "_Toc49258979" </w:instrText>
          </w:r>
          <w:r>
            <w:fldChar w:fldCharType="separate"/>
          </w:r>
          <w:r w:rsidR="00133BA0">
            <w:rPr>
              <w:rStyle w:val="Hyperlink"/>
              <w:lang w:val="en-US"/>
            </w:rPr>
            <w:t xml:space="preserve">Investment </w:t>
          </w:r>
          <w:r w:rsidR="003C1216">
            <w:rPr>
              <w:rStyle w:val="Hyperlink"/>
              <w:lang w:val="en-US"/>
            </w:rPr>
            <w:t>p</w:t>
          </w:r>
          <w:r w:rsidR="00133BA0">
            <w:rPr>
              <w:rStyle w:val="Hyperlink"/>
              <w:lang w:val="en-US"/>
            </w:rPr>
            <w:t>ackage</w:t>
          </w:r>
          <w:r w:rsidR="0056230D">
            <w:rPr>
              <w:webHidden/>
            </w:rPr>
            <w:tab/>
          </w:r>
          <w:r w:rsidR="00133BA0">
            <w:rPr>
              <w:webHidden/>
            </w:rPr>
            <w:t>4</w:t>
          </w:r>
          <w:r>
            <w:fldChar w:fldCharType="end"/>
          </w:r>
        </w:p>
        <w:p w:rsidR="00F932E6" w:rsidP="00F932E6" w14:paraId="15196D5E" w14:textId="77777777">
          <w:pPr>
            <w:pStyle w:val="TOC2"/>
            <w:rPr>
              <w:rFonts w:asciiTheme="minorHAnsi" w:eastAsiaTheme="minorEastAsia" w:hAnsiTheme="minorHAnsi"/>
              <w:lang w:eastAsia="en-AU"/>
            </w:rPr>
          </w:pPr>
          <w:r>
            <w:fldChar w:fldCharType="begin"/>
          </w:r>
          <w:r>
            <w:instrText xml:space="preserve"> HYPERLINK \l "_Toc49258980" </w:instrText>
          </w:r>
          <w:r>
            <w:fldChar w:fldCharType="separate"/>
          </w:r>
          <w:r w:rsidR="00FA4F1A">
            <w:rPr>
              <w:rStyle w:val="Hyperlink"/>
              <w:lang w:val="en-US"/>
            </w:rPr>
            <w:t>Invest in community resilience and river health</w:t>
          </w:r>
          <w:r w:rsidR="00133BA0">
            <w:rPr>
              <w:webHidden/>
            </w:rPr>
            <w:tab/>
            <w:t>4</w:t>
          </w:r>
          <w:r>
            <w:fldChar w:fldCharType="end"/>
          </w:r>
        </w:p>
        <w:p w:rsidR="00F932E6" w:rsidP="00F932E6" w14:paraId="0B85639A" w14:textId="77777777">
          <w:pPr>
            <w:pStyle w:val="TOC2"/>
            <w:rPr>
              <w:rFonts w:asciiTheme="minorHAnsi" w:eastAsiaTheme="minorEastAsia" w:hAnsiTheme="minorHAnsi"/>
              <w:lang w:eastAsia="en-AU"/>
            </w:rPr>
          </w:pPr>
          <w:r>
            <w:fldChar w:fldCharType="begin"/>
          </w:r>
          <w:r>
            <w:instrText xml:space="preserve"> HYPERLINK \l "_Toc49258981" </w:instrText>
          </w:r>
          <w:r>
            <w:fldChar w:fldCharType="separate"/>
          </w:r>
          <w:r w:rsidR="00FA4F1A">
            <w:rPr>
              <w:rStyle w:val="Hyperlink"/>
              <w:lang w:val="en-US"/>
            </w:rPr>
            <w:t>Bu</w:t>
          </w:r>
          <w:r w:rsidRPr="00FA4F1A" w:rsidR="00FA4F1A">
            <w:rPr>
              <w:rStyle w:val="Hyperlink"/>
              <w:lang w:val="en-US"/>
            </w:rPr>
            <w:t>ild trust, transparency and accountabilit</w:t>
          </w:r>
          <w:r w:rsidR="00FA4F1A">
            <w:rPr>
              <w:rStyle w:val="Hyperlink"/>
              <w:lang w:val="en-US"/>
            </w:rPr>
            <w:t>y</w:t>
          </w:r>
          <w:r w:rsidR="0056230D">
            <w:rPr>
              <w:webHidden/>
            </w:rPr>
            <w:tab/>
          </w:r>
          <w:r>
            <w:fldChar w:fldCharType="end"/>
          </w:r>
          <w:r w:rsidR="00133BA0">
            <w:t>5</w:t>
          </w:r>
        </w:p>
        <w:p w:rsidR="00F932E6" w:rsidP="00F932E6" w14:paraId="174AC41E" w14:textId="77777777">
          <w:pPr>
            <w:pStyle w:val="TOC2"/>
            <w:rPr>
              <w:rFonts w:asciiTheme="minorHAnsi" w:eastAsiaTheme="minorEastAsia" w:hAnsiTheme="minorHAnsi"/>
              <w:lang w:eastAsia="en-AU"/>
            </w:rPr>
          </w:pPr>
          <w:r>
            <w:fldChar w:fldCharType="begin"/>
          </w:r>
          <w:r>
            <w:instrText xml:space="preserve"> HYPERLINK \l "_Toc49258982" </w:instrText>
          </w:r>
          <w:r>
            <w:fldChar w:fldCharType="separate"/>
          </w:r>
          <w:r w:rsidRPr="00E02BA3" w:rsidR="0056230D">
            <w:rPr>
              <w:rStyle w:val="Hyperlink"/>
              <w:lang w:val="en-US"/>
            </w:rPr>
            <w:t>Improving implementation of the Basin Plan</w:t>
          </w:r>
          <w:r w:rsidR="0056230D">
            <w:rPr>
              <w:webHidden/>
            </w:rPr>
            <w:tab/>
          </w:r>
          <w:r w:rsidR="00133BA0">
            <w:rPr>
              <w:webHidden/>
            </w:rPr>
            <w:t>6</w:t>
          </w:r>
          <w:r>
            <w:fldChar w:fldCharType="end"/>
          </w:r>
        </w:p>
        <w:p w:rsidR="00F932E6" w:rsidP="00F932E6" w14:paraId="2A527D14" w14:textId="77777777">
          <w:r>
            <w:rPr>
              <w:b/>
              <w:noProof/>
            </w:rPr>
            <w:fldChar w:fldCharType="end"/>
          </w:r>
        </w:p>
      </w:sdtContent>
    </w:sdt>
    <w:p w:rsidR="00F932E6" w:rsidP="00F932E6" w14:paraId="39953B5D" w14:textId="77777777">
      <w:pPr>
        <w:pStyle w:val="TableofFigures"/>
        <w:tabs>
          <w:tab w:val="right" w:leader="dot" w:pos="9060"/>
        </w:tabs>
        <w:sectPr w:rsidSect="00B01958">
          <w:headerReference w:type="default" r:id="rId12"/>
          <w:footerReference w:type="default" r:id="rId13"/>
          <w:headerReference w:type="first" r:id="rId14"/>
          <w:pgSz w:w="11906" w:h="16838"/>
          <w:pgMar w:top="1418" w:right="1418" w:bottom="1418" w:left="1418" w:header="567" w:footer="283" w:gutter="0"/>
          <w:pgNumType w:fmt="lowerRoman"/>
          <w:cols w:space="708"/>
          <w:titlePg/>
          <w:docGrid w:linePitch="360"/>
        </w:sectPr>
      </w:pPr>
    </w:p>
    <w:p w:rsidR="00F932E6" w:rsidP="00F932E6" w14:paraId="2D13231F" w14:textId="77777777">
      <w:pPr>
        <w:pStyle w:val="Heading2"/>
        <w:numPr>
          <w:ilvl w:val="0"/>
          <w:numId w:val="0"/>
        </w:numPr>
      </w:pPr>
      <w:r>
        <w:t>Shifting our focus</w:t>
      </w:r>
    </w:p>
    <w:p w:rsidR="0062107F" w:rsidRPr="006C530B" w:rsidP="00113A6A" w14:paraId="523728EA" w14:textId="77777777">
      <w:pPr>
        <w:pStyle w:val="Heading3"/>
        <w:numPr>
          <w:ilvl w:val="0"/>
          <w:numId w:val="0"/>
        </w:numPr>
        <w:ind w:left="964" w:hanging="964"/>
        <w:rPr>
          <w:lang w:val="en-US"/>
        </w:rPr>
      </w:pPr>
      <w:bookmarkStart w:id="4" w:name="_Ref445985033"/>
      <w:bookmarkStart w:id="5" w:name="_Toc409769171"/>
      <w:bookmarkStart w:id="6" w:name="_Toc508272837"/>
      <w:r w:rsidRPr="006C530B">
        <w:rPr>
          <w:lang w:val="en-US"/>
        </w:rPr>
        <w:t>Progress to date</w:t>
      </w:r>
    </w:p>
    <w:p w:rsidR="00F932E6" w:rsidP="00F932E6" w14:paraId="29296BE1" w14:textId="77777777">
      <w:pPr>
        <w:rPr>
          <w:lang w:val="en-US"/>
        </w:rPr>
      </w:pPr>
      <w:r>
        <w:rPr>
          <w:lang w:val="en-US"/>
        </w:rPr>
        <w:t>The Murray–Darling Basin Plan is a long-term $13 billion investment in Australia’s most important food bowl, its people and its environment. It was legislated in 2012 to give communities and industries certainty by limiting the volume of water that could be taken from the Basin at a time when scientific evidence about the likelihood of more frequent and severe droughts was strengthening.</w:t>
      </w:r>
    </w:p>
    <w:p w:rsidR="00E3136F" w:rsidP="00E3136F" w14:paraId="351C6C88" w14:textId="77777777">
      <w:pPr>
        <w:rPr>
          <w:lang w:val="en-US"/>
        </w:rPr>
      </w:pPr>
      <w:r>
        <w:rPr>
          <w:lang w:val="en-US"/>
        </w:rPr>
        <w:t xml:space="preserve">Since 2012 significant progress on implementing key elements of the Basin plan has been made </w:t>
      </w:r>
      <w:r w:rsidR="00F932E6">
        <w:rPr>
          <w:lang w:val="en-US"/>
        </w:rPr>
        <w:t>and the job is nearly complete.</w:t>
      </w:r>
    </w:p>
    <w:p w:rsidR="00E3136F" w:rsidP="00113A6A" w14:paraId="1E7C766C" w14:textId="77777777">
      <w:pPr>
        <w:pStyle w:val="ListBullet"/>
        <w:rPr>
          <w:lang w:val="en-US"/>
        </w:rPr>
      </w:pPr>
      <w:r w:rsidRPr="00E3136F">
        <w:rPr>
          <w:lang w:val="en-US"/>
        </w:rPr>
        <w:t>$</w:t>
      </w:r>
      <w:r w:rsidR="006C530B">
        <w:rPr>
          <w:lang w:val="en-US"/>
        </w:rPr>
        <w:t>9</w:t>
      </w:r>
      <w:r w:rsidRPr="00E3136F">
        <w:rPr>
          <w:lang w:val="en-US"/>
        </w:rPr>
        <w:t xml:space="preserve"> billion has been invested to </w:t>
      </w:r>
      <w:r w:rsidR="00FD2E2C">
        <w:rPr>
          <w:lang w:val="en-US"/>
        </w:rPr>
        <w:t>increase</w:t>
      </w:r>
      <w:r w:rsidRPr="00E3136F">
        <w:rPr>
          <w:lang w:val="en-US"/>
        </w:rPr>
        <w:t xml:space="preserve"> agricultural productivity, modernis</w:t>
      </w:r>
      <w:r w:rsidR="00FD2E2C">
        <w:rPr>
          <w:lang w:val="en-US"/>
        </w:rPr>
        <w:t>e</w:t>
      </w:r>
      <w:r w:rsidRPr="00E3136F">
        <w:rPr>
          <w:lang w:val="en-US"/>
        </w:rPr>
        <w:t xml:space="preserve"> infrastructure and return</w:t>
      </w:r>
      <w:r w:rsidRPr="006C530B">
        <w:rPr>
          <w:lang w:val="en-US"/>
        </w:rPr>
        <w:t xml:space="preserve"> water to the environment.</w:t>
      </w:r>
    </w:p>
    <w:p w:rsidR="00E3136F" w:rsidP="00113A6A" w14:paraId="27D7DEFC" w14:textId="77777777">
      <w:pPr>
        <w:pStyle w:val="ListBullet"/>
        <w:rPr>
          <w:lang w:val="en-US"/>
        </w:rPr>
      </w:pPr>
      <w:r w:rsidRPr="00E3136F">
        <w:rPr>
          <w:lang w:val="en-US"/>
        </w:rPr>
        <w:t xml:space="preserve">More than </w:t>
      </w:r>
      <w:r w:rsidRPr="006C530B">
        <w:rPr>
          <w:lang w:val="en-US"/>
        </w:rPr>
        <w:t>97</w:t>
      </w:r>
      <w:r w:rsidR="00827E45">
        <w:rPr>
          <w:lang w:val="en-US"/>
        </w:rPr>
        <w:t xml:space="preserve"> per cent</w:t>
      </w:r>
      <w:r w:rsidRPr="00E3136F">
        <w:rPr>
          <w:lang w:val="en-US"/>
        </w:rPr>
        <w:t xml:space="preserve"> of the water required to meet the sustainable diversion limits set by the Basin Plan is now recovered </w:t>
      </w:r>
      <w:r w:rsidR="00FD2E2C">
        <w:rPr>
          <w:lang w:val="en-US"/>
        </w:rPr>
        <w:t xml:space="preserve">putting </w:t>
      </w:r>
      <w:r w:rsidRPr="006C530B">
        <w:rPr>
          <w:lang w:val="en-US"/>
        </w:rPr>
        <w:t>the Basin on a more sustainable footing</w:t>
      </w:r>
      <w:r w:rsidRPr="00E3136F">
        <w:rPr>
          <w:lang w:val="en-US"/>
        </w:rPr>
        <w:t>.</w:t>
      </w:r>
    </w:p>
    <w:p w:rsidR="006C530B" w:rsidRPr="006C530B" w:rsidP="00113A6A" w14:paraId="1F92238B" w14:textId="77777777">
      <w:pPr>
        <w:pStyle w:val="ListBullet"/>
        <w:rPr>
          <w:lang w:val="en-US"/>
        </w:rPr>
      </w:pPr>
      <w:r w:rsidRPr="006C530B">
        <w:rPr>
          <w:lang w:val="en-US"/>
        </w:rPr>
        <w:t>Thirteen Water Resource Plans</w:t>
      </w:r>
      <w:r w:rsidR="00FD2E2C">
        <w:rPr>
          <w:lang w:val="en-US"/>
        </w:rPr>
        <w:t>,</w:t>
      </w:r>
      <w:r w:rsidRPr="006C530B">
        <w:rPr>
          <w:lang w:val="en-US"/>
        </w:rPr>
        <w:t xml:space="preserve"> that set limits on the amount of water that can be extracted from</w:t>
      </w:r>
      <w:r w:rsidR="00FD2E2C">
        <w:rPr>
          <w:lang w:val="en-US"/>
        </w:rPr>
        <w:t xml:space="preserve"> </w:t>
      </w:r>
      <w:r w:rsidRPr="006C530B">
        <w:rPr>
          <w:lang w:val="en-US"/>
        </w:rPr>
        <w:t xml:space="preserve">Basin </w:t>
      </w:r>
      <w:r w:rsidR="00FD2E2C">
        <w:rPr>
          <w:lang w:val="en-US"/>
        </w:rPr>
        <w:t xml:space="preserve">catchments, </w:t>
      </w:r>
      <w:r w:rsidRPr="006C530B">
        <w:rPr>
          <w:lang w:val="en-US"/>
        </w:rPr>
        <w:t>have been accredited by the Commonwealth</w:t>
      </w:r>
      <w:r w:rsidR="00FD2E2C">
        <w:rPr>
          <w:lang w:val="en-US"/>
        </w:rPr>
        <w:t>. T</w:t>
      </w:r>
      <w:r w:rsidRPr="006C530B">
        <w:rPr>
          <w:lang w:val="en-US"/>
        </w:rPr>
        <w:t>his includes all plans for South Australia, Queensland, Victoria and the ACT. N</w:t>
      </w:r>
      <w:r w:rsidR="00FD2E2C">
        <w:rPr>
          <w:lang w:val="en-US"/>
        </w:rPr>
        <w:t xml:space="preserve">ew </w:t>
      </w:r>
      <w:r w:rsidRPr="006C530B">
        <w:rPr>
          <w:lang w:val="en-US"/>
        </w:rPr>
        <w:t>S</w:t>
      </w:r>
      <w:r w:rsidR="00FD2E2C">
        <w:rPr>
          <w:lang w:val="en-US"/>
        </w:rPr>
        <w:t xml:space="preserve">outh </w:t>
      </w:r>
      <w:r w:rsidRPr="006C530B">
        <w:rPr>
          <w:lang w:val="en-US"/>
        </w:rPr>
        <w:t>W</w:t>
      </w:r>
      <w:r w:rsidR="00FD2E2C">
        <w:rPr>
          <w:lang w:val="en-US"/>
        </w:rPr>
        <w:t>ales</w:t>
      </w:r>
      <w:r w:rsidRPr="006C530B">
        <w:rPr>
          <w:lang w:val="en-US"/>
        </w:rPr>
        <w:t xml:space="preserve"> has submitted all of its 20 WRPs to the </w:t>
      </w:r>
      <w:r w:rsidR="00113A6A">
        <w:rPr>
          <w:lang w:val="en-US"/>
        </w:rPr>
        <w:t>Australian Government</w:t>
      </w:r>
      <w:r w:rsidRPr="006C530B">
        <w:rPr>
          <w:lang w:val="en-US"/>
        </w:rPr>
        <w:t xml:space="preserve"> for assessment</w:t>
      </w:r>
      <w:r w:rsidR="00113A6A">
        <w:rPr>
          <w:lang w:val="en-US"/>
        </w:rPr>
        <w:t xml:space="preserve"> and accreditation</w:t>
      </w:r>
      <w:r w:rsidRPr="006C530B">
        <w:rPr>
          <w:lang w:val="en-US"/>
        </w:rPr>
        <w:t>.</w:t>
      </w:r>
    </w:p>
    <w:p w:rsidR="006C530B" w:rsidP="00F932E6" w14:paraId="446A559A" w14:textId="77777777">
      <w:pPr>
        <w:rPr>
          <w:lang w:val="en-US"/>
        </w:rPr>
      </w:pPr>
      <w:r>
        <w:rPr>
          <w:lang w:val="en-US"/>
        </w:rPr>
        <w:t>However, some challenges remain. These include completing the Sustainable Diversion Limit adjustment projects that protect environmental outcomes without needing to recover 605 </w:t>
      </w:r>
      <w:r w:rsidR="000E07E0">
        <w:rPr>
          <w:lang w:val="en-US"/>
        </w:rPr>
        <w:t>gigalitres</w:t>
      </w:r>
      <w:r w:rsidR="007B1281">
        <w:rPr>
          <w:lang w:val="en-US"/>
        </w:rPr>
        <w:t xml:space="preserve"> </w:t>
      </w:r>
      <w:r w:rsidR="000E07E0">
        <w:rPr>
          <w:lang w:val="en-US"/>
        </w:rPr>
        <w:t>(GL)</w:t>
      </w:r>
      <w:r>
        <w:rPr>
          <w:lang w:val="en-US"/>
        </w:rPr>
        <w:t xml:space="preserve"> of water and improving progress against the Basin Plan target of 450 GL of additional water that will improve flows to the end of the Basin</w:t>
      </w:r>
      <w:r w:rsidR="00F932E6">
        <w:rPr>
          <w:lang w:val="en-US"/>
        </w:rPr>
        <w:t>.</w:t>
      </w:r>
    </w:p>
    <w:p w:rsidR="00856C0C" w:rsidRPr="006C530B" w:rsidP="00113A6A" w14:paraId="3E62C113" w14:textId="77777777">
      <w:pPr>
        <w:pStyle w:val="Heading3"/>
        <w:numPr>
          <w:ilvl w:val="0"/>
          <w:numId w:val="0"/>
        </w:numPr>
        <w:ind w:left="964" w:hanging="964"/>
        <w:rPr>
          <w:lang w:val="en-US"/>
        </w:rPr>
      </w:pPr>
      <w:r w:rsidRPr="006C530B">
        <w:rPr>
          <w:lang w:val="en-US"/>
        </w:rPr>
        <w:t>Case for change</w:t>
      </w:r>
    </w:p>
    <w:p w:rsidR="00113A6A" w:rsidP="00113A6A" w14:paraId="6D95BE5B" w14:textId="77777777">
      <w:pPr>
        <w:rPr>
          <w:lang w:val="en-US"/>
        </w:rPr>
      </w:pPr>
      <w:r>
        <w:rPr>
          <w:lang w:val="en-US"/>
        </w:rPr>
        <w:t xml:space="preserve">Recent </w:t>
      </w:r>
      <w:r w:rsidRPr="006C530B">
        <w:rPr>
          <w:lang w:val="en-US"/>
        </w:rPr>
        <w:t xml:space="preserve">reviews have shown that Basin governments are at risk of not </w:t>
      </w:r>
      <w:r>
        <w:rPr>
          <w:lang w:val="en-US"/>
        </w:rPr>
        <w:t>fully meeting</w:t>
      </w:r>
      <w:r w:rsidRPr="006C530B">
        <w:rPr>
          <w:lang w:val="en-US"/>
        </w:rPr>
        <w:t xml:space="preserve"> </w:t>
      </w:r>
      <w:r>
        <w:rPr>
          <w:lang w:val="en-US"/>
        </w:rPr>
        <w:t xml:space="preserve">some </w:t>
      </w:r>
      <w:r w:rsidRPr="006C530B">
        <w:rPr>
          <w:lang w:val="en-US"/>
        </w:rPr>
        <w:t>Basin Plan targets by 2024</w:t>
      </w:r>
      <w:r w:rsidRPr="00757C0E">
        <w:rPr>
          <w:lang w:val="en-US"/>
        </w:rPr>
        <w:t xml:space="preserve">. </w:t>
      </w:r>
      <w:r>
        <w:rPr>
          <w:lang w:val="en-US"/>
        </w:rPr>
        <w:t>The</w:t>
      </w:r>
      <w:r w:rsidR="000E07E0">
        <w:rPr>
          <w:lang w:val="en-US"/>
        </w:rPr>
        <w:t>y</w:t>
      </w:r>
      <w:r w:rsidRPr="006C530B">
        <w:rPr>
          <w:lang w:val="en-US"/>
        </w:rPr>
        <w:t xml:space="preserve"> have </w:t>
      </w:r>
      <w:r w:rsidR="000E07E0">
        <w:rPr>
          <w:lang w:val="en-US"/>
        </w:rPr>
        <w:t xml:space="preserve">found </w:t>
      </w:r>
      <w:r w:rsidRPr="006C530B">
        <w:rPr>
          <w:lang w:val="en-US"/>
        </w:rPr>
        <w:t xml:space="preserve">that some Basin communities are simply not seeing the benefits from </w:t>
      </w:r>
      <w:r>
        <w:rPr>
          <w:lang w:val="en-US"/>
        </w:rPr>
        <w:t>the Basin Plan after many years of change and reform</w:t>
      </w:r>
      <w:r w:rsidRPr="006C530B">
        <w:rPr>
          <w:lang w:val="en-US"/>
        </w:rPr>
        <w:t>.</w:t>
      </w:r>
      <w:r>
        <w:rPr>
          <w:lang w:val="en-US"/>
        </w:rPr>
        <w:t xml:space="preserve"> The Australian G</w:t>
      </w:r>
      <w:r w:rsidRPr="006C530B">
        <w:rPr>
          <w:lang w:val="en-US"/>
        </w:rPr>
        <w:t xml:space="preserve">overnment </w:t>
      </w:r>
      <w:r>
        <w:rPr>
          <w:lang w:val="en-US"/>
        </w:rPr>
        <w:t>established</w:t>
      </w:r>
      <w:r w:rsidRPr="006C530B">
        <w:rPr>
          <w:lang w:val="en-US"/>
        </w:rPr>
        <w:t xml:space="preserve"> these </w:t>
      </w:r>
      <w:r>
        <w:rPr>
          <w:lang w:val="en-US"/>
        </w:rPr>
        <w:t>reviews</w:t>
      </w:r>
      <w:r w:rsidRPr="006C530B">
        <w:rPr>
          <w:lang w:val="en-US"/>
        </w:rPr>
        <w:t xml:space="preserve"> </w:t>
      </w:r>
      <w:r>
        <w:rPr>
          <w:lang w:val="en-US"/>
        </w:rPr>
        <w:t>to ensure</w:t>
      </w:r>
      <w:r w:rsidRPr="006C530B">
        <w:rPr>
          <w:lang w:val="en-US"/>
        </w:rPr>
        <w:t xml:space="preserve"> </w:t>
      </w:r>
      <w:r>
        <w:rPr>
          <w:lang w:val="en-US"/>
        </w:rPr>
        <w:t>that its approach to implementation of the Basin Plan continued to be based on</w:t>
      </w:r>
      <w:r w:rsidRPr="006C530B">
        <w:rPr>
          <w:lang w:val="en-US"/>
        </w:rPr>
        <w:t xml:space="preserve"> sound evidence and advice.</w:t>
      </w:r>
    </w:p>
    <w:p w:rsidR="00F932E6" w:rsidP="00F932E6" w14:paraId="24B49BB3" w14:textId="77777777">
      <w:pPr>
        <w:rPr>
          <w:lang w:val="en-US"/>
        </w:rPr>
      </w:pPr>
      <w:r>
        <w:rPr>
          <w:lang w:val="en-US"/>
        </w:rPr>
        <w:t xml:space="preserve">The </w:t>
      </w:r>
      <w:r w:rsidRPr="00B603D6">
        <w:rPr>
          <w:i/>
          <w:iCs/>
          <w:lang w:val="en-US"/>
        </w:rPr>
        <w:t xml:space="preserve">Independent </w:t>
      </w:r>
      <w:r>
        <w:rPr>
          <w:i/>
          <w:iCs/>
          <w:lang w:val="en-US"/>
        </w:rPr>
        <w:t>a</w:t>
      </w:r>
      <w:r w:rsidRPr="00B603D6">
        <w:rPr>
          <w:i/>
          <w:iCs/>
          <w:lang w:val="en-US"/>
        </w:rPr>
        <w:t>ssessment of social and economic conditions in the Basin</w:t>
      </w:r>
      <w:r>
        <w:rPr>
          <w:i/>
          <w:iCs/>
          <w:lang w:val="en-US"/>
        </w:rPr>
        <w:t xml:space="preserve"> (2020)</w:t>
      </w:r>
      <w:r>
        <w:rPr>
          <w:lang w:val="en-US"/>
        </w:rPr>
        <w:t xml:space="preserve"> (the Sefton report) found that the impacts of water reform </w:t>
      </w:r>
      <w:r w:rsidR="00113A6A">
        <w:rPr>
          <w:lang w:val="en-US"/>
        </w:rPr>
        <w:t>have been</w:t>
      </w:r>
      <w:r>
        <w:rPr>
          <w:lang w:val="en-US"/>
        </w:rPr>
        <w:t xml:space="preserve"> variable and that some communities were more vulnerable than others to a range of pressures, including drought, commodity price fluctuations and water recovery. The panel, led by </w:t>
      </w:r>
      <w:r w:rsidRPr="00C04D12">
        <w:rPr>
          <w:lang w:val="en-US"/>
        </w:rPr>
        <w:t xml:space="preserve">Ms Robbie Sefton, was appointed in June 2019 and consulted closely with Basin communities to form its recommendations. The Australian </w:t>
      </w:r>
      <w:r w:rsidRPr="00253E2B">
        <w:rPr>
          <w:lang w:val="en-US"/>
        </w:rPr>
        <w:t xml:space="preserve">Government </w:t>
      </w:r>
      <w:r w:rsidRPr="00253E2B" w:rsidR="00253E2B">
        <w:rPr>
          <w:lang w:val="en-US"/>
        </w:rPr>
        <w:t xml:space="preserve">has accepted 20 of the panel’s 22 recommendations in full, in principle or in part </w:t>
      </w:r>
      <w:r w:rsidRPr="00C04D12">
        <w:rPr>
          <w:lang w:val="en-US"/>
        </w:rPr>
        <w:t>and will use its insights to inform priority strategic work areas</w:t>
      </w:r>
      <w:r w:rsidRPr="00C04D12" w:rsidR="00757C0E">
        <w:rPr>
          <w:lang w:val="en-US"/>
        </w:rPr>
        <w:t xml:space="preserve"> with Basin states</w:t>
      </w:r>
      <w:r w:rsidRPr="00C04D12">
        <w:rPr>
          <w:lang w:val="en-US"/>
        </w:rPr>
        <w:t xml:space="preserve">. The recommendations </w:t>
      </w:r>
      <w:r w:rsidRPr="00C04D12" w:rsidR="00827E45">
        <w:rPr>
          <w:lang w:val="en-US"/>
        </w:rPr>
        <w:t>focused</w:t>
      </w:r>
      <w:r w:rsidR="00827E45">
        <w:rPr>
          <w:lang w:val="en-US"/>
        </w:rPr>
        <w:t xml:space="preserve"> on</w:t>
      </w:r>
      <w:r>
        <w:rPr>
          <w:lang w:val="en-US"/>
        </w:rPr>
        <w:t xml:space="preserve">: </w:t>
      </w:r>
    </w:p>
    <w:p w:rsidR="00F932E6" w:rsidP="00F932E6" w14:paraId="3FC5F892" w14:textId="77777777">
      <w:pPr>
        <w:pStyle w:val="ListBullet"/>
        <w:rPr>
          <w:lang w:val="en-US"/>
        </w:rPr>
      </w:pPr>
      <w:r>
        <w:rPr>
          <w:lang w:val="en-US"/>
        </w:rPr>
        <w:t>rebuilding trust and accountability</w:t>
      </w:r>
    </w:p>
    <w:p w:rsidR="00F932E6" w:rsidP="00F932E6" w14:paraId="28DDCB03" w14:textId="77777777">
      <w:pPr>
        <w:pStyle w:val="ListBullet"/>
        <w:rPr>
          <w:lang w:val="en-US"/>
        </w:rPr>
      </w:pPr>
      <w:r>
        <w:rPr>
          <w:lang w:val="en-US"/>
        </w:rPr>
        <w:t>investing in regional communities to stimulate long-term economic growth</w:t>
      </w:r>
    </w:p>
    <w:p w:rsidR="00F932E6" w:rsidP="00F932E6" w14:paraId="5FC200FD" w14:textId="77777777">
      <w:pPr>
        <w:pStyle w:val="ListBullet"/>
        <w:rPr>
          <w:lang w:val="en-US"/>
        </w:rPr>
      </w:pPr>
      <w:r>
        <w:rPr>
          <w:lang w:val="en-US"/>
        </w:rPr>
        <w:t>reducing the effects of water recovery on communities</w:t>
      </w:r>
    </w:p>
    <w:p w:rsidR="00F932E6" w:rsidP="00F932E6" w14:paraId="30ACCE04" w14:textId="77777777">
      <w:pPr>
        <w:pStyle w:val="ListBullet"/>
        <w:rPr>
          <w:lang w:val="en-US"/>
        </w:rPr>
      </w:pPr>
      <w:r>
        <w:rPr>
          <w:lang w:val="en-US"/>
        </w:rPr>
        <w:t>improving access for First Nations Australians to water for economic and cultural needs.</w:t>
      </w:r>
    </w:p>
    <w:p w:rsidR="00F932E6" w:rsidP="00F932E6" w14:paraId="70683CB4" w14:textId="77777777">
      <w:r w:rsidRPr="008A5DF1">
        <w:rPr>
          <w:lang w:val="en-US"/>
        </w:rPr>
        <w:t xml:space="preserve">The </w:t>
      </w:r>
      <w:r w:rsidRPr="008A5DF1">
        <w:rPr>
          <w:i/>
          <w:iCs/>
          <w:lang w:val="en-US"/>
        </w:rPr>
        <w:t>First review of the Water for the Environment Special Account</w:t>
      </w:r>
      <w:r w:rsidRPr="008A5DF1">
        <w:rPr>
          <w:lang w:val="en-US"/>
        </w:rPr>
        <w:t xml:space="preserve"> </w:t>
      </w:r>
      <w:r>
        <w:rPr>
          <w:lang w:val="en-US"/>
        </w:rPr>
        <w:t>(</w:t>
      </w:r>
      <w:r w:rsidRPr="008F1A33">
        <w:rPr>
          <w:i/>
          <w:lang w:val="en-US"/>
        </w:rPr>
        <w:t>2020</w:t>
      </w:r>
      <w:r>
        <w:rPr>
          <w:i/>
          <w:lang w:val="en-US"/>
        </w:rPr>
        <w:t>)</w:t>
      </w:r>
      <w:r>
        <w:rPr>
          <w:lang w:val="en-US"/>
        </w:rPr>
        <w:t xml:space="preserve"> considered whether the Special Account has sufficient funds to enable the recovery of 450 GL of additional environmental water and </w:t>
      </w:r>
      <w:r w:rsidR="00FA4F1A">
        <w:rPr>
          <w:lang w:val="en-US"/>
        </w:rPr>
        <w:t xml:space="preserve">to </w:t>
      </w:r>
      <w:r>
        <w:rPr>
          <w:lang w:val="en-US"/>
        </w:rPr>
        <w:t xml:space="preserve">ease or remove constraints to environmental water delivery by 30 June 2024. </w:t>
      </w:r>
      <w:r>
        <w:t>The statutory review, led by Ms Sally Farrier, found that the recovery of 450 GL of additional environmental water and constraints projects a</w:t>
      </w:r>
      <w:r w:rsidRPr="008F1A33">
        <w:t>re not on track to be achieved by 30</w:t>
      </w:r>
      <w:r w:rsidR="00FA4F1A">
        <w:t> </w:t>
      </w:r>
      <w:r w:rsidRPr="008F1A33">
        <w:t>June 2024 without significant intervention.</w:t>
      </w:r>
    </w:p>
    <w:p w:rsidR="00FD2E2C" w:rsidRPr="00FA4F1A" w:rsidP="00F932E6" w14:paraId="69EDA9A4" w14:textId="77777777">
      <w:pPr>
        <w:rPr>
          <w:lang w:val="en-US"/>
        </w:rPr>
      </w:pPr>
      <w:r>
        <w:rPr>
          <w:lang w:val="en-US"/>
        </w:rPr>
        <w:t xml:space="preserve">The Australian Competition and Consumer Commission (ACCC) has recently released its </w:t>
      </w:r>
      <w:r>
        <w:rPr>
          <w:i/>
          <w:iCs/>
          <w:lang w:val="en-US"/>
        </w:rPr>
        <w:t xml:space="preserve">Murray–Darling Basin water markets inquiry: interim report (2020). </w:t>
      </w:r>
      <w:r>
        <w:rPr>
          <w:lang w:val="en-US"/>
        </w:rPr>
        <w:t xml:space="preserve">The interim report highlights that the current water regulatory framework has not evolved rapidly enough to match the complexities of Murray-Darling Basin water markets. The interim ACCC report does not include final recommendations, and the Australian Government </w:t>
      </w:r>
      <w:r w:rsidR="000E07E0">
        <w:rPr>
          <w:lang w:val="en-US"/>
        </w:rPr>
        <w:t xml:space="preserve">will not </w:t>
      </w:r>
      <w:r>
        <w:rPr>
          <w:lang w:val="en-US"/>
        </w:rPr>
        <w:t xml:space="preserve">pre-empt additional community contributions to that enquiry by making early responses. However, some of the issues raised by the ACCC, such as transparency of information and improving confidence in water governance systems, are likely to be addressed in part by </w:t>
      </w:r>
      <w:r w:rsidR="000E07E0">
        <w:rPr>
          <w:lang w:val="en-US"/>
        </w:rPr>
        <w:t xml:space="preserve">actions </w:t>
      </w:r>
      <w:r>
        <w:rPr>
          <w:lang w:val="en-US"/>
        </w:rPr>
        <w:t xml:space="preserve">in this </w:t>
      </w:r>
      <w:r w:rsidR="000E07E0">
        <w:rPr>
          <w:lang w:val="en-US"/>
        </w:rPr>
        <w:t>Package</w:t>
      </w:r>
      <w:r>
        <w:rPr>
          <w:lang w:val="en-US"/>
        </w:rPr>
        <w:t>, with more specific responses to follow the delivery of the final ACCC report and recommendations</w:t>
      </w:r>
      <w:r w:rsidR="00F932E6">
        <w:rPr>
          <w:lang w:val="en-US"/>
        </w:rPr>
        <w:t>.</w:t>
      </w:r>
      <w:bookmarkStart w:id="7" w:name="_Toc49258976"/>
      <w:bookmarkEnd w:id="4"/>
      <w:bookmarkEnd w:id="5"/>
      <w:bookmarkEnd w:id="6"/>
    </w:p>
    <w:p w:rsidR="00757C0E" w:rsidRPr="00856C0C" w:rsidP="00113A6A" w14:paraId="5D91FA47" w14:textId="77777777">
      <w:pPr>
        <w:pStyle w:val="Heading3"/>
        <w:numPr>
          <w:ilvl w:val="0"/>
          <w:numId w:val="0"/>
        </w:numPr>
        <w:ind w:left="964" w:hanging="964"/>
      </w:pPr>
      <w:r w:rsidRPr="00856C0C">
        <w:t>A new approach</w:t>
      </w:r>
    </w:p>
    <w:p w:rsidR="00F932E6" w:rsidRPr="00FD2E2C" w:rsidP="00F932E6" w14:paraId="443B5FBE" w14:textId="77777777">
      <w:pPr>
        <w:rPr>
          <w:lang w:val="en-US"/>
        </w:rPr>
      </w:pPr>
      <w:r>
        <w:t xml:space="preserve">The Australian Government’s commitment is to work with communities and Basin governments to bring communities back to the heart of the Basin </w:t>
      </w:r>
      <w:r w:rsidRPr="007458C3">
        <w:t xml:space="preserve">Plan. We will work with Basin states within existing legislation </w:t>
      </w:r>
      <w:r>
        <w:t>to</w:t>
      </w:r>
      <w:r w:rsidRPr="007458C3">
        <w:t xml:space="preserve"> </w:t>
      </w:r>
      <w:r>
        <w:t xml:space="preserve">ensure that our approach protects the interests of Basin </w:t>
      </w:r>
      <w:r w:rsidRPr="00FD2E2C">
        <w:t>communities.</w:t>
      </w:r>
      <w:r w:rsidRPr="00FD2E2C">
        <w:rPr>
          <w:lang w:val="en-US"/>
        </w:rPr>
        <w:t xml:space="preserve"> The Basin needs a vibrant irrigated agricultural sector</w:t>
      </w:r>
      <w:r>
        <w:rPr>
          <w:lang w:val="en-US"/>
        </w:rPr>
        <w:t>,</w:t>
      </w:r>
      <w:r w:rsidRPr="00FD2E2C">
        <w:rPr>
          <w:lang w:val="en-US"/>
        </w:rPr>
        <w:t xml:space="preserve"> along with </w:t>
      </w:r>
      <w:r>
        <w:rPr>
          <w:lang w:val="en-US"/>
        </w:rPr>
        <w:t>a healthy and sustainable river system that supports the industries and people that live along it</w:t>
      </w:r>
      <w:r w:rsidRPr="00FD2E2C" w:rsidR="00827E45">
        <w:rPr>
          <w:lang w:val="en-US"/>
        </w:rPr>
        <w:t>.</w:t>
      </w:r>
    </w:p>
    <w:p w:rsidR="00FA4F1A" w:rsidRPr="008C3189" w:rsidP="00FA4F1A" w14:paraId="34D4CFB8" w14:textId="77777777">
      <w:pPr>
        <w:rPr>
          <w:lang w:val="en-US"/>
        </w:rPr>
      </w:pPr>
      <w:r w:rsidRPr="0015358A">
        <w:t>The Australian</w:t>
      </w:r>
      <w:r>
        <w:t xml:space="preserve"> Government’s investments in the Basin are designed to</w:t>
      </w:r>
      <w:r w:rsidRPr="008C3189">
        <w:t xml:space="preserve"> stimulate long</w:t>
      </w:r>
      <w:r>
        <w:t>-</w:t>
      </w:r>
      <w:r w:rsidRPr="008C3189">
        <w:t>term and sustainable economic growth.</w:t>
      </w:r>
      <w:r>
        <w:t xml:space="preserve"> They are about promoting</w:t>
      </w:r>
      <w:r w:rsidRPr="008C3189">
        <w:rPr>
          <w:lang w:val="en-US"/>
        </w:rPr>
        <w:t xml:space="preserve"> innovative ways to deliver water recovery</w:t>
      </w:r>
      <w:r>
        <w:rPr>
          <w:lang w:val="en-US"/>
        </w:rPr>
        <w:t xml:space="preserve"> </w:t>
      </w:r>
      <w:r>
        <w:t>that support, instead of damage, Basin communities.</w:t>
      </w:r>
      <w:r w:rsidRPr="00827E45">
        <w:rPr>
          <w:lang w:val="en-US"/>
        </w:rPr>
        <w:t xml:space="preserve"> </w:t>
      </w:r>
    </w:p>
    <w:p w:rsidR="00F932E6" w:rsidRPr="00AE330C" w:rsidP="00F932E6" w14:paraId="63319B8F" w14:textId="77777777">
      <w:pPr>
        <w:rPr>
          <w:lang w:val="en-US"/>
        </w:rPr>
      </w:pPr>
      <w:r>
        <w:rPr>
          <w:lang w:val="en-US"/>
        </w:rPr>
        <w:t xml:space="preserve">While some Basin communities are doing well, others that are more reliant on irrigated agriculture </w:t>
      </w:r>
      <w:r w:rsidR="00FA4F1A">
        <w:rPr>
          <w:lang w:val="en-US"/>
        </w:rPr>
        <w:t xml:space="preserve">have proved </w:t>
      </w:r>
      <w:r>
        <w:rPr>
          <w:lang w:val="en-US"/>
        </w:rPr>
        <w:t>more vulnerable to</w:t>
      </w:r>
      <w:r w:rsidR="00FA4F1A">
        <w:rPr>
          <w:lang w:val="en-US"/>
        </w:rPr>
        <w:t xml:space="preserve"> the</w:t>
      </w:r>
      <w:r>
        <w:rPr>
          <w:lang w:val="en-US"/>
        </w:rPr>
        <w:t xml:space="preserve"> negative effects </w:t>
      </w:r>
      <w:r w:rsidR="00FA4F1A">
        <w:rPr>
          <w:lang w:val="en-US"/>
        </w:rPr>
        <w:t>of</w:t>
      </w:r>
      <w:r>
        <w:rPr>
          <w:lang w:val="en-US"/>
        </w:rPr>
        <w:t xml:space="preserve"> water recovery. The recent </w:t>
      </w:r>
      <w:r w:rsidRPr="00113A6A" w:rsidR="00113A6A">
        <w:rPr>
          <w:lang w:val="en-US"/>
        </w:rPr>
        <w:t>Sefton report</w:t>
      </w:r>
      <w:r w:rsidR="000E07E0">
        <w:rPr>
          <w:lang w:val="en-US"/>
        </w:rPr>
        <w:t xml:space="preserve"> </w:t>
      </w:r>
      <w:r>
        <w:rPr>
          <w:lang w:val="en-US"/>
        </w:rPr>
        <w:t xml:space="preserve">highlighted the need to invest in regional communities to stimulate long-term economic growth and ensure future water recovery does not outstrip communities’ capacity to </w:t>
      </w:r>
      <w:r w:rsidRPr="00C04D12">
        <w:rPr>
          <w:lang w:val="en-US"/>
        </w:rPr>
        <w:t>adjust.</w:t>
      </w:r>
    </w:p>
    <w:p w:rsidR="00757C0E" w:rsidP="007D1B05" w14:paraId="0129B55D" w14:textId="77777777">
      <w:pPr>
        <w:rPr>
          <w:lang w:val="en-US"/>
        </w:rPr>
      </w:pPr>
      <w:r>
        <w:rPr>
          <w:lang w:val="en-US"/>
        </w:rPr>
        <w:t>The Australian Government’s new approach to implementing the Basin Plan is focused around three high level objectives that are supported by practical and realistic actions:</w:t>
      </w:r>
    </w:p>
    <w:p w:rsidR="00FA4F1A" w:rsidP="00113A6A" w14:paraId="381F604A" w14:textId="77777777">
      <w:pPr>
        <w:pStyle w:val="ListBullet"/>
        <w:rPr>
          <w:b/>
          <w:bCs/>
          <w:lang w:val="en-US"/>
        </w:rPr>
      </w:pPr>
      <w:r>
        <w:rPr>
          <w:b/>
          <w:bCs/>
          <w:lang w:val="en-US"/>
        </w:rPr>
        <w:t xml:space="preserve">Invest in community resilience and river health </w:t>
      </w:r>
    </w:p>
    <w:p w:rsidR="00FA4F1A" w:rsidRPr="00FA4F1A" w:rsidP="00FA4F1A" w14:paraId="26BDD6DE" w14:textId="77777777">
      <w:pPr>
        <w:pStyle w:val="ListBullet2"/>
        <w:rPr>
          <w:lang w:val="en-US"/>
        </w:rPr>
      </w:pPr>
      <w:r w:rsidRPr="003E231A">
        <w:rPr>
          <w:lang w:val="en-US"/>
        </w:rPr>
        <w:t>Investment is needed in communities as well as in infrastructure and river health to maximize the benefits of the Basin Plan. That means involving communities in identifying and implementing local solutions to local problems.</w:t>
      </w:r>
    </w:p>
    <w:p w:rsidR="00757C0E" w:rsidRPr="00113A6A" w:rsidP="00113A6A" w14:paraId="5BE8DBBD" w14:textId="77777777">
      <w:pPr>
        <w:pStyle w:val="ListBullet"/>
        <w:rPr>
          <w:b/>
          <w:bCs/>
          <w:lang w:val="en-US"/>
        </w:rPr>
      </w:pPr>
      <w:r w:rsidRPr="00113A6A">
        <w:rPr>
          <w:b/>
          <w:bCs/>
          <w:lang w:val="en-US"/>
        </w:rPr>
        <w:t xml:space="preserve">Build trust, transparency and accountability in government </w:t>
      </w:r>
    </w:p>
    <w:p w:rsidR="00757C0E" w:rsidP="00113A6A" w14:paraId="0F42BA61" w14:textId="77777777">
      <w:pPr>
        <w:pStyle w:val="ListBullet2"/>
        <w:rPr>
          <w:lang w:val="en-US"/>
        </w:rPr>
      </w:pPr>
      <w:r w:rsidRPr="00C04D12">
        <w:rPr>
          <w:lang w:val="en-US"/>
        </w:rPr>
        <w:t xml:space="preserve">Government </w:t>
      </w:r>
      <w:r w:rsidRPr="00C04D12" w:rsidR="00BA7076">
        <w:rPr>
          <w:lang w:val="en-US"/>
        </w:rPr>
        <w:t xml:space="preserve">at all levels </w:t>
      </w:r>
      <w:r w:rsidRPr="00C04D12">
        <w:rPr>
          <w:lang w:val="en-US"/>
        </w:rPr>
        <w:t>need</w:t>
      </w:r>
      <w:r w:rsidRPr="00C04D12" w:rsidR="00BA7076">
        <w:rPr>
          <w:lang w:val="en-US"/>
        </w:rPr>
        <w:t xml:space="preserve"> </w:t>
      </w:r>
      <w:r w:rsidRPr="00C04D12">
        <w:rPr>
          <w:lang w:val="en-US"/>
        </w:rPr>
        <w:t>to provide transparent and accountable leadership. Communities have asked for and deserve strong leadership; they need access to reliable and trustworthy information and they need confidence in the institutions that manage water in the Basin.</w:t>
      </w:r>
    </w:p>
    <w:p w:rsidR="00757C0E" w:rsidRPr="00113A6A" w:rsidP="00113A6A" w14:paraId="0DF4D11D" w14:textId="77777777">
      <w:pPr>
        <w:pStyle w:val="ListBullet"/>
        <w:rPr>
          <w:b/>
          <w:bCs/>
          <w:lang w:val="en-US"/>
        </w:rPr>
      </w:pPr>
      <w:r w:rsidRPr="00113A6A">
        <w:rPr>
          <w:b/>
          <w:bCs/>
          <w:lang w:val="en-US"/>
        </w:rPr>
        <w:t>Improving implementation of the Basin Plan</w:t>
      </w:r>
    </w:p>
    <w:p w:rsidR="00757C0E" w:rsidP="00113A6A" w14:paraId="04071005" w14:textId="77777777">
      <w:pPr>
        <w:pStyle w:val="ListBullet2"/>
        <w:rPr>
          <w:lang w:val="en-US"/>
        </w:rPr>
      </w:pPr>
      <w:r>
        <w:rPr>
          <w:lang w:val="en-US"/>
        </w:rPr>
        <w:t>Basin g</w:t>
      </w:r>
      <w:r w:rsidRPr="00757C0E">
        <w:rPr>
          <w:lang w:val="en-US"/>
        </w:rPr>
        <w:t xml:space="preserve">overnment’s </w:t>
      </w:r>
      <w:r w:rsidRPr="006C530B" w:rsidR="00BA7076">
        <w:rPr>
          <w:lang w:val="en-US"/>
        </w:rPr>
        <w:t>need to redouble efforts to achieve Basin Plan water recovery by 30</w:t>
      </w:r>
      <w:r w:rsidR="00C04D12">
        <w:rPr>
          <w:lang w:val="en-US"/>
        </w:rPr>
        <w:t> </w:t>
      </w:r>
      <w:r w:rsidRPr="006C530B" w:rsidR="00BA7076">
        <w:rPr>
          <w:lang w:val="en-US"/>
        </w:rPr>
        <w:t>June 2024 to give the community the certainty it has been calling for</w:t>
      </w:r>
      <w:r w:rsidR="00BA7076">
        <w:rPr>
          <w:lang w:val="en-US"/>
        </w:rPr>
        <w:t xml:space="preserve">. They need </w:t>
      </w:r>
      <w:r w:rsidRPr="00757C0E">
        <w:rPr>
          <w:lang w:val="en-US"/>
        </w:rPr>
        <w:t xml:space="preserve">to </w:t>
      </w:r>
      <w:r w:rsidR="00BA7076">
        <w:rPr>
          <w:lang w:val="en-US"/>
        </w:rPr>
        <w:t xml:space="preserve">do this in a way that </w:t>
      </w:r>
      <w:r w:rsidRPr="00757C0E">
        <w:rPr>
          <w:lang w:val="en-US"/>
        </w:rPr>
        <w:t>maximise</w:t>
      </w:r>
      <w:r w:rsidR="00BA7076">
        <w:rPr>
          <w:lang w:val="en-US"/>
        </w:rPr>
        <w:t>s</w:t>
      </w:r>
      <w:r w:rsidRPr="00757C0E">
        <w:rPr>
          <w:lang w:val="en-US"/>
        </w:rPr>
        <w:t xml:space="preserve"> </w:t>
      </w:r>
      <w:r w:rsidRPr="00A92BFF">
        <w:rPr>
          <w:lang w:val="en-US"/>
        </w:rPr>
        <w:t>water recovery for the environment while minimising impacts on farmers and comm</w:t>
      </w:r>
      <w:r w:rsidRPr="00E3136F">
        <w:rPr>
          <w:lang w:val="en-US"/>
        </w:rPr>
        <w:t>unities.</w:t>
      </w:r>
    </w:p>
    <w:p w:rsidR="00113A6A" w:rsidRPr="006C530B" w:rsidP="00113A6A" w14:paraId="1DFE3210" w14:textId="77777777">
      <w:pPr>
        <w:pStyle w:val="ListBullet"/>
        <w:numPr>
          <w:ilvl w:val="0"/>
          <w:numId w:val="0"/>
        </w:numPr>
        <w:rPr>
          <w:lang w:val="en-US"/>
        </w:rPr>
      </w:pPr>
      <w:r>
        <w:rPr>
          <w:lang w:val="en-US"/>
        </w:rPr>
        <w:t>The Australian Government is committed to work with Basin governments on the objectives and actions in this Package.</w:t>
      </w:r>
    </w:p>
    <w:p w:rsidR="00F932E6" w:rsidP="00F932E6" w14:paraId="3BD343AA" w14:textId="46E84E13">
      <w:pPr>
        <w:pStyle w:val="Heading2"/>
        <w:numPr>
          <w:ilvl w:val="0"/>
          <w:numId w:val="0"/>
        </w:numPr>
        <w:ind w:left="720" w:hanging="720"/>
        <w:rPr>
          <w:lang w:val="en-US"/>
        </w:rPr>
      </w:pPr>
      <w:bookmarkStart w:id="8" w:name="_Toc430782157"/>
      <w:bookmarkEnd w:id="7"/>
      <w:r>
        <w:rPr>
          <w:lang w:val="en-US"/>
        </w:rPr>
        <w:t xml:space="preserve">Investment </w:t>
      </w:r>
      <w:r w:rsidR="003C1216">
        <w:rPr>
          <w:lang w:val="en-US"/>
        </w:rPr>
        <w:t>p</w:t>
      </w:r>
      <w:r>
        <w:rPr>
          <w:lang w:val="en-US"/>
        </w:rPr>
        <w:t>ackage</w:t>
      </w:r>
    </w:p>
    <w:p w:rsidR="00601474" w:rsidP="00601474" w14:paraId="32D79EE9" w14:textId="77777777">
      <w:pPr>
        <w:pStyle w:val="Heading3"/>
        <w:numPr>
          <w:ilvl w:val="0"/>
          <w:numId w:val="0"/>
        </w:numPr>
        <w:ind w:left="964" w:hanging="964"/>
        <w:rPr>
          <w:lang w:val="en-US"/>
        </w:rPr>
      </w:pPr>
      <w:bookmarkStart w:id="9" w:name="_Toc49258981"/>
      <w:bookmarkStart w:id="10" w:name="_Toc49258980"/>
      <w:r>
        <w:rPr>
          <w:lang w:val="en-US"/>
        </w:rPr>
        <w:t>Invest in</w:t>
      </w:r>
      <w:r w:rsidRPr="00B355F3">
        <w:rPr>
          <w:lang w:val="en-US"/>
        </w:rPr>
        <w:t xml:space="preserve"> community </w:t>
      </w:r>
      <w:r>
        <w:rPr>
          <w:lang w:val="en-US"/>
        </w:rPr>
        <w:t xml:space="preserve">resilience </w:t>
      </w:r>
      <w:r w:rsidRPr="00B355F3">
        <w:rPr>
          <w:lang w:val="en-US"/>
        </w:rPr>
        <w:t>and river health</w:t>
      </w:r>
      <w:bookmarkEnd w:id="9"/>
    </w:p>
    <w:tbl>
      <w:tblPr>
        <w:tblW w:w="5082" w:type="pct"/>
        <w:tblInd w:w="0" w:type="dxa"/>
        <w:tblBorders>
          <w:insideH w:val="single" w:sz="4" w:space="0" w:color="auto"/>
        </w:tblBorders>
        <w:tblCellMar>
          <w:top w:w="0" w:type="dxa"/>
          <w:left w:w="40" w:type="dxa"/>
          <w:bottom w:w="0" w:type="dxa"/>
          <w:right w:w="40" w:type="dxa"/>
        </w:tblCellMar>
        <w:tblLook w:val="0000"/>
      </w:tblPr>
      <w:tblGrid>
        <w:gridCol w:w="2834"/>
        <w:gridCol w:w="4115"/>
        <w:gridCol w:w="2270"/>
      </w:tblGrid>
      <w:tr w14:paraId="55A6E70B" w14:textId="77777777" w:rsidTr="00C73C76">
        <w:tblPrEx>
          <w:tblW w:w="5082" w:type="pct"/>
          <w:tblInd w:w="0" w:type="dxa"/>
          <w:tblBorders>
            <w:insideH w:val="single" w:sz="4" w:space="0" w:color="auto"/>
          </w:tblBorders>
          <w:tblCellMar>
            <w:top w:w="0" w:type="dxa"/>
            <w:left w:w="40" w:type="dxa"/>
            <w:bottom w:w="0" w:type="dxa"/>
            <w:right w:w="40" w:type="dxa"/>
          </w:tblCellMar>
          <w:tblLook w:val="0000"/>
        </w:tblPrEx>
        <w:trPr>
          <w:cantSplit/>
          <w:tblHeader/>
        </w:trPr>
        <w:tc>
          <w:tcPr>
            <w:tcW w:w="1537" w:type="pct"/>
            <w:tcBorders>
              <w:top w:val="single" w:sz="4" w:space="0" w:color="auto"/>
              <w:bottom w:val="single" w:sz="4" w:space="0" w:color="auto"/>
            </w:tcBorders>
            <w:tcMar>
              <w:left w:w="108" w:type="dxa"/>
              <w:right w:w="108" w:type="dxa"/>
            </w:tcMar>
          </w:tcPr>
          <w:p w:rsidR="00601474" w:rsidP="000C1DB5" w14:paraId="14F8156F"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What we are doing</w:t>
            </w:r>
          </w:p>
        </w:tc>
        <w:tc>
          <w:tcPr>
            <w:tcW w:w="2232" w:type="pct"/>
            <w:tcBorders>
              <w:top w:val="single" w:sz="4" w:space="0" w:color="auto"/>
              <w:bottom w:val="single" w:sz="4" w:space="0" w:color="auto"/>
            </w:tcBorders>
            <w:tcMar>
              <w:left w:w="108" w:type="dxa"/>
              <w:right w:w="108" w:type="dxa"/>
            </w:tcMar>
          </w:tcPr>
          <w:p w:rsidR="00601474" w:rsidP="000C1DB5" w14:paraId="0C5AED10"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How we will do it</w:t>
            </w:r>
          </w:p>
        </w:tc>
        <w:tc>
          <w:tcPr>
            <w:tcW w:w="1231" w:type="pct"/>
            <w:tcBorders>
              <w:top w:val="single" w:sz="4" w:space="0" w:color="auto"/>
              <w:bottom w:val="single" w:sz="4" w:space="0" w:color="auto"/>
            </w:tcBorders>
            <w:tcMar>
              <w:left w:w="108" w:type="dxa"/>
              <w:right w:w="108" w:type="dxa"/>
            </w:tcMar>
          </w:tcPr>
          <w:p w:rsidR="00601474" w:rsidP="000C1DB5" w14:paraId="174538F6"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By when</w:t>
            </w:r>
          </w:p>
        </w:tc>
      </w:tr>
      <w:tr w14:paraId="512CAEAB" w14:textId="77777777" w:rsidTr="00C73C76">
        <w:tblPrEx>
          <w:tblW w:w="5082" w:type="pct"/>
          <w:tblInd w:w="0" w:type="dxa"/>
          <w:tblCellMar>
            <w:top w:w="0" w:type="dxa"/>
            <w:left w:w="40" w:type="dxa"/>
            <w:bottom w:w="0" w:type="dxa"/>
            <w:right w:w="40" w:type="dxa"/>
          </w:tblCellMar>
          <w:tblLook w:val="0000"/>
        </w:tblPrEx>
        <w:tc>
          <w:tcPr>
            <w:tcW w:w="1537" w:type="pct"/>
            <w:tcBorders>
              <w:top w:val="single" w:sz="4" w:space="0" w:color="auto"/>
            </w:tcBorders>
            <w:tcMar>
              <w:left w:w="108" w:type="dxa"/>
              <w:right w:w="108" w:type="dxa"/>
            </w:tcMar>
          </w:tcPr>
          <w:p w:rsidR="00601474" w:rsidRPr="00EF77CC" w:rsidP="00601474" w14:paraId="7EFA7B3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Maximising the benefits of the Basin Plan for communities</w:t>
            </w:r>
          </w:p>
        </w:tc>
        <w:tc>
          <w:tcPr>
            <w:tcW w:w="2232" w:type="pct"/>
            <w:tcBorders>
              <w:top w:val="single" w:sz="4" w:space="0" w:color="auto"/>
            </w:tcBorders>
            <w:tcMar>
              <w:left w:w="108" w:type="dxa"/>
              <w:right w:w="108" w:type="dxa"/>
            </w:tcMar>
          </w:tcPr>
          <w:p w:rsidR="00601474" w:rsidP="00601474" w14:paraId="6A56E91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Deliver</w:t>
            </w:r>
            <w:r w:rsidRPr="00EF77CC">
              <w:rPr>
                <w:rFonts w:ascii="Cambria" w:hAnsi="Cambria" w:eastAsiaTheme="minorHAnsi" w:cstheme="minorBidi"/>
                <w:sz w:val="18"/>
                <w:szCs w:val="22"/>
                <w:lang w:val="en-AU" w:eastAsia="en-US" w:bidi="ar-SA"/>
              </w:rPr>
              <w:t xml:space="preserve"> </w:t>
            </w:r>
            <w:r w:rsidRPr="008331F2">
              <w:rPr>
                <w:rFonts w:ascii="Cambria" w:hAnsi="Cambria" w:eastAsiaTheme="minorHAnsi" w:cstheme="minorBidi"/>
                <w:sz w:val="18"/>
                <w:szCs w:val="22"/>
                <w:lang w:val="en-AU" w:eastAsia="en-US" w:bidi="ar-SA"/>
              </w:rPr>
              <w:t>$34 million</w:t>
            </w:r>
            <w:r>
              <w:rPr>
                <w:rFonts w:ascii="Cambria" w:hAnsi="Cambria" w:eastAsiaTheme="minorHAnsi" w:cstheme="minorBidi"/>
                <w:sz w:val="18"/>
                <w:szCs w:val="22"/>
                <w:lang w:val="en-AU" w:eastAsia="en-US" w:bidi="ar-SA"/>
              </w:rPr>
              <w:t xml:space="preserve"> for economic assistance to </w:t>
            </w:r>
            <w:r w:rsidRPr="00EF77CC">
              <w:rPr>
                <w:rFonts w:ascii="Cambria" w:hAnsi="Cambria" w:eastAsiaTheme="minorHAnsi" w:cstheme="minorBidi"/>
                <w:sz w:val="18"/>
                <w:szCs w:val="22"/>
                <w:lang w:val="en-AU" w:eastAsia="en-US" w:bidi="ar-SA"/>
              </w:rPr>
              <w:t xml:space="preserve">communities </w:t>
            </w:r>
            <w:r w:rsidRPr="008331F2">
              <w:rPr>
                <w:rFonts w:ascii="Cambria" w:hAnsi="Cambria" w:eastAsiaTheme="minorHAnsi" w:cstheme="minorBidi"/>
                <w:sz w:val="18"/>
                <w:szCs w:val="22"/>
                <w:lang w:val="en-AU" w:eastAsia="en-US" w:bidi="ar-SA"/>
              </w:rPr>
              <w:t>struggling with the effects of water recovery</w:t>
            </w:r>
            <w:r w:rsidRPr="00EF77CC">
              <w:rPr>
                <w:rFonts w:ascii="Cambria" w:hAnsi="Cambria" w:eastAsiaTheme="minorHAnsi" w:cstheme="minorBidi"/>
                <w:sz w:val="18"/>
                <w:szCs w:val="22"/>
                <w:lang w:val="en-AU" w:eastAsia="en-US" w:bidi="ar-SA"/>
              </w:rPr>
              <w:t xml:space="preserve"> </w:t>
            </w:r>
            <w:r>
              <w:rPr>
                <w:rFonts w:ascii="Cambria" w:hAnsi="Cambria" w:eastAsiaTheme="minorHAnsi" w:cstheme="minorBidi"/>
                <w:sz w:val="18"/>
                <w:szCs w:val="22"/>
                <w:lang w:val="en-AU" w:eastAsia="en-US" w:bidi="ar-SA"/>
              </w:rPr>
              <w:t>by extending the successful competitive grants Murray–Darling Basin Economic Development Program.</w:t>
            </w:r>
          </w:p>
          <w:p w:rsidR="00601474" w:rsidP="00601474" w14:paraId="2339030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G</w:t>
            </w:r>
            <w:r w:rsidRPr="00EE44C2">
              <w:rPr>
                <w:rFonts w:ascii="Cambria" w:hAnsi="Cambria" w:eastAsiaTheme="minorHAnsi" w:cstheme="minorBidi"/>
                <w:sz w:val="18"/>
                <w:szCs w:val="22"/>
                <w:lang w:val="en-AU" w:eastAsia="en-US" w:bidi="ar-SA"/>
              </w:rPr>
              <w:t>rants may be used to provide eligible communities impacted by water recovery programs with practical assistance to boost tourism and recreation</w:t>
            </w:r>
            <w:r w:rsidRPr="00632637">
              <w:rPr>
                <w:rFonts w:ascii="Cambria" w:hAnsi="Cambria" w:eastAsiaTheme="minorHAnsi" w:cstheme="minorBidi"/>
                <w:sz w:val="18"/>
                <w:szCs w:val="22"/>
                <w:lang w:val="en-AU" w:eastAsia="en-US" w:bidi="ar-SA"/>
              </w:rPr>
              <w:t xml:space="preserve"> and to diversify economically.</w:t>
            </w:r>
          </w:p>
          <w:p w:rsidR="00601474" w:rsidP="00601474" w14:paraId="5D35FE0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This action responds to needs identified in the Sefton report and builds on the $</w:t>
            </w:r>
            <w:r w:rsidR="000E07E0">
              <w:rPr>
                <w:rFonts w:ascii="Cambria" w:hAnsi="Cambria" w:eastAsiaTheme="minorHAnsi" w:cstheme="minorBidi"/>
                <w:sz w:val="18"/>
                <w:szCs w:val="22"/>
                <w:lang w:val="en-AU" w:eastAsia="en-US" w:bidi="ar-SA"/>
              </w:rPr>
              <w:t xml:space="preserve">40 </w:t>
            </w:r>
            <w:r>
              <w:rPr>
                <w:rFonts w:ascii="Cambria" w:hAnsi="Cambria" w:eastAsiaTheme="minorHAnsi" w:cstheme="minorBidi"/>
                <w:sz w:val="18"/>
                <w:szCs w:val="22"/>
                <w:lang w:val="en-AU" w:eastAsia="en-US" w:bidi="ar-SA"/>
              </w:rPr>
              <w:t>million investment to date from 2 rounds of the Murray–Darling Basin Economic Development Program.</w:t>
            </w:r>
          </w:p>
          <w:p w:rsidR="00601474" w:rsidP="0083285F" w14:paraId="7B60491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This action responds to recommendations </w:t>
            </w:r>
            <w:r w:rsidR="0083285F">
              <w:rPr>
                <w:rFonts w:ascii="Cambria" w:hAnsi="Cambria" w:eastAsiaTheme="minorHAnsi" w:cstheme="minorBidi"/>
                <w:sz w:val="18"/>
                <w:szCs w:val="22"/>
                <w:lang w:val="en-AU" w:eastAsia="en-US" w:bidi="ar-SA"/>
              </w:rPr>
              <w:t xml:space="preserve">of </w:t>
            </w:r>
            <w:r>
              <w:rPr>
                <w:rFonts w:ascii="Cambria" w:hAnsi="Cambria" w:eastAsiaTheme="minorHAnsi" w:cstheme="minorBidi"/>
                <w:sz w:val="18"/>
                <w:szCs w:val="22"/>
                <w:lang w:val="en-AU" w:eastAsia="en-US" w:bidi="ar-SA"/>
              </w:rPr>
              <w:t>the Sefton report.</w:t>
            </w:r>
          </w:p>
        </w:tc>
        <w:tc>
          <w:tcPr>
            <w:tcW w:w="1231" w:type="pct"/>
            <w:tcBorders>
              <w:top w:val="single" w:sz="4" w:space="0" w:color="auto"/>
            </w:tcBorders>
            <w:tcMar>
              <w:left w:w="108" w:type="dxa"/>
              <w:right w:w="108" w:type="dxa"/>
            </w:tcMar>
          </w:tcPr>
          <w:p w:rsidR="00601474" w:rsidRPr="00E849C6" w:rsidP="00601474" w14:paraId="37E191D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E849C6">
              <w:rPr>
                <w:rFonts w:ascii="Cambria" w:hAnsi="Cambria" w:eastAsiaTheme="minorHAnsi" w:cstheme="minorBidi"/>
                <w:sz w:val="18"/>
                <w:szCs w:val="22"/>
                <w:lang w:val="en-AU" w:eastAsia="en-US" w:bidi="ar-SA"/>
              </w:rPr>
              <w:t>Quarter 1 2021 – round 3</w:t>
            </w:r>
          </w:p>
          <w:p w:rsidR="00601474" w:rsidRPr="00E849C6" w:rsidP="00601474" w14:paraId="63A4907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601474" w:rsidP="00601474" w14:paraId="3B47EBC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E849C6">
              <w:rPr>
                <w:rFonts w:ascii="Cambria" w:hAnsi="Cambria" w:eastAsiaTheme="minorHAnsi" w:cstheme="minorBidi"/>
                <w:sz w:val="18"/>
                <w:szCs w:val="22"/>
                <w:lang w:val="en-AU" w:eastAsia="en-US" w:bidi="ar-SA"/>
              </w:rPr>
              <w:t>Quarter 1 2022 – round 4</w:t>
            </w:r>
          </w:p>
        </w:tc>
      </w:tr>
      <w:tr w14:paraId="22D028FE" w14:textId="77777777" w:rsidTr="00C73C76">
        <w:tblPrEx>
          <w:tblW w:w="5082" w:type="pct"/>
          <w:tblInd w:w="0" w:type="dxa"/>
          <w:tblCellMar>
            <w:top w:w="0" w:type="dxa"/>
            <w:left w:w="40" w:type="dxa"/>
            <w:bottom w:w="0" w:type="dxa"/>
            <w:right w:w="40" w:type="dxa"/>
          </w:tblCellMar>
          <w:tblLook w:val="0000"/>
        </w:tblPrEx>
        <w:tc>
          <w:tcPr>
            <w:tcW w:w="1537" w:type="pct"/>
            <w:tcMar>
              <w:left w:w="108" w:type="dxa"/>
              <w:right w:w="108" w:type="dxa"/>
            </w:tcMar>
          </w:tcPr>
          <w:p w:rsidR="00601474" w:rsidP="00601474" w14:paraId="3A35C89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EF77CC">
              <w:rPr>
                <w:rFonts w:ascii="Cambria" w:hAnsi="Cambria" w:eastAsiaTheme="minorHAnsi" w:cstheme="minorBidi"/>
                <w:sz w:val="18"/>
                <w:szCs w:val="22"/>
                <w:lang w:val="en-AU" w:eastAsia="en-US" w:bidi="ar-SA"/>
              </w:rPr>
              <w:t>Improv</w:t>
            </w:r>
            <w:r>
              <w:rPr>
                <w:rFonts w:ascii="Cambria" w:hAnsi="Cambria" w:eastAsiaTheme="minorHAnsi" w:cstheme="minorBidi"/>
                <w:sz w:val="18"/>
                <w:szCs w:val="22"/>
                <w:lang w:val="en-AU" w:eastAsia="en-US" w:bidi="ar-SA"/>
              </w:rPr>
              <w:t>ing</w:t>
            </w:r>
            <w:r w:rsidRPr="00EF77CC">
              <w:rPr>
                <w:rFonts w:ascii="Cambria" w:hAnsi="Cambria" w:eastAsiaTheme="minorHAnsi" w:cstheme="minorBidi"/>
                <w:sz w:val="18"/>
                <w:szCs w:val="22"/>
                <w:lang w:val="en-AU" w:eastAsia="en-US" w:bidi="ar-SA"/>
              </w:rPr>
              <w:t xml:space="preserve"> river health for all users</w:t>
            </w:r>
          </w:p>
        </w:tc>
        <w:tc>
          <w:tcPr>
            <w:tcW w:w="2232" w:type="pct"/>
            <w:tcMar>
              <w:left w:w="108" w:type="dxa"/>
              <w:right w:w="108" w:type="dxa"/>
            </w:tcMar>
          </w:tcPr>
          <w:p w:rsidR="00601474" w:rsidP="00601474" w14:paraId="3C5DF77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Deliver </w:t>
            </w:r>
            <w:r w:rsidRPr="00D560D3">
              <w:rPr>
                <w:rFonts w:ascii="Cambria" w:hAnsi="Cambria" w:eastAsiaTheme="minorHAnsi" w:cstheme="minorBidi"/>
                <w:sz w:val="18"/>
                <w:szCs w:val="22"/>
                <w:lang w:val="en-AU" w:eastAsia="en-US" w:bidi="ar-SA"/>
              </w:rPr>
              <w:t>$20 million</w:t>
            </w:r>
            <w:r>
              <w:rPr>
                <w:rFonts w:ascii="Cambria" w:hAnsi="Cambria" w:eastAsiaTheme="minorHAnsi" w:cstheme="minorBidi"/>
                <w:sz w:val="18"/>
                <w:szCs w:val="22"/>
                <w:lang w:val="en-AU" w:eastAsia="en-US" w:bidi="ar-SA"/>
              </w:rPr>
              <w:t xml:space="preserve"> to fund community-driven grants for on-ground projects that will improve the health of rivers and wetlands.</w:t>
            </w:r>
          </w:p>
          <w:p w:rsidR="00601474" w:rsidP="00601474" w14:paraId="7BEC690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This builds on existing commitments to the environment of:</w:t>
            </w:r>
          </w:p>
          <w:p w:rsidR="00601474" w:rsidP="00601474" w14:paraId="3786EE1E" w14:textId="77777777">
            <w:pPr>
              <w:pStyle w:val="TableText"/>
              <w:numPr>
                <w:ilvl w:val="0"/>
                <w:numId w:val="4"/>
              </w:numPr>
              <w:spacing w:before="60" w:after="60" w:line="240" w:lineRule="auto"/>
              <w:ind w:left="360" w:hanging="360"/>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$6 million for </w:t>
            </w:r>
            <w:r w:rsidRPr="001E36F7" w:rsidR="001E36F7">
              <w:rPr>
                <w:rFonts w:ascii="Cambria" w:hAnsi="Cambria" w:eastAsiaTheme="minorHAnsi" w:cstheme="minorBidi"/>
                <w:sz w:val="18"/>
                <w:szCs w:val="22"/>
                <w:lang w:val="en-AU" w:eastAsia="en-US" w:bidi="ar-SA"/>
              </w:rPr>
              <w:t xml:space="preserve">fish ways </w:t>
            </w:r>
            <w:r>
              <w:rPr>
                <w:rFonts w:ascii="Cambria" w:hAnsi="Cambria" w:eastAsiaTheme="minorHAnsi" w:cstheme="minorBidi"/>
                <w:sz w:val="18"/>
                <w:szCs w:val="22"/>
                <w:lang w:val="en-AU" w:eastAsia="en-US" w:bidi="ar-SA"/>
              </w:rPr>
              <w:t>in the Lower Darling</w:t>
            </w:r>
          </w:p>
          <w:p w:rsidR="00601474" w:rsidP="00601474" w14:paraId="4E69B902" w14:textId="77777777">
            <w:pPr>
              <w:pStyle w:val="TableText"/>
              <w:numPr>
                <w:ilvl w:val="0"/>
                <w:numId w:val="4"/>
              </w:numPr>
              <w:spacing w:before="60" w:after="60" w:line="240" w:lineRule="auto"/>
              <w:ind w:left="360" w:hanging="360"/>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$10 million to establish hatcheries at St George and Menindee</w:t>
            </w:r>
          </w:p>
          <w:p w:rsidR="00601474" w:rsidP="00601474" w14:paraId="48EB5FD6" w14:textId="77777777">
            <w:pPr>
              <w:pStyle w:val="TableText"/>
              <w:numPr>
                <w:ilvl w:val="0"/>
                <w:numId w:val="4"/>
              </w:numPr>
              <w:spacing w:before="60" w:after="60" w:line="240" w:lineRule="auto"/>
              <w:ind w:left="360" w:hanging="360"/>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$15 million to fence Northern Basin riverbanks</w:t>
            </w:r>
          </w:p>
          <w:p w:rsidR="00601474" w:rsidP="00601474" w14:paraId="08C873FB" w14:textId="77777777">
            <w:pPr>
              <w:pStyle w:val="TableText"/>
              <w:numPr>
                <w:ilvl w:val="0"/>
                <w:numId w:val="4"/>
              </w:numPr>
              <w:spacing w:before="60" w:after="60" w:line="240" w:lineRule="auto"/>
              <w:ind w:left="360" w:hanging="360"/>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$9.2 million to modify and decommission water infrastructure at Toorale.</w:t>
            </w:r>
          </w:p>
        </w:tc>
        <w:tc>
          <w:tcPr>
            <w:tcW w:w="1231" w:type="pct"/>
            <w:tcMar>
              <w:left w:w="108" w:type="dxa"/>
              <w:right w:w="108" w:type="dxa"/>
            </w:tcMar>
          </w:tcPr>
          <w:p w:rsidR="00601474" w:rsidP="00601474" w14:paraId="0D16127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Quarter 1 2021</w:t>
            </w:r>
          </w:p>
        </w:tc>
      </w:tr>
      <w:tr w14:paraId="6853A993" w14:textId="77777777" w:rsidTr="00C73C76">
        <w:tblPrEx>
          <w:tblW w:w="5082" w:type="pct"/>
          <w:tblInd w:w="0" w:type="dxa"/>
          <w:tblCellMar>
            <w:top w:w="0" w:type="dxa"/>
            <w:left w:w="40" w:type="dxa"/>
            <w:bottom w:w="0" w:type="dxa"/>
            <w:right w:w="40" w:type="dxa"/>
          </w:tblCellMar>
          <w:tblLook w:val="0000"/>
        </w:tblPrEx>
        <w:tc>
          <w:tcPr>
            <w:tcW w:w="1537" w:type="pct"/>
            <w:tcMar>
              <w:left w:w="108" w:type="dxa"/>
              <w:right w:w="108" w:type="dxa"/>
            </w:tcMar>
          </w:tcPr>
          <w:p w:rsidR="00601474" w:rsidRPr="00EF77CC" w:rsidP="00601474" w14:paraId="26C15B1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Delivering environmental outcomes in the Riverland</w:t>
            </w:r>
          </w:p>
        </w:tc>
        <w:tc>
          <w:tcPr>
            <w:tcW w:w="2232" w:type="pct"/>
            <w:tcMar>
              <w:left w:w="108" w:type="dxa"/>
              <w:right w:w="108" w:type="dxa"/>
            </w:tcMar>
          </w:tcPr>
          <w:p w:rsidR="00601474" w:rsidP="00601474" w14:paraId="62D11BE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Deliver $</w:t>
            </w:r>
            <w:r w:rsidRPr="005A6E3C">
              <w:rPr>
                <w:rFonts w:ascii="Cambria" w:hAnsi="Cambria" w:eastAsiaTheme="minorHAnsi" w:cstheme="minorBidi"/>
                <w:sz w:val="18"/>
                <w:szCs w:val="22"/>
                <w:lang w:val="en-AU" w:eastAsia="en-US" w:bidi="ar-SA"/>
              </w:rPr>
              <w:t>37.6</w:t>
            </w:r>
            <w:r>
              <w:rPr>
                <w:rFonts w:ascii="Cambria" w:hAnsi="Cambria" w:eastAsiaTheme="minorHAnsi" w:cstheme="minorBidi"/>
                <w:sz w:val="18"/>
                <w:szCs w:val="22"/>
                <w:lang w:val="en-AU" w:eastAsia="en-US" w:bidi="ar-SA"/>
              </w:rPr>
              <w:t xml:space="preserve"> million in practical projects to sustain Riverland environments. We will work with the South Australian Government to deliver projects. This action recognises that there have been delays in progress towards securing an additional 450 GL of water to improve river health and habitats on the lower Murray. </w:t>
            </w:r>
          </w:p>
          <w:p w:rsidR="00601474" w:rsidP="00601474" w14:paraId="0B28923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Recover the 450 GL of water for the environment in ways that support Basin communities. </w:t>
            </w:r>
          </w:p>
          <w:p w:rsidR="00601474" w:rsidP="00601474" w14:paraId="2E7DEFE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This action responds to the findings of the WESA report and the recommendations of the Sefton report.</w:t>
            </w:r>
          </w:p>
        </w:tc>
        <w:tc>
          <w:tcPr>
            <w:tcW w:w="1231" w:type="pct"/>
            <w:tcMar>
              <w:left w:w="108" w:type="dxa"/>
              <w:right w:w="108" w:type="dxa"/>
            </w:tcMar>
          </w:tcPr>
          <w:p w:rsidR="00601474" w:rsidP="000E07E0" w14:paraId="3069DD1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Quarter </w:t>
            </w:r>
            <w:r w:rsidR="000E07E0">
              <w:rPr>
                <w:rFonts w:ascii="Cambria" w:hAnsi="Cambria" w:eastAsiaTheme="minorHAnsi" w:cstheme="minorBidi"/>
                <w:sz w:val="18"/>
                <w:szCs w:val="22"/>
                <w:lang w:val="en-AU" w:eastAsia="en-US" w:bidi="ar-SA"/>
              </w:rPr>
              <w:t xml:space="preserve">4 </w:t>
            </w:r>
            <w:r>
              <w:rPr>
                <w:rFonts w:ascii="Cambria" w:hAnsi="Cambria" w:eastAsiaTheme="minorHAnsi" w:cstheme="minorBidi"/>
                <w:sz w:val="18"/>
                <w:szCs w:val="22"/>
                <w:lang w:val="en-AU" w:eastAsia="en-US" w:bidi="ar-SA"/>
              </w:rPr>
              <w:t>2020</w:t>
            </w:r>
          </w:p>
        </w:tc>
      </w:tr>
      <w:tr w14:paraId="7ADA45AB" w14:textId="77777777" w:rsidTr="00C73C76">
        <w:tblPrEx>
          <w:tblW w:w="5082" w:type="pct"/>
          <w:tblInd w:w="0" w:type="dxa"/>
          <w:tblCellMar>
            <w:top w:w="0" w:type="dxa"/>
            <w:left w:w="40" w:type="dxa"/>
            <w:bottom w:w="0" w:type="dxa"/>
            <w:right w:w="40" w:type="dxa"/>
          </w:tblCellMar>
          <w:tblLook w:val="0000"/>
        </w:tblPrEx>
        <w:tc>
          <w:tcPr>
            <w:tcW w:w="1537" w:type="pct"/>
            <w:tcMar>
              <w:left w:w="108" w:type="dxa"/>
              <w:right w:w="108" w:type="dxa"/>
            </w:tcMar>
          </w:tcPr>
          <w:p w:rsidR="00601474" w:rsidRPr="00EF77CC" w:rsidP="00601474" w14:paraId="6C9D4DA8" w14:textId="77777777">
            <w:pPr>
              <w:pStyle w:val="TableText"/>
              <w:spacing w:before="60" w:after="60" w:line="240" w:lineRule="auto"/>
              <w:rPr>
                <w:rStyle w:val="DefaultParagraphFont"/>
                <w:rFonts w:ascii="Cambria" w:hAnsi="Cambria" w:eastAsiaTheme="minorHAnsi" w:cstheme="minorBidi"/>
                <w:sz w:val="18"/>
                <w:szCs w:val="22"/>
                <w:lang w:val="en-US" w:eastAsia="en-US" w:bidi="ar-SA"/>
              </w:rPr>
            </w:pPr>
            <w:r>
              <w:rPr>
                <w:rFonts w:ascii="Cambria" w:hAnsi="Cambria" w:eastAsiaTheme="minorHAnsi" w:cstheme="minorBidi"/>
                <w:sz w:val="18"/>
                <w:szCs w:val="22"/>
                <w:lang w:val="en-US" w:eastAsia="en-US" w:bidi="ar-SA"/>
              </w:rPr>
              <w:t xml:space="preserve">Supporting </w:t>
            </w:r>
            <w:r w:rsidRPr="00846266">
              <w:rPr>
                <w:rFonts w:ascii="Cambria" w:hAnsi="Cambria" w:eastAsiaTheme="minorHAnsi" w:cstheme="minorBidi"/>
                <w:sz w:val="18"/>
                <w:szCs w:val="22"/>
                <w:lang w:val="en-US" w:eastAsia="en-US" w:bidi="ar-SA"/>
              </w:rPr>
              <w:t xml:space="preserve">First Nations </w:t>
            </w:r>
            <w:r>
              <w:rPr>
                <w:rFonts w:ascii="Cambria" w:hAnsi="Cambria" w:eastAsiaTheme="minorHAnsi" w:cstheme="minorBidi"/>
                <w:sz w:val="18"/>
                <w:szCs w:val="22"/>
                <w:lang w:val="en-US" w:eastAsia="en-US" w:bidi="ar-SA"/>
              </w:rPr>
              <w:t xml:space="preserve">Australians to </w:t>
            </w:r>
            <w:r w:rsidRPr="00846266">
              <w:rPr>
                <w:rFonts w:ascii="Cambria" w:hAnsi="Cambria" w:eastAsiaTheme="minorHAnsi" w:cstheme="minorBidi"/>
                <w:sz w:val="18"/>
                <w:szCs w:val="22"/>
                <w:lang w:val="en-US" w:eastAsia="en-US" w:bidi="ar-SA"/>
              </w:rPr>
              <w:t>play an active role in river health</w:t>
            </w:r>
          </w:p>
        </w:tc>
        <w:tc>
          <w:tcPr>
            <w:tcW w:w="2232" w:type="pct"/>
            <w:tcMar>
              <w:left w:w="108" w:type="dxa"/>
              <w:right w:w="108" w:type="dxa"/>
            </w:tcMar>
          </w:tcPr>
          <w:p w:rsidR="00601474" w:rsidP="00601474" w14:paraId="69B91D6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Deliver </w:t>
            </w:r>
            <w:r w:rsidRPr="000E4E79">
              <w:rPr>
                <w:rFonts w:ascii="Cambria" w:hAnsi="Cambria" w:eastAsiaTheme="minorHAnsi" w:cstheme="minorBidi"/>
                <w:sz w:val="18"/>
                <w:szCs w:val="22"/>
                <w:lang w:val="en-AU" w:eastAsia="en-US" w:bidi="ar-SA"/>
              </w:rPr>
              <w:t>$3.1 million</w:t>
            </w:r>
            <w:r>
              <w:rPr>
                <w:rFonts w:ascii="Cambria" w:hAnsi="Cambria" w:eastAsiaTheme="minorHAnsi" w:cstheme="minorBidi"/>
                <w:sz w:val="18"/>
                <w:szCs w:val="22"/>
                <w:lang w:val="en-AU" w:eastAsia="en-US" w:bidi="ar-SA"/>
              </w:rPr>
              <w:t xml:space="preserve"> for four new First Nations River Rangers teams, creating around 20 jobs.</w:t>
            </w:r>
          </w:p>
          <w:p w:rsidR="00601474" w:rsidP="00601474" w14:paraId="7DA96CC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Agree the framework for implementing the $40 million Aboriginal water entitlements </w:t>
            </w:r>
            <w:r w:rsidR="000E07E0">
              <w:rPr>
                <w:rFonts w:ascii="Cambria" w:hAnsi="Cambria" w:eastAsiaTheme="minorHAnsi" w:cstheme="minorBidi"/>
                <w:sz w:val="18"/>
                <w:szCs w:val="22"/>
                <w:lang w:val="en-AU" w:eastAsia="en-US" w:bidi="ar-SA"/>
              </w:rPr>
              <w:t xml:space="preserve">program </w:t>
            </w:r>
            <w:r>
              <w:rPr>
                <w:rFonts w:ascii="Cambria" w:hAnsi="Cambria" w:eastAsiaTheme="minorHAnsi" w:cstheme="minorBidi"/>
                <w:sz w:val="18"/>
                <w:szCs w:val="22"/>
                <w:lang w:val="en-AU" w:eastAsia="en-US" w:bidi="ar-SA"/>
              </w:rPr>
              <w:t>with Aboriginal communities.</w:t>
            </w:r>
          </w:p>
          <w:p w:rsidR="00601474" w:rsidP="00601474" w14:paraId="67BFEEC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Appointment of an Indigenous board member to the Murray–Darling Basin Authority.</w:t>
            </w:r>
          </w:p>
          <w:p w:rsidR="00601474" w:rsidP="0083285F" w14:paraId="49374CB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This action partly responds to recommendations </w:t>
            </w:r>
            <w:r w:rsidR="0083285F">
              <w:rPr>
                <w:rFonts w:ascii="Cambria" w:hAnsi="Cambria" w:eastAsiaTheme="minorHAnsi" w:cstheme="minorBidi"/>
                <w:sz w:val="18"/>
                <w:szCs w:val="22"/>
                <w:lang w:val="en-AU" w:eastAsia="en-US" w:bidi="ar-SA"/>
              </w:rPr>
              <w:t xml:space="preserve">of </w:t>
            </w:r>
            <w:r>
              <w:rPr>
                <w:rFonts w:ascii="Cambria" w:hAnsi="Cambria" w:eastAsiaTheme="minorHAnsi" w:cstheme="minorBidi"/>
                <w:sz w:val="18"/>
                <w:szCs w:val="22"/>
                <w:lang w:val="en-AU" w:eastAsia="en-US" w:bidi="ar-SA"/>
              </w:rPr>
              <w:t>the Sefton report.</w:t>
            </w:r>
          </w:p>
        </w:tc>
        <w:tc>
          <w:tcPr>
            <w:tcW w:w="1231" w:type="pct"/>
            <w:tcMar>
              <w:left w:w="108" w:type="dxa"/>
              <w:right w:w="108" w:type="dxa"/>
            </w:tcMar>
          </w:tcPr>
          <w:p w:rsidR="00601474" w:rsidP="00601474" w14:paraId="6987B45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Quarter 3 2021</w:t>
            </w:r>
          </w:p>
          <w:p w:rsidR="00601474" w:rsidP="00601474" w14:paraId="161E6AF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601474" w:rsidP="00601474" w14:paraId="27FA34CA"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Quarter 1 2021</w:t>
            </w:r>
          </w:p>
          <w:p w:rsidR="00601474" w:rsidP="00601474" w14:paraId="44C7DF8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601474" w:rsidP="00601474" w14:paraId="42D830F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Quarter 4 2020</w:t>
            </w:r>
          </w:p>
        </w:tc>
      </w:tr>
    </w:tbl>
    <w:p w:rsidR="00601474" w:rsidRPr="00113A6A" w:rsidP="00601474" w14:paraId="22AFB333" w14:textId="77777777">
      <w:pPr>
        <w:rPr>
          <w:lang w:val="en-US"/>
        </w:rPr>
      </w:pPr>
    </w:p>
    <w:p w:rsidR="00F932E6" w:rsidP="00113A6A" w14:paraId="497A6B97" w14:textId="77777777">
      <w:pPr>
        <w:pStyle w:val="Heading3"/>
        <w:numPr>
          <w:ilvl w:val="0"/>
          <w:numId w:val="0"/>
        </w:numPr>
        <w:ind w:left="964" w:hanging="964"/>
        <w:rPr>
          <w:lang w:val="en-US"/>
        </w:rPr>
      </w:pPr>
      <w:r>
        <w:rPr>
          <w:lang w:val="en-US"/>
        </w:rPr>
        <w:t>Build</w:t>
      </w:r>
      <w:r w:rsidRPr="000F406E">
        <w:rPr>
          <w:lang w:val="en-US"/>
        </w:rPr>
        <w:t xml:space="preserve"> trust, transparency and accountability</w:t>
      </w:r>
      <w:bookmarkEnd w:id="10"/>
      <w:r w:rsidR="000E07E0">
        <w:rPr>
          <w:lang w:val="en-US"/>
        </w:rPr>
        <w:t xml:space="preserve"> in government</w:t>
      </w:r>
    </w:p>
    <w:tbl>
      <w:tblPr>
        <w:tblW w:w="5000" w:type="pct"/>
        <w:tblInd w:w="0" w:type="dxa"/>
        <w:tblBorders>
          <w:insideH w:val="single" w:sz="4" w:space="0" w:color="auto"/>
        </w:tblBorders>
        <w:tblCellMar>
          <w:top w:w="0" w:type="dxa"/>
          <w:left w:w="40" w:type="dxa"/>
          <w:bottom w:w="0" w:type="dxa"/>
          <w:right w:w="40" w:type="dxa"/>
        </w:tblCellMar>
        <w:tblLook w:val="0000"/>
      </w:tblPr>
      <w:tblGrid>
        <w:gridCol w:w="2833"/>
        <w:gridCol w:w="4116"/>
        <w:gridCol w:w="2121"/>
      </w:tblGrid>
      <w:tr w14:paraId="2BA57B61" w14:textId="77777777" w:rsidTr="00C73C76">
        <w:tblPrEx>
          <w:tblW w:w="5000" w:type="pct"/>
          <w:tblInd w:w="0" w:type="dxa"/>
          <w:tblBorders>
            <w:insideH w:val="single" w:sz="4" w:space="0" w:color="auto"/>
          </w:tblBorders>
          <w:tblCellMar>
            <w:top w:w="0" w:type="dxa"/>
            <w:left w:w="40" w:type="dxa"/>
            <w:bottom w:w="0" w:type="dxa"/>
            <w:right w:w="40" w:type="dxa"/>
          </w:tblCellMar>
          <w:tblLook w:val="0000"/>
        </w:tblPrEx>
        <w:trPr>
          <w:cantSplit/>
          <w:tblHeader/>
        </w:trPr>
        <w:tc>
          <w:tcPr>
            <w:tcW w:w="1562" w:type="pct"/>
            <w:tcBorders>
              <w:top w:val="single" w:sz="4" w:space="0" w:color="auto"/>
              <w:bottom w:val="single" w:sz="4" w:space="0" w:color="auto"/>
            </w:tcBorders>
            <w:tcMar>
              <w:left w:w="108" w:type="dxa"/>
              <w:right w:w="108" w:type="dxa"/>
            </w:tcMar>
          </w:tcPr>
          <w:p w:rsidR="00F932E6" w:rsidP="00FC2A55" w14:paraId="787E654E"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What we are doing</w:t>
            </w:r>
          </w:p>
        </w:tc>
        <w:tc>
          <w:tcPr>
            <w:tcW w:w="2269" w:type="pct"/>
            <w:tcBorders>
              <w:top w:val="single" w:sz="4" w:space="0" w:color="auto"/>
              <w:bottom w:val="single" w:sz="4" w:space="0" w:color="auto"/>
            </w:tcBorders>
            <w:tcMar>
              <w:left w:w="108" w:type="dxa"/>
              <w:right w:w="108" w:type="dxa"/>
            </w:tcMar>
          </w:tcPr>
          <w:p w:rsidR="00F932E6" w:rsidP="00FC2A55" w14:paraId="24015F4B"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How we will do it</w:t>
            </w:r>
          </w:p>
        </w:tc>
        <w:tc>
          <w:tcPr>
            <w:tcW w:w="1169" w:type="pct"/>
            <w:tcBorders>
              <w:top w:val="single" w:sz="4" w:space="0" w:color="auto"/>
              <w:bottom w:val="single" w:sz="4" w:space="0" w:color="auto"/>
            </w:tcBorders>
            <w:tcMar>
              <w:left w:w="108" w:type="dxa"/>
              <w:right w:w="108" w:type="dxa"/>
            </w:tcMar>
          </w:tcPr>
          <w:p w:rsidR="00F932E6" w:rsidP="00FC2A55" w14:paraId="63B180C2"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By when</w:t>
            </w:r>
          </w:p>
        </w:tc>
      </w:tr>
      <w:tr w14:paraId="41CF0310" w14:textId="77777777" w:rsidTr="00C73C76">
        <w:tblPrEx>
          <w:tblW w:w="5000" w:type="pct"/>
          <w:tblInd w:w="0" w:type="dxa"/>
          <w:tblCellMar>
            <w:top w:w="0" w:type="dxa"/>
            <w:left w:w="40" w:type="dxa"/>
            <w:bottom w:w="0" w:type="dxa"/>
            <w:right w:w="40" w:type="dxa"/>
          </w:tblCellMar>
          <w:tblLook w:val="0000"/>
        </w:tblPrEx>
        <w:tc>
          <w:tcPr>
            <w:tcW w:w="1562" w:type="pct"/>
            <w:tcBorders>
              <w:top w:val="single" w:sz="4" w:space="0" w:color="auto"/>
            </w:tcBorders>
            <w:tcMar>
              <w:left w:w="108" w:type="dxa"/>
              <w:right w:w="108" w:type="dxa"/>
            </w:tcMar>
          </w:tcPr>
          <w:p w:rsidR="00F932E6" w:rsidP="00FC2A55" w14:paraId="067AF71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Providing stronger leadership</w:t>
            </w:r>
          </w:p>
        </w:tc>
        <w:tc>
          <w:tcPr>
            <w:tcW w:w="2269" w:type="pct"/>
            <w:tcBorders>
              <w:top w:val="single" w:sz="4" w:space="0" w:color="auto"/>
            </w:tcBorders>
            <w:tcMar>
              <w:left w:w="108" w:type="dxa"/>
              <w:right w:w="108" w:type="dxa"/>
            </w:tcMar>
          </w:tcPr>
          <w:p w:rsidR="00F932E6" w:rsidP="00FC2A55" w14:paraId="3666897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Build</w:t>
            </w:r>
            <w:r w:rsidRPr="00B60AF9">
              <w:rPr>
                <w:rFonts w:ascii="Cambria" w:hAnsi="Cambria" w:eastAsiaTheme="minorHAnsi" w:cstheme="minorBidi"/>
                <w:sz w:val="18"/>
                <w:szCs w:val="22"/>
                <w:lang w:val="en-AU" w:eastAsia="en-US" w:bidi="ar-SA"/>
              </w:rPr>
              <w:t xml:space="preserve"> a culture of genuine engagement and trust </w:t>
            </w:r>
            <w:r>
              <w:rPr>
                <w:rFonts w:ascii="Cambria" w:hAnsi="Cambria" w:eastAsiaTheme="minorHAnsi" w:cstheme="minorBidi"/>
                <w:sz w:val="18"/>
                <w:szCs w:val="22"/>
                <w:lang w:val="en-AU" w:eastAsia="en-US" w:bidi="ar-SA"/>
              </w:rPr>
              <w:t>with communities and between governments.</w:t>
            </w:r>
          </w:p>
          <w:p w:rsidR="00F932E6" w:rsidP="00FC2A55" w14:paraId="16B599F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Maximising the benefits of the Basin Plan for all communities.</w:t>
            </w:r>
          </w:p>
          <w:p w:rsidR="00757C0E" w:rsidP="00FC2A55" w14:paraId="4FDF6CF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Lead</w:t>
            </w:r>
            <w:r w:rsidR="00F932E6">
              <w:rPr>
                <w:rFonts w:ascii="Cambria" w:hAnsi="Cambria" w:eastAsiaTheme="minorHAnsi" w:cstheme="minorBidi"/>
                <w:sz w:val="18"/>
                <w:szCs w:val="22"/>
                <w:lang w:val="en-AU" w:eastAsia="en-US" w:bidi="ar-SA"/>
              </w:rPr>
              <w:t xml:space="preserve"> the</w:t>
            </w:r>
            <w:r>
              <w:rPr>
                <w:rFonts w:ascii="Cambria" w:hAnsi="Cambria" w:eastAsiaTheme="minorHAnsi" w:cstheme="minorBidi"/>
                <w:sz w:val="18"/>
                <w:szCs w:val="22"/>
                <w:lang w:val="en-AU" w:eastAsia="en-US" w:bidi="ar-SA"/>
              </w:rPr>
              <w:t xml:space="preserve"> Murray-Darling</w:t>
            </w:r>
            <w:r w:rsidR="00F932E6">
              <w:rPr>
                <w:rFonts w:ascii="Cambria" w:hAnsi="Cambria" w:eastAsiaTheme="minorHAnsi" w:cstheme="minorBidi"/>
                <w:sz w:val="18"/>
                <w:szCs w:val="22"/>
                <w:lang w:val="en-AU" w:eastAsia="en-US" w:bidi="ar-SA"/>
              </w:rPr>
              <w:t xml:space="preserve"> Basin Ministerial Council </w:t>
            </w:r>
            <w:r>
              <w:rPr>
                <w:rFonts w:ascii="Cambria" w:hAnsi="Cambria" w:eastAsiaTheme="minorHAnsi" w:cstheme="minorBidi"/>
                <w:sz w:val="18"/>
                <w:szCs w:val="22"/>
                <w:lang w:val="en-AU" w:eastAsia="en-US" w:bidi="ar-SA"/>
              </w:rPr>
              <w:t xml:space="preserve">in </w:t>
            </w:r>
            <w:r w:rsidRPr="00B60AF9" w:rsidR="00F932E6">
              <w:rPr>
                <w:rFonts w:ascii="Cambria" w:hAnsi="Cambria" w:eastAsiaTheme="minorHAnsi" w:cstheme="minorBidi"/>
                <w:sz w:val="18"/>
                <w:szCs w:val="22"/>
                <w:lang w:val="en-AU" w:eastAsia="en-US" w:bidi="ar-SA"/>
              </w:rPr>
              <w:t>empower</w:t>
            </w:r>
            <w:r>
              <w:rPr>
                <w:rFonts w:ascii="Cambria" w:hAnsi="Cambria" w:eastAsiaTheme="minorHAnsi" w:cstheme="minorBidi"/>
                <w:sz w:val="18"/>
                <w:szCs w:val="22"/>
                <w:lang w:val="en-AU" w:eastAsia="en-US" w:bidi="ar-SA"/>
              </w:rPr>
              <w:t>ing</w:t>
            </w:r>
            <w:r w:rsidRPr="00B60AF9" w:rsidR="00F932E6">
              <w:rPr>
                <w:rFonts w:ascii="Cambria" w:hAnsi="Cambria" w:eastAsiaTheme="minorHAnsi" w:cstheme="minorBidi"/>
                <w:sz w:val="18"/>
                <w:szCs w:val="22"/>
                <w:lang w:val="en-AU" w:eastAsia="en-US" w:bidi="ar-SA"/>
              </w:rPr>
              <w:t xml:space="preserve"> communities to determine their own future and</w:t>
            </w:r>
            <w:r w:rsidR="00C04D12">
              <w:rPr>
                <w:rFonts w:ascii="Cambria" w:hAnsi="Cambria" w:eastAsiaTheme="minorHAnsi" w:cstheme="minorBidi"/>
                <w:sz w:val="18"/>
                <w:szCs w:val="22"/>
                <w:lang w:val="en-AU" w:eastAsia="en-US" w:bidi="ar-SA"/>
              </w:rPr>
              <w:t xml:space="preserve"> to</w:t>
            </w:r>
            <w:r w:rsidRPr="00B60AF9" w:rsidR="00F932E6">
              <w:rPr>
                <w:rFonts w:ascii="Cambria" w:hAnsi="Cambria" w:eastAsiaTheme="minorHAnsi" w:cstheme="minorBidi"/>
                <w:sz w:val="18"/>
                <w:szCs w:val="22"/>
                <w:lang w:val="en-AU" w:eastAsia="en-US" w:bidi="ar-SA"/>
              </w:rPr>
              <w:t xml:space="preserve"> keep governments accountable. </w:t>
            </w:r>
            <w:r w:rsidR="00F932E6">
              <w:rPr>
                <w:rFonts w:ascii="Cambria" w:hAnsi="Cambria" w:eastAsiaTheme="minorHAnsi" w:cstheme="minorBidi"/>
                <w:sz w:val="18"/>
                <w:szCs w:val="22"/>
                <w:lang w:val="en-AU" w:eastAsia="en-US" w:bidi="ar-SA"/>
              </w:rPr>
              <w:t xml:space="preserve"> </w:t>
            </w:r>
          </w:p>
          <w:p w:rsidR="00F932E6" w:rsidP="00FC2A55" w14:paraId="4965403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Report</w:t>
            </w:r>
            <w:r w:rsidR="00757C0E">
              <w:rPr>
                <w:rFonts w:ascii="Cambria" w:hAnsi="Cambria" w:eastAsiaTheme="minorHAnsi" w:cstheme="minorBidi"/>
                <w:sz w:val="18"/>
                <w:szCs w:val="22"/>
                <w:lang w:val="en-AU" w:eastAsia="en-US" w:bidi="ar-SA"/>
              </w:rPr>
              <w:t xml:space="preserve"> </w:t>
            </w:r>
            <w:r w:rsidRPr="00112432" w:rsidR="00757C0E">
              <w:rPr>
                <w:rFonts w:ascii="Cambria" w:hAnsi="Cambria" w:eastAsiaTheme="minorHAnsi" w:cstheme="minorBidi"/>
                <w:sz w:val="18"/>
                <w:szCs w:val="22"/>
                <w:lang w:val="en-AU" w:eastAsia="en-US" w:bidi="ar-SA"/>
              </w:rPr>
              <w:t>3 times a year</w:t>
            </w:r>
            <w:r w:rsidR="00757C0E">
              <w:rPr>
                <w:rFonts w:ascii="Cambria" w:hAnsi="Cambria" w:eastAsiaTheme="minorHAnsi" w:cstheme="minorBidi"/>
                <w:sz w:val="18"/>
                <w:szCs w:val="22"/>
                <w:lang w:val="en-AU" w:eastAsia="en-US" w:bidi="ar-SA"/>
              </w:rPr>
              <w:t xml:space="preserve"> on progress against the </w:t>
            </w:r>
            <w:r>
              <w:rPr>
                <w:rFonts w:ascii="Cambria" w:hAnsi="Cambria" w:eastAsiaTheme="minorHAnsi" w:cstheme="minorBidi"/>
                <w:sz w:val="18"/>
                <w:szCs w:val="22"/>
                <w:lang w:val="en-AU" w:eastAsia="en-US" w:bidi="ar-SA"/>
              </w:rPr>
              <w:t>Package</w:t>
            </w:r>
            <w:r w:rsidR="00757C0E">
              <w:rPr>
                <w:rFonts w:ascii="Cambria" w:hAnsi="Cambria" w:eastAsiaTheme="minorHAnsi" w:cstheme="minorBidi"/>
                <w:sz w:val="18"/>
                <w:szCs w:val="22"/>
                <w:lang w:val="en-AU" w:eastAsia="en-US" w:bidi="ar-SA"/>
              </w:rPr>
              <w:t>.</w:t>
            </w:r>
          </w:p>
          <w:p w:rsidR="00F932E6" w:rsidP="00FC2A55" w14:paraId="4C5C4B3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Use the outcomes of the Sefton report to inform future work and decisions on implementing the Basin Plan.</w:t>
            </w:r>
          </w:p>
          <w:p w:rsidR="00F932E6" w:rsidP="0033333F" w14:paraId="0BBDD49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Appoint</w:t>
            </w:r>
            <w:r w:rsidR="006A07A6">
              <w:rPr>
                <w:rFonts w:ascii="Cambria" w:hAnsi="Cambria" w:eastAsiaTheme="minorHAnsi" w:cstheme="minorBidi"/>
                <w:sz w:val="18"/>
                <w:szCs w:val="22"/>
                <w:lang w:val="en-AU" w:eastAsia="en-US" w:bidi="ar-SA"/>
              </w:rPr>
              <w:t>ed</w:t>
            </w:r>
            <w:r>
              <w:rPr>
                <w:rFonts w:ascii="Cambria" w:hAnsi="Cambria" w:eastAsiaTheme="minorHAnsi" w:cstheme="minorBidi"/>
                <w:sz w:val="18"/>
                <w:szCs w:val="22"/>
                <w:lang w:val="en-AU" w:eastAsia="en-US" w:bidi="ar-SA"/>
              </w:rPr>
              <w:t xml:space="preserve"> </w:t>
            </w:r>
            <w:r w:rsidRPr="003F4293">
              <w:rPr>
                <w:rFonts w:ascii="Cambria" w:hAnsi="Cambria" w:eastAsiaTheme="minorHAnsi" w:cstheme="minorBidi"/>
                <w:sz w:val="18"/>
                <w:szCs w:val="22"/>
                <w:lang w:val="en-AU" w:eastAsia="en-US" w:bidi="ar-SA"/>
              </w:rPr>
              <w:t>Air Chief Marshal Sir Angus Houston AK, AFC (Ret’d)</w:t>
            </w:r>
            <w:r>
              <w:rPr>
                <w:rFonts w:ascii="Cambria" w:hAnsi="Cambria" w:eastAsiaTheme="minorHAnsi" w:cstheme="minorBidi"/>
                <w:sz w:val="18"/>
                <w:szCs w:val="22"/>
                <w:lang w:val="en-AU" w:eastAsia="en-US" w:bidi="ar-SA"/>
              </w:rPr>
              <w:t xml:space="preserve"> to provide strong and strategic leadership as Chair of the Murray–Darling Basin Authority.</w:t>
            </w:r>
          </w:p>
          <w:p w:rsidR="00757C0E" w:rsidP="0083285F" w14:paraId="0C91A8B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This action responds to recommendations </w:t>
            </w:r>
            <w:r w:rsidR="0083285F">
              <w:rPr>
                <w:rFonts w:ascii="Cambria" w:hAnsi="Cambria" w:eastAsiaTheme="minorHAnsi" w:cstheme="minorBidi"/>
                <w:sz w:val="18"/>
                <w:szCs w:val="22"/>
                <w:lang w:val="en-AU" w:eastAsia="en-US" w:bidi="ar-SA"/>
              </w:rPr>
              <w:t xml:space="preserve">of </w:t>
            </w:r>
            <w:r>
              <w:rPr>
                <w:rFonts w:ascii="Cambria" w:hAnsi="Cambria" w:eastAsiaTheme="minorHAnsi" w:cstheme="minorBidi"/>
                <w:sz w:val="18"/>
                <w:szCs w:val="22"/>
                <w:lang w:val="en-AU" w:eastAsia="en-US" w:bidi="ar-SA"/>
              </w:rPr>
              <w:t>the Sefton report.</w:t>
            </w:r>
          </w:p>
        </w:tc>
        <w:tc>
          <w:tcPr>
            <w:tcW w:w="1169" w:type="pct"/>
            <w:tcBorders>
              <w:top w:val="single" w:sz="4" w:space="0" w:color="auto"/>
            </w:tcBorders>
            <w:tcMar>
              <w:left w:w="108" w:type="dxa"/>
              <w:right w:w="108" w:type="dxa"/>
            </w:tcMar>
          </w:tcPr>
          <w:p w:rsidR="00F932E6" w:rsidP="00FC2A55" w14:paraId="4B02DBC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Quarter 4 2020</w:t>
            </w:r>
          </w:p>
          <w:p w:rsidR="00F932E6" w:rsidP="00FC2A55" w14:paraId="47B67D4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F932E6" w:rsidP="00FC2A55" w14:paraId="3EF186D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F932E6" w:rsidP="00FC2A55" w14:paraId="52CE520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F932E6" w:rsidP="00FC2A55" w14:paraId="502D964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F932E6" w:rsidP="00FC2A55" w14:paraId="7FEC1E4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F932E6" w:rsidP="00FC2A55" w14:paraId="205271D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F932E6" w:rsidP="00FC2A55" w14:paraId="15E7370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F932E6" w:rsidP="00FC2A55" w14:paraId="6236D82A"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C04D12" w:rsidP="00FC2A55" w14:paraId="6D0FAE2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757C0E" w:rsidP="00FC2A55" w14:paraId="0D99FC4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p w:rsidR="00F932E6" w:rsidP="00FC2A55" w14:paraId="676FA9B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Complete</w:t>
            </w:r>
          </w:p>
        </w:tc>
      </w:tr>
      <w:tr w14:paraId="4BFFC203" w14:textId="77777777" w:rsidTr="00C73C76">
        <w:tblPrEx>
          <w:tblW w:w="5000" w:type="pct"/>
          <w:tblInd w:w="0" w:type="dxa"/>
          <w:tblCellMar>
            <w:top w:w="0" w:type="dxa"/>
            <w:left w:w="40" w:type="dxa"/>
            <w:bottom w:w="0" w:type="dxa"/>
            <w:right w:w="40" w:type="dxa"/>
          </w:tblCellMar>
          <w:tblLook w:val="0000"/>
        </w:tblPrEx>
        <w:tc>
          <w:tcPr>
            <w:tcW w:w="1562" w:type="pct"/>
            <w:tcMar>
              <w:left w:w="108" w:type="dxa"/>
              <w:right w:w="108" w:type="dxa"/>
            </w:tcMar>
          </w:tcPr>
          <w:p w:rsidR="00601474" w:rsidP="00601474" w14:paraId="3DB5430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Ensuring stronger compliance</w:t>
            </w:r>
          </w:p>
        </w:tc>
        <w:tc>
          <w:tcPr>
            <w:tcW w:w="2269" w:type="pct"/>
            <w:tcMar>
              <w:left w:w="108" w:type="dxa"/>
              <w:right w:w="108" w:type="dxa"/>
            </w:tcMar>
          </w:tcPr>
          <w:p w:rsidR="00601474" w:rsidP="00601474" w14:paraId="6DD8F83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E</w:t>
            </w:r>
            <w:r w:rsidRPr="001367B0">
              <w:rPr>
                <w:rFonts w:ascii="Cambria" w:hAnsi="Cambria" w:eastAsiaTheme="minorHAnsi" w:cstheme="minorBidi"/>
                <w:sz w:val="18"/>
                <w:szCs w:val="22"/>
                <w:lang w:val="en-AU" w:eastAsia="en-US" w:bidi="ar-SA"/>
              </w:rPr>
              <w:t xml:space="preserve">stablish a </w:t>
            </w:r>
            <w:r>
              <w:rPr>
                <w:rFonts w:ascii="Cambria" w:hAnsi="Cambria" w:eastAsiaTheme="minorHAnsi" w:cstheme="minorBidi"/>
                <w:sz w:val="18"/>
                <w:szCs w:val="22"/>
                <w:lang w:val="en-AU" w:eastAsia="en-US" w:bidi="ar-SA"/>
              </w:rPr>
              <w:t>statutory and independent Inspector-General of Water Compliance. This will bring together</w:t>
            </w:r>
            <w:r w:rsidRPr="001367B0">
              <w:rPr>
                <w:rFonts w:ascii="Cambria" w:hAnsi="Cambria" w:eastAsiaTheme="minorHAnsi" w:cstheme="minorBidi"/>
                <w:sz w:val="18"/>
                <w:szCs w:val="22"/>
                <w:lang w:val="en-AU" w:eastAsia="en-US" w:bidi="ar-SA"/>
              </w:rPr>
              <w:t xml:space="preserve"> the </w:t>
            </w:r>
            <w:r>
              <w:rPr>
                <w:rFonts w:ascii="Cambria" w:hAnsi="Cambria" w:eastAsiaTheme="minorHAnsi" w:cstheme="minorBidi"/>
                <w:sz w:val="18"/>
                <w:szCs w:val="22"/>
                <w:lang w:val="en-AU" w:eastAsia="en-US" w:bidi="ar-SA"/>
              </w:rPr>
              <w:t>water</w:t>
            </w:r>
            <w:r w:rsidRPr="001367B0">
              <w:rPr>
                <w:rFonts w:ascii="Cambria" w:hAnsi="Cambria" w:eastAsiaTheme="minorHAnsi" w:cstheme="minorBidi"/>
                <w:sz w:val="18"/>
                <w:szCs w:val="22"/>
                <w:lang w:val="en-AU" w:eastAsia="en-US" w:bidi="ar-SA"/>
              </w:rPr>
              <w:t xml:space="preserve"> compliance </w:t>
            </w:r>
            <w:r>
              <w:rPr>
                <w:rFonts w:ascii="Cambria" w:hAnsi="Cambria" w:eastAsiaTheme="minorHAnsi" w:cstheme="minorBidi"/>
                <w:sz w:val="18"/>
                <w:szCs w:val="22"/>
                <w:lang w:val="en-AU" w:eastAsia="en-US" w:bidi="ar-SA"/>
              </w:rPr>
              <w:t>role of the</w:t>
            </w:r>
            <w:r w:rsidRPr="001367B0">
              <w:rPr>
                <w:rFonts w:ascii="Cambria" w:hAnsi="Cambria" w:eastAsiaTheme="minorHAnsi" w:cstheme="minorBidi"/>
                <w:sz w:val="18"/>
                <w:szCs w:val="22"/>
                <w:lang w:val="en-AU" w:eastAsia="en-US" w:bidi="ar-SA"/>
              </w:rPr>
              <w:t xml:space="preserve"> Murray–Darling Basin Authority</w:t>
            </w:r>
            <w:r>
              <w:rPr>
                <w:rFonts w:ascii="Cambria" w:hAnsi="Cambria" w:eastAsiaTheme="minorHAnsi" w:cstheme="minorBidi"/>
                <w:sz w:val="18"/>
                <w:szCs w:val="22"/>
                <w:lang w:val="en-AU" w:eastAsia="en-US" w:bidi="ar-SA"/>
              </w:rPr>
              <w:t xml:space="preserve"> with</w:t>
            </w:r>
            <w:r w:rsidRPr="001367B0">
              <w:rPr>
                <w:rFonts w:ascii="Cambria" w:hAnsi="Cambria" w:eastAsiaTheme="minorHAnsi" w:cstheme="minorBidi"/>
                <w:sz w:val="18"/>
                <w:szCs w:val="22"/>
                <w:lang w:val="en-AU" w:eastAsia="en-US" w:bidi="ar-SA"/>
              </w:rPr>
              <w:t xml:space="preserve"> the</w:t>
            </w:r>
            <w:r>
              <w:rPr>
                <w:rFonts w:ascii="Cambria" w:hAnsi="Cambria" w:eastAsiaTheme="minorHAnsi" w:cstheme="minorBidi"/>
                <w:sz w:val="18"/>
                <w:szCs w:val="22"/>
                <w:lang w:val="en-AU" w:eastAsia="en-US" w:bidi="ar-SA"/>
              </w:rPr>
              <w:t xml:space="preserve"> assurance role of the</w:t>
            </w:r>
            <w:r w:rsidRPr="001367B0">
              <w:rPr>
                <w:rFonts w:ascii="Cambria" w:hAnsi="Cambria" w:eastAsiaTheme="minorHAnsi" w:cstheme="minorBidi"/>
                <w:sz w:val="18"/>
                <w:szCs w:val="22"/>
                <w:lang w:val="en-AU" w:eastAsia="en-US" w:bidi="ar-SA"/>
              </w:rPr>
              <w:t xml:space="preserve"> </w:t>
            </w:r>
            <w:r>
              <w:rPr>
                <w:rFonts w:ascii="Cambria" w:hAnsi="Cambria" w:eastAsiaTheme="minorHAnsi" w:cstheme="minorBidi"/>
                <w:sz w:val="18"/>
                <w:szCs w:val="22"/>
                <w:lang w:val="en-AU" w:eastAsia="en-US" w:bidi="ar-SA"/>
              </w:rPr>
              <w:t xml:space="preserve">Interim </w:t>
            </w:r>
            <w:r w:rsidRPr="001367B0">
              <w:rPr>
                <w:rFonts w:ascii="Cambria" w:hAnsi="Cambria" w:eastAsiaTheme="minorHAnsi" w:cstheme="minorBidi"/>
                <w:sz w:val="18"/>
                <w:szCs w:val="22"/>
                <w:lang w:val="en-AU" w:eastAsia="en-US" w:bidi="ar-SA"/>
              </w:rPr>
              <w:t>Inspector</w:t>
            </w:r>
            <w:r>
              <w:rPr>
                <w:rFonts w:ascii="Cambria" w:hAnsi="Cambria" w:eastAsiaTheme="minorHAnsi" w:cstheme="minorBidi"/>
                <w:sz w:val="18"/>
                <w:szCs w:val="22"/>
                <w:lang w:val="en-AU" w:eastAsia="en-US" w:bidi="ar-SA"/>
              </w:rPr>
              <w:t>-</w:t>
            </w:r>
            <w:r w:rsidRPr="001367B0">
              <w:rPr>
                <w:rFonts w:ascii="Cambria" w:hAnsi="Cambria" w:eastAsiaTheme="minorHAnsi" w:cstheme="minorBidi"/>
                <w:sz w:val="18"/>
                <w:szCs w:val="22"/>
                <w:lang w:val="en-AU" w:eastAsia="en-US" w:bidi="ar-SA"/>
              </w:rPr>
              <w:t>General of Murray</w:t>
            </w:r>
            <w:r>
              <w:rPr>
                <w:rFonts w:ascii="Cambria" w:hAnsi="Cambria" w:eastAsiaTheme="minorHAnsi" w:cstheme="minorBidi"/>
                <w:sz w:val="18"/>
                <w:szCs w:val="22"/>
                <w:lang w:val="en-AU" w:eastAsia="en-US" w:bidi="ar-SA"/>
              </w:rPr>
              <w:t>–</w:t>
            </w:r>
            <w:r w:rsidRPr="001367B0">
              <w:rPr>
                <w:rFonts w:ascii="Cambria" w:hAnsi="Cambria" w:eastAsiaTheme="minorHAnsi" w:cstheme="minorBidi"/>
                <w:sz w:val="18"/>
                <w:szCs w:val="22"/>
                <w:lang w:val="en-AU" w:eastAsia="en-US" w:bidi="ar-SA"/>
              </w:rPr>
              <w:t>Darling Basin Water Resources</w:t>
            </w:r>
            <w:r>
              <w:rPr>
                <w:rFonts w:ascii="Cambria" w:hAnsi="Cambria" w:eastAsiaTheme="minorHAnsi" w:cstheme="minorBidi"/>
                <w:sz w:val="18"/>
                <w:szCs w:val="22"/>
                <w:lang w:val="en-AU" w:eastAsia="en-US" w:bidi="ar-SA"/>
              </w:rPr>
              <w:t>.</w:t>
            </w:r>
          </w:p>
          <w:p w:rsidR="00601474" w:rsidP="00601474" w14:paraId="37B781A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C7033E">
              <w:rPr>
                <w:rFonts w:ascii="Cambria" w:hAnsi="Cambria" w:eastAsiaTheme="minorHAnsi" w:cstheme="minorBidi"/>
                <w:sz w:val="18"/>
                <w:szCs w:val="22"/>
                <w:lang w:val="en-AU" w:eastAsia="en-US" w:bidi="ar-SA"/>
              </w:rPr>
              <w:t xml:space="preserve">Deliver </w:t>
            </w:r>
            <w:r w:rsidRPr="00112432">
              <w:rPr>
                <w:rFonts w:ascii="Cambria" w:hAnsi="Cambria" w:eastAsiaTheme="minorHAnsi" w:cstheme="minorBidi"/>
                <w:sz w:val="18"/>
                <w:szCs w:val="22"/>
                <w:lang w:val="en-AU" w:eastAsia="en-US" w:bidi="ar-SA"/>
              </w:rPr>
              <w:t>$38.7 million</w:t>
            </w:r>
            <w:r w:rsidRPr="00C7033E">
              <w:rPr>
                <w:rFonts w:ascii="Cambria" w:hAnsi="Cambria" w:eastAsiaTheme="minorHAnsi" w:cstheme="minorBidi"/>
                <w:sz w:val="18"/>
                <w:szCs w:val="22"/>
                <w:lang w:val="en-AU" w:eastAsia="en-US" w:bidi="ar-SA"/>
              </w:rPr>
              <w:t xml:space="preserve"> to</w:t>
            </w:r>
            <w:r>
              <w:rPr>
                <w:rFonts w:ascii="Cambria" w:hAnsi="Cambria" w:eastAsiaTheme="minorHAnsi" w:cstheme="minorBidi"/>
                <w:sz w:val="18"/>
                <w:szCs w:val="22"/>
                <w:lang w:val="en-AU" w:eastAsia="en-US" w:bidi="ar-SA"/>
              </w:rPr>
              <w:t xml:space="preserve"> improve Commonwealth water compliance functions. </w:t>
            </w:r>
            <w:r w:rsidRPr="00EE7383">
              <w:rPr>
                <w:rFonts w:ascii="Cambria" w:hAnsi="Cambria" w:eastAsiaTheme="minorHAnsi" w:cstheme="minorBidi"/>
                <w:sz w:val="18"/>
                <w:szCs w:val="22"/>
                <w:lang w:val="en-AU" w:eastAsia="en-US" w:bidi="ar-SA"/>
              </w:rPr>
              <w:t xml:space="preserve">This builds on </w:t>
            </w:r>
            <w:r w:rsidRPr="00A24E6E">
              <w:rPr>
                <w:rFonts w:ascii="Cambria" w:hAnsi="Cambria" w:eastAsiaTheme="minorHAnsi" w:cstheme="minorBidi"/>
                <w:sz w:val="18"/>
                <w:szCs w:val="22"/>
                <w:lang w:val="en-AU" w:eastAsia="en-US" w:bidi="ar-SA"/>
              </w:rPr>
              <w:t>the Commonwealth</w:t>
            </w:r>
            <w:r w:rsidRPr="00660FAC">
              <w:rPr>
                <w:rFonts w:ascii="Cambria" w:hAnsi="Cambria" w:eastAsiaTheme="minorHAnsi" w:cstheme="minorBidi"/>
                <w:sz w:val="18"/>
                <w:szCs w:val="22"/>
                <w:lang w:val="en-AU" w:eastAsia="en-US" w:bidi="ar-SA"/>
              </w:rPr>
              <w:t>’s existing commitment of $</w:t>
            </w:r>
            <w:r w:rsidRPr="00112432">
              <w:rPr>
                <w:rFonts w:ascii="Cambria" w:hAnsi="Cambria" w:eastAsiaTheme="minorHAnsi" w:cstheme="minorBidi"/>
                <w:sz w:val="18"/>
                <w:szCs w:val="22"/>
                <w:lang w:val="en-AU" w:eastAsia="en-US" w:bidi="ar-SA"/>
              </w:rPr>
              <w:t>60 million</w:t>
            </w:r>
            <w:r>
              <w:rPr>
                <w:rFonts w:ascii="Cambria" w:hAnsi="Cambria" w:eastAsiaTheme="minorHAnsi" w:cstheme="minorBidi"/>
                <w:sz w:val="18"/>
                <w:szCs w:val="22"/>
                <w:lang w:val="en-AU" w:eastAsia="en-US" w:bidi="ar-SA"/>
              </w:rPr>
              <w:t xml:space="preserve"> for improvements in water metering and remote sensing.</w:t>
            </w:r>
          </w:p>
          <w:p w:rsidR="00601474" w:rsidP="0083285F" w14:paraId="15F54FD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This action responds to recommendations </w:t>
            </w:r>
            <w:r w:rsidR="0083285F">
              <w:rPr>
                <w:rFonts w:ascii="Cambria" w:hAnsi="Cambria" w:eastAsiaTheme="minorHAnsi" w:cstheme="minorBidi"/>
                <w:sz w:val="18"/>
                <w:szCs w:val="22"/>
                <w:lang w:val="en-AU" w:eastAsia="en-US" w:bidi="ar-SA"/>
              </w:rPr>
              <w:t xml:space="preserve">of </w:t>
            </w:r>
            <w:r>
              <w:rPr>
                <w:rFonts w:ascii="Cambria" w:hAnsi="Cambria" w:eastAsiaTheme="minorHAnsi" w:cstheme="minorBidi"/>
                <w:sz w:val="18"/>
                <w:szCs w:val="22"/>
                <w:lang w:val="en-AU" w:eastAsia="en-US" w:bidi="ar-SA"/>
              </w:rPr>
              <w:t>the Sefton report and the interim ACCC report.</w:t>
            </w:r>
          </w:p>
        </w:tc>
        <w:tc>
          <w:tcPr>
            <w:tcW w:w="1169" w:type="pct"/>
            <w:tcMar>
              <w:left w:w="108" w:type="dxa"/>
              <w:right w:w="108" w:type="dxa"/>
            </w:tcMar>
          </w:tcPr>
          <w:p w:rsidR="00601474" w:rsidP="00601474" w14:paraId="7F03B33A"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Quarter 3 2021</w:t>
            </w:r>
          </w:p>
        </w:tc>
      </w:tr>
      <w:tr w14:paraId="71D2754E" w14:textId="77777777" w:rsidTr="00C73C76">
        <w:tblPrEx>
          <w:tblW w:w="5000" w:type="pct"/>
          <w:tblInd w:w="0" w:type="dxa"/>
          <w:tblCellMar>
            <w:top w:w="0" w:type="dxa"/>
            <w:left w:w="40" w:type="dxa"/>
            <w:bottom w:w="0" w:type="dxa"/>
            <w:right w:w="40" w:type="dxa"/>
          </w:tblCellMar>
          <w:tblLook w:val="0000"/>
        </w:tblPrEx>
        <w:tc>
          <w:tcPr>
            <w:tcW w:w="1562" w:type="pct"/>
            <w:tcMar>
              <w:left w:w="108" w:type="dxa"/>
              <w:right w:w="108" w:type="dxa"/>
            </w:tcMar>
          </w:tcPr>
          <w:p w:rsidR="00601474" w:rsidP="00601474" w14:paraId="2DC2D65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Providing better information</w:t>
            </w:r>
          </w:p>
        </w:tc>
        <w:tc>
          <w:tcPr>
            <w:tcW w:w="2269" w:type="pct"/>
            <w:tcMar>
              <w:left w:w="108" w:type="dxa"/>
              <w:right w:w="108" w:type="dxa"/>
            </w:tcMar>
          </w:tcPr>
          <w:p w:rsidR="00601474" w:rsidP="00601474" w14:paraId="26A68F7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Bring together water information from across governments in a more accessible format for water users and communities.</w:t>
            </w:r>
          </w:p>
          <w:p w:rsidR="00601474" w:rsidP="00601474" w14:paraId="5EDBA93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The detailed platform will provide a one-stop shop for water storage, in-stream flows and trade information.</w:t>
            </w:r>
          </w:p>
          <w:p w:rsidR="00601474" w:rsidP="00601474" w14:paraId="2BF7980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This builds on the existing investment of $4.9 million to the Bureau of Meteorology to improve real-time reporting on water flows.</w:t>
            </w:r>
          </w:p>
          <w:p w:rsidR="00601474" w:rsidP="0083285F" w14:paraId="548FC70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This action responds to recommendations </w:t>
            </w:r>
            <w:r w:rsidR="0083285F">
              <w:rPr>
                <w:rFonts w:ascii="Cambria" w:hAnsi="Cambria" w:eastAsiaTheme="minorHAnsi" w:cstheme="minorBidi"/>
                <w:sz w:val="18"/>
                <w:szCs w:val="22"/>
                <w:lang w:val="en-AU" w:eastAsia="en-US" w:bidi="ar-SA"/>
              </w:rPr>
              <w:t xml:space="preserve">of </w:t>
            </w:r>
            <w:r>
              <w:rPr>
                <w:rFonts w:ascii="Cambria" w:hAnsi="Cambria" w:eastAsiaTheme="minorHAnsi" w:cstheme="minorBidi"/>
                <w:sz w:val="18"/>
                <w:szCs w:val="22"/>
                <w:lang w:val="en-AU" w:eastAsia="en-US" w:bidi="ar-SA"/>
              </w:rPr>
              <w:t>the Sefton report and the interim ACCC report.</w:t>
            </w:r>
          </w:p>
        </w:tc>
        <w:tc>
          <w:tcPr>
            <w:tcW w:w="1169" w:type="pct"/>
            <w:tcMar>
              <w:left w:w="108" w:type="dxa"/>
              <w:right w:w="108" w:type="dxa"/>
            </w:tcMar>
          </w:tcPr>
          <w:p w:rsidR="00601474" w:rsidP="00601474" w14:paraId="2AD2BE1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Quarter 3 2021</w:t>
            </w:r>
          </w:p>
        </w:tc>
      </w:tr>
      <w:tr w14:paraId="3A859687" w14:textId="77777777" w:rsidTr="00C73C76">
        <w:tblPrEx>
          <w:tblW w:w="5000" w:type="pct"/>
          <w:tblInd w:w="0" w:type="dxa"/>
          <w:tblCellMar>
            <w:top w:w="0" w:type="dxa"/>
            <w:left w:w="40" w:type="dxa"/>
            <w:bottom w:w="0" w:type="dxa"/>
            <w:right w:w="40" w:type="dxa"/>
          </w:tblCellMar>
          <w:tblLook w:val="0000"/>
        </w:tblPrEx>
        <w:tc>
          <w:tcPr>
            <w:tcW w:w="1562" w:type="pct"/>
            <w:tcMar>
              <w:left w:w="108" w:type="dxa"/>
              <w:right w:w="108" w:type="dxa"/>
            </w:tcMar>
          </w:tcPr>
          <w:p w:rsidR="00601474" w:rsidRPr="00EF77CC" w:rsidP="00601474" w14:paraId="31EB1717" w14:textId="77777777">
            <w:pPr>
              <w:pStyle w:val="TableText"/>
              <w:spacing w:before="60" w:after="60" w:line="240" w:lineRule="auto"/>
              <w:rPr>
                <w:rStyle w:val="DefaultParagraphFont"/>
                <w:rFonts w:ascii="Cambria" w:hAnsi="Cambria" w:eastAsiaTheme="minorHAnsi" w:cstheme="minorBidi"/>
                <w:sz w:val="18"/>
                <w:szCs w:val="22"/>
                <w:lang w:val="en-US" w:eastAsia="en-US" w:bidi="ar-SA"/>
              </w:rPr>
            </w:pPr>
            <w:r>
              <w:rPr>
                <w:rFonts w:ascii="Cambria" w:hAnsi="Cambria" w:eastAsiaTheme="minorHAnsi" w:cstheme="minorBidi"/>
                <w:sz w:val="18"/>
                <w:szCs w:val="22"/>
                <w:lang w:val="en-AU" w:eastAsia="en-US" w:bidi="ar-SA"/>
              </w:rPr>
              <w:t>Better monitoring and reporting of social, economic and environment conditions</w:t>
            </w:r>
          </w:p>
        </w:tc>
        <w:tc>
          <w:tcPr>
            <w:tcW w:w="2269" w:type="pct"/>
            <w:tcMar>
              <w:left w:w="108" w:type="dxa"/>
              <w:right w:w="108" w:type="dxa"/>
            </w:tcMar>
          </w:tcPr>
          <w:p w:rsidR="00601474" w:rsidRPr="00651529" w:rsidP="00601474" w14:paraId="22E19A9C" w14:textId="77777777">
            <w:pPr>
              <w:pStyle w:val="CommentText"/>
              <w:spacing w:after="0" w:line="276" w:lineRule="auto"/>
              <w:rPr>
                <w:rStyle w:val="DefaultParagraphFont"/>
                <w:rFonts w:ascii="Cambria" w:hAnsi="Cambria" w:eastAsiaTheme="minorHAnsi" w:cstheme="minorBidi"/>
                <w:sz w:val="18"/>
                <w:szCs w:val="22"/>
                <w:lang w:val="en-AU" w:eastAsia="en-US" w:bidi="ar-SA"/>
              </w:rPr>
            </w:pPr>
            <w:r w:rsidRPr="00C04D12">
              <w:rPr>
                <w:rFonts w:ascii="Cambria" w:hAnsi="Cambria" w:eastAsiaTheme="minorHAnsi" w:cstheme="minorBidi"/>
                <w:sz w:val="18"/>
                <w:szCs w:val="22"/>
                <w:lang w:val="en-AU" w:eastAsia="en-US" w:bidi="ar-SA"/>
              </w:rPr>
              <w:t>Deliver $7.5 million to monitor social, economic and environmental conditions in the Basin.</w:t>
            </w:r>
          </w:p>
          <w:p w:rsidR="00601474" w:rsidP="00601474" w14:paraId="43F5109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This action builds on a $20 million investment in Basin-specific research so river </w:t>
            </w:r>
            <w:r w:rsidRPr="00AB17F4">
              <w:rPr>
                <w:rFonts w:ascii="Cambria" w:hAnsi="Cambria" w:eastAsiaTheme="minorHAnsi" w:cstheme="minorBidi"/>
                <w:sz w:val="18"/>
                <w:szCs w:val="22"/>
                <w:lang w:val="en-AU" w:eastAsia="en-US" w:bidi="ar-SA"/>
              </w:rPr>
              <w:t>manage</w:t>
            </w:r>
            <w:r>
              <w:rPr>
                <w:rFonts w:ascii="Cambria" w:hAnsi="Cambria" w:eastAsiaTheme="minorHAnsi" w:cstheme="minorBidi"/>
                <w:sz w:val="18"/>
                <w:szCs w:val="22"/>
                <w:lang w:val="en-AU" w:eastAsia="en-US" w:bidi="ar-SA"/>
              </w:rPr>
              <w:t xml:space="preserve">ment can be </w:t>
            </w:r>
            <w:r w:rsidRPr="00AB17F4">
              <w:rPr>
                <w:rFonts w:ascii="Cambria" w:hAnsi="Cambria" w:eastAsiaTheme="minorHAnsi" w:cstheme="minorBidi"/>
                <w:sz w:val="18"/>
                <w:szCs w:val="22"/>
                <w:lang w:val="en-AU" w:eastAsia="en-US" w:bidi="ar-SA"/>
              </w:rPr>
              <w:t>based on the best available scienc</w:t>
            </w:r>
            <w:r>
              <w:rPr>
                <w:rFonts w:ascii="Cambria" w:hAnsi="Cambria" w:eastAsiaTheme="minorHAnsi" w:cstheme="minorBidi"/>
                <w:sz w:val="18"/>
                <w:szCs w:val="22"/>
                <w:lang w:val="en-AU" w:eastAsia="en-US" w:bidi="ar-SA"/>
              </w:rPr>
              <w:t>e.</w:t>
            </w:r>
          </w:p>
          <w:p w:rsidR="00601474" w:rsidP="0083285F" w14:paraId="2ABA3A2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This action responds to recommendation</w:t>
            </w:r>
            <w:r w:rsidR="000E07E0">
              <w:rPr>
                <w:rFonts w:ascii="Cambria" w:hAnsi="Cambria" w:eastAsiaTheme="minorHAnsi" w:cstheme="minorBidi"/>
                <w:sz w:val="18"/>
                <w:szCs w:val="22"/>
                <w:lang w:val="en-AU" w:eastAsia="en-US" w:bidi="ar-SA"/>
              </w:rPr>
              <w:t>s</w:t>
            </w:r>
            <w:r>
              <w:rPr>
                <w:rFonts w:ascii="Cambria" w:hAnsi="Cambria" w:eastAsiaTheme="minorHAnsi" w:cstheme="minorBidi"/>
                <w:sz w:val="18"/>
                <w:szCs w:val="22"/>
                <w:lang w:val="en-AU" w:eastAsia="en-US" w:bidi="ar-SA"/>
              </w:rPr>
              <w:t xml:space="preserve"> </w:t>
            </w:r>
            <w:r w:rsidR="0083285F">
              <w:rPr>
                <w:rFonts w:ascii="Cambria" w:hAnsi="Cambria" w:eastAsiaTheme="minorHAnsi" w:cstheme="minorBidi"/>
                <w:sz w:val="18"/>
                <w:szCs w:val="22"/>
                <w:lang w:val="en-AU" w:eastAsia="en-US" w:bidi="ar-SA"/>
              </w:rPr>
              <w:t xml:space="preserve">of </w:t>
            </w:r>
            <w:r>
              <w:rPr>
                <w:rFonts w:ascii="Cambria" w:hAnsi="Cambria" w:eastAsiaTheme="minorHAnsi" w:cstheme="minorBidi"/>
                <w:sz w:val="18"/>
                <w:szCs w:val="22"/>
                <w:lang w:val="en-AU" w:eastAsia="en-US" w:bidi="ar-SA"/>
              </w:rPr>
              <w:t>the Sefton report.</w:t>
            </w:r>
          </w:p>
          <w:p w:rsidR="00C73C76" w:rsidP="0083285F" w14:paraId="2B893F80" w14:textId="2DA19412">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1169" w:type="pct"/>
            <w:tcMar>
              <w:left w:w="108" w:type="dxa"/>
              <w:right w:w="108" w:type="dxa"/>
            </w:tcMar>
          </w:tcPr>
          <w:p w:rsidR="00601474" w:rsidP="00601474" w14:paraId="4B55ED8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Quarter 1 2021</w:t>
            </w:r>
          </w:p>
        </w:tc>
      </w:tr>
    </w:tbl>
    <w:p w:rsidR="00F932E6" w:rsidRPr="00A24E6E" w:rsidP="00113A6A" w14:paraId="31EC8E03" w14:textId="77777777">
      <w:pPr>
        <w:pStyle w:val="Heading3"/>
        <w:numPr>
          <w:ilvl w:val="0"/>
          <w:numId w:val="0"/>
        </w:numPr>
        <w:ind w:left="964" w:hanging="964"/>
        <w:rPr>
          <w:lang w:val="en-US"/>
        </w:rPr>
      </w:pPr>
      <w:bookmarkStart w:id="11" w:name="_Toc49258982"/>
      <w:r w:rsidRPr="00A24E6E">
        <w:rPr>
          <w:lang w:val="en-US"/>
        </w:rPr>
        <w:t>Improving implementation of the Basin Plan</w:t>
      </w:r>
      <w:bookmarkEnd w:id="11"/>
    </w:p>
    <w:tbl>
      <w:tblPr>
        <w:tblW w:w="5000" w:type="pct"/>
        <w:tblInd w:w="0" w:type="dxa"/>
        <w:tblBorders>
          <w:insideH w:val="single" w:sz="4" w:space="0" w:color="auto"/>
        </w:tblBorders>
        <w:tblCellMar>
          <w:top w:w="0" w:type="dxa"/>
          <w:left w:w="40" w:type="dxa"/>
          <w:bottom w:w="0" w:type="dxa"/>
          <w:right w:w="40" w:type="dxa"/>
        </w:tblCellMar>
        <w:tblLook w:val="0000"/>
      </w:tblPr>
      <w:tblGrid>
        <w:gridCol w:w="2550"/>
        <w:gridCol w:w="4399"/>
        <w:gridCol w:w="2121"/>
      </w:tblGrid>
      <w:tr w14:paraId="5FFA7838" w14:textId="77777777" w:rsidTr="00C73C76">
        <w:tblPrEx>
          <w:tblW w:w="5000" w:type="pct"/>
          <w:tblInd w:w="0" w:type="dxa"/>
          <w:tblBorders>
            <w:insideH w:val="single" w:sz="4" w:space="0" w:color="auto"/>
          </w:tblBorders>
          <w:tblCellMar>
            <w:top w:w="0" w:type="dxa"/>
            <w:left w:w="40" w:type="dxa"/>
            <w:bottom w:w="0" w:type="dxa"/>
            <w:right w:w="40" w:type="dxa"/>
          </w:tblCellMar>
          <w:tblLook w:val="0000"/>
        </w:tblPrEx>
        <w:trPr>
          <w:cantSplit/>
          <w:tblHeader/>
        </w:trPr>
        <w:tc>
          <w:tcPr>
            <w:tcW w:w="1406" w:type="pct"/>
            <w:tcBorders>
              <w:top w:val="single" w:sz="4" w:space="0" w:color="auto"/>
              <w:bottom w:val="single" w:sz="4" w:space="0" w:color="auto"/>
            </w:tcBorders>
            <w:tcMar>
              <w:left w:w="108" w:type="dxa"/>
              <w:right w:w="108" w:type="dxa"/>
            </w:tcMar>
          </w:tcPr>
          <w:p w:rsidR="00F932E6" w:rsidP="00FC2A55" w14:paraId="5B10E22E"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What we are doing</w:t>
            </w:r>
          </w:p>
        </w:tc>
        <w:tc>
          <w:tcPr>
            <w:tcW w:w="2425" w:type="pct"/>
            <w:tcBorders>
              <w:top w:val="single" w:sz="4" w:space="0" w:color="auto"/>
              <w:bottom w:val="single" w:sz="4" w:space="0" w:color="auto"/>
            </w:tcBorders>
            <w:tcMar>
              <w:left w:w="108" w:type="dxa"/>
              <w:right w:w="108" w:type="dxa"/>
            </w:tcMar>
          </w:tcPr>
          <w:p w:rsidR="00F932E6" w:rsidP="00FC2A55" w14:paraId="31C1D76D"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How we will do it</w:t>
            </w:r>
          </w:p>
        </w:tc>
        <w:tc>
          <w:tcPr>
            <w:tcW w:w="1169" w:type="pct"/>
            <w:tcBorders>
              <w:top w:val="single" w:sz="4" w:space="0" w:color="auto"/>
              <w:bottom w:val="single" w:sz="4" w:space="0" w:color="auto"/>
            </w:tcBorders>
            <w:tcMar>
              <w:left w:w="108" w:type="dxa"/>
              <w:right w:w="108" w:type="dxa"/>
            </w:tcMar>
          </w:tcPr>
          <w:p w:rsidR="00F932E6" w:rsidP="00FC2A55" w14:paraId="74724CD5"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By when</w:t>
            </w:r>
          </w:p>
        </w:tc>
      </w:tr>
      <w:tr w14:paraId="438100DD" w14:textId="77777777" w:rsidTr="00C73C76">
        <w:tblPrEx>
          <w:tblW w:w="5000" w:type="pct"/>
          <w:tblInd w:w="0" w:type="dxa"/>
          <w:tblCellMar>
            <w:top w:w="0" w:type="dxa"/>
            <w:left w:w="40" w:type="dxa"/>
            <w:bottom w:w="0" w:type="dxa"/>
            <w:right w:w="40" w:type="dxa"/>
          </w:tblCellMar>
          <w:tblLook w:val="0000"/>
        </w:tblPrEx>
        <w:tc>
          <w:tcPr>
            <w:tcW w:w="1406" w:type="pct"/>
            <w:tcBorders>
              <w:top w:val="single" w:sz="4" w:space="0" w:color="auto"/>
            </w:tcBorders>
            <w:tcMar>
              <w:left w:w="108" w:type="dxa"/>
              <w:right w:w="108" w:type="dxa"/>
            </w:tcMar>
          </w:tcPr>
          <w:p w:rsidR="00F932E6" w:rsidP="00FC2A55" w14:paraId="26E2EB7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US" w:eastAsia="en-US" w:bidi="ar-SA"/>
              </w:rPr>
              <w:t>Designing</w:t>
            </w:r>
            <w:r w:rsidRPr="00904272">
              <w:rPr>
                <w:rFonts w:ascii="Cambria" w:hAnsi="Cambria" w:eastAsiaTheme="minorHAnsi" w:cstheme="minorBidi"/>
                <w:sz w:val="18"/>
                <w:szCs w:val="22"/>
                <w:lang w:val="en-US" w:eastAsia="en-US" w:bidi="ar-SA"/>
              </w:rPr>
              <w:t xml:space="preserve"> and deliver</w:t>
            </w:r>
            <w:r>
              <w:rPr>
                <w:rFonts w:ascii="Cambria" w:hAnsi="Cambria" w:eastAsiaTheme="minorHAnsi" w:cstheme="minorBidi"/>
                <w:sz w:val="18"/>
                <w:szCs w:val="22"/>
                <w:lang w:val="en-US" w:eastAsia="en-US" w:bidi="ar-SA"/>
              </w:rPr>
              <w:t>ing</w:t>
            </w:r>
            <w:r w:rsidRPr="00904272">
              <w:rPr>
                <w:rFonts w:ascii="Cambria" w:hAnsi="Cambria" w:eastAsiaTheme="minorHAnsi" w:cstheme="minorBidi"/>
                <w:sz w:val="18"/>
                <w:szCs w:val="22"/>
                <w:lang w:val="en-US" w:eastAsia="en-US" w:bidi="ar-SA"/>
              </w:rPr>
              <w:t xml:space="preserve"> </w:t>
            </w:r>
            <w:r>
              <w:rPr>
                <w:rFonts w:ascii="Cambria" w:hAnsi="Cambria" w:eastAsiaTheme="minorHAnsi" w:cstheme="minorBidi"/>
                <w:sz w:val="18"/>
                <w:szCs w:val="22"/>
                <w:lang w:val="en-US" w:eastAsia="en-US" w:bidi="ar-SA"/>
              </w:rPr>
              <w:t xml:space="preserve">water </w:t>
            </w:r>
            <w:r w:rsidRPr="00904272">
              <w:rPr>
                <w:rFonts w:ascii="Cambria" w:hAnsi="Cambria" w:eastAsiaTheme="minorHAnsi" w:cstheme="minorBidi"/>
                <w:sz w:val="18"/>
                <w:szCs w:val="22"/>
                <w:lang w:val="en-US" w:eastAsia="en-US" w:bidi="ar-SA"/>
              </w:rPr>
              <w:t>programs in partnership with communities</w:t>
            </w:r>
          </w:p>
        </w:tc>
        <w:tc>
          <w:tcPr>
            <w:tcW w:w="2425" w:type="pct"/>
            <w:tcBorders>
              <w:top w:val="single" w:sz="4" w:space="0" w:color="auto"/>
            </w:tcBorders>
            <w:tcMar>
              <w:left w:w="108" w:type="dxa"/>
              <w:right w:w="108" w:type="dxa"/>
            </w:tcMar>
          </w:tcPr>
          <w:p w:rsidR="00F932E6" w:rsidP="00FC2A55" w14:paraId="6A6FF60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More effectively seek community input and demonstrate how that feedback has been used in the design, delivery and evaluation of programs.</w:t>
            </w:r>
          </w:p>
          <w:p w:rsidR="005D0791" w:rsidP="0083285F" w14:paraId="643DE3B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This action responds to</w:t>
            </w:r>
            <w:r w:rsidR="000E07E0">
              <w:rPr>
                <w:rFonts w:ascii="Cambria" w:hAnsi="Cambria" w:eastAsiaTheme="minorHAnsi" w:cstheme="minorBidi"/>
                <w:sz w:val="18"/>
                <w:szCs w:val="22"/>
                <w:lang w:val="en-AU" w:eastAsia="en-US" w:bidi="ar-SA"/>
              </w:rPr>
              <w:t xml:space="preserve"> recommendations </w:t>
            </w:r>
            <w:r w:rsidR="0083285F">
              <w:rPr>
                <w:rFonts w:ascii="Cambria" w:hAnsi="Cambria" w:eastAsiaTheme="minorHAnsi" w:cstheme="minorBidi"/>
                <w:sz w:val="18"/>
                <w:szCs w:val="22"/>
                <w:lang w:val="en-AU" w:eastAsia="en-US" w:bidi="ar-SA"/>
              </w:rPr>
              <w:t>of</w:t>
            </w:r>
            <w:r>
              <w:rPr>
                <w:rFonts w:ascii="Cambria" w:hAnsi="Cambria" w:eastAsiaTheme="minorHAnsi" w:cstheme="minorBidi"/>
                <w:sz w:val="18"/>
                <w:szCs w:val="22"/>
                <w:lang w:val="en-AU" w:eastAsia="en-US" w:bidi="ar-SA"/>
              </w:rPr>
              <w:t xml:space="preserve"> </w:t>
            </w:r>
            <w:r w:rsidR="000E07E0">
              <w:rPr>
                <w:rFonts w:ascii="Cambria" w:hAnsi="Cambria" w:eastAsiaTheme="minorHAnsi" w:cstheme="minorBidi"/>
                <w:sz w:val="18"/>
                <w:szCs w:val="22"/>
                <w:lang w:val="en-AU" w:eastAsia="en-US" w:bidi="ar-SA"/>
              </w:rPr>
              <w:t xml:space="preserve">the </w:t>
            </w:r>
            <w:r>
              <w:rPr>
                <w:rFonts w:ascii="Cambria" w:hAnsi="Cambria" w:eastAsiaTheme="minorHAnsi" w:cstheme="minorBidi"/>
                <w:sz w:val="18"/>
                <w:szCs w:val="22"/>
                <w:lang w:val="en-AU" w:eastAsia="en-US" w:bidi="ar-SA"/>
              </w:rPr>
              <w:t>Sefton report.</w:t>
            </w:r>
          </w:p>
        </w:tc>
        <w:tc>
          <w:tcPr>
            <w:tcW w:w="1169" w:type="pct"/>
            <w:tcBorders>
              <w:top w:val="single" w:sz="4" w:space="0" w:color="auto"/>
            </w:tcBorders>
            <w:tcMar>
              <w:left w:w="108" w:type="dxa"/>
              <w:right w:w="108" w:type="dxa"/>
            </w:tcMar>
          </w:tcPr>
          <w:p w:rsidR="00F932E6" w:rsidP="00FC2A55" w14:paraId="35561C1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From Quarter 4 2020 – ongoing </w:t>
            </w:r>
          </w:p>
        </w:tc>
      </w:tr>
      <w:tr w14:paraId="62DD5ECD" w14:textId="77777777" w:rsidTr="00C73C76">
        <w:tblPrEx>
          <w:tblW w:w="5000" w:type="pct"/>
          <w:tblInd w:w="0" w:type="dxa"/>
          <w:tblCellMar>
            <w:top w:w="0" w:type="dxa"/>
            <w:left w:w="40" w:type="dxa"/>
            <w:bottom w:w="0" w:type="dxa"/>
            <w:right w:w="40" w:type="dxa"/>
          </w:tblCellMar>
          <w:tblLook w:val="0000"/>
        </w:tblPrEx>
        <w:tc>
          <w:tcPr>
            <w:tcW w:w="1406" w:type="pct"/>
            <w:tcMar>
              <w:left w:w="108" w:type="dxa"/>
              <w:right w:w="108" w:type="dxa"/>
            </w:tcMar>
          </w:tcPr>
          <w:p w:rsidR="00F932E6" w:rsidP="00FC2A55" w14:paraId="470AFBF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Investing in off-farm water efficiency projects to increase water recovery</w:t>
            </w:r>
          </w:p>
        </w:tc>
        <w:tc>
          <w:tcPr>
            <w:tcW w:w="2425" w:type="pct"/>
            <w:tcMar>
              <w:left w:w="108" w:type="dxa"/>
              <w:right w:w="108" w:type="dxa"/>
            </w:tcMar>
          </w:tcPr>
          <w:p w:rsidR="00601474" w:rsidP="00601474" w14:paraId="0B704EB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Shift the focus away from on-farm water efficiencies and buybacks.</w:t>
            </w:r>
          </w:p>
          <w:p w:rsidR="00F932E6" w:rsidP="00FC2A55" w14:paraId="6E88166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Work with the states and irrigation networks to identify projects to generate water savings through off-farm infrastructure. </w:t>
            </w:r>
          </w:p>
          <w:p w:rsidR="00F932E6" w14:paraId="75D10E9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This </w:t>
            </w:r>
            <w:r w:rsidR="005D0791">
              <w:rPr>
                <w:rFonts w:ascii="Cambria" w:hAnsi="Cambria" w:eastAsiaTheme="minorHAnsi" w:cstheme="minorBidi"/>
                <w:sz w:val="18"/>
                <w:szCs w:val="22"/>
                <w:lang w:val="en-AU" w:eastAsia="en-US" w:bidi="ar-SA"/>
              </w:rPr>
              <w:t xml:space="preserve">action </w:t>
            </w:r>
            <w:r>
              <w:rPr>
                <w:rFonts w:ascii="Cambria" w:hAnsi="Cambria" w:eastAsiaTheme="minorHAnsi" w:cstheme="minorBidi"/>
                <w:sz w:val="18"/>
                <w:szCs w:val="22"/>
                <w:lang w:val="en-AU" w:eastAsia="en-US" w:bidi="ar-SA"/>
              </w:rPr>
              <w:t xml:space="preserve">responds to the </w:t>
            </w:r>
            <w:r w:rsidR="005D0791">
              <w:rPr>
                <w:rFonts w:ascii="Cambria" w:hAnsi="Cambria" w:eastAsiaTheme="minorHAnsi" w:cstheme="minorBidi"/>
                <w:sz w:val="18"/>
                <w:szCs w:val="22"/>
                <w:lang w:val="en-AU" w:eastAsia="en-US" w:bidi="ar-SA"/>
              </w:rPr>
              <w:t xml:space="preserve">findings of the </w:t>
            </w:r>
            <w:r>
              <w:rPr>
                <w:rFonts w:ascii="Cambria" w:hAnsi="Cambria" w:eastAsiaTheme="minorHAnsi" w:cstheme="minorBidi"/>
                <w:sz w:val="18"/>
                <w:szCs w:val="22"/>
                <w:lang w:val="en-AU" w:eastAsia="en-US" w:bidi="ar-SA"/>
              </w:rPr>
              <w:t>WESA report</w:t>
            </w:r>
            <w:r w:rsidR="005D0791">
              <w:rPr>
                <w:rFonts w:ascii="Cambria" w:hAnsi="Cambria" w:eastAsiaTheme="minorHAnsi" w:cstheme="minorBidi"/>
                <w:sz w:val="18"/>
                <w:szCs w:val="22"/>
                <w:lang w:val="en-AU" w:eastAsia="en-US" w:bidi="ar-SA"/>
              </w:rPr>
              <w:t xml:space="preserve"> and</w:t>
            </w:r>
            <w:r>
              <w:rPr>
                <w:rFonts w:ascii="Cambria" w:hAnsi="Cambria" w:eastAsiaTheme="minorHAnsi" w:cstheme="minorBidi"/>
                <w:sz w:val="18"/>
                <w:szCs w:val="22"/>
                <w:lang w:val="en-AU" w:eastAsia="en-US" w:bidi="ar-SA"/>
              </w:rPr>
              <w:t xml:space="preserve"> </w:t>
            </w:r>
            <w:r w:rsidR="005D0791">
              <w:rPr>
                <w:rFonts w:ascii="Cambria" w:hAnsi="Cambria" w:eastAsiaTheme="minorHAnsi" w:cstheme="minorBidi"/>
                <w:sz w:val="18"/>
                <w:szCs w:val="22"/>
                <w:lang w:val="en-AU" w:eastAsia="en-US" w:bidi="ar-SA"/>
              </w:rPr>
              <w:t xml:space="preserve">the recommendations of the </w:t>
            </w:r>
            <w:r>
              <w:rPr>
                <w:rFonts w:ascii="Cambria" w:hAnsi="Cambria" w:eastAsiaTheme="minorHAnsi" w:cstheme="minorBidi"/>
                <w:sz w:val="18"/>
                <w:szCs w:val="22"/>
                <w:lang w:val="en-AU" w:eastAsia="en-US" w:bidi="ar-SA"/>
              </w:rPr>
              <w:t>Sefton report</w:t>
            </w:r>
            <w:r w:rsidR="005D0791">
              <w:rPr>
                <w:rFonts w:ascii="Cambria" w:hAnsi="Cambria" w:eastAsiaTheme="minorHAnsi" w:cstheme="minorBidi"/>
                <w:sz w:val="18"/>
                <w:szCs w:val="22"/>
                <w:lang w:val="en-AU" w:eastAsia="en-US" w:bidi="ar-SA"/>
              </w:rPr>
              <w:t>.</w:t>
            </w:r>
          </w:p>
        </w:tc>
        <w:tc>
          <w:tcPr>
            <w:tcW w:w="1169" w:type="pct"/>
            <w:tcMar>
              <w:left w:w="108" w:type="dxa"/>
              <w:right w:w="108" w:type="dxa"/>
            </w:tcMar>
          </w:tcPr>
          <w:p w:rsidR="00F932E6" w:rsidP="000E07E0" w14:paraId="7028A8B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Quarter </w:t>
            </w:r>
            <w:r w:rsidR="000E07E0">
              <w:rPr>
                <w:rFonts w:ascii="Cambria" w:hAnsi="Cambria" w:eastAsiaTheme="minorHAnsi" w:cstheme="minorBidi"/>
                <w:sz w:val="18"/>
                <w:szCs w:val="22"/>
                <w:lang w:val="en-AU" w:eastAsia="en-US" w:bidi="ar-SA"/>
              </w:rPr>
              <w:t xml:space="preserve">4 </w:t>
            </w:r>
            <w:r>
              <w:rPr>
                <w:rFonts w:ascii="Cambria" w:hAnsi="Cambria" w:eastAsiaTheme="minorHAnsi" w:cstheme="minorBidi"/>
                <w:sz w:val="18"/>
                <w:szCs w:val="22"/>
                <w:lang w:val="en-AU" w:eastAsia="en-US" w:bidi="ar-SA"/>
              </w:rPr>
              <w:t>2020</w:t>
            </w:r>
          </w:p>
        </w:tc>
      </w:tr>
      <w:tr w14:paraId="08D04360" w14:textId="77777777" w:rsidTr="00C73C76">
        <w:tblPrEx>
          <w:tblW w:w="5000" w:type="pct"/>
          <w:tblInd w:w="0" w:type="dxa"/>
          <w:tblCellMar>
            <w:top w:w="0" w:type="dxa"/>
            <w:left w:w="40" w:type="dxa"/>
            <w:bottom w:w="0" w:type="dxa"/>
            <w:right w:w="40" w:type="dxa"/>
          </w:tblCellMar>
          <w:tblLook w:val="0000"/>
        </w:tblPrEx>
        <w:tc>
          <w:tcPr>
            <w:tcW w:w="1406" w:type="pct"/>
            <w:tcMar>
              <w:left w:w="108" w:type="dxa"/>
              <w:right w:w="108" w:type="dxa"/>
            </w:tcMar>
          </w:tcPr>
          <w:p w:rsidR="00F932E6" w:rsidRPr="00EF77CC" w:rsidP="00FC2A55" w14:paraId="618AD515" w14:textId="77777777">
            <w:pPr>
              <w:pStyle w:val="TableText"/>
              <w:spacing w:before="60" w:after="60" w:line="240" w:lineRule="auto"/>
              <w:rPr>
                <w:rStyle w:val="DefaultParagraphFont"/>
                <w:rFonts w:ascii="Cambria" w:hAnsi="Cambria" w:eastAsiaTheme="minorHAnsi" w:cstheme="minorBidi"/>
                <w:sz w:val="18"/>
                <w:szCs w:val="22"/>
                <w:lang w:val="en-US" w:eastAsia="en-US" w:bidi="ar-SA"/>
              </w:rPr>
            </w:pPr>
            <w:r>
              <w:rPr>
                <w:rFonts w:ascii="Cambria" w:hAnsi="Cambria" w:eastAsiaTheme="minorHAnsi" w:cstheme="minorBidi"/>
                <w:sz w:val="18"/>
                <w:szCs w:val="22"/>
                <w:lang w:val="en-US" w:eastAsia="en-US" w:bidi="ar-SA"/>
              </w:rPr>
              <w:t>Strengthening working relationships between the Australian Government, states and local government</w:t>
            </w:r>
            <w:r w:rsidRPr="00A852EE">
              <w:rPr>
                <w:rFonts w:ascii="Cambria" w:hAnsi="Cambria" w:eastAsiaTheme="minorHAnsi" w:cstheme="minorBidi"/>
                <w:sz w:val="18"/>
                <w:szCs w:val="22"/>
                <w:lang w:val="en-US" w:eastAsia="en-US" w:bidi="ar-SA"/>
              </w:rPr>
              <w:t xml:space="preserve"> to improve delivery</w:t>
            </w:r>
            <w:r>
              <w:rPr>
                <w:rFonts w:ascii="Cambria" w:hAnsi="Cambria" w:eastAsiaTheme="minorHAnsi" w:cstheme="minorBidi"/>
                <w:sz w:val="18"/>
                <w:szCs w:val="22"/>
                <w:lang w:val="en-US" w:eastAsia="en-US" w:bidi="ar-SA"/>
              </w:rPr>
              <w:t xml:space="preserve"> of the Basin Plan</w:t>
            </w:r>
          </w:p>
        </w:tc>
        <w:tc>
          <w:tcPr>
            <w:tcW w:w="2425" w:type="pct"/>
            <w:tcMar>
              <w:left w:w="108" w:type="dxa"/>
              <w:right w:w="108" w:type="dxa"/>
            </w:tcMar>
          </w:tcPr>
          <w:p w:rsidR="00F932E6" w:rsidP="00FC2A55" w14:paraId="261D751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Work with Basin states to accelerate planning and delivery of supply and constraints projects that are at risk of not being delivered by 2024. We will partner with the National Water Grid Authority on these projects.</w:t>
            </w:r>
          </w:p>
          <w:p w:rsidR="00F932E6" w:rsidP="00FC2A55" w14:paraId="532129B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This </w:t>
            </w:r>
            <w:r w:rsidR="00230E37">
              <w:rPr>
                <w:rFonts w:ascii="Cambria" w:hAnsi="Cambria" w:eastAsiaTheme="minorHAnsi" w:cstheme="minorBidi"/>
                <w:sz w:val="18"/>
                <w:szCs w:val="22"/>
                <w:lang w:val="en-AU" w:eastAsia="en-US" w:bidi="ar-SA"/>
              </w:rPr>
              <w:t xml:space="preserve">action </w:t>
            </w:r>
            <w:r>
              <w:rPr>
                <w:rFonts w:ascii="Cambria" w:hAnsi="Cambria" w:eastAsiaTheme="minorHAnsi" w:cstheme="minorBidi"/>
                <w:sz w:val="18"/>
                <w:szCs w:val="22"/>
                <w:lang w:val="en-AU" w:eastAsia="en-US" w:bidi="ar-SA"/>
              </w:rPr>
              <w:t xml:space="preserve">builds on the government’s existing commitment </w:t>
            </w:r>
            <w:r w:rsidRPr="000E07E0">
              <w:rPr>
                <w:rFonts w:ascii="Cambria" w:hAnsi="Cambria" w:eastAsiaTheme="minorHAnsi" w:cstheme="minorBidi"/>
                <w:sz w:val="18"/>
                <w:szCs w:val="22"/>
                <w:lang w:val="en-AU" w:eastAsia="en-US" w:bidi="ar-SA"/>
              </w:rPr>
              <w:t>of $</w:t>
            </w:r>
            <w:r w:rsidRPr="000E07E0" w:rsidR="00325B6E">
              <w:rPr>
                <w:rFonts w:ascii="Cambria" w:hAnsi="Cambria" w:eastAsiaTheme="minorHAnsi" w:cstheme="minorBidi"/>
                <w:sz w:val="18"/>
                <w:szCs w:val="22"/>
                <w:lang w:val="en-AU" w:eastAsia="en-US" w:bidi="ar-SA"/>
              </w:rPr>
              <w:t>1.5 b</w:t>
            </w:r>
            <w:r w:rsidRPr="000E07E0">
              <w:rPr>
                <w:rFonts w:ascii="Cambria" w:hAnsi="Cambria" w:eastAsiaTheme="minorHAnsi" w:cstheme="minorBidi"/>
                <w:sz w:val="18"/>
                <w:szCs w:val="22"/>
                <w:lang w:val="en-AU" w:eastAsia="en-US" w:bidi="ar-SA"/>
              </w:rPr>
              <w:t>illion</w:t>
            </w:r>
            <w:r>
              <w:rPr>
                <w:rFonts w:ascii="Cambria" w:hAnsi="Cambria" w:eastAsiaTheme="minorHAnsi" w:cstheme="minorBidi"/>
                <w:sz w:val="18"/>
                <w:szCs w:val="22"/>
                <w:lang w:val="en-AU" w:eastAsia="en-US" w:bidi="ar-SA"/>
              </w:rPr>
              <w:t xml:space="preserve"> for these projects.</w:t>
            </w:r>
          </w:p>
          <w:p w:rsidR="00F932E6" w:rsidP="00FC2A55" w14:paraId="3A49A30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Develop a new National Partnership </w:t>
            </w:r>
            <w:r w:rsidR="00230E37">
              <w:rPr>
                <w:rFonts w:ascii="Cambria" w:hAnsi="Cambria" w:eastAsiaTheme="minorHAnsi" w:cstheme="minorBidi"/>
                <w:sz w:val="18"/>
                <w:szCs w:val="22"/>
                <w:lang w:val="en-AU" w:eastAsia="en-US" w:bidi="ar-SA"/>
              </w:rPr>
              <w:t xml:space="preserve">agreement </w:t>
            </w:r>
            <w:r>
              <w:rPr>
                <w:rFonts w:ascii="Cambria" w:hAnsi="Cambria" w:eastAsiaTheme="minorHAnsi" w:cstheme="minorBidi"/>
                <w:sz w:val="18"/>
                <w:szCs w:val="22"/>
                <w:lang w:val="en-AU" w:eastAsia="en-US" w:bidi="ar-SA"/>
              </w:rPr>
              <w:t xml:space="preserve">between the Australian and Basin state governments to provide funding for new and ongoing activities required to implement the Basin Plan. </w:t>
            </w:r>
          </w:p>
          <w:p w:rsidR="00F932E6" w14:paraId="360005B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This action responds to the findings of the WESA report and the recommendations of the Sefton report.</w:t>
            </w:r>
          </w:p>
        </w:tc>
        <w:tc>
          <w:tcPr>
            <w:tcW w:w="1169" w:type="pct"/>
            <w:tcMar>
              <w:left w:w="108" w:type="dxa"/>
              <w:right w:w="108" w:type="dxa"/>
            </w:tcMar>
          </w:tcPr>
          <w:p w:rsidR="00F932E6" w:rsidP="000E07E0" w14:paraId="39E7B32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Quarter </w:t>
            </w:r>
            <w:r w:rsidR="000E07E0">
              <w:rPr>
                <w:rFonts w:ascii="Cambria" w:hAnsi="Cambria" w:eastAsiaTheme="minorHAnsi" w:cstheme="minorBidi"/>
                <w:sz w:val="18"/>
                <w:szCs w:val="22"/>
                <w:lang w:val="en-AU" w:eastAsia="en-US" w:bidi="ar-SA"/>
              </w:rPr>
              <w:t xml:space="preserve">4 </w:t>
            </w:r>
            <w:r>
              <w:rPr>
                <w:rFonts w:ascii="Cambria" w:hAnsi="Cambria" w:eastAsiaTheme="minorHAnsi" w:cstheme="minorBidi"/>
                <w:sz w:val="18"/>
                <w:szCs w:val="22"/>
                <w:lang w:val="en-AU" w:eastAsia="en-US" w:bidi="ar-SA"/>
              </w:rPr>
              <w:t>2020</w:t>
            </w:r>
          </w:p>
        </w:tc>
      </w:tr>
    </w:tbl>
    <w:p w:rsidR="00893CE1" w14:paraId="38B55E71" w14:textId="77777777">
      <w:bookmarkEnd w:id="8"/>
    </w:p>
    <w:sectPr w:rsidSect="007458C3">
      <w:pgSz w:w="11906" w:h="16838"/>
      <w:pgMar w:top="1418" w:right="1418" w:bottom="1418" w:left="1418" w:header="567" w:footer="283"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2D9" w14:paraId="4F40ADCC" w14:textId="77777777">
    <w:pPr>
      <w:pStyle w:val="Footer"/>
    </w:pPr>
    <w:r>
      <w:t>Department of Agriculture, Water and the Environment</w:t>
    </w:r>
  </w:p>
  <w:p w:rsidR="002A52D9" w14:paraId="7F58423F" w14:textId="77777777">
    <w:pPr>
      <w:pStyle w:val="Footer"/>
    </w:pPr>
    <w:r>
      <w:fldChar w:fldCharType="begin"/>
    </w:r>
    <w:r>
      <w:instrText xml:space="preserve"> PAGE   \* MERGEFORMAT </w:instrText>
    </w:r>
    <w:r>
      <w:fldChar w:fldCharType="separate"/>
    </w:r>
    <w:r w:rsidR="009D10EA">
      <w:rPr>
        <w:noProof/>
      </w:rPr>
      <w:t>6</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2D9" w14:paraId="34B3E182" w14:textId="77777777">
    <w:pPr>
      <w:pStyle w:val="Header"/>
    </w:pPr>
    <w:r>
      <w:t>Murray</w:t>
    </w:r>
    <w:r w:rsidR="00FD2E2C">
      <w:t>–</w:t>
    </w:r>
    <w:r>
      <w:t xml:space="preserve">Darling </w:t>
    </w:r>
    <w:r w:rsidR="00A27C03">
      <w:t>Communities Investment 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2D9" w14:paraId="2B7032C1" w14:textId="77777777">
    <w:pPr>
      <w:pStyle w:val="Header"/>
      <w:jc w:val="left"/>
    </w:pPr>
    <w:r>
      <w:rPr>
        <w:noProof/>
        <w:lang w:eastAsia="en-AU"/>
      </w:rPr>
      <w:drawing>
        <wp:inline distT="0" distB="0" distL="0" distR="0">
          <wp:extent cx="2123264" cy="637247"/>
          <wp:effectExtent l="0" t="0" r="0" b="0"/>
          <wp:docPr id="5" name="Pictur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04769" name="Picture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E4F49"/>
    <w:multiLevelType w:val="multilevel"/>
    <w:tmpl w:val="B2DE95AE"/>
    <w:lvl w:ilvl="0">
      <w:start w:val="1"/>
      <w:numFmt w:val="bullet"/>
      <w:pStyle w:val="Bullet"/>
      <w:lvlText w:val=""/>
      <w:lvlJc w:val="left"/>
      <w:pPr>
        <w:tabs>
          <w:tab w:val="num" w:pos="567"/>
        </w:tabs>
        <w:ind w:left="567" w:hanging="567"/>
      </w:pPr>
      <w:rPr>
        <w:rFonts w:ascii="Symbol" w:hAnsi="Symbol" w:hint="default"/>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B02C94"/>
    <w:multiLevelType w:val="hybridMultilevel"/>
    <w:tmpl w:val="D4160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012E95"/>
    <w:multiLevelType w:val="hybridMultilevel"/>
    <w:tmpl w:val="BC3E1A4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BD33715"/>
    <w:multiLevelType w:val="hybridMultilevel"/>
    <w:tmpl w:val="9DE83D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cap="rnd">
          <w14:noFill/>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BDC474E"/>
    <w:multiLevelType w:val="hybridMultilevel"/>
    <w:tmpl w:val="583ED1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94A15FE"/>
    <w:multiLevelType w:val="multilevel"/>
    <w:tmpl w:val="F36C17E8"/>
    <w:numStyleLink w:val="Heading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5AA12966"/>
    <w:multiLevelType w:val="multilevel"/>
    <w:tmpl w:val="A0241B28"/>
    <w:styleLink w:val="List1"/>
    <w:lvl w:ilvl="0">
      <w:start w:val="1"/>
      <w:numFmt w:val="bullet"/>
      <w:pStyle w:val="ListBullet"/>
      <w:lvlText w:val=""/>
      <w:lvlJc w:val="left"/>
      <w:pPr>
        <w:ind w:left="709"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nsid w:val="60AC6AD5"/>
    <w:multiLevelType w:val="hybridMultilevel"/>
    <w:tmpl w:val="6E5C3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85607B6"/>
    <w:multiLevelType w:val="hybridMultilevel"/>
    <w:tmpl w:val="1F4AA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A1157D"/>
    <w:multiLevelType w:val="hybridMultilevel"/>
    <w:tmpl w:val="490CA0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9"/>
  </w:num>
  <w:num w:numId="6">
    <w:abstractNumId w:val="5"/>
  </w:num>
  <w:num w:numId="7">
    <w:abstractNumId w:val="10"/>
  </w:num>
  <w:num w:numId="8">
    <w:abstractNumId w:val="2"/>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E6"/>
    <w:rsid w:val="000016EE"/>
    <w:rsid w:val="00001892"/>
    <w:rsid w:val="000A2AE7"/>
    <w:rsid w:val="000C1DB5"/>
    <w:rsid w:val="000E07E0"/>
    <w:rsid w:val="000E4E79"/>
    <w:rsid w:val="000F406E"/>
    <w:rsid w:val="00112432"/>
    <w:rsid w:val="00113A6A"/>
    <w:rsid w:val="00133BA0"/>
    <w:rsid w:val="001367B0"/>
    <w:rsid w:val="0015358A"/>
    <w:rsid w:val="001E36F7"/>
    <w:rsid w:val="001F10A0"/>
    <w:rsid w:val="00202D89"/>
    <w:rsid w:val="00230E37"/>
    <w:rsid w:val="00253E2B"/>
    <w:rsid w:val="002573E9"/>
    <w:rsid w:val="00296559"/>
    <w:rsid w:val="002A52D9"/>
    <w:rsid w:val="002D0F77"/>
    <w:rsid w:val="002F1E8F"/>
    <w:rsid w:val="00325B6E"/>
    <w:rsid w:val="0033333F"/>
    <w:rsid w:val="003676C2"/>
    <w:rsid w:val="00374198"/>
    <w:rsid w:val="0038443F"/>
    <w:rsid w:val="00392007"/>
    <w:rsid w:val="003A2337"/>
    <w:rsid w:val="003C1216"/>
    <w:rsid w:val="003C50EE"/>
    <w:rsid w:val="003E0B97"/>
    <w:rsid w:val="003E231A"/>
    <w:rsid w:val="003F4293"/>
    <w:rsid w:val="00435032"/>
    <w:rsid w:val="00461D20"/>
    <w:rsid w:val="004662C6"/>
    <w:rsid w:val="004A6658"/>
    <w:rsid w:val="00541B3F"/>
    <w:rsid w:val="0056230D"/>
    <w:rsid w:val="005872A0"/>
    <w:rsid w:val="00590EB3"/>
    <w:rsid w:val="005A1F22"/>
    <w:rsid w:val="005A44F2"/>
    <w:rsid w:val="005A6E3C"/>
    <w:rsid w:val="005D0791"/>
    <w:rsid w:val="005D2F68"/>
    <w:rsid w:val="005F0D67"/>
    <w:rsid w:val="00601474"/>
    <w:rsid w:val="0062107F"/>
    <w:rsid w:val="006303E1"/>
    <w:rsid w:val="00632637"/>
    <w:rsid w:val="00651529"/>
    <w:rsid w:val="00660FAC"/>
    <w:rsid w:val="00670F12"/>
    <w:rsid w:val="006762CE"/>
    <w:rsid w:val="006A07A6"/>
    <w:rsid w:val="006C530B"/>
    <w:rsid w:val="007458C3"/>
    <w:rsid w:val="00757C0E"/>
    <w:rsid w:val="00773056"/>
    <w:rsid w:val="007B1281"/>
    <w:rsid w:val="007D1B05"/>
    <w:rsid w:val="007F2C2B"/>
    <w:rsid w:val="00827E45"/>
    <w:rsid w:val="0083285F"/>
    <w:rsid w:val="008331F2"/>
    <w:rsid w:val="00846266"/>
    <w:rsid w:val="008504F1"/>
    <w:rsid w:val="00856C0C"/>
    <w:rsid w:val="00873432"/>
    <w:rsid w:val="00893CE1"/>
    <w:rsid w:val="008A5DF1"/>
    <w:rsid w:val="008B331E"/>
    <w:rsid w:val="008C3189"/>
    <w:rsid w:val="008D6B7F"/>
    <w:rsid w:val="008F1A33"/>
    <w:rsid w:val="00904272"/>
    <w:rsid w:val="00942579"/>
    <w:rsid w:val="0096745B"/>
    <w:rsid w:val="0097387C"/>
    <w:rsid w:val="009B64AD"/>
    <w:rsid w:val="009C405B"/>
    <w:rsid w:val="009D10EA"/>
    <w:rsid w:val="009F3F23"/>
    <w:rsid w:val="00A07FEA"/>
    <w:rsid w:val="00A24E6E"/>
    <w:rsid w:val="00A27281"/>
    <w:rsid w:val="00A27C03"/>
    <w:rsid w:val="00A63DD0"/>
    <w:rsid w:val="00A852EE"/>
    <w:rsid w:val="00A92BFF"/>
    <w:rsid w:val="00AB17F4"/>
    <w:rsid w:val="00AE330C"/>
    <w:rsid w:val="00B01958"/>
    <w:rsid w:val="00B02C4E"/>
    <w:rsid w:val="00B21412"/>
    <w:rsid w:val="00B355F3"/>
    <w:rsid w:val="00B603D6"/>
    <w:rsid w:val="00B60AF9"/>
    <w:rsid w:val="00B92228"/>
    <w:rsid w:val="00BA0573"/>
    <w:rsid w:val="00BA7076"/>
    <w:rsid w:val="00C02D7E"/>
    <w:rsid w:val="00C04D12"/>
    <w:rsid w:val="00C1408C"/>
    <w:rsid w:val="00C2539B"/>
    <w:rsid w:val="00C522D0"/>
    <w:rsid w:val="00C7033E"/>
    <w:rsid w:val="00C73C76"/>
    <w:rsid w:val="00C90B1C"/>
    <w:rsid w:val="00CA50B8"/>
    <w:rsid w:val="00CB39B9"/>
    <w:rsid w:val="00CD02D3"/>
    <w:rsid w:val="00CD29E9"/>
    <w:rsid w:val="00D560D3"/>
    <w:rsid w:val="00D66EEB"/>
    <w:rsid w:val="00DA17A5"/>
    <w:rsid w:val="00E02BA3"/>
    <w:rsid w:val="00E12CEA"/>
    <w:rsid w:val="00E20810"/>
    <w:rsid w:val="00E3136F"/>
    <w:rsid w:val="00E81BBD"/>
    <w:rsid w:val="00E849C6"/>
    <w:rsid w:val="00EC30EC"/>
    <w:rsid w:val="00ED5AA9"/>
    <w:rsid w:val="00EE44C2"/>
    <w:rsid w:val="00EE7383"/>
    <w:rsid w:val="00EF77CC"/>
    <w:rsid w:val="00F00A6A"/>
    <w:rsid w:val="00F932E6"/>
    <w:rsid w:val="00F93507"/>
    <w:rsid w:val="00FA4F1A"/>
    <w:rsid w:val="00FB3DBF"/>
    <w:rsid w:val="00FC2A55"/>
    <w:rsid w:val="00FD2E2C"/>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15:docId w15:val="{4C232642-8BCA-4149-8EE9-73D02E0D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2E6"/>
    <w:pPr>
      <w:spacing w:after="200" w:line="276" w:lineRule="auto"/>
    </w:pPr>
    <w:rPr>
      <w:rFonts w:ascii="Cambria" w:hAnsi="Cambria"/>
    </w:rPr>
  </w:style>
  <w:style w:type="paragraph" w:styleId="Heading1">
    <w:name w:val="heading 1"/>
    <w:next w:val="Normal"/>
    <w:link w:val="Heading1Char"/>
    <w:uiPriority w:val="1"/>
    <w:qFormat/>
    <w:rsid w:val="00F932E6"/>
    <w:pPr>
      <w:widowControl w:val="0"/>
      <w:spacing w:before="360" w:after="0" w:line="240" w:lineRule="auto"/>
      <w:contextualSpacing/>
      <w:outlineLvl w:val="0"/>
    </w:pPr>
    <w:rPr>
      <w:rFonts w:ascii="Calibri" w:hAnsi="Calibri"/>
      <w:b/>
      <w:bCs/>
      <w:color w:val="000000"/>
      <w:spacing w:val="5"/>
      <w:kern w:val="28"/>
      <w:sz w:val="72"/>
      <w:szCs w:val="28"/>
    </w:rPr>
  </w:style>
  <w:style w:type="paragraph" w:styleId="Heading2">
    <w:name w:val="heading 2"/>
    <w:basedOn w:val="Normal"/>
    <w:next w:val="Normal"/>
    <w:link w:val="Heading2Char"/>
    <w:uiPriority w:val="3"/>
    <w:rsid w:val="00F932E6"/>
    <w:pPr>
      <w:pageBreakBefore/>
      <w:numPr>
        <w:numId w:val="3"/>
      </w:numPr>
      <w:spacing w:after="240" w:line="240" w:lineRule="auto"/>
      <w:outlineLvl w:val="1"/>
    </w:pPr>
    <w:rPr>
      <w:rFonts w:ascii="Calibri" w:hAnsi="Calibri" w:eastAsiaTheme="minorEastAsia"/>
      <w:bCs/>
      <w:color w:val="000000"/>
      <w:sz w:val="56"/>
      <w:szCs w:val="28"/>
      <w:lang w:eastAsia="ja-JP"/>
    </w:rPr>
  </w:style>
  <w:style w:type="paragraph" w:styleId="Heading3">
    <w:name w:val="heading 3"/>
    <w:next w:val="Normal"/>
    <w:link w:val="Heading3Char"/>
    <w:uiPriority w:val="4"/>
    <w:qFormat/>
    <w:rsid w:val="00F932E6"/>
    <w:pPr>
      <w:keepNext/>
      <w:keepLines/>
      <w:numPr>
        <w:ilvl w:val="1"/>
        <w:numId w:val="3"/>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F932E6"/>
    <w:pPr>
      <w:keepNext/>
      <w:numPr>
        <w:ilvl w:val="2"/>
        <w:numId w:val="3"/>
      </w:numPr>
      <w:spacing w:after="0" w:line="240" w:lineRule="auto"/>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32E6"/>
    <w:rPr>
      <w:rFonts w:ascii="Calibri" w:hAnsi="Calibri"/>
      <w:b/>
      <w:bCs/>
      <w:color w:val="000000"/>
      <w:spacing w:val="5"/>
      <w:kern w:val="28"/>
      <w:sz w:val="72"/>
      <w:szCs w:val="28"/>
    </w:rPr>
  </w:style>
  <w:style w:type="character" w:customStyle="1" w:styleId="Heading2Char">
    <w:name w:val="Heading 2 Char"/>
    <w:basedOn w:val="DefaultParagraphFont"/>
    <w:link w:val="Heading2"/>
    <w:uiPriority w:val="3"/>
    <w:rsid w:val="00F932E6"/>
    <w:rPr>
      <w:rFonts w:ascii="Calibri" w:hAnsi="Calibri" w:eastAsiaTheme="minorEastAsia"/>
      <w:bCs/>
      <w:color w:val="000000"/>
      <w:sz w:val="56"/>
      <w:szCs w:val="28"/>
      <w:lang w:eastAsia="ja-JP"/>
    </w:rPr>
  </w:style>
  <w:style w:type="character" w:customStyle="1" w:styleId="Heading3Char">
    <w:name w:val="Heading 3 Char"/>
    <w:basedOn w:val="DefaultParagraphFont"/>
    <w:link w:val="Heading3"/>
    <w:uiPriority w:val="4"/>
    <w:rsid w:val="00F932E6"/>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sid w:val="00F932E6"/>
    <w:rPr>
      <w:rFonts w:ascii="Calibri" w:eastAsia="Times New Roman" w:hAnsi="Calibri" w:cs="Times New Roman"/>
      <w:b/>
      <w:bCs/>
      <w:sz w:val="28"/>
      <w:szCs w:val="24"/>
    </w:rPr>
  </w:style>
  <w:style w:type="paragraph" w:styleId="CommentText">
    <w:name w:val="annotation text"/>
    <w:basedOn w:val="Normal"/>
    <w:link w:val="CommentTextChar"/>
    <w:uiPriority w:val="99"/>
    <w:unhideWhenUsed/>
    <w:rsid w:val="00F932E6"/>
    <w:rPr>
      <w:sz w:val="20"/>
      <w:szCs w:val="20"/>
    </w:rPr>
  </w:style>
  <w:style w:type="character" w:customStyle="1" w:styleId="CommentTextChar">
    <w:name w:val="Comment Text Char"/>
    <w:basedOn w:val="DefaultParagraphFont"/>
    <w:link w:val="CommentText"/>
    <w:uiPriority w:val="99"/>
    <w:rsid w:val="00F932E6"/>
    <w:rPr>
      <w:rFonts w:ascii="Cambria" w:hAnsi="Cambria"/>
      <w:sz w:val="20"/>
      <w:szCs w:val="20"/>
    </w:rPr>
  </w:style>
  <w:style w:type="paragraph" w:styleId="Header">
    <w:name w:val="header"/>
    <w:basedOn w:val="Normal"/>
    <w:link w:val="HeaderChar"/>
    <w:uiPriority w:val="26"/>
    <w:rsid w:val="00F932E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F932E6"/>
    <w:rPr>
      <w:rFonts w:ascii="Calibri" w:hAnsi="Calibri"/>
      <w:sz w:val="20"/>
    </w:rPr>
  </w:style>
  <w:style w:type="paragraph" w:styleId="Footer">
    <w:name w:val="footer"/>
    <w:basedOn w:val="Normal"/>
    <w:link w:val="FooterChar"/>
    <w:uiPriority w:val="27"/>
    <w:rsid w:val="00F932E6"/>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F932E6"/>
    <w:rPr>
      <w:rFonts w:ascii="Calibri" w:hAnsi="Calibri"/>
      <w:sz w:val="20"/>
    </w:rPr>
  </w:style>
  <w:style w:type="character" w:styleId="CommentReference">
    <w:name w:val="annotation reference"/>
    <w:basedOn w:val="DefaultParagraphFont"/>
    <w:uiPriority w:val="99"/>
    <w:semiHidden/>
    <w:unhideWhenUsed/>
    <w:rsid w:val="00F932E6"/>
    <w:rPr>
      <w:sz w:val="16"/>
      <w:szCs w:val="16"/>
    </w:rPr>
  </w:style>
  <w:style w:type="paragraph" w:styleId="Subtitle">
    <w:name w:val="Subtitle"/>
    <w:basedOn w:val="Heading1"/>
    <w:next w:val="Normal"/>
    <w:link w:val="SubtitleChar"/>
    <w:uiPriority w:val="23"/>
    <w:qFormat/>
    <w:rsid w:val="00F932E6"/>
    <w:pPr>
      <w:spacing w:before="120"/>
    </w:pPr>
    <w:rPr>
      <w:b w:val="0"/>
      <w:sz w:val="56"/>
      <w:szCs w:val="56"/>
    </w:rPr>
  </w:style>
  <w:style w:type="character" w:customStyle="1" w:styleId="SubtitleChar">
    <w:name w:val="Subtitle Char"/>
    <w:basedOn w:val="DefaultParagraphFont"/>
    <w:link w:val="Subtitle"/>
    <w:uiPriority w:val="23"/>
    <w:rsid w:val="00F932E6"/>
    <w:rPr>
      <w:rFonts w:ascii="Calibri" w:hAnsi="Calibri"/>
      <w:bCs/>
      <w:color w:val="000000"/>
      <w:spacing w:val="5"/>
      <w:kern w:val="28"/>
      <w:sz w:val="56"/>
      <w:szCs w:val="56"/>
    </w:rPr>
  </w:style>
  <w:style w:type="paragraph" w:styleId="TOCHeading">
    <w:name w:val="TOC Heading"/>
    <w:next w:val="Normal"/>
    <w:uiPriority w:val="39"/>
    <w:qFormat/>
    <w:rsid w:val="00F932E6"/>
    <w:pPr>
      <w:spacing w:before="480" w:after="0" w:line="276" w:lineRule="auto"/>
    </w:pPr>
    <w:rPr>
      <w:rFonts w:ascii="Calibri" w:hAnsi="Calibri" w:eastAsiaTheme="minorEastAsia"/>
      <w:bCs/>
      <w:color w:val="000000"/>
      <w:sz w:val="56"/>
      <w:szCs w:val="28"/>
      <w:lang w:eastAsia="ja-JP"/>
    </w:rPr>
  </w:style>
  <w:style w:type="paragraph" w:styleId="TOC1">
    <w:name w:val="toc 1"/>
    <w:basedOn w:val="Normal"/>
    <w:next w:val="Normal"/>
    <w:uiPriority w:val="39"/>
    <w:unhideWhenUsed/>
    <w:qFormat/>
    <w:rsid w:val="00F932E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F932E6"/>
    <w:pPr>
      <w:tabs>
        <w:tab w:val="right" w:leader="dot" w:pos="9060"/>
      </w:tabs>
      <w:spacing w:before="120" w:after="120" w:line="240" w:lineRule="auto"/>
      <w:ind w:firstLine="425"/>
    </w:pPr>
    <w:rPr>
      <w:noProof/>
    </w:rPr>
  </w:style>
  <w:style w:type="character" w:styleId="Hyperlink">
    <w:name w:val="Hyperlink"/>
    <w:basedOn w:val="DefaultParagraphFont"/>
    <w:uiPriority w:val="99"/>
    <w:qFormat/>
    <w:rsid w:val="00F932E6"/>
    <w:rPr>
      <w:color w:val="165788"/>
      <w:u w:val="single"/>
    </w:rPr>
  </w:style>
  <w:style w:type="paragraph" w:styleId="ListBullet">
    <w:name w:val="List Bullet"/>
    <w:basedOn w:val="Normal"/>
    <w:uiPriority w:val="99"/>
    <w:qFormat/>
    <w:rsid w:val="00F932E6"/>
    <w:pPr>
      <w:numPr>
        <w:numId w:val="1"/>
      </w:numPr>
      <w:spacing w:before="120" w:after="120"/>
      <w:ind w:left="425"/>
    </w:pPr>
  </w:style>
  <w:style w:type="paragraph" w:styleId="TableofFigures">
    <w:name w:val="table of figures"/>
    <w:basedOn w:val="Normal"/>
    <w:next w:val="Normal"/>
    <w:uiPriority w:val="99"/>
    <w:rsid w:val="00F932E6"/>
    <w:pPr>
      <w:spacing w:before="120" w:after="120" w:line="240" w:lineRule="auto"/>
    </w:pPr>
  </w:style>
  <w:style w:type="paragraph" w:styleId="ListBullet2">
    <w:name w:val="List Bullet 2"/>
    <w:basedOn w:val="Normal"/>
    <w:uiPriority w:val="8"/>
    <w:qFormat/>
    <w:rsid w:val="00F932E6"/>
    <w:pPr>
      <w:numPr>
        <w:ilvl w:val="1"/>
        <w:numId w:val="1"/>
      </w:numPr>
      <w:spacing w:before="120" w:after="120"/>
      <w:contextualSpacing/>
    </w:pPr>
  </w:style>
  <w:style w:type="paragraph" w:customStyle="1" w:styleId="TableText">
    <w:name w:val="Table Text"/>
    <w:basedOn w:val="Normal"/>
    <w:uiPriority w:val="13"/>
    <w:qFormat/>
    <w:rsid w:val="00F932E6"/>
    <w:pPr>
      <w:spacing w:before="60" w:after="60" w:line="240" w:lineRule="auto"/>
    </w:pPr>
    <w:rPr>
      <w:sz w:val="18"/>
    </w:rPr>
  </w:style>
  <w:style w:type="paragraph" w:customStyle="1" w:styleId="TableHeading">
    <w:name w:val="Table Heading"/>
    <w:basedOn w:val="TableText"/>
    <w:uiPriority w:val="14"/>
    <w:qFormat/>
    <w:rsid w:val="00F932E6"/>
    <w:pPr>
      <w:keepNext/>
    </w:pPr>
    <w:rPr>
      <w:b/>
    </w:rPr>
  </w:style>
  <w:style w:type="character" w:styleId="Strong">
    <w:name w:val="Strong"/>
    <w:basedOn w:val="DefaultParagraphFont"/>
    <w:uiPriority w:val="99"/>
    <w:qFormat/>
    <w:rsid w:val="00F932E6"/>
    <w:rPr>
      <w:b/>
      <w:bCs/>
    </w:rPr>
  </w:style>
  <w:style w:type="paragraph" w:customStyle="1" w:styleId="Picture">
    <w:name w:val="Picture"/>
    <w:basedOn w:val="Normal"/>
    <w:uiPriority w:val="17"/>
    <w:qFormat/>
    <w:rsid w:val="00F932E6"/>
    <w:pPr>
      <w:spacing w:before="120" w:after="120" w:line="240" w:lineRule="auto"/>
    </w:pPr>
    <w:rPr>
      <w:noProof/>
      <w:lang w:eastAsia="en-AU"/>
    </w:rPr>
  </w:style>
  <w:style w:type="numbering" w:customStyle="1" w:styleId="List1">
    <w:name w:val="List1"/>
    <w:basedOn w:val="NoList"/>
    <w:uiPriority w:val="99"/>
    <w:rsid w:val="00F932E6"/>
    <w:pPr>
      <w:numPr>
        <w:numId w:val="1"/>
      </w:numPr>
    </w:pPr>
  </w:style>
  <w:style w:type="numbering" w:customStyle="1" w:styleId="Headinglist">
    <w:name w:val="Heading list"/>
    <w:uiPriority w:val="99"/>
    <w:rsid w:val="00F932E6"/>
    <w:pPr>
      <w:numPr>
        <w:numId w:val="2"/>
      </w:numPr>
    </w:pPr>
  </w:style>
  <w:style w:type="paragraph" w:customStyle="1" w:styleId="Normalsmall">
    <w:name w:val="Normal small"/>
    <w:qFormat/>
    <w:rsid w:val="00F932E6"/>
    <w:pPr>
      <w:spacing w:after="120" w:line="276" w:lineRule="auto"/>
    </w:pPr>
    <w:rPr>
      <w:rFonts w:ascii="Cambria" w:hAnsi="Cambria"/>
      <w:sz w:val="18"/>
      <w:szCs w:val="18"/>
    </w:rPr>
  </w:style>
  <w:style w:type="paragraph" w:styleId="ListBullet3">
    <w:name w:val="List Bullet 3"/>
    <w:basedOn w:val="Normal"/>
    <w:uiPriority w:val="99"/>
    <w:semiHidden/>
    <w:rsid w:val="00F932E6"/>
    <w:pPr>
      <w:numPr>
        <w:ilvl w:val="2"/>
        <w:numId w:val="1"/>
      </w:numPr>
      <w:contextualSpacing/>
    </w:pPr>
  </w:style>
  <w:style w:type="paragraph" w:styleId="BalloonText">
    <w:name w:val="Balloon Text"/>
    <w:basedOn w:val="Normal"/>
    <w:link w:val="BalloonTextChar"/>
    <w:uiPriority w:val="99"/>
    <w:semiHidden/>
    <w:unhideWhenUsed/>
    <w:rsid w:val="00F93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2E6"/>
    <w:rPr>
      <w:rFonts w:ascii="Segoe UI" w:hAnsi="Segoe UI" w:cs="Segoe UI"/>
      <w:sz w:val="18"/>
      <w:szCs w:val="18"/>
    </w:rPr>
  </w:style>
  <w:style w:type="paragraph" w:styleId="ListParagraph">
    <w:name w:val="List Paragraph"/>
    <w:aliases w:val="CV text,Dot pt,F5 List Paragraph,FooterText,L,LP-DO NOT USE,List Paragraph1,List Paragraph11,List Paragraph111,List Paragraph2,Medium Grid 1 - Accent 21,NFP GP Bulleted List,Recommendation,numbered,列出段"/>
    <w:basedOn w:val="Normal"/>
    <w:link w:val="ListParagraphChar"/>
    <w:uiPriority w:val="34"/>
    <w:qFormat/>
    <w:rsid w:val="00BA0573"/>
    <w:pPr>
      <w:ind w:left="720"/>
      <w:contextualSpacing/>
    </w:pPr>
  </w:style>
  <w:style w:type="paragraph" w:styleId="CommentSubject">
    <w:name w:val="annotation subject"/>
    <w:basedOn w:val="CommentText"/>
    <w:next w:val="CommentText"/>
    <w:link w:val="CommentSubjectChar"/>
    <w:uiPriority w:val="99"/>
    <w:semiHidden/>
    <w:unhideWhenUsed/>
    <w:rsid w:val="005D2F68"/>
    <w:pPr>
      <w:spacing w:line="240" w:lineRule="auto"/>
    </w:pPr>
    <w:rPr>
      <w:b/>
      <w:bCs/>
    </w:rPr>
  </w:style>
  <w:style w:type="character" w:customStyle="1" w:styleId="CommentSubjectChar">
    <w:name w:val="Comment Subject Char"/>
    <w:basedOn w:val="CommentTextChar"/>
    <w:link w:val="CommentSubject"/>
    <w:uiPriority w:val="99"/>
    <w:semiHidden/>
    <w:rsid w:val="005D2F68"/>
    <w:rPr>
      <w:rFonts w:ascii="Cambria" w:hAnsi="Cambria"/>
      <w:b/>
      <w:bCs/>
      <w:sz w:val="20"/>
      <w:szCs w:val="20"/>
    </w:rPr>
  </w:style>
  <w:style w:type="character" w:customStyle="1" w:styleId="ListParagraphChar">
    <w:name w:val="List Paragraph Char"/>
    <w:aliases w:val="CV text Char,Dot pt Char,F5 List Paragraph Char,FooterText Char,L Char,LP-DO NOT USE Char,List Paragraph1 Char,List Paragraph11 Char,List Paragraph111 Char,List Paragraph2 Char,Medium Grid 1 - Accent 21 Char,NFP GP Bulleted List Char"/>
    <w:basedOn w:val="DefaultParagraphFont"/>
    <w:link w:val="ListParagraph"/>
    <w:uiPriority w:val="34"/>
    <w:rsid w:val="006C530B"/>
    <w:rPr>
      <w:rFonts w:ascii="Cambria" w:hAnsi="Cambria"/>
    </w:rPr>
  </w:style>
  <w:style w:type="paragraph" w:customStyle="1" w:styleId="Bullet">
    <w:name w:val="Bullet"/>
    <w:basedOn w:val="Normal"/>
    <w:rsid w:val="006C530B"/>
    <w:pPr>
      <w:numPr>
        <w:numId w:val="11"/>
      </w:numPr>
      <w:spacing w:after="240" w:line="240" w:lineRule="auto"/>
    </w:pPr>
    <w:rPr>
      <w:rFonts w:ascii="Times New Roman" w:eastAsia="Times New Roman" w:hAnsi="Times New Roman" w:cs="Times New Roman"/>
      <w:sz w:val="24"/>
      <w:szCs w:val="24"/>
    </w:rPr>
  </w:style>
  <w:style w:type="paragraph" w:customStyle="1" w:styleId="Dash">
    <w:name w:val="Dash"/>
    <w:basedOn w:val="Normal"/>
    <w:rsid w:val="006C530B"/>
    <w:pPr>
      <w:numPr>
        <w:ilvl w:val="1"/>
        <w:numId w:val="11"/>
      </w:numPr>
      <w:spacing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6C530B"/>
    <w:pPr>
      <w:numPr>
        <w:ilvl w:val="2"/>
        <w:numId w:val="11"/>
      </w:numPr>
      <w:spacing w:after="24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F1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E8F"/>
    <w:rPr>
      <w:rFonts w:ascii="Cambria" w:hAnsi="Cambria"/>
      <w:sz w:val="20"/>
      <w:szCs w:val="20"/>
    </w:rPr>
  </w:style>
  <w:style w:type="character" w:styleId="FootnoteReference">
    <w:name w:val="footnote reference"/>
    <w:basedOn w:val="DefaultParagraphFont"/>
    <w:uiPriority w:val="99"/>
    <w:semiHidden/>
    <w:unhideWhenUsed/>
    <w:rsid w:val="002F1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3362BA556BDE4594FC217D0571F274" ma:contentTypeVersion="8" ma:contentTypeDescription="Create a new document." ma:contentTypeScope="" ma:versionID="9b908082e3c9a7afb0a14281e70317fb">
  <xsd:schema xmlns:xsd="http://www.w3.org/2001/XMLSchema" xmlns:xs="http://www.w3.org/2001/XMLSchema" xmlns:p="http://schemas.microsoft.com/office/2006/metadata/properties" xmlns:ns3="69edc925-5b52-4222-b70f-1fdaed3b8cea" targetNamespace="http://schemas.microsoft.com/office/2006/metadata/properties" ma:root="true" ma:fieldsID="a7a72575391a332b8a00a1e1aa927a5e" ns3:_="">
    <xsd:import namespace="69edc925-5b52-4222-b70f-1fdaed3b8c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dc925-5b52-4222-b70f-1fdaed3b8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453DA-4BF5-4F7B-8D29-5753E5E79D8A}">
  <ds:schemaRefs>
    <ds:schemaRef ds:uri="http://schemas.microsoft.com/sharepoint/v3/contenttype/forms"/>
  </ds:schemaRefs>
</ds:datastoreItem>
</file>

<file path=customXml/itemProps2.xml><?xml version="1.0" encoding="utf-8"?>
<ds:datastoreItem xmlns:ds="http://schemas.openxmlformats.org/officeDocument/2006/customXml" ds:itemID="{470464AC-1BAB-441E-9BDC-067C157030B0}">
  <ds:schemaRefs>
    <ds:schemaRef ds:uri="http://schemas.openxmlformats.org/officeDocument/2006/bibliography"/>
  </ds:schemaRefs>
</ds:datastoreItem>
</file>

<file path=customXml/itemProps3.xml><?xml version="1.0" encoding="utf-8"?>
<ds:datastoreItem xmlns:ds="http://schemas.openxmlformats.org/officeDocument/2006/customXml" ds:itemID="{0E4F2C30-EF34-47D0-98CE-7467DB172B8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edc925-5b52-4222-b70f-1fdaed3b8ce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1A5C172-54B0-4E40-82F8-54B8AF5D6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dc925-5b52-4222-b70f-1fdaed3b8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2021-02-17T02:13:44Z</dcterms:created>
  <dcterms:modified xsi:type="dcterms:W3CDTF">2021-02-17T02:13:44Z</dcterms:modified>
</cp:coreProperties>
</file>