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3135" w14:textId="77777777" w:rsidR="00756D02" w:rsidRPr="00756D02" w:rsidRDefault="00756D02" w:rsidP="00756D02">
      <w:pPr>
        <w:pStyle w:val="Heading1"/>
      </w:pPr>
      <w:r w:rsidRPr="00756D02">
        <w:t xml:space="preserve">Healthy Rivers </w:t>
      </w:r>
    </w:p>
    <w:p w14:paraId="15065CA8" w14:textId="7E70B9E8" w:rsidR="00756D02" w:rsidRPr="00DD44A4" w:rsidRDefault="002B067E" w:rsidP="00756D02">
      <w:pPr>
        <w:pStyle w:val="Heading2"/>
        <w:numPr>
          <w:ilvl w:val="0"/>
          <w:numId w:val="0"/>
        </w:numPr>
        <w:ind w:left="720" w:hanging="720"/>
      </w:pPr>
      <w:r>
        <w:t>Consultation</w:t>
      </w:r>
      <w:r w:rsidR="00756D02" w:rsidRPr="00DD44A4">
        <w:t xml:space="preserve"> Transcript</w:t>
      </w:r>
    </w:p>
    <w:p w14:paraId="7C6F4EE2" w14:textId="118F623A" w:rsidR="00756D02" w:rsidRPr="00756D02" w:rsidRDefault="00756D02" w:rsidP="00756D02">
      <w:pPr>
        <w:jc w:val="right"/>
        <w:rPr>
          <w:rFonts w:asciiTheme="majorHAnsi" w:hAnsiTheme="majorHAnsi"/>
          <w:b/>
          <w:bCs/>
        </w:rPr>
      </w:pPr>
      <w:r w:rsidRPr="00756D02">
        <w:rPr>
          <w:rFonts w:asciiTheme="majorHAnsi" w:hAnsiTheme="majorHAnsi"/>
          <w:b/>
          <w:bCs/>
        </w:rPr>
        <w:t>2</w:t>
      </w:r>
      <w:r w:rsidR="00756D7B">
        <w:rPr>
          <w:rFonts w:asciiTheme="majorHAnsi" w:hAnsiTheme="majorHAnsi"/>
          <w:b/>
          <w:bCs/>
        </w:rPr>
        <w:t>5</w:t>
      </w:r>
      <w:r w:rsidRPr="00756D02">
        <w:rPr>
          <w:rFonts w:asciiTheme="majorHAnsi" w:hAnsiTheme="majorHAnsi"/>
          <w:b/>
          <w:bCs/>
        </w:rPr>
        <w:t xml:space="preserve"> August 2021</w:t>
      </w:r>
    </w:p>
    <w:p w14:paraId="2504ED77" w14:textId="1E9605F5" w:rsidR="00E362EF" w:rsidRDefault="00756D02" w:rsidP="00756D02">
      <w:pPr>
        <w:pStyle w:val="Heading3"/>
        <w:numPr>
          <w:ilvl w:val="0"/>
          <w:numId w:val="0"/>
        </w:numPr>
        <w:ind w:left="964" w:hanging="964"/>
      </w:pPr>
      <w:r>
        <w:t>Transcript</w:t>
      </w:r>
    </w:p>
    <w:p w14:paraId="3D395451" w14:textId="4F573171" w:rsidR="003C1BDD" w:rsidRDefault="003C1BDD" w:rsidP="003C1BDD">
      <w:r>
        <w:t>[Transcript begins]</w:t>
      </w:r>
    </w:p>
    <w:p w14:paraId="2B4A8DE8" w14:textId="77777777" w:rsidR="002B067E" w:rsidRDefault="002B067E" w:rsidP="002B067E">
      <w:r>
        <w:t>The Australian Government developed the Murray–Darling Healthy Rivers Program with the help of Basin communities.</w:t>
      </w:r>
    </w:p>
    <w:p w14:paraId="6632C429" w14:textId="77777777" w:rsidR="002B067E" w:rsidRDefault="002B067E" w:rsidP="002B067E">
      <w:r>
        <w:t>A key part of the program was getting your thoughts on the program design.</w:t>
      </w:r>
    </w:p>
    <w:p w14:paraId="449C52A7" w14:textId="77777777" w:rsidR="002B067E" w:rsidRDefault="002B067E" w:rsidP="002B067E">
      <w:r>
        <w:t>A range of people – from farmers to environmental groups – took part in our survey, with responses spanning the length of the Basin, from Queensland right through to South Australia.</w:t>
      </w:r>
    </w:p>
    <w:p w14:paraId="3C1BB0E0" w14:textId="77777777" w:rsidR="002B067E" w:rsidRDefault="002B067E" w:rsidP="002B067E">
      <w:r>
        <w:t>The survey found that the draft guidelines were fit-for-use, with most respondents agreeing that it was clear who, and what type of projects, would be eligible under the program.</w:t>
      </w:r>
    </w:p>
    <w:p w14:paraId="0D5D63E9" w14:textId="77777777" w:rsidR="002B067E" w:rsidRDefault="002B067E" w:rsidP="002B067E">
      <w:proofErr w:type="gramStart"/>
      <w:r>
        <w:t>The majority of</w:t>
      </w:r>
      <w:proofErr w:type="gramEnd"/>
      <w:r>
        <w:t xml:space="preserve"> people agreed that the funding amounts available would support a wide range of projects and more than 9 in 10 people said they would use local providers for the goods and services they needed to complete their project.</w:t>
      </w:r>
    </w:p>
    <w:p w14:paraId="52CE8FA6" w14:textId="01A3C31A" w:rsidR="002B067E" w:rsidRDefault="002B067E" w:rsidP="002B067E">
      <w:r>
        <w:t xml:space="preserve">You also submitted written feedback, which led us to make changes to the draft guidelines, such as adding more eligible project types and making the guidelines more </w:t>
      </w:r>
      <w:r w:rsidR="00756D7B">
        <w:t>straightforward and</w:t>
      </w:r>
      <w:r>
        <w:t xml:space="preserve"> easier to understand.</w:t>
      </w:r>
    </w:p>
    <w:p w14:paraId="107E1C13" w14:textId="77777777" w:rsidR="002B067E" w:rsidRDefault="002B067E" w:rsidP="002B067E">
      <w:r>
        <w:t xml:space="preserve">To read more about the consultation we did, visit our website. </w:t>
      </w:r>
    </w:p>
    <w:p w14:paraId="40141C73" w14:textId="44807E67" w:rsidR="00756D02" w:rsidRPr="00BE3111" w:rsidRDefault="003C1BDD" w:rsidP="002B067E">
      <w:r>
        <w:t>[End of transcript]</w:t>
      </w:r>
    </w:p>
    <w:sectPr w:rsidR="00756D02" w:rsidRPr="00BE311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3FADA" w14:textId="77777777" w:rsidR="00756D02" w:rsidRDefault="00756D02">
      <w:r>
        <w:separator/>
      </w:r>
    </w:p>
    <w:p w14:paraId="0CFB37CB" w14:textId="77777777" w:rsidR="00756D02" w:rsidRDefault="00756D02"/>
    <w:p w14:paraId="1C981BDF" w14:textId="77777777" w:rsidR="00756D02" w:rsidRDefault="00756D02"/>
  </w:endnote>
  <w:endnote w:type="continuationSeparator" w:id="0">
    <w:p w14:paraId="3C315239" w14:textId="77777777" w:rsidR="00756D02" w:rsidRDefault="00756D02">
      <w:r>
        <w:continuationSeparator/>
      </w:r>
    </w:p>
    <w:p w14:paraId="4B2C2B2D" w14:textId="77777777" w:rsidR="00756D02" w:rsidRDefault="00756D02"/>
    <w:p w14:paraId="78812859" w14:textId="77777777" w:rsidR="00756D02" w:rsidRDefault="00756D02"/>
  </w:endnote>
  <w:endnote w:type="continuationNotice" w:id="1">
    <w:p w14:paraId="2B616B36" w14:textId="77777777" w:rsidR="00756D02" w:rsidRDefault="00756D02">
      <w:pPr>
        <w:pStyle w:val="Footer"/>
      </w:pPr>
    </w:p>
    <w:p w14:paraId="535AC764" w14:textId="77777777" w:rsidR="00756D02" w:rsidRDefault="00756D02"/>
    <w:p w14:paraId="5CA019D3" w14:textId="77777777" w:rsidR="00756D02" w:rsidRDefault="00756D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3DA4" w14:textId="77777777" w:rsidR="00D06356" w:rsidRDefault="00D06356">
    <w:pPr>
      <w:pStyle w:val="Footer"/>
    </w:pPr>
    <w:r>
      <w:t>Department of Agriculture, Water and the Environment</w:t>
    </w:r>
  </w:p>
  <w:p w14:paraId="750AA0FB" w14:textId="77777777" w:rsidR="00D06356" w:rsidRDefault="00D0635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E3111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31FA" w14:textId="267A5972" w:rsidR="00D06356" w:rsidRDefault="00756D02">
    <w:pPr>
      <w:pStyle w:val="Footer"/>
    </w:pPr>
    <w:r>
      <w:t xml:space="preserve">Department of Agriculture, </w:t>
    </w:r>
    <w:proofErr w:type="gramStart"/>
    <w:r>
      <w:t>Water</w:t>
    </w:r>
    <w:proofErr w:type="gramEnd"/>
    <w:r>
      <w:t xml:space="preserve"> and the Environment</w:t>
    </w:r>
  </w:p>
  <w:p w14:paraId="49F8F413" w14:textId="77777777" w:rsidR="00D06356" w:rsidRDefault="00D0635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72F0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6AD78" w14:textId="77777777" w:rsidR="00756D02" w:rsidRDefault="00756D02">
      <w:r>
        <w:separator/>
      </w:r>
    </w:p>
    <w:p w14:paraId="0609BA20" w14:textId="77777777" w:rsidR="00756D02" w:rsidRDefault="00756D02"/>
    <w:p w14:paraId="3E3615D2" w14:textId="77777777" w:rsidR="00756D02" w:rsidRDefault="00756D02"/>
  </w:footnote>
  <w:footnote w:type="continuationSeparator" w:id="0">
    <w:p w14:paraId="00A23B67" w14:textId="77777777" w:rsidR="00756D02" w:rsidRDefault="00756D02">
      <w:r>
        <w:continuationSeparator/>
      </w:r>
    </w:p>
    <w:p w14:paraId="6ACD9DE1" w14:textId="77777777" w:rsidR="00756D02" w:rsidRDefault="00756D02"/>
    <w:p w14:paraId="6D2EBB2B" w14:textId="77777777" w:rsidR="00756D02" w:rsidRDefault="00756D02"/>
  </w:footnote>
  <w:footnote w:type="continuationNotice" w:id="1">
    <w:p w14:paraId="1357C9AD" w14:textId="77777777" w:rsidR="00756D02" w:rsidRDefault="00756D02">
      <w:pPr>
        <w:pStyle w:val="Footer"/>
      </w:pPr>
    </w:p>
    <w:p w14:paraId="29E0BBBB" w14:textId="77777777" w:rsidR="00756D02" w:rsidRDefault="00756D02"/>
    <w:p w14:paraId="2D8EAC28" w14:textId="77777777" w:rsidR="00756D02" w:rsidRDefault="00756D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CD5A" w14:textId="77777777" w:rsidR="00D06356" w:rsidRDefault="00D06356">
    <w:pPr>
      <w:pStyle w:val="Header"/>
    </w:pPr>
    <w:r>
      <w:t>Document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F88C" w14:textId="129E39E1" w:rsidR="00D06356" w:rsidRPr="00756D02" w:rsidRDefault="00756D02" w:rsidP="00756D02">
    <w:pPr>
      <w:pStyle w:val="Header"/>
      <w:jc w:val="left"/>
    </w:pPr>
    <w:r>
      <w:rPr>
        <w:noProof/>
        <w:lang w:eastAsia="en-AU"/>
      </w:rPr>
      <w:drawing>
        <wp:inline distT="0" distB="0" distL="0" distR="0" wp14:anchorId="5B1F333F" wp14:editId="56FDCECD">
          <wp:extent cx="2316480" cy="695236"/>
          <wp:effectExtent l="0" t="0" r="7620" b="0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480" cy="695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CC3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18C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9E744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3FEE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336137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382C6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B58C4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328D5"/>
    <w:multiLevelType w:val="multilevel"/>
    <w:tmpl w:val="BE78A4F8"/>
    <w:numStyleLink w:val="Numberlist"/>
  </w:abstractNum>
  <w:abstractNum w:abstractNumId="13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B103637"/>
    <w:multiLevelType w:val="multilevel"/>
    <w:tmpl w:val="BE78A4F8"/>
    <w:numStyleLink w:val="Numberlist"/>
  </w:abstractNum>
  <w:abstractNum w:abstractNumId="15" w15:restartNumberingAfterBreak="0">
    <w:nsid w:val="394A15FE"/>
    <w:multiLevelType w:val="multilevel"/>
    <w:tmpl w:val="F36C17E8"/>
    <w:numStyleLink w:val="Headinglist"/>
  </w:abstractNum>
  <w:abstractNum w:abstractNumId="16" w15:restartNumberingAfterBreak="0">
    <w:nsid w:val="414F4729"/>
    <w:multiLevelType w:val="multilevel"/>
    <w:tmpl w:val="23887CA2"/>
    <w:numStyleLink w:val="List1"/>
  </w:abstractNum>
  <w:abstractNum w:abstractNumId="17" w15:restartNumberingAfterBreak="0">
    <w:nsid w:val="486800B4"/>
    <w:multiLevelType w:val="multilevel"/>
    <w:tmpl w:val="23887CA2"/>
    <w:numStyleLink w:val="List1"/>
  </w:abstractNum>
  <w:abstractNum w:abstractNumId="18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159DC"/>
    <w:multiLevelType w:val="multilevel"/>
    <w:tmpl w:val="BE78A4F8"/>
    <w:numStyleLink w:val="Numberlist"/>
  </w:abstractNum>
  <w:abstractNum w:abstractNumId="20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2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12966"/>
    <w:multiLevelType w:val="multilevel"/>
    <w:tmpl w:val="23887CA2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5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C10A1"/>
    <w:multiLevelType w:val="multilevel"/>
    <w:tmpl w:val="BE78A4F8"/>
    <w:numStyleLink w:val="Numberlist"/>
  </w:abstractNum>
  <w:abstractNum w:abstractNumId="27" w15:restartNumberingAfterBreak="0">
    <w:nsid w:val="733934B7"/>
    <w:multiLevelType w:val="multilevel"/>
    <w:tmpl w:val="23887CA2"/>
    <w:numStyleLink w:val="List1"/>
  </w:abstractNum>
  <w:num w:numId="1">
    <w:abstractNumId w:val="7"/>
  </w:num>
  <w:num w:numId="2">
    <w:abstractNumId w:val="17"/>
  </w:num>
  <w:num w:numId="3">
    <w:abstractNumId w:val="18"/>
  </w:num>
  <w:num w:numId="4">
    <w:abstractNumId w:val="10"/>
  </w:num>
  <w:num w:numId="5">
    <w:abstractNumId w:val="23"/>
  </w:num>
  <w:num w:numId="6">
    <w:abstractNumId w:val="24"/>
  </w:num>
  <w:num w:numId="7">
    <w:abstractNumId w:val="8"/>
  </w:num>
  <w:num w:numId="8">
    <w:abstractNumId w:val="13"/>
  </w:num>
  <w:num w:numId="9">
    <w:abstractNumId w:val="15"/>
  </w:num>
  <w:num w:numId="10">
    <w:abstractNumId w:val="8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2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"/>
  </w:num>
  <w:num w:numId="20">
    <w:abstractNumId w:val="0"/>
  </w:num>
  <w:num w:numId="21">
    <w:abstractNumId w:val="14"/>
  </w:num>
  <w:num w:numId="22">
    <w:abstractNumId w:val="19"/>
  </w:num>
  <w:num w:numId="23">
    <w:abstractNumId w:val="26"/>
  </w:num>
  <w:num w:numId="24">
    <w:abstractNumId w:val="12"/>
  </w:num>
  <w:num w:numId="25">
    <w:abstractNumId w:val="16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0"/>
  </w:num>
  <w:num w:numId="29">
    <w:abstractNumId w:val="22"/>
  </w:num>
  <w:num w:numId="30">
    <w:abstractNumId w:val="9"/>
  </w:num>
  <w:num w:numId="3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02"/>
    <w:rsid w:val="001D42F5"/>
    <w:rsid w:val="002B067E"/>
    <w:rsid w:val="002B2913"/>
    <w:rsid w:val="00326E56"/>
    <w:rsid w:val="003C1BDD"/>
    <w:rsid w:val="005D75B2"/>
    <w:rsid w:val="007405CB"/>
    <w:rsid w:val="00756D02"/>
    <w:rsid w:val="00756D7B"/>
    <w:rsid w:val="007C5B94"/>
    <w:rsid w:val="0082249A"/>
    <w:rsid w:val="00833933"/>
    <w:rsid w:val="008D7F52"/>
    <w:rsid w:val="00A72F06"/>
    <w:rsid w:val="00B01FB8"/>
    <w:rsid w:val="00BE3111"/>
    <w:rsid w:val="00D06356"/>
    <w:rsid w:val="00D1630C"/>
    <w:rsid w:val="00D45274"/>
    <w:rsid w:val="00D92A8A"/>
    <w:rsid w:val="00DE01B8"/>
    <w:rsid w:val="00E3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975A9F"/>
  <w15:docId w15:val="{01FCAFB9-47C0-4802-8B28-E77D407C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D02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pPr>
      <w:keepNext/>
      <w:numPr>
        <w:numId w:val="9"/>
      </w:numPr>
      <w:spacing w:after="60" w:line="240" w:lineRule="auto"/>
      <w:outlineLvl w:val="1"/>
    </w:pPr>
    <w:rPr>
      <w:rFonts w:ascii="Calibri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numPr>
        <w:ilvl w:val="2"/>
        <w:numId w:val="9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eastAsiaTheme="minorHAnsi" w:hAnsi="Calibri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after="200" w:line="276" w:lineRule="auto"/>
    </w:pPr>
    <w:rPr>
      <w:rFonts w:ascii="Cambria" w:eastAsiaTheme="minorHAnsi" w:hAnsi="Cambria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after="200" w:line="240" w:lineRule="auto"/>
      <w:jc w:val="center"/>
    </w:pPr>
    <w:rPr>
      <w:rFonts w:ascii="Calibri" w:eastAsiaTheme="minorHAnsi" w:hAnsi="Calibri"/>
      <w:sz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eastAsiaTheme="minorHAnsi" w:hAnsi="Calibri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200" w:line="276" w:lineRule="auto"/>
    </w:pPr>
    <w:rPr>
      <w:rFonts w:ascii="Calibri" w:eastAsiaTheme="minorHAnsi" w:hAnsi="Calibr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spacing w:after="200" w:line="276" w:lineRule="auto"/>
      <w:ind w:left="709" w:right="567"/>
    </w:pPr>
    <w:rPr>
      <w:rFonts w:ascii="Cambria" w:eastAsiaTheme="minorHAnsi" w:hAnsi="Cambria"/>
      <w:iCs/>
      <w:color w:val="000000"/>
      <w:lang w:eastAsia="en-US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 w:line="276" w:lineRule="auto"/>
    </w:pPr>
    <w:rPr>
      <w:rFonts w:ascii="Cambria" w:eastAsiaTheme="minorHAnsi" w:hAnsi="Cambria"/>
      <w:sz w:val="20"/>
      <w:lang w:eastAsia="en-US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eastAsiaTheme="minorHAnsi" w:hAnsi="Calibri"/>
      <w:b/>
      <w:bCs/>
      <w:sz w:val="24"/>
      <w:szCs w:val="18"/>
      <w:lang w:eastAsia="en-US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after="200" w:line="264" w:lineRule="auto"/>
      <w:contextualSpacing/>
    </w:pPr>
    <w:rPr>
      <w:rFonts w:ascii="Calibri" w:eastAsiaTheme="minorHAnsi" w:hAnsi="Calibri"/>
      <w:sz w:val="18"/>
      <w:lang w:eastAsia="en-US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000000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rFonts w:ascii="Cambria" w:eastAsiaTheme="minorHAnsi" w:hAnsi="Cambria"/>
      <w:b/>
      <w:noProof/>
      <w:lang w:eastAsia="en-US"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rFonts w:ascii="Cambria" w:eastAsiaTheme="minorHAnsi" w:hAnsi="Cambria"/>
      <w:noProof/>
      <w:lang w:eastAsia="en-US"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rFonts w:ascii="Cambria" w:eastAsiaTheme="minorHAnsi" w:hAnsi="Cambria"/>
      <w:noProof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 w:after="120" w:line="276" w:lineRule="auto"/>
    </w:pPr>
    <w:rPr>
      <w:rFonts w:ascii="Cambria" w:eastAsiaTheme="minorHAnsi" w:hAnsi="Cambria"/>
      <w:lang w:eastAsia="en-US"/>
    </w:r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  <w:rPr>
      <w:rFonts w:ascii="Cambria" w:eastAsiaTheme="minorHAnsi" w:hAnsi="Cambria"/>
      <w:lang w:eastAsia="en-US"/>
    </w:r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 w:after="120" w:line="276" w:lineRule="auto"/>
      <w:contextualSpacing/>
    </w:pPr>
    <w:rPr>
      <w:rFonts w:ascii="Cambria" w:eastAsiaTheme="minorHAnsi" w:hAnsi="Cambria"/>
      <w:lang w:eastAsia="en-US"/>
    </w:r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 w:after="120" w:line="276" w:lineRule="auto"/>
    </w:pPr>
    <w:rPr>
      <w:rFonts w:ascii="Cambria" w:eastAsiaTheme="minorHAnsi" w:hAnsi="Cambria"/>
      <w:lang w:eastAsia="en-US"/>
    </w:r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rFonts w:ascii="Cambria" w:eastAsiaTheme="minorHAnsi" w:hAnsi="Cambria"/>
      <w:sz w:val="18"/>
      <w:lang w:eastAsia="en-US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 w:line="276" w:lineRule="auto"/>
    </w:pPr>
    <w:rPr>
      <w:rFonts w:ascii="Cambria" w:eastAsiaTheme="minorHAnsi" w:hAnsi="Cambria"/>
      <w:b/>
      <w:sz w:val="24"/>
      <w:szCs w:val="28"/>
      <w:lang w:eastAsia="en-US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200" w:line="276" w:lineRule="auto"/>
    </w:pPr>
    <w:rPr>
      <w:rFonts w:ascii="Cambria" w:eastAsiaTheme="minorHAnsi" w:hAnsi="Cambria"/>
      <w:lang w:eastAsia="en-US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eastAsiaTheme="minorHAnsi" w:hAnsi="Times New Roman"/>
      <w:sz w:val="13"/>
      <w:szCs w:val="13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4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rFonts w:ascii="Cambria" w:eastAsiaTheme="minorHAnsi" w:hAnsi="Cambria"/>
      <w:noProof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rFonts w:ascii="Cambria" w:eastAsiaTheme="minorHAnsi" w:hAnsi="Cambria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rFonts w:ascii="Cambria" w:eastAsiaTheme="minorHAnsi" w:hAnsi="Cambria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ascii="Cambria" w:eastAsiaTheme="majorEastAsia" w:hAnsi="Cambria" w:cstheme="majorBidi"/>
      <w:b/>
      <w:spacing w:val="5"/>
      <w:kern w:val="28"/>
      <w:sz w:val="7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pPr>
      <w:numPr>
        <w:ilvl w:val="2"/>
        <w:numId w:val="5"/>
      </w:numPr>
      <w:spacing w:after="120" w:line="276" w:lineRule="auto"/>
      <w:contextualSpacing/>
    </w:pPr>
    <w:rPr>
      <w:rFonts w:ascii="Cambria" w:eastAsiaTheme="minorHAnsi" w:hAnsi="Cambria"/>
      <w:lang w:eastAsia="en-US"/>
    </w:r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eastAsia="Calibr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Default%20Word%20template\Default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>Style guides and writing</Topic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cf0e0db-f490-4122-abae-21917392c748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D1AEC3-1F33-412C-971E-1D942C11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Default Word template.dotx</Template>
  <TotalTime>1</TotalTime>
  <Pages>1</Pages>
  <Words>173</Words>
  <Characters>990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Murray–Darling Basin Healthy Rivers Program Consultation</vt:lpstr>
    </vt:vector>
  </TitlesOfParts>
  <Company/>
  <LinksUpToDate>false</LinksUpToDate>
  <CharactersWithSpaces>1161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Murray–Darling Basin Healthy Rivers Program Consultation</dc:title>
  <dc:creator>Department of Agriculture, Water and the Environment</dc:creator>
  <cp:lastPrinted>2020-02-06T01:25:00Z</cp:lastPrinted>
  <dcterms:created xsi:type="dcterms:W3CDTF">2021-08-23T05:55:00Z</dcterms:created>
  <dcterms:modified xsi:type="dcterms:W3CDTF">2021-08-23T05:58:00Z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</Properties>
</file>