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3135" w14:textId="77777777" w:rsidR="00756D02" w:rsidRPr="00756D02" w:rsidRDefault="00756D02" w:rsidP="00756D02">
      <w:pPr>
        <w:pStyle w:val="Heading1"/>
      </w:pPr>
      <w:r w:rsidRPr="00756D02">
        <w:t xml:space="preserve">Healthy Rivers </w:t>
      </w:r>
    </w:p>
    <w:p w14:paraId="15065CA8" w14:textId="2ABB2DAF" w:rsidR="00756D02" w:rsidRPr="00DD44A4" w:rsidRDefault="00AF786E" w:rsidP="00756D02">
      <w:pPr>
        <w:pStyle w:val="Heading2"/>
        <w:numPr>
          <w:ilvl w:val="0"/>
          <w:numId w:val="0"/>
        </w:numPr>
        <w:ind w:left="720" w:hanging="720"/>
      </w:pPr>
      <w:r>
        <w:t xml:space="preserve">Program </w:t>
      </w:r>
      <w:r w:rsidR="00756D02" w:rsidRPr="00DD44A4">
        <w:t>Overview Transcript</w:t>
      </w:r>
    </w:p>
    <w:p w14:paraId="7C6F4EE2" w14:textId="4E8987B9" w:rsidR="00756D02" w:rsidRPr="00756D02" w:rsidRDefault="00756D02" w:rsidP="00756D02">
      <w:pPr>
        <w:jc w:val="right"/>
        <w:rPr>
          <w:rFonts w:asciiTheme="majorHAnsi" w:hAnsiTheme="majorHAnsi"/>
          <w:b/>
          <w:bCs/>
        </w:rPr>
      </w:pPr>
      <w:r w:rsidRPr="00756D02">
        <w:rPr>
          <w:rFonts w:asciiTheme="majorHAnsi" w:hAnsiTheme="majorHAnsi"/>
          <w:b/>
          <w:bCs/>
        </w:rPr>
        <w:t>2</w:t>
      </w:r>
      <w:r w:rsidR="00AF786E">
        <w:rPr>
          <w:rFonts w:asciiTheme="majorHAnsi" w:hAnsiTheme="majorHAnsi"/>
          <w:b/>
          <w:bCs/>
        </w:rPr>
        <w:t xml:space="preserve">5 </w:t>
      </w:r>
      <w:r w:rsidRPr="00756D02">
        <w:rPr>
          <w:rFonts w:asciiTheme="majorHAnsi" w:hAnsiTheme="majorHAnsi"/>
          <w:b/>
          <w:bCs/>
        </w:rPr>
        <w:t>August 2021</w:t>
      </w:r>
    </w:p>
    <w:p w14:paraId="2504ED77" w14:textId="1E9605F5" w:rsidR="00E362EF" w:rsidRDefault="00756D02" w:rsidP="00756D02">
      <w:pPr>
        <w:pStyle w:val="Heading3"/>
        <w:numPr>
          <w:ilvl w:val="0"/>
          <w:numId w:val="0"/>
        </w:numPr>
        <w:ind w:left="964" w:hanging="964"/>
      </w:pPr>
      <w:r>
        <w:t>Transcript</w:t>
      </w:r>
    </w:p>
    <w:p w14:paraId="3D395451" w14:textId="4F573171" w:rsidR="003C1BDD" w:rsidRDefault="003C1BDD" w:rsidP="003C1BDD">
      <w:r>
        <w:t>[Transcript begins]</w:t>
      </w:r>
    </w:p>
    <w:p w14:paraId="5E943793" w14:textId="79FDC969" w:rsidR="00756D02" w:rsidRDefault="003C1BDD" w:rsidP="003C1BDD">
      <w:r>
        <w:t xml:space="preserve">Narrator: </w:t>
      </w:r>
      <w:r w:rsidR="00756D02">
        <w:t>The Murray–Darling Basin Plan is returning Australia’s largest water resource to health. As part of the plan, we are helping the Basin’s rivers and wetlands in a number of ways.</w:t>
      </w:r>
    </w:p>
    <w:p w14:paraId="7724ED66" w14:textId="77777777" w:rsidR="00756D02" w:rsidRDefault="00756D02" w:rsidP="003C1BDD">
      <w:r>
        <w:t>One way is through the Murray–Darling Healthy Rivers Program. The Healthy Rivers Program is providing $20 million in grants to Basin communities to get out on the ground and improve the health of their local rivers and wetlands.</w:t>
      </w:r>
    </w:p>
    <w:p w14:paraId="5EB44A94" w14:textId="77777777" w:rsidR="00756D02" w:rsidRDefault="00756D02" w:rsidP="003C1BDD">
      <w:r>
        <w:t>Your community could receive funding for a range of projects, from putting up fences to keep cattle out of rivers, planting native seedlings in wetlands to provide new homes for threatened species, like the Southern Bell Frog, to re-snagging rivers to create shelter for Murray Cod and other native fish.</w:t>
      </w:r>
    </w:p>
    <w:p w14:paraId="459DF897" w14:textId="1597B102" w:rsidR="00756D02" w:rsidRDefault="00756D02" w:rsidP="003C1BDD">
      <w:r>
        <w:t xml:space="preserve">These grants will not only be great for the </w:t>
      </w:r>
      <w:r w:rsidR="00AF786E">
        <w:t>environment but</w:t>
      </w:r>
      <w:r>
        <w:t xml:space="preserve"> will also support local businesses and create real jobs from Goondiwindi to Meningie.</w:t>
      </w:r>
    </w:p>
    <w:p w14:paraId="5856971D" w14:textId="77777777" w:rsidR="00756D02" w:rsidRDefault="00756D02" w:rsidP="003C1BDD">
      <w:r>
        <w:t xml:space="preserve">Keep an eye on our website for updates. </w:t>
      </w:r>
    </w:p>
    <w:p w14:paraId="40141C73" w14:textId="109490D5" w:rsidR="00756D02" w:rsidRPr="00BE3111" w:rsidRDefault="003C1BDD" w:rsidP="003C1BDD">
      <w:r>
        <w:t>[End of transcript]</w:t>
      </w:r>
    </w:p>
    <w:sectPr w:rsidR="00756D02" w:rsidRPr="00BE3111">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FADA" w14:textId="77777777" w:rsidR="00756D02" w:rsidRDefault="00756D02">
      <w:r>
        <w:separator/>
      </w:r>
    </w:p>
    <w:p w14:paraId="0CFB37CB" w14:textId="77777777" w:rsidR="00756D02" w:rsidRDefault="00756D02"/>
    <w:p w14:paraId="1C981BDF" w14:textId="77777777" w:rsidR="00756D02" w:rsidRDefault="00756D02"/>
  </w:endnote>
  <w:endnote w:type="continuationSeparator" w:id="0">
    <w:p w14:paraId="3C315239" w14:textId="77777777" w:rsidR="00756D02" w:rsidRDefault="00756D02">
      <w:r>
        <w:continuationSeparator/>
      </w:r>
    </w:p>
    <w:p w14:paraId="4B2C2B2D" w14:textId="77777777" w:rsidR="00756D02" w:rsidRDefault="00756D02"/>
    <w:p w14:paraId="78812859" w14:textId="77777777" w:rsidR="00756D02" w:rsidRDefault="00756D02"/>
  </w:endnote>
  <w:endnote w:type="continuationNotice" w:id="1">
    <w:p w14:paraId="2B616B36" w14:textId="77777777" w:rsidR="00756D02" w:rsidRDefault="00756D02">
      <w:pPr>
        <w:pStyle w:val="Footer"/>
      </w:pPr>
    </w:p>
    <w:p w14:paraId="535AC764" w14:textId="77777777" w:rsidR="00756D02" w:rsidRDefault="00756D02"/>
    <w:p w14:paraId="5CA019D3" w14:textId="77777777" w:rsidR="00756D02" w:rsidRDefault="00756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3DA4" w14:textId="77777777" w:rsidR="00D06356" w:rsidRDefault="00D06356">
    <w:pPr>
      <w:pStyle w:val="Footer"/>
    </w:pPr>
    <w:r>
      <w:t>Department of Agriculture, Water and the Environment</w:t>
    </w:r>
  </w:p>
  <w:p w14:paraId="750AA0FB" w14:textId="77777777" w:rsidR="00D06356" w:rsidRDefault="00D06356">
    <w:pPr>
      <w:pStyle w:val="Footer"/>
    </w:pPr>
    <w:r>
      <w:fldChar w:fldCharType="begin"/>
    </w:r>
    <w:r>
      <w:instrText xml:space="preserve"> PAGE   \* MERGEFORMAT </w:instrText>
    </w:r>
    <w:r>
      <w:fldChar w:fldCharType="separate"/>
    </w:r>
    <w:r w:rsidR="00BE3111">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31FA" w14:textId="267A5972" w:rsidR="00D06356" w:rsidRDefault="00756D02">
    <w:pPr>
      <w:pStyle w:val="Footer"/>
    </w:pPr>
    <w:r>
      <w:t>Department of Agriculture, Water and the Environment</w:t>
    </w:r>
  </w:p>
  <w:p w14:paraId="49F8F413" w14:textId="77777777" w:rsidR="00D06356" w:rsidRDefault="00D06356">
    <w:pPr>
      <w:pStyle w:val="Footer"/>
    </w:pPr>
    <w:r>
      <w:fldChar w:fldCharType="begin"/>
    </w:r>
    <w:r>
      <w:instrText xml:space="preserve"> PAGE   \* MERGEFORMAT </w:instrText>
    </w:r>
    <w:r>
      <w:fldChar w:fldCharType="separate"/>
    </w:r>
    <w:r w:rsidR="00A72F0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AD78" w14:textId="77777777" w:rsidR="00756D02" w:rsidRDefault="00756D02">
      <w:r>
        <w:separator/>
      </w:r>
    </w:p>
    <w:p w14:paraId="0609BA20" w14:textId="77777777" w:rsidR="00756D02" w:rsidRDefault="00756D02"/>
    <w:p w14:paraId="3E3615D2" w14:textId="77777777" w:rsidR="00756D02" w:rsidRDefault="00756D02"/>
  </w:footnote>
  <w:footnote w:type="continuationSeparator" w:id="0">
    <w:p w14:paraId="00A23B67" w14:textId="77777777" w:rsidR="00756D02" w:rsidRDefault="00756D02">
      <w:r>
        <w:continuationSeparator/>
      </w:r>
    </w:p>
    <w:p w14:paraId="6ACD9DE1" w14:textId="77777777" w:rsidR="00756D02" w:rsidRDefault="00756D02"/>
    <w:p w14:paraId="6D2EBB2B" w14:textId="77777777" w:rsidR="00756D02" w:rsidRDefault="00756D02"/>
  </w:footnote>
  <w:footnote w:type="continuationNotice" w:id="1">
    <w:p w14:paraId="1357C9AD" w14:textId="77777777" w:rsidR="00756D02" w:rsidRDefault="00756D02">
      <w:pPr>
        <w:pStyle w:val="Footer"/>
      </w:pPr>
    </w:p>
    <w:p w14:paraId="29E0BBBB" w14:textId="77777777" w:rsidR="00756D02" w:rsidRDefault="00756D02"/>
    <w:p w14:paraId="2D8EAC28" w14:textId="77777777" w:rsidR="00756D02" w:rsidRDefault="00756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CD5A" w14:textId="77777777" w:rsidR="00D06356" w:rsidRDefault="00D06356">
    <w:pPr>
      <w:pStyle w:val="Header"/>
    </w:pPr>
    <w:r>
      <w:t>Document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F88C" w14:textId="129E39E1" w:rsidR="00D06356" w:rsidRPr="00756D02" w:rsidRDefault="00756D02" w:rsidP="00756D02">
    <w:pPr>
      <w:pStyle w:val="Header"/>
      <w:jc w:val="left"/>
    </w:pPr>
    <w:r>
      <w:rPr>
        <w:noProof/>
        <w:lang w:eastAsia="en-AU"/>
      </w:rPr>
      <w:drawing>
        <wp:inline distT="0" distB="0" distL="0" distR="0" wp14:anchorId="5B1F333F" wp14:editId="56FDCECD">
          <wp:extent cx="2316480" cy="695236"/>
          <wp:effectExtent l="0" t="0" r="762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02"/>
    <w:rsid w:val="001D42F5"/>
    <w:rsid w:val="00326E56"/>
    <w:rsid w:val="003C1BDD"/>
    <w:rsid w:val="005D75B2"/>
    <w:rsid w:val="007405CB"/>
    <w:rsid w:val="00756D02"/>
    <w:rsid w:val="007C5B94"/>
    <w:rsid w:val="0082249A"/>
    <w:rsid w:val="00833933"/>
    <w:rsid w:val="008D7F52"/>
    <w:rsid w:val="00A72F06"/>
    <w:rsid w:val="00AF786E"/>
    <w:rsid w:val="00B01FB8"/>
    <w:rsid w:val="00BA74EE"/>
    <w:rsid w:val="00BE3111"/>
    <w:rsid w:val="00D06356"/>
    <w:rsid w:val="00D1630C"/>
    <w:rsid w:val="00D45274"/>
    <w:rsid w:val="00D92A8A"/>
    <w:rsid w:val="00DE01B8"/>
    <w:rsid w:val="00E362EF"/>
    <w:rsid w:val="00F86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75A9F"/>
  <w15:docId w15:val="{01FCAFB9-47C0-4802-8B28-E77D407C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D02"/>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eastAsiaTheme="minorHAnsi" w:hAnsi="Calibr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200" w:line="276" w:lineRule="auto"/>
    </w:pPr>
    <w:rPr>
      <w:rFonts w:ascii="Cambria" w:eastAsiaTheme="minorHAnsi" w:hAnsi="Cambria"/>
      <w:sz w:val="20"/>
      <w:szCs w:val="20"/>
      <w:lang w:eastAsia="en-US"/>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after="200" w:line="240" w:lineRule="auto"/>
      <w:jc w:val="center"/>
    </w:pPr>
    <w:rPr>
      <w:rFonts w:ascii="Calibri" w:eastAsiaTheme="minorHAnsi" w:hAnsi="Calibri"/>
      <w:sz w:val="20"/>
      <w:lang w:eastAsia="en-US"/>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eastAsiaTheme="minorHAnsi" w:hAnsi="Calibri"/>
      <w:sz w:val="20"/>
      <w:lang w:eastAsia="en-US"/>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200" w:line="276" w:lineRule="auto"/>
    </w:pPr>
    <w:rPr>
      <w:rFonts w:ascii="Calibri" w:eastAsiaTheme="minorHAnsi" w:hAnsi="Calibri"/>
      <w:sz w:val="18"/>
      <w:szCs w:val="18"/>
      <w:lang w:eastAsia="en-US"/>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spacing w:after="200" w:line="276" w:lineRule="auto"/>
      <w:ind w:left="709" w:right="567"/>
    </w:pPr>
    <w:rPr>
      <w:rFonts w:ascii="Cambria" w:eastAsiaTheme="minorHAnsi" w:hAnsi="Cambria"/>
      <w:iCs/>
      <w:color w:val="000000"/>
      <w:lang w:eastAsia="en-US"/>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Cambria" w:eastAsiaTheme="minorHAnsi" w:hAnsi="Cambria"/>
      <w:sz w:val="20"/>
      <w:lang w:eastAsia="en-US"/>
    </w:rPr>
  </w:style>
  <w:style w:type="paragraph" w:styleId="Caption">
    <w:name w:val="caption"/>
    <w:basedOn w:val="Normal"/>
    <w:next w:val="Normal"/>
    <w:uiPriority w:val="12"/>
    <w:qFormat/>
    <w:pPr>
      <w:keepNext/>
      <w:spacing w:after="120" w:line="240" w:lineRule="auto"/>
    </w:pPr>
    <w:rPr>
      <w:rFonts w:ascii="Calibri" w:eastAsiaTheme="minorHAnsi" w:hAnsi="Calibri"/>
      <w:b/>
      <w:bCs/>
      <w:sz w:val="24"/>
      <w:szCs w:val="18"/>
      <w:lang w:eastAsia="en-US"/>
    </w:rPr>
  </w:style>
  <w:style w:type="paragraph" w:customStyle="1" w:styleId="FigureTableNoteSource">
    <w:name w:val="Figure/Table Note/Source"/>
    <w:basedOn w:val="Normal"/>
    <w:next w:val="Normal"/>
    <w:uiPriority w:val="16"/>
    <w:qFormat/>
    <w:pPr>
      <w:spacing w:before="120" w:after="200" w:line="264" w:lineRule="auto"/>
      <w:contextualSpacing/>
    </w:pPr>
    <w:rPr>
      <w:rFonts w:ascii="Calibri" w:eastAsiaTheme="minorHAnsi" w:hAnsi="Calibri"/>
      <w:sz w:val="18"/>
      <w:lang w:eastAsia="en-US"/>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rFonts w:ascii="Cambria" w:eastAsiaTheme="minorHAnsi" w:hAnsi="Cambria"/>
      <w:b/>
      <w:noProof/>
      <w:lang w:eastAsia="en-US"/>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rFonts w:ascii="Cambria" w:eastAsiaTheme="minorHAnsi" w:hAnsi="Cambria"/>
      <w:noProof/>
      <w:lang w:eastAsia="en-US"/>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rFonts w:ascii="Cambria" w:eastAsiaTheme="minorHAnsi" w:hAnsi="Cambria"/>
      <w:noProof/>
      <w:lang w:eastAsia="en-US"/>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Cambria" w:eastAsiaTheme="minorHAnsi" w:hAnsi="Cambria"/>
      <w:lang w:eastAsia="en-US"/>
    </w:rPr>
  </w:style>
  <w:style w:type="paragraph" w:styleId="TableofFigures">
    <w:name w:val="table of figures"/>
    <w:basedOn w:val="Normal"/>
    <w:next w:val="Normal"/>
    <w:uiPriority w:val="99"/>
    <w:pPr>
      <w:spacing w:before="120" w:after="120" w:line="240" w:lineRule="auto"/>
    </w:pPr>
    <w:rPr>
      <w:rFonts w:ascii="Cambria" w:eastAsiaTheme="minorHAnsi" w:hAnsi="Cambria"/>
      <w:lang w:eastAsia="en-US"/>
    </w:rPr>
  </w:style>
  <w:style w:type="paragraph" w:styleId="ListBullet2">
    <w:name w:val="List Bullet 2"/>
    <w:basedOn w:val="Normal"/>
    <w:uiPriority w:val="8"/>
    <w:qFormat/>
    <w:pPr>
      <w:numPr>
        <w:ilvl w:val="1"/>
        <w:numId w:val="5"/>
      </w:numPr>
      <w:spacing w:before="120" w:after="120" w:line="276" w:lineRule="auto"/>
      <w:contextualSpacing/>
    </w:pPr>
    <w:rPr>
      <w:rFonts w:ascii="Cambria" w:eastAsiaTheme="minorHAnsi" w:hAnsi="Cambria"/>
      <w:lang w:eastAsia="en-US"/>
    </w:rPr>
  </w:style>
  <w:style w:type="paragraph" w:styleId="ListNumber">
    <w:name w:val="List Number"/>
    <w:basedOn w:val="Normal"/>
    <w:uiPriority w:val="9"/>
    <w:qFormat/>
    <w:pPr>
      <w:numPr>
        <w:numId w:val="24"/>
      </w:numPr>
      <w:tabs>
        <w:tab w:val="left" w:pos="142"/>
      </w:tabs>
      <w:spacing w:before="120" w:after="120" w:line="276" w:lineRule="auto"/>
    </w:pPr>
    <w:rPr>
      <w:rFonts w:ascii="Cambria" w:eastAsiaTheme="minorHAnsi" w:hAnsi="Cambria"/>
      <w:lang w:eastAsia="en-US"/>
    </w:r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rFonts w:ascii="Cambria" w:eastAsiaTheme="minorHAnsi" w:hAnsi="Cambria"/>
      <w:sz w:val="18"/>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Cambria" w:eastAsiaTheme="minorHAnsi" w:hAnsi="Cambria"/>
      <w:b/>
      <w:sz w:val="24"/>
      <w:szCs w:val="28"/>
      <w:lang w:eastAsia="en-US"/>
    </w:rPr>
  </w:style>
  <w:style w:type="paragraph" w:customStyle="1" w:styleId="AuthorOrganisationAffiliation">
    <w:name w:val="Author Organisation/Affiliation"/>
    <w:basedOn w:val="Normal"/>
    <w:next w:val="Normal"/>
    <w:uiPriority w:val="25"/>
    <w:qFormat/>
    <w:pPr>
      <w:spacing w:after="200" w:line="276" w:lineRule="auto"/>
    </w:pPr>
    <w:rPr>
      <w:rFonts w:ascii="Cambria" w:eastAsiaTheme="minorHAnsi" w:hAnsi="Cambria"/>
      <w:lang w:eastAsia="en-US"/>
    </w:r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eastAsiaTheme="minorHAnsi" w:hAnsi="Times New Roman"/>
      <w:sz w:val="13"/>
      <w:szCs w:val="13"/>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rFonts w:ascii="Cambria" w:eastAsiaTheme="minorHAnsi" w:hAnsi="Cambria"/>
      <w:noProof/>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Cambria" w:eastAsiaTheme="minorHAnsi" w:hAnsi="Cambria"/>
      <w:sz w:val="20"/>
      <w:szCs w:val="20"/>
      <w:lang w:eastAsia="en-US"/>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rFonts w:ascii="Cambria" w:eastAsiaTheme="minorHAnsi" w:hAnsi="Cambria"/>
      <w:sz w:val="20"/>
      <w:szCs w:val="20"/>
      <w:lang w:eastAsia="en-US"/>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ascii="Cambria" w:eastAsiaTheme="majorEastAsia" w:hAnsi="Cambria" w:cstheme="majorBidi"/>
      <w:b/>
      <w:spacing w:val="5"/>
      <w:kern w:val="28"/>
      <w:sz w:val="72"/>
      <w:szCs w:val="52"/>
      <w:lang w:eastAsia="en-US"/>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line="276" w:lineRule="auto"/>
      <w:contextualSpacing/>
    </w:pPr>
    <w:rPr>
      <w:rFonts w:ascii="Cambria" w:eastAsiaTheme="minorHAnsi" w:hAnsi="Cambria"/>
      <w:lang w:eastAsia="en-US"/>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1AEC3-1F33-412C-971E-1D942C111346}">
  <ds:schemaRefs>
    <ds:schemaRef ds:uri="http://schemas.openxmlformats.org/officeDocument/2006/bibliography"/>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867</Characters>
  <DocSecurity>4</DocSecurity>
  <Lines>7</Lines>
  <Paragraphs>2</Paragraphs>
  <ScaleCrop>false</ScaleCrop>
  <HeadingPairs>
    <vt:vector size="2" baseType="variant">
      <vt:variant>
        <vt:lpstr>Title</vt:lpstr>
      </vt:variant>
      <vt:variant>
        <vt:i4>1</vt:i4>
      </vt:variant>
    </vt:vector>
  </HeadingPairs>
  <TitlesOfParts>
    <vt:vector size="1" baseType="lpstr">
      <vt:lpstr>Murray–Darling Basin Healthy Rivers Program Overview</vt:lpstr>
    </vt:vector>
  </TitlesOfParts>
  <Company/>
  <LinksUpToDate>false</LinksUpToDate>
  <CharactersWithSpaces>1017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Basin Healthy Rivers Program Overview</dc:title>
  <dc:creator>Department of Agriculture, Water and the Environment</dc:creator>
  <cp:lastPrinted>2020-02-06T01:25:00Z</cp:lastPrinted>
  <dcterms:created xsi:type="dcterms:W3CDTF">2021-08-24T03:54:00Z</dcterms:created>
  <dcterms:modified xsi:type="dcterms:W3CDTF">2021-08-24T03:54:00Z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