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86865" w14:textId="3E60ACFC" w:rsidR="00075A00" w:rsidRPr="00075A00" w:rsidRDefault="00973F43" w:rsidP="00075A00">
      <w:r>
        <w:rPr>
          <w:noProof/>
        </w:rPr>
        <w:drawing>
          <wp:anchor distT="0" distB="0" distL="114300" distR="114300" simplePos="0" relativeHeight="251658240" behindDoc="0" locked="0" layoutInCell="1" allowOverlap="1" wp14:anchorId="22BE7D06" wp14:editId="1A23AF47">
            <wp:simplePos x="0" y="0"/>
            <wp:positionH relativeFrom="column">
              <wp:posOffset>-913130</wp:posOffset>
            </wp:positionH>
            <wp:positionV relativeFrom="paragraph">
              <wp:posOffset>-900430</wp:posOffset>
            </wp:positionV>
            <wp:extent cx="7575550" cy="10715185"/>
            <wp:effectExtent l="0" t="0" r="6350" b="0"/>
            <wp:wrapNone/>
            <wp:docPr id="160377457" name="Picture 8" descr="Australian Government Department of Agriculture, Fisheries and Forestry crest logo and decorativ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7457" name="Picture 8" descr="Australian Government Department of Agriculture, Fisheries and Forestry crest logo and decorative bord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9042" cy="10720124"/>
                    </a:xfrm>
                    <a:prstGeom prst="rect">
                      <a:avLst/>
                    </a:prstGeom>
                  </pic:spPr>
                </pic:pic>
              </a:graphicData>
            </a:graphic>
            <wp14:sizeRelH relativeFrom="page">
              <wp14:pctWidth>0</wp14:pctWidth>
            </wp14:sizeRelH>
            <wp14:sizeRelV relativeFrom="page">
              <wp14:pctHeight>0</wp14:pctHeight>
            </wp14:sizeRelV>
          </wp:anchor>
        </w:drawing>
      </w:r>
    </w:p>
    <w:p w14:paraId="68B9CB0C" w14:textId="77777777" w:rsidR="00764D6A" w:rsidRDefault="00E91D72">
      <w:pPr>
        <w:pStyle w:val="Normalsmall"/>
      </w:pPr>
      <w:r>
        <w:br w:type="page"/>
      </w:r>
      <w:r>
        <w:lastRenderedPageBreak/>
        <w:t xml:space="preserve">© Commonwealth of Australia </w:t>
      </w:r>
      <w:r w:rsidR="00B97E61">
        <w:t>202</w:t>
      </w:r>
      <w:r w:rsidR="00FC4AD5">
        <w:t>6</w:t>
      </w:r>
    </w:p>
    <w:p w14:paraId="3AAF7BD4" w14:textId="77777777" w:rsidR="00764D6A" w:rsidRDefault="00E91D72" w:rsidP="00FC4AD5">
      <w:pPr>
        <w:pStyle w:val="Normalsmall"/>
        <w:spacing w:after="0"/>
        <w:rPr>
          <w:rStyle w:val="Strong"/>
        </w:rPr>
      </w:pPr>
      <w:r>
        <w:rPr>
          <w:rStyle w:val="Strong"/>
        </w:rPr>
        <w:t>Ownership of intellectual property rights</w:t>
      </w:r>
    </w:p>
    <w:p w14:paraId="792E4024"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7E5F93E5" w14:textId="77777777" w:rsidR="00764D6A" w:rsidRDefault="00E91D72" w:rsidP="00FC4AD5">
      <w:pPr>
        <w:pStyle w:val="Normalsmall"/>
        <w:spacing w:after="0"/>
        <w:rPr>
          <w:rStyle w:val="Strong"/>
        </w:rPr>
      </w:pPr>
      <w:r>
        <w:rPr>
          <w:rStyle w:val="Strong"/>
        </w:rPr>
        <w:t>Creative Commons licence</w:t>
      </w:r>
    </w:p>
    <w:p w14:paraId="33B9AAE8" w14:textId="77777777" w:rsidR="00764D6A" w:rsidRDefault="00E91D72">
      <w:pPr>
        <w:pStyle w:val="Normalsmall"/>
      </w:pPr>
      <w:r>
        <w:t xml:space="preserve">All material in this publication is licensed under a </w:t>
      </w:r>
      <w:hyperlink r:id="rId12" w:history="1">
        <w:r>
          <w:rPr>
            <w:rStyle w:val="Hyperlink"/>
          </w:rPr>
          <w:t>Creative Commons Attribution 4.0 International Licence</w:t>
        </w:r>
      </w:hyperlink>
      <w:r>
        <w:t xml:space="preserve"> except content supplied by third parties, logos and the Commonwealth Coat of Arms.</w:t>
      </w:r>
    </w:p>
    <w:p w14:paraId="74DE63B7" w14:textId="77777777" w:rsidR="00764D6A" w:rsidRPr="00364A4A" w:rsidRDefault="00E91D72">
      <w:pPr>
        <w:pStyle w:val="Normalsmall"/>
      </w:pPr>
      <w:r w:rsidRPr="00364A4A">
        <w:rPr>
          <w:noProof/>
          <w:lang w:eastAsia="en-AU"/>
        </w:rPr>
        <w:drawing>
          <wp:inline distT="0" distB="0" distL="0" distR="0" wp14:anchorId="332BEFC4" wp14:editId="379A0034">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12A450BB" w14:textId="77777777" w:rsidR="00764D6A" w:rsidRPr="00364A4A" w:rsidRDefault="00E91D72" w:rsidP="00FC4AD5">
      <w:pPr>
        <w:pStyle w:val="Normalsmall"/>
        <w:spacing w:after="0"/>
        <w:rPr>
          <w:rStyle w:val="Strong"/>
        </w:rPr>
      </w:pPr>
      <w:r w:rsidRPr="00364A4A">
        <w:rPr>
          <w:rStyle w:val="Strong"/>
        </w:rPr>
        <w:t>Cataloguing data</w:t>
      </w:r>
    </w:p>
    <w:p w14:paraId="44B9C31E" w14:textId="4E355E06" w:rsidR="00764D6A" w:rsidRDefault="00E91D72">
      <w:pPr>
        <w:pStyle w:val="Normalsmall"/>
      </w:pPr>
      <w:r w:rsidRPr="00364A4A">
        <w:t xml:space="preserve">This publication (and any material sourced from it) should be attributed as: </w:t>
      </w:r>
      <w:r w:rsidR="009D5007" w:rsidRPr="00FB549A">
        <w:t>DA</w:t>
      </w:r>
      <w:r w:rsidR="00DE0AAE" w:rsidRPr="00FB549A">
        <w:t>FF</w:t>
      </w:r>
      <w:r w:rsidR="00B97E61" w:rsidRPr="00FB549A">
        <w:t xml:space="preserve"> 202</w:t>
      </w:r>
      <w:r w:rsidR="00FC4AD5" w:rsidRPr="00FB549A">
        <w:t>6</w:t>
      </w:r>
      <w:r w:rsidRPr="00FB549A">
        <w:t xml:space="preserve">, </w:t>
      </w:r>
      <w:r w:rsidR="00FB549A" w:rsidRPr="009E4910">
        <w:rPr>
          <w:rStyle w:val="Emphasis"/>
        </w:rPr>
        <w:t>National Bioenergy Feedstock Strategy</w:t>
      </w:r>
      <w:r w:rsidRPr="00FB549A">
        <w:t xml:space="preserve">, </w:t>
      </w:r>
      <w:r w:rsidR="00DE0AAE" w:rsidRPr="00FB549A">
        <w:t>Department</w:t>
      </w:r>
      <w:r w:rsidR="00DE0AAE" w:rsidRPr="00DE0AAE">
        <w:t xml:space="preserve"> of Agriculture, Fisheries and Forestry</w:t>
      </w:r>
      <w:r>
        <w:t>, Canberra. CC BY 4.0.</w:t>
      </w:r>
    </w:p>
    <w:p w14:paraId="257F1DAF" w14:textId="77777777" w:rsidR="00764D6A" w:rsidRDefault="00E91D72">
      <w:pPr>
        <w:pStyle w:val="Normalsmall"/>
      </w:pPr>
      <w:r>
        <w:t xml:space="preserve">This </w:t>
      </w:r>
      <w:r w:rsidRPr="00364A4A">
        <w:t xml:space="preserve">publication is available at </w:t>
      </w:r>
      <w:hyperlink r:id="rId14" w:history="1">
        <w:r w:rsidR="00DE0AAE" w:rsidRPr="00722F6A">
          <w:rPr>
            <w:rStyle w:val="Hyperlink"/>
          </w:rPr>
          <w:t>agriculture.gov.au/publications</w:t>
        </w:r>
      </w:hyperlink>
      <w:r w:rsidRPr="00722F6A">
        <w:t>.</w:t>
      </w:r>
    </w:p>
    <w:p w14:paraId="18A27681" w14:textId="77777777" w:rsidR="00DE0AAE" w:rsidRDefault="00DE0AAE">
      <w:pPr>
        <w:pStyle w:val="Normalsmall"/>
        <w:spacing w:after="0"/>
      </w:pPr>
      <w:r w:rsidRPr="00DE0AAE">
        <w:t>Department of Agriculture, Fisheries and Forestry</w:t>
      </w:r>
    </w:p>
    <w:p w14:paraId="2BA8E19F" w14:textId="77777777" w:rsidR="00764D6A" w:rsidRPr="00364A4A" w:rsidRDefault="00E91D72">
      <w:pPr>
        <w:pStyle w:val="Normalsmall"/>
        <w:spacing w:after="0"/>
      </w:pPr>
      <w:r w:rsidRPr="00364A4A">
        <w:t>GPO Box 858 Canberra ACT 2601</w:t>
      </w:r>
    </w:p>
    <w:p w14:paraId="08E4516E" w14:textId="77777777" w:rsidR="00764D6A" w:rsidRPr="00364A4A" w:rsidRDefault="00E91D72">
      <w:pPr>
        <w:pStyle w:val="Normalsmall"/>
        <w:spacing w:after="0"/>
      </w:pPr>
      <w:r w:rsidRPr="00364A4A">
        <w:t>Telephone 1800 900 090</w:t>
      </w:r>
    </w:p>
    <w:p w14:paraId="3A149312" w14:textId="77777777" w:rsidR="00764D6A" w:rsidRPr="00364A4A" w:rsidRDefault="00E91D72">
      <w:pPr>
        <w:pStyle w:val="Normalsmall"/>
      </w:pPr>
      <w:r w:rsidRPr="00364A4A">
        <w:t xml:space="preserve">Web </w:t>
      </w:r>
      <w:hyperlink r:id="rId15" w:history="1">
        <w:r w:rsidR="00DE0AAE" w:rsidRPr="00364A4A">
          <w:rPr>
            <w:rStyle w:val="Hyperlink"/>
          </w:rPr>
          <w:t>agriculture.gov.au</w:t>
        </w:r>
      </w:hyperlink>
    </w:p>
    <w:p w14:paraId="425AF686" w14:textId="77777777" w:rsidR="007C358A" w:rsidRDefault="007C358A" w:rsidP="00FC4AD5">
      <w:pPr>
        <w:pStyle w:val="Normalsmall"/>
        <w:spacing w:after="0"/>
      </w:pPr>
      <w:r w:rsidRPr="00364A4A">
        <w:rPr>
          <w:rStyle w:val="Strong"/>
        </w:rPr>
        <w:t>Disclaimer</w:t>
      </w:r>
    </w:p>
    <w:p w14:paraId="36B05C7B" w14:textId="77777777" w:rsidR="00764D6A" w:rsidRDefault="00E91D72">
      <w:pPr>
        <w:pStyle w:val="Normalsmall"/>
      </w:pPr>
      <w:r>
        <w:t xml:space="preserve">The Australian Government acting through the </w:t>
      </w:r>
      <w:r w:rsidR="00DE0AAE" w:rsidRPr="00DE0AAE">
        <w:t>Department of Agriculture, Fisheries and Forestry</w:t>
      </w:r>
      <w:r>
        <w:t xml:space="preserve"> has exercised due care and skill in preparing and compiling the information and data in this publication. Notwithstanding, the </w:t>
      </w:r>
      <w:r w:rsidR="00DE0AAE" w:rsidRPr="00DE0AAE">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26D8A072" w14:textId="77777777" w:rsidR="00764D6A" w:rsidRDefault="00E91D72" w:rsidP="00FC4AD5">
      <w:pPr>
        <w:pStyle w:val="Normalsmall"/>
        <w:spacing w:after="0"/>
        <w:rPr>
          <w:rStyle w:val="Strong"/>
          <w:highlight w:val="yellow"/>
        </w:rPr>
      </w:pPr>
      <w:r w:rsidRPr="00FC4AD5">
        <w:rPr>
          <w:rStyle w:val="Strong"/>
        </w:rPr>
        <w:t>Acknowledgements</w:t>
      </w:r>
    </w:p>
    <w:p w14:paraId="34C9C4C8" w14:textId="77777777" w:rsidR="00FB549A" w:rsidRDefault="00FB549A" w:rsidP="00FB549A">
      <w:pPr>
        <w:pStyle w:val="Normalsmall"/>
      </w:pPr>
      <w:r w:rsidRPr="00FB549A">
        <w:t>The authors thank stakeholders for their contributions to the development of this strategy.</w:t>
      </w:r>
    </w:p>
    <w:p w14:paraId="2F845D63" w14:textId="321D9AD6" w:rsidR="00B02B9B" w:rsidRPr="00FB549A" w:rsidRDefault="00B02B9B" w:rsidP="00FC4AD5">
      <w:pPr>
        <w:pStyle w:val="Normalsmall"/>
        <w:spacing w:after="0"/>
        <w:rPr>
          <w:rStyle w:val="Strong"/>
        </w:rPr>
      </w:pPr>
      <w:r>
        <w:rPr>
          <w:rStyle w:val="Strong"/>
        </w:rPr>
        <w:t>Acknowledgement of Country</w:t>
      </w:r>
    </w:p>
    <w:p w14:paraId="03FF7BE1" w14:textId="77777777" w:rsidR="00517A68" w:rsidRDefault="00582E76" w:rsidP="00432172">
      <w:pPr>
        <w:pStyle w:val="Normalsmall"/>
      </w:pPr>
      <w:r w:rsidRPr="00582E76">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7B402334" w14:textId="77777777" w:rsidR="00507BD2" w:rsidRPr="008B454F" w:rsidRDefault="00507BD2" w:rsidP="00507BD2">
      <w:pPr>
        <w:pStyle w:val="Normalsmall"/>
        <w:spacing w:after="0"/>
        <w:rPr>
          <w:rStyle w:val="Strong"/>
        </w:rPr>
      </w:pPr>
      <w:r w:rsidRPr="008B454F">
        <w:rPr>
          <w:rStyle w:val="Strong"/>
        </w:rPr>
        <w:t>Credits</w:t>
      </w:r>
    </w:p>
    <w:p w14:paraId="3202C3BF" w14:textId="4CE5660B" w:rsidR="00AD5E82" w:rsidRDefault="6599F424" w:rsidP="00432172">
      <w:pPr>
        <w:pStyle w:val="Normalsmall"/>
      </w:pPr>
      <w:r w:rsidRPr="7BBDFFC4">
        <w:t>All photos © Department of Agriculture, Fisheries and Forestry.</w:t>
      </w:r>
    </w:p>
    <w:p w14:paraId="42D466A5" w14:textId="124AEA32" w:rsidR="450EA94B" w:rsidRDefault="450EA94B" w:rsidP="47E24772">
      <w:pPr>
        <w:pStyle w:val="Normalsmall"/>
      </w:pPr>
    </w:p>
    <w:p w14:paraId="2F1C3733" w14:textId="3769BC39" w:rsidR="00764D6A" w:rsidRDefault="00C33456" w:rsidP="007E39EF">
      <w:pPr>
        <w:pStyle w:val="Heading2"/>
        <w:numPr>
          <w:ilvl w:val="0"/>
          <w:numId w:val="0"/>
        </w:numPr>
        <w:ind w:left="720" w:hanging="720"/>
      </w:pPr>
      <w:bookmarkStart w:id="0" w:name="_Toc430782148"/>
      <w:bookmarkStart w:id="1" w:name="_Toc236928320"/>
      <w:r>
        <w:lastRenderedPageBreak/>
        <w:t>Minister</w:t>
      </w:r>
      <w:r w:rsidR="00E4688C">
        <w:t>’s</w:t>
      </w:r>
      <w:r>
        <w:t xml:space="preserve"> </w:t>
      </w:r>
      <w:r w:rsidR="00922A39">
        <w:t>f</w:t>
      </w:r>
      <w:r w:rsidR="00E91D72" w:rsidRPr="00441BFD">
        <w:t>oreword</w:t>
      </w:r>
      <w:bookmarkEnd w:id="0"/>
      <w:bookmarkEnd w:id="1"/>
    </w:p>
    <w:p w14:paraId="6B2C8DF8" w14:textId="61BDB6F8" w:rsidR="00CD35D5" w:rsidRPr="00165DEE" w:rsidRDefault="00CD35D5" w:rsidP="00CD35D5">
      <w:pPr>
        <w:spacing w:after="160" w:line="278" w:lineRule="auto"/>
      </w:pPr>
      <w:r w:rsidRPr="00165DEE">
        <w:t xml:space="preserve">Australia’s farmers and foresters are at the heart of our regional communities. </w:t>
      </w:r>
      <w:r w:rsidR="000F6E6A" w:rsidRPr="00165DEE">
        <w:t>They</w:t>
      </w:r>
      <w:r w:rsidRPr="00165DEE">
        <w:t xml:space="preserve"> support our economy, strengthen our regions and provide the food, fibre and forestry products that Australians and our trading partners rely on. The</w:t>
      </w:r>
      <w:r w:rsidRPr="00165DEE" w:rsidDel="000F6E6A">
        <w:t xml:space="preserve"> </w:t>
      </w:r>
      <w:r w:rsidR="000F6E6A" w:rsidRPr="00165DEE">
        <w:t>Australian</w:t>
      </w:r>
      <w:r w:rsidRPr="00165DEE">
        <w:t xml:space="preserve"> Government is committed to backing our producers to seize new opportunities</w:t>
      </w:r>
      <w:r w:rsidR="003006F3" w:rsidRPr="00165DEE">
        <w:t xml:space="preserve"> and</w:t>
      </w:r>
      <w:r w:rsidRPr="00165DEE">
        <w:t xml:space="preserve"> strengthen their businesses.</w:t>
      </w:r>
    </w:p>
    <w:p w14:paraId="59AACE2B" w14:textId="7F93875D" w:rsidR="000F6E6A" w:rsidRPr="00165DEE" w:rsidRDefault="00CD35D5" w:rsidP="00CD35D5">
      <w:pPr>
        <w:spacing w:after="160" w:line="278" w:lineRule="auto"/>
      </w:pPr>
      <w:r w:rsidRPr="00165DEE">
        <w:t>Developing a domestic bioenergy feedstock industry is one of those opportunities.</w:t>
      </w:r>
    </w:p>
    <w:p w14:paraId="274F518A" w14:textId="454F6016" w:rsidR="00CD35D5" w:rsidRPr="00165DEE" w:rsidRDefault="00CD35D5" w:rsidP="00CD35D5">
      <w:pPr>
        <w:spacing w:after="160" w:line="278" w:lineRule="auto"/>
      </w:pPr>
      <w:r w:rsidRPr="00165DEE">
        <w:t>As Australia works towards a lower-emissions future, bioenergy</w:t>
      </w:r>
      <w:r w:rsidR="006D3532" w:rsidRPr="00165DEE">
        <w:t xml:space="preserve"> -</w:t>
      </w:r>
      <w:r w:rsidRPr="00165DEE">
        <w:t xml:space="preserve"> including low carbon liquid fuels</w:t>
      </w:r>
      <w:r w:rsidR="006D3532" w:rsidRPr="00165DEE">
        <w:t xml:space="preserve"> -</w:t>
      </w:r>
      <w:r w:rsidRPr="00165DEE">
        <w:t xml:space="preserve"> can help reduce emissions, strengthen fuel security and support new economic growth. For Australian farmers, foresters and regional communities, it presents a</w:t>
      </w:r>
      <w:r w:rsidR="00493CF7">
        <w:t xml:space="preserve"> significant economic </w:t>
      </w:r>
      <w:r w:rsidRPr="00165DEE">
        <w:t xml:space="preserve">opportunity </w:t>
      </w:r>
      <w:r w:rsidRPr="00165DEE" w:rsidDel="00493CF7">
        <w:t xml:space="preserve">to </w:t>
      </w:r>
      <w:r w:rsidR="007B3F70">
        <w:t xml:space="preserve">supply </w:t>
      </w:r>
      <w:r w:rsidR="000F6E6A" w:rsidRPr="00165DEE">
        <w:t>feedstocks to these</w:t>
      </w:r>
      <w:r w:rsidRPr="00165DEE" w:rsidDel="007B3F70">
        <w:t xml:space="preserve"> </w:t>
      </w:r>
      <w:r w:rsidRPr="00165DEE">
        <w:t>emerging markets.</w:t>
      </w:r>
    </w:p>
    <w:p w14:paraId="28F7EB15" w14:textId="683F9BA6" w:rsidR="00CD35D5" w:rsidRPr="00165DEE" w:rsidRDefault="00CD35D5" w:rsidP="00CD35D5">
      <w:pPr>
        <w:spacing w:after="160" w:line="278" w:lineRule="auto"/>
      </w:pPr>
      <w:r w:rsidRPr="00165DEE">
        <w:t xml:space="preserve">Australia is well placed to </w:t>
      </w:r>
      <w:r w:rsidR="00AE5C92">
        <w:t>respond to growing global demand</w:t>
      </w:r>
      <w:r w:rsidRPr="00165DEE">
        <w:t>. We produce world-class agricultural and forestry products and</w:t>
      </w:r>
      <w:r w:rsidRPr="00165DEE" w:rsidDel="00AE5C92">
        <w:t xml:space="preserve"> </w:t>
      </w:r>
      <w:r w:rsidRPr="00165DEE">
        <w:t xml:space="preserve">are </w:t>
      </w:r>
      <w:r w:rsidR="00493CF7">
        <w:t xml:space="preserve">already </w:t>
      </w:r>
      <w:r w:rsidRPr="00165DEE">
        <w:t xml:space="preserve">participating in global bioenergy supply chains. Building on these strengths can </w:t>
      </w:r>
      <w:r w:rsidR="00CA5AEE">
        <w:t xml:space="preserve">increase access to emerging </w:t>
      </w:r>
      <w:r w:rsidRPr="00165DEE">
        <w:t>markets, attract investment and support jobs across regional Australia.</w:t>
      </w:r>
    </w:p>
    <w:p w14:paraId="4A025733" w14:textId="09911E47" w:rsidR="00CD35D5" w:rsidRPr="00165DEE" w:rsidRDefault="00CD35D5" w:rsidP="00CD35D5">
      <w:pPr>
        <w:spacing w:after="160" w:line="278" w:lineRule="auto"/>
      </w:pPr>
      <w:r w:rsidRPr="00165DEE">
        <w:t>The National Bioenergy Feedstock Strategy provides a</w:t>
      </w:r>
      <w:r w:rsidR="00FB476E" w:rsidRPr="00165DEE">
        <w:t xml:space="preserve"> </w:t>
      </w:r>
      <w:r w:rsidR="00CA5AEE">
        <w:rPr>
          <w:lang w:val="en-US"/>
        </w:rPr>
        <w:t xml:space="preserve">shared </w:t>
      </w:r>
      <w:r w:rsidR="00FB476E">
        <w:rPr>
          <w:lang w:val="en-US"/>
        </w:rPr>
        <w:t>direction</w:t>
      </w:r>
      <w:r w:rsidR="00FB476E" w:rsidRPr="00907BC1">
        <w:rPr>
          <w:lang w:val="en-US"/>
        </w:rPr>
        <w:t xml:space="preserve"> for governments, industry</w:t>
      </w:r>
      <w:r w:rsidR="00EC2457">
        <w:rPr>
          <w:lang w:val="en-US"/>
        </w:rPr>
        <w:t>, producers</w:t>
      </w:r>
      <w:r w:rsidR="00FB476E" w:rsidRPr="00907BC1">
        <w:rPr>
          <w:lang w:val="en-US"/>
        </w:rPr>
        <w:t xml:space="preserve"> and the broader supply chain </w:t>
      </w:r>
      <w:r w:rsidRPr="00165DEE">
        <w:t>to work together to support sustainable growth</w:t>
      </w:r>
      <w:r w:rsidR="00551E3D" w:rsidRPr="00165DEE">
        <w:t xml:space="preserve"> of Aust</w:t>
      </w:r>
      <w:r w:rsidR="008E2E9C" w:rsidRPr="00165DEE">
        <w:t>ra</w:t>
      </w:r>
      <w:r w:rsidR="00551E3D" w:rsidRPr="00165DEE">
        <w:t>l</w:t>
      </w:r>
      <w:r w:rsidR="008E2E9C" w:rsidRPr="00165DEE">
        <w:t>ia</w:t>
      </w:r>
      <w:r w:rsidR="00551E3D" w:rsidRPr="00165DEE">
        <w:t>’s bioenergy feedstock</w:t>
      </w:r>
      <w:r w:rsidR="008E2E9C" w:rsidRPr="00165DEE">
        <w:t xml:space="preserve"> </w:t>
      </w:r>
      <w:r w:rsidR="000834E7" w:rsidRPr="00165DEE">
        <w:t>industry</w:t>
      </w:r>
      <w:r w:rsidRPr="00165DEE">
        <w:t xml:space="preserve">. It </w:t>
      </w:r>
      <w:r w:rsidR="001B67DE" w:rsidRPr="00165DEE">
        <w:t>identifies priority areas for collective action</w:t>
      </w:r>
      <w:r w:rsidR="00CA5AEE">
        <w:t xml:space="preserve"> </w:t>
      </w:r>
      <w:r w:rsidR="007C60DD">
        <w:t xml:space="preserve">including improving market ready data, </w:t>
      </w:r>
      <w:r w:rsidRPr="00165DEE">
        <w:t>support</w:t>
      </w:r>
      <w:r w:rsidR="007C60DD">
        <w:t>ing</w:t>
      </w:r>
      <w:r w:rsidRPr="00165DEE">
        <w:t xml:space="preserve"> innovation, strengthen</w:t>
      </w:r>
      <w:r w:rsidR="007C60DD">
        <w:t>ing</w:t>
      </w:r>
      <w:r w:rsidRPr="00165DEE">
        <w:t xml:space="preserve"> regional supply chains, build</w:t>
      </w:r>
      <w:r w:rsidR="007C60DD">
        <w:t>ing</w:t>
      </w:r>
      <w:r w:rsidRPr="00165DEE">
        <w:t xml:space="preserve"> credible sustainability and certification systems, and improv</w:t>
      </w:r>
      <w:r w:rsidR="007C60DD">
        <w:t>ing</w:t>
      </w:r>
      <w:r w:rsidRPr="00165DEE">
        <w:t xml:space="preserve"> sector capability. These are the foundations needed to support investment and </w:t>
      </w:r>
      <w:r w:rsidR="001546C0" w:rsidRPr="00165DEE">
        <w:t>industry growth</w:t>
      </w:r>
      <w:r w:rsidR="003A658F" w:rsidRPr="00165DEE">
        <w:t>.</w:t>
      </w:r>
    </w:p>
    <w:p w14:paraId="56D81FCF" w14:textId="68831213" w:rsidR="00CD35D5" w:rsidRPr="00165DEE" w:rsidRDefault="00CD35D5" w:rsidP="00CD35D5">
      <w:pPr>
        <w:spacing w:after="160" w:line="278" w:lineRule="auto"/>
      </w:pPr>
      <w:r w:rsidRPr="00165DEE">
        <w:t xml:space="preserve">Importantly, this strategy </w:t>
      </w:r>
      <w:r w:rsidR="00996CD9" w:rsidRPr="00165DEE">
        <w:t>supports a market</w:t>
      </w:r>
      <w:r w:rsidR="0071605A" w:rsidRPr="00165DEE">
        <w:t>-led approach</w:t>
      </w:r>
      <w:r w:rsidR="00577498" w:rsidRPr="00165DEE">
        <w:t xml:space="preserve">, recognising that </w:t>
      </w:r>
      <w:r w:rsidR="002D031B" w:rsidRPr="00165DEE">
        <w:t xml:space="preserve">opportunities will vary </w:t>
      </w:r>
      <w:r w:rsidR="006D647B" w:rsidRPr="00165DEE">
        <w:t>across</w:t>
      </w:r>
      <w:r w:rsidRPr="00165DEE">
        <w:t xml:space="preserve"> feedstocks, technologies </w:t>
      </w:r>
      <w:r w:rsidR="004B1AD2" w:rsidRPr="00165DEE">
        <w:t>and</w:t>
      </w:r>
      <w:r w:rsidRPr="00165DEE">
        <w:t xml:space="preserve"> regions. </w:t>
      </w:r>
      <w:r w:rsidR="004B1AD2" w:rsidRPr="00165DEE">
        <w:t>I</w:t>
      </w:r>
      <w:r w:rsidRPr="00165DEE">
        <w:t>t focuses on creating the conditions for industry to grow in a way that complements food, fibre and forestry production, maintains community confidence and maximises opportunities for producers and regional communities.</w:t>
      </w:r>
    </w:p>
    <w:p w14:paraId="3C4931B3" w14:textId="5B56CEFA" w:rsidR="00CD35D5" w:rsidRPr="00165DEE" w:rsidRDefault="00CD35D5" w:rsidP="00CD35D5">
      <w:pPr>
        <w:spacing w:after="160" w:line="278" w:lineRule="auto"/>
      </w:pPr>
      <w:r w:rsidRPr="00165DEE">
        <w:t>The strategy has been shaped by extensive engagement with producers, industry, researchers, investors and governments across Australia. I thank everyone who contributed their expertise. Their input has helped ensure this strategy reflects both the opportunities and the practical realities of developing a domestic feedstock industry.</w:t>
      </w:r>
    </w:p>
    <w:p w14:paraId="5F047046" w14:textId="2C4F2C6E" w:rsidR="00CD35D5" w:rsidRPr="009B0D95" w:rsidRDefault="00CD35D5" w:rsidP="00CD35D5">
      <w:pPr>
        <w:spacing w:after="160" w:line="278" w:lineRule="auto"/>
      </w:pPr>
      <w:r w:rsidRPr="00165DEE">
        <w:t>By working together, we can ensure Australian farmers, foresters and regional communities benefit from this growing industry. In doing so, we can strengthen Australia’s fuel security, support emissions reduction and create lasting economic opportunities across regional Australia.</w:t>
      </w:r>
    </w:p>
    <w:p w14:paraId="02DC0073" w14:textId="20A186C9" w:rsidR="00764D6A" w:rsidRDefault="00E91D72">
      <w:pPr>
        <w:spacing w:after="0" w:line="240" w:lineRule="auto"/>
      </w:pPr>
      <w:r>
        <w:br w:type="page"/>
      </w:r>
    </w:p>
    <w:sdt>
      <w:sdtPr>
        <w:rPr>
          <w:rFonts w:ascii="Cambria" w:eastAsiaTheme="minorHAnsi" w:hAnsi="Cambria"/>
          <w:b/>
          <w:bCs w:val="0"/>
          <w:noProof/>
          <w:sz w:val="22"/>
          <w:szCs w:val="22"/>
          <w:lang w:eastAsia="en-US"/>
        </w:rPr>
        <w:id w:val="-760297017"/>
        <w:docPartObj>
          <w:docPartGallery w:val="Table of Contents"/>
          <w:docPartUnique/>
        </w:docPartObj>
      </w:sdtPr>
      <w:sdtEndPr>
        <w:rPr>
          <w:rFonts w:asciiTheme="minorHAnsi" w:hAnsiTheme="minorHAnsi"/>
        </w:rPr>
      </w:sdtEndPr>
      <w:sdtContent>
        <w:p w14:paraId="4D09EBA8" w14:textId="1BA7B93B" w:rsidR="00764D6A" w:rsidRDefault="00E91D72" w:rsidP="00F61A97">
          <w:pPr>
            <w:pStyle w:val="TOCHeading"/>
            <w:spacing w:before="0" w:line="240" w:lineRule="auto"/>
          </w:pPr>
          <w:r>
            <w:t>Contents</w:t>
          </w:r>
        </w:p>
        <w:p w14:paraId="297D41F4" w14:textId="1149688D" w:rsidR="00937A7F" w:rsidRDefault="00E91D72">
          <w:pPr>
            <w:pStyle w:val="TOC1"/>
            <w:rPr>
              <w:rFonts w:eastAsiaTheme="minorEastAsia"/>
              <w:b w:val="0"/>
              <w:kern w:val="2"/>
              <w:sz w:val="24"/>
              <w:szCs w:val="24"/>
              <w:lang w:eastAsia="en-AU"/>
              <w14:ligatures w14:val="standardContextual"/>
            </w:rPr>
          </w:pPr>
          <w:r>
            <w:rPr>
              <w:b w:val="0"/>
            </w:rPr>
            <w:fldChar w:fldCharType="begin"/>
          </w:r>
          <w:r>
            <w:rPr>
              <w:b w:val="0"/>
            </w:rPr>
            <w:instrText xml:space="preserve"> TOC \h \z \u \t "Heading 2,1,Heading 3,2,Style1,2,TOA Heading,1" </w:instrText>
          </w:r>
          <w:r>
            <w:rPr>
              <w:b w:val="0"/>
            </w:rPr>
            <w:fldChar w:fldCharType="separate"/>
          </w:r>
          <w:hyperlink w:anchor="_Toc236928320" w:history="1">
            <w:r w:rsidR="00937A7F" w:rsidRPr="00A8734E">
              <w:rPr>
                <w:rStyle w:val="Hyperlink"/>
              </w:rPr>
              <w:t>Minister’s foreword</w:t>
            </w:r>
            <w:r w:rsidR="00937A7F">
              <w:rPr>
                <w:webHidden/>
              </w:rPr>
              <w:tab/>
            </w:r>
            <w:r w:rsidR="00937A7F">
              <w:rPr>
                <w:webHidden/>
              </w:rPr>
              <w:fldChar w:fldCharType="begin"/>
            </w:r>
            <w:r w:rsidR="00937A7F">
              <w:rPr>
                <w:webHidden/>
              </w:rPr>
              <w:instrText xml:space="preserve"> PAGEREF _Toc236928320 \h </w:instrText>
            </w:r>
            <w:r w:rsidR="00937A7F">
              <w:rPr>
                <w:webHidden/>
              </w:rPr>
            </w:r>
            <w:r w:rsidR="00937A7F">
              <w:rPr>
                <w:webHidden/>
              </w:rPr>
              <w:fldChar w:fldCharType="separate"/>
            </w:r>
            <w:r w:rsidR="00C71C2F">
              <w:rPr>
                <w:webHidden/>
              </w:rPr>
              <w:t>iii</w:t>
            </w:r>
            <w:r w:rsidR="00937A7F">
              <w:rPr>
                <w:webHidden/>
              </w:rPr>
              <w:fldChar w:fldCharType="end"/>
            </w:r>
          </w:hyperlink>
        </w:p>
        <w:p w14:paraId="4557F1E6" w14:textId="14D39216" w:rsidR="00937A7F" w:rsidRDefault="00937A7F">
          <w:pPr>
            <w:pStyle w:val="TOC1"/>
            <w:rPr>
              <w:rFonts w:eastAsiaTheme="minorEastAsia"/>
              <w:b w:val="0"/>
              <w:kern w:val="2"/>
              <w:sz w:val="24"/>
              <w:szCs w:val="24"/>
              <w:lang w:eastAsia="en-AU"/>
              <w14:ligatures w14:val="standardContextual"/>
            </w:rPr>
          </w:pPr>
          <w:hyperlink w:anchor="_Toc236928321" w:history="1">
            <w:r w:rsidRPr="00A8734E">
              <w:rPr>
                <w:rStyle w:val="Hyperlink"/>
              </w:rPr>
              <w:t>Executive summary</w:t>
            </w:r>
            <w:r>
              <w:rPr>
                <w:webHidden/>
              </w:rPr>
              <w:tab/>
            </w:r>
            <w:r>
              <w:rPr>
                <w:webHidden/>
              </w:rPr>
              <w:fldChar w:fldCharType="begin"/>
            </w:r>
            <w:r>
              <w:rPr>
                <w:webHidden/>
              </w:rPr>
              <w:instrText xml:space="preserve"> PAGEREF _Toc236928321 \h </w:instrText>
            </w:r>
            <w:r>
              <w:rPr>
                <w:webHidden/>
              </w:rPr>
            </w:r>
            <w:r>
              <w:rPr>
                <w:webHidden/>
              </w:rPr>
              <w:fldChar w:fldCharType="separate"/>
            </w:r>
            <w:r w:rsidR="00C71C2F">
              <w:rPr>
                <w:webHidden/>
              </w:rPr>
              <w:t>vi</w:t>
            </w:r>
            <w:r>
              <w:rPr>
                <w:webHidden/>
              </w:rPr>
              <w:fldChar w:fldCharType="end"/>
            </w:r>
          </w:hyperlink>
        </w:p>
        <w:p w14:paraId="59E7F09A" w14:textId="0875E47A" w:rsidR="00937A7F" w:rsidRDefault="00937A7F">
          <w:pPr>
            <w:pStyle w:val="TOC2"/>
            <w:rPr>
              <w:rFonts w:eastAsiaTheme="minorEastAsia"/>
              <w:kern w:val="2"/>
              <w:sz w:val="24"/>
              <w:szCs w:val="24"/>
              <w:lang w:eastAsia="en-AU"/>
              <w14:ligatures w14:val="standardContextual"/>
            </w:rPr>
          </w:pPr>
          <w:hyperlink w:anchor="_Toc236928322" w:history="1">
            <w:r w:rsidRPr="00A8734E">
              <w:rPr>
                <w:rStyle w:val="Hyperlink"/>
              </w:rPr>
              <w:t>National Bioenergy Feedstock Strategy</w:t>
            </w:r>
            <w:r>
              <w:rPr>
                <w:webHidden/>
              </w:rPr>
              <w:tab/>
            </w:r>
            <w:r>
              <w:rPr>
                <w:webHidden/>
              </w:rPr>
              <w:fldChar w:fldCharType="begin"/>
            </w:r>
            <w:r>
              <w:rPr>
                <w:webHidden/>
              </w:rPr>
              <w:instrText xml:space="preserve"> PAGEREF _Toc236928322 \h </w:instrText>
            </w:r>
            <w:r>
              <w:rPr>
                <w:webHidden/>
              </w:rPr>
            </w:r>
            <w:r>
              <w:rPr>
                <w:webHidden/>
              </w:rPr>
              <w:fldChar w:fldCharType="separate"/>
            </w:r>
            <w:r w:rsidR="00C71C2F">
              <w:rPr>
                <w:webHidden/>
              </w:rPr>
              <w:t>vii</w:t>
            </w:r>
            <w:r>
              <w:rPr>
                <w:webHidden/>
              </w:rPr>
              <w:fldChar w:fldCharType="end"/>
            </w:r>
          </w:hyperlink>
        </w:p>
        <w:p w14:paraId="32061AF0" w14:textId="1C35BBA3" w:rsidR="00937A7F" w:rsidRDefault="00937A7F">
          <w:pPr>
            <w:pStyle w:val="TOC1"/>
            <w:rPr>
              <w:rFonts w:eastAsiaTheme="minorEastAsia"/>
              <w:b w:val="0"/>
              <w:kern w:val="2"/>
              <w:sz w:val="24"/>
              <w:szCs w:val="24"/>
              <w:lang w:eastAsia="en-AU"/>
              <w14:ligatures w14:val="standardContextual"/>
            </w:rPr>
          </w:pPr>
          <w:hyperlink w:anchor="_Toc236928323" w:history="1">
            <w:r w:rsidRPr="00A8734E">
              <w:rPr>
                <w:rStyle w:val="Hyperlink"/>
              </w:rPr>
              <w:t>1</w:t>
            </w:r>
            <w:r>
              <w:rPr>
                <w:rFonts w:eastAsiaTheme="minorEastAsia"/>
                <w:b w:val="0"/>
                <w:kern w:val="2"/>
                <w:sz w:val="24"/>
                <w:szCs w:val="24"/>
                <w:lang w:eastAsia="en-AU"/>
                <w14:ligatures w14:val="standardContextual"/>
              </w:rPr>
              <w:tab/>
            </w:r>
            <w:r w:rsidRPr="00A8734E">
              <w:rPr>
                <w:rStyle w:val="Hyperlink"/>
              </w:rPr>
              <w:t>Introduction</w:t>
            </w:r>
            <w:r>
              <w:rPr>
                <w:webHidden/>
              </w:rPr>
              <w:tab/>
            </w:r>
            <w:r>
              <w:rPr>
                <w:webHidden/>
              </w:rPr>
              <w:fldChar w:fldCharType="begin"/>
            </w:r>
            <w:r>
              <w:rPr>
                <w:webHidden/>
              </w:rPr>
              <w:instrText xml:space="preserve"> PAGEREF _Toc236928323 \h </w:instrText>
            </w:r>
            <w:r>
              <w:rPr>
                <w:webHidden/>
              </w:rPr>
            </w:r>
            <w:r>
              <w:rPr>
                <w:webHidden/>
              </w:rPr>
              <w:fldChar w:fldCharType="separate"/>
            </w:r>
            <w:r w:rsidR="00C71C2F">
              <w:rPr>
                <w:webHidden/>
              </w:rPr>
              <w:t>1</w:t>
            </w:r>
            <w:r>
              <w:rPr>
                <w:webHidden/>
              </w:rPr>
              <w:fldChar w:fldCharType="end"/>
            </w:r>
          </w:hyperlink>
        </w:p>
        <w:p w14:paraId="2F443E9B" w14:textId="0EAE479C" w:rsidR="00937A7F" w:rsidRDefault="00937A7F">
          <w:pPr>
            <w:pStyle w:val="TOC2"/>
            <w:tabs>
              <w:tab w:val="left" w:pos="1200"/>
            </w:tabs>
            <w:rPr>
              <w:rFonts w:eastAsiaTheme="minorEastAsia"/>
              <w:kern w:val="2"/>
              <w:sz w:val="24"/>
              <w:szCs w:val="24"/>
              <w:lang w:eastAsia="en-AU"/>
              <w14:ligatures w14:val="standardContextual"/>
            </w:rPr>
          </w:pPr>
          <w:hyperlink w:anchor="_Toc236928324" w:history="1">
            <w:r w:rsidRPr="00A8734E">
              <w:rPr>
                <w:rStyle w:val="Hyperlink"/>
              </w:rPr>
              <w:t>1.1</w:t>
            </w:r>
            <w:r>
              <w:rPr>
                <w:rFonts w:eastAsiaTheme="minorEastAsia"/>
                <w:kern w:val="2"/>
                <w:sz w:val="24"/>
                <w:szCs w:val="24"/>
                <w:lang w:eastAsia="en-AU"/>
                <w14:ligatures w14:val="standardContextual"/>
              </w:rPr>
              <w:tab/>
            </w:r>
            <w:r w:rsidRPr="00A8734E">
              <w:rPr>
                <w:rStyle w:val="Hyperlink"/>
              </w:rPr>
              <w:t>Bioenergy for fuel security and decarbonisation</w:t>
            </w:r>
            <w:r>
              <w:rPr>
                <w:webHidden/>
              </w:rPr>
              <w:tab/>
            </w:r>
            <w:r>
              <w:rPr>
                <w:webHidden/>
              </w:rPr>
              <w:fldChar w:fldCharType="begin"/>
            </w:r>
            <w:r>
              <w:rPr>
                <w:webHidden/>
              </w:rPr>
              <w:instrText xml:space="preserve"> PAGEREF _Toc236928324 \h </w:instrText>
            </w:r>
            <w:r>
              <w:rPr>
                <w:webHidden/>
              </w:rPr>
            </w:r>
            <w:r>
              <w:rPr>
                <w:webHidden/>
              </w:rPr>
              <w:fldChar w:fldCharType="separate"/>
            </w:r>
            <w:r w:rsidR="00C71C2F">
              <w:rPr>
                <w:webHidden/>
              </w:rPr>
              <w:t>1</w:t>
            </w:r>
            <w:r>
              <w:rPr>
                <w:webHidden/>
              </w:rPr>
              <w:fldChar w:fldCharType="end"/>
            </w:r>
          </w:hyperlink>
        </w:p>
        <w:p w14:paraId="68229CD8" w14:textId="6325C68C" w:rsidR="00937A7F" w:rsidRDefault="00937A7F">
          <w:pPr>
            <w:pStyle w:val="TOC2"/>
            <w:tabs>
              <w:tab w:val="left" w:pos="1200"/>
            </w:tabs>
            <w:rPr>
              <w:rFonts w:eastAsiaTheme="minorEastAsia"/>
              <w:kern w:val="2"/>
              <w:sz w:val="24"/>
              <w:szCs w:val="24"/>
              <w:lang w:eastAsia="en-AU"/>
              <w14:ligatures w14:val="standardContextual"/>
            </w:rPr>
          </w:pPr>
          <w:hyperlink w:anchor="_Toc236928325" w:history="1">
            <w:r w:rsidRPr="00A8734E">
              <w:rPr>
                <w:rStyle w:val="Hyperlink"/>
              </w:rPr>
              <w:t>1.2</w:t>
            </w:r>
            <w:r>
              <w:rPr>
                <w:rFonts w:eastAsiaTheme="minorEastAsia"/>
                <w:kern w:val="2"/>
                <w:sz w:val="24"/>
                <w:szCs w:val="24"/>
                <w:lang w:eastAsia="en-AU"/>
                <w14:ligatures w14:val="standardContextual"/>
              </w:rPr>
              <w:tab/>
            </w:r>
            <w:r w:rsidRPr="00A8734E">
              <w:rPr>
                <w:rStyle w:val="Hyperlink"/>
              </w:rPr>
              <w:t>Increasing global investment</w:t>
            </w:r>
            <w:r>
              <w:rPr>
                <w:webHidden/>
              </w:rPr>
              <w:tab/>
            </w:r>
            <w:r>
              <w:rPr>
                <w:webHidden/>
              </w:rPr>
              <w:fldChar w:fldCharType="begin"/>
            </w:r>
            <w:r>
              <w:rPr>
                <w:webHidden/>
              </w:rPr>
              <w:instrText xml:space="preserve"> PAGEREF _Toc236928325 \h </w:instrText>
            </w:r>
            <w:r>
              <w:rPr>
                <w:webHidden/>
              </w:rPr>
            </w:r>
            <w:r>
              <w:rPr>
                <w:webHidden/>
              </w:rPr>
              <w:fldChar w:fldCharType="separate"/>
            </w:r>
            <w:r w:rsidR="00C71C2F">
              <w:rPr>
                <w:webHidden/>
              </w:rPr>
              <w:t>1</w:t>
            </w:r>
            <w:r>
              <w:rPr>
                <w:webHidden/>
              </w:rPr>
              <w:fldChar w:fldCharType="end"/>
            </w:r>
          </w:hyperlink>
        </w:p>
        <w:p w14:paraId="12E7F0D3" w14:textId="5337DEC1" w:rsidR="00937A7F" w:rsidRDefault="00937A7F">
          <w:pPr>
            <w:pStyle w:val="TOC2"/>
            <w:tabs>
              <w:tab w:val="left" w:pos="1200"/>
            </w:tabs>
            <w:rPr>
              <w:rFonts w:eastAsiaTheme="minorEastAsia"/>
              <w:kern w:val="2"/>
              <w:sz w:val="24"/>
              <w:szCs w:val="24"/>
              <w:lang w:eastAsia="en-AU"/>
              <w14:ligatures w14:val="standardContextual"/>
            </w:rPr>
          </w:pPr>
          <w:hyperlink w:anchor="_Toc236928326" w:history="1">
            <w:r w:rsidRPr="00A8734E">
              <w:rPr>
                <w:rStyle w:val="Hyperlink"/>
              </w:rPr>
              <w:t>1.3</w:t>
            </w:r>
            <w:r>
              <w:rPr>
                <w:rFonts w:eastAsiaTheme="minorEastAsia"/>
                <w:kern w:val="2"/>
                <w:sz w:val="24"/>
                <w:szCs w:val="24"/>
                <w:lang w:eastAsia="en-AU"/>
                <w14:ligatures w14:val="standardContextual"/>
              </w:rPr>
              <w:tab/>
            </w:r>
            <w:r w:rsidRPr="00A8734E">
              <w:rPr>
                <w:rStyle w:val="Hyperlink"/>
              </w:rPr>
              <w:t>Australia’s policy landscape</w:t>
            </w:r>
            <w:r>
              <w:rPr>
                <w:webHidden/>
              </w:rPr>
              <w:tab/>
            </w:r>
            <w:r>
              <w:rPr>
                <w:webHidden/>
              </w:rPr>
              <w:fldChar w:fldCharType="begin"/>
            </w:r>
            <w:r>
              <w:rPr>
                <w:webHidden/>
              </w:rPr>
              <w:instrText xml:space="preserve"> PAGEREF _Toc236928326 \h </w:instrText>
            </w:r>
            <w:r>
              <w:rPr>
                <w:webHidden/>
              </w:rPr>
            </w:r>
            <w:r>
              <w:rPr>
                <w:webHidden/>
              </w:rPr>
              <w:fldChar w:fldCharType="separate"/>
            </w:r>
            <w:r w:rsidR="00C71C2F">
              <w:rPr>
                <w:webHidden/>
              </w:rPr>
              <w:t>2</w:t>
            </w:r>
            <w:r>
              <w:rPr>
                <w:webHidden/>
              </w:rPr>
              <w:fldChar w:fldCharType="end"/>
            </w:r>
          </w:hyperlink>
        </w:p>
        <w:p w14:paraId="670E86C6" w14:textId="686B68D7" w:rsidR="00937A7F" w:rsidRDefault="00937A7F">
          <w:pPr>
            <w:pStyle w:val="TOC2"/>
            <w:tabs>
              <w:tab w:val="left" w:pos="1200"/>
            </w:tabs>
            <w:rPr>
              <w:rFonts w:eastAsiaTheme="minorEastAsia"/>
              <w:kern w:val="2"/>
              <w:sz w:val="24"/>
              <w:szCs w:val="24"/>
              <w:lang w:eastAsia="en-AU"/>
              <w14:ligatures w14:val="standardContextual"/>
            </w:rPr>
          </w:pPr>
          <w:hyperlink w:anchor="_Toc236928327" w:history="1">
            <w:r w:rsidRPr="00A8734E">
              <w:rPr>
                <w:rStyle w:val="Hyperlink"/>
                <w:rFonts w:eastAsia="Aptos"/>
              </w:rPr>
              <w:t>1.4</w:t>
            </w:r>
            <w:r>
              <w:rPr>
                <w:rFonts w:eastAsiaTheme="minorEastAsia"/>
                <w:kern w:val="2"/>
                <w:sz w:val="24"/>
                <w:szCs w:val="24"/>
                <w:lang w:eastAsia="en-AU"/>
                <w14:ligatures w14:val="standardContextual"/>
              </w:rPr>
              <w:tab/>
            </w:r>
            <w:r w:rsidRPr="00A8734E">
              <w:rPr>
                <w:rStyle w:val="Hyperlink"/>
                <w:rFonts w:eastAsia="Aptos"/>
              </w:rPr>
              <w:t>Feedstocks are a critical input for production</w:t>
            </w:r>
            <w:r>
              <w:rPr>
                <w:webHidden/>
              </w:rPr>
              <w:tab/>
            </w:r>
            <w:r>
              <w:rPr>
                <w:webHidden/>
              </w:rPr>
              <w:fldChar w:fldCharType="begin"/>
            </w:r>
            <w:r>
              <w:rPr>
                <w:webHidden/>
              </w:rPr>
              <w:instrText xml:space="preserve"> PAGEREF _Toc236928327 \h </w:instrText>
            </w:r>
            <w:r>
              <w:rPr>
                <w:webHidden/>
              </w:rPr>
            </w:r>
            <w:r>
              <w:rPr>
                <w:webHidden/>
              </w:rPr>
              <w:fldChar w:fldCharType="separate"/>
            </w:r>
            <w:r w:rsidR="00C71C2F">
              <w:rPr>
                <w:webHidden/>
              </w:rPr>
              <w:t>3</w:t>
            </w:r>
            <w:r>
              <w:rPr>
                <w:webHidden/>
              </w:rPr>
              <w:fldChar w:fldCharType="end"/>
            </w:r>
          </w:hyperlink>
        </w:p>
        <w:p w14:paraId="335535A5" w14:textId="38DCE567" w:rsidR="00937A7F" w:rsidRDefault="00937A7F">
          <w:pPr>
            <w:pStyle w:val="TOC1"/>
            <w:rPr>
              <w:rFonts w:eastAsiaTheme="minorEastAsia"/>
              <w:b w:val="0"/>
              <w:kern w:val="2"/>
              <w:sz w:val="24"/>
              <w:szCs w:val="24"/>
              <w:lang w:eastAsia="en-AU"/>
              <w14:ligatures w14:val="standardContextual"/>
            </w:rPr>
          </w:pPr>
          <w:hyperlink w:anchor="_Toc236928328" w:history="1">
            <w:r w:rsidRPr="00A8734E">
              <w:rPr>
                <w:rStyle w:val="Hyperlink"/>
              </w:rPr>
              <w:t>2</w:t>
            </w:r>
            <w:r>
              <w:rPr>
                <w:rFonts w:eastAsiaTheme="minorEastAsia"/>
                <w:b w:val="0"/>
                <w:kern w:val="2"/>
                <w:sz w:val="24"/>
                <w:szCs w:val="24"/>
                <w:lang w:eastAsia="en-AU"/>
                <w14:ligatures w14:val="standardContextual"/>
              </w:rPr>
              <w:tab/>
            </w:r>
            <w:r w:rsidRPr="00A8734E">
              <w:rPr>
                <w:rStyle w:val="Hyperlink"/>
              </w:rPr>
              <w:t>Australia’s feedstock opportunity</w:t>
            </w:r>
            <w:r>
              <w:rPr>
                <w:webHidden/>
              </w:rPr>
              <w:tab/>
            </w:r>
            <w:r>
              <w:rPr>
                <w:webHidden/>
              </w:rPr>
              <w:fldChar w:fldCharType="begin"/>
            </w:r>
            <w:r>
              <w:rPr>
                <w:webHidden/>
              </w:rPr>
              <w:instrText xml:space="preserve"> PAGEREF _Toc236928328 \h </w:instrText>
            </w:r>
            <w:r>
              <w:rPr>
                <w:webHidden/>
              </w:rPr>
            </w:r>
            <w:r>
              <w:rPr>
                <w:webHidden/>
              </w:rPr>
              <w:fldChar w:fldCharType="separate"/>
            </w:r>
            <w:r w:rsidR="00C71C2F">
              <w:rPr>
                <w:webHidden/>
              </w:rPr>
              <w:t>6</w:t>
            </w:r>
            <w:r>
              <w:rPr>
                <w:webHidden/>
              </w:rPr>
              <w:fldChar w:fldCharType="end"/>
            </w:r>
          </w:hyperlink>
        </w:p>
        <w:p w14:paraId="66F7BB01" w14:textId="7236F13F" w:rsidR="00937A7F" w:rsidRDefault="00937A7F">
          <w:pPr>
            <w:pStyle w:val="TOC2"/>
            <w:tabs>
              <w:tab w:val="left" w:pos="1200"/>
            </w:tabs>
            <w:rPr>
              <w:rFonts w:eastAsiaTheme="minorEastAsia"/>
              <w:kern w:val="2"/>
              <w:sz w:val="24"/>
              <w:szCs w:val="24"/>
              <w:lang w:eastAsia="en-AU"/>
              <w14:ligatures w14:val="standardContextual"/>
            </w:rPr>
          </w:pPr>
          <w:hyperlink w:anchor="_Toc236928329" w:history="1">
            <w:r w:rsidRPr="00A8734E">
              <w:rPr>
                <w:rStyle w:val="Hyperlink"/>
              </w:rPr>
              <w:t>2.1</w:t>
            </w:r>
            <w:r>
              <w:rPr>
                <w:rFonts w:eastAsiaTheme="minorEastAsia"/>
                <w:kern w:val="2"/>
                <w:sz w:val="24"/>
                <w:szCs w:val="24"/>
                <w:lang w:eastAsia="en-AU"/>
                <w14:ligatures w14:val="standardContextual"/>
              </w:rPr>
              <w:tab/>
            </w:r>
            <w:r w:rsidRPr="00A8734E">
              <w:rPr>
                <w:rStyle w:val="Hyperlink"/>
              </w:rPr>
              <w:t>Diversity is an advantage</w:t>
            </w:r>
            <w:r>
              <w:rPr>
                <w:webHidden/>
              </w:rPr>
              <w:tab/>
            </w:r>
            <w:r>
              <w:rPr>
                <w:webHidden/>
              </w:rPr>
              <w:fldChar w:fldCharType="begin"/>
            </w:r>
            <w:r>
              <w:rPr>
                <w:webHidden/>
              </w:rPr>
              <w:instrText xml:space="preserve"> PAGEREF _Toc236928329 \h </w:instrText>
            </w:r>
            <w:r>
              <w:rPr>
                <w:webHidden/>
              </w:rPr>
            </w:r>
            <w:r>
              <w:rPr>
                <w:webHidden/>
              </w:rPr>
              <w:fldChar w:fldCharType="separate"/>
            </w:r>
            <w:r w:rsidR="00C71C2F">
              <w:rPr>
                <w:webHidden/>
              </w:rPr>
              <w:t>6</w:t>
            </w:r>
            <w:r>
              <w:rPr>
                <w:webHidden/>
              </w:rPr>
              <w:fldChar w:fldCharType="end"/>
            </w:r>
          </w:hyperlink>
        </w:p>
        <w:p w14:paraId="48CDFAD1" w14:textId="0DAAA417" w:rsidR="00937A7F" w:rsidRDefault="00937A7F">
          <w:pPr>
            <w:pStyle w:val="TOC2"/>
            <w:tabs>
              <w:tab w:val="left" w:pos="1200"/>
            </w:tabs>
            <w:rPr>
              <w:rFonts w:eastAsiaTheme="minorEastAsia"/>
              <w:kern w:val="2"/>
              <w:sz w:val="24"/>
              <w:szCs w:val="24"/>
              <w:lang w:eastAsia="en-AU"/>
              <w14:ligatures w14:val="standardContextual"/>
            </w:rPr>
          </w:pPr>
          <w:hyperlink w:anchor="_Toc236928330" w:history="1">
            <w:r w:rsidRPr="00A8734E">
              <w:rPr>
                <w:rStyle w:val="Hyperlink"/>
              </w:rPr>
              <w:t>2.2</w:t>
            </w:r>
            <w:r>
              <w:rPr>
                <w:rFonts w:eastAsiaTheme="minorEastAsia"/>
                <w:kern w:val="2"/>
                <w:sz w:val="24"/>
                <w:szCs w:val="24"/>
                <w:lang w:eastAsia="en-AU"/>
                <w14:ligatures w14:val="standardContextual"/>
              </w:rPr>
              <w:tab/>
            </w:r>
            <w:r w:rsidRPr="00A8734E">
              <w:rPr>
                <w:rStyle w:val="Hyperlink"/>
              </w:rPr>
              <w:t>Industry needs to scale progressively</w:t>
            </w:r>
            <w:r>
              <w:rPr>
                <w:webHidden/>
              </w:rPr>
              <w:tab/>
            </w:r>
            <w:r>
              <w:rPr>
                <w:webHidden/>
              </w:rPr>
              <w:fldChar w:fldCharType="begin"/>
            </w:r>
            <w:r>
              <w:rPr>
                <w:webHidden/>
              </w:rPr>
              <w:instrText xml:space="preserve"> PAGEREF _Toc236928330 \h </w:instrText>
            </w:r>
            <w:r>
              <w:rPr>
                <w:webHidden/>
              </w:rPr>
            </w:r>
            <w:r>
              <w:rPr>
                <w:webHidden/>
              </w:rPr>
              <w:fldChar w:fldCharType="separate"/>
            </w:r>
            <w:r w:rsidR="00C71C2F">
              <w:rPr>
                <w:webHidden/>
              </w:rPr>
              <w:t>7</w:t>
            </w:r>
            <w:r>
              <w:rPr>
                <w:webHidden/>
              </w:rPr>
              <w:fldChar w:fldCharType="end"/>
            </w:r>
          </w:hyperlink>
        </w:p>
        <w:p w14:paraId="211BFB85" w14:textId="7BB47497" w:rsidR="00937A7F" w:rsidRDefault="00937A7F">
          <w:pPr>
            <w:pStyle w:val="TOC2"/>
            <w:tabs>
              <w:tab w:val="left" w:pos="1200"/>
            </w:tabs>
            <w:rPr>
              <w:rFonts w:eastAsiaTheme="minorEastAsia"/>
              <w:kern w:val="2"/>
              <w:sz w:val="24"/>
              <w:szCs w:val="24"/>
              <w:lang w:eastAsia="en-AU"/>
              <w14:ligatures w14:val="standardContextual"/>
            </w:rPr>
          </w:pPr>
          <w:hyperlink w:anchor="_Toc236928331" w:history="1">
            <w:r w:rsidRPr="00A8734E">
              <w:rPr>
                <w:rStyle w:val="Hyperlink"/>
              </w:rPr>
              <w:t>2.3</w:t>
            </w:r>
            <w:r>
              <w:rPr>
                <w:rFonts w:eastAsiaTheme="minorEastAsia"/>
                <w:kern w:val="2"/>
                <w:sz w:val="24"/>
                <w:szCs w:val="24"/>
                <w:lang w:eastAsia="en-AU"/>
                <w14:ligatures w14:val="standardContextual"/>
              </w:rPr>
              <w:tab/>
            </w:r>
            <w:r w:rsidRPr="00A8734E">
              <w:rPr>
                <w:rStyle w:val="Hyperlink"/>
              </w:rPr>
              <w:t>International competitiveness is fundamental</w:t>
            </w:r>
            <w:r>
              <w:rPr>
                <w:webHidden/>
              </w:rPr>
              <w:tab/>
            </w:r>
            <w:r>
              <w:rPr>
                <w:webHidden/>
              </w:rPr>
              <w:fldChar w:fldCharType="begin"/>
            </w:r>
            <w:r>
              <w:rPr>
                <w:webHidden/>
              </w:rPr>
              <w:instrText xml:space="preserve"> PAGEREF _Toc236928331 \h </w:instrText>
            </w:r>
            <w:r>
              <w:rPr>
                <w:webHidden/>
              </w:rPr>
            </w:r>
            <w:r>
              <w:rPr>
                <w:webHidden/>
              </w:rPr>
              <w:fldChar w:fldCharType="separate"/>
            </w:r>
            <w:r w:rsidR="00C71C2F">
              <w:rPr>
                <w:webHidden/>
              </w:rPr>
              <w:t>8</w:t>
            </w:r>
            <w:r>
              <w:rPr>
                <w:webHidden/>
              </w:rPr>
              <w:fldChar w:fldCharType="end"/>
            </w:r>
          </w:hyperlink>
        </w:p>
        <w:p w14:paraId="498CDDC1" w14:textId="34BE33CF" w:rsidR="00937A7F" w:rsidRDefault="00937A7F">
          <w:pPr>
            <w:pStyle w:val="TOC1"/>
            <w:rPr>
              <w:rFonts w:eastAsiaTheme="minorEastAsia"/>
              <w:b w:val="0"/>
              <w:kern w:val="2"/>
              <w:sz w:val="24"/>
              <w:szCs w:val="24"/>
              <w:lang w:eastAsia="en-AU"/>
              <w14:ligatures w14:val="standardContextual"/>
            </w:rPr>
          </w:pPr>
          <w:hyperlink w:anchor="_Toc236928332" w:history="1">
            <w:r w:rsidRPr="00A8734E">
              <w:rPr>
                <w:rStyle w:val="Hyperlink"/>
              </w:rPr>
              <w:t>3</w:t>
            </w:r>
            <w:r>
              <w:rPr>
                <w:rFonts w:eastAsiaTheme="minorEastAsia"/>
                <w:b w:val="0"/>
                <w:kern w:val="2"/>
                <w:sz w:val="24"/>
                <w:szCs w:val="24"/>
                <w:lang w:eastAsia="en-AU"/>
                <w14:ligatures w14:val="standardContextual"/>
              </w:rPr>
              <w:tab/>
            </w:r>
            <w:r w:rsidRPr="00A8734E">
              <w:rPr>
                <w:rStyle w:val="Hyperlink"/>
              </w:rPr>
              <w:t>A shared direction for industry development</w:t>
            </w:r>
            <w:r>
              <w:rPr>
                <w:webHidden/>
              </w:rPr>
              <w:tab/>
            </w:r>
            <w:r>
              <w:rPr>
                <w:webHidden/>
              </w:rPr>
              <w:fldChar w:fldCharType="begin"/>
            </w:r>
            <w:r>
              <w:rPr>
                <w:webHidden/>
              </w:rPr>
              <w:instrText xml:space="preserve"> PAGEREF _Toc236928332 \h </w:instrText>
            </w:r>
            <w:r>
              <w:rPr>
                <w:webHidden/>
              </w:rPr>
            </w:r>
            <w:r>
              <w:rPr>
                <w:webHidden/>
              </w:rPr>
              <w:fldChar w:fldCharType="separate"/>
            </w:r>
            <w:r w:rsidR="00C71C2F">
              <w:rPr>
                <w:webHidden/>
              </w:rPr>
              <w:t>10</w:t>
            </w:r>
            <w:r>
              <w:rPr>
                <w:webHidden/>
              </w:rPr>
              <w:fldChar w:fldCharType="end"/>
            </w:r>
          </w:hyperlink>
        </w:p>
        <w:p w14:paraId="3C24170C" w14:textId="055B2CD2" w:rsidR="00937A7F" w:rsidRDefault="00937A7F">
          <w:pPr>
            <w:pStyle w:val="TOC2"/>
            <w:tabs>
              <w:tab w:val="left" w:pos="1200"/>
            </w:tabs>
            <w:rPr>
              <w:rFonts w:eastAsiaTheme="minorEastAsia"/>
              <w:kern w:val="2"/>
              <w:sz w:val="24"/>
              <w:szCs w:val="24"/>
              <w:lang w:eastAsia="en-AU"/>
              <w14:ligatures w14:val="standardContextual"/>
            </w:rPr>
          </w:pPr>
          <w:hyperlink w:anchor="_Toc236928333" w:history="1">
            <w:r w:rsidRPr="00A8734E">
              <w:rPr>
                <w:rStyle w:val="Hyperlink"/>
              </w:rPr>
              <w:t>3.1</w:t>
            </w:r>
            <w:r>
              <w:rPr>
                <w:rFonts w:eastAsiaTheme="minorEastAsia"/>
                <w:kern w:val="2"/>
                <w:sz w:val="24"/>
                <w:szCs w:val="24"/>
                <w:lang w:eastAsia="en-AU"/>
                <w14:ligatures w14:val="standardContextual"/>
              </w:rPr>
              <w:tab/>
            </w:r>
            <w:r w:rsidRPr="00A8734E">
              <w:rPr>
                <w:rStyle w:val="Hyperlink"/>
              </w:rPr>
              <w:t>Priority areas for collective effort</w:t>
            </w:r>
            <w:r>
              <w:rPr>
                <w:webHidden/>
              </w:rPr>
              <w:tab/>
            </w:r>
            <w:r>
              <w:rPr>
                <w:webHidden/>
              </w:rPr>
              <w:fldChar w:fldCharType="begin"/>
            </w:r>
            <w:r>
              <w:rPr>
                <w:webHidden/>
              </w:rPr>
              <w:instrText xml:space="preserve"> PAGEREF _Toc236928333 \h </w:instrText>
            </w:r>
            <w:r>
              <w:rPr>
                <w:webHidden/>
              </w:rPr>
            </w:r>
            <w:r>
              <w:rPr>
                <w:webHidden/>
              </w:rPr>
              <w:fldChar w:fldCharType="separate"/>
            </w:r>
            <w:r w:rsidR="00C71C2F">
              <w:rPr>
                <w:webHidden/>
              </w:rPr>
              <w:t>10</w:t>
            </w:r>
            <w:r>
              <w:rPr>
                <w:webHidden/>
              </w:rPr>
              <w:fldChar w:fldCharType="end"/>
            </w:r>
          </w:hyperlink>
        </w:p>
        <w:p w14:paraId="4F94EA58" w14:textId="4734E347" w:rsidR="00937A7F" w:rsidRDefault="00937A7F">
          <w:pPr>
            <w:pStyle w:val="TOC2"/>
            <w:tabs>
              <w:tab w:val="left" w:pos="1200"/>
            </w:tabs>
            <w:rPr>
              <w:rFonts w:eastAsiaTheme="minorEastAsia"/>
              <w:kern w:val="2"/>
              <w:sz w:val="24"/>
              <w:szCs w:val="24"/>
              <w:lang w:eastAsia="en-AU"/>
              <w14:ligatures w14:val="standardContextual"/>
            </w:rPr>
          </w:pPr>
          <w:hyperlink w:anchor="_Toc236928334" w:history="1">
            <w:r w:rsidRPr="00A8734E">
              <w:rPr>
                <w:rStyle w:val="Hyperlink"/>
              </w:rPr>
              <w:t>3.2</w:t>
            </w:r>
            <w:r>
              <w:rPr>
                <w:rFonts w:eastAsiaTheme="minorEastAsia"/>
                <w:kern w:val="2"/>
                <w:sz w:val="24"/>
                <w:szCs w:val="24"/>
                <w:lang w:eastAsia="en-AU"/>
                <w14:ligatures w14:val="standardContextual"/>
              </w:rPr>
              <w:tab/>
            </w:r>
            <w:r w:rsidRPr="00A8734E">
              <w:rPr>
                <w:rStyle w:val="Hyperlink"/>
              </w:rPr>
              <w:t>Embedding producer participation in industry development</w:t>
            </w:r>
            <w:r>
              <w:rPr>
                <w:webHidden/>
              </w:rPr>
              <w:tab/>
            </w:r>
            <w:r>
              <w:rPr>
                <w:webHidden/>
              </w:rPr>
              <w:fldChar w:fldCharType="begin"/>
            </w:r>
            <w:r>
              <w:rPr>
                <w:webHidden/>
              </w:rPr>
              <w:instrText xml:space="preserve"> PAGEREF _Toc236928334 \h </w:instrText>
            </w:r>
            <w:r>
              <w:rPr>
                <w:webHidden/>
              </w:rPr>
            </w:r>
            <w:r>
              <w:rPr>
                <w:webHidden/>
              </w:rPr>
              <w:fldChar w:fldCharType="separate"/>
            </w:r>
            <w:r w:rsidR="00C71C2F">
              <w:rPr>
                <w:webHidden/>
              </w:rPr>
              <w:t>11</w:t>
            </w:r>
            <w:r>
              <w:rPr>
                <w:webHidden/>
              </w:rPr>
              <w:fldChar w:fldCharType="end"/>
            </w:r>
          </w:hyperlink>
        </w:p>
        <w:p w14:paraId="1EEF1AA5" w14:textId="13735A08" w:rsidR="00937A7F" w:rsidRDefault="00937A7F">
          <w:pPr>
            <w:pStyle w:val="TOC1"/>
            <w:rPr>
              <w:rFonts w:eastAsiaTheme="minorEastAsia"/>
              <w:b w:val="0"/>
              <w:kern w:val="2"/>
              <w:sz w:val="24"/>
              <w:szCs w:val="24"/>
              <w:lang w:eastAsia="en-AU"/>
              <w14:ligatures w14:val="standardContextual"/>
            </w:rPr>
          </w:pPr>
          <w:hyperlink w:anchor="_Toc236928335" w:history="1">
            <w:r w:rsidRPr="00A8734E">
              <w:rPr>
                <w:rStyle w:val="Hyperlink"/>
              </w:rPr>
              <w:t>4</w:t>
            </w:r>
            <w:r>
              <w:rPr>
                <w:rFonts w:eastAsiaTheme="minorEastAsia"/>
                <w:b w:val="0"/>
                <w:kern w:val="2"/>
                <w:sz w:val="24"/>
                <w:szCs w:val="24"/>
                <w:lang w:eastAsia="en-AU"/>
                <w14:ligatures w14:val="standardContextual"/>
              </w:rPr>
              <w:tab/>
            </w:r>
            <w:r w:rsidRPr="00A8734E">
              <w:rPr>
                <w:rStyle w:val="Hyperlink"/>
              </w:rPr>
              <w:t>Priority area: data to underpin investment</w:t>
            </w:r>
            <w:r>
              <w:rPr>
                <w:webHidden/>
              </w:rPr>
              <w:tab/>
            </w:r>
            <w:r>
              <w:rPr>
                <w:webHidden/>
              </w:rPr>
              <w:fldChar w:fldCharType="begin"/>
            </w:r>
            <w:r>
              <w:rPr>
                <w:webHidden/>
              </w:rPr>
              <w:instrText xml:space="preserve"> PAGEREF _Toc236928335 \h </w:instrText>
            </w:r>
            <w:r>
              <w:rPr>
                <w:webHidden/>
              </w:rPr>
            </w:r>
            <w:r>
              <w:rPr>
                <w:webHidden/>
              </w:rPr>
              <w:fldChar w:fldCharType="separate"/>
            </w:r>
            <w:r w:rsidR="00C71C2F">
              <w:rPr>
                <w:webHidden/>
              </w:rPr>
              <w:t>12</w:t>
            </w:r>
            <w:r>
              <w:rPr>
                <w:webHidden/>
              </w:rPr>
              <w:fldChar w:fldCharType="end"/>
            </w:r>
          </w:hyperlink>
        </w:p>
        <w:p w14:paraId="55DDFC43" w14:textId="22F4D414" w:rsidR="00937A7F" w:rsidRDefault="00937A7F">
          <w:pPr>
            <w:pStyle w:val="TOC2"/>
            <w:tabs>
              <w:tab w:val="left" w:pos="1200"/>
            </w:tabs>
            <w:rPr>
              <w:rFonts w:eastAsiaTheme="minorEastAsia"/>
              <w:kern w:val="2"/>
              <w:sz w:val="24"/>
              <w:szCs w:val="24"/>
              <w:lang w:eastAsia="en-AU"/>
              <w14:ligatures w14:val="standardContextual"/>
            </w:rPr>
          </w:pPr>
          <w:hyperlink w:anchor="_Toc236928336" w:history="1">
            <w:r w:rsidRPr="00A8734E">
              <w:rPr>
                <w:rStyle w:val="Hyperlink"/>
              </w:rPr>
              <w:t>4.1</w:t>
            </w:r>
            <w:r>
              <w:rPr>
                <w:rFonts w:eastAsiaTheme="minorEastAsia"/>
                <w:kern w:val="2"/>
                <w:sz w:val="24"/>
                <w:szCs w:val="24"/>
                <w:lang w:eastAsia="en-AU"/>
                <w14:ligatures w14:val="standardContextual"/>
              </w:rPr>
              <w:tab/>
            </w:r>
            <w:r w:rsidRPr="00A8734E">
              <w:rPr>
                <w:rStyle w:val="Hyperlink"/>
              </w:rPr>
              <w:t>Data quality and access is variable</w:t>
            </w:r>
            <w:r>
              <w:rPr>
                <w:webHidden/>
              </w:rPr>
              <w:tab/>
            </w:r>
            <w:r>
              <w:rPr>
                <w:webHidden/>
              </w:rPr>
              <w:fldChar w:fldCharType="begin"/>
            </w:r>
            <w:r>
              <w:rPr>
                <w:webHidden/>
              </w:rPr>
              <w:instrText xml:space="preserve"> PAGEREF _Toc236928336 \h </w:instrText>
            </w:r>
            <w:r>
              <w:rPr>
                <w:webHidden/>
              </w:rPr>
            </w:r>
            <w:r>
              <w:rPr>
                <w:webHidden/>
              </w:rPr>
              <w:fldChar w:fldCharType="separate"/>
            </w:r>
            <w:r w:rsidR="00C71C2F">
              <w:rPr>
                <w:webHidden/>
              </w:rPr>
              <w:t>12</w:t>
            </w:r>
            <w:r>
              <w:rPr>
                <w:webHidden/>
              </w:rPr>
              <w:fldChar w:fldCharType="end"/>
            </w:r>
          </w:hyperlink>
        </w:p>
        <w:p w14:paraId="40238BC1" w14:textId="6163D40E" w:rsidR="00937A7F" w:rsidRDefault="00937A7F">
          <w:pPr>
            <w:pStyle w:val="TOC2"/>
            <w:tabs>
              <w:tab w:val="left" w:pos="1200"/>
            </w:tabs>
            <w:rPr>
              <w:rFonts w:eastAsiaTheme="minorEastAsia"/>
              <w:kern w:val="2"/>
              <w:sz w:val="24"/>
              <w:szCs w:val="24"/>
              <w:lang w:eastAsia="en-AU"/>
              <w14:ligatures w14:val="standardContextual"/>
            </w:rPr>
          </w:pPr>
          <w:hyperlink w:anchor="_Toc236928337" w:history="1">
            <w:r w:rsidRPr="00A8734E">
              <w:rPr>
                <w:rStyle w:val="Hyperlink"/>
              </w:rPr>
              <w:t>4.2</w:t>
            </w:r>
            <w:r>
              <w:rPr>
                <w:rFonts w:eastAsiaTheme="minorEastAsia"/>
                <w:kern w:val="2"/>
                <w:sz w:val="24"/>
                <w:szCs w:val="24"/>
                <w:lang w:eastAsia="en-AU"/>
                <w14:ligatures w14:val="standardContextual"/>
              </w:rPr>
              <w:tab/>
            </w:r>
            <w:r w:rsidRPr="00A8734E">
              <w:rPr>
                <w:rStyle w:val="Hyperlink"/>
              </w:rPr>
              <w:t>Work towards nationally consistent, market-ready information</w:t>
            </w:r>
            <w:r>
              <w:rPr>
                <w:webHidden/>
              </w:rPr>
              <w:tab/>
            </w:r>
            <w:r>
              <w:rPr>
                <w:webHidden/>
              </w:rPr>
              <w:fldChar w:fldCharType="begin"/>
            </w:r>
            <w:r>
              <w:rPr>
                <w:webHidden/>
              </w:rPr>
              <w:instrText xml:space="preserve"> PAGEREF _Toc236928337 \h </w:instrText>
            </w:r>
            <w:r>
              <w:rPr>
                <w:webHidden/>
              </w:rPr>
            </w:r>
            <w:r>
              <w:rPr>
                <w:webHidden/>
              </w:rPr>
              <w:fldChar w:fldCharType="separate"/>
            </w:r>
            <w:r w:rsidR="00C71C2F">
              <w:rPr>
                <w:webHidden/>
              </w:rPr>
              <w:t>14</w:t>
            </w:r>
            <w:r>
              <w:rPr>
                <w:webHidden/>
              </w:rPr>
              <w:fldChar w:fldCharType="end"/>
            </w:r>
          </w:hyperlink>
        </w:p>
        <w:p w14:paraId="2EB536CB" w14:textId="24C42E3C" w:rsidR="00937A7F" w:rsidRDefault="00937A7F">
          <w:pPr>
            <w:pStyle w:val="TOC1"/>
            <w:rPr>
              <w:rFonts w:eastAsiaTheme="minorEastAsia"/>
              <w:b w:val="0"/>
              <w:kern w:val="2"/>
              <w:sz w:val="24"/>
              <w:szCs w:val="24"/>
              <w:lang w:eastAsia="en-AU"/>
              <w14:ligatures w14:val="standardContextual"/>
            </w:rPr>
          </w:pPr>
          <w:hyperlink w:anchor="_Toc236928338" w:history="1">
            <w:r w:rsidRPr="00A8734E">
              <w:rPr>
                <w:rStyle w:val="Hyperlink"/>
              </w:rPr>
              <w:t>5</w:t>
            </w:r>
            <w:r>
              <w:rPr>
                <w:rFonts w:eastAsiaTheme="minorEastAsia"/>
                <w:b w:val="0"/>
                <w:kern w:val="2"/>
                <w:sz w:val="24"/>
                <w:szCs w:val="24"/>
                <w:lang w:eastAsia="en-AU"/>
                <w14:ligatures w14:val="standardContextual"/>
              </w:rPr>
              <w:tab/>
            </w:r>
            <w:r w:rsidRPr="00A8734E">
              <w:rPr>
                <w:rStyle w:val="Hyperlink"/>
              </w:rPr>
              <w:t>Priority area: innovation to advance feedstock readiness</w:t>
            </w:r>
            <w:r>
              <w:rPr>
                <w:webHidden/>
              </w:rPr>
              <w:tab/>
            </w:r>
            <w:r>
              <w:rPr>
                <w:webHidden/>
              </w:rPr>
              <w:fldChar w:fldCharType="begin"/>
            </w:r>
            <w:r>
              <w:rPr>
                <w:webHidden/>
              </w:rPr>
              <w:instrText xml:space="preserve"> PAGEREF _Toc236928338 \h </w:instrText>
            </w:r>
            <w:r>
              <w:rPr>
                <w:webHidden/>
              </w:rPr>
            </w:r>
            <w:r>
              <w:rPr>
                <w:webHidden/>
              </w:rPr>
              <w:fldChar w:fldCharType="separate"/>
            </w:r>
            <w:r w:rsidR="00C71C2F">
              <w:rPr>
                <w:webHidden/>
              </w:rPr>
              <w:t>16</w:t>
            </w:r>
            <w:r>
              <w:rPr>
                <w:webHidden/>
              </w:rPr>
              <w:fldChar w:fldCharType="end"/>
            </w:r>
          </w:hyperlink>
        </w:p>
        <w:p w14:paraId="7903CEC0" w14:textId="7E60E8B8" w:rsidR="00937A7F" w:rsidRDefault="00937A7F">
          <w:pPr>
            <w:pStyle w:val="TOC2"/>
            <w:tabs>
              <w:tab w:val="left" w:pos="1200"/>
            </w:tabs>
            <w:rPr>
              <w:rFonts w:eastAsiaTheme="minorEastAsia"/>
              <w:kern w:val="2"/>
              <w:sz w:val="24"/>
              <w:szCs w:val="24"/>
              <w:lang w:eastAsia="en-AU"/>
              <w14:ligatures w14:val="standardContextual"/>
            </w:rPr>
          </w:pPr>
          <w:hyperlink w:anchor="_Toc236928339" w:history="1">
            <w:r w:rsidRPr="00A8734E">
              <w:rPr>
                <w:rStyle w:val="Hyperlink"/>
              </w:rPr>
              <w:t>5.1</w:t>
            </w:r>
            <w:r>
              <w:rPr>
                <w:rFonts w:eastAsiaTheme="minorEastAsia"/>
                <w:kern w:val="2"/>
                <w:sz w:val="24"/>
                <w:szCs w:val="24"/>
                <w:lang w:eastAsia="en-AU"/>
                <w14:ligatures w14:val="standardContextual"/>
              </w:rPr>
              <w:tab/>
            </w:r>
            <w:r w:rsidRPr="00A8734E">
              <w:rPr>
                <w:rStyle w:val="Hyperlink"/>
              </w:rPr>
              <w:t>Innovation at the feedstock end of the supply chain is a priority</w:t>
            </w:r>
            <w:r>
              <w:rPr>
                <w:webHidden/>
              </w:rPr>
              <w:tab/>
            </w:r>
            <w:r>
              <w:rPr>
                <w:webHidden/>
              </w:rPr>
              <w:fldChar w:fldCharType="begin"/>
            </w:r>
            <w:r>
              <w:rPr>
                <w:webHidden/>
              </w:rPr>
              <w:instrText xml:space="preserve"> PAGEREF _Toc236928339 \h </w:instrText>
            </w:r>
            <w:r>
              <w:rPr>
                <w:webHidden/>
              </w:rPr>
            </w:r>
            <w:r>
              <w:rPr>
                <w:webHidden/>
              </w:rPr>
              <w:fldChar w:fldCharType="separate"/>
            </w:r>
            <w:r w:rsidR="00C71C2F">
              <w:rPr>
                <w:webHidden/>
              </w:rPr>
              <w:t>16</w:t>
            </w:r>
            <w:r>
              <w:rPr>
                <w:webHidden/>
              </w:rPr>
              <w:fldChar w:fldCharType="end"/>
            </w:r>
          </w:hyperlink>
        </w:p>
        <w:p w14:paraId="221FA71E" w14:textId="30EC05B1" w:rsidR="00937A7F" w:rsidRDefault="00937A7F">
          <w:pPr>
            <w:pStyle w:val="TOC2"/>
            <w:tabs>
              <w:tab w:val="left" w:pos="1200"/>
            </w:tabs>
            <w:rPr>
              <w:rFonts w:eastAsiaTheme="minorEastAsia"/>
              <w:kern w:val="2"/>
              <w:sz w:val="24"/>
              <w:szCs w:val="24"/>
              <w:lang w:eastAsia="en-AU"/>
              <w14:ligatures w14:val="standardContextual"/>
            </w:rPr>
          </w:pPr>
          <w:hyperlink w:anchor="_Toc236928340" w:history="1">
            <w:r w:rsidRPr="00A8734E">
              <w:rPr>
                <w:rStyle w:val="Hyperlink"/>
              </w:rPr>
              <w:t>5.2</w:t>
            </w:r>
            <w:r>
              <w:rPr>
                <w:rFonts w:eastAsiaTheme="minorEastAsia"/>
                <w:kern w:val="2"/>
                <w:sz w:val="24"/>
                <w:szCs w:val="24"/>
                <w:lang w:eastAsia="en-AU"/>
                <w14:ligatures w14:val="standardContextual"/>
              </w:rPr>
              <w:tab/>
            </w:r>
            <w:r w:rsidRPr="00A8734E">
              <w:rPr>
                <w:rStyle w:val="Hyperlink"/>
              </w:rPr>
              <w:t>Increasing scale of investment</w:t>
            </w:r>
            <w:r>
              <w:rPr>
                <w:webHidden/>
              </w:rPr>
              <w:tab/>
            </w:r>
            <w:r>
              <w:rPr>
                <w:webHidden/>
              </w:rPr>
              <w:fldChar w:fldCharType="begin"/>
            </w:r>
            <w:r>
              <w:rPr>
                <w:webHidden/>
              </w:rPr>
              <w:instrText xml:space="preserve"> PAGEREF _Toc236928340 \h </w:instrText>
            </w:r>
            <w:r>
              <w:rPr>
                <w:webHidden/>
              </w:rPr>
            </w:r>
            <w:r>
              <w:rPr>
                <w:webHidden/>
              </w:rPr>
              <w:fldChar w:fldCharType="separate"/>
            </w:r>
            <w:r w:rsidR="00C71C2F">
              <w:rPr>
                <w:webHidden/>
              </w:rPr>
              <w:t>17</w:t>
            </w:r>
            <w:r>
              <w:rPr>
                <w:webHidden/>
              </w:rPr>
              <w:fldChar w:fldCharType="end"/>
            </w:r>
          </w:hyperlink>
        </w:p>
        <w:p w14:paraId="335AFE0B" w14:textId="3708AB3D" w:rsidR="00937A7F" w:rsidRDefault="00937A7F">
          <w:pPr>
            <w:pStyle w:val="TOC2"/>
            <w:tabs>
              <w:tab w:val="left" w:pos="1200"/>
            </w:tabs>
            <w:rPr>
              <w:rFonts w:eastAsiaTheme="minorEastAsia"/>
              <w:kern w:val="2"/>
              <w:sz w:val="24"/>
              <w:szCs w:val="24"/>
              <w:lang w:eastAsia="en-AU"/>
              <w14:ligatures w14:val="standardContextual"/>
            </w:rPr>
          </w:pPr>
          <w:hyperlink w:anchor="_Toc236928341" w:history="1">
            <w:r w:rsidRPr="00A8734E">
              <w:rPr>
                <w:rStyle w:val="Hyperlink"/>
              </w:rPr>
              <w:t>5.3</w:t>
            </w:r>
            <w:r>
              <w:rPr>
                <w:rFonts w:eastAsiaTheme="minorEastAsia"/>
                <w:kern w:val="2"/>
                <w:sz w:val="24"/>
                <w:szCs w:val="24"/>
                <w:lang w:eastAsia="en-AU"/>
                <w14:ligatures w14:val="standardContextual"/>
              </w:rPr>
              <w:tab/>
            </w:r>
            <w:r w:rsidRPr="00A8734E">
              <w:rPr>
                <w:rStyle w:val="Hyperlink"/>
              </w:rPr>
              <w:t>Stronger coordination and collaboration</w:t>
            </w:r>
            <w:r>
              <w:rPr>
                <w:webHidden/>
              </w:rPr>
              <w:tab/>
            </w:r>
            <w:r>
              <w:rPr>
                <w:webHidden/>
              </w:rPr>
              <w:fldChar w:fldCharType="begin"/>
            </w:r>
            <w:r>
              <w:rPr>
                <w:webHidden/>
              </w:rPr>
              <w:instrText xml:space="preserve"> PAGEREF _Toc236928341 \h </w:instrText>
            </w:r>
            <w:r>
              <w:rPr>
                <w:webHidden/>
              </w:rPr>
            </w:r>
            <w:r>
              <w:rPr>
                <w:webHidden/>
              </w:rPr>
              <w:fldChar w:fldCharType="separate"/>
            </w:r>
            <w:r w:rsidR="00C71C2F">
              <w:rPr>
                <w:webHidden/>
              </w:rPr>
              <w:t>18</w:t>
            </w:r>
            <w:r>
              <w:rPr>
                <w:webHidden/>
              </w:rPr>
              <w:fldChar w:fldCharType="end"/>
            </w:r>
          </w:hyperlink>
        </w:p>
        <w:p w14:paraId="44D0C529" w14:textId="147D6A98" w:rsidR="00937A7F" w:rsidRDefault="00937A7F">
          <w:pPr>
            <w:pStyle w:val="TOC1"/>
            <w:rPr>
              <w:rFonts w:eastAsiaTheme="minorEastAsia"/>
              <w:b w:val="0"/>
              <w:kern w:val="2"/>
              <w:sz w:val="24"/>
              <w:szCs w:val="24"/>
              <w:lang w:eastAsia="en-AU"/>
              <w14:ligatures w14:val="standardContextual"/>
            </w:rPr>
          </w:pPr>
          <w:hyperlink w:anchor="_Toc236928342" w:history="1">
            <w:r w:rsidRPr="00A8734E">
              <w:rPr>
                <w:rStyle w:val="Hyperlink"/>
              </w:rPr>
              <w:t>6</w:t>
            </w:r>
            <w:r>
              <w:rPr>
                <w:rFonts w:eastAsiaTheme="minorEastAsia"/>
                <w:b w:val="0"/>
                <w:kern w:val="2"/>
                <w:sz w:val="24"/>
                <w:szCs w:val="24"/>
                <w:lang w:eastAsia="en-AU"/>
                <w14:ligatures w14:val="standardContextual"/>
              </w:rPr>
              <w:tab/>
            </w:r>
            <w:r w:rsidRPr="00A8734E">
              <w:rPr>
                <w:rStyle w:val="Hyperlink"/>
              </w:rPr>
              <w:t>Priority area: regional supply chain development</w:t>
            </w:r>
            <w:r>
              <w:rPr>
                <w:webHidden/>
              </w:rPr>
              <w:tab/>
            </w:r>
            <w:r>
              <w:rPr>
                <w:webHidden/>
              </w:rPr>
              <w:fldChar w:fldCharType="begin"/>
            </w:r>
            <w:r>
              <w:rPr>
                <w:webHidden/>
              </w:rPr>
              <w:instrText xml:space="preserve"> PAGEREF _Toc236928342 \h </w:instrText>
            </w:r>
            <w:r>
              <w:rPr>
                <w:webHidden/>
              </w:rPr>
            </w:r>
            <w:r>
              <w:rPr>
                <w:webHidden/>
              </w:rPr>
              <w:fldChar w:fldCharType="separate"/>
            </w:r>
            <w:r w:rsidR="00C71C2F">
              <w:rPr>
                <w:webHidden/>
              </w:rPr>
              <w:t>20</w:t>
            </w:r>
            <w:r>
              <w:rPr>
                <w:webHidden/>
              </w:rPr>
              <w:fldChar w:fldCharType="end"/>
            </w:r>
          </w:hyperlink>
        </w:p>
        <w:p w14:paraId="18289595" w14:textId="77152A19" w:rsidR="00937A7F" w:rsidRDefault="00937A7F">
          <w:pPr>
            <w:pStyle w:val="TOC2"/>
            <w:tabs>
              <w:tab w:val="left" w:pos="1200"/>
            </w:tabs>
            <w:rPr>
              <w:rFonts w:eastAsiaTheme="minorEastAsia"/>
              <w:kern w:val="2"/>
              <w:sz w:val="24"/>
              <w:szCs w:val="24"/>
              <w:lang w:eastAsia="en-AU"/>
              <w14:ligatures w14:val="standardContextual"/>
            </w:rPr>
          </w:pPr>
          <w:hyperlink w:anchor="_Toc236928343" w:history="1">
            <w:r w:rsidRPr="00A8734E">
              <w:rPr>
                <w:rStyle w:val="Hyperlink"/>
              </w:rPr>
              <w:t>6.1</w:t>
            </w:r>
            <w:r>
              <w:rPr>
                <w:rFonts w:eastAsiaTheme="minorEastAsia"/>
                <w:kern w:val="2"/>
                <w:sz w:val="24"/>
                <w:szCs w:val="24"/>
                <w:lang w:eastAsia="en-AU"/>
                <w14:ligatures w14:val="standardContextual"/>
              </w:rPr>
              <w:tab/>
            </w:r>
            <w:r w:rsidRPr="00A8734E">
              <w:rPr>
                <w:rStyle w:val="Hyperlink"/>
              </w:rPr>
              <w:t>Strengthening regional approaches</w:t>
            </w:r>
            <w:r>
              <w:rPr>
                <w:webHidden/>
              </w:rPr>
              <w:tab/>
            </w:r>
            <w:r>
              <w:rPr>
                <w:webHidden/>
              </w:rPr>
              <w:fldChar w:fldCharType="begin"/>
            </w:r>
            <w:r>
              <w:rPr>
                <w:webHidden/>
              </w:rPr>
              <w:instrText xml:space="preserve"> PAGEREF _Toc236928343 \h </w:instrText>
            </w:r>
            <w:r>
              <w:rPr>
                <w:webHidden/>
              </w:rPr>
            </w:r>
            <w:r>
              <w:rPr>
                <w:webHidden/>
              </w:rPr>
              <w:fldChar w:fldCharType="separate"/>
            </w:r>
            <w:r w:rsidR="00C71C2F">
              <w:rPr>
                <w:webHidden/>
              </w:rPr>
              <w:t>20</w:t>
            </w:r>
            <w:r>
              <w:rPr>
                <w:webHidden/>
              </w:rPr>
              <w:fldChar w:fldCharType="end"/>
            </w:r>
          </w:hyperlink>
        </w:p>
        <w:p w14:paraId="67FF26E1" w14:textId="6D9EFFC5" w:rsidR="00937A7F" w:rsidRDefault="00937A7F">
          <w:pPr>
            <w:pStyle w:val="TOC2"/>
            <w:tabs>
              <w:tab w:val="left" w:pos="1200"/>
            </w:tabs>
            <w:rPr>
              <w:rFonts w:eastAsiaTheme="minorEastAsia"/>
              <w:kern w:val="2"/>
              <w:sz w:val="24"/>
              <w:szCs w:val="24"/>
              <w:lang w:eastAsia="en-AU"/>
              <w14:ligatures w14:val="standardContextual"/>
            </w:rPr>
          </w:pPr>
          <w:hyperlink w:anchor="_Toc236928344" w:history="1">
            <w:r w:rsidRPr="00A8734E">
              <w:rPr>
                <w:rStyle w:val="Hyperlink"/>
              </w:rPr>
              <w:t>6.2</w:t>
            </w:r>
            <w:r>
              <w:rPr>
                <w:rFonts w:eastAsiaTheme="minorEastAsia"/>
                <w:kern w:val="2"/>
                <w:sz w:val="24"/>
                <w:szCs w:val="24"/>
                <w:lang w:eastAsia="en-AU"/>
                <w14:ligatures w14:val="standardContextual"/>
              </w:rPr>
              <w:tab/>
            </w:r>
            <w:r w:rsidRPr="00A8734E">
              <w:rPr>
                <w:rStyle w:val="Hyperlink"/>
              </w:rPr>
              <w:t>Investing in infrastructure</w:t>
            </w:r>
            <w:r>
              <w:rPr>
                <w:webHidden/>
              </w:rPr>
              <w:tab/>
            </w:r>
            <w:r>
              <w:rPr>
                <w:webHidden/>
              </w:rPr>
              <w:fldChar w:fldCharType="begin"/>
            </w:r>
            <w:r>
              <w:rPr>
                <w:webHidden/>
              </w:rPr>
              <w:instrText xml:space="preserve"> PAGEREF _Toc236928344 \h </w:instrText>
            </w:r>
            <w:r>
              <w:rPr>
                <w:webHidden/>
              </w:rPr>
            </w:r>
            <w:r>
              <w:rPr>
                <w:webHidden/>
              </w:rPr>
              <w:fldChar w:fldCharType="separate"/>
            </w:r>
            <w:r w:rsidR="00C71C2F">
              <w:rPr>
                <w:webHidden/>
              </w:rPr>
              <w:t>22</w:t>
            </w:r>
            <w:r>
              <w:rPr>
                <w:webHidden/>
              </w:rPr>
              <w:fldChar w:fldCharType="end"/>
            </w:r>
          </w:hyperlink>
        </w:p>
        <w:p w14:paraId="428376F5" w14:textId="5076D94D" w:rsidR="00937A7F" w:rsidRDefault="00937A7F">
          <w:pPr>
            <w:pStyle w:val="TOC1"/>
            <w:rPr>
              <w:rFonts w:eastAsiaTheme="minorEastAsia"/>
              <w:b w:val="0"/>
              <w:kern w:val="2"/>
              <w:sz w:val="24"/>
              <w:szCs w:val="24"/>
              <w:lang w:eastAsia="en-AU"/>
              <w14:ligatures w14:val="standardContextual"/>
            </w:rPr>
          </w:pPr>
          <w:hyperlink w:anchor="_Toc236928345" w:history="1">
            <w:r w:rsidRPr="00A8734E">
              <w:rPr>
                <w:rStyle w:val="Hyperlink"/>
              </w:rPr>
              <w:t>7</w:t>
            </w:r>
            <w:r>
              <w:rPr>
                <w:rFonts w:eastAsiaTheme="minorEastAsia"/>
                <w:b w:val="0"/>
                <w:kern w:val="2"/>
                <w:sz w:val="24"/>
                <w:szCs w:val="24"/>
                <w:lang w:eastAsia="en-AU"/>
                <w14:ligatures w14:val="standardContextual"/>
              </w:rPr>
              <w:tab/>
            </w:r>
            <w:r w:rsidRPr="00A8734E">
              <w:rPr>
                <w:rStyle w:val="Hyperlink"/>
              </w:rPr>
              <w:t>Priority area: sustainability and certification</w:t>
            </w:r>
            <w:r>
              <w:rPr>
                <w:webHidden/>
              </w:rPr>
              <w:tab/>
            </w:r>
            <w:r>
              <w:rPr>
                <w:webHidden/>
              </w:rPr>
              <w:fldChar w:fldCharType="begin"/>
            </w:r>
            <w:r>
              <w:rPr>
                <w:webHidden/>
              </w:rPr>
              <w:instrText xml:space="preserve"> PAGEREF _Toc236928345 \h </w:instrText>
            </w:r>
            <w:r>
              <w:rPr>
                <w:webHidden/>
              </w:rPr>
            </w:r>
            <w:r>
              <w:rPr>
                <w:webHidden/>
              </w:rPr>
              <w:fldChar w:fldCharType="separate"/>
            </w:r>
            <w:r w:rsidR="00C71C2F">
              <w:rPr>
                <w:webHidden/>
              </w:rPr>
              <w:t>24</w:t>
            </w:r>
            <w:r>
              <w:rPr>
                <w:webHidden/>
              </w:rPr>
              <w:fldChar w:fldCharType="end"/>
            </w:r>
          </w:hyperlink>
        </w:p>
        <w:p w14:paraId="48775A16" w14:textId="09C636BF" w:rsidR="00937A7F" w:rsidRDefault="00937A7F">
          <w:pPr>
            <w:pStyle w:val="TOC2"/>
            <w:tabs>
              <w:tab w:val="left" w:pos="1200"/>
            </w:tabs>
            <w:rPr>
              <w:rFonts w:eastAsiaTheme="minorEastAsia"/>
              <w:kern w:val="2"/>
              <w:sz w:val="24"/>
              <w:szCs w:val="24"/>
              <w:lang w:eastAsia="en-AU"/>
              <w14:ligatures w14:val="standardContextual"/>
            </w:rPr>
          </w:pPr>
          <w:hyperlink w:anchor="_Toc236928346" w:history="1">
            <w:r w:rsidRPr="00A8734E">
              <w:rPr>
                <w:rStyle w:val="Hyperlink"/>
              </w:rPr>
              <w:t>7.1</w:t>
            </w:r>
            <w:r>
              <w:rPr>
                <w:rFonts w:eastAsiaTheme="minorEastAsia"/>
                <w:kern w:val="2"/>
                <w:sz w:val="24"/>
                <w:szCs w:val="24"/>
                <w:lang w:eastAsia="en-AU"/>
                <w14:ligatures w14:val="standardContextual"/>
              </w:rPr>
              <w:tab/>
            </w:r>
            <w:r w:rsidRPr="00A8734E">
              <w:rPr>
                <w:rStyle w:val="Hyperlink"/>
              </w:rPr>
              <w:t>Certification is core to value creation and market access</w:t>
            </w:r>
            <w:r>
              <w:rPr>
                <w:webHidden/>
              </w:rPr>
              <w:tab/>
            </w:r>
            <w:r>
              <w:rPr>
                <w:webHidden/>
              </w:rPr>
              <w:fldChar w:fldCharType="begin"/>
            </w:r>
            <w:r>
              <w:rPr>
                <w:webHidden/>
              </w:rPr>
              <w:instrText xml:space="preserve"> PAGEREF _Toc236928346 \h </w:instrText>
            </w:r>
            <w:r>
              <w:rPr>
                <w:webHidden/>
              </w:rPr>
            </w:r>
            <w:r>
              <w:rPr>
                <w:webHidden/>
              </w:rPr>
              <w:fldChar w:fldCharType="separate"/>
            </w:r>
            <w:r w:rsidR="00C71C2F">
              <w:rPr>
                <w:webHidden/>
              </w:rPr>
              <w:t>24</w:t>
            </w:r>
            <w:r>
              <w:rPr>
                <w:webHidden/>
              </w:rPr>
              <w:fldChar w:fldCharType="end"/>
            </w:r>
          </w:hyperlink>
        </w:p>
        <w:p w14:paraId="25C7E9F7" w14:textId="6A91F29B" w:rsidR="00937A7F" w:rsidRDefault="00937A7F">
          <w:pPr>
            <w:pStyle w:val="TOC2"/>
            <w:tabs>
              <w:tab w:val="left" w:pos="1200"/>
            </w:tabs>
            <w:rPr>
              <w:rFonts w:eastAsiaTheme="minorEastAsia"/>
              <w:kern w:val="2"/>
              <w:sz w:val="24"/>
              <w:szCs w:val="24"/>
              <w:lang w:eastAsia="en-AU"/>
              <w14:ligatures w14:val="standardContextual"/>
            </w:rPr>
          </w:pPr>
          <w:hyperlink w:anchor="_Toc236928347" w:history="1">
            <w:r w:rsidRPr="00A8734E">
              <w:rPr>
                <w:rStyle w:val="Hyperlink"/>
              </w:rPr>
              <w:t>7.2</w:t>
            </w:r>
            <w:r>
              <w:rPr>
                <w:rFonts w:eastAsiaTheme="minorEastAsia"/>
                <w:kern w:val="2"/>
                <w:sz w:val="24"/>
                <w:szCs w:val="24"/>
                <w:lang w:eastAsia="en-AU"/>
                <w14:ligatures w14:val="standardContextual"/>
              </w:rPr>
              <w:tab/>
            </w:r>
            <w:r w:rsidRPr="00A8734E">
              <w:rPr>
                <w:rStyle w:val="Hyperlink"/>
              </w:rPr>
              <w:t>Emissions intensity underpins competitiveness</w:t>
            </w:r>
            <w:r>
              <w:rPr>
                <w:webHidden/>
              </w:rPr>
              <w:tab/>
            </w:r>
            <w:r>
              <w:rPr>
                <w:webHidden/>
              </w:rPr>
              <w:fldChar w:fldCharType="begin"/>
            </w:r>
            <w:r>
              <w:rPr>
                <w:webHidden/>
              </w:rPr>
              <w:instrText xml:space="preserve"> PAGEREF _Toc236928347 \h </w:instrText>
            </w:r>
            <w:r>
              <w:rPr>
                <w:webHidden/>
              </w:rPr>
            </w:r>
            <w:r>
              <w:rPr>
                <w:webHidden/>
              </w:rPr>
              <w:fldChar w:fldCharType="separate"/>
            </w:r>
            <w:r w:rsidR="00C71C2F">
              <w:rPr>
                <w:webHidden/>
              </w:rPr>
              <w:t>25</w:t>
            </w:r>
            <w:r>
              <w:rPr>
                <w:webHidden/>
              </w:rPr>
              <w:fldChar w:fldCharType="end"/>
            </w:r>
          </w:hyperlink>
        </w:p>
        <w:p w14:paraId="016778C2" w14:textId="5E5F986C" w:rsidR="00937A7F" w:rsidRDefault="00937A7F">
          <w:pPr>
            <w:pStyle w:val="TOC2"/>
            <w:tabs>
              <w:tab w:val="left" w:pos="1200"/>
            </w:tabs>
            <w:rPr>
              <w:rFonts w:eastAsiaTheme="minorEastAsia"/>
              <w:kern w:val="2"/>
              <w:sz w:val="24"/>
              <w:szCs w:val="24"/>
              <w:lang w:eastAsia="en-AU"/>
              <w14:ligatures w14:val="standardContextual"/>
            </w:rPr>
          </w:pPr>
          <w:hyperlink w:anchor="_Toc236928348" w:history="1">
            <w:r w:rsidRPr="00A8734E">
              <w:rPr>
                <w:rStyle w:val="Hyperlink"/>
              </w:rPr>
              <w:t>7.3</w:t>
            </w:r>
            <w:r>
              <w:rPr>
                <w:rFonts w:eastAsiaTheme="minorEastAsia"/>
                <w:kern w:val="2"/>
                <w:sz w:val="24"/>
                <w:szCs w:val="24"/>
                <w:lang w:eastAsia="en-AU"/>
                <w14:ligatures w14:val="standardContextual"/>
              </w:rPr>
              <w:tab/>
            </w:r>
            <w:r w:rsidRPr="00A8734E">
              <w:rPr>
                <w:rStyle w:val="Hyperlink"/>
              </w:rPr>
              <w:t>Sustainability beyond emissions</w:t>
            </w:r>
            <w:r>
              <w:rPr>
                <w:webHidden/>
              </w:rPr>
              <w:tab/>
            </w:r>
            <w:r>
              <w:rPr>
                <w:webHidden/>
              </w:rPr>
              <w:fldChar w:fldCharType="begin"/>
            </w:r>
            <w:r>
              <w:rPr>
                <w:webHidden/>
              </w:rPr>
              <w:instrText xml:space="preserve"> PAGEREF _Toc236928348 \h </w:instrText>
            </w:r>
            <w:r>
              <w:rPr>
                <w:webHidden/>
              </w:rPr>
            </w:r>
            <w:r>
              <w:rPr>
                <w:webHidden/>
              </w:rPr>
              <w:fldChar w:fldCharType="separate"/>
            </w:r>
            <w:r w:rsidR="00C71C2F">
              <w:rPr>
                <w:webHidden/>
              </w:rPr>
              <w:t>26</w:t>
            </w:r>
            <w:r>
              <w:rPr>
                <w:webHidden/>
              </w:rPr>
              <w:fldChar w:fldCharType="end"/>
            </w:r>
          </w:hyperlink>
        </w:p>
        <w:p w14:paraId="79905DA6" w14:textId="504C4DBA" w:rsidR="00937A7F" w:rsidRDefault="00937A7F">
          <w:pPr>
            <w:pStyle w:val="TOC2"/>
            <w:tabs>
              <w:tab w:val="left" w:pos="1200"/>
            </w:tabs>
            <w:rPr>
              <w:rFonts w:eastAsiaTheme="minorEastAsia"/>
              <w:kern w:val="2"/>
              <w:sz w:val="24"/>
              <w:szCs w:val="24"/>
              <w:lang w:eastAsia="en-AU"/>
              <w14:ligatures w14:val="standardContextual"/>
            </w:rPr>
          </w:pPr>
          <w:hyperlink w:anchor="_Toc236928349" w:history="1">
            <w:r w:rsidRPr="00A8734E">
              <w:rPr>
                <w:rStyle w:val="Hyperlink"/>
              </w:rPr>
              <w:t>7.4</w:t>
            </w:r>
            <w:r>
              <w:rPr>
                <w:rFonts w:eastAsiaTheme="minorEastAsia"/>
                <w:kern w:val="2"/>
                <w:sz w:val="24"/>
                <w:szCs w:val="24"/>
                <w:lang w:eastAsia="en-AU"/>
                <w14:ligatures w14:val="standardContextual"/>
              </w:rPr>
              <w:tab/>
            </w:r>
            <w:r w:rsidRPr="00A8734E">
              <w:rPr>
                <w:rStyle w:val="Hyperlink"/>
              </w:rPr>
              <w:t>Traceability and system integrity</w:t>
            </w:r>
            <w:r>
              <w:rPr>
                <w:webHidden/>
              </w:rPr>
              <w:tab/>
            </w:r>
            <w:r>
              <w:rPr>
                <w:webHidden/>
              </w:rPr>
              <w:fldChar w:fldCharType="begin"/>
            </w:r>
            <w:r>
              <w:rPr>
                <w:webHidden/>
              </w:rPr>
              <w:instrText xml:space="preserve"> PAGEREF _Toc236928349 \h </w:instrText>
            </w:r>
            <w:r>
              <w:rPr>
                <w:webHidden/>
              </w:rPr>
            </w:r>
            <w:r>
              <w:rPr>
                <w:webHidden/>
              </w:rPr>
              <w:fldChar w:fldCharType="separate"/>
            </w:r>
            <w:r w:rsidR="00C71C2F">
              <w:rPr>
                <w:webHidden/>
              </w:rPr>
              <w:t>26</w:t>
            </w:r>
            <w:r>
              <w:rPr>
                <w:webHidden/>
              </w:rPr>
              <w:fldChar w:fldCharType="end"/>
            </w:r>
          </w:hyperlink>
        </w:p>
        <w:p w14:paraId="3265ABD5" w14:textId="0795BAD3" w:rsidR="00937A7F" w:rsidRDefault="00937A7F">
          <w:pPr>
            <w:pStyle w:val="TOC2"/>
            <w:tabs>
              <w:tab w:val="left" w:pos="1200"/>
            </w:tabs>
            <w:rPr>
              <w:rFonts w:eastAsiaTheme="minorEastAsia"/>
              <w:kern w:val="2"/>
              <w:sz w:val="24"/>
              <w:szCs w:val="24"/>
              <w:lang w:eastAsia="en-AU"/>
              <w14:ligatures w14:val="standardContextual"/>
            </w:rPr>
          </w:pPr>
          <w:hyperlink w:anchor="_Toc236928350" w:history="1">
            <w:r w:rsidRPr="00A8734E">
              <w:rPr>
                <w:rStyle w:val="Hyperlink"/>
              </w:rPr>
              <w:t>7.5</w:t>
            </w:r>
            <w:r>
              <w:rPr>
                <w:rFonts w:eastAsiaTheme="minorEastAsia"/>
                <w:kern w:val="2"/>
                <w:sz w:val="24"/>
                <w:szCs w:val="24"/>
                <w:lang w:eastAsia="en-AU"/>
                <w14:ligatures w14:val="standardContextual"/>
              </w:rPr>
              <w:tab/>
            </w:r>
            <w:r w:rsidRPr="00A8734E">
              <w:rPr>
                <w:rStyle w:val="Hyperlink"/>
              </w:rPr>
              <w:t>Integration with food, fibre and feed systems</w:t>
            </w:r>
            <w:r>
              <w:rPr>
                <w:webHidden/>
              </w:rPr>
              <w:tab/>
            </w:r>
            <w:r>
              <w:rPr>
                <w:webHidden/>
              </w:rPr>
              <w:fldChar w:fldCharType="begin"/>
            </w:r>
            <w:r>
              <w:rPr>
                <w:webHidden/>
              </w:rPr>
              <w:instrText xml:space="preserve"> PAGEREF _Toc236928350 \h </w:instrText>
            </w:r>
            <w:r>
              <w:rPr>
                <w:webHidden/>
              </w:rPr>
            </w:r>
            <w:r>
              <w:rPr>
                <w:webHidden/>
              </w:rPr>
              <w:fldChar w:fldCharType="separate"/>
            </w:r>
            <w:r w:rsidR="00C71C2F">
              <w:rPr>
                <w:webHidden/>
              </w:rPr>
              <w:t>26</w:t>
            </w:r>
            <w:r>
              <w:rPr>
                <w:webHidden/>
              </w:rPr>
              <w:fldChar w:fldCharType="end"/>
            </w:r>
          </w:hyperlink>
        </w:p>
        <w:p w14:paraId="017DD96F" w14:textId="21C05B1F" w:rsidR="00937A7F" w:rsidRDefault="00937A7F">
          <w:pPr>
            <w:pStyle w:val="TOC1"/>
            <w:rPr>
              <w:rFonts w:eastAsiaTheme="minorEastAsia"/>
              <w:b w:val="0"/>
              <w:kern w:val="2"/>
              <w:sz w:val="24"/>
              <w:szCs w:val="24"/>
              <w:lang w:eastAsia="en-AU"/>
              <w14:ligatures w14:val="standardContextual"/>
            </w:rPr>
          </w:pPr>
          <w:hyperlink w:anchor="_Toc236928351" w:history="1">
            <w:r w:rsidRPr="00A8734E">
              <w:rPr>
                <w:rStyle w:val="Hyperlink"/>
              </w:rPr>
              <w:t>8</w:t>
            </w:r>
            <w:r>
              <w:rPr>
                <w:rFonts w:eastAsiaTheme="minorEastAsia"/>
                <w:b w:val="0"/>
                <w:kern w:val="2"/>
                <w:sz w:val="24"/>
                <w:szCs w:val="24"/>
                <w:lang w:eastAsia="en-AU"/>
                <w14:ligatures w14:val="standardContextual"/>
              </w:rPr>
              <w:tab/>
            </w:r>
            <w:r w:rsidRPr="00A8734E">
              <w:rPr>
                <w:rStyle w:val="Hyperlink"/>
              </w:rPr>
              <w:t>Priority area: building sector capability</w:t>
            </w:r>
            <w:r>
              <w:rPr>
                <w:webHidden/>
              </w:rPr>
              <w:tab/>
            </w:r>
            <w:r>
              <w:rPr>
                <w:webHidden/>
              </w:rPr>
              <w:fldChar w:fldCharType="begin"/>
            </w:r>
            <w:r>
              <w:rPr>
                <w:webHidden/>
              </w:rPr>
              <w:instrText xml:space="preserve"> PAGEREF _Toc236928351 \h </w:instrText>
            </w:r>
            <w:r>
              <w:rPr>
                <w:webHidden/>
              </w:rPr>
            </w:r>
            <w:r>
              <w:rPr>
                <w:webHidden/>
              </w:rPr>
              <w:fldChar w:fldCharType="separate"/>
            </w:r>
            <w:r w:rsidR="00C71C2F">
              <w:rPr>
                <w:webHidden/>
              </w:rPr>
              <w:t>28</w:t>
            </w:r>
            <w:r>
              <w:rPr>
                <w:webHidden/>
              </w:rPr>
              <w:fldChar w:fldCharType="end"/>
            </w:r>
          </w:hyperlink>
        </w:p>
        <w:p w14:paraId="540B1CA3" w14:textId="4E1301B4" w:rsidR="00937A7F" w:rsidRDefault="00937A7F">
          <w:pPr>
            <w:pStyle w:val="TOC2"/>
            <w:tabs>
              <w:tab w:val="left" w:pos="1200"/>
            </w:tabs>
            <w:rPr>
              <w:rFonts w:eastAsiaTheme="minorEastAsia"/>
              <w:kern w:val="2"/>
              <w:sz w:val="24"/>
              <w:szCs w:val="24"/>
              <w:lang w:eastAsia="en-AU"/>
              <w14:ligatures w14:val="standardContextual"/>
            </w:rPr>
          </w:pPr>
          <w:hyperlink w:anchor="_Toc236928352" w:history="1">
            <w:r w:rsidRPr="00A8734E">
              <w:rPr>
                <w:rStyle w:val="Hyperlink"/>
              </w:rPr>
              <w:t>8.1</w:t>
            </w:r>
            <w:r>
              <w:rPr>
                <w:rFonts w:eastAsiaTheme="minorEastAsia"/>
                <w:kern w:val="2"/>
                <w:sz w:val="24"/>
                <w:szCs w:val="24"/>
                <w:lang w:eastAsia="en-AU"/>
                <w14:ligatures w14:val="standardContextual"/>
              </w:rPr>
              <w:tab/>
            </w:r>
            <w:r w:rsidRPr="00A8734E">
              <w:rPr>
                <w:rStyle w:val="Hyperlink"/>
              </w:rPr>
              <w:t>Strong existing base to support industry development</w:t>
            </w:r>
            <w:r>
              <w:rPr>
                <w:webHidden/>
              </w:rPr>
              <w:tab/>
            </w:r>
            <w:r>
              <w:rPr>
                <w:webHidden/>
              </w:rPr>
              <w:fldChar w:fldCharType="begin"/>
            </w:r>
            <w:r>
              <w:rPr>
                <w:webHidden/>
              </w:rPr>
              <w:instrText xml:space="preserve"> PAGEREF _Toc236928352 \h </w:instrText>
            </w:r>
            <w:r>
              <w:rPr>
                <w:webHidden/>
              </w:rPr>
            </w:r>
            <w:r>
              <w:rPr>
                <w:webHidden/>
              </w:rPr>
              <w:fldChar w:fldCharType="separate"/>
            </w:r>
            <w:r w:rsidR="00C71C2F">
              <w:rPr>
                <w:webHidden/>
              </w:rPr>
              <w:t>28</w:t>
            </w:r>
            <w:r>
              <w:rPr>
                <w:webHidden/>
              </w:rPr>
              <w:fldChar w:fldCharType="end"/>
            </w:r>
          </w:hyperlink>
        </w:p>
        <w:p w14:paraId="49568497" w14:textId="7BE12EDE" w:rsidR="00937A7F" w:rsidRDefault="00937A7F">
          <w:pPr>
            <w:pStyle w:val="TOC2"/>
            <w:tabs>
              <w:tab w:val="left" w:pos="1200"/>
            </w:tabs>
            <w:rPr>
              <w:rFonts w:eastAsiaTheme="minorEastAsia"/>
              <w:kern w:val="2"/>
              <w:sz w:val="24"/>
              <w:szCs w:val="24"/>
              <w:lang w:eastAsia="en-AU"/>
              <w14:ligatures w14:val="standardContextual"/>
            </w:rPr>
          </w:pPr>
          <w:hyperlink w:anchor="_Toc236928353" w:history="1">
            <w:r w:rsidRPr="00A8734E">
              <w:rPr>
                <w:rStyle w:val="Hyperlink"/>
              </w:rPr>
              <w:t>8.2</w:t>
            </w:r>
            <w:r>
              <w:rPr>
                <w:rFonts w:eastAsiaTheme="minorEastAsia"/>
                <w:kern w:val="2"/>
                <w:sz w:val="24"/>
                <w:szCs w:val="24"/>
                <w:lang w:eastAsia="en-AU"/>
                <w14:ligatures w14:val="standardContextual"/>
              </w:rPr>
              <w:tab/>
            </w:r>
            <w:r w:rsidRPr="00A8734E">
              <w:rPr>
                <w:rStyle w:val="Hyperlink"/>
              </w:rPr>
              <w:t>Integration across the supply chain</w:t>
            </w:r>
            <w:r>
              <w:rPr>
                <w:webHidden/>
              </w:rPr>
              <w:tab/>
            </w:r>
            <w:r>
              <w:rPr>
                <w:webHidden/>
              </w:rPr>
              <w:fldChar w:fldCharType="begin"/>
            </w:r>
            <w:r>
              <w:rPr>
                <w:webHidden/>
              </w:rPr>
              <w:instrText xml:space="preserve"> PAGEREF _Toc236928353 \h </w:instrText>
            </w:r>
            <w:r>
              <w:rPr>
                <w:webHidden/>
              </w:rPr>
            </w:r>
            <w:r>
              <w:rPr>
                <w:webHidden/>
              </w:rPr>
              <w:fldChar w:fldCharType="separate"/>
            </w:r>
            <w:r w:rsidR="00C71C2F">
              <w:rPr>
                <w:webHidden/>
              </w:rPr>
              <w:t>29</w:t>
            </w:r>
            <w:r>
              <w:rPr>
                <w:webHidden/>
              </w:rPr>
              <w:fldChar w:fldCharType="end"/>
            </w:r>
          </w:hyperlink>
        </w:p>
        <w:p w14:paraId="17295EF6" w14:textId="16A026CE" w:rsidR="00937A7F" w:rsidRDefault="00937A7F">
          <w:pPr>
            <w:pStyle w:val="TOC2"/>
            <w:tabs>
              <w:tab w:val="left" w:pos="1200"/>
            </w:tabs>
            <w:rPr>
              <w:rFonts w:eastAsiaTheme="minorEastAsia"/>
              <w:kern w:val="2"/>
              <w:sz w:val="24"/>
              <w:szCs w:val="24"/>
              <w:lang w:eastAsia="en-AU"/>
              <w14:ligatures w14:val="standardContextual"/>
            </w:rPr>
          </w:pPr>
          <w:hyperlink w:anchor="_Toc236928354" w:history="1">
            <w:r w:rsidRPr="00A8734E">
              <w:rPr>
                <w:rStyle w:val="Hyperlink"/>
              </w:rPr>
              <w:t>8.3</w:t>
            </w:r>
            <w:r>
              <w:rPr>
                <w:rFonts w:eastAsiaTheme="minorEastAsia"/>
                <w:kern w:val="2"/>
                <w:sz w:val="24"/>
                <w:szCs w:val="24"/>
                <w:lang w:eastAsia="en-AU"/>
                <w14:ligatures w14:val="standardContextual"/>
              </w:rPr>
              <w:tab/>
            </w:r>
            <w:r w:rsidRPr="00A8734E">
              <w:rPr>
                <w:rStyle w:val="Hyperlink"/>
              </w:rPr>
              <w:t>Ensuring accessible information flow</w:t>
            </w:r>
            <w:r>
              <w:rPr>
                <w:webHidden/>
              </w:rPr>
              <w:tab/>
            </w:r>
            <w:r>
              <w:rPr>
                <w:webHidden/>
              </w:rPr>
              <w:fldChar w:fldCharType="begin"/>
            </w:r>
            <w:r>
              <w:rPr>
                <w:webHidden/>
              </w:rPr>
              <w:instrText xml:space="preserve"> PAGEREF _Toc236928354 \h </w:instrText>
            </w:r>
            <w:r>
              <w:rPr>
                <w:webHidden/>
              </w:rPr>
            </w:r>
            <w:r>
              <w:rPr>
                <w:webHidden/>
              </w:rPr>
              <w:fldChar w:fldCharType="separate"/>
            </w:r>
            <w:r w:rsidR="00C71C2F">
              <w:rPr>
                <w:webHidden/>
              </w:rPr>
              <w:t>29</w:t>
            </w:r>
            <w:r>
              <w:rPr>
                <w:webHidden/>
              </w:rPr>
              <w:fldChar w:fldCharType="end"/>
            </w:r>
          </w:hyperlink>
        </w:p>
        <w:p w14:paraId="292CCF7F" w14:textId="739F363F" w:rsidR="00937A7F" w:rsidRDefault="00937A7F">
          <w:pPr>
            <w:pStyle w:val="TOC2"/>
            <w:tabs>
              <w:tab w:val="left" w:pos="1200"/>
            </w:tabs>
            <w:rPr>
              <w:rFonts w:eastAsiaTheme="minorEastAsia"/>
              <w:kern w:val="2"/>
              <w:sz w:val="24"/>
              <w:szCs w:val="24"/>
              <w:lang w:eastAsia="en-AU"/>
              <w14:ligatures w14:val="standardContextual"/>
            </w:rPr>
          </w:pPr>
          <w:hyperlink w:anchor="_Toc236928355" w:history="1">
            <w:r w:rsidRPr="00A8734E">
              <w:rPr>
                <w:rStyle w:val="Hyperlink"/>
              </w:rPr>
              <w:t>8.4</w:t>
            </w:r>
            <w:r>
              <w:rPr>
                <w:rFonts w:eastAsiaTheme="minorEastAsia"/>
                <w:kern w:val="2"/>
                <w:sz w:val="24"/>
                <w:szCs w:val="24"/>
                <w:lang w:eastAsia="en-AU"/>
                <w14:ligatures w14:val="standardContextual"/>
              </w:rPr>
              <w:tab/>
            </w:r>
            <w:r w:rsidRPr="00A8734E">
              <w:rPr>
                <w:rStyle w:val="Hyperlink"/>
              </w:rPr>
              <w:t>Workforce planning</w:t>
            </w:r>
            <w:r>
              <w:rPr>
                <w:webHidden/>
              </w:rPr>
              <w:tab/>
            </w:r>
            <w:r>
              <w:rPr>
                <w:webHidden/>
              </w:rPr>
              <w:fldChar w:fldCharType="begin"/>
            </w:r>
            <w:r>
              <w:rPr>
                <w:webHidden/>
              </w:rPr>
              <w:instrText xml:space="preserve"> PAGEREF _Toc236928355 \h </w:instrText>
            </w:r>
            <w:r>
              <w:rPr>
                <w:webHidden/>
              </w:rPr>
            </w:r>
            <w:r>
              <w:rPr>
                <w:webHidden/>
              </w:rPr>
              <w:fldChar w:fldCharType="separate"/>
            </w:r>
            <w:r w:rsidR="00C71C2F">
              <w:rPr>
                <w:webHidden/>
              </w:rPr>
              <w:t>30</w:t>
            </w:r>
            <w:r>
              <w:rPr>
                <w:webHidden/>
              </w:rPr>
              <w:fldChar w:fldCharType="end"/>
            </w:r>
          </w:hyperlink>
        </w:p>
        <w:p w14:paraId="37210398" w14:textId="4A134370" w:rsidR="00937A7F" w:rsidRDefault="00937A7F">
          <w:pPr>
            <w:pStyle w:val="TOC2"/>
            <w:tabs>
              <w:tab w:val="left" w:pos="1200"/>
            </w:tabs>
            <w:rPr>
              <w:rFonts w:eastAsiaTheme="minorEastAsia"/>
              <w:kern w:val="2"/>
              <w:sz w:val="24"/>
              <w:szCs w:val="24"/>
              <w:lang w:eastAsia="en-AU"/>
              <w14:ligatures w14:val="standardContextual"/>
            </w:rPr>
          </w:pPr>
          <w:hyperlink w:anchor="_Toc236928356" w:history="1">
            <w:r w:rsidRPr="00A8734E">
              <w:rPr>
                <w:rStyle w:val="Hyperlink"/>
              </w:rPr>
              <w:t>8.5</w:t>
            </w:r>
            <w:r>
              <w:rPr>
                <w:rFonts w:eastAsiaTheme="minorEastAsia"/>
                <w:kern w:val="2"/>
                <w:sz w:val="24"/>
                <w:szCs w:val="24"/>
                <w:lang w:eastAsia="en-AU"/>
                <w14:ligatures w14:val="standardContextual"/>
              </w:rPr>
              <w:tab/>
            </w:r>
            <w:r w:rsidRPr="00A8734E">
              <w:rPr>
                <w:rStyle w:val="Hyperlink"/>
              </w:rPr>
              <w:t>Coordinated policy</w:t>
            </w:r>
            <w:r>
              <w:rPr>
                <w:webHidden/>
              </w:rPr>
              <w:tab/>
            </w:r>
            <w:r>
              <w:rPr>
                <w:webHidden/>
              </w:rPr>
              <w:fldChar w:fldCharType="begin"/>
            </w:r>
            <w:r>
              <w:rPr>
                <w:webHidden/>
              </w:rPr>
              <w:instrText xml:space="preserve"> PAGEREF _Toc236928356 \h </w:instrText>
            </w:r>
            <w:r>
              <w:rPr>
                <w:webHidden/>
              </w:rPr>
            </w:r>
            <w:r>
              <w:rPr>
                <w:webHidden/>
              </w:rPr>
              <w:fldChar w:fldCharType="separate"/>
            </w:r>
            <w:r w:rsidR="00C71C2F">
              <w:rPr>
                <w:webHidden/>
              </w:rPr>
              <w:t>30</w:t>
            </w:r>
            <w:r>
              <w:rPr>
                <w:webHidden/>
              </w:rPr>
              <w:fldChar w:fldCharType="end"/>
            </w:r>
          </w:hyperlink>
        </w:p>
        <w:p w14:paraId="0893AA80" w14:textId="67835A92" w:rsidR="00937A7F" w:rsidRDefault="00937A7F">
          <w:pPr>
            <w:pStyle w:val="TOC1"/>
            <w:rPr>
              <w:rFonts w:eastAsiaTheme="minorEastAsia"/>
              <w:b w:val="0"/>
              <w:kern w:val="2"/>
              <w:sz w:val="24"/>
              <w:szCs w:val="24"/>
              <w:lang w:eastAsia="en-AU"/>
              <w14:ligatures w14:val="standardContextual"/>
            </w:rPr>
          </w:pPr>
          <w:hyperlink w:anchor="_Toc236928357" w:history="1">
            <w:r w:rsidRPr="00A8734E">
              <w:rPr>
                <w:rStyle w:val="Hyperlink"/>
              </w:rPr>
              <w:t>Glossary</w:t>
            </w:r>
            <w:r>
              <w:rPr>
                <w:webHidden/>
              </w:rPr>
              <w:tab/>
            </w:r>
            <w:r>
              <w:rPr>
                <w:webHidden/>
              </w:rPr>
              <w:fldChar w:fldCharType="begin"/>
            </w:r>
            <w:r>
              <w:rPr>
                <w:webHidden/>
              </w:rPr>
              <w:instrText xml:space="preserve"> PAGEREF _Toc236928357 \h </w:instrText>
            </w:r>
            <w:r>
              <w:rPr>
                <w:webHidden/>
              </w:rPr>
            </w:r>
            <w:r>
              <w:rPr>
                <w:webHidden/>
              </w:rPr>
              <w:fldChar w:fldCharType="separate"/>
            </w:r>
            <w:r w:rsidR="00C71C2F">
              <w:rPr>
                <w:webHidden/>
              </w:rPr>
              <w:t>32</w:t>
            </w:r>
            <w:r>
              <w:rPr>
                <w:webHidden/>
              </w:rPr>
              <w:fldChar w:fldCharType="end"/>
            </w:r>
          </w:hyperlink>
        </w:p>
        <w:p w14:paraId="2400A088" w14:textId="1E8C5991" w:rsidR="00937A7F" w:rsidRDefault="00937A7F">
          <w:pPr>
            <w:pStyle w:val="TOC1"/>
            <w:rPr>
              <w:rFonts w:eastAsiaTheme="minorEastAsia"/>
              <w:b w:val="0"/>
              <w:kern w:val="2"/>
              <w:sz w:val="24"/>
              <w:szCs w:val="24"/>
              <w:lang w:eastAsia="en-AU"/>
              <w14:ligatures w14:val="standardContextual"/>
            </w:rPr>
          </w:pPr>
          <w:hyperlink w:anchor="_Toc236928358" w:history="1">
            <w:r w:rsidRPr="00A8734E">
              <w:rPr>
                <w:rStyle w:val="Hyperlink"/>
              </w:rPr>
              <w:t>References</w:t>
            </w:r>
            <w:r>
              <w:rPr>
                <w:webHidden/>
              </w:rPr>
              <w:tab/>
            </w:r>
            <w:r>
              <w:rPr>
                <w:webHidden/>
              </w:rPr>
              <w:fldChar w:fldCharType="begin"/>
            </w:r>
            <w:r>
              <w:rPr>
                <w:webHidden/>
              </w:rPr>
              <w:instrText xml:space="preserve"> PAGEREF _Toc236928358 \h </w:instrText>
            </w:r>
            <w:r>
              <w:rPr>
                <w:webHidden/>
              </w:rPr>
            </w:r>
            <w:r>
              <w:rPr>
                <w:webHidden/>
              </w:rPr>
              <w:fldChar w:fldCharType="separate"/>
            </w:r>
            <w:r w:rsidR="00C71C2F">
              <w:rPr>
                <w:webHidden/>
              </w:rPr>
              <w:t>34</w:t>
            </w:r>
            <w:r>
              <w:rPr>
                <w:webHidden/>
              </w:rPr>
              <w:fldChar w:fldCharType="end"/>
            </w:r>
          </w:hyperlink>
        </w:p>
        <w:p w14:paraId="32ED765A" w14:textId="471B4571" w:rsidR="00764D6A" w:rsidRPr="00391581" w:rsidRDefault="00E91D72" w:rsidP="00391581">
          <w:pPr>
            <w:pStyle w:val="TOC1"/>
          </w:pPr>
          <w:r>
            <w:rPr>
              <w:b w:val="0"/>
            </w:rPr>
            <w:fldChar w:fldCharType="end"/>
          </w:r>
        </w:p>
      </w:sdtContent>
    </w:sdt>
    <w:p w14:paraId="780B8E49" w14:textId="77777777" w:rsidR="000B1DBE" w:rsidRDefault="00E91D72" w:rsidP="00325AC1">
      <w:pPr>
        <w:pStyle w:val="TOCHeading2"/>
      </w:pPr>
      <w:r w:rsidRPr="00623289">
        <w:t>Figures</w:t>
      </w:r>
    </w:p>
    <w:p w14:paraId="0E7CCBBB" w14:textId="29F9CC8F" w:rsidR="006834FC" w:rsidRDefault="006834FC">
      <w:pPr>
        <w:pStyle w:val="TableofFigures"/>
        <w:tabs>
          <w:tab w:val="right" w:leader="dot" w:pos="9060"/>
        </w:tabs>
        <w:rPr>
          <w:rFonts w:eastAsiaTheme="minorEastAsia"/>
          <w:noProof/>
          <w:kern w:val="2"/>
          <w:sz w:val="24"/>
          <w:szCs w:val="24"/>
          <w:lang w:eastAsia="en-AU"/>
          <w14:ligatures w14:val="standardContextual"/>
        </w:rPr>
      </w:pPr>
      <w:r>
        <w:fldChar w:fldCharType="begin"/>
      </w:r>
      <w:r>
        <w:instrText xml:space="preserve"> TOC \h \z \c "Figure" </w:instrText>
      </w:r>
      <w:r>
        <w:fldChar w:fldCharType="separate"/>
      </w:r>
      <w:hyperlink w:anchor="_Toc236992419" w:history="1">
        <w:r w:rsidRPr="001019A7">
          <w:rPr>
            <w:rStyle w:val="Hyperlink"/>
            <w:noProof/>
          </w:rPr>
          <w:t>Figure 1 Priority areas for collective effort</w:t>
        </w:r>
        <w:r>
          <w:rPr>
            <w:noProof/>
            <w:webHidden/>
          </w:rPr>
          <w:tab/>
        </w:r>
        <w:r>
          <w:rPr>
            <w:noProof/>
            <w:webHidden/>
          </w:rPr>
          <w:fldChar w:fldCharType="begin"/>
        </w:r>
        <w:r>
          <w:rPr>
            <w:noProof/>
            <w:webHidden/>
          </w:rPr>
          <w:instrText xml:space="preserve"> PAGEREF _Toc236992419 \h </w:instrText>
        </w:r>
        <w:r>
          <w:rPr>
            <w:noProof/>
            <w:webHidden/>
          </w:rPr>
        </w:r>
        <w:r>
          <w:rPr>
            <w:noProof/>
            <w:webHidden/>
          </w:rPr>
          <w:fldChar w:fldCharType="separate"/>
        </w:r>
        <w:r w:rsidR="00C71C2F">
          <w:rPr>
            <w:noProof/>
            <w:webHidden/>
          </w:rPr>
          <w:t>vii</w:t>
        </w:r>
        <w:r>
          <w:rPr>
            <w:noProof/>
            <w:webHidden/>
          </w:rPr>
          <w:fldChar w:fldCharType="end"/>
        </w:r>
      </w:hyperlink>
    </w:p>
    <w:p w14:paraId="64A081A0" w14:textId="1EFAAFAF" w:rsidR="006834FC" w:rsidRDefault="006834FC">
      <w:pPr>
        <w:pStyle w:val="TableofFigures"/>
        <w:tabs>
          <w:tab w:val="right" w:leader="dot" w:pos="9060"/>
        </w:tabs>
        <w:rPr>
          <w:rFonts w:eastAsiaTheme="minorEastAsia"/>
          <w:noProof/>
          <w:kern w:val="2"/>
          <w:sz w:val="24"/>
          <w:szCs w:val="24"/>
          <w:lang w:eastAsia="en-AU"/>
          <w14:ligatures w14:val="standardContextual"/>
        </w:rPr>
      </w:pPr>
      <w:hyperlink w:anchor="_Toc236992420" w:history="1">
        <w:r w:rsidRPr="001019A7">
          <w:rPr>
            <w:rStyle w:val="Hyperlink"/>
            <w:noProof/>
          </w:rPr>
          <w:t>Figure 2 Key agricultural and forestry derived feedstocks</w:t>
        </w:r>
        <w:r>
          <w:rPr>
            <w:noProof/>
            <w:webHidden/>
          </w:rPr>
          <w:tab/>
        </w:r>
        <w:r>
          <w:rPr>
            <w:noProof/>
            <w:webHidden/>
          </w:rPr>
          <w:fldChar w:fldCharType="begin"/>
        </w:r>
        <w:r>
          <w:rPr>
            <w:noProof/>
            <w:webHidden/>
          </w:rPr>
          <w:instrText xml:space="preserve"> PAGEREF _Toc236992420 \h </w:instrText>
        </w:r>
        <w:r>
          <w:rPr>
            <w:noProof/>
            <w:webHidden/>
          </w:rPr>
        </w:r>
        <w:r>
          <w:rPr>
            <w:noProof/>
            <w:webHidden/>
          </w:rPr>
          <w:fldChar w:fldCharType="separate"/>
        </w:r>
        <w:r w:rsidR="00C71C2F">
          <w:rPr>
            <w:noProof/>
            <w:webHidden/>
          </w:rPr>
          <w:t>3</w:t>
        </w:r>
        <w:r>
          <w:rPr>
            <w:noProof/>
            <w:webHidden/>
          </w:rPr>
          <w:fldChar w:fldCharType="end"/>
        </w:r>
      </w:hyperlink>
    </w:p>
    <w:p w14:paraId="7C99B5E8" w14:textId="35F44992" w:rsidR="006834FC" w:rsidRDefault="006834FC">
      <w:pPr>
        <w:pStyle w:val="TableofFigures"/>
        <w:tabs>
          <w:tab w:val="right" w:leader="dot" w:pos="9060"/>
        </w:tabs>
        <w:rPr>
          <w:rFonts w:eastAsiaTheme="minorEastAsia"/>
          <w:noProof/>
          <w:kern w:val="2"/>
          <w:sz w:val="24"/>
          <w:szCs w:val="24"/>
          <w:lang w:eastAsia="en-AU"/>
          <w14:ligatures w14:val="standardContextual"/>
        </w:rPr>
      </w:pPr>
      <w:hyperlink w:anchor="_Toc236992421" w:history="1">
        <w:r w:rsidRPr="001019A7">
          <w:rPr>
            <w:rStyle w:val="Hyperlink"/>
            <w:noProof/>
          </w:rPr>
          <w:t>Figure 3 Major bioenergy conversion technologies and feedstocks</w:t>
        </w:r>
        <w:r>
          <w:rPr>
            <w:noProof/>
            <w:webHidden/>
          </w:rPr>
          <w:tab/>
        </w:r>
        <w:r>
          <w:rPr>
            <w:noProof/>
            <w:webHidden/>
          </w:rPr>
          <w:fldChar w:fldCharType="begin"/>
        </w:r>
        <w:r>
          <w:rPr>
            <w:noProof/>
            <w:webHidden/>
          </w:rPr>
          <w:instrText xml:space="preserve"> PAGEREF _Toc236992421 \h </w:instrText>
        </w:r>
        <w:r>
          <w:rPr>
            <w:noProof/>
            <w:webHidden/>
          </w:rPr>
        </w:r>
        <w:r>
          <w:rPr>
            <w:noProof/>
            <w:webHidden/>
          </w:rPr>
          <w:fldChar w:fldCharType="separate"/>
        </w:r>
        <w:r w:rsidR="00C71C2F">
          <w:rPr>
            <w:noProof/>
            <w:webHidden/>
          </w:rPr>
          <w:t>4</w:t>
        </w:r>
        <w:r>
          <w:rPr>
            <w:noProof/>
            <w:webHidden/>
          </w:rPr>
          <w:fldChar w:fldCharType="end"/>
        </w:r>
      </w:hyperlink>
    </w:p>
    <w:p w14:paraId="2FE47CDE" w14:textId="47FE5BBE" w:rsidR="006834FC" w:rsidRDefault="006834FC">
      <w:pPr>
        <w:pStyle w:val="TableofFigures"/>
        <w:tabs>
          <w:tab w:val="right" w:leader="dot" w:pos="9060"/>
        </w:tabs>
        <w:rPr>
          <w:rFonts w:eastAsiaTheme="minorEastAsia"/>
          <w:noProof/>
          <w:kern w:val="2"/>
          <w:sz w:val="24"/>
          <w:szCs w:val="24"/>
          <w:lang w:eastAsia="en-AU"/>
          <w14:ligatures w14:val="standardContextual"/>
        </w:rPr>
      </w:pPr>
      <w:hyperlink w:anchor="_Toc236992422" w:history="1">
        <w:r w:rsidRPr="001019A7">
          <w:rPr>
            <w:rStyle w:val="Hyperlink"/>
            <w:noProof/>
          </w:rPr>
          <w:t>Figure 4 Potential feedstock production to support a domestic low carbon liquid fuel industry</w:t>
        </w:r>
        <w:r>
          <w:rPr>
            <w:noProof/>
            <w:webHidden/>
          </w:rPr>
          <w:tab/>
        </w:r>
        <w:r>
          <w:rPr>
            <w:noProof/>
            <w:webHidden/>
          </w:rPr>
          <w:fldChar w:fldCharType="begin"/>
        </w:r>
        <w:r>
          <w:rPr>
            <w:noProof/>
            <w:webHidden/>
          </w:rPr>
          <w:instrText xml:space="preserve"> PAGEREF _Toc236992422 \h </w:instrText>
        </w:r>
        <w:r>
          <w:rPr>
            <w:noProof/>
            <w:webHidden/>
          </w:rPr>
        </w:r>
        <w:r>
          <w:rPr>
            <w:noProof/>
            <w:webHidden/>
          </w:rPr>
          <w:fldChar w:fldCharType="separate"/>
        </w:r>
        <w:r w:rsidR="00C71C2F">
          <w:rPr>
            <w:noProof/>
            <w:webHidden/>
          </w:rPr>
          <w:t>7</w:t>
        </w:r>
        <w:r>
          <w:rPr>
            <w:noProof/>
            <w:webHidden/>
          </w:rPr>
          <w:fldChar w:fldCharType="end"/>
        </w:r>
      </w:hyperlink>
    </w:p>
    <w:p w14:paraId="6B972697" w14:textId="520198C8" w:rsidR="006834FC" w:rsidRDefault="006834FC">
      <w:pPr>
        <w:pStyle w:val="TableofFigures"/>
        <w:tabs>
          <w:tab w:val="right" w:leader="dot" w:pos="9060"/>
        </w:tabs>
        <w:rPr>
          <w:rFonts w:eastAsiaTheme="minorEastAsia"/>
          <w:noProof/>
          <w:kern w:val="2"/>
          <w:sz w:val="24"/>
          <w:szCs w:val="24"/>
          <w:lang w:eastAsia="en-AU"/>
          <w14:ligatures w14:val="standardContextual"/>
        </w:rPr>
      </w:pPr>
      <w:hyperlink w:anchor="_Toc236992423" w:history="1">
        <w:r w:rsidRPr="001019A7">
          <w:rPr>
            <w:rStyle w:val="Hyperlink"/>
            <w:noProof/>
          </w:rPr>
          <w:t>Figure 5 Diversifying feedstocks towards market readiness</w:t>
        </w:r>
        <w:r>
          <w:rPr>
            <w:noProof/>
            <w:webHidden/>
          </w:rPr>
          <w:tab/>
        </w:r>
        <w:r>
          <w:rPr>
            <w:noProof/>
            <w:webHidden/>
          </w:rPr>
          <w:fldChar w:fldCharType="begin"/>
        </w:r>
        <w:r>
          <w:rPr>
            <w:noProof/>
            <w:webHidden/>
          </w:rPr>
          <w:instrText xml:space="preserve"> PAGEREF _Toc236992423 \h </w:instrText>
        </w:r>
        <w:r>
          <w:rPr>
            <w:noProof/>
            <w:webHidden/>
          </w:rPr>
        </w:r>
        <w:r>
          <w:rPr>
            <w:noProof/>
            <w:webHidden/>
          </w:rPr>
          <w:fldChar w:fldCharType="separate"/>
        </w:r>
        <w:r w:rsidR="00C71C2F">
          <w:rPr>
            <w:noProof/>
            <w:webHidden/>
          </w:rPr>
          <w:t>8</w:t>
        </w:r>
        <w:r>
          <w:rPr>
            <w:noProof/>
            <w:webHidden/>
          </w:rPr>
          <w:fldChar w:fldCharType="end"/>
        </w:r>
      </w:hyperlink>
    </w:p>
    <w:p w14:paraId="20B055CF" w14:textId="4EA5AC8C" w:rsidR="006834FC" w:rsidRDefault="006834FC">
      <w:pPr>
        <w:pStyle w:val="TableofFigures"/>
        <w:tabs>
          <w:tab w:val="right" w:leader="dot" w:pos="9060"/>
        </w:tabs>
        <w:rPr>
          <w:rFonts w:eastAsiaTheme="minorEastAsia"/>
          <w:noProof/>
          <w:kern w:val="2"/>
          <w:sz w:val="24"/>
          <w:szCs w:val="24"/>
          <w:lang w:eastAsia="en-AU"/>
          <w14:ligatures w14:val="standardContextual"/>
        </w:rPr>
      </w:pPr>
      <w:hyperlink w:anchor="_Toc236992424" w:history="1">
        <w:r w:rsidRPr="001019A7">
          <w:rPr>
            <w:rStyle w:val="Hyperlink"/>
            <w:noProof/>
          </w:rPr>
          <w:t>Figure 6 Priority areas for collective effort</w:t>
        </w:r>
        <w:r>
          <w:rPr>
            <w:noProof/>
            <w:webHidden/>
          </w:rPr>
          <w:tab/>
        </w:r>
        <w:r>
          <w:rPr>
            <w:noProof/>
            <w:webHidden/>
          </w:rPr>
          <w:fldChar w:fldCharType="begin"/>
        </w:r>
        <w:r>
          <w:rPr>
            <w:noProof/>
            <w:webHidden/>
          </w:rPr>
          <w:instrText xml:space="preserve"> PAGEREF _Toc236992424 \h </w:instrText>
        </w:r>
        <w:r>
          <w:rPr>
            <w:noProof/>
            <w:webHidden/>
          </w:rPr>
        </w:r>
        <w:r>
          <w:rPr>
            <w:noProof/>
            <w:webHidden/>
          </w:rPr>
          <w:fldChar w:fldCharType="separate"/>
        </w:r>
        <w:r w:rsidR="00C71C2F">
          <w:rPr>
            <w:noProof/>
            <w:webHidden/>
          </w:rPr>
          <w:t>10</w:t>
        </w:r>
        <w:r>
          <w:rPr>
            <w:noProof/>
            <w:webHidden/>
          </w:rPr>
          <w:fldChar w:fldCharType="end"/>
        </w:r>
      </w:hyperlink>
    </w:p>
    <w:p w14:paraId="27D8AFDB" w14:textId="61C5A001" w:rsidR="006834FC" w:rsidRDefault="006834FC">
      <w:pPr>
        <w:pStyle w:val="TableofFigures"/>
        <w:tabs>
          <w:tab w:val="right" w:leader="dot" w:pos="9060"/>
        </w:tabs>
        <w:rPr>
          <w:rFonts w:eastAsiaTheme="minorEastAsia"/>
          <w:noProof/>
          <w:kern w:val="2"/>
          <w:sz w:val="24"/>
          <w:szCs w:val="24"/>
          <w:lang w:eastAsia="en-AU"/>
          <w14:ligatures w14:val="standardContextual"/>
        </w:rPr>
      </w:pPr>
      <w:hyperlink w:anchor="_Toc236992425" w:history="1">
        <w:r w:rsidRPr="001019A7">
          <w:rPr>
            <w:rStyle w:val="Hyperlink"/>
            <w:noProof/>
          </w:rPr>
          <w:t>Figure 7 Theoretical bioenergy feedstock potential</w:t>
        </w:r>
        <w:r>
          <w:rPr>
            <w:noProof/>
            <w:webHidden/>
          </w:rPr>
          <w:tab/>
        </w:r>
        <w:r>
          <w:rPr>
            <w:noProof/>
            <w:webHidden/>
          </w:rPr>
          <w:fldChar w:fldCharType="begin"/>
        </w:r>
        <w:r>
          <w:rPr>
            <w:noProof/>
            <w:webHidden/>
          </w:rPr>
          <w:instrText xml:space="preserve"> PAGEREF _Toc236992425 \h </w:instrText>
        </w:r>
        <w:r>
          <w:rPr>
            <w:noProof/>
            <w:webHidden/>
          </w:rPr>
        </w:r>
        <w:r>
          <w:rPr>
            <w:noProof/>
            <w:webHidden/>
          </w:rPr>
          <w:fldChar w:fldCharType="separate"/>
        </w:r>
        <w:r w:rsidR="00C71C2F">
          <w:rPr>
            <w:noProof/>
            <w:webHidden/>
          </w:rPr>
          <w:t>13</w:t>
        </w:r>
        <w:r>
          <w:rPr>
            <w:noProof/>
            <w:webHidden/>
          </w:rPr>
          <w:fldChar w:fldCharType="end"/>
        </w:r>
      </w:hyperlink>
    </w:p>
    <w:p w14:paraId="3EDF2D3D" w14:textId="6CB2C789" w:rsidR="006834FC" w:rsidRDefault="006834FC">
      <w:pPr>
        <w:pStyle w:val="TableofFigures"/>
        <w:tabs>
          <w:tab w:val="right" w:leader="dot" w:pos="9060"/>
        </w:tabs>
        <w:rPr>
          <w:rFonts w:eastAsiaTheme="minorEastAsia"/>
          <w:noProof/>
          <w:kern w:val="2"/>
          <w:sz w:val="24"/>
          <w:szCs w:val="24"/>
          <w:lang w:eastAsia="en-AU"/>
          <w14:ligatures w14:val="standardContextual"/>
        </w:rPr>
      </w:pPr>
      <w:hyperlink w:anchor="_Toc236992426" w:history="1">
        <w:r w:rsidRPr="001019A7">
          <w:rPr>
            <w:rStyle w:val="Hyperlink"/>
            <w:noProof/>
          </w:rPr>
          <w:t>Figure 8 Opportunities for RD&amp;E to enable bioenergy feedstock industry development</w:t>
        </w:r>
        <w:r>
          <w:rPr>
            <w:noProof/>
            <w:webHidden/>
          </w:rPr>
          <w:tab/>
        </w:r>
        <w:r>
          <w:rPr>
            <w:noProof/>
            <w:webHidden/>
          </w:rPr>
          <w:fldChar w:fldCharType="begin"/>
        </w:r>
        <w:r>
          <w:rPr>
            <w:noProof/>
            <w:webHidden/>
          </w:rPr>
          <w:instrText xml:space="preserve"> PAGEREF _Toc236992426 \h </w:instrText>
        </w:r>
        <w:r>
          <w:rPr>
            <w:noProof/>
            <w:webHidden/>
          </w:rPr>
        </w:r>
        <w:r>
          <w:rPr>
            <w:noProof/>
            <w:webHidden/>
          </w:rPr>
          <w:fldChar w:fldCharType="separate"/>
        </w:r>
        <w:r w:rsidR="00C71C2F">
          <w:rPr>
            <w:noProof/>
            <w:webHidden/>
          </w:rPr>
          <w:t>17</w:t>
        </w:r>
        <w:r>
          <w:rPr>
            <w:noProof/>
            <w:webHidden/>
          </w:rPr>
          <w:fldChar w:fldCharType="end"/>
        </w:r>
      </w:hyperlink>
    </w:p>
    <w:p w14:paraId="12D75E58" w14:textId="3E62EFD3" w:rsidR="006834FC" w:rsidRDefault="006834FC">
      <w:pPr>
        <w:pStyle w:val="TableofFigures"/>
        <w:tabs>
          <w:tab w:val="right" w:leader="dot" w:pos="9060"/>
        </w:tabs>
        <w:rPr>
          <w:rFonts w:eastAsiaTheme="minorEastAsia"/>
          <w:noProof/>
          <w:kern w:val="2"/>
          <w:sz w:val="24"/>
          <w:szCs w:val="24"/>
          <w:lang w:eastAsia="en-AU"/>
          <w14:ligatures w14:val="standardContextual"/>
        </w:rPr>
      </w:pPr>
      <w:hyperlink w:anchor="_Toc236992427" w:history="1">
        <w:r w:rsidRPr="001019A7">
          <w:rPr>
            <w:rStyle w:val="Hyperlink"/>
            <w:noProof/>
          </w:rPr>
          <w:t>Figure 9 Examples of state government support for bioenergy supply chain development</w:t>
        </w:r>
        <w:r>
          <w:rPr>
            <w:noProof/>
            <w:webHidden/>
          </w:rPr>
          <w:tab/>
        </w:r>
        <w:r>
          <w:rPr>
            <w:noProof/>
            <w:webHidden/>
          </w:rPr>
          <w:fldChar w:fldCharType="begin"/>
        </w:r>
        <w:r>
          <w:rPr>
            <w:noProof/>
            <w:webHidden/>
          </w:rPr>
          <w:instrText xml:space="preserve"> PAGEREF _Toc236992427 \h </w:instrText>
        </w:r>
        <w:r>
          <w:rPr>
            <w:noProof/>
            <w:webHidden/>
          </w:rPr>
        </w:r>
        <w:r>
          <w:rPr>
            <w:noProof/>
            <w:webHidden/>
          </w:rPr>
          <w:fldChar w:fldCharType="separate"/>
        </w:r>
        <w:r w:rsidR="00C71C2F">
          <w:rPr>
            <w:noProof/>
            <w:webHidden/>
          </w:rPr>
          <w:t>22</w:t>
        </w:r>
        <w:r>
          <w:rPr>
            <w:noProof/>
            <w:webHidden/>
          </w:rPr>
          <w:fldChar w:fldCharType="end"/>
        </w:r>
      </w:hyperlink>
    </w:p>
    <w:p w14:paraId="16BC5E4A" w14:textId="6B4B1FFF" w:rsidR="004677FD" w:rsidRDefault="006834FC" w:rsidP="004677FD">
      <w:pPr>
        <w:pStyle w:val="TOCHeading2"/>
        <w:rPr>
          <w:noProof/>
        </w:rPr>
      </w:pPr>
      <w:r>
        <w:rPr>
          <w:rFonts w:asciiTheme="minorHAnsi" w:hAnsiTheme="minorHAnsi"/>
          <w:sz w:val="22"/>
        </w:rPr>
        <w:fldChar w:fldCharType="end"/>
      </w:r>
      <w:r w:rsidR="00E91D72" w:rsidRPr="001C2249">
        <w:t>Boxes</w:t>
      </w:r>
      <w:r w:rsidR="004677FD">
        <w:fldChar w:fldCharType="begin"/>
      </w:r>
      <w:r w:rsidR="004677FD">
        <w:instrText xml:space="preserve"> TOC \h \z \c "Box" </w:instrText>
      </w:r>
      <w:r w:rsidR="004677FD">
        <w:fldChar w:fldCharType="separate"/>
      </w:r>
    </w:p>
    <w:p w14:paraId="5379F0E2" w14:textId="6C3D86AD" w:rsidR="004677FD" w:rsidRDefault="004677FD">
      <w:pPr>
        <w:pStyle w:val="TableofFigures"/>
        <w:tabs>
          <w:tab w:val="right" w:leader="dot" w:pos="9060"/>
        </w:tabs>
        <w:rPr>
          <w:rFonts w:eastAsiaTheme="minorEastAsia"/>
          <w:noProof/>
          <w:kern w:val="2"/>
          <w:sz w:val="24"/>
          <w:szCs w:val="24"/>
          <w:lang w:eastAsia="en-AU"/>
          <w14:ligatures w14:val="standardContextual"/>
        </w:rPr>
      </w:pPr>
      <w:hyperlink w:anchor="_Toc236985530" w:history="1">
        <w:r w:rsidRPr="00851F03">
          <w:rPr>
            <w:rStyle w:val="Hyperlink"/>
            <w:noProof/>
          </w:rPr>
          <w:t>Box 1 Broader policy integration</w:t>
        </w:r>
        <w:r>
          <w:rPr>
            <w:noProof/>
            <w:webHidden/>
          </w:rPr>
          <w:tab/>
        </w:r>
        <w:r>
          <w:rPr>
            <w:noProof/>
            <w:webHidden/>
          </w:rPr>
          <w:fldChar w:fldCharType="begin"/>
        </w:r>
        <w:r>
          <w:rPr>
            <w:noProof/>
            <w:webHidden/>
          </w:rPr>
          <w:instrText xml:space="preserve"> PAGEREF _Toc236985530 \h </w:instrText>
        </w:r>
        <w:r>
          <w:rPr>
            <w:noProof/>
            <w:webHidden/>
          </w:rPr>
        </w:r>
        <w:r>
          <w:rPr>
            <w:noProof/>
            <w:webHidden/>
          </w:rPr>
          <w:fldChar w:fldCharType="separate"/>
        </w:r>
        <w:r w:rsidR="00C71C2F">
          <w:rPr>
            <w:noProof/>
            <w:webHidden/>
          </w:rPr>
          <w:t>3</w:t>
        </w:r>
        <w:r>
          <w:rPr>
            <w:noProof/>
            <w:webHidden/>
          </w:rPr>
          <w:fldChar w:fldCharType="end"/>
        </w:r>
      </w:hyperlink>
    </w:p>
    <w:p w14:paraId="081AEA31" w14:textId="1D198776" w:rsidR="004677FD" w:rsidRDefault="004677FD">
      <w:pPr>
        <w:pStyle w:val="TableofFigures"/>
        <w:tabs>
          <w:tab w:val="right" w:leader="dot" w:pos="9060"/>
        </w:tabs>
        <w:rPr>
          <w:rFonts w:eastAsiaTheme="minorEastAsia"/>
          <w:noProof/>
          <w:kern w:val="2"/>
          <w:sz w:val="24"/>
          <w:szCs w:val="24"/>
          <w:lang w:eastAsia="en-AU"/>
          <w14:ligatures w14:val="standardContextual"/>
        </w:rPr>
      </w:pPr>
      <w:hyperlink w:anchor="_Toc236985531" w:history="1">
        <w:r w:rsidRPr="00851F03">
          <w:rPr>
            <w:rStyle w:val="Hyperlink"/>
            <w:noProof/>
          </w:rPr>
          <w:t>Box 2 Improving the feedstock evidence base</w:t>
        </w:r>
        <w:r>
          <w:rPr>
            <w:noProof/>
            <w:webHidden/>
          </w:rPr>
          <w:tab/>
        </w:r>
        <w:r>
          <w:rPr>
            <w:noProof/>
            <w:webHidden/>
          </w:rPr>
          <w:fldChar w:fldCharType="begin"/>
        </w:r>
        <w:r>
          <w:rPr>
            <w:noProof/>
            <w:webHidden/>
          </w:rPr>
          <w:instrText xml:space="preserve"> PAGEREF _Toc236985531 \h </w:instrText>
        </w:r>
        <w:r>
          <w:rPr>
            <w:noProof/>
            <w:webHidden/>
          </w:rPr>
        </w:r>
        <w:r>
          <w:rPr>
            <w:noProof/>
            <w:webHidden/>
          </w:rPr>
          <w:fldChar w:fldCharType="separate"/>
        </w:r>
        <w:r w:rsidR="00C71C2F">
          <w:rPr>
            <w:noProof/>
            <w:webHidden/>
          </w:rPr>
          <w:t>15</w:t>
        </w:r>
        <w:r>
          <w:rPr>
            <w:noProof/>
            <w:webHidden/>
          </w:rPr>
          <w:fldChar w:fldCharType="end"/>
        </w:r>
      </w:hyperlink>
    </w:p>
    <w:p w14:paraId="0B971659" w14:textId="646DE33B" w:rsidR="004677FD" w:rsidRDefault="004677FD">
      <w:pPr>
        <w:pStyle w:val="TableofFigures"/>
        <w:tabs>
          <w:tab w:val="right" w:leader="dot" w:pos="9060"/>
        </w:tabs>
        <w:rPr>
          <w:rFonts w:eastAsiaTheme="minorEastAsia"/>
          <w:noProof/>
          <w:kern w:val="2"/>
          <w:sz w:val="24"/>
          <w:szCs w:val="24"/>
          <w:lang w:eastAsia="en-AU"/>
          <w14:ligatures w14:val="standardContextual"/>
        </w:rPr>
      </w:pPr>
      <w:hyperlink w:anchor="_Toc236985532" w:history="1">
        <w:r w:rsidRPr="00851F03">
          <w:rPr>
            <w:rStyle w:val="Hyperlink"/>
            <w:noProof/>
          </w:rPr>
          <w:t>Box 3 The role of Research and Development Corporation investment</w:t>
        </w:r>
        <w:r>
          <w:rPr>
            <w:noProof/>
            <w:webHidden/>
          </w:rPr>
          <w:tab/>
        </w:r>
        <w:r>
          <w:rPr>
            <w:noProof/>
            <w:webHidden/>
          </w:rPr>
          <w:fldChar w:fldCharType="begin"/>
        </w:r>
        <w:r>
          <w:rPr>
            <w:noProof/>
            <w:webHidden/>
          </w:rPr>
          <w:instrText xml:space="preserve"> PAGEREF _Toc236985532 \h </w:instrText>
        </w:r>
        <w:r>
          <w:rPr>
            <w:noProof/>
            <w:webHidden/>
          </w:rPr>
        </w:r>
        <w:r>
          <w:rPr>
            <w:noProof/>
            <w:webHidden/>
          </w:rPr>
          <w:fldChar w:fldCharType="separate"/>
        </w:r>
        <w:r w:rsidR="00C71C2F">
          <w:rPr>
            <w:noProof/>
            <w:webHidden/>
          </w:rPr>
          <w:t>18</w:t>
        </w:r>
        <w:r>
          <w:rPr>
            <w:noProof/>
            <w:webHidden/>
          </w:rPr>
          <w:fldChar w:fldCharType="end"/>
        </w:r>
      </w:hyperlink>
    </w:p>
    <w:p w14:paraId="3E40FED1" w14:textId="0541B2E5" w:rsidR="004677FD" w:rsidRDefault="004677FD">
      <w:pPr>
        <w:pStyle w:val="TableofFigures"/>
        <w:tabs>
          <w:tab w:val="right" w:leader="dot" w:pos="9060"/>
        </w:tabs>
        <w:rPr>
          <w:rFonts w:eastAsiaTheme="minorEastAsia"/>
          <w:noProof/>
          <w:kern w:val="2"/>
          <w:sz w:val="24"/>
          <w:szCs w:val="24"/>
          <w:lang w:eastAsia="en-AU"/>
          <w14:ligatures w14:val="standardContextual"/>
        </w:rPr>
      </w:pPr>
      <w:hyperlink w:anchor="_Toc236985533" w:history="1">
        <w:r w:rsidRPr="00851F03">
          <w:rPr>
            <w:rStyle w:val="Hyperlink"/>
            <w:noProof/>
          </w:rPr>
          <w:t>Box 4 Future Made in Australia Innovation Fund</w:t>
        </w:r>
        <w:r>
          <w:rPr>
            <w:noProof/>
            <w:webHidden/>
          </w:rPr>
          <w:tab/>
        </w:r>
        <w:r>
          <w:rPr>
            <w:noProof/>
            <w:webHidden/>
          </w:rPr>
          <w:fldChar w:fldCharType="begin"/>
        </w:r>
        <w:r>
          <w:rPr>
            <w:noProof/>
            <w:webHidden/>
          </w:rPr>
          <w:instrText xml:space="preserve"> PAGEREF _Toc236985533 \h </w:instrText>
        </w:r>
        <w:r>
          <w:rPr>
            <w:noProof/>
            <w:webHidden/>
          </w:rPr>
        </w:r>
        <w:r>
          <w:rPr>
            <w:noProof/>
            <w:webHidden/>
          </w:rPr>
          <w:fldChar w:fldCharType="separate"/>
        </w:r>
        <w:r w:rsidR="00C71C2F">
          <w:rPr>
            <w:noProof/>
            <w:webHidden/>
          </w:rPr>
          <w:t>18</w:t>
        </w:r>
        <w:r>
          <w:rPr>
            <w:noProof/>
            <w:webHidden/>
          </w:rPr>
          <w:fldChar w:fldCharType="end"/>
        </w:r>
      </w:hyperlink>
    </w:p>
    <w:p w14:paraId="5E7C7163" w14:textId="644D6DBD" w:rsidR="004677FD" w:rsidRDefault="004677FD">
      <w:pPr>
        <w:pStyle w:val="TableofFigures"/>
        <w:tabs>
          <w:tab w:val="right" w:leader="dot" w:pos="9060"/>
        </w:tabs>
        <w:rPr>
          <w:rFonts w:eastAsiaTheme="minorEastAsia"/>
          <w:noProof/>
          <w:kern w:val="2"/>
          <w:sz w:val="24"/>
          <w:szCs w:val="24"/>
          <w:lang w:eastAsia="en-AU"/>
          <w14:ligatures w14:val="standardContextual"/>
        </w:rPr>
      </w:pPr>
      <w:hyperlink w:anchor="_Toc236985534" w:history="1">
        <w:r w:rsidRPr="00851F03">
          <w:rPr>
            <w:rStyle w:val="Hyperlink"/>
            <w:noProof/>
          </w:rPr>
          <w:t>Box 5 CSIRO applied science and research to advance low carbon liquid fuels</w:t>
        </w:r>
        <w:r>
          <w:rPr>
            <w:noProof/>
            <w:webHidden/>
          </w:rPr>
          <w:tab/>
        </w:r>
        <w:r>
          <w:rPr>
            <w:noProof/>
            <w:webHidden/>
          </w:rPr>
          <w:fldChar w:fldCharType="begin"/>
        </w:r>
        <w:r>
          <w:rPr>
            <w:noProof/>
            <w:webHidden/>
          </w:rPr>
          <w:instrText xml:space="preserve"> PAGEREF _Toc236985534 \h </w:instrText>
        </w:r>
        <w:r>
          <w:rPr>
            <w:noProof/>
            <w:webHidden/>
          </w:rPr>
        </w:r>
        <w:r>
          <w:rPr>
            <w:noProof/>
            <w:webHidden/>
          </w:rPr>
          <w:fldChar w:fldCharType="separate"/>
        </w:r>
        <w:r w:rsidR="00C71C2F">
          <w:rPr>
            <w:noProof/>
            <w:webHidden/>
          </w:rPr>
          <w:t>19</w:t>
        </w:r>
        <w:r>
          <w:rPr>
            <w:noProof/>
            <w:webHidden/>
          </w:rPr>
          <w:fldChar w:fldCharType="end"/>
        </w:r>
      </w:hyperlink>
    </w:p>
    <w:p w14:paraId="6716DE85" w14:textId="5838D39D" w:rsidR="004677FD" w:rsidRDefault="004677FD">
      <w:pPr>
        <w:pStyle w:val="TableofFigures"/>
        <w:tabs>
          <w:tab w:val="right" w:leader="dot" w:pos="9060"/>
        </w:tabs>
        <w:rPr>
          <w:rFonts w:eastAsiaTheme="minorEastAsia"/>
          <w:noProof/>
          <w:kern w:val="2"/>
          <w:sz w:val="24"/>
          <w:szCs w:val="24"/>
          <w:lang w:eastAsia="en-AU"/>
          <w14:ligatures w14:val="standardContextual"/>
        </w:rPr>
      </w:pPr>
      <w:hyperlink w:anchor="_Toc236985535" w:history="1">
        <w:r w:rsidRPr="00851F03">
          <w:rPr>
            <w:rStyle w:val="Hyperlink"/>
            <w:noProof/>
          </w:rPr>
          <w:t>Box 6 Ararat Renewable Energy Park</w:t>
        </w:r>
        <w:r>
          <w:rPr>
            <w:noProof/>
            <w:webHidden/>
          </w:rPr>
          <w:tab/>
        </w:r>
        <w:r>
          <w:rPr>
            <w:noProof/>
            <w:webHidden/>
          </w:rPr>
          <w:fldChar w:fldCharType="begin"/>
        </w:r>
        <w:r>
          <w:rPr>
            <w:noProof/>
            <w:webHidden/>
          </w:rPr>
          <w:instrText xml:space="preserve"> PAGEREF _Toc236985535 \h </w:instrText>
        </w:r>
        <w:r>
          <w:rPr>
            <w:noProof/>
            <w:webHidden/>
          </w:rPr>
        </w:r>
        <w:r>
          <w:rPr>
            <w:noProof/>
            <w:webHidden/>
          </w:rPr>
          <w:fldChar w:fldCharType="separate"/>
        </w:r>
        <w:r w:rsidR="00C71C2F">
          <w:rPr>
            <w:noProof/>
            <w:webHidden/>
          </w:rPr>
          <w:t>21</w:t>
        </w:r>
        <w:r>
          <w:rPr>
            <w:noProof/>
            <w:webHidden/>
          </w:rPr>
          <w:fldChar w:fldCharType="end"/>
        </w:r>
      </w:hyperlink>
    </w:p>
    <w:p w14:paraId="7363824F" w14:textId="0235379F" w:rsidR="004677FD" w:rsidRDefault="004677FD">
      <w:pPr>
        <w:pStyle w:val="TableofFigures"/>
        <w:tabs>
          <w:tab w:val="right" w:leader="dot" w:pos="9060"/>
        </w:tabs>
        <w:rPr>
          <w:rFonts w:eastAsiaTheme="minorEastAsia"/>
          <w:noProof/>
          <w:kern w:val="2"/>
          <w:sz w:val="24"/>
          <w:szCs w:val="24"/>
          <w:lang w:eastAsia="en-AU"/>
          <w14:ligatures w14:val="standardContextual"/>
        </w:rPr>
      </w:pPr>
      <w:hyperlink w:anchor="_Toc236985536" w:history="1">
        <w:r w:rsidRPr="00851F03">
          <w:rPr>
            <w:rStyle w:val="Hyperlink"/>
            <w:noProof/>
          </w:rPr>
          <w:t>Box 7 Regional approaches to supply chain infrastructure</w:t>
        </w:r>
        <w:r>
          <w:rPr>
            <w:noProof/>
            <w:webHidden/>
          </w:rPr>
          <w:tab/>
        </w:r>
        <w:r>
          <w:rPr>
            <w:noProof/>
            <w:webHidden/>
          </w:rPr>
          <w:fldChar w:fldCharType="begin"/>
        </w:r>
        <w:r>
          <w:rPr>
            <w:noProof/>
            <w:webHidden/>
          </w:rPr>
          <w:instrText xml:space="preserve"> PAGEREF _Toc236985536 \h </w:instrText>
        </w:r>
        <w:r>
          <w:rPr>
            <w:noProof/>
            <w:webHidden/>
          </w:rPr>
        </w:r>
        <w:r>
          <w:rPr>
            <w:noProof/>
            <w:webHidden/>
          </w:rPr>
          <w:fldChar w:fldCharType="separate"/>
        </w:r>
        <w:r w:rsidR="00C71C2F">
          <w:rPr>
            <w:noProof/>
            <w:webHidden/>
          </w:rPr>
          <w:t>21</w:t>
        </w:r>
        <w:r>
          <w:rPr>
            <w:noProof/>
            <w:webHidden/>
          </w:rPr>
          <w:fldChar w:fldCharType="end"/>
        </w:r>
      </w:hyperlink>
    </w:p>
    <w:p w14:paraId="4B8B036A" w14:textId="716C33F8" w:rsidR="004677FD" w:rsidRDefault="004677FD">
      <w:pPr>
        <w:pStyle w:val="TableofFigures"/>
        <w:tabs>
          <w:tab w:val="right" w:leader="dot" w:pos="9060"/>
        </w:tabs>
        <w:rPr>
          <w:rFonts w:eastAsiaTheme="minorEastAsia"/>
          <w:noProof/>
          <w:kern w:val="2"/>
          <w:sz w:val="24"/>
          <w:szCs w:val="24"/>
          <w:lang w:eastAsia="en-AU"/>
          <w14:ligatures w14:val="standardContextual"/>
        </w:rPr>
      </w:pPr>
      <w:hyperlink w:anchor="_Toc236985537" w:history="1">
        <w:r w:rsidRPr="00851F03">
          <w:rPr>
            <w:rStyle w:val="Hyperlink"/>
            <w:noProof/>
          </w:rPr>
          <w:t>Box 8 Australian Government investments that can support supply chain infrastructure</w:t>
        </w:r>
        <w:r>
          <w:rPr>
            <w:noProof/>
            <w:webHidden/>
          </w:rPr>
          <w:tab/>
        </w:r>
        <w:r>
          <w:rPr>
            <w:noProof/>
            <w:webHidden/>
          </w:rPr>
          <w:fldChar w:fldCharType="begin"/>
        </w:r>
        <w:r>
          <w:rPr>
            <w:noProof/>
            <w:webHidden/>
          </w:rPr>
          <w:instrText xml:space="preserve"> PAGEREF _Toc236985537 \h </w:instrText>
        </w:r>
        <w:r>
          <w:rPr>
            <w:noProof/>
            <w:webHidden/>
          </w:rPr>
        </w:r>
        <w:r>
          <w:rPr>
            <w:noProof/>
            <w:webHidden/>
          </w:rPr>
          <w:fldChar w:fldCharType="separate"/>
        </w:r>
        <w:r w:rsidR="00C71C2F">
          <w:rPr>
            <w:noProof/>
            <w:webHidden/>
          </w:rPr>
          <w:t>23</w:t>
        </w:r>
        <w:r>
          <w:rPr>
            <w:noProof/>
            <w:webHidden/>
          </w:rPr>
          <w:fldChar w:fldCharType="end"/>
        </w:r>
      </w:hyperlink>
    </w:p>
    <w:p w14:paraId="2F0ED6F2" w14:textId="6B4DE099" w:rsidR="004677FD" w:rsidRDefault="004677FD">
      <w:pPr>
        <w:pStyle w:val="TableofFigures"/>
        <w:tabs>
          <w:tab w:val="right" w:leader="dot" w:pos="9060"/>
        </w:tabs>
        <w:rPr>
          <w:rFonts w:eastAsiaTheme="minorEastAsia"/>
          <w:noProof/>
          <w:kern w:val="2"/>
          <w:sz w:val="24"/>
          <w:szCs w:val="24"/>
          <w:lang w:eastAsia="en-AU"/>
          <w14:ligatures w14:val="standardContextual"/>
        </w:rPr>
      </w:pPr>
      <w:hyperlink w:anchor="_Toc236985538" w:history="1">
        <w:r w:rsidRPr="00851F03">
          <w:rPr>
            <w:rStyle w:val="Hyperlink"/>
            <w:noProof/>
          </w:rPr>
          <w:t>Box 9 Industry led connectivity across supply chains - Nuseed, bp and carinata</w:t>
        </w:r>
        <w:r>
          <w:rPr>
            <w:noProof/>
            <w:webHidden/>
          </w:rPr>
          <w:tab/>
        </w:r>
        <w:r>
          <w:rPr>
            <w:noProof/>
            <w:webHidden/>
          </w:rPr>
          <w:fldChar w:fldCharType="begin"/>
        </w:r>
        <w:r>
          <w:rPr>
            <w:noProof/>
            <w:webHidden/>
          </w:rPr>
          <w:instrText xml:space="preserve"> PAGEREF _Toc236985538 \h </w:instrText>
        </w:r>
        <w:r>
          <w:rPr>
            <w:noProof/>
            <w:webHidden/>
          </w:rPr>
        </w:r>
        <w:r>
          <w:rPr>
            <w:noProof/>
            <w:webHidden/>
          </w:rPr>
          <w:fldChar w:fldCharType="separate"/>
        </w:r>
        <w:r w:rsidR="00C71C2F">
          <w:rPr>
            <w:noProof/>
            <w:webHidden/>
          </w:rPr>
          <w:t>29</w:t>
        </w:r>
        <w:r>
          <w:rPr>
            <w:noProof/>
            <w:webHidden/>
          </w:rPr>
          <w:fldChar w:fldCharType="end"/>
        </w:r>
      </w:hyperlink>
    </w:p>
    <w:p w14:paraId="6758C8CB" w14:textId="289224DF" w:rsidR="004677FD" w:rsidRDefault="004677FD">
      <w:pPr>
        <w:pStyle w:val="TableofFigures"/>
        <w:tabs>
          <w:tab w:val="right" w:leader="dot" w:pos="9060"/>
        </w:tabs>
        <w:rPr>
          <w:rFonts w:eastAsiaTheme="minorEastAsia"/>
          <w:noProof/>
          <w:kern w:val="2"/>
          <w:sz w:val="24"/>
          <w:szCs w:val="24"/>
          <w:lang w:eastAsia="en-AU"/>
          <w14:ligatures w14:val="standardContextual"/>
        </w:rPr>
      </w:pPr>
      <w:hyperlink w:anchor="_Toc236985539" w:history="1">
        <w:r w:rsidRPr="00851F03">
          <w:rPr>
            <w:rStyle w:val="Hyperlink"/>
            <w:noProof/>
          </w:rPr>
          <w:t>Box 10 Low carbon liquid fuel knowledge hub</w:t>
        </w:r>
        <w:r>
          <w:rPr>
            <w:noProof/>
            <w:webHidden/>
          </w:rPr>
          <w:tab/>
        </w:r>
        <w:r>
          <w:rPr>
            <w:noProof/>
            <w:webHidden/>
          </w:rPr>
          <w:fldChar w:fldCharType="begin"/>
        </w:r>
        <w:r>
          <w:rPr>
            <w:noProof/>
            <w:webHidden/>
          </w:rPr>
          <w:instrText xml:space="preserve"> PAGEREF _Toc236985539 \h </w:instrText>
        </w:r>
        <w:r>
          <w:rPr>
            <w:noProof/>
            <w:webHidden/>
          </w:rPr>
        </w:r>
        <w:r>
          <w:rPr>
            <w:noProof/>
            <w:webHidden/>
          </w:rPr>
          <w:fldChar w:fldCharType="separate"/>
        </w:r>
        <w:r w:rsidR="00C71C2F">
          <w:rPr>
            <w:noProof/>
            <w:webHidden/>
          </w:rPr>
          <w:t>30</w:t>
        </w:r>
        <w:r>
          <w:rPr>
            <w:noProof/>
            <w:webHidden/>
          </w:rPr>
          <w:fldChar w:fldCharType="end"/>
        </w:r>
      </w:hyperlink>
    </w:p>
    <w:p w14:paraId="4CC70121" w14:textId="1842E830" w:rsidR="00764D6A" w:rsidRPr="00325AC1" w:rsidRDefault="004677FD" w:rsidP="004677FD">
      <w:pPr>
        <w:pStyle w:val="TOCHeading2"/>
        <w:rPr>
          <w:rFonts w:eastAsiaTheme="minorEastAsia"/>
          <w:kern w:val="2"/>
          <w:sz w:val="24"/>
          <w:szCs w:val="24"/>
          <w:lang w:eastAsia="en-AU"/>
          <w14:ligatures w14:val="standardContextual"/>
        </w:rPr>
      </w:pPr>
      <w:r>
        <w:fldChar w:fldCharType="end"/>
      </w:r>
    </w:p>
    <w:p w14:paraId="06C52A12" w14:textId="5934828A" w:rsidR="00764D6A" w:rsidRDefault="00DA5FB3" w:rsidP="007E39EF">
      <w:pPr>
        <w:pStyle w:val="Heading2"/>
        <w:numPr>
          <w:ilvl w:val="0"/>
          <w:numId w:val="0"/>
        </w:numPr>
        <w:ind w:left="720" w:hanging="720"/>
      </w:pPr>
      <w:bookmarkStart w:id="2" w:name="_Toc430782149"/>
      <w:bookmarkStart w:id="3" w:name="_Toc236928321"/>
      <w:r>
        <w:lastRenderedPageBreak/>
        <w:t>Executive s</w:t>
      </w:r>
      <w:r w:rsidR="00E91D72">
        <w:t>ummary</w:t>
      </w:r>
      <w:bookmarkEnd w:id="2"/>
      <w:bookmarkEnd w:id="3"/>
    </w:p>
    <w:p w14:paraId="3E17DC9E" w14:textId="0411146D" w:rsidR="00DB351B" w:rsidRDefault="00DB351B" w:rsidP="00DB351B">
      <w:r>
        <w:t xml:space="preserve">Energy underpins Australia’s economy, national security and social wellbeing. Liquid fuel makes up </w:t>
      </w:r>
      <w:r w:rsidR="003C75D2">
        <w:t>almost</w:t>
      </w:r>
      <w:r>
        <w:t xml:space="preserve"> half of all energy used in Australia, supporting food production and distribution, freight movement, critical supply chains, national security and economic stability.</w:t>
      </w:r>
    </w:p>
    <w:p w14:paraId="08C3514B" w14:textId="1E495E29" w:rsidR="00B41018" w:rsidRPr="00B41018" w:rsidRDefault="00231B6F" w:rsidP="00B41018">
      <w:r w:rsidRPr="00B41018">
        <w:rPr>
          <w:noProof/>
        </w:rPr>
        <w:drawing>
          <wp:anchor distT="0" distB="0" distL="114300" distR="114300" simplePos="0" relativeHeight="251658241" behindDoc="0" locked="0" layoutInCell="1" allowOverlap="1" wp14:anchorId="4AE68684" wp14:editId="0732C407">
            <wp:simplePos x="0" y="0"/>
            <wp:positionH relativeFrom="margin">
              <wp:posOffset>3392269</wp:posOffset>
            </wp:positionH>
            <wp:positionV relativeFrom="paragraph">
              <wp:posOffset>7620</wp:posOffset>
            </wp:positionV>
            <wp:extent cx="2343150" cy="1631950"/>
            <wp:effectExtent l="0" t="0" r="0" b="6350"/>
            <wp:wrapSquare wrapText="bothSides"/>
            <wp:docPr id="830127514" name="Picture 10" descr="Australia consumes over 56 billion litres of liquid fossil fuels per year. More than 90% of Australia's liquid fuels are imported or derived from imported cru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27514" name="Picture 10" descr="Australia consumes over 56 billion litres of liquid fossil fuels per year. More than 90% of Australia's liquid fuels are imported or derived from imported crud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3150" cy="163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E8323C" w:rsidRPr="00E8323C">
        <w:t xml:space="preserve">Over </w:t>
      </w:r>
      <w:r w:rsidR="00150FF1">
        <w:t>9</w:t>
      </w:r>
      <w:r w:rsidR="00E8323C">
        <w:t>0</w:t>
      </w:r>
      <w:r w:rsidR="00E8323C" w:rsidRPr="00E8323C">
        <w:t>% of that liquid fuel is currently imported. Recent global disruptions</w:t>
      </w:r>
      <w:r w:rsidR="00190948">
        <w:t xml:space="preserve"> </w:t>
      </w:r>
      <w:r w:rsidR="00190948" w:rsidRPr="00190948">
        <w:t>associated with</w:t>
      </w:r>
      <w:r w:rsidR="00562B17">
        <w:t xml:space="preserve"> </w:t>
      </w:r>
      <w:r w:rsidR="00AA0969">
        <w:t>instability in the Middle East</w:t>
      </w:r>
      <w:r w:rsidR="00E8323C" w:rsidRPr="00E8323C">
        <w:t xml:space="preserve"> have brought to the fore the strategic risks of this dependence, and the need to find new ways to build the reliability, resilience and security of energy supply chains that support Australia’s economy.</w:t>
      </w:r>
      <w:r w:rsidR="00B41018" w:rsidRPr="00B41018">
        <w:rPr>
          <w:rFonts w:ascii="Times New Roman" w:eastAsia="Times New Roman" w:hAnsi="Times New Roman" w:cs="Times New Roman"/>
          <w:sz w:val="24"/>
          <w:szCs w:val="24"/>
          <w:lang w:eastAsia="en-AU"/>
        </w:rPr>
        <w:t xml:space="preserve"> </w:t>
      </w:r>
    </w:p>
    <w:p w14:paraId="635F15EB" w14:textId="2C700D86" w:rsidR="00DB351B" w:rsidRDefault="00DB351B" w:rsidP="00DB351B">
      <w:r>
        <w:t xml:space="preserve">Australia must </w:t>
      </w:r>
      <w:r w:rsidR="006E0101">
        <w:t xml:space="preserve">also </w:t>
      </w:r>
      <w:r>
        <w:t xml:space="preserve">reduce emissions in fuel-intensive sectors. </w:t>
      </w:r>
      <w:r w:rsidR="00AA5AD2">
        <w:t xml:space="preserve">Electrification has a significant role to </w:t>
      </w:r>
      <w:proofErr w:type="gramStart"/>
      <w:r w:rsidR="00AA5AD2">
        <w:t>play,</w:t>
      </w:r>
      <w:proofErr w:type="gramEnd"/>
      <w:r w:rsidR="00AA5AD2">
        <w:t xml:space="preserve"> however, </w:t>
      </w:r>
      <w:r>
        <w:t>liquid fuels will remain important in aviation, heavy transport, agriculture, mining and maritime sectors well beyond</w:t>
      </w:r>
      <w:r w:rsidR="00867945">
        <w:t> </w:t>
      </w:r>
      <w:r>
        <w:t xml:space="preserve">2050. Bioenergy, especially low carbon liquid fuels (LCLFs), will </w:t>
      </w:r>
      <w:r w:rsidR="006E0101">
        <w:t xml:space="preserve">be essential to </w:t>
      </w:r>
      <w:r w:rsidR="006C71D3">
        <w:t>decarbonising this long</w:t>
      </w:r>
      <w:r w:rsidR="00542746">
        <w:t>er</w:t>
      </w:r>
      <w:r w:rsidR="006C71D3">
        <w:t>-term liquid fuel use</w:t>
      </w:r>
      <w:r>
        <w:t>.</w:t>
      </w:r>
      <w:r w:rsidR="004F0997">
        <w:t xml:space="preserve"> </w:t>
      </w:r>
    </w:p>
    <w:p w14:paraId="0F9EED82" w14:textId="09B21F6A" w:rsidR="001B7A1D" w:rsidRDefault="00DB351B" w:rsidP="00DB351B">
      <w:r>
        <w:t>Global investment in bioenergy is accelerating. Countries that move early are attracting investment, building capability and securing long-term economic and emissions benefits.</w:t>
      </w:r>
    </w:p>
    <w:p w14:paraId="51D8D1FB" w14:textId="76CF3540" w:rsidR="00DB351B" w:rsidRDefault="00E20806" w:rsidP="00DB351B">
      <w:r w:rsidRPr="00E20806">
        <w:rPr>
          <w:noProof/>
        </w:rPr>
        <w:drawing>
          <wp:anchor distT="0" distB="0" distL="114300" distR="114300" simplePos="0" relativeHeight="251658248" behindDoc="0" locked="0" layoutInCell="1" allowOverlap="1" wp14:anchorId="401744F4" wp14:editId="263F7FE7">
            <wp:simplePos x="0" y="0"/>
            <wp:positionH relativeFrom="margin">
              <wp:align>left</wp:align>
            </wp:positionH>
            <wp:positionV relativeFrom="paragraph">
              <wp:posOffset>1270</wp:posOffset>
            </wp:positionV>
            <wp:extent cx="2305050" cy="1916430"/>
            <wp:effectExtent l="0" t="0" r="0" b="7620"/>
            <wp:wrapSquare wrapText="bothSides"/>
            <wp:docPr id="605737351" name="Picture 12" descr="By 2050, a mature domestic low carbon liquid fuel industry could supply over 40% of Australia's projected liquid fuel demand, and deliver up to 230 million tonnes of cumulative CO2 ab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37351" name="Picture 12" descr="By 2050, a mature domestic low carbon liquid fuel industry could supply over 40% of Australia's projected liquid fuel demand, and deliver up to 230 million tonnes of cumulative CO2 abatemen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07631" cy="1919179"/>
                    </a:xfrm>
                    <a:prstGeom prst="rect">
                      <a:avLst/>
                    </a:prstGeom>
                    <a:noFill/>
                    <a:ln>
                      <a:noFill/>
                    </a:ln>
                  </pic:spPr>
                </pic:pic>
              </a:graphicData>
            </a:graphic>
            <wp14:sizeRelH relativeFrom="page">
              <wp14:pctWidth>0</wp14:pctWidth>
            </wp14:sizeRelH>
            <wp14:sizeRelV relativeFrom="page">
              <wp14:pctHeight>0</wp14:pctHeight>
            </wp14:sizeRelV>
          </wp:anchor>
        </w:drawing>
      </w:r>
      <w:r w:rsidR="006E0101">
        <w:t>G</w:t>
      </w:r>
      <w:r w:rsidR="008B295C">
        <w:t>overnment</w:t>
      </w:r>
      <w:r w:rsidR="006E0101">
        <w:t xml:space="preserve"> and industry</w:t>
      </w:r>
      <w:r w:rsidR="008B295C">
        <w:t xml:space="preserve"> </w:t>
      </w:r>
      <w:r w:rsidR="006E0101">
        <w:t>are</w:t>
      </w:r>
      <w:r w:rsidR="008B295C">
        <w:t xml:space="preserve"> positioning Australia to participate in this growing global market, creating new economic opportunities</w:t>
      </w:r>
      <w:r w:rsidR="00E82D3F">
        <w:t xml:space="preserve">, strengthening fuel resilience and capturing </w:t>
      </w:r>
      <w:r w:rsidR="00DB351B">
        <w:t>opportunities from the transition to lower-emissions fuels.</w:t>
      </w:r>
    </w:p>
    <w:p w14:paraId="57BD1424" w14:textId="6BBA3F79" w:rsidR="00E20806" w:rsidRPr="00E20806" w:rsidRDefault="00EF0DF5" w:rsidP="00E20806">
      <w:r w:rsidRPr="00EF0DF5">
        <w:t xml:space="preserve">The Australian Government </w:t>
      </w:r>
      <w:r w:rsidR="00B93CB1">
        <w:t xml:space="preserve">has committed significant </w:t>
      </w:r>
      <w:r w:rsidRPr="00EF0DF5">
        <w:t>support</w:t>
      </w:r>
      <w:r w:rsidR="00B93CB1">
        <w:t xml:space="preserve"> </w:t>
      </w:r>
      <w:proofErr w:type="gramStart"/>
      <w:r w:rsidR="00B93CB1">
        <w:t>for</w:t>
      </w:r>
      <w:r w:rsidRPr="00EF0DF5">
        <w:t xml:space="preserve"> the production of</w:t>
      </w:r>
      <w:proofErr w:type="gramEnd"/>
      <w:r w:rsidRPr="00EF0DF5">
        <w:t xml:space="preserve"> LCLFs, through the $1.1</w:t>
      </w:r>
      <w:r w:rsidR="007C1562">
        <w:t> </w:t>
      </w:r>
      <w:r w:rsidRPr="00EF0DF5">
        <w:t>billion Cleaner Fuels Program</w:t>
      </w:r>
      <w:r w:rsidR="003C3DBF">
        <w:t>. The 2026-27 Budget also included a</w:t>
      </w:r>
      <w:r w:rsidRPr="00EF0DF5">
        <w:t xml:space="preserve"> commitment to introduce a market mechanism to help drive demand.</w:t>
      </w:r>
      <w:r w:rsidR="00B56B9E">
        <w:t xml:space="preserve"> Together, these measures will create certainty needed to </w:t>
      </w:r>
      <w:r w:rsidR="009B0B62">
        <w:t xml:space="preserve">secure </w:t>
      </w:r>
      <w:r w:rsidR="00B56B9E">
        <w:t>significant new</w:t>
      </w:r>
      <w:r w:rsidR="006E0101">
        <w:t xml:space="preserve"> private</w:t>
      </w:r>
      <w:r w:rsidR="00B56B9E">
        <w:t xml:space="preserve"> investment in domestic LCLF production and use.</w:t>
      </w:r>
      <w:r w:rsidR="004F0997">
        <w:t xml:space="preserve"> </w:t>
      </w:r>
    </w:p>
    <w:p w14:paraId="5CCD94CC" w14:textId="1D90E5E9" w:rsidR="00434FD8" w:rsidRDefault="00231B6F" w:rsidP="00C354A2">
      <w:pPr>
        <w:tabs>
          <w:tab w:val="left" w:pos="3261"/>
        </w:tabs>
      </w:pPr>
      <w:r w:rsidRPr="002A1F7B">
        <w:rPr>
          <w:noProof/>
        </w:rPr>
        <w:drawing>
          <wp:anchor distT="0" distB="0" distL="114300" distR="114300" simplePos="0" relativeHeight="251658243" behindDoc="0" locked="0" layoutInCell="1" allowOverlap="1" wp14:anchorId="5BF17126" wp14:editId="39392379">
            <wp:simplePos x="0" y="0"/>
            <wp:positionH relativeFrom="margin">
              <wp:align>right</wp:align>
            </wp:positionH>
            <wp:positionV relativeFrom="paragraph">
              <wp:posOffset>3810</wp:posOffset>
            </wp:positionV>
            <wp:extent cx="2524760" cy="1704340"/>
            <wp:effectExtent l="0" t="0" r="8890" b="0"/>
            <wp:wrapSquare wrapText="bothSides"/>
            <wp:docPr id="362596308" name="Picture 14" descr="By 2050, the feedstock component of the bioenergy value chain could be worth up to $15 billion annually - creating new revenue streams for producers and regional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96308" name="Picture 14" descr="By 2050, the feedstock component of the bioenergy value chain could be worth up to $15 billion annually - creating new revenue streams for producers and regional communiti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4760" cy="170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D86285">
        <w:t>Access to a</w:t>
      </w:r>
      <w:r w:rsidR="00DB351B">
        <w:t xml:space="preserve"> reliable, high-quality supply of feedstocks </w:t>
      </w:r>
      <w:r w:rsidR="0093401E">
        <w:t>is a critical enabler for</w:t>
      </w:r>
      <w:r w:rsidR="00B56B9E">
        <w:t xml:space="preserve"> a</w:t>
      </w:r>
      <w:r w:rsidR="0093401E">
        <w:t xml:space="preserve"> domestic </w:t>
      </w:r>
      <w:r w:rsidR="00DB351B">
        <w:t xml:space="preserve">LCLF </w:t>
      </w:r>
      <w:r w:rsidR="00B56B9E">
        <w:t>industry</w:t>
      </w:r>
      <w:r w:rsidR="00DB351B">
        <w:t>.</w:t>
      </w:r>
    </w:p>
    <w:p w14:paraId="20534E3B" w14:textId="11BA8960" w:rsidR="001C33F7" w:rsidRDefault="00DB351B" w:rsidP="00DB351B">
      <w:r>
        <w:t xml:space="preserve">Australia has a strong competitive advantage in this area. </w:t>
      </w:r>
      <w:r w:rsidR="006C68A0">
        <w:t xml:space="preserve">Our </w:t>
      </w:r>
      <w:r>
        <w:t>agricultural and forestry systems are world-class</w:t>
      </w:r>
      <w:r w:rsidR="007720A6">
        <w:t>, with s</w:t>
      </w:r>
      <w:r>
        <w:t xml:space="preserve">killed producers </w:t>
      </w:r>
      <w:r w:rsidR="007720A6">
        <w:t xml:space="preserve">who </w:t>
      </w:r>
      <w:r>
        <w:t>respond to market signals and deliver high-quality products. Australia already produces feedstocks for export markets and for domestic ethanol and biodiesel production.</w:t>
      </w:r>
    </w:p>
    <w:p w14:paraId="588EA741" w14:textId="3774B6F4" w:rsidR="002A1F7B" w:rsidRPr="002A1F7B" w:rsidRDefault="002A1F7B" w:rsidP="002A1F7B"/>
    <w:p w14:paraId="1B89BCA1" w14:textId="16C29BE1" w:rsidR="00DB351B" w:rsidRDefault="00001287" w:rsidP="00DB351B">
      <w:r>
        <w:lastRenderedPageBreak/>
        <w:t>There is significant potential to build on</w:t>
      </w:r>
      <w:r w:rsidR="005A1683">
        <w:t xml:space="preserve"> this</w:t>
      </w:r>
      <w:r>
        <w:t xml:space="preserve"> existing </w:t>
      </w:r>
      <w:r w:rsidR="00B000EC">
        <w:t>capacity</w:t>
      </w:r>
      <w:r>
        <w:t xml:space="preserve">. </w:t>
      </w:r>
      <w:r w:rsidR="00DB351B">
        <w:t>However, further work is needed to realise our</w:t>
      </w:r>
      <w:r w:rsidR="00025896">
        <w:t xml:space="preserve"> full</w:t>
      </w:r>
      <w:r w:rsidR="00DB351B">
        <w:t xml:space="preserve"> feedstock potential.</w:t>
      </w:r>
      <w:r w:rsidR="00762473">
        <w:t xml:space="preserve"> </w:t>
      </w:r>
      <w:r w:rsidR="00CB2C8C">
        <w:t>G</w:t>
      </w:r>
      <w:r w:rsidR="00DB351B">
        <w:t>overnments, industry, producers and the wider supply chain</w:t>
      </w:r>
      <w:r w:rsidR="00DA0502">
        <w:t xml:space="preserve"> </w:t>
      </w:r>
      <w:r w:rsidR="00CB2C8C">
        <w:t>need to</w:t>
      </w:r>
      <w:r w:rsidR="00DA0502">
        <w:t xml:space="preserve"> work together </w:t>
      </w:r>
      <w:r w:rsidR="00CB2C8C">
        <w:t xml:space="preserve">to build </w:t>
      </w:r>
      <w:r w:rsidR="001B45FB">
        <w:t>capacity and address common challenges</w:t>
      </w:r>
      <w:r w:rsidR="00DB351B">
        <w:t xml:space="preserve">. Without </w:t>
      </w:r>
      <w:r w:rsidR="00ED3B44">
        <w:t>a proactive approach</w:t>
      </w:r>
      <w:r w:rsidR="00DB351B">
        <w:t xml:space="preserve">, domestic LCLF production is likely to remain </w:t>
      </w:r>
      <w:r w:rsidR="00EE146C">
        <w:t>reliant on</w:t>
      </w:r>
      <w:r w:rsidR="00DB351B">
        <w:t xml:space="preserve"> imported inputs</w:t>
      </w:r>
      <w:r w:rsidR="00800D87">
        <w:t xml:space="preserve">; missing the opportunity to increase energy resilience and </w:t>
      </w:r>
      <w:r w:rsidR="00A959D0">
        <w:t xml:space="preserve">deliver benefits to </w:t>
      </w:r>
      <w:r w:rsidR="009D7143">
        <w:t>regional economies and communities</w:t>
      </w:r>
      <w:r w:rsidR="00DB351B" w:rsidDel="009D7143">
        <w:t>.</w:t>
      </w:r>
    </w:p>
    <w:p w14:paraId="0E163B3E" w14:textId="3BE5BBFC" w:rsidR="00DB351B" w:rsidRPr="00323AA0" w:rsidRDefault="00DB351B" w:rsidP="00C4423E">
      <w:pPr>
        <w:pStyle w:val="Heading3"/>
        <w:numPr>
          <w:ilvl w:val="0"/>
          <w:numId w:val="0"/>
        </w:numPr>
        <w:ind w:left="964" w:hanging="964"/>
      </w:pPr>
      <w:bookmarkStart w:id="4" w:name="_Toc236928322"/>
      <w:r w:rsidRPr="00323AA0">
        <w:t>National Bioenergy Feedstock Strategy</w:t>
      </w:r>
      <w:bookmarkEnd w:id="4"/>
    </w:p>
    <w:p w14:paraId="05EB6955" w14:textId="154EC156" w:rsidR="00DB351B" w:rsidRDefault="00DB351B" w:rsidP="00DB351B">
      <w:r>
        <w:t>The National Bioenergy Feedstock Strategy sets out how governments, industry and the supply chain can work together to strengthen the</w:t>
      </w:r>
      <w:r w:rsidR="009D7143">
        <w:t xml:space="preserve"> supporting</w:t>
      </w:r>
      <w:r>
        <w:t xml:space="preserve"> conditions for a competitive domestic feedstock industry. It identifies feedstocks as a critical enabler of a low-emissions fuel future and provides a </w:t>
      </w:r>
      <w:r w:rsidR="00917DEE">
        <w:t xml:space="preserve">shared </w:t>
      </w:r>
      <w:r>
        <w:t xml:space="preserve">national </w:t>
      </w:r>
      <w:r w:rsidR="00273E05">
        <w:t>direction</w:t>
      </w:r>
      <w:r>
        <w:t xml:space="preserve"> to unlock production, mobilisation and investment.</w:t>
      </w:r>
    </w:p>
    <w:p w14:paraId="69859B0E" w14:textId="77777777" w:rsidR="00B42431" w:rsidRDefault="00DB351B" w:rsidP="00DB351B">
      <w:r>
        <w:t>The strategy provides direction for building a feedstock industry that is competitive, scalable, sustainable and internationally connected. It does not prescribe projects or mandate particular feedstocks. Instead, it focuses on the enabling conditions</w:t>
      </w:r>
      <w:r w:rsidR="0088039D">
        <w:t xml:space="preserve"> and</w:t>
      </w:r>
      <w:r>
        <w:t xml:space="preserve"> shared priorities needed </w:t>
      </w:r>
      <w:r w:rsidR="00B42431">
        <w:t>to</w:t>
      </w:r>
      <w:r>
        <w:t xml:space="preserve"> </w:t>
      </w:r>
      <w:r w:rsidR="00B42431">
        <w:t xml:space="preserve">help align activity by </w:t>
      </w:r>
      <w:r>
        <w:t>governments, industry, producers</w:t>
      </w:r>
      <w:r w:rsidR="00B42431">
        <w:t xml:space="preserve"> and</w:t>
      </w:r>
      <w:r>
        <w:t xml:space="preserve"> investors</w:t>
      </w:r>
      <w:r w:rsidR="00B42431">
        <w:t>.</w:t>
      </w:r>
    </w:p>
    <w:p w14:paraId="02ABDD3C" w14:textId="5F26FA71" w:rsidR="00DB351B" w:rsidRDefault="00DB351B" w:rsidP="00DB351B">
      <w:r>
        <w:t xml:space="preserve">By reducing uncertainty, improving coordination and clarifying </w:t>
      </w:r>
      <w:r w:rsidR="00B42431">
        <w:t xml:space="preserve">opportunities for further activity, </w:t>
      </w:r>
      <w:r>
        <w:t>the strategy lays the foundation for a feedstock industry that strengthens fuel security, supports emissions reduction and creates lasting opportunities for regional Australia.</w:t>
      </w:r>
    </w:p>
    <w:p w14:paraId="7D0D3729" w14:textId="44CD8603" w:rsidR="004F3AFE" w:rsidRDefault="00DB351B" w:rsidP="004F3AFE">
      <w:r>
        <w:t xml:space="preserve">The strategy focuses on 5 priority areas </w:t>
      </w:r>
      <w:r w:rsidR="00C8016F" w:rsidRPr="00C8016F">
        <w:t>w</w:t>
      </w:r>
      <w:r w:rsidR="00C8016F">
        <w:t>here collective effort</w:t>
      </w:r>
      <w:r w:rsidR="00C8016F" w:rsidRPr="00C8016F">
        <w:t xml:space="preserve"> </w:t>
      </w:r>
      <w:r w:rsidR="00C8016F">
        <w:t xml:space="preserve">would </w:t>
      </w:r>
      <w:r w:rsidR="00C8016F" w:rsidRPr="00C8016F">
        <w:t>enable the</w:t>
      </w:r>
      <w:r>
        <w:t xml:space="preserve"> development</w:t>
      </w:r>
      <w:r w:rsidR="00C8016F" w:rsidRPr="00C8016F">
        <w:t xml:space="preserve"> of a robust and competitive bioenergy feedstock industry</w:t>
      </w:r>
      <w:r w:rsidR="004F3AFE">
        <w:t>. These are</w:t>
      </w:r>
      <w:r>
        <w:t>:</w:t>
      </w:r>
    </w:p>
    <w:p w14:paraId="4F0874F8" w14:textId="05B036B0" w:rsidR="004F3AFE" w:rsidRDefault="004F3AFE" w:rsidP="0037163D">
      <w:pPr>
        <w:pStyle w:val="ListBullet"/>
        <w:numPr>
          <w:ilvl w:val="0"/>
          <w:numId w:val="49"/>
        </w:numPr>
        <w:ind w:left="454" w:hanging="454"/>
      </w:pPr>
      <w:r>
        <w:t>Data to underpin investment</w:t>
      </w:r>
    </w:p>
    <w:p w14:paraId="127C1CD9" w14:textId="78B9B746" w:rsidR="004F3AFE" w:rsidRDefault="004F3AFE" w:rsidP="0037163D">
      <w:pPr>
        <w:pStyle w:val="ListBullet"/>
        <w:numPr>
          <w:ilvl w:val="0"/>
          <w:numId w:val="49"/>
        </w:numPr>
        <w:ind w:left="454" w:hanging="454"/>
      </w:pPr>
      <w:r>
        <w:t>Innovation to advance feedstock readiness</w:t>
      </w:r>
    </w:p>
    <w:p w14:paraId="3E6B60A3" w14:textId="77777777" w:rsidR="004F3AFE" w:rsidRDefault="004F3AFE" w:rsidP="0037163D">
      <w:pPr>
        <w:pStyle w:val="ListBullet"/>
        <w:numPr>
          <w:ilvl w:val="0"/>
          <w:numId w:val="49"/>
        </w:numPr>
        <w:ind w:left="454" w:hanging="454"/>
      </w:pPr>
      <w:r>
        <w:t>Regional supply chain development</w:t>
      </w:r>
    </w:p>
    <w:p w14:paraId="386722B5" w14:textId="77777777" w:rsidR="004F3AFE" w:rsidRDefault="004F3AFE" w:rsidP="0037163D">
      <w:pPr>
        <w:pStyle w:val="ListBullet"/>
        <w:numPr>
          <w:ilvl w:val="0"/>
          <w:numId w:val="49"/>
        </w:numPr>
        <w:ind w:left="454" w:hanging="454"/>
      </w:pPr>
      <w:r>
        <w:t>Sustainability and certification</w:t>
      </w:r>
    </w:p>
    <w:p w14:paraId="67AB5D42" w14:textId="070E8498" w:rsidR="004F3AFE" w:rsidRDefault="000834E7" w:rsidP="0037163D">
      <w:pPr>
        <w:pStyle w:val="ListBullet"/>
        <w:numPr>
          <w:ilvl w:val="0"/>
          <w:numId w:val="49"/>
        </w:numPr>
        <w:ind w:left="454" w:hanging="454"/>
      </w:pPr>
      <w:r>
        <w:t>Building</w:t>
      </w:r>
      <w:r w:rsidR="004F3AFE">
        <w:t xml:space="preserve"> sector capa</w:t>
      </w:r>
      <w:r w:rsidR="0037163D">
        <w:t>bility.</w:t>
      </w:r>
    </w:p>
    <w:p w14:paraId="165302AB" w14:textId="1A3CA362" w:rsidR="00DB351B" w:rsidRDefault="00061445" w:rsidP="00B96D91">
      <w:pPr>
        <w:pStyle w:val="Caption"/>
      </w:pPr>
      <w:bookmarkStart w:id="5" w:name="_Toc235100468"/>
      <w:bookmarkStart w:id="6" w:name="_Toc236992419"/>
      <w:r w:rsidRPr="009438A9">
        <w:rPr>
          <w:noProof/>
        </w:rPr>
        <w:drawing>
          <wp:anchor distT="0" distB="0" distL="114300" distR="114300" simplePos="0" relativeHeight="251658249" behindDoc="0" locked="0" layoutInCell="1" allowOverlap="1" wp14:anchorId="4662D922" wp14:editId="57523C99">
            <wp:simplePos x="0" y="0"/>
            <wp:positionH relativeFrom="column">
              <wp:posOffset>-390525</wp:posOffset>
            </wp:positionH>
            <wp:positionV relativeFrom="paragraph">
              <wp:posOffset>363220</wp:posOffset>
            </wp:positionV>
            <wp:extent cx="6600825" cy="1981200"/>
            <wp:effectExtent l="0" t="0" r="9525" b="0"/>
            <wp:wrapSquare wrapText="bothSides"/>
            <wp:docPr id="125731064" name="Picture 32" descr="The figure shows the five priority areas of the strategy with corresponding graphic representations and a short summary of each. The summaries are as follows: Improving the quality, consistency and accessibility of feedstock data to move from theoretical potential to investment-ready intelligence. Accelerate research, development and demonstration to improve productivity and bring feedstocks to commercial readiness. Support regionally tailored approaches aligning production with infrastructure, logistics and community priorities. Strengthen emissions accounting and certification frameworks to ensure international credibility and market confidence. Enhance coordination, skills, workforce planning and policy alignment across the supply chain to enable confident participation in new mar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793597" name="Picture 32" descr="The figure shows the five priority areas of the strategy with corresponding graphic representations and a short summary of each. The summaries are as follows: Improving the quality, consistency and accessibility of feedstock data to move from theoretical potential to investment-ready intelligence. Accelerate research, development and demonstration to improve productivity and bring feedstocks to commercial readiness. Support regionally tailored approaches aligning production with infrastructure, logistics and community priorities. Strengthen emissions accounting and certification frameworks to ensure international credibility and market confidence. Enhance coordination, skills, workforce planning and policy alignment across the supply chain to enable confident participation in new marke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00825"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6D91">
        <w:t xml:space="preserve">Figure </w:t>
      </w:r>
      <w:fldSimple w:instr=" SEQ Figure \* ARABIC ">
        <w:r w:rsidR="00C71C2F">
          <w:rPr>
            <w:noProof/>
          </w:rPr>
          <w:t>1</w:t>
        </w:r>
      </w:fldSimple>
      <w:r w:rsidR="00B96D91">
        <w:t xml:space="preserve"> Priority areas for collective effort</w:t>
      </w:r>
      <w:bookmarkEnd w:id="5"/>
      <w:bookmarkEnd w:id="6"/>
    </w:p>
    <w:p w14:paraId="099A129F" w14:textId="2E1249F4" w:rsidR="00DB351B" w:rsidRDefault="001E6BF4" w:rsidP="00DB351B">
      <w:r w:rsidRPr="001E6BF4">
        <w:rPr>
          <w:noProof/>
        </w:rPr>
        <w:t xml:space="preserve"> </w:t>
      </w:r>
    </w:p>
    <w:p w14:paraId="44DE4CAF" w14:textId="4D0FE3EE" w:rsidR="007C4B05" w:rsidRPr="007C4B05" w:rsidRDefault="007C4B05" w:rsidP="007C4B05"/>
    <w:p w14:paraId="27FA9E2A" w14:textId="10D3F075" w:rsidR="00DB351B" w:rsidRDefault="00DB351B" w:rsidP="007232AB">
      <w:r>
        <w:t xml:space="preserve">The strategy recognises that no single feedstock, region or technology will deliver the scale required. </w:t>
      </w:r>
      <w:r w:rsidR="00041E2D" w:rsidRPr="00041E2D">
        <w:t>Australia will need to build on its existing feedstock production capacity</w:t>
      </w:r>
      <w:r w:rsidR="00715906">
        <w:t>,</w:t>
      </w:r>
      <w:r w:rsidR="00041E2D" w:rsidRPr="00041E2D">
        <w:t xml:space="preserve"> scaling that up and diversifying into new feedstocks over time. This approach will allow the industry to respond to growing global demand and adapt </w:t>
      </w:r>
      <w:r>
        <w:t xml:space="preserve">to manage climate, market and supply risks, </w:t>
      </w:r>
      <w:r w:rsidR="00742563">
        <w:t xml:space="preserve">technological change, and </w:t>
      </w:r>
      <w:r>
        <w:t xml:space="preserve">protect food and fibre systems. Farmers, foresters and regional communities will be central to this effort as partners in shaping how feedstock </w:t>
      </w:r>
      <w:r w:rsidR="00874F5C">
        <w:t xml:space="preserve">and bioenergy </w:t>
      </w:r>
      <w:r>
        <w:t>industries develop.</w:t>
      </w:r>
    </w:p>
    <w:p w14:paraId="57B9B503" w14:textId="77777777" w:rsidR="00DA5FB3" w:rsidRDefault="00DA5FB3"/>
    <w:p w14:paraId="54EBB8F3" w14:textId="1B0654E1" w:rsidR="005E0897" w:rsidRDefault="005E0897">
      <w:pPr>
        <w:sectPr w:rsidR="005E0897" w:rsidSect="0045360C">
          <w:headerReference w:type="even" r:id="rId20"/>
          <w:headerReference w:type="default" r:id="rId21"/>
          <w:footerReference w:type="even" r:id="rId22"/>
          <w:footerReference w:type="default" r:id="rId23"/>
          <w:headerReference w:type="first" r:id="rId24"/>
          <w:footerReference w:type="first" r:id="rId25"/>
          <w:pgSz w:w="11906" w:h="16838"/>
          <w:pgMar w:top="1418" w:right="1418" w:bottom="1418" w:left="1418" w:header="567" w:footer="283" w:gutter="0"/>
          <w:pgNumType w:fmt="lowerRoman" w:start="1"/>
          <w:cols w:space="708"/>
          <w:titlePg/>
          <w:docGrid w:linePitch="360"/>
        </w:sectPr>
      </w:pPr>
    </w:p>
    <w:p w14:paraId="722315E5" w14:textId="77777777" w:rsidR="00764D6A" w:rsidRPr="00132DD4" w:rsidRDefault="00E91D72" w:rsidP="00132DD4">
      <w:pPr>
        <w:pStyle w:val="Heading2"/>
      </w:pPr>
      <w:bookmarkStart w:id="7" w:name="_Toc430782150"/>
      <w:bookmarkStart w:id="8" w:name="_Toc236928323"/>
      <w:r w:rsidRPr="00132DD4">
        <w:lastRenderedPageBreak/>
        <w:t>Introduction</w:t>
      </w:r>
      <w:bookmarkEnd w:id="7"/>
      <w:bookmarkEnd w:id="8"/>
    </w:p>
    <w:p w14:paraId="11C43157" w14:textId="31E09E63" w:rsidR="00C75500" w:rsidRDefault="00B04A99" w:rsidP="00C75500">
      <w:pPr>
        <w:pStyle w:val="Heading3"/>
      </w:pPr>
      <w:bookmarkStart w:id="9" w:name="_Toc236928324"/>
      <w:r>
        <w:t xml:space="preserve">Bioenergy </w:t>
      </w:r>
      <w:r w:rsidR="00846FC1">
        <w:t>for fuel security and decarbonisation</w:t>
      </w:r>
      <w:bookmarkEnd w:id="9"/>
    </w:p>
    <w:p w14:paraId="1C968C66" w14:textId="31AC0476" w:rsidR="00CD60A3" w:rsidRDefault="004F71E0">
      <w:r w:rsidRPr="004F71E0">
        <w:t xml:space="preserve">Energy underpins Australia’s economy, national security and social wellbeing. </w:t>
      </w:r>
      <w:r w:rsidR="008D6688">
        <w:t xml:space="preserve">Liquid fuels currently make up </w:t>
      </w:r>
      <w:r w:rsidR="007A4879">
        <w:t>almost</w:t>
      </w:r>
      <w:r w:rsidR="007B406E">
        <w:t xml:space="preserve"> half of all energy used in Australia, with more than </w:t>
      </w:r>
      <w:r w:rsidRPr="004F71E0">
        <w:t>5</w:t>
      </w:r>
      <w:r w:rsidR="00105279">
        <w:t>6</w:t>
      </w:r>
      <w:r w:rsidR="00C75500">
        <w:t> </w:t>
      </w:r>
      <w:r w:rsidRPr="004F71E0">
        <w:t xml:space="preserve">billion litres </w:t>
      </w:r>
      <w:r w:rsidR="00CA7219">
        <w:t>consumed</w:t>
      </w:r>
      <w:r w:rsidR="007B406E">
        <w:t xml:space="preserve"> </w:t>
      </w:r>
      <w:r w:rsidRPr="004F71E0">
        <w:t>each year</w:t>
      </w:r>
      <w:r w:rsidR="001329B8">
        <w:t xml:space="preserve"> </w:t>
      </w:r>
      <w:r w:rsidR="001329B8" w:rsidRPr="004F71E0">
        <w:t>(</w:t>
      </w:r>
      <w:r w:rsidR="0075605E" w:rsidRPr="0075605E">
        <w:t>Bioenergy Australia</w:t>
      </w:r>
      <w:r w:rsidR="0075605E">
        <w:t> </w:t>
      </w:r>
      <w:r w:rsidR="0075605E" w:rsidRPr="0075605E">
        <w:t>2025</w:t>
      </w:r>
      <w:r w:rsidR="001329B8" w:rsidRPr="004F71E0">
        <w:t>)</w:t>
      </w:r>
      <w:r w:rsidRPr="004F71E0">
        <w:t xml:space="preserve">. More than </w:t>
      </w:r>
      <w:r w:rsidR="00E07EDC">
        <w:t>9</w:t>
      </w:r>
      <w:r w:rsidRPr="004F71E0">
        <w:t xml:space="preserve">0% </w:t>
      </w:r>
      <w:r w:rsidR="001C0D4C">
        <w:t xml:space="preserve">of that </w:t>
      </w:r>
      <w:r w:rsidRPr="004F71E0">
        <w:t>is imported</w:t>
      </w:r>
      <w:r w:rsidR="00E07EDC">
        <w:t xml:space="preserve"> </w:t>
      </w:r>
      <w:r w:rsidR="00C04213">
        <w:t xml:space="preserve">or derived from imported crude </w:t>
      </w:r>
      <w:r w:rsidR="00E07EDC">
        <w:t>(DCCEEW</w:t>
      </w:r>
      <w:r w:rsidR="00CA29A2">
        <w:t> </w:t>
      </w:r>
      <w:r w:rsidR="00E07EDC">
        <w:t>2026)</w:t>
      </w:r>
      <w:r w:rsidRPr="004F71E0">
        <w:t>, at a cost of</w:t>
      </w:r>
      <w:r w:rsidR="00E07EDC">
        <w:t xml:space="preserve"> over</w:t>
      </w:r>
      <w:r w:rsidRPr="004F71E0">
        <w:t xml:space="preserve"> $50</w:t>
      </w:r>
      <w:r w:rsidR="00C75500">
        <w:t> </w:t>
      </w:r>
      <w:r w:rsidRPr="004F71E0">
        <w:t>billion (CEFC</w:t>
      </w:r>
      <w:r w:rsidR="00C75500">
        <w:t> </w:t>
      </w:r>
      <w:r w:rsidRPr="004F71E0">
        <w:t xml:space="preserve">2025). Liquid fuels </w:t>
      </w:r>
      <w:r w:rsidR="00797892">
        <w:t>also contribute</w:t>
      </w:r>
      <w:r w:rsidRPr="004F71E0">
        <w:t xml:space="preserve"> about 32% of national </w:t>
      </w:r>
      <w:r w:rsidR="005065E2">
        <w:t>greenhouse gas</w:t>
      </w:r>
      <w:r w:rsidR="00247FF7">
        <w:t xml:space="preserve"> (GHG)</w:t>
      </w:r>
      <w:r w:rsidR="005065E2">
        <w:t xml:space="preserve"> </w:t>
      </w:r>
      <w:r w:rsidRPr="004F71E0">
        <w:t>emissions (DCCEEW</w:t>
      </w:r>
      <w:r w:rsidR="00C75500">
        <w:t> </w:t>
      </w:r>
      <w:r w:rsidR="00EC0AFB">
        <w:t>2026</w:t>
      </w:r>
      <w:r w:rsidRPr="004F71E0">
        <w:t>).</w:t>
      </w:r>
    </w:p>
    <w:p w14:paraId="01EA2578" w14:textId="3517AD46" w:rsidR="007232AB" w:rsidRPr="00E0204A" w:rsidRDefault="007232AB" w:rsidP="007232AB">
      <w:r>
        <w:t>Australia’s reliance</w:t>
      </w:r>
      <w:r w:rsidRPr="00B518F3">
        <w:t xml:space="preserve"> on imported</w:t>
      </w:r>
      <w:r>
        <w:t xml:space="preserve"> liquid</w:t>
      </w:r>
      <w:r w:rsidRPr="00B518F3">
        <w:t xml:space="preserve"> fuels leaves the </w:t>
      </w:r>
      <w:r>
        <w:t>country</w:t>
      </w:r>
      <w:r w:rsidRPr="00B518F3">
        <w:t xml:space="preserve"> exposed to </w:t>
      </w:r>
      <w:r>
        <w:t xml:space="preserve">global market </w:t>
      </w:r>
      <w:r w:rsidRPr="00B518F3">
        <w:t xml:space="preserve">volatility and supply chain </w:t>
      </w:r>
      <w:r>
        <w:t>disruption</w:t>
      </w:r>
      <w:r w:rsidRPr="00B518F3">
        <w:t>.</w:t>
      </w:r>
      <w:r w:rsidR="00797892">
        <w:t xml:space="preserve"> It also makes it harder to meet Australia’s climate targets.</w:t>
      </w:r>
    </w:p>
    <w:p w14:paraId="0EAC217F" w14:textId="21804C49" w:rsidR="007232AB" w:rsidRPr="00E0204A" w:rsidRDefault="006C138C" w:rsidP="007232AB">
      <w:r w:rsidRPr="006C138C">
        <w:rPr>
          <w:noProof/>
        </w:rPr>
        <w:drawing>
          <wp:anchor distT="0" distB="0" distL="114300" distR="114300" simplePos="0" relativeHeight="251658244" behindDoc="0" locked="0" layoutInCell="1" allowOverlap="1" wp14:anchorId="5A87F754" wp14:editId="64A2162A">
            <wp:simplePos x="0" y="0"/>
            <wp:positionH relativeFrom="margin">
              <wp:align>right</wp:align>
            </wp:positionH>
            <wp:positionV relativeFrom="paragraph">
              <wp:posOffset>7620</wp:posOffset>
            </wp:positionV>
            <wp:extent cx="2405380" cy="1381125"/>
            <wp:effectExtent l="0" t="0" r="0" b="9525"/>
            <wp:wrapSquare wrapText="bothSides"/>
            <wp:docPr id="2062774098" name="Picture 16" descr="Petroleum diesel represents over 90% of on-farm energy use and up to 8% of on-farm cash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774098" name="Picture 16" descr="Petroleum diesel represents over 90% of on-farm energy use and up to 8% of on-farm cash cost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053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A50">
        <w:t xml:space="preserve">Electrification </w:t>
      </w:r>
      <w:r w:rsidR="00742563">
        <w:t xml:space="preserve">is </w:t>
      </w:r>
      <w:r w:rsidR="00041A50">
        <w:t>critical to reducing reliance on imported fuels and achieving climate targets. However</w:t>
      </w:r>
      <w:r w:rsidR="005811D8">
        <w:t>,</w:t>
      </w:r>
      <w:r w:rsidR="00041A50">
        <w:t xml:space="preserve"> parts of the </w:t>
      </w:r>
      <w:r w:rsidR="00F72C7A">
        <w:t>economy</w:t>
      </w:r>
      <w:r w:rsidR="00041A50">
        <w:t xml:space="preserve"> are hard</w:t>
      </w:r>
      <w:r w:rsidR="00F72C7A">
        <w:t>-</w:t>
      </w:r>
      <w:r w:rsidR="00041A50">
        <w:t>to</w:t>
      </w:r>
      <w:r w:rsidR="00F72C7A">
        <w:t>-</w:t>
      </w:r>
      <w:r w:rsidR="00041A50">
        <w:t>elect</w:t>
      </w:r>
      <w:r w:rsidR="005811D8">
        <w:t>rify</w:t>
      </w:r>
      <w:r w:rsidR="00041A50">
        <w:t xml:space="preserve"> and are expected to continue relying on liquid fuels </w:t>
      </w:r>
      <w:r w:rsidR="00F72C7A">
        <w:t>through to 2050. Th</w:t>
      </w:r>
      <w:r w:rsidR="00742563">
        <w:t>is</w:t>
      </w:r>
      <w:r w:rsidR="00F72C7A">
        <w:t xml:space="preserve"> include</w:t>
      </w:r>
      <w:r w:rsidR="00742563">
        <w:t>s</w:t>
      </w:r>
      <w:r w:rsidR="00041A50">
        <w:t xml:space="preserve"> a</w:t>
      </w:r>
      <w:r w:rsidR="007232AB">
        <w:t>viation</w:t>
      </w:r>
      <w:r w:rsidR="007232AB" w:rsidRPr="00B518F3">
        <w:t>, heavy freight, mining, agriculture, maritime transport and construction</w:t>
      </w:r>
      <w:r w:rsidR="007232AB">
        <w:t>.</w:t>
      </w:r>
      <w:r w:rsidR="007232AB" w:rsidRPr="00B518F3">
        <w:t xml:space="preserve"> </w:t>
      </w:r>
      <w:r w:rsidR="007232AB">
        <w:t xml:space="preserve">Australian </w:t>
      </w:r>
      <w:r w:rsidR="007232AB" w:rsidRPr="00B518F3">
        <w:t xml:space="preserve">demand </w:t>
      </w:r>
      <w:r w:rsidR="00742563">
        <w:t xml:space="preserve">for liquid fuels </w:t>
      </w:r>
      <w:r w:rsidR="007232AB">
        <w:t xml:space="preserve">is </w:t>
      </w:r>
      <w:r w:rsidR="007232AB" w:rsidRPr="00B518F3">
        <w:t xml:space="preserve">projected </w:t>
      </w:r>
      <w:r w:rsidR="007232AB">
        <w:t xml:space="preserve">to remain </w:t>
      </w:r>
      <w:r w:rsidR="007232AB" w:rsidRPr="00B518F3">
        <w:t>around 30</w:t>
      </w:r>
      <w:r w:rsidR="007232AB">
        <w:t> </w:t>
      </w:r>
      <w:r w:rsidR="007232AB" w:rsidRPr="00B518F3">
        <w:t xml:space="preserve">billion litres </w:t>
      </w:r>
      <w:r w:rsidR="007232AB">
        <w:t>a</w:t>
      </w:r>
      <w:r w:rsidR="007232AB" w:rsidRPr="00B518F3">
        <w:t xml:space="preserve"> year </w:t>
      </w:r>
      <w:r w:rsidR="007232AB">
        <w:t>in</w:t>
      </w:r>
      <w:r w:rsidR="0012096E">
        <w:t> </w:t>
      </w:r>
      <w:r w:rsidR="007232AB">
        <w:t xml:space="preserve">2050 </w:t>
      </w:r>
      <w:r w:rsidR="007232AB" w:rsidRPr="00B518F3">
        <w:t>(Bioenergy Australia</w:t>
      </w:r>
      <w:r w:rsidR="007232AB">
        <w:t> </w:t>
      </w:r>
      <w:r w:rsidR="007232AB" w:rsidRPr="00B518F3">
        <w:t>2025).</w:t>
      </w:r>
    </w:p>
    <w:p w14:paraId="7F2541DF" w14:textId="364E9E75" w:rsidR="00C307AB" w:rsidRDefault="007232AB" w:rsidP="007232AB">
      <w:r w:rsidRPr="00BD0C19">
        <w:t xml:space="preserve">Reducing emissions in these hard-to-electrify sectors will require a shift to </w:t>
      </w:r>
      <w:r w:rsidR="00EF1997" w:rsidRPr="00BD0C19">
        <w:t>low carbon energy sources</w:t>
      </w:r>
      <w:r w:rsidRPr="00BD0C19">
        <w:t>, especially low carbon liquid fuels (LCLFs).</w:t>
      </w:r>
    </w:p>
    <w:p w14:paraId="654EF7EE" w14:textId="63C22D77" w:rsidR="007232AB" w:rsidRDefault="007232AB" w:rsidP="007232AB">
      <w:r w:rsidRPr="00BD0C19">
        <w:t>LCLFs</w:t>
      </w:r>
      <w:r w:rsidR="00E55494" w:rsidRPr="00BD0C19">
        <w:t xml:space="preserve"> – which include biofuels and e-fuels – </w:t>
      </w:r>
      <w:r w:rsidR="00774C0D">
        <w:t xml:space="preserve">offer a path forward. These fuels </w:t>
      </w:r>
      <w:r w:rsidRPr="00BD0C19">
        <w:t xml:space="preserve">are </w:t>
      </w:r>
      <w:proofErr w:type="gramStart"/>
      <w:r w:rsidRPr="00BD0C19">
        <w:t>most commonly made</w:t>
      </w:r>
      <w:proofErr w:type="gramEnd"/>
      <w:r w:rsidRPr="00BD0C19">
        <w:t xml:space="preserve"> from non-fossil carbon sources including agricultural </w:t>
      </w:r>
      <w:r w:rsidR="001148F8">
        <w:t>commodities</w:t>
      </w:r>
      <w:r w:rsidRPr="00BD0C19">
        <w:t xml:space="preserve">, forestry </w:t>
      </w:r>
      <w:r w:rsidR="00C422C5">
        <w:t>and cropping residues</w:t>
      </w:r>
      <w:r w:rsidRPr="00BD0C19">
        <w:t xml:space="preserve">, </w:t>
      </w:r>
      <w:r w:rsidR="004622F7">
        <w:t xml:space="preserve">and </w:t>
      </w:r>
      <w:r w:rsidRPr="00BD0C19">
        <w:t xml:space="preserve">waste </w:t>
      </w:r>
      <w:r w:rsidRPr="000D0E6A">
        <w:t>streams.</w:t>
      </w:r>
      <w:r w:rsidR="000D0E6A" w:rsidRPr="000D0E6A">
        <w:t xml:space="preserve"> </w:t>
      </w:r>
      <w:r w:rsidR="00C307AB">
        <w:t xml:space="preserve">They currently </w:t>
      </w:r>
      <w:r w:rsidRPr="000D0E6A">
        <w:t>make up less than 1% of Australia’s fuel use (DCCEEW </w:t>
      </w:r>
      <w:r w:rsidR="00ED1F7A" w:rsidRPr="000D0E6A">
        <w:t>2026</w:t>
      </w:r>
      <w:r w:rsidRPr="000D0E6A">
        <w:t>)</w:t>
      </w:r>
      <w:r w:rsidR="00D6787F">
        <w:t xml:space="preserve">, but by expanding </w:t>
      </w:r>
      <w:r w:rsidRPr="000D0E6A">
        <w:t xml:space="preserve">production and use </w:t>
      </w:r>
      <w:r w:rsidR="00D6787F">
        <w:t xml:space="preserve">they </w:t>
      </w:r>
      <w:r w:rsidR="00915E8C">
        <w:t>could significantly</w:t>
      </w:r>
      <w:r w:rsidRPr="000D0E6A">
        <w:t xml:space="preserve"> reduce reliance on imported fuels </w:t>
      </w:r>
      <w:r w:rsidR="00D6787F">
        <w:t>and</w:t>
      </w:r>
      <w:r w:rsidR="00D6787F" w:rsidRPr="000D0E6A">
        <w:t xml:space="preserve"> </w:t>
      </w:r>
      <w:r w:rsidRPr="000D0E6A">
        <w:t>support</w:t>
      </w:r>
      <w:r w:rsidR="00714225" w:rsidRPr="000D0E6A">
        <w:t xml:space="preserve"> cumulative</w:t>
      </w:r>
      <w:r w:rsidRPr="000D0E6A">
        <w:t xml:space="preserve"> emissions reduction </w:t>
      </w:r>
      <w:r w:rsidR="00502AFD" w:rsidRPr="000D0E6A">
        <w:t xml:space="preserve">of up to </w:t>
      </w:r>
      <w:r w:rsidR="00297CBD" w:rsidRPr="000D0E6A">
        <w:t>230</w:t>
      </w:r>
      <w:r w:rsidR="00244792" w:rsidRPr="000D0E6A">
        <w:t> </w:t>
      </w:r>
      <w:r w:rsidR="00297CBD" w:rsidRPr="000D0E6A">
        <w:t>million tonnes</w:t>
      </w:r>
      <w:r w:rsidR="00502AFD" w:rsidRPr="000D0E6A">
        <w:t xml:space="preserve"> </w:t>
      </w:r>
      <w:r w:rsidR="00297CBD" w:rsidRPr="000D0E6A">
        <w:t>of CO</w:t>
      </w:r>
      <w:r w:rsidR="00297CBD" w:rsidRPr="000D0E6A">
        <w:rPr>
          <w:vertAlign w:val="subscript"/>
        </w:rPr>
        <w:t>2</w:t>
      </w:r>
      <w:r w:rsidR="00297CBD" w:rsidRPr="000D0E6A">
        <w:t xml:space="preserve"> </w:t>
      </w:r>
      <w:r w:rsidR="00831230" w:rsidRPr="000D0E6A">
        <w:t>by</w:t>
      </w:r>
      <w:r w:rsidR="00211734">
        <w:t> </w:t>
      </w:r>
      <w:r w:rsidR="00831230" w:rsidRPr="000D0E6A">
        <w:t xml:space="preserve">2050 </w:t>
      </w:r>
      <w:r w:rsidR="00297CBD" w:rsidRPr="000D0E6A">
        <w:t>(CEFC</w:t>
      </w:r>
      <w:r w:rsidR="00244792" w:rsidRPr="000D0E6A">
        <w:t> </w:t>
      </w:r>
      <w:r w:rsidR="00297CBD" w:rsidRPr="000D0E6A">
        <w:t>2025).</w:t>
      </w:r>
    </w:p>
    <w:p w14:paraId="6FC3C154" w14:textId="46C5BDDB" w:rsidR="00846FC1" w:rsidRDefault="00846FC1" w:rsidP="007619F8">
      <w:pPr>
        <w:pStyle w:val="Heading3"/>
      </w:pPr>
      <w:bookmarkStart w:id="10" w:name="_Toc236928325"/>
      <w:r>
        <w:t>Increasing g</w:t>
      </w:r>
      <w:r w:rsidR="00B4727D">
        <w:t>lobal investment</w:t>
      </w:r>
      <w:bookmarkEnd w:id="10"/>
    </w:p>
    <w:p w14:paraId="536593B5" w14:textId="73AC2936" w:rsidR="007232AB" w:rsidRDefault="00915E8C" w:rsidP="007232AB">
      <w:r>
        <w:t xml:space="preserve">Momentum around the use of bioenergy and LCLFs is expanding globally. </w:t>
      </w:r>
      <w:r w:rsidR="008B1414" w:rsidRPr="008B1414">
        <w:t>Advanced drop-in LCLFs and gases are becoming increasingly important in hard-to-electrify sectors. These fuels, which can be used in existing engines and infrastructure without modification, include sustainable aviation fuel (SAF), renewable diesel and biomethane</w:t>
      </w:r>
      <w:r w:rsidR="007232AB" w:rsidRPr="00B518F3">
        <w:t xml:space="preserve">. SAF </w:t>
      </w:r>
      <w:r w:rsidR="007232AB">
        <w:t>made</w:t>
      </w:r>
      <w:r w:rsidR="007232AB" w:rsidRPr="00B518F3">
        <w:t xml:space="preserve"> from biogenic feedstocks </w:t>
      </w:r>
      <w:r w:rsidR="007232AB">
        <w:t>is</w:t>
      </w:r>
      <w:r w:rsidR="007232AB" w:rsidRPr="00B518F3">
        <w:t xml:space="preserve"> one of the lowest</w:t>
      </w:r>
      <w:r w:rsidR="007232AB">
        <w:t>-</w:t>
      </w:r>
      <w:r w:rsidR="007232AB" w:rsidRPr="00B518F3">
        <w:t>cost pathways for low</w:t>
      </w:r>
      <w:r w:rsidR="007232AB">
        <w:t>-</w:t>
      </w:r>
      <w:r w:rsidR="007232AB" w:rsidRPr="00B518F3">
        <w:t xml:space="preserve">emissions aviation fuel, while renewable diesel and biomethane </w:t>
      </w:r>
      <w:r w:rsidR="007232AB">
        <w:t>help reduce</w:t>
      </w:r>
      <w:r w:rsidR="007232AB" w:rsidRPr="00B518F3">
        <w:t xml:space="preserve"> emissions </w:t>
      </w:r>
      <w:r w:rsidR="007232AB">
        <w:t>from</w:t>
      </w:r>
      <w:r w:rsidR="007232AB" w:rsidRPr="00B518F3">
        <w:t xml:space="preserve"> long</w:t>
      </w:r>
      <w:r w:rsidR="007232AB">
        <w:t>-</w:t>
      </w:r>
      <w:r w:rsidR="007232AB" w:rsidRPr="00B518F3">
        <w:t>lived assets</w:t>
      </w:r>
      <w:r w:rsidR="00A2164D">
        <w:t xml:space="preserve"> in other industries</w:t>
      </w:r>
      <w:r w:rsidR="007232AB" w:rsidRPr="00B518F3">
        <w:t xml:space="preserve"> (CEFC</w:t>
      </w:r>
      <w:r w:rsidR="007232AB">
        <w:t> </w:t>
      </w:r>
      <w:r w:rsidR="007232AB" w:rsidRPr="00B518F3">
        <w:t>2025; CSIRO</w:t>
      </w:r>
      <w:r w:rsidR="007232AB">
        <w:t> </w:t>
      </w:r>
      <w:r w:rsidR="007232AB" w:rsidRPr="00B518F3">
        <w:t>2023).</w:t>
      </w:r>
    </w:p>
    <w:p w14:paraId="75C23BF9" w14:textId="4A3CF648" w:rsidR="00A713CB" w:rsidRDefault="006C283F" w:rsidP="007232AB">
      <w:r>
        <w:t xml:space="preserve">Global </w:t>
      </w:r>
      <w:r w:rsidR="007232AB">
        <w:t>growth</w:t>
      </w:r>
      <w:r w:rsidR="007232AB" w:rsidRPr="00B518F3">
        <w:t xml:space="preserve"> </w:t>
      </w:r>
      <w:r w:rsidR="008E7547">
        <w:t xml:space="preserve">in use of bioenergy </w:t>
      </w:r>
      <w:r w:rsidR="007232AB" w:rsidRPr="00B518F3">
        <w:t xml:space="preserve">is </w:t>
      </w:r>
      <w:r w:rsidR="007232AB">
        <w:t>supported</w:t>
      </w:r>
      <w:r w:rsidR="007232AB" w:rsidRPr="00B518F3">
        <w:t xml:space="preserve"> by policy </w:t>
      </w:r>
      <w:r w:rsidR="007232AB">
        <w:t>settings</w:t>
      </w:r>
      <w:r w:rsidR="007232AB" w:rsidRPr="00B518F3">
        <w:t xml:space="preserve"> such as fuel blending mandates and low carbon fuel standards across the Asia</w:t>
      </w:r>
      <w:r w:rsidR="007232AB">
        <w:t>-</w:t>
      </w:r>
      <w:r w:rsidR="007232AB" w:rsidRPr="00B518F3">
        <w:t>Pacific, Europe and the Americas (IEA</w:t>
      </w:r>
      <w:r w:rsidR="007232AB">
        <w:t> </w:t>
      </w:r>
      <w:r w:rsidR="007232AB" w:rsidRPr="00B518F3">
        <w:t>2025a).</w:t>
      </w:r>
      <w:r w:rsidR="007232AB">
        <w:t xml:space="preserve"> </w:t>
      </w:r>
      <w:r w:rsidR="00860530">
        <w:t xml:space="preserve">These policies </w:t>
      </w:r>
      <w:r w:rsidR="007B38BB">
        <w:t>saw</w:t>
      </w:r>
      <w:r w:rsidR="00860530">
        <w:t xml:space="preserve"> g</w:t>
      </w:r>
      <w:r w:rsidR="007232AB">
        <w:t xml:space="preserve">lobal </w:t>
      </w:r>
      <w:r w:rsidR="007232AB" w:rsidRPr="00B518F3">
        <w:t xml:space="preserve">LCLF </w:t>
      </w:r>
      <w:r w:rsidR="007232AB">
        <w:t>production</w:t>
      </w:r>
      <w:r w:rsidR="007232AB" w:rsidRPr="00B518F3">
        <w:t xml:space="preserve"> quadruple since 2014</w:t>
      </w:r>
      <w:r w:rsidR="007232AB">
        <w:t>. Investment reached</w:t>
      </w:r>
      <w:r w:rsidR="007232AB" w:rsidRPr="00B518F3">
        <w:t xml:space="preserve"> </w:t>
      </w:r>
      <w:r w:rsidR="007232AB">
        <w:t xml:space="preserve">USD </w:t>
      </w:r>
      <w:r w:rsidR="007232AB" w:rsidRPr="00B518F3">
        <w:t>$16</w:t>
      </w:r>
      <w:r w:rsidR="007232AB">
        <w:t xml:space="preserve"> </w:t>
      </w:r>
      <w:r w:rsidR="007232AB" w:rsidRPr="00B518F3">
        <w:t>billion in</w:t>
      </w:r>
      <w:r w:rsidR="0012096E">
        <w:t> </w:t>
      </w:r>
      <w:r w:rsidR="007232AB" w:rsidRPr="00B518F3">
        <w:t>2025</w:t>
      </w:r>
      <w:r w:rsidR="0012096E">
        <w:t>-</w:t>
      </w:r>
      <w:r w:rsidR="007232AB" w:rsidRPr="00B518F3">
        <w:t>26</w:t>
      </w:r>
      <w:r w:rsidR="007232AB">
        <w:t>,</w:t>
      </w:r>
      <w:r w:rsidR="007232AB" w:rsidRPr="00B518F3">
        <w:t xml:space="preserve"> supporting </w:t>
      </w:r>
      <w:r w:rsidR="007232AB">
        <w:t>about</w:t>
      </w:r>
      <w:r w:rsidR="007232AB" w:rsidRPr="00B518F3">
        <w:t xml:space="preserve"> 30</w:t>
      </w:r>
      <w:r w:rsidR="007232AB">
        <w:t> </w:t>
      </w:r>
      <w:r w:rsidR="007232AB" w:rsidRPr="00B518F3">
        <w:t xml:space="preserve">billion litres of </w:t>
      </w:r>
      <w:r w:rsidR="007232AB">
        <w:t>annual production</w:t>
      </w:r>
      <w:r w:rsidR="007232AB" w:rsidRPr="00B518F3">
        <w:t xml:space="preserve"> (CEFC</w:t>
      </w:r>
      <w:r w:rsidR="007232AB">
        <w:t xml:space="preserve"> </w:t>
      </w:r>
      <w:r w:rsidR="007232AB" w:rsidRPr="00B518F3">
        <w:t>2025).</w:t>
      </w:r>
    </w:p>
    <w:p w14:paraId="0FAFF47C" w14:textId="399727AA" w:rsidR="00A713CB" w:rsidRDefault="007B38BB" w:rsidP="00A713CB">
      <w:r>
        <w:lastRenderedPageBreak/>
        <w:t xml:space="preserve">The global outlook </w:t>
      </w:r>
      <w:r w:rsidR="00360D3B">
        <w:t>is</w:t>
      </w:r>
      <w:r>
        <w:t xml:space="preserve"> positive. </w:t>
      </w:r>
      <w:r w:rsidR="00494BA6">
        <w:t>D</w:t>
      </w:r>
      <w:r w:rsidR="007232AB" w:rsidRPr="00B518F3">
        <w:t xml:space="preserve">emand </w:t>
      </w:r>
      <w:r w:rsidR="006B26D9">
        <w:t xml:space="preserve">for LCLF </w:t>
      </w:r>
      <w:r w:rsidR="007232AB" w:rsidRPr="00B518F3">
        <w:t>is projected to reach 43</w:t>
      </w:r>
      <w:r w:rsidR="007232AB">
        <w:t> </w:t>
      </w:r>
      <w:r w:rsidR="007232AB" w:rsidRPr="00B518F3">
        <w:t xml:space="preserve">billion litres by 2030, </w:t>
      </w:r>
      <w:r w:rsidR="007232AB">
        <w:t>or about</w:t>
      </w:r>
      <w:r w:rsidR="007232AB" w:rsidRPr="00B518F3">
        <w:t xml:space="preserve"> 8% of total transport fuel demand (IEA</w:t>
      </w:r>
      <w:r w:rsidR="007232AB">
        <w:t> </w:t>
      </w:r>
      <w:r w:rsidR="007232AB" w:rsidRPr="00B518F3">
        <w:t>2025a).</w:t>
      </w:r>
      <w:r w:rsidR="00A713CB">
        <w:t xml:space="preserve"> Meeting </w:t>
      </w:r>
      <w:r w:rsidR="001B0847">
        <w:t xml:space="preserve">this </w:t>
      </w:r>
      <w:r w:rsidR="00A713CB">
        <w:t xml:space="preserve">demand will require a major increase </w:t>
      </w:r>
      <w:r w:rsidR="00A713CB" w:rsidRPr="00B518F3">
        <w:t>in feedstock supply</w:t>
      </w:r>
      <w:r w:rsidR="008C6B7D">
        <w:t>, with g</w:t>
      </w:r>
      <w:r w:rsidR="00A713CB">
        <w:t>lobal</w:t>
      </w:r>
      <w:r w:rsidR="003C33C3">
        <w:t xml:space="preserve"> feedstock</w:t>
      </w:r>
      <w:r w:rsidR="00A713CB" w:rsidRPr="00B518F3">
        <w:t xml:space="preserve"> demand projected to </w:t>
      </w:r>
      <w:r w:rsidR="00A713CB">
        <w:t xml:space="preserve">rise </w:t>
      </w:r>
      <w:r w:rsidR="00A713CB" w:rsidRPr="00B518F3">
        <w:t xml:space="preserve">by </w:t>
      </w:r>
      <w:r w:rsidR="00A713CB">
        <w:t>almost</w:t>
      </w:r>
      <w:r w:rsidR="00A713CB" w:rsidRPr="00B518F3">
        <w:t xml:space="preserve"> 25% by 2030, </w:t>
      </w:r>
      <w:r w:rsidR="00A713CB">
        <w:t>reaching</w:t>
      </w:r>
      <w:r w:rsidR="00A713CB" w:rsidRPr="00B518F3">
        <w:t xml:space="preserve"> </w:t>
      </w:r>
      <w:r w:rsidR="006110E6">
        <w:t>nearly</w:t>
      </w:r>
      <w:r w:rsidR="00A713CB" w:rsidRPr="00B518F3">
        <w:t xml:space="preserve"> 8</w:t>
      </w:r>
      <w:r w:rsidR="006110E6">
        <w:t>25</w:t>
      </w:r>
      <w:r w:rsidR="00A713CB">
        <w:t> </w:t>
      </w:r>
      <w:r w:rsidR="00A713CB" w:rsidRPr="00B518F3">
        <w:t xml:space="preserve">million tonnes </w:t>
      </w:r>
      <w:r w:rsidR="00A713CB">
        <w:t>a</w:t>
      </w:r>
      <w:r w:rsidR="00A713CB" w:rsidRPr="00B518F3">
        <w:t xml:space="preserve"> year </w:t>
      </w:r>
      <w:r w:rsidR="003466A7">
        <w:t xml:space="preserve">in total </w:t>
      </w:r>
      <w:r w:rsidR="00A713CB" w:rsidRPr="00B518F3">
        <w:t>(IEA</w:t>
      </w:r>
      <w:r w:rsidR="00A713CB">
        <w:t> </w:t>
      </w:r>
      <w:r w:rsidR="00A713CB" w:rsidRPr="00B518F3">
        <w:t>2025a).</w:t>
      </w:r>
    </w:p>
    <w:p w14:paraId="4D863CC3" w14:textId="4372E017" w:rsidR="00EC3610" w:rsidRDefault="00866D8E" w:rsidP="00E82A8D">
      <w:pPr>
        <w:pStyle w:val="Heading3"/>
      </w:pPr>
      <w:bookmarkStart w:id="11" w:name="_Toc236928326"/>
      <w:r>
        <w:t xml:space="preserve">Australia’s policy </w:t>
      </w:r>
      <w:r w:rsidR="0095657C">
        <w:t>landscape</w:t>
      </w:r>
      <w:bookmarkEnd w:id="11"/>
    </w:p>
    <w:p w14:paraId="36DA3A57" w14:textId="3FE53D17" w:rsidR="009128C4" w:rsidRDefault="00D27D39" w:rsidP="00E82A8D">
      <w:r>
        <w:t>T</w:t>
      </w:r>
      <w:r w:rsidR="00B31EAC" w:rsidRPr="00F13C53">
        <w:t>he</w:t>
      </w:r>
      <w:r w:rsidR="00B31EAC" w:rsidRPr="00331F5E">
        <w:t xml:space="preserve"> Australian Government is supporting a domestic LCLF industry through its fuel security and decarbonisation agenda, </w:t>
      </w:r>
      <w:r w:rsidR="00F208F2">
        <w:t>with the import</w:t>
      </w:r>
      <w:r w:rsidR="006A2D04">
        <w:t xml:space="preserve">ant role of </w:t>
      </w:r>
      <w:r w:rsidR="00F208F2">
        <w:t>these alternative fue</w:t>
      </w:r>
      <w:r w:rsidR="006A2D04">
        <w:t>l</w:t>
      </w:r>
      <w:r w:rsidR="00F208F2">
        <w:t>s recognised in the</w:t>
      </w:r>
      <w:r w:rsidR="00B31EAC" w:rsidRPr="00331F5E">
        <w:t xml:space="preserve"> </w:t>
      </w:r>
      <w:r w:rsidR="00B31EAC" w:rsidRPr="00331F5E">
        <w:rPr>
          <w:i/>
          <w:iCs/>
        </w:rPr>
        <w:t xml:space="preserve">Net Zero Plan </w:t>
      </w:r>
      <w:r w:rsidR="00B31EAC" w:rsidRPr="00331F5E">
        <w:t>and sector emissions reduction plans.</w:t>
      </w:r>
    </w:p>
    <w:p w14:paraId="5439DB89" w14:textId="6DFB35D7" w:rsidR="00B4727D" w:rsidRDefault="00CB0B14" w:rsidP="00FD3AFB">
      <w:pPr>
        <w:rPr>
          <w:iCs/>
        </w:rPr>
      </w:pPr>
      <w:r>
        <w:rPr>
          <w:iCs/>
        </w:rPr>
        <w:t xml:space="preserve">The </w:t>
      </w:r>
      <w:r w:rsidRPr="00C96475">
        <w:rPr>
          <w:iCs/>
        </w:rPr>
        <w:t>$1.1 billion Cleaner Fuels Program</w:t>
      </w:r>
      <w:r w:rsidR="00FF7252">
        <w:rPr>
          <w:iCs/>
        </w:rPr>
        <w:t xml:space="preserve"> </w:t>
      </w:r>
      <w:r>
        <w:rPr>
          <w:iCs/>
        </w:rPr>
        <w:t xml:space="preserve">is </w:t>
      </w:r>
      <w:r w:rsidR="00AD1ADD">
        <w:rPr>
          <w:iCs/>
        </w:rPr>
        <w:t xml:space="preserve">a key </w:t>
      </w:r>
      <w:r w:rsidR="004978AA">
        <w:rPr>
          <w:iCs/>
        </w:rPr>
        <w:t>measure and is intended to assi</w:t>
      </w:r>
      <w:r w:rsidR="008F54C0">
        <w:rPr>
          <w:iCs/>
        </w:rPr>
        <w:t>s</w:t>
      </w:r>
      <w:r w:rsidR="004978AA">
        <w:rPr>
          <w:iCs/>
        </w:rPr>
        <w:t xml:space="preserve">t first movers and help establish </w:t>
      </w:r>
      <w:r w:rsidR="00B91EB9">
        <w:rPr>
          <w:iCs/>
        </w:rPr>
        <w:t>a domestic industry</w:t>
      </w:r>
      <w:r w:rsidR="0054152F">
        <w:rPr>
          <w:iCs/>
        </w:rPr>
        <w:t>.</w:t>
      </w:r>
      <w:r>
        <w:rPr>
          <w:iCs/>
        </w:rPr>
        <w:t xml:space="preserve"> It will</w:t>
      </w:r>
      <w:r w:rsidRPr="00C96475">
        <w:rPr>
          <w:iCs/>
        </w:rPr>
        <w:t xml:space="preserve"> provide production-linked incentives and support for projects that are advanced in development and target production </w:t>
      </w:r>
      <w:proofErr w:type="gramStart"/>
      <w:r w:rsidRPr="00C96475">
        <w:rPr>
          <w:iCs/>
        </w:rPr>
        <w:t>in the near future</w:t>
      </w:r>
      <w:proofErr w:type="gramEnd"/>
      <w:r w:rsidRPr="00C96475">
        <w:rPr>
          <w:iCs/>
        </w:rPr>
        <w:t>.</w:t>
      </w:r>
    </w:p>
    <w:p w14:paraId="24A7E359" w14:textId="3BD34CAE" w:rsidR="008520FF" w:rsidRDefault="004D2381" w:rsidP="00FD3AFB">
      <w:pPr>
        <w:rPr>
          <w:iCs/>
        </w:rPr>
      </w:pPr>
      <w:r>
        <w:rPr>
          <w:iCs/>
        </w:rPr>
        <w:t>Alongside this, in</w:t>
      </w:r>
      <w:r w:rsidR="00CB0B14">
        <w:rPr>
          <w:iCs/>
        </w:rPr>
        <w:t xml:space="preserve"> the </w:t>
      </w:r>
      <w:r w:rsidR="00CB0B14">
        <w:t xml:space="preserve">2026-27 Budget, the government announced its commitment to work with industry to introduce a market measure </w:t>
      </w:r>
      <w:r w:rsidR="00CB0B14" w:rsidRPr="001A113B">
        <w:t xml:space="preserve">that </w:t>
      </w:r>
      <w:r w:rsidR="00CB0B14">
        <w:t>drives demand for new Australian LCLF production</w:t>
      </w:r>
      <w:r w:rsidR="00CB0B14" w:rsidRPr="00C96475">
        <w:rPr>
          <w:iCs/>
        </w:rPr>
        <w:t>.</w:t>
      </w:r>
      <w:r w:rsidR="00CB0B14">
        <w:rPr>
          <w:iCs/>
        </w:rPr>
        <w:t xml:space="preserve"> Industry has been calling strongly for th</w:t>
      </w:r>
      <w:r w:rsidR="00C30A64">
        <w:rPr>
          <w:iCs/>
        </w:rPr>
        <w:t>is</w:t>
      </w:r>
      <w:r w:rsidR="00CB0B14">
        <w:rPr>
          <w:iCs/>
        </w:rPr>
        <w:t xml:space="preserve"> to provide it with market certainty needed to support significant new investments in domestic production capacity</w:t>
      </w:r>
      <w:r w:rsidR="00C96475" w:rsidRPr="00C96475">
        <w:rPr>
          <w:iCs/>
        </w:rPr>
        <w:t>.</w:t>
      </w:r>
    </w:p>
    <w:p w14:paraId="32E34EF0" w14:textId="47793544" w:rsidR="00FF593C" w:rsidRPr="00FF593C" w:rsidRDefault="00FF593C" w:rsidP="00FF593C">
      <w:pPr>
        <w:rPr>
          <w:iCs/>
        </w:rPr>
      </w:pPr>
      <w:r w:rsidRPr="00FF593C">
        <w:rPr>
          <w:iCs/>
        </w:rPr>
        <w:t>These initiatives build on the $250</w:t>
      </w:r>
      <w:r w:rsidR="007720B8">
        <w:rPr>
          <w:iCs/>
        </w:rPr>
        <w:t> </w:t>
      </w:r>
      <w:r w:rsidRPr="00FF593C">
        <w:rPr>
          <w:iCs/>
        </w:rPr>
        <w:t xml:space="preserve">million investment through the Future Made in Australia Innovation Fund to support pre-commercial innovation, demonstration and deployment of </w:t>
      </w:r>
      <w:r w:rsidR="006B26D9">
        <w:rPr>
          <w:iCs/>
        </w:rPr>
        <w:t>LCLF</w:t>
      </w:r>
      <w:r w:rsidRPr="00FF593C">
        <w:rPr>
          <w:iCs/>
        </w:rPr>
        <w:t xml:space="preserve"> projects. </w:t>
      </w:r>
      <w:r w:rsidR="00B53FB1">
        <w:rPr>
          <w:iCs/>
        </w:rPr>
        <w:t>T</w:t>
      </w:r>
      <w:r w:rsidRPr="00FF593C">
        <w:rPr>
          <w:iCs/>
        </w:rPr>
        <w:t>he Sustainable Aviation Fuel Funding Initiative</w:t>
      </w:r>
      <w:r w:rsidR="00B53FB1">
        <w:rPr>
          <w:iCs/>
        </w:rPr>
        <w:t xml:space="preserve"> also provided</w:t>
      </w:r>
      <w:r w:rsidRPr="00FF593C">
        <w:rPr>
          <w:iCs/>
        </w:rPr>
        <w:t xml:space="preserve"> $33.5</w:t>
      </w:r>
      <w:r w:rsidR="00AE7090">
        <w:rPr>
          <w:iCs/>
        </w:rPr>
        <w:t> </w:t>
      </w:r>
      <w:r w:rsidRPr="00FF593C">
        <w:rPr>
          <w:iCs/>
        </w:rPr>
        <w:t>million across five projects to support domestic production.</w:t>
      </w:r>
    </w:p>
    <w:p w14:paraId="55E94C47" w14:textId="1DB92720" w:rsidR="00407375" w:rsidRDefault="00407375" w:rsidP="00407375">
      <w:r>
        <w:t xml:space="preserve">Government is also working to improve </w:t>
      </w:r>
      <w:r w:rsidR="00F95211">
        <w:t>energy</w:t>
      </w:r>
      <w:r w:rsidR="00B210ED">
        <w:t xml:space="preserve"> </w:t>
      </w:r>
      <w:r>
        <w:t xml:space="preserve">market transparency through standards and certification frameworks to support better decision-making and stronger confidence across the value chain. This includes expanding the Guarantee of Origin (GO) Scheme </w:t>
      </w:r>
      <w:r w:rsidR="006B26D9">
        <w:t>–</w:t>
      </w:r>
      <w:r w:rsidR="0002567E">
        <w:t xml:space="preserve"> </w:t>
      </w:r>
      <w:r w:rsidR="0002567E" w:rsidRPr="0002567E">
        <w:t>a</w:t>
      </w:r>
      <w:r w:rsidR="006B26D9">
        <w:t xml:space="preserve"> </w:t>
      </w:r>
      <w:r w:rsidR="0002567E" w:rsidRPr="0002567E">
        <w:t>voluntary framework for emissions accounting of products</w:t>
      </w:r>
      <w:r w:rsidR="0002567E">
        <w:t xml:space="preserve"> </w:t>
      </w:r>
      <w:r w:rsidR="006B26D9">
        <w:t>–</w:t>
      </w:r>
      <w:r w:rsidR="0002567E">
        <w:t xml:space="preserve"> </w:t>
      </w:r>
      <w:r w:rsidRPr="00FD3AFB">
        <w:rPr>
          <w:iCs/>
        </w:rPr>
        <w:t>to</w:t>
      </w:r>
      <w:r w:rsidR="006B26D9">
        <w:rPr>
          <w:iCs/>
        </w:rPr>
        <w:t xml:space="preserve"> </w:t>
      </w:r>
      <w:r w:rsidR="00613391">
        <w:rPr>
          <w:iCs/>
        </w:rPr>
        <w:t>incorporate</w:t>
      </w:r>
      <w:r w:rsidRPr="00FD3AFB">
        <w:rPr>
          <w:iCs/>
        </w:rPr>
        <w:t xml:space="preserve"> the measurement and certification of emissions intensity of </w:t>
      </w:r>
      <w:r w:rsidR="00C15DC7">
        <w:rPr>
          <w:iCs/>
        </w:rPr>
        <w:t>LCLFs</w:t>
      </w:r>
      <w:r w:rsidR="00DE3BD1">
        <w:t>.</w:t>
      </w:r>
      <w:r w:rsidR="00B75DD6">
        <w:rPr>
          <w:iCs/>
        </w:rPr>
        <w:t xml:space="preserve"> </w:t>
      </w:r>
      <w:r w:rsidR="00292874">
        <w:rPr>
          <w:iCs/>
        </w:rPr>
        <w:t>It also</w:t>
      </w:r>
      <w:r w:rsidR="006A6AEE">
        <w:rPr>
          <w:iCs/>
        </w:rPr>
        <w:t xml:space="preserve"> </w:t>
      </w:r>
      <w:r w:rsidR="005811D8">
        <w:rPr>
          <w:iCs/>
        </w:rPr>
        <w:t>includes</w:t>
      </w:r>
      <w:r>
        <w:t xml:space="preserve"> developing the Paraffinic Diesel </w:t>
      </w:r>
      <w:r w:rsidR="004673A0">
        <w:t xml:space="preserve">Fuel </w:t>
      </w:r>
      <w:r>
        <w:t>Standard to support system integrity in both domestic and international markets.</w:t>
      </w:r>
    </w:p>
    <w:p w14:paraId="21A01D0E" w14:textId="558E5606" w:rsidR="00656BA1" w:rsidRDefault="00656BA1" w:rsidP="00E65080">
      <w:r>
        <w:t xml:space="preserve">In 2025, the government announced it would develop a National Bioenergy Feedstock Strategy. This recognised the </w:t>
      </w:r>
      <w:r w:rsidRPr="00523634">
        <w:t>importance of feedstocks to a domestic LCLF industry</w:t>
      </w:r>
      <w:r>
        <w:t xml:space="preserve"> and the need to grow </w:t>
      </w:r>
      <w:r w:rsidRPr="00523634">
        <w:t xml:space="preserve">a competitive </w:t>
      </w:r>
      <w:r>
        <w:t>feedstock supply alongside increased domestic LCLF production capacity</w:t>
      </w:r>
      <w:r w:rsidRPr="00523634">
        <w:t>.</w:t>
      </w:r>
      <w:r>
        <w:t xml:space="preserve"> The commitment </w:t>
      </w:r>
      <w:r w:rsidRPr="00331F5E">
        <w:t>aligns with the government's Future Made in Australia agenda</w:t>
      </w:r>
      <w:r>
        <w:t xml:space="preserve">; </w:t>
      </w:r>
      <w:r w:rsidRPr="00331F5E">
        <w:t>maximis</w:t>
      </w:r>
      <w:r w:rsidR="00A469C3">
        <w:t>i</w:t>
      </w:r>
      <w:r>
        <w:t>ng</w:t>
      </w:r>
      <w:r w:rsidRPr="00331F5E">
        <w:t xml:space="preserve"> the economic and industrial benefits of the transition to net zero</w:t>
      </w:r>
      <w:r>
        <w:t xml:space="preserve">, </w:t>
      </w:r>
      <w:r w:rsidRPr="00331F5E">
        <w:t>supporting jobs, investment and economic opportunities in regional communities.</w:t>
      </w:r>
    </w:p>
    <w:p w14:paraId="51FC4FDB" w14:textId="059758DB" w:rsidR="005D5318" w:rsidRDefault="00CA4A24" w:rsidP="005D5318">
      <w:r w:rsidRPr="00CA4A24">
        <w:t>In</w:t>
      </w:r>
      <w:r w:rsidR="00E65080" w:rsidRPr="00CA4A24">
        <w:t>tegrating feedstock development with broader policy goals, including food security, circular economy and net zero outcomes</w:t>
      </w:r>
      <w:r w:rsidRPr="00CA4A24">
        <w:t>, will</w:t>
      </w:r>
      <w:r w:rsidR="00E65080" w:rsidRPr="00CA4A24">
        <w:t xml:space="preserve"> </w:t>
      </w:r>
      <w:r w:rsidR="00656BA1">
        <w:t xml:space="preserve">also </w:t>
      </w:r>
      <w:r w:rsidR="00E65080" w:rsidRPr="00CA4A24">
        <w:t>help ensure industry development is sustainable and able to capture emerging economic opportunities (</w:t>
      </w:r>
      <w:r w:rsidR="00B76F52">
        <w:fldChar w:fldCharType="begin"/>
      </w:r>
      <w:r w:rsidR="00B76F52">
        <w:instrText xml:space="preserve"> REF _Ref234997688 \h </w:instrText>
      </w:r>
      <w:r w:rsidR="00B76F52">
        <w:fldChar w:fldCharType="separate"/>
      </w:r>
      <w:r w:rsidR="00C71C2F">
        <w:t xml:space="preserve">Box </w:t>
      </w:r>
      <w:r w:rsidR="00C71C2F">
        <w:rPr>
          <w:noProof/>
        </w:rPr>
        <w:t>1</w:t>
      </w:r>
      <w:r w:rsidR="00B76F52">
        <w:fldChar w:fldCharType="end"/>
      </w:r>
      <w:r w:rsidR="00E65080" w:rsidRPr="00CA4A24">
        <w:t>).</w:t>
      </w:r>
    </w:p>
    <w:p w14:paraId="344AE037" w14:textId="77777777" w:rsidR="000F5082" w:rsidRDefault="000F5082" w:rsidP="005D5318"/>
    <w:p w14:paraId="29FB7165" w14:textId="4919FD17" w:rsidR="00B76F52" w:rsidRDefault="00B76F52" w:rsidP="00B76F52">
      <w:pPr>
        <w:pStyle w:val="Caption"/>
        <w:pBdr>
          <w:top w:val="single" w:sz="4" w:space="10" w:color="auto"/>
          <w:left w:val="single" w:sz="4" w:space="10" w:color="auto"/>
          <w:bottom w:val="single" w:sz="4" w:space="10" w:color="auto"/>
          <w:right w:val="single" w:sz="4" w:space="10" w:color="auto"/>
        </w:pBdr>
      </w:pPr>
      <w:bookmarkStart w:id="12" w:name="_Ref234997688"/>
      <w:bookmarkStart w:id="13" w:name="_Toc235099513"/>
      <w:bookmarkStart w:id="14" w:name="_Toc235100629"/>
      <w:bookmarkStart w:id="15" w:name="_Toc236985530"/>
      <w:r>
        <w:lastRenderedPageBreak/>
        <w:t xml:space="preserve">Box </w:t>
      </w:r>
      <w:fldSimple w:instr=" SEQ Box \* ARABIC ">
        <w:r w:rsidR="00C71C2F">
          <w:rPr>
            <w:noProof/>
          </w:rPr>
          <w:t>1</w:t>
        </w:r>
      </w:fldSimple>
      <w:bookmarkEnd w:id="12"/>
      <w:r>
        <w:t xml:space="preserve"> Broader policy integration</w:t>
      </w:r>
      <w:bookmarkEnd w:id="13"/>
      <w:bookmarkEnd w:id="14"/>
      <w:bookmarkEnd w:id="15"/>
    </w:p>
    <w:p w14:paraId="32AA5EEA" w14:textId="2122EC4D" w:rsidR="003C5678" w:rsidRPr="00CA4A24" w:rsidRDefault="003C5678" w:rsidP="003C5678">
      <w:pPr>
        <w:pStyle w:val="BoxText"/>
      </w:pPr>
      <w:r w:rsidRPr="00CA4A24">
        <w:t>This strategy supports efforts to build a stronger, more resilient Australian economy. It aligns with national productivity priorities, including an adaptable workforce, digital technology and innovation, a more dynamic economy, building sovereign capability and net zero at least cost.</w:t>
      </w:r>
    </w:p>
    <w:p w14:paraId="458FF3A3" w14:textId="662CD8BE" w:rsidR="003C5678" w:rsidRPr="00CA4A24" w:rsidRDefault="003C5678" w:rsidP="003C5678">
      <w:pPr>
        <w:pStyle w:val="BoxText"/>
      </w:pPr>
      <w:r w:rsidRPr="00CA4A24">
        <w:t>The strategy</w:t>
      </w:r>
      <w:r w:rsidR="00467795">
        <w:t xml:space="preserve"> sits </w:t>
      </w:r>
      <w:r w:rsidRPr="00CA4A24">
        <w:t xml:space="preserve">alongside the $3.5 million National Food Security Strategy, which sets a long-term, whole-of-system plan to strengthen the productivity, resilience and security of Australia’s food system. </w:t>
      </w:r>
      <w:r w:rsidR="00AE3D64">
        <w:t xml:space="preserve">Alignment will </w:t>
      </w:r>
      <w:r w:rsidRPr="00CA4A24">
        <w:t xml:space="preserve">help ensure the domestic feedstock industry creates new opportunities </w:t>
      </w:r>
      <w:r w:rsidR="00B11B00">
        <w:t>without compromising</w:t>
      </w:r>
      <w:r w:rsidRPr="00CA4A24">
        <w:t xml:space="preserve"> food security.</w:t>
      </w:r>
    </w:p>
    <w:p w14:paraId="2542A985" w14:textId="41F062A4" w:rsidR="003C5678" w:rsidRPr="00E0204A" w:rsidRDefault="00B11B00" w:rsidP="003C5678">
      <w:pPr>
        <w:pStyle w:val="BoxText"/>
      </w:pPr>
      <w:r>
        <w:t xml:space="preserve">The strategy </w:t>
      </w:r>
      <w:r w:rsidR="003C5678" w:rsidRPr="00CA4A24">
        <w:t>also links with Australia’s Circular Economy Framework and National Waste Policy Action Plan. These links support waste reduction by capturing more value from biomass resources, including organic waste, co-products, by-products, and agricultural and forestry residues. This can improve the economics of bioenergy pathways through value stacking and co-products which contribute to overall returns.</w:t>
      </w:r>
    </w:p>
    <w:p w14:paraId="02614612" w14:textId="79DBB020" w:rsidR="007232AB" w:rsidRDefault="00B46051" w:rsidP="00927620">
      <w:pPr>
        <w:pStyle w:val="Heading3"/>
        <w:rPr>
          <w:rFonts w:eastAsia="Aptos"/>
        </w:rPr>
      </w:pPr>
      <w:bookmarkStart w:id="16" w:name="_Toc233793093"/>
      <w:bookmarkStart w:id="17" w:name="_Toc236928327"/>
      <w:r>
        <w:rPr>
          <w:rFonts w:eastAsia="Aptos"/>
        </w:rPr>
        <w:t xml:space="preserve">Feedstocks </w:t>
      </w:r>
      <w:r w:rsidR="00841222">
        <w:rPr>
          <w:rFonts w:eastAsia="Aptos"/>
        </w:rPr>
        <w:t>are</w:t>
      </w:r>
      <w:r w:rsidR="009D5690">
        <w:rPr>
          <w:rFonts w:eastAsia="Aptos"/>
        </w:rPr>
        <w:t xml:space="preserve"> a critical input </w:t>
      </w:r>
      <w:r w:rsidR="00841222">
        <w:rPr>
          <w:rFonts w:eastAsia="Aptos"/>
        </w:rPr>
        <w:t>for production</w:t>
      </w:r>
      <w:bookmarkEnd w:id="16"/>
      <w:bookmarkEnd w:id="17"/>
    </w:p>
    <w:p w14:paraId="1DF6374A" w14:textId="1F7D6CBB" w:rsidR="00B42D96" w:rsidRDefault="007232AB" w:rsidP="00B42D96">
      <w:r w:rsidRPr="00F0150F">
        <w:t xml:space="preserve">Biogenic feedstocks </w:t>
      </w:r>
      <w:r w:rsidR="00B42D96" w:rsidRPr="001878C2">
        <w:t>are organic materials used in the production of bioenergy, including liquid or gaseous biofu</w:t>
      </w:r>
      <w:r w:rsidR="00C15B8D">
        <w:t>el</w:t>
      </w:r>
      <w:r w:rsidR="00B42D96" w:rsidRPr="001878C2">
        <w:t>s. Sustainably produced feedstocks are considered a renewable resource as they are sourced from materials that can be regenerated (IEA</w:t>
      </w:r>
      <w:r w:rsidR="004B7165">
        <w:t> </w:t>
      </w:r>
      <w:r w:rsidR="00B42D96" w:rsidRPr="001878C2">
        <w:t>2024).</w:t>
      </w:r>
      <w:r w:rsidR="00B00E80">
        <w:t xml:space="preserve"> Their production is</w:t>
      </w:r>
      <w:r w:rsidR="00B00E80" w:rsidRPr="001878C2">
        <w:t xml:space="preserve"> the critical first step in the bioenergy value chain.</w:t>
      </w:r>
    </w:p>
    <w:p w14:paraId="1765DAFC" w14:textId="5E4AE43F" w:rsidR="00B538E6" w:rsidRPr="001878C2" w:rsidRDefault="00B538E6" w:rsidP="00B42D96">
      <w:r w:rsidRPr="00B538E6">
        <w:t xml:space="preserve">Different bioenergy systems use different feedstock types, including agricultural, forestry and organic waste streams. </w:t>
      </w:r>
      <w:r w:rsidR="00060D8E">
        <w:t>Of those, t</w:t>
      </w:r>
      <w:r w:rsidR="00685D07">
        <w:t>he k</w:t>
      </w:r>
      <w:r w:rsidRPr="00B538E6">
        <w:t xml:space="preserve">ey agricultural and forestry derived feedstocks include </w:t>
      </w:r>
      <w:r w:rsidR="005811D8" w:rsidRPr="00B538E6">
        <w:t>lipids</w:t>
      </w:r>
      <w:r w:rsidRPr="00B538E6">
        <w:t xml:space="preserve">, carbohydrates, lignocellulosics and other </w:t>
      </w:r>
      <w:r w:rsidR="000B483C">
        <w:t xml:space="preserve">developing and </w:t>
      </w:r>
      <w:r w:rsidRPr="00B538E6">
        <w:t>emerging feedstocks (</w:t>
      </w:r>
      <w:r w:rsidR="00294768">
        <w:fldChar w:fldCharType="begin"/>
      </w:r>
      <w:r w:rsidR="00294768">
        <w:instrText xml:space="preserve"> REF _Ref234997740 \h </w:instrText>
      </w:r>
      <w:r w:rsidR="00294768">
        <w:fldChar w:fldCharType="separate"/>
      </w:r>
      <w:r w:rsidR="00C71C2F">
        <w:t xml:space="preserve">Figure </w:t>
      </w:r>
      <w:r w:rsidR="00C71C2F">
        <w:rPr>
          <w:noProof/>
        </w:rPr>
        <w:t>2</w:t>
      </w:r>
      <w:r w:rsidR="00294768">
        <w:fldChar w:fldCharType="end"/>
      </w:r>
      <w:r w:rsidRPr="00B538E6">
        <w:t>).</w:t>
      </w:r>
    </w:p>
    <w:p w14:paraId="159539C8" w14:textId="47E5693A" w:rsidR="00160BCE" w:rsidRDefault="00160BCE" w:rsidP="00160BCE">
      <w:pPr>
        <w:pStyle w:val="Caption"/>
      </w:pPr>
      <w:bookmarkStart w:id="18" w:name="_Ref234997740"/>
      <w:bookmarkStart w:id="19" w:name="_Toc235098754"/>
      <w:bookmarkStart w:id="20" w:name="_Toc235100469"/>
      <w:bookmarkStart w:id="21" w:name="_Toc236992420"/>
      <w:bookmarkStart w:id="22" w:name="_Ref234411884"/>
      <w:bookmarkStart w:id="23" w:name="_Toc234488981"/>
      <w:bookmarkStart w:id="24" w:name="_Toc234587204"/>
      <w:bookmarkStart w:id="25" w:name="_Toc234840873"/>
      <w:r>
        <w:t xml:space="preserve">Figure </w:t>
      </w:r>
      <w:fldSimple w:instr=" SEQ Figure \* ARABIC ">
        <w:r w:rsidR="00C71C2F">
          <w:rPr>
            <w:noProof/>
          </w:rPr>
          <w:t>2</w:t>
        </w:r>
      </w:fldSimple>
      <w:bookmarkEnd w:id="18"/>
      <w:r>
        <w:t xml:space="preserve"> Key agricultural and forestry derived feedstocks</w:t>
      </w:r>
      <w:bookmarkEnd w:id="19"/>
      <w:bookmarkEnd w:id="20"/>
      <w:bookmarkEnd w:id="21"/>
    </w:p>
    <w:p w14:paraId="74CB68E1" w14:textId="5D125943" w:rsidR="00E455F2" w:rsidRPr="00E455F2" w:rsidRDefault="00E455F2" w:rsidP="00E455F2">
      <w:r w:rsidRPr="00E455F2">
        <w:rPr>
          <w:noProof/>
        </w:rPr>
        <w:drawing>
          <wp:inline distT="0" distB="0" distL="0" distR="0" wp14:anchorId="28EBAFFE" wp14:editId="07CBE35C">
            <wp:extent cx="5759450" cy="3095625"/>
            <wp:effectExtent l="0" t="0" r="0" b="9525"/>
            <wp:docPr id="1664915457" name="Picture 24" descr="The figure shows four main categories of feedstocks with an image of a relevant example. From left to right, these categories are lipids (fats), carbohydrates, lignocellulosics (non-edible plant material), and emerging feedstocks. Under each heading, supporting information includes examples of relevant biomass and the quantities of biomass that Australia produ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915457" name="Picture 24" descr="The figure shows four main categories of feedstocks with an image of a relevant example. From left to right, these categories are lipids (fats), carbohydrates, lignocellulosics (non-edible plant material), and emerging feedstocks. Under each heading, supporting information includes examples of relevant biomass and the quantities of biomass that Australia produ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3095625"/>
                    </a:xfrm>
                    <a:prstGeom prst="rect">
                      <a:avLst/>
                    </a:prstGeom>
                    <a:noFill/>
                    <a:ln>
                      <a:noFill/>
                    </a:ln>
                  </pic:spPr>
                </pic:pic>
              </a:graphicData>
            </a:graphic>
          </wp:inline>
        </w:drawing>
      </w:r>
    </w:p>
    <w:p w14:paraId="4F625F49" w14:textId="5DBB5C40" w:rsidR="003D5978" w:rsidRDefault="00677800" w:rsidP="00D40A66">
      <w:r>
        <w:t>A range of</w:t>
      </w:r>
      <w:r w:rsidRPr="00F0150F">
        <w:t xml:space="preserve"> different technologies </w:t>
      </w:r>
      <w:r>
        <w:t>are used to</w:t>
      </w:r>
      <w:r w:rsidRPr="00F0150F">
        <w:t xml:space="preserve"> </w:t>
      </w:r>
      <w:r w:rsidR="00685D07">
        <w:t xml:space="preserve">convert those feedstocks into </w:t>
      </w:r>
      <w:r w:rsidRPr="00F0150F">
        <w:t>liquid and gaseous fuels</w:t>
      </w:r>
      <w:r>
        <w:t xml:space="preserve"> </w:t>
      </w:r>
      <w:r w:rsidRPr="00F0150F">
        <w:t>(</w:t>
      </w:r>
      <w:r w:rsidR="0051753D">
        <w:fldChar w:fldCharType="begin"/>
      </w:r>
      <w:r w:rsidR="0051753D">
        <w:instrText xml:space="preserve"> REF _Ref234998879 \h </w:instrText>
      </w:r>
      <w:r w:rsidR="0051753D">
        <w:fldChar w:fldCharType="separate"/>
      </w:r>
      <w:r w:rsidR="00C71C2F">
        <w:t xml:space="preserve">Figure </w:t>
      </w:r>
      <w:r w:rsidR="00C71C2F">
        <w:rPr>
          <w:noProof/>
        </w:rPr>
        <w:t>3</w:t>
      </w:r>
      <w:r w:rsidR="0051753D">
        <w:fldChar w:fldCharType="end"/>
      </w:r>
      <w:r w:rsidRPr="00F0150F">
        <w:t>)</w:t>
      </w:r>
      <w:r w:rsidR="00AB0C20">
        <w:t xml:space="preserve">. </w:t>
      </w:r>
      <w:r w:rsidR="0069458A">
        <w:t xml:space="preserve">Those processes impose different requirements on feedstocks, including </w:t>
      </w:r>
      <w:r w:rsidR="00D43D39">
        <w:t>factors such as quality, consistency, moisture, contamination and chemical composition (GrainCorp 2026).</w:t>
      </w:r>
      <w:r w:rsidR="005759CB">
        <w:t xml:space="preserve"> </w:t>
      </w:r>
      <w:r w:rsidR="003D5978">
        <w:t xml:space="preserve">The combination of established processing technologies and supply chains means that </w:t>
      </w:r>
      <w:r w:rsidR="00D40A66" w:rsidRPr="00D40A66">
        <w:t xml:space="preserve">used cooking oil, </w:t>
      </w:r>
      <w:r w:rsidR="00D40A66" w:rsidRPr="00D40A66">
        <w:lastRenderedPageBreak/>
        <w:t xml:space="preserve">tallow, </w:t>
      </w:r>
      <w:r w:rsidR="00706F1F">
        <w:t>oil seeds</w:t>
      </w:r>
      <w:r w:rsidR="001B2354">
        <w:t xml:space="preserve"> </w:t>
      </w:r>
      <w:r w:rsidR="00D40A66" w:rsidRPr="00D40A66">
        <w:t xml:space="preserve">and sugarcane are generally </w:t>
      </w:r>
      <w:r w:rsidR="003D5978">
        <w:t>considered to be</w:t>
      </w:r>
      <w:r w:rsidR="003D5978" w:rsidRPr="00D40A66">
        <w:t xml:space="preserve"> </w:t>
      </w:r>
      <w:r w:rsidR="00D40A66" w:rsidRPr="00D40A66">
        <w:t xml:space="preserve">most ready for near-term deployment </w:t>
      </w:r>
      <w:r w:rsidR="003D5978">
        <w:t xml:space="preserve">in LCLF production </w:t>
      </w:r>
      <w:r w:rsidR="00D40A66" w:rsidRPr="00D40A66">
        <w:t>(GrainCorp 2026).</w:t>
      </w:r>
      <w:r w:rsidR="00504CC9">
        <w:t xml:space="preserve"> </w:t>
      </w:r>
      <w:r w:rsidR="00504CC9" w:rsidRPr="005D5A53">
        <w:t>Forestry residues are also attracting increasing interest as conversion technologies continue to develop.</w:t>
      </w:r>
    </w:p>
    <w:p w14:paraId="57B523F9" w14:textId="43D14C21" w:rsidR="00D40A66" w:rsidRPr="00D40A66" w:rsidRDefault="003D5978" w:rsidP="00D40A66">
      <w:r>
        <w:t xml:space="preserve">The implications of this for </w:t>
      </w:r>
      <w:r w:rsidR="00A539DD">
        <w:t>Australia’s feedstock opportunity</w:t>
      </w:r>
      <w:r w:rsidR="002374DA">
        <w:t xml:space="preserve"> is discussed further in Chapter</w:t>
      </w:r>
      <w:r w:rsidR="008A2187">
        <w:t> </w:t>
      </w:r>
      <w:r w:rsidR="002374DA">
        <w:t>2.</w:t>
      </w:r>
    </w:p>
    <w:p w14:paraId="70DC9437" w14:textId="62D0672F" w:rsidR="0051753D" w:rsidRDefault="0051753D" w:rsidP="0051753D">
      <w:pPr>
        <w:pStyle w:val="Caption"/>
      </w:pPr>
      <w:bookmarkStart w:id="26" w:name="_Ref234998879"/>
      <w:bookmarkStart w:id="27" w:name="_Toc235098755"/>
      <w:bookmarkStart w:id="28" w:name="_Toc235100470"/>
      <w:bookmarkStart w:id="29" w:name="_Toc236992421"/>
      <w:bookmarkEnd w:id="22"/>
      <w:bookmarkEnd w:id="23"/>
      <w:bookmarkEnd w:id="24"/>
      <w:bookmarkEnd w:id="25"/>
      <w:r>
        <w:t xml:space="preserve">Figure </w:t>
      </w:r>
      <w:fldSimple w:instr=" SEQ Figure \* ARABIC ">
        <w:r w:rsidR="00C71C2F">
          <w:rPr>
            <w:noProof/>
          </w:rPr>
          <w:t>3</w:t>
        </w:r>
      </w:fldSimple>
      <w:bookmarkEnd w:id="26"/>
      <w:r>
        <w:t xml:space="preserve"> Major bioenergy conversion technologies and feedstocks</w:t>
      </w:r>
      <w:bookmarkEnd w:id="27"/>
      <w:bookmarkEnd w:id="28"/>
      <w:bookmarkEnd w:id="29"/>
    </w:p>
    <w:p w14:paraId="77C8EECE" w14:textId="4A82E671" w:rsidR="00AA6D2F" w:rsidRPr="00AA6D2F" w:rsidRDefault="00AA6D2F" w:rsidP="00AA6D2F">
      <w:pPr>
        <w:pStyle w:val="FigureTableNoteSource"/>
      </w:pPr>
      <w:r w:rsidRPr="00AA6D2F">
        <w:rPr>
          <w:noProof/>
        </w:rPr>
        <w:drawing>
          <wp:inline distT="0" distB="0" distL="0" distR="0" wp14:anchorId="54F9373C" wp14:editId="72AAACE6">
            <wp:extent cx="5759450" cy="4140200"/>
            <wp:effectExtent l="0" t="0" r="0" b="0"/>
            <wp:docPr id="856706152" name="Picture 26" descr="The figure outlines major groupings of feedstock and their different processing pathways into bioenergy. The categories are lipids, carbohydrates, lignocellulosics, and organic wastes. Under each of these categories are compatible processing pathways including transeterification, HEFA, alcohol-to-jet, Fischer-tropsch and power-and-biomass-to-liquids. These pathways flow onto bioenergy end products, which include biodiesel, sustainable aviation fuel, renewable diesel, bio-LPG, bio-e-fuels, and biometha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06152" name="Picture 26" descr="The figure outlines major groupings of feedstock and their different processing pathways into bioenergy. The categories are lipids, carbohydrates, lignocellulosics, and organic wastes. Under each of these categories are compatible processing pathways including transeterification, HEFA, alcohol-to-jet, Fischer-tropsch and power-and-biomass-to-liquids. These pathways flow onto bioenergy end products, which include biodiesel, sustainable aviation fuel, renewable diesel, bio-LPG, bio-e-fuels, and biomethane.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4140200"/>
                    </a:xfrm>
                    <a:prstGeom prst="rect">
                      <a:avLst/>
                    </a:prstGeom>
                    <a:noFill/>
                    <a:ln>
                      <a:noFill/>
                    </a:ln>
                  </pic:spPr>
                </pic:pic>
              </a:graphicData>
            </a:graphic>
          </wp:inline>
        </w:drawing>
      </w:r>
    </w:p>
    <w:p w14:paraId="0E2236D0" w14:textId="2723BE42" w:rsidR="00B64E73" w:rsidRDefault="007232AB" w:rsidP="002F7DDB">
      <w:pPr>
        <w:pStyle w:val="FigureTableNoteSource"/>
        <w:rPr>
          <w:highlight w:val="yellow"/>
        </w:rPr>
      </w:pPr>
      <w:r w:rsidRPr="00F0150F">
        <w:t>Adapted from CSIRO 2023; IEA 2025b. Dark green boxes highlight agricultural and forestry feedstocks of primary focus</w:t>
      </w:r>
      <w:r w:rsidR="00EC04FE">
        <w:t xml:space="preserve"> in the strategy</w:t>
      </w:r>
      <w:r w:rsidRPr="00F0150F">
        <w:t>. Light green boxes show other feedstocks that may contribute to bioenergy production. Power-and-Biomass-to-Liquids (</w:t>
      </w:r>
      <w:proofErr w:type="spellStart"/>
      <w:r w:rsidRPr="00F0150F">
        <w:t>PBtL</w:t>
      </w:r>
      <w:proofErr w:type="spellEnd"/>
      <w:r w:rsidRPr="00F0150F">
        <w:t>) pathways can produce bio-electro-fuels (bio-e-fuels), which utilise CO</w:t>
      </w:r>
      <w:r w:rsidRPr="007D230C">
        <w:rPr>
          <w:vertAlign w:val="subscript"/>
        </w:rPr>
        <w:t>2</w:t>
      </w:r>
      <w:r w:rsidRPr="00F0150F">
        <w:t xml:space="preserve"> sourced from biomass feedstocks in combination with</w:t>
      </w:r>
      <w:r w:rsidR="008255E6">
        <w:t xml:space="preserve"> renewable</w:t>
      </w:r>
      <w:r w:rsidRPr="00F0150F">
        <w:t xml:space="preserve"> hydrogen. HEFA = </w:t>
      </w:r>
      <w:proofErr w:type="spellStart"/>
      <w:r w:rsidRPr="00F0150F">
        <w:t>Hydroprocessed</w:t>
      </w:r>
      <w:proofErr w:type="spellEnd"/>
      <w:r w:rsidRPr="00F0150F">
        <w:t xml:space="preserve"> Esters and Fatty Acids. LPG = Liquefied Petroleum Gas.</w:t>
      </w:r>
      <w:bookmarkStart w:id="30" w:name="_Ref234412042"/>
      <w:bookmarkStart w:id="31" w:name="_Toc234488982"/>
      <w:bookmarkStart w:id="32" w:name="_Toc234587205"/>
      <w:bookmarkStart w:id="33" w:name="_Toc234840874"/>
    </w:p>
    <w:p w14:paraId="4A29E3F7" w14:textId="07A8AA87" w:rsidR="002D2342" w:rsidRPr="00B518F3" w:rsidRDefault="002D2342" w:rsidP="002D2342">
      <w:r w:rsidRPr="002F7DDB">
        <w:t xml:space="preserve">This strategy focuses on biogenic feedstocks – specifically agricultural and forestry feedstocks </w:t>
      </w:r>
      <w:r w:rsidR="00E75397">
        <w:t>–</w:t>
      </w:r>
      <w:r w:rsidRPr="002F7DDB">
        <w:t xml:space="preserve"> as they represent the largest immediate and medium-term opportunities for LCLFs. </w:t>
      </w:r>
      <w:r w:rsidR="003D5978">
        <w:t>Whil</w:t>
      </w:r>
      <w:r w:rsidR="00E75397">
        <w:t>e</w:t>
      </w:r>
      <w:r w:rsidR="003D5978">
        <w:t xml:space="preserve"> p</w:t>
      </w:r>
      <w:r w:rsidRPr="002F7DDB">
        <w:t>ower-to-Liquid (</w:t>
      </w:r>
      <w:proofErr w:type="spellStart"/>
      <w:r w:rsidRPr="002F7DDB">
        <w:t>PtL</w:t>
      </w:r>
      <w:proofErr w:type="spellEnd"/>
      <w:r w:rsidRPr="002F7DDB">
        <w:t>) technology can produce synthetic or electro-fuels (e-fuels) (CEFC 2025)</w:t>
      </w:r>
      <w:r w:rsidR="003D5978">
        <w:t>,</w:t>
      </w:r>
      <w:r w:rsidRPr="002F7DDB">
        <w:t xml:space="preserve"> substantial technological advancements are required to reach commerciality (CSIRO 2025b).</w:t>
      </w:r>
    </w:p>
    <w:p w14:paraId="7D0675EC" w14:textId="62DC6D78" w:rsidR="007202B2" w:rsidRPr="002F7DDB" w:rsidRDefault="007202B2" w:rsidP="007202B2">
      <w:r w:rsidRPr="002F7DDB">
        <w:t>Feedstocks from agricultural and forestry sectors</w:t>
      </w:r>
      <w:r w:rsidR="003F7FD3">
        <w:t xml:space="preserve"> also</w:t>
      </w:r>
      <w:r w:rsidRPr="002F7DDB">
        <w:t xml:space="preserve"> represent only part of Australia’s overall bioenergy resource potential. Other biogenic feedstocks – such as used vegetable oils, municipal</w:t>
      </w:r>
      <w:r w:rsidRPr="002F7DDB" w:rsidDel="00EA32D8">
        <w:t xml:space="preserve"> </w:t>
      </w:r>
      <w:r w:rsidRPr="002F7DDB">
        <w:t>solid and liquid wastes, and landfill gas –</w:t>
      </w:r>
      <w:r w:rsidRPr="002F7DDB" w:rsidDel="003F7FD3">
        <w:t xml:space="preserve"> </w:t>
      </w:r>
      <w:r w:rsidRPr="002F7DDB">
        <w:t>contribute to bioenergy production, emissions reduction and circular economy outcomes. For example, around 100,000 tonnes per year of fats, oils and greases, including used cooking oil, are used for bioenergy production (CSIRO 2023). This part of the industry will continue to grow and is being supported by policy discussion in areas such as waste management and adoption of circular economy principles.</w:t>
      </w:r>
    </w:p>
    <w:p w14:paraId="7BE6EC6C" w14:textId="5B59C2D7" w:rsidR="007202B2" w:rsidRPr="002F7DDB" w:rsidRDefault="007202B2" w:rsidP="007202B2">
      <w:r w:rsidRPr="002F7DDB">
        <w:lastRenderedPageBreak/>
        <w:t>Renewable gases, such as biomethane, will also play an important role in Australia’s energy transition, with Australia currently consuming over 1,400 petajoules of gas per year (DCCEEW 2025). Organic wastes, including from intensive livestock and horticulture industries, are commonly used as feedstocks in the production of biomethane. These supply chains involve different markets, infrastructure and policy settings. Accordingly, gas</w:t>
      </w:r>
      <w:r w:rsidR="003F7FD3">
        <w:t>-</w:t>
      </w:r>
      <w:r w:rsidRPr="002F7DDB">
        <w:t>based pathways are addressed through separate government initiatives and frameworks. For example, through the Energy and Climate Ministerial Council, governments are working collaboratively to jointly progress options for a National Renewable Gas Policy.</w:t>
      </w:r>
    </w:p>
    <w:p w14:paraId="3949118B" w14:textId="5E93C953" w:rsidR="00841222" w:rsidRDefault="00841222" w:rsidP="008779DF">
      <w:pPr>
        <w:pStyle w:val="Heading2"/>
      </w:pPr>
      <w:bookmarkStart w:id="34" w:name="_Toc236928328"/>
      <w:r>
        <w:lastRenderedPageBreak/>
        <w:t>Australia’s feedstock opportunity</w:t>
      </w:r>
      <w:bookmarkEnd w:id="34"/>
    </w:p>
    <w:p w14:paraId="135A38E2" w14:textId="413C7D16" w:rsidR="0096694A" w:rsidRDefault="0062471B" w:rsidP="0096694A">
      <w:pPr>
        <w:spacing w:after="240"/>
      </w:pPr>
      <w:r w:rsidRPr="0062471B">
        <w:rPr>
          <w:noProof/>
        </w:rPr>
        <w:drawing>
          <wp:anchor distT="0" distB="0" distL="114300" distR="114300" simplePos="0" relativeHeight="251658245" behindDoc="0" locked="0" layoutInCell="1" allowOverlap="1" wp14:anchorId="755C4FA9" wp14:editId="08391373">
            <wp:simplePos x="0" y="0"/>
            <wp:positionH relativeFrom="margin">
              <wp:align>right</wp:align>
            </wp:positionH>
            <wp:positionV relativeFrom="paragraph">
              <wp:posOffset>804545</wp:posOffset>
            </wp:positionV>
            <wp:extent cx="2114550" cy="2238375"/>
            <wp:effectExtent l="0" t="0" r="0" b="9525"/>
            <wp:wrapSquare wrapText="bothSides"/>
            <wp:docPr id="519444316" name="Picture 18" descr="By 2050, a mature feedstock industry could be worth about $15 billion per annum and support about 26,000 additional jobs, creating significant new economic opportunities for agriculture, forestry and regional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44316" name="Picture 18" descr="By 2050, a mature feedstock industry could be worth about $15 billion per annum and support about 26,000 additional jobs, creating significant new economic opportunities for agriculture, forestry and regional communiti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1455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96694A" w:rsidRPr="005234C9">
        <w:t>Australia already produces and exports around $6</w:t>
      </w:r>
      <w:r w:rsidR="00613907">
        <w:t> </w:t>
      </w:r>
      <w:r w:rsidR="0096694A" w:rsidRPr="005234C9">
        <w:t>billion of feedstocks each year</w:t>
      </w:r>
      <w:r w:rsidR="00376D6F">
        <w:t xml:space="preserve">; particularly </w:t>
      </w:r>
      <w:r w:rsidR="0096694A">
        <w:t xml:space="preserve">significant volumes of </w:t>
      </w:r>
      <w:r w:rsidR="0096694A" w:rsidRPr="005234C9">
        <w:t>canola and tallow for global markets</w:t>
      </w:r>
      <w:r w:rsidR="0096694A">
        <w:t>.</w:t>
      </w:r>
      <w:r w:rsidR="0096694A" w:rsidRPr="00B654AC">
        <w:t xml:space="preserve"> </w:t>
      </w:r>
      <w:r w:rsidR="0096694A" w:rsidRPr="00F0150F">
        <w:t>Australia</w:t>
      </w:r>
      <w:r w:rsidR="0096694A">
        <w:t xml:space="preserve">n feedstocks also support some local production of biodiesel and ethanol. </w:t>
      </w:r>
      <w:r w:rsidR="00E75397">
        <w:t>T</w:t>
      </w:r>
      <w:r w:rsidR="0096694A">
        <w:t>here is</w:t>
      </w:r>
      <w:r w:rsidR="0096694A" w:rsidRPr="00F0150F">
        <w:t xml:space="preserve"> </w:t>
      </w:r>
      <w:r w:rsidR="0096694A">
        <w:t>strong</w:t>
      </w:r>
      <w:r w:rsidR="0096694A" w:rsidRPr="00F0150F">
        <w:t xml:space="preserve"> potential to </w:t>
      </w:r>
      <w:r w:rsidR="0096694A">
        <w:t xml:space="preserve">build on that capacity and </w:t>
      </w:r>
      <w:r w:rsidR="0096694A" w:rsidRPr="00F0150F">
        <w:t xml:space="preserve">increase </w:t>
      </w:r>
      <w:r w:rsidR="0096694A">
        <w:t>the scale</w:t>
      </w:r>
      <w:r w:rsidR="0096694A" w:rsidRPr="00F0150F">
        <w:t xml:space="preserve"> of </w:t>
      </w:r>
      <w:r w:rsidR="0096694A">
        <w:t>production</w:t>
      </w:r>
      <w:r w:rsidR="0096694A" w:rsidRPr="00A455B9">
        <w:t xml:space="preserve"> </w:t>
      </w:r>
      <w:r w:rsidR="0096694A">
        <w:t>across</w:t>
      </w:r>
      <w:r w:rsidR="0096694A" w:rsidRPr="003078BA">
        <w:t xml:space="preserve"> a range of feedstock types</w:t>
      </w:r>
      <w:r w:rsidR="0096694A">
        <w:t>.</w:t>
      </w:r>
    </w:p>
    <w:p w14:paraId="3658A5E2" w14:textId="18AD08EF" w:rsidR="001E4F65" w:rsidRDefault="0096694A" w:rsidP="0096694A">
      <w:r w:rsidRPr="00244792">
        <w:t xml:space="preserve">There are varying projections for the potential scale of </w:t>
      </w:r>
      <w:r>
        <w:t>an Australian</w:t>
      </w:r>
      <w:r w:rsidRPr="00244792">
        <w:t xml:space="preserve"> feedstock industry</w:t>
      </w:r>
      <w:r>
        <w:t xml:space="preserve"> by</w:t>
      </w:r>
      <w:r w:rsidR="00191806">
        <w:t> </w:t>
      </w:r>
      <w:r>
        <w:t>2050</w:t>
      </w:r>
      <w:r w:rsidRPr="00006F96">
        <w:t xml:space="preserve">. </w:t>
      </w:r>
      <w:r w:rsidRPr="00244792">
        <w:t>CSIRO</w:t>
      </w:r>
      <w:r>
        <w:t xml:space="preserve"> analysis </w:t>
      </w:r>
      <w:r w:rsidRPr="00F0150F">
        <w:t>(2025a)</w:t>
      </w:r>
      <w:r>
        <w:t xml:space="preserve"> </w:t>
      </w:r>
      <w:r w:rsidRPr="00006F96">
        <w:t xml:space="preserve">suggests that, with the right settings, Australia could reach a biomass production capacity of 168 million tonnes a year by 2050, much of it from agricultural and forestry feedstocks. This would be enough to produce more than 12 billion litres of LCLF </w:t>
      </w:r>
      <w:r>
        <w:t>annually</w:t>
      </w:r>
      <w:r w:rsidRPr="00F0150F">
        <w:t>.</w:t>
      </w:r>
      <w:r w:rsidRPr="00006F96">
        <w:t xml:space="preserve"> </w:t>
      </w:r>
      <w:r w:rsidR="001E4F65">
        <w:t xml:space="preserve">More recent analysis by </w:t>
      </w:r>
      <w:r w:rsidRPr="00244792">
        <w:t xml:space="preserve">GrainCorp (2026) </w:t>
      </w:r>
      <w:r w:rsidR="001E4F65">
        <w:t>suggests</w:t>
      </w:r>
      <w:r w:rsidRPr="00244792">
        <w:t xml:space="preserve"> that 17.1</w:t>
      </w:r>
      <w:r>
        <w:t> </w:t>
      </w:r>
      <w:r w:rsidRPr="00244792">
        <w:t xml:space="preserve">billion litres of SAF could be produced </w:t>
      </w:r>
      <w:r w:rsidRPr="00006F96">
        <w:t>based on a different set of existing and potential feedstocks.</w:t>
      </w:r>
    </w:p>
    <w:p w14:paraId="0A78CB98" w14:textId="0D1194CE" w:rsidR="007232AB" w:rsidRPr="00FE4648" w:rsidRDefault="0039448B" w:rsidP="00B33A4F">
      <w:pPr>
        <w:pStyle w:val="Heading3"/>
      </w:pPr>
      <w:bookmarkStart w:id="35" w:name="_Toc236928329"/>
      <w:bookmarkEnd w:id="30"/>
      <w:bookmarkEnd w:id="31"/>
      <w:bookmarkEnd w:id="32"/>
      <w:bookmarkEnd w:id="33"/>
      <w:r>
        <w:t>D</w:t>
      </w:r>
      <w:r w:rsidR="007232AB" w:rsidRPr="00FE4648">
        <w:t>iversity is an advantage</w:t>
      </w:r>
      <w:bookmarkEnd w:id="35"/>
    </w:p>
    <w:p w14:paraId="594A24BE" w14:textId="591F2079" w:rsidR="00CC437E" w:rsidRDefault="00CC437E" w:rsidP="00CC437E">
      <w:r w:rsidRPr="003078BA">
        <w:t xml:space="preserve">A </w:t>
      </w:r>
      <w:r>
        <w:t>key strength</w:t>
      </w:r>
      <w:r w:rsidRPr="003078BA">
        <w:t xml:space="preserve"> </w:t>
      </w:r>
      <w:r>
        <w:t>for an Australian industry</w:t>
      </w:r>
      <w:r w:rsidRPr="003078BA">
        <w:t xml:space="preserve"> is </w:t>
      </w:r>
      <w:r>
        <w:t xml:space="preserve">the potential to produce a diverse range of </w:t>
      </w:r>
      <w:r w:rsidRPr="003078BA">
        <w:t xml:space="preserve">agricultural and forestry </w:t>
      </w:r>
      <w:r>
        <w:t>feedstocks.</w:t>
      </w:r>
      <w:r w:rsidRPr="003078BA">
        <w:t xml:space="preserve"> </w:t>
      </w:r>
      <w:r>
        <w:t>We have a large landmass with different climatic conditions and production systems. Whilst there are challenges associated with distance, regional variation provides the opportunity to produce a balanced and adaptable feedstock portfolio, with the volume, resilience and cost profile needed to support a competitive industry at scale. This compares well with markets that rely on narrower, often waste-focused feedstock sources (CEFC 2025). It also supports participation across multiple bioenergy pathways (</w:t>
      </w:r>
      <w:r w:rsidR="00C011C2">
        <w:fldChar w:fldCharType="begin"/>
      </w:r>
      <w:r w:rsidR="00C011C2">
        <w:instrText xml:space="preserve"> REF _Ref234998879 \h </w:instrText>
      </w:r>
      <w:r w:rsidR="00C011C2">
        <w:fldChar w:fldCharType="separate"/>
      </w:r>
      <w:r w:rsidR="00C71C2F">
        <w:t xml:space="preserve">Figure </w:t>
      </w:r>
      <w:r w:rsidR="00C71C2F">
        <w:rPr>
          <w:noProof/>
        </w:rPr>
        <w:t>3</w:t>
      </w:r>
      <w:r w:rsidR="00C011C2">
        <w:fldChar w:fldCharType="end"/>
      </w:r>
      <w:r>
        <w:t>).</w:t>
      </w:r>
    </w:p>
    <w:p w14:paraId="0C706AB0" w14:textId="08A10D91" w:rsidR="00CC437E" w:rsidRDefault="00CC437E" w:rsidP="00CC437E">
      <w:r w:rsidRPr="003078BA">
        <w:t xml:space="preserve">As </w:t>
      </w:r>
      <w:r>
        <w:t xml:space="preserve">the projection in </w:t>
      </w:r>
      <w:r>
        <w:fldChar w:fldCharType="begin"/>
      </w:r>
      <w:r>
        <w:instrText xml:space="preserve"> REF _Ref234577889 \h </w:instrText>
      </w:r>
      <w:r>
        <w:fldChar w:fldCharType="separate"/>
      </w:r>
      <w:r w:rsidR="00C71C2F">
        <w:t xml:space="preserve">Figure </w:t>
      </w:r>
      <w:r w:rsidR="00C71C2F">
        <w:rPr>
          <w:noProof/>
        </w:rPr>
        <w:t>4</w:t>
      </w:r>
      <w:r>
        <w:fldChar w:fldCharType="end"/>
      </w:r>
      <w:r>
        <w:t xml:space="preserve"> shows</w:t>
      </w:r>
      <w:r w:rsidRPr="00BF4247">
        <w:t>,</w:t>
      </w:r>
      <w:r w:rsidRPr="00F0150F">
        <w:t xml:space="preserve"> future production is expected to </w:t>
      </w:r>
      <w:r>
        <w:t>come from</w:t>
      </w:r>
      <w:r w:rsidRPr="00F0150F">
        <w:t xml:space="preserve"> a range of feedstock types</w:t>
      </w:r>
      <w:r>
        <w:t>. This starts with the current feedstock capacity and builds on that through enhanced production and then expansion into next generation feedstocks over time.</w:t>
      </w:r>
    </w:p>
    <w:p w14:paraId="49AAA7FC" w14:textId="6165D593" w:rsidR="007232AB" w:rsidRDefault="00CC437E" w:rsidP="00D83C4E">
      <w:r>
        <w:t>In the long-term</w:t>
      </w:r>
      <w:r w:rsidR="00F27FF0">
        <w:t>, a</w:t>
      </w:r>
      <w:r w:rsidR="007232AB">
        <w:t xml:space="preserve"> diversified production base </w:t>
      </w:r>
      <w:r w:rsidR="00A6004E">
        <w:t xml:space="preserve">will reduce </w:t>
      </w:r>
      <w:r w:rsidR="007232AB">
        <w:t xml:space="preserve">exposure to climate variability, seasonal fluctuations and price volatility. It </w:t>
      </w:r>
      <w:r w:rsidR="00A6004E">
        <w:t xml:space="preserve">will also </w:t>
      </w:r>
      <w:r w:rsidR="007232AB">
        <w:t>help align production with regional land capability and existing agricultural and forestry systems. This</w:t>
      </w:r>
      <w:r w:rsidR="007232AB" w:rsidDel="00A6004E">
        <w:t xml:space="preserve"> </w:t>
      </w:r>
      <w:r w:rsidR="00A6004E">
        <w:t xml:space="preserve">diversified approach will be </w:t>
      </w:r>
      <w:r w:rsidR="007232AB">
        <w:t>important for sustainable industry development and for integrating feedstock production with food, fibre and feed systems.</w:t>
      </w:r>
    </w:p>
    <w:p w14:paraId="6D26846C" w14:textId="48B6229F" w:rsidR="00D83C4E" w:rsidRPr="00D83C4E" w:rsidRDefault="00D83C4E" w:rsidP="00D83C4E">
      <w:pPr>
        <w:pStyle w:val="Caption"/>
      </w:pPr>
      <w:bookmarkStart w:id="36" w:name="_Ref234577889"/>
      <w:bookmarkStart w:id="37" w:name="_Toc234488983"/>
      <w:bookmarkStart w:id="38" w:name="_Toc234587206"/>
      <w:bookmarkStart w:id="39" w:name="_Toc234840875"/>
      <w:bookmarkStart w:id="40" w:name="_Toc235098756"/>
      <w:bookmarkStart w:id="41" w:name="_Toc235100471"/>
      <w:bookmarkStart w:id="42" w:name="_Toc236992422"/>
      <w:r>
        <w:lastRenderedPageBreak/>
        <w:t xml:space="preserve">Figure </w:t>
      </w:r>
      <w:fldSimple w:instr=" SEQ Figure \* ARABIC ">
        <w:r w:rsidR="00C71C2F">
          <w:rPr>
            <w:noProof/>
          </w:rPr>
          <w:t>4</w:t>
        </w:r>
      </w:fldSimple>
      <w:bookmarkEnd w:id="36"/>
      <w:r>
        <w:t xml:space="preserve"> </w:t>
      </w:r>
      <w:r w:rsidRPr="00107AB7">
        <w:t xml:space="preserve">Potential feedstock production to support a domestic </w:t>
      </w:r>
      <w:r w:rsidR="003806BF">
        <w:t>low carbon liquid fuel</w:t>
      </w:r>
      <w:r w:rsidRPr="00107AB7">
        <w:t xml:space="preserve"> industry</w:t>
      </w:r>
      <w:bookmarkEnd w:id="37"/>
      <w:bookmarkEnd w:id="38"/>
      <w:bookmarkEnd w:id="39"/>
      <w:bookmarkEnd w:id="40"/>
      <w:bookmarkEnd w:id="41"/>
      <w:bookmarkEnd w:id="42"/>
    </w:p>
    <w:p w14:paraId="6845BD3C" w14:textId="3D3784BC" w:rsidR="002576F0" w:rsidRPr="002576F0" w:rsidRDefault="002576F0" w:rsidP="002576F0">
      <w:r w:rsidRPr="002576F0">
        <w:rPr>
          <w:noProof/>
        </w:rPr>
        <w:drawing>
          <wp:inline distT="0" distB="0" distL="0" distR="0" wp14:anchorId="6052EC72" wp14:editId="41FBF919">
            <wp:extent cx="6020331" cy="3048000"/>
            <wp:effectExtent l="0" t="0" r="0" b="0"/>
            <wp:docPr id="1661237467" name="Picture 28" descr="The figure is a column graph showing current and potential future volumes of feedstocks that Australia could produce. Eleven feedstocks are included in the figure. In present day, only canola and tallow are represented on the graph, representing a potential to produce less than 1,000ML of LCLF per year. In 2030, the estimated theoretical volume of LCLF and range of feedstocks increases to support almost 8,000ML per year. The 2030 scenario includes canola, cottonseed, sugar, sorghum, bagasse, short rotation trees, sawmill by-products, agricultural residue, tallow, and used cooking oil. In 2050, the estimated theoretical range and volume increase to over 12,000ML of LCLF per year. This scenario also includes municipal solid w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37467" name="Picture 28" descr="The figure is a column graph showing current and potential future volumes of feedstocks that Australia could produce. Eleven feedstocks are included in the figure. In present day, only canola and tallow are represented on the graph, representing a potential to produce less than 1,000ML of LCLF per year. In 2030, the estimated theoretical volume of LCLF and range of feedstocks increases to support almost 8,000ML per year. The 2030 scenario includes canola, cottonseed, sugar, sorghum, bagasse, short rotation trees, sawmill by-products, agricultural residue, tallow, and used cooking oil. In 2050, the estimated theoretical range and volume increase to over 12,000ML of LCLF per year. This scenario also includes municipal solid wast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26321" cy="3051032"/>
                    </a:xfrm>
                    <a:prstGeom prst="rect">
                      <a:avLst/>
                    </a:prstGeom>
                    <a:noFill/>
                    <a:ln>
                      <a:noFill/>
                    </a:ln>
                  </pic:spPr>
                </pic:pic>
              </a:graphicData>
            </a:graphic>
          </wp:inline>
        </w:drawing>
      </w:r>
    </w:p>
    <w:p w14:paraId="6CEC9172" w14:textId="77777777" w:rsidR="007232AB" w:rsidRPr="00F0150F" w:rsidRDefault="007232AB" w:rsidP="00961849">
      <w:pPr>
        <w:pStyle w:val="FigureTableNoteSource"/>
      </w:pPr>
      <w:r>
        <w:t>Data s</w:t>
      </w:r>
      <w:r w:rsidRPr="00F0150F">
        <w:t>ource: CSIRO 2025a</w:t>
      </w:r>
    </w:p>
    <w:p w14:paraId="4A94AF22" w14:textId="20E69E27" w:rsidR="007232AB" w:rsidRPr="00F0150F" w:rsidRDefault="0039448B" w:rsidP="00B33A4F">
      <w:pPr>
        <w:pStyle w:val="Heading3"/>
      </w:pPr>
      <w:bookmarkStart w:id="43" w:name="_Toc236928330"/>
      <w:r>
        <w:t xml:space="preserve">Industry </w:t>
      </w:r>
      <w:r w:rsidR="001C179B">
        <w:t>needs</w:t>
      </w:r>
      <w:r w:rsidR="004B52EF">
        <w:t xml:space="preserve"> to scale</w:t>
      </w:r>
      <w:r>
        <w:t xml:space="preserve"> progressively</w:t>
      </w:r>
      <w:bookmarkEnd w:id="43"/>
    </w:p>
    <w:p w14:paraId="323B3E7C" w14:textId="321DFF89" w:rsidR="00576F2C" w:rsidRDefault="001F14F5" w:rsidP="00A3696F">
      <w:r>
        <w:t xml:space="preserve">Whilst diversification will be important, not all feedstocks are at </w:t>
      </w:r>
      <w:r w:rsidRPr="00F0150F">
        <w:t>the same stage of development. Some are already produced and traded at scale</w:t>
      </w:r>
      <w:r>
        <w:t xml:space="preserve">, such as </w:t>
      </w:r>
      <w:r w:rsidR="001D3D1F">
        <w:t>c</w:t>
      </w:r>
      <w:r w:rsidR="00C76424">
        <w:t>anola</w:t>
      </w:r>
      <w:r w:rsidR="005121C7">
        <w:t xml:space="preserve"> and</w:t>
      </w:r>
      <w:r w:rsidR="00A74634">
        <w:t xml:space="preserve"> sugar</w:t>
      </w:r>
      <w:r w:rsidR="00AD6E19">
        <w:t>,</w:t>
      </w:r>
      <w:r>
        <w:t xml:space="preserve"> </w:t>
      </w:r>
      <w:r w:rsidR="0096259C">
        <w:t xml:space="preserve">and have </w:t>
      </w:r>
      <w:r w:rsidR="00D86044" w:rsidRPr="0084089B">
        <w:t xml:space="preserve">established supply chains and compatibility with mature </w:t>
      </w:r>
      <w:r w:rsidR="00D86044">
        <w:t xml:space="preserve">technology </w:t>
      </w:r>
      <w:r w:rsidR="00D86044" w:rsidRPr="0084089B">
        <w:t xml:space="preserve">conversion pathways. </w:t>
      </w:r>
      <w:r w:rsidR="00CB530E">
        <w:t xml:space="preserve">These established feedstocks </w:t>
      </w:r>
      <w:r>
        <w:t xml:space="preserve">are well placed to </w:t>
      </w:r>
      <w:r w:rsidR="00CB530E">
        <w:t>meet early demand</w:t>
      </w:r>
      <w:r w:rsidR="00B41221">
        <w:t>,</w:t>
      </w:r>
      <w:r w:rsidR="00431F7E">
        <w:t xml:space="preserve"> </w:t>
      </w:r>
      <w:r>
        <w:t xml:space="preserve">expand </w:t>
      </w:r>
      <w:r w:rsidR="001E631F">
        <w:t xml:space="preserve">their </w:t>
      </w:r>
      <w:r>
        <w:t xml:space="preserve">production </w:t>
      </w:r>
      <w:r w:rsidR="00B41221">
        <w:t>and benefit</w:t>
      </w:r>
      <w:r w:rsidR="00CA67D8">
        <w:t xml:space="preserve"> from</w:t>
      </w:r>
      <w:r w:rsidR="00B41221">
        <w:t xml:space="preserve"> </w:t>
      </w:r>
      <w:r w:rsidR="00431F7E">
        <w:t xml:space="preserve">further </w:t>
      </w:r>
      <w:r>
        <w:t>investments in improved yields and supply chain improvements.</w:t>
      </w:r>
    </w:p>
    <w:p w14:paraId="43500D3F" w14:textId="33C72F65" w:rsidR="001F14F5" w:rsidRPr="00E0204A" w:rsidRDefault="001F14F5" w:rsidP="001F14F5">
      <w:r>
        <w:t>Others</w:t>
      </w:r>
      <w:r w:rsidR="008054E7">
        <w:t>,</w:t>
      </w:r>
      <w:r w:rsidRPr="00F0150F">
        <w:t xml:space="preserve"> </w:t>
      </w:r>
      <w:r w:rsidR="00CD64F0" w:rsidRPr="00A3696F">
        <w:t>including lignocellulosic residues</w:t>
      </w:r>
      <w:r w:rsidR="00CD64F0">
        <w:t xml:space="preserve"> and</w:t>
      </w:r>
      <w:r w:rsidR="00CD64F0" w:rsidRPr="00A3696F">
        <w:t xml:space="preserve"> dedicated energy crops,</w:t>
      </w:r>
      <w:r w:rsidRPr="00F0150F">
        <w:t xml:space="preserve"> </w:t>
      </w:r>
      <w:r>
        <w:t>need more</w:t>
      </w:r>
      <w:r w:rsidRPr="00F0150F">
        <w:t xml:space="preserve"> investment</w:t>
      </w:r>
      <w:r w:rsidR="0024639E" w:rsidRPr="0024639E">
        <w:t xml:space="preserve"> </w:t>
      </w:r>
      <w:r w:rsidR="0024639E" w:rsidRPr="00A3696F">
        <w:t>in technology development, supply chain integration and commercial-scale demonstration</w:t>
      </w:r>
      <w:r>
        <w:t xml:space="preserve"> to reach market readiness</w:t>
      </w:r>
      <w:r w:rsidRPr="00F0150F">
        <w:t>.</w:t>
      </w:r>
    </w:p>
    <w:p w14:paraId="02B1553B" w14:textId="46A11EC2" w:rsidR="007232AB" w:rsidRPr="00E0204A" w:rsidRDefault="007232AB" w:rsidP="007232AB">
      <w:r>
        <w:t>Industry</w:t>
      </w:r>
      <w:r w:rsidRPr="00F0150F">
        <w:t xml:space="preserve"> development is </w:t>
      </w:r>
      <w:r>
        <w:t xml:space="preserve">therefore </w:t>
      </w:r>
      <w:r w:rsidRPr="00F0150F">
        <w:t xml:space="preserve">unlikely to follow </w:t>
      </w:r>
      <w:r>
        <w:t>one</w:t>
      </w:r>
      <w:r w:rsidRPr="00F0150F">
        <w:t xml:space="preserve"> pathway or </w:t>
      </w:r>
      <w:r>
        <w:t>move</w:t>
      </w:r>
      <w:r w:rsidRPr="00F0150F">
        <w:t xml:space="preserve"> at a uniform pace. It is </w:t>
      </w:r>
      <w:r>
        <w:t>more likely</w:t>
      </w:r>
      <w:r w:rsidRPr="00F0150F">
        <w:t xml:space="preserve"> to </w:t>
      </w:r>
      <w:r w:rsidR="00DD2887">
        <w:t>scale</w:t>
      </w:r>
      <w:r w:rsidR="00DD2887" w:rsidRPr="00F0150F">
        <w:t xml:space="preserve"> </w:t>
      </w:r>
      <w:r w:rsidRPr="00F0150F">
        <w:t>progressively</w:t>
      </w:r>
      <w:r w:rsidRPr="00F0150F" w:rsidDel="001F14F5">
        <w:t xml:space="preserve"> </w:t>
      </w:r>
      <w:r w:rsidRPr="00F0150F">
        <w:t>(</w:t>
      </w:r>
      <w:r w:rsidR="00E91AC4">
        <w:fldChar w:fldCharType="begin"/>
      </w:r>
      <w:r w:rsidR="00E91AC4">
        <w:instrText xml:space="preserve"> REF _Ref234412101 \h </w:instrText>
      </w:r>
      <w:r w:rsidR="00E91AC4">
        <w:fldChar w:fldCharType="separate"/>
      </w:r>
      <w:r w:rsidR="00C71C2F">
        <w:t xml:space="preserve">Figure </w:t>
      </w:r>
      <w:r w:rsidR="00C71C2F">
        <w:rPr>
          <w:noProof/>
        </w:rPr>
        <w:t>5</w:t>
      </w:r>
      <w:r w:rsidR="00E91AC4">
        <w:fldChar w:fldCharType="end"/>
      </w:r>
      <w:r w:rsidRPr="00F0150F">
        <w:t>).</w:t>
      </w:r>
    </w:p>
    <w:p w14:paraId="681F6DDB" w14:textId="37C131DC" w:rsidR="007232AB" w:rsidRPr="0041691A" w:rsidRDefault="007232AB" w:rsidP="00C80ED4">
      <w:pPr>
        <w:pStyle w:val="ListBullet"/>
        <w:numPr>
          <w:ilvl w:val="0"/>
          <w:numId w:val="49"/>
        </w:numPr>
        <w:ind w:left="454" w:hanging="454"/>
      </w:pPr>
      <w:r w:rsidRPr="0041691A">
        <w:t xml:space="preserve">In the near term, production is likely to </w:t>
      </w:r>
      <w:r w:rsidR="00DD2887">
        <w:t>involve</w:t>
      </w:r>
      <w:r w:rsidRPr="0041691A">
        <w:t xml:space="preserve"> established feedstocks and existing supply chains. </w:t>
      </w:r>
      <w:r w:rsidR="005A659A">
        <w:t>A</w:t>
      </w:r>
      <w:r w:rsidR="00DD2887">
        <w:t xml:space="preserve"> focus on</w:t>
      </w:r>
      <w:r w:rsidRPr="0041691A">
        <w:t xml:space="preserve"> improving </w:t>
      </w:r>
      <w:r w:rsidR="00B9663F">
        <w:t xml:space="preserve">existing </w:t>
      </w:r>
      <w:r w:rsidRPr="0041691A">
        <w:t>production</w:t>
      </w:r>
      <w:r w:rsidR="00B9663F">
        <w:t xml:space="preserve"> systems</w:t>
      </w:r>
      <w:r w:rsidRPr="0041691A">
        <w:t xml:space="preserve"> and </w:t>
      </w:r>
      <w:r w:rsidR="00EE733B">
        <w:t xml:space="preserve">optimising </w:t>
      </w:r>
      <w:r w:rsidR="005025D2">
        <w:t>supply chain</w:t>
      </w:r>
      <w:r w:rsidRPr="0041691A">
        <w:t xml:space="preserve"> efficiency </w:t>
      </w:r>
      <w:r w:rsidR="005A659A">
        <w:t>will</w:t>
      </w:r>
      <w:r w:rsidR="005A659A" w:rsidRPr="0041691A">
        <w:t xml:space="preserve"> </w:t>
      </w:r>
      <w:r w:rsidRPr="0041691A">
        <w:t>support early fuel production and build momentum.</w:t>
      </w:r>
    </w:p>
    <w:p w14:paraId="2F92F38C" w14:textId="51E5FE67" w:rsidR="006F68CF" w:rsidRPr="0041691A" w:rsidRDefault="006F68CF" w:rsidP="00B71584">
      <w:pPr>
        <w:pStyle w:val="ListBullet"/>
        <w:numPr>
          <w:ilvl w:val="0"/>
          <w:numId w:val="49"/>
        </w:numPr>
        <w:ind w:left="454" w:hanging="454"/>
      </w:pPr>
      <w:r w:rsidRPr="0041691A">
        <w:t>In the medium term,</w:t>
      </w:r>
      <w:r w:rsidR="00732BB4">
        <w:t xml:space="preserve"> a </w:t>
      </w:r>
      <w:r w:rsidRPr="0041691A">
        <w:t xml:space="preserve">broader set of feedstocks that are currently characterised as developing will unlock more volume and improve the cost and emissions profile of supply. Achieving this </w:t>
      </w:r>
      <w:r w:rsidR="00896EBB">
        <w:t xml:space="preserve">means working now to address </w:t>
      </w:r>
      <w:r w:rsidRPr="0041691A">
        <w:t>feedstock-specific challenges, including cost, logistics, processing pathways and sustainability, along with investment in supply chains and demonstration of integrated systems.</w:t>
      </w:r>
    </w:p>
    <w:p w14:paraId="33961A5A" w14:textId="77777777" w:rsidR="006F68CF" w:rsidRPr="0041691A" w:rsidRDefault="006F68CF" w:rsidP="00B71584">
      <w:pPr>
        <w:pStyle w:val="ListBullet"/>
        <w:numPr>
          <w:ilvl w:val="0"/>
          <w:numId w:val="49"/>
        </w:numPr>
        <w:ind w:left="454" w:hanging="454"/>
      </w:pPr>
      <w:r w:rsidRPr="0041691A">
        <w:t xml:space="preserve">Over the longer term, emerging feedstocks can create step-change gains in productivity, diversification and emissions reduction. Achieving this will depend on sustained investment in </w:t>
      </w:r>
      <w:r w:rsidRPr="0041691A">
        <w:lastRenderedPageBreak/>
        <w:t>research, development and demonstration so these feedstocks can reach commercial readiness as the domestic production industry matures.</w:t>
      </w:r>
    </w:p>
    <w:p w14:paraId="2155FCB9" w14:textId="4565CEF8" w:rsidR="007232AB" w:rsidRPr="00E0204A" w:rsidRDefault="007232AB" w:rsidP="007232AB">
      <w:r w:rsidRPr="008E2A04">
        <w:t xml:space="preserve">Progressive scaling will </w:t>
      </w:r>
      <w:r>
        <w:t>let</w:t>
      </w:r>
      <w:r w:rsidRPr="008E2A04">
        <w:t xml:space="preserve"> industry </w:t>
      </w:r>
      <w:r>
        <w:t>test</w:t>
      </w:r>
      <w:r w:rsidRPr="008E2A04">
        <w:t xml:space="preserve"> and </w:t>
      </w:r>
      <w:r>
        <w:t>refine new</w:t>
      </w:r>
      <w:r w:rsidRPr="008E2A04">
        <w:t xml:space="preserve"> opportunities, manage risk, respond to </w:t>
      </w:r>
      <w:r>
        <w:t>changing</w:t>
      </w:r>
      <w:r w:rsidRPr="008E2A04">
        <w:t xml:space="preserve"> technologies and </w:t>
      </w:r>
      <w:r>
        <w:t>markets</w:t>
      </w:r>
      <w:r w:rsidRPr="008E2A04">
        <w:t>, and build capability across the supply chain.</w:t>
      </w:r>
      <w:r w:rsidR="004F2A18" w:rsidRPr="004F2A18">
        <w:t xml:space="preserve"> </w:t>
      </w:r>
      <w:r w:rsidR="00AD63F0" w:rsidRPr="00AD63F0">
        <w:t>This progressive development pathway is consistent with analysis outlined by GrainCorp (2026), focussing on initial use and improvement of established feedstocks</w:t>
      </w:r>
      <w:r w:rsidR="00AD63F0">
        <w:t>,</w:t>
      </w:r>
      <w:r w:rsidR="00AD63F0" w:rsidRPr="00AD63F0">
        <w:t xml:space="preserve"> moving</w:t>
      </w:r>
      <w:r w:rsidR="00AD63F0">
        <w:t xml:space="preserve"> over time</w:t>
      </w:r>
      <w:r w:rsidR="00AD63F0" w:rsidRPr="00AD63F0">
        <w:t xml:space="preserve"> into lower emissions intensity feedstocks supported by innovation and investment.</w:t>
      </w:r>
    </w:p>
    <w:p w14:paraId="7ACD02F2" w14:textId="5F39CC68" w:rsidR="007232AB" w:rsidRPr="00F0150F" w:rsidRDefault="002F5D68" w:rsidP="00E91AC4">
      <w:pPr>
        <w:pStyle w:val="Caption"/>
      </w:pPr>
      <w:bookmarkStart w:id="44" w:name="_Ref234412101"/>
      <w:bookmarkStart w:id="45" w:name="_Toc234488984"/>
      <w:bookmarkStart w:id="46" w:name="_Toc234587207"/>
      <w:bookmarkStart w:id="47" w:name="_Toc234840876"/>
      <w:bookmarkStart w:id="48" w:name="_Toc235098757"/>
      <w:bookmarkStart w:id="49" w:name="_Toc235100472"/>
      <w:bookmarkStart w:id="50" w:name="_Toc236992423"/>
      <w:r w:rsidRPr="002F5D68">
        <w:rPr>
          <w:noProof/>
          <w:sz w:val="18"/>
        </w:rPr>
        <w:drawing>
          <wp:anchor distT="0" distB="0" distL="114300" distR="114300" simplePos="0" relativeHeight="251658246" behindDoc="0" locked="0" layoutInCell="1" allowOverlap="1" wp14:anchorId="4C41F285" wp14:editId="741FA201">
            <wp:simplePos x="0" y="0"/>
            <wp:positionH relativeFrom="margin">
              <wp:align>left</wp:align>
            </wp:positionH>
            <wp:positionV relativeFrom="paragraph">
              <wp:posOffset>266700</wp:posOffset>
            </wp:positionV>
            <wp:extent cx="5953760" cy="4038600"/>
            <wp:effectExtent l="0" t="0" r="8890" b="0"/>
            <wp:wrapSquare wrapText="bothSides"/>
            <wp:docPr id="929791157" name="Picture 30" descr="This figure demonstrates a temporal relationship between feedstock market readiness (x-axis), and increasing carbon abatement potential (y-axis). The figure shows that established feedstocks (such as lipids) can be deployed in the short-term, developing feedstocks (such as agricultural residues) can help expand the feedstock market in the medium-term, and through innovation, emerging feedstocks (such as purpose grown energy crops) can be introduced in the long-term. Carbon abatement potential increases as the range of feedstock options expand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91157" name="Picture 30" descr="This figure demonstrates a temporal relationship between feedstock market readiness (x-axis), and increasing carbon abatement potential (y-axis). The figure shows that established feedstocks (such as lipids) can be deployed in the short-term, developing feedstocks (such as agricultural residues) can help expand the feedstock market in the medium-term, and through innovation, emerging feedstocks (such as purpose grown energy crops) can be introduced in the long-term. Carbon abatement potential increases as the range of feedstock options expands over tim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53760" cy="403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AC4">
        <w:t xml:space="preserve">Figure </w:t>
      </w:r>
      <w:fldSimple w:instr=" SEQ Figure \* ARABIC ">
        <w:r w:rsidR="00C71C2F">
          <w:rPr>
            <w:noProof/>
          </w:rPr>
          <w:t>5</w:t>
        </w:r>
      </w:fldSimple>
      <w:bookmarkEnd w:id="44"/>
      <w:r w:rsidR="00E91AC4">
        <w:t xml:space="preserve"> </w:t>
      </w:r>
      <w:r w:rsidR="00E91AC4" w:rsidRPr="00044CA3">
        <w:t>Diversifying feedstocks towards market readiness</w:t>
      </w:r>
      <w:bookmarkEnd w:id="45"/>
      <w:bookmarkEnd w:id="46"/>
      <w:bookmarkEnd w:id="47"/>
      <w:bookmarkEnd w:id="48"/>
      <w:bookmarkEnd w:id="49"/>
      <w:bookmarkEnd w:id="50"/>
    </w:p>
    <w:p w14:paraId="0D9CAC60" w14:textId="483229CD" w:rsidR="007232AB" w:rsidRDefault="007232AB" w:rsidP="00961849">
      <w:pPr>
        <w:pStyle w:val="FigureTableNoteSource"/>
      </w:pPr>
      <w:r w:rsidRPr="003A3AA7">
        <w:t>Adapted from CEFC 2025 and CSIRO 2025a</w:t>
      </w:r>
    </w:p>
    <w:p w14:paraId="575A77DE" w14:textId="426E5582" w:rsidR="00DA407E" w:rsidRDefault="00DA407E" w:rsidP="00610050">
      <w:pPr>
        <w:pStyle w:val="Heading3"/>
      </w:pPr>
      <w:bookmarkStart w:id="51" w:name="_Toc236928331"/>
      <w:r>
        <w:t>International competitiveness is fundamental</w:t>
      </w:r>
      <w:bookmarkEnd w:id="51"/>
    </w:p>
    <w:p w14:paraId="220AAAF5" w14:textId="0AB1F7C1" w:rsidR="00DA407E" w:rsidRDefault="00DA407E" w:rsidP="00DA407E">
      <w:pPr>
        <w:rPr>
          <w:rFonts w:cstheme="minorHAnsi"/>
        </w:rPr>
      </w:pPr>
      <w:r w:rsidRPr="005108C4">
        <w:t>The feedstock industry has significant potential, but its development will ultimately be driven by market forces</w:t>
      </w:r>
      <w:r>
        <w:t>. Producers, investors, processors and end users will make decisions based on demand, price signals, technology maturity, comparative advantage and regional capability. These commercial factors will determine how the industry develops in practice.</w:t>
      </w:r>
    </w:p>
    <w:p w14:paraId="0E4D2DFB" w14:textId="77777777" w:rsidR="00DA407E" w:rsidRDefault="00DA407E" w:rsidP="00DA407E">
      <w:r>
        <w:t xml:space="preserve">In this context, Australian feedstocks must be internationally competitive. They need to be supplied reliably at scale, meet the quality requirements of bioenergy production, and be delivered at a cost that compares well with global alternatives. These </w:t>
      </w:r>
      <w:r w:rsidRPr="00F06C91">
        <w:t xml:space="preserve">attributes are critical </w:t>
      </w:r>
      <w:r>
        <w:t>because feedstocks are traded in international markets and represent a substantial proportion of total bioenergy production costs.</w:t>
      </w:r>
    </w:p>
    <w:p w14:paraId="41E9B9C5" w14:textId="5CB4DDEE" w:rsidR="00DA407E" w:rsidRDefault="008238F0" w:rsidP="00DA407E">
      <w:pPr>
        <w:rPr>
          <w:kern w:val="2"/>
          <w14:ligatures w14:val="standardContextual"/>
        </w:rPr>
      </w:pPr>
      <w:r>
        <w:t>The strong connection with i</w:t>
      </w:r>
      <w:r w:rsidR="00DA407E" w:rsidRPr="00B62F49">
        <w:t xml:space="preserve">nternational markets can also help provide the scale, demand certainty and commercial capability needed to grow some feedstock supply chains. Building export-capable </w:t>
      </w:r>
      <w:r w:rsidR="00DA407E" w:rsidRPr="00B62F49">
        <w:lastRenderedPageBreak/>
        <w:t>and internationally competitive feedstock industries can complement domestic fuel production by strengthening the production base, logistics and certification systems needed to support future Australian refining opportunities and sovereign capability.</w:t>
      </w:r>
    </w:p>
    <w:p w14:paraId="3E888E43" w14:textId="0D05202F" w:rsidR="00DA407E" w:rsidRDefault="00DA407E" w:rsidP="00DA407E">
      <w:r w:rsidRPr="004E107A">
        <w:t xml:space="preserve">Strengthening competitiveness across key dimensions </w:t>
      </w:r>
      <w:r w:rsidR="003B0B8F">
        <w:t>–</w:t>
      </w:r>
      <w:r w:rsidRPr="004E107A">
        <w:t xml:space="preserve"> including scale, sustainability, embedded emissions intensity, suitability for bioenergy conversion and cost </w:t>
      </w:r>
      <w:r w:rsidR="00953001">
        <w:t>–</w:t>
      </w:r>
      <w:r w:rsidRPr="004E107A">
        <w:t xml:space="preserve"> will position Australia to fully realise both domestic growth opportunities and export potential.</w:t>
      </w:r>
    </w:p>
    <w:p w14:paraId="45698CF1" w14:textId="19E29D73" w:rsidR="007232AB" w:rsidRDefault="00E4126D" w:rsidP="00810FB0">
      <w:pPr>
        <w:pStyle w:val="Heading2"/>
      </w:pPr>
      <w:bookmarkStart w:id="52" w:name="_Toc233793094"/>
      <w:bookmarkStart w:id="53" w:name="_Toc236928332"/>
      <w:r>
        <w:lastRenderedPageBreak/>
        <w:t>A s</w:t>
      </w:r>
      <w:r w:rsidR="00AB6E14">
        <w:t>hared</w:t>
      </w:r>
      <w:r>
        <w:t xml:space="preserve"> direction </w:t>
      </w:r>
      <w:r w:rsidR="00CE60C0">
        <w:t>for industry development</w:t>
      </w:r>
      <w:bookmarkEnd w:id="52"/>
      <w:bookmarkEnd w:id="53"/>
    </w:p>
    <w:p w14:paraId="5A1A31A5" w14:textId="7797027F" w:rsidR="00710C78" w:rsidRPr="00F31095" w:rsidRDefault="00E02CB8" w:rsidP="00B34D3D">
      <w:pPr>
        <w:rPr>
          <w:lang w:eastAsia="en-AU"/>
        </w:rPr>
      </w:pPr>
      <w:r>
        <w:t xml:space="preserve">As part of developing the strategy, government consulted extensively with stakeholders to identify areas where a coordinated approach could help unlock Australia’s feedstock opportunity. </w:t>
      </w:r>
      <w:r w:rsidRPr="005234C9">
        <w:t xml:space="preserve">This included a public consultation process </w:t>
      </w:r>
      <w:r>
        <w:t>with</w:t>
      </w:r>
      <w:r w:rsidRPr="005234C9">
        <w:t xml:space="preserve"> </w:t>
      </w:r>
      <w:r>
        <w:t xml:space="preserve">over 90 </w:t>
      </w:r>
      <w:r w:rsidRPr="005234C9">
        <w:t>submissions from government, industry, research and academi</w:t>
      </w:r>
      <w:r>
        <w:t>c stakeholders</w:t>
      </w:r>
      <w:r w:rsidRPr="005234C9">
        <w:t>, and the broader community</w:t>
      </w:r>
      <w:r>
        <w:t xml:space="preserve">. This process was followed by direct </w:t>
      </w:r>
      <w:r w:rsidRPr="005234C9">
        <w:t>engagement with a range of key industry stakeholders across the supply chain</w:t>
      </w:r>
      <w:r>
        <w:t xml:space="preserve"> to test key themes and messages</w:t>
      </w:r>
      <w:r w:rsidR="00710C78" w:rsidRPr="0076572E">
        <w:t>.</w:t>
      </w:r>
    </w:p>
    <w:p w14:paraId="607751A1" w14:textId="096FF1B7" w:rsidR="00E02CB8" w:rsidRDefault="00E02CB8" w:rsidP="00F52483">
      <w:pPr>
        <w:pStyle w:val="Heading3"/>
      </w:pPr>
      <w:bookmarkStart w:id="54" w:name="_Toc236928333"/>
      <w:r>
        <w:t xml:space="preserve">Priority </w:t>
      </w:r>
      <w:r w:rsidR="008054E7">
        <w:t>areas</w:t>
      </w:r>
      <w:r>
        <w:t xml:space="preserve"> for collective effort</w:t>
      </w:r>
      <w:bookmarkEnd w:id="54"/>
    </w:p>
    <w:p w14:paraId="7C4A6A9C" w14:textId="71A78B37" w:rsidR="00254062" w:rsidRDefault="00254062" w:rsidP="00B34D3D">
      <w:r>
        <w:t>Those discussions identified five priority areas where stakeholders felt collective effort would enable the development of a robust and competitive bioenergy feedstock industry</w:t>
      </w:r>
      <w:r w:rsidR="00346687">
        <w:t xml:space="preserve"> (</w:t>
      </w:r>
      <w:r w:rsidR="0045360C">
        <w:fldChar w:fldCharType="begin"/>
      </w:r>
      <w:r w:rsidR="0045360C">
        <w:instrText xml:space="preserve"> REF _Ref235100080 \h </w:instrText>
      </w:r>
      <w:r w:rsidR="0045360C">
        <w:fldChar w:fldCharType="separate"/>
      </w:r>
      <w:r w:rsidR="00C71C2F">
        <w:t xml:space="preserve">Figure </w:t>
      </w:r>
      <w:r w:rsidR="00C71C2F">
        <w:rPr>
          <w:noProof/>
        </w:rPr>
        <w:t>6</w:t>
      </w:r>
      <w:r w:rsidR="0045360C">
        <w:fldChar w:fldCharType="end"/>
      </w:r>
      <w:r w:rsidR="00346687">
        <w:t>)</w:t>
      </w:r>
      <w:r>
        <w:t>. They form the basis of the strategy:</w:t>
      </w:r>
    </w:p>
    <w:p w14:paraId="4DE8DF94" w14:textId="77777777" w:rsidR="00254062" w:rsidRDefault="00254062" w:rsidP="00A858AE">
      <w:pPr>
        <w:pStyle w:val="ListBullet"/>
        <w:numPr>
          <w:ilvl w:val="0"/>
          <w:numId w:val="49"/>
        </w:numPr>
        <w:ind w:left="454" w:hanging="454"/>
      </w:pPr>
      <w:r>
        <w:t>Improving data to underpin investment</w:t>
      </w:r>
    </w:p>
    <w:p w14:paraId="79D602CF" w14:textId="08242CAD" w:rsidR="00254062" w:rsidRDefault="00254062" w:rsidP="00A858AE">
      <w:pPr>
        <w:pStyle w:val="ListBullet"/>
        <w:numPr>
          <w:ilvl w:val="0"/>
          <w:numId w:val="49"/>
        </w:numPr>
        <w:ind w:left="454" w:hanging="454"/>
      </w:pPr>
      <w:r>
        <w:t>Investing in innovation to advance feedstock readiness</w:t>
      </w:r>
    </w:p>
    <w:p w14:paraId="2236BB6F" w14:textId="77777777" w:rsidR="00254062" w:rsidRDefault="00254062" w:rsidP="00A858AE">
      <w:pPr>
        <w:pStyle w:val="ListBullet"/>
        <w:numPr>
          <w:ilvl w:val="0"/>
          <w:numId w:val="49"/>
        </w:numPr>
        <w:ind w:left="454" w:hanging="454"/>
      </w:pPr>
      <w:r>
        <w:t>Regional supply chain development to drive efficiencies</w:t>
      </w:r>
    </w:p>
    <w:p w14:paraId="28C14B18" w14:textId="77777777" w:rsidR="00254062" w:rsidRDefault="00254062" w:rsidP="00A858AE">
      <w:pPr>
        <w:pStyle w:val="ListBullet"/>
        <w:numPr>
          <w:ilvl w:val="0"/>
          <w:numId w:val="49"/>
        </w:numPr>
        <w:ind w:left="454" w:hanging="454"/>
      </w:pPr>
      <w:r>
        <w:t>Sustainability and certification to create public confidence</w:t>
      </w:r>
    </w:p>
    <w:p w14:paraId="1A6AB349" w14:textId="77777777" w:rsidR="00254062" w:rsidRDefault="00254062" w:rsidP="00A858AE">
      <w:pPr>
        <w:pStyle w:val="ListBullet"/>
        <w:numPr>
          <w:ilvl w:val="0"/>
          <w:numId w:val="49"/>
        </w:numPr>
        <w:ind w:left="454" w:hanging="454"/>
      </w:pPr>
      <w:r>
        <w:t>Building sector capability.</w:t>
      </w:r>
    </w:p>
    <w:p w14:paraId="0A6CA9A6" w14:textId="77777777" w:rsidR="00254062" w:rsidRDefault="00254062" w:rsidP="000F5082">
      <w:r w:rsidRPr="0076572E">
        <w:t>Together, these priorit</w:t>
      </w:r>
      <w:r>
        <w:t>y areas set a strategic direction for this industry to grow and scale. They go towards</w:t>
      </w:r>
      <w:r w:rsidRPr="0076572E">
        <w:t xml:space="preserve"> reducing barriers</w:t>
      </w:r>
      <w:r>
        <w:t xml:space="preserve"> to investment</w:t>
      </w:r>
      <w:r w:rsidRPr="0076572E">
        <w:t>, improving market confidence and enabling the sector to respond effectively to growing demand.</w:t>
      </w:r>
      <w:r>
        <w:t xml:space="preserve"> They also address sustainability and other requirements that are core to bioenergy markets globally.</w:t>
      </w:r>
    </w:p>
    <w:p w14:paraId="15E57CCA" w14:textId="7803B9B0" w:rsidR="0045360C" w:rsidRDefault="0045360C" w:rsidP="0045360C">
      <w:pPr>
        <w:pStyle w:val="Caption"/>
      </w:pPr>
      <w:bookmarkStart w:id="55" w:name="_Ref235100080"/>
      <w:bookmarkStart w:id="56" w:name="_Toc235100473"/>
      <w:bookmarkStart w:id="57" w:name="_Toc236992424"/>
      <w:r>
        <w:t xml:space="preserve">Figure </w:t>
      </w:r>
      <w:fldSimple w:instr=" SEQ Figure \* ARABIC ">
        <w:r w:rsidR="00C71C2F">
          <w:rPr>
            <w:noProof/>
          </w:rPr>
          <w:t>6</w:t>
        </w:r>
      </w:fldSimple>
      <w:bookmarkEnd w:id="55"/>
      <w:r>
        <w:t xml:space="preserve"> Priority areas for collective effort</w:t>
      </w:r>
      <w:bookmarkEnd w:id="56"/>
      <w:bookmarkEnd w:id="57"/>
    </w:p>
    <w:p w14:paraId="4FF2D6A9" w14:textId="6D632265" w:rsidR="009438A9" w:rsidRPr="009438A9" w:rsidRDefault="009438A9" w:rsidP="009438A9">
      <w:pPr>
        <w:pStyle w:val="ListBullet"/>
      </w:pPr>
      <w:r w:rsidRPr="009438A9">
        <w:rPr>
          <w:noProof/>
        </w:rPr>
        <w:drawing>
          <wp:anchor distT="0" distB="0" distL="114300" distR="114300" simplePos="0" relativeHeight="251658242" behindDoc="0" locked="0" layoutInCell="1" allowOverlap="1" wp14:anchorId="013B031B" wp14:editId="146F8D47">
            <wp:simplePos x="0" y="0"/>
            <wp:positionH relativeFrom="column">
              <wp:posOffset>-358140</wp:posOffset>
            </wp:positionH>
            <wp:positionV relativeFrom="paragraph">
              <wp:posOffset>4445</wp:posOffset>
            </wp:positionV>
            <wp:extent cx="6600825" cy="1981200"/>
            <wp:effectExtent l="0" t="0" r="9525" b="0"/>
            <wp:wrapSquare wrapText="bothSides"/>
            <wp:docPr id="728793597" name="Picture 32" descr="The figure shows the five priority areas of the strategy with corresponding graphic representations and a short summary of each. The summaries are as follows: Improving the quality, consistency and accessibility of feedstock data to move from theoretical potential to investment-ready intelligence. Accelerate research, development and demonstration to improve productivity and bring feedstocks to commercial readiness. Support regionally tailored approaches aligning production with infrastructure, logistics and community priorities. Strengthen emissions accounting and certification frameworks to ensure international credibility and market confidence. Enhance coordination, skills, workforce planning and policy alignment across the supply chain to enable confident participation in new mar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793597" name="Picture 32" descr="The figure shows the five priority areas of the strategy with corresponding graphic representations and a short summary of each. The summaries are as follows: Improving the quality, consistency and accessibility of feedstock data to move from theoretical potential to investment-ready intelligence. Accelerate research, development and demonstration to improve productivity and bring feedstocks to commercial readiness. Support regionally tailored approaches aligning production with infrastructure, logistics and community priorities. Strengthen emissions accounting and certification frameworks to ensure international credibility and market confidence. Enhance coordination, skills, workforce planning and policy alignment across the supply chain to enable confident participation in new marke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00825"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FABB21" w14:textId="77777777" w:rsidR="00973F43" w:rsidRDefault="00973F43" w:rsidP="00254062">
      <w:pPr>
        <w:pStyle w:val="ListBullet"/>
      </w:pPr>
    </w:p>
    <w:p w14:paraId="35C3DFF0" w14:textId="77777777" w:rsidR="007232AB" w:rsidRPr="006F5C53" w:rsidRDefault="007232AB" w:rsidP="00F52483">
      <w:pPr>
        <w:pStyle w:val="Heading3"/>
      </w:pPr>
      <w:bookmarkStart w:id="58" w:name="_Toc236928334"/>
      <w:r w:rsidRPr="006F5C53">
        <w:lastRenderedPageBreak/>
        <w:t>Embedding producer participation in industry development</w:t>
      </w:r>
      <w:bookmarkEnd w:id="58"/>
    </w:p>
    <w:p w14:paraId="6B06C733" w14:textId="00163EED" w:rsidR="007232AB" w:rsidRPr="00E0204A" w:rsidRDefault="00337CD5" w:rsidP="007232AB">
      <w:r>
        <w:t xml:space="preserve">Development of the strategy has highlighted the importance of close engagement between producers and other parts of the supply chain </w:t>
      </w:r>
      <w:r w:rsidRPr="00B518F3">
        <w:t xml:space="preserve">to support coherent industry </w:t>
      </w:r>
      <w:r>
        <w:t>growth</w:t>
      </w:r>
      <w:r w:rsidR="00C80233">
        <w:t xml:space="preserve">. </w:t>
      </w:r>
      <w:r w:rsidR="007232AB" w:rsidRPr="00B518F3">
        <w:t xml:space="preserve">Agriculture and forestry producers </w:t>
      </w:r>
      <w:r w:rsidR="007232AB">
        <w:t>are</w:t>
      </w:r>
      <w:r w:rsidR="007232AB" w:rsidRPr="00B518F3">
        <w:t xml:space="preserve"> </w:t>
      </w:r>
      <w:r w:rsidR="00C80233">
        <w:t>key players in the fuel production systems</w:t>
      </w:r>
      <w:r w:rsidR="007232AB" w:rsidRPr="00B518F3">
        <w:t xml:space="preserve">. Their decisions </w:t>
      </w:r>
      <w:r w:rsidR="007232AB">
        <w:t>affect</w:t>
      </w:r>
      <w:r w:rsidR="007232AB" w:rsidRPr="00B518F3">
        <w:t xml:space="preserve"> the availability, cost and sustainability of feedstocks, and their participation is essential to </w:t>
      </w:r>
      <w:r w:rsidR="007232AB">
        <w:t>building</w:t>
      </w:r>
      <w:r w:rsidR="007232AB" w:rsidRPr="00B518F3">
        <w:t xml:space="preserve"> reliable and scalable supply. I</w:t>
      </w:r>
      <w:r w:rsidR="007232AB">
        <w:t>nvolving</w:t>
      </w:r>
      <w:r w:rsidR="007232AB" w:rsidRPr="00B518F3">
        <w:t xml:space="preserve"> producers in policy development and investment planning </w:t>
      </w:r>
      <w:r w:rsidR="007232AB">
        <w:t>will support</w:t>
      </w:r>
      <w:r w:rsidR="007232AB" w:rsidRPr="00B518F3">
        <w:t xml:space="preserve"> more practical, regionally appropriate and commercially viable outcomes.</w:t>
      </w:r>
    </w:p>
    <w:p w14:paraId="7E14E4A3" w14:textId="77777777" w:rsidR="007232AB" w:rsidRPr="00E0204A" w:rsidRDefault="007232AB" w:rsidP="007232AB">
      <w:r w:rsidRPr="00B518F3">
        <w:t xml:space="preserve">Producers </w:t>
      </w:r>
      <w:r>
        <w:t>bring</w:t>
      </w:r>
      <w:r w:rsidRPr="00B518F3">
        <w:t xml:space="preserve"> established </w:t>
      </w:r>
      <w:r>
        <w:t>strengths</w:t>
      </w:r>
      <w:r w:rsidRPr="00B518F3">
        <w:t xml:space="preserve"> in managing variability, responding to market</w:t>
      </w:r>
      <w:r>
        <w:t>s</w:t>
      </w:r>
      <w:r w:rsidRPr="00B518F3">
        <w:t xml:space="preserve"> and operating </w:t>
      </w:r>
      <w:r>
        <w:t>in</w:t>
      </w:r>
      <w:r w:rsidRPr="00B518F3">
        <w:t xml:space="preserve"> complex systems. Many also </w:t>
      </w:r>
      <w:r>
        <w:t>work</w:t>
      </w:r>
      <w:r w:rsidRPr="00B518F3">
        <w:t xml:space="preserve"> in international markets</w:t>
      </w:r>
      <w:r>
        <w:t xml:space="preserve"> and have</w:t>
      </w:r>
      <w:r w:rsidRPr="00B518F3">
        <w:t xml:space="preserve"> experience </w:t>
      </w:r>
      <w:r>
        <w:t>with</w:t>
      </w:r>
      <w:r w:rsidRPr="00B518F3">
        <w:t xml:space="preserve"> certification frameworks and sustainability requirements. </w:t>
      </w:r>
      <w:r>
        <w:t>Using</w:t>
      </w:r>
      <w:r w:rsidRPr="00B518F3">
        <w:t xml:space="preserve"> this </w:t>
      </w:r>
      <w:r>
        <w:t>expertise can better align</w:t>
      </w:r>
      <w:r w:rsidRPr="00B518F3">
        <w:t xml:space="preserve"> domestic industry development with market expectations and improve overall system performance.</w:t>
      </w:r>
    </w:p>
    <w:p w14:paraId="02943DD3" w14:textId="6BF56538" w:rsidR="007232AB" w:rsidRPr="00E0204A" w:rsidRDefault="007232AB" w:rsidP="007232AB">
      <w:r>
        <w:t>Producer involvement will help ensure</w:t>
      </w:r>
      <w:r w:rsidRPr="003B27F7">
        <w:t xml:space="preserve"> industry development reflects regional realities</w:t>
      </w:r>
      <w:r>
        <w:t>. Land</w:t>
      </w:r>
      <w:r w:rsidRPr="00B518F3">
        <w:t xml:space="preserve"> capability, seasonal variability and infrastructure constraints </w:t>
      </w:r>
      <w:r>
        <w:t>are</w:t>
      </w:r>
      <w:r w:rsidRPr="00B518F3">
        <w:t xml:space="preserve"> </w:t>
      </w:r>
      <w:r>
        <w:t xml:space="preserve">all </w:t>
      </w:r>
      <w:r w:rsidRPr="00B518F3">
        <w:t xml:space="preserve">critical to </w:t>
      </w:r>
      <w:r>
        <w:t>designing systems that are practical</w:t>
      </w:r>
      <w:r w:rsidR="002A03C1">
        <w:t>,</w:t>
      </w:r>
      <w:r>
        <w:t xml:space="preserve"> aligned with</w:t>
      </w:r>
      <w:r w:rsidRPr="00B518F3">
        <w:t xml:space="preserve"> food, fibre and environmental objectives</w:t>
      </w:r>
      <w:r w:rsidR="002A03C1">
        <w:t>,</w:t>
      </w:r>
      <w:r w:rsidR="00B24BB7">
        <w:t xml:space="preserve"> </w:t>
      </w:r>
      <w:r w:rsidR="001E565E">
        <w:t>and ensure benefits are shared with regional areas and communities</w:t>
      </w:r>
      <w:r w:rsidRPr="00B518F3">
        <w:t>.</w:t>
      </w:r>
    </w:p>
    <w:p w14:paraId="0C147DD4" w14:textId="77777777" w:rsidR="007232AB" w:rsidRPr="00E0204A" w:rsidRDefault="007232AB" w:rsidP="007232AB">
      <w:r w:rsidRPr="003B27F7">
        <w:t xml:space="preserve">Stronger connections between producers and </w:t>
      </w:r>
      <w:r>
        <w:t>other supply chain</w:t>
      </w:r>
      <w:r w:rsidRPr="003B27F7">
        <w:t xml:space="preserve"> participants can better align supply and demand, improve information </w:t>
      </w:r>
      <w:r>
        <w:t>flow</w:t>
      </w:r>
      <w:r w:rsidRPr="003B27F7">
        <w:t xml:space="preserve"> and support more effective investment. This will help build a coordinated</w:t>
      </w:r>
      <w:r>
        <w:t xml:space="preserve"> and </w:t>
      </w:r>
      <w:r w:rsidRPr="003B27F7">
        <w:t xml:space="preserve">resilient industry </w:t>
      </w:r>
      <w:r>
        <w:t>that can develop and diversify over time</w:t>
      </w:r>
      <w:r w:rsidRPr="003B27F7">
        <w:t>.</w:t>
      </w:r>
    </w:p>
    <w:p w14:paraId="28F9CB06" w14:textId="40152A54" w:rsidR="00764D6A" w:rsidRPr="007E39EF" w:rsidRDefault="008D3D62" w:rsidP="007E39EF">
      <w:pPr>
        <w:pStyle w:val="Heading2"/>
      </w:pPr>
      <w:bookmarkStart w:id="59" w:name="_Toc430782151"/>
      <w:bookmarkStart w:id="60" w:name="_Toc236928335"/>
      <w:r w:rsidRPr="008D3D62">
        <w:lastRenderedPageBreak/>
        <w:t>Priority area: data to underpin investment</w:t>
      </w:r>
      <w:bookmarkEnd w:id="59"/>
      <w:bookmarkEnd w:id="60"/>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4"/>
        <w:gridCol w:w="8107"/>
      </w:tblGrid>
      <w:tr w:rsidR="0015159C" w:rsidRPr="0015159C" w14:paraId="49B3C6B0" w14:textId="77777777">
        <w:tc>
          <w:tcPr>
            <w:tcW w:w="964" w:type="dxa"/>
            <w:vAlign w:val="center"/>
          </w:tcPr>
          <w:p w14:paraId="694236FA" w14:textId="77777777" w:rsidR="0015159C" w:rsidRPr="0015159C" w:rsidRDefault="0015159C" w:rsidP="0015159C">
            <w:pPr>
              <w:spacing w:before="0" w:after="0" w:line="240" w:lineRule="auto"/>
              <w:rPr>
                <w:rFonts w:cstheme="minorHAnsi"/>
                <w:i/>
                <w:iCs/>
                <w:color w:val="215868" w:themeColor="accent5" w:themeShade="80"/>
                <w:sz w:val="24"/>
                <w:szCs w:val="28"/>
              </w:rPr>
            </w:pPr>
            <w:r w:rsidRPr="0015159C">
              <w:rPr>
                <w:rFonts w:cstheme="minorHAnsi"/>
                <w:i/>
                <w:iCs/>
                <w:noProof/>
                <w:color w:val="215868" w:themeColor="accent5" w:themeShade="80"/>
                <w:sz w:val="24"/>
                <w:szCs w:val="28"/>
              </w:rPr>
              <w:drawing>
                <wp:inline distT="0" distB="0" distL="0" distR="0" wp14:anchorId="10DA3A49" wp14:editId="62BCE795">
                  <wp:extent cx="576450" cy="576450"/>
                  <wp:effectExtent l="0" t="0" r="0" b="0"/>
                  <wp:docPr id="1521352943" name="Picture 18" descr="Decorativ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52943" name="Picture 18" descr="Decorative icon"/>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76450" cy="576450"/>
                          </a:xfrm>
                          <a:prstGeom prst="rect">
                            <a:avLst/>
                          </a:prstGeom>
                          <a:noFill/>
                        </pic:spPr>
                      </pic:pic>
                    </a:graphicData>
                  </a:graphic>
                </wp:inline>
              </w:drawing>
            </w:r>
          </w:p>
        </w:tc>
        <w:tc>
          <w:tcPr>
            <w:tcW w:w="8107" w:type="dxa"/>
            <w:vAlign w:val="center"/>
          </w:tcPr>
          <w:p w14:paraId="2C440D02" w14:textId="77777777" w:rsidR="0015159C" w:rsidRPr="006D4FA3" w:rsidRDefault="0015159C" w:rsidP="009B6FAA">
            <w:pPr>
              <w:pStyle w:val="Quote"/>
              <w:ind w:left="0"/>
              <w:rPr>
                <w:b/>
                <w:bCs/>
              </w:rPr>
            </w:pPr>
            <w:r w:rsidRPr="006D4FA3">
              <w:rPr>
                <w:b/>
                <w:bCs/>
                <w:color w:val="525F29" w:themeColor="text2"/>
              </w:rPr>
              <w:t>Improving the quality, consistency and accessibility of feedstock data to move from theoretical potential to investment-ready intelligence</w:t>
            </w:r>
          </w:p>
        </w:tc>
      </w:tr>
    </w:tbl>
    <w:p w14:paraId="0E784B18" w14:textId="48A63665" w:rsidR="00AC2099" w:rsidRDefault="006C1362" w:rsidP="006D4FA3">
      <w:pPr>
        <w:pStyle w:val="BoxHeading"/>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t xml:space="preserve">Future </w:t>
      </w:r>
      <w:r w:rsidR="008054E7">
        <w:t>direction</w:t>
      </w:r>
      <w:r w:rsidR="00331F46">
        <w:t>:</w:t>
      </w:r>
    </w:p>
    <w:p w14:paraId="6B931991" w14:textId="77777777" w:rsidR="00C76DD0" w:rsidRDefault="00C76DD0"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A00909">
        <w:t>Improve the consistency, quality, accessibility and integration of feedstock data</w:t>
      </w:r>
      <w:r>
        <w:t>.</w:t>
      </w:r>
    </w:p>
    <w:p w14:paraId="6D98059A" w14:textId="77777777" w:rsidR="009C60FB" w:rsidRPr="00781168" w:rsidRDefault="009C60FB"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781168">
        <w:t>Move from theoretical resource estimates to region-specific, investment-ready information on commercially viable and sustainable feedstock supply</w:t>
      </w:r>
      <w:r>
        <w:t>.</w:t>
      </w:r>
    </w:p>
    <w:p w14:paraId="7C1BD9AE" w14:textId="1420229C" w:rsidR="009C60FB" w:rsidRPr="001942CB" w:rsidRDefault="009C60FB"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1942CB">
        <w:t xml:space="preserve">Expand data coverage for </w:t>
      </w:r>
      <w:r w:rsidR="00261EFD">
        <w:t xml:space="preserve">developing and </w:t>
      </w:r>
      <w:r w:rsidRPr="001942CB">
        <w:t>emerging feedstocks, including emissions, seasonality, variability and competing uses.</w:t>
      </w:r>
    </w:p>
    <w:p w14:paraId="536CAA77" w14:textId="56A7D5E7" w:rsidR="004A3BCE" w:rsidRDefault="009C60FB"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1D7E13">
        <w:t>Develop nationally aligned standards, definitions, assumptions and methods for feedstock assessment and reporting</w:t>
      </w:r>
      <w:r w:rsidR="00B715C8">
        <w:t>.</w:t>
      </w:r>
    </w:p>
    <w:p w14:paraId="4AE8915D" w14:textId="0F28EA23" w:rsidR="00FB1B1D" w:rsidRDefault="00FB1B1D" w:rsidP="00B53D44">
      <w:pPr>
        <w:spacing w:before="240"/>
      </w:pPr>
      <w:r>
        <w:t>Confidence, participation, innovation and investment across the sector, from farm level to large refining plants, depend on a shared understanding of which feedstocks can be produced and mobilised reliably and cost-effectively at scale. Stronger data is therefore both an evidence issue and an action issue: without it, project assessment, commercial planning and policy design will remain higher risk.</w:t>
      </w:r>
    </w:p>
    <w:p w14:paraId="571D7247" w14:textId="6AE0644D" w:rsidR="00FB1B1D" w:rsidRDefault="00FB1B1D" w:rsidP="003D4CCC">
      <w:pPr>
        <w:pStyle w:val="Heading3"/>
      </w:pPr>
      <w:bookmarkStart w:id="61" w:name="_Toc236928336"/>
      <w:r>
        <w:t>Data quality and access is variable</w:t>
      </w:r>
      <w:bookmarkEnd w:id="61"/>
    </w:p>
    <w:p w14:paraId="1FB5F14D" w14:textId="38F2F6D4" w:rsidR="00FB1B1D" w:rsidRDefault="00FB1B1D" w:rsidP="00FB1B1D">
      <w:r>
        <w:t>A large amount of public and private data on feedstock availability already exists. For example, the Australian Renewable Energy Agency (ARENA)-funded Australian Biomass for Bioenergy Assessment (ABBA) project (2015</w:t>
      </w:r>
      <w:r w:rsidR="00BB3805">
        <w:t xml:space="preserve"> to </w:t>
      </w:r>
      <w:r>
        <w:t xml:space="preserve">2021) provided state-level data on the location and potential volumes of biomass, by-products and residues from industries including forestry, cropping, livestock and horticulture. This data helped estimate the national potential for bioenergy feedstocks, as shown in </w:t>
      </w:r>
      <w:r w:rsidR="0045360C">
        <w:fldChar w:fldCharType="begin"/>
      </w:r>
      <w:r w:rsidR="0045360C">
        <w:instrText xml:space="preserve"> REF _Ref235100115 \h </w:instrText>
      </w:r>
      <w:r w:rsidR="0045360C">
        <w:fldChar w:fldCharType="separate"/>
      </w:r>
      <w:r w:rsidR="00C71C2F">
        <w:t xml:space="preserve">Figure </w:t>
      </w:r>
      <w:r w:rsidR="00C71C2F">
        <w:rPr>
          <w:noProof/>
        </w:rPr>
        <w:t>7</w:t>
      </w:r>
      <w:r w:rsidR="0045360C">
        <w:fldChar w:fldCharType="end"/>
      </w:r>
      <w:r>
        <w:t>.</w:t>
      </w:r>
    </w:p>
    <w:p w14:paraId="0CE1961E" w14:textId="4CA094E7" w:rsidR="0045360C" w:rsidRDefault="003C3061" w:rsidP="0045360C">
      <w:pPr>
        <w:pStyle w:val="Caption"/>
      </w:pPr>
      <w:bookmarkStart w:id="62" w:name="_Ref235100115"/>
      <w:bookmarkStart w:id="63" w:name="_Toc235100474"/>
      <w:bookmarkStart w:id="64" w:name="_Toc236992425"/>
      <w:r w:rsidRPr="009308F4">
        <w:rPr>
          <w:noProof/>
          <w:sz w:val="18"/>
        </w:rPr>
        <w:lastRenderedPageBreak/>
        <w:drawing>
          <wp:anchor distT="0" distB="0" distL="114300" distR="114300" simplePos="0" relativeHeight="251658247" behindDoc="0" locked="0" layoutInCell="1" allowOverlap="1" wp14:anchorId="65154D9D" wp14:editId="414B44AB">
            <wp:simplePos x="0" y="0"/>
            <wp:positionH relativeFrom="margin">
              <wp:posOffset>-417830</wp:posOffset>
            </wp:positionH>
            <wp:positionV relativeFrom="paragraph">
              <wp:posOffset>312420</wp:posOffset>
            </wp:positionV>
            <wp:extent cx="6657340" cy="4514850"/>
            <wp:effectExtent l="0" t="0" r="0" b="0"/>
            <wp:wrapSquare wrapText="bothSides"/>
            <wp:docPr id="1902227602" name="Picture 34" descr="This figure provides an example of the potential use of feedstock data produced through the ABBA project. It is a map of Australia demonstrating the theoretical energy potential of feedstocks displayed for all states. Tasmania has 111 petajoules, South Australia has 347 petajoules, Western Australia has 451 petajoules, Queensland has 516 petajoules, New South Wales has 556 petajoules, and Victoria has 398 petajoules. The map also includes colour-coded shading of different types of land use across Australia, such as cropping, horticulture, and commercial plan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27602" name="Picture 34" descr="This figure provides an example of the potential use of feedstock data produced through the ABBA project. It is a map of Australia demonstrating the theoretical energy potential of feedstocks displayed for all states. Tasmania has 111 petajoules, South Australia has 347 petajoules, Western Australia has 451 petajoules, Queensland has 516 petajoules, New South Wales has 556 petajoules, and Victoria has 398 petajoules. The map also includes colour-coded shading of different types of land use across Australia, such as cropping, horticulture, and commercial plantation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57340" cy="451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360C">
        <w:t xml:space="preserve">Figure </w:t>
      </w:r>
      <w:fldSimple w:instr=" SEQ Figure \* ARABIC ">
        <w:r w:rsidR="00C71C2F">
          <w:rPr>
            <w:noProof/>
          </w:rPr>
          <w:t>7</w:t>
        </w:r>
      </w:fldSimple>
      <w:bookmarkEnd w:id="62"/>
      <w:r w:rsidR="0045360C">
        <w:t xml:space="preserve"> Theoretical bioenergy feedstock potential</w:t>
      </w:r>
      <w:bookmarkEnd w:id="63"/>
      <w:bookmarkEnd w:id="64"/>
    </w:p>
    <w:p w14:paraId="7D4F7751" w14:textId="09FF69C4" w:rsidR="009308F4" w:rsidRPr="009308F4" w:rsidRDefault="009308F4" w:rsidP="009308F4">
      <w:pPr>
        <w:pStyle w:val="FigureTableNoteSource"/>
      </w:pPr>
    </w:p>
    <w:p w14:paraId="3DABBBEC" w14:textId="2E003763" w:rsidR="00FB1B1D" w:rsidRDefault="00FB1B1D" w:rsidP="003D4CCC">
      <w:pPr>
        <w:pStyle w:val="FigureTableNoteSource"/>
      </w:pPr>
      <w:r>
        <w:t>Adapted from ABARES 2026</w:t>
      </w:r>
      <w:r w:rsidR="00225AEE">
        <w:t>b</w:t>
      </w:r>
      <w:r>
        <w:t>; data sourced from AgriFutures 2021 and Bioenergy Australia 2022. The crops category refers to crop residues, horticulture residues, and non-food crop products. Energy potential was based on Fischer-</w:t>
      </w:r>
      <w:proofErr w:type="spellStart"/>
      <w:r>
        <w:t>Tropsch</w:t>
      </w:r>
      <w:proofErr w:type="spellEnd"/>
      <w:r>
        <w:t xml:space="preserve"> processing pathways for crops, forestry, and waste feedstocks, Alcohol-to-Jet for carbohydrates, and HEFA for lipids. </w:t>
      </w:r>
      <w:r w:rsidR="00E93D4D">
        <w:t>'</w:t>
      </w:r>
      <w:r>
        <w:t>Other</w:t>
      </w:r>
      <w:r w:rsidR="00E93D4D">
        <w:t>'</w:t>
      </w:r>
      <w:r>
        <w:t xml:space="preserve"> feedstocks were not specified.</w:t>
      </w:r>
    </w:p>
    <w:p w14:paraId="00551E8F" w14:textId="24D76A54" w:rsidR="00FB1B1D" w:rsidRDefault="00FB1B1D" w:rsidP="00FB1B1D">
      <w:r>
        <w:t>However, stakeholders across the supply chain have said the evidence base remains a major barrier to industry development. It does not always provide a shared understanding of how much feedstock can be produced and mobilised for bioenergy in an economically viable and sustainable way. Stakeholders said:</w:t>
      </w:r>
    </w:p>
    <w:p w14:paraId="5C8214E9" w14:textId="796489DD" w:rsidR="00FB1B1D" w:rsidRPr="0081245F" w:rsidRDefault="00AC3718" w:rsidP="0081245F">
      <w:pPr>
        <w:pStyle w:val="ListBullet"/>
        <w:numPr>
          <w:ilvl w:val="0"/>
          <w:numId w:val="49"/>
        </w:numPr>
        <w:ind w:left="454" w:hanging="454"/>
      </w:pPr>
      <w:r w:rsidRPr="0081245F">
        <w:t>da</w:t>
      </w:r>
      <w:r w:rsidR="00FB1B1D" w:rsidRPr="0081245F">
        <w:t>ta is often variable in quantity, quality, consistency and accessibility, as well as being too coarse and lacking currency to support credible assessments of potential projects</w:t>
      </w:r>
    </w:p>
    <w:p w14:paraId="05691AFF" w14:textId="0FD40D57" w:rsidR="00FB1B1D" w:rsidRPr="0081245F" w:rsidRDefault="00AC3718" w:rsidP="0081245F">
      <w:pPr>
        <w:pStyle w:val="ListBullet"/>
        <w:numPr>
          <w:ilvl w:val="0"/>
          <w:numId w:val="49"/>
        </w:numPr>
        <w:ind w:left="454" w:hanging="454"/>
      </w:pPr>
      <w:r w:rsidRPr="0081245F">
        <w:t>c</w:t>
      </w:r>
      <w:r w:rsidR="00FB1B1D" w:rsidRPr="0081245F">
        <w:t xml:space="preserve">urrent national assessments remain theoretical, estimating aggregate volumes without accounting for the regional conditions and infrastructure networks that determine whether feedstock can </w:t>
      </w:r>
      <w:proofErr w:type="gramStart"/>
      <w:r w:rsidR="00FB1B1D" w:rsidRPr="0081245F">
        <w:t>actually be</w:t>
      </w:r>
      <w:proofErr w:type="gramEnd"/>
      <w:r w:rsidR="00FB1B1D" w:rsidRPr="0081245F">
        <w:t xml:space="preserve"> mobilised</w:t>
      </w:r>
    </w:p>
    <w:p w14:paraId="2C3D5D2A" w14:textId="7507645B" w:rsidR="00FB1B1D" w:rsidRPr="0081245F" w:rsidRDefault="00AC3718" w:rsidP="0081245F">
      <w:pPr>
        <w:pStyle w:val="ListBullet"/>
        <w:numPr>
          <w:ilvl w:val="0"/>
          <w:numId w:val="49"/>
        </w:numPr>
        <w:ind w:left="454" w:hanging="454"/>
      </w:pPr>
      <w:r w:rsidRPr="0081245F">
        <w:t>l</w:t>
      </w:r>
      <w:r w:rsidR="00FB1B1D" w:rsidRPr="0081245F">
        <w:t>ess developed and emerging feedstocks remain under-characterised, particularly novel energy crops, and crop and forestry residues, which constrain confidence and limit scalability</w:t>
      </w:r>
    </w:p>
    <w:p w14:paraId="492BD465" w14:textId="0A461CE5" w:rsidR="00FB1B1D" w:rsidRPr="0081245F" w:rsidRDefault="00AC3718" w:rsidP="0081245F">
      <w:pPr>
        <w:pStyle w:val="ListBullet"/>
        <w:numPr>
          <w:ilvl w:val="0"/>
          <w:numId w:val="49"/>
        </w:numPr>
        <w:ind w:left="454" w:hanging="454"/>
      </w:pPr>
      <w:r w:rsidRPr="0081245F">
        <w:t>d</w:t>
      </w:r>
      <w:r w:rsidR="00FB1B1D" w:rsidRPr="0081245F">
        <w:t>ata on all the aspects of feedstock production and supply chain requirements needed to underpin commercial assessment,</w:t>
      </w:r>
      <w:r w:rsidR="00EB57DE" w:rsidRPr="0081245F">
        <w:t xml:space="preserve"> sustainability assurance,</w:t>
      </w:r>
      <w:r w:rsidR="00FB1B1D" w:rsidRPr="0081245F">
        <w:t xml:space="preserve"> investment decision making and planning is often not integrated.</w:t>
      </w:r>
    </w:p>
    <w:p w14:paraId="3180131D" w14:textId="0BDD33D2" w:rsidR="00FB1B1D" w:rsidRDefault="00FB1B1D" w:rsidP="00FB1B1D">
      <w:r>
        <w:lastRenderedPageBreak/>
        <w:t>Overall, stakeholders are calling for more granular, consistent and investment-ready information</w:t>
      </w:r>
      <w:r w:rsidR="004338C7">
        <w:t xml:space="preserve">, </w:t>
      </w:r>
      <w:r w:rsidR="00463D6D">
        <w:t>including for example Gra</w:t>
      </w:r>
      <w:r w:rsidR="009B29B1">
        <w:t>i</w:t>
      </w:r>
      <w:r w:rsidR="00463D6D">
        <w:t xml:space="preserve">nCorp (2026) </w:t>
      </w:r>
      <w:r w:rsidR="002632AE">
        <w:t>advocating for the development of a f</w:t>
      </w:r>
      <w:r w:rsidR="002632AE" w:rsidRPr="002632AE">
        <w:t>act-base to attract private investment to commercialise new feedstocks</w:t>
      </w:r>
      <w:r>
        <w:t>.</w:t>
      </w:r>
    </w:p>
    <w:p w14:paraId="196A1302" w14:textId="384D7ABA" w:rsidR="00FB1B1D" w:rsidRDefault="00FB1B1D" w:rsidP="00877B3C">
      <w:pPr>
        <w:pStyle w:val="Heading3"/>
      </w:pPr>
      <w:bookmarkStart w:id="65" w:name="_Toc236928337"/>
      <w:r>
        <w:t>Work towards nationally consistent, market-ready information</w:t>
      </w:r>
      <w:bookmarkEnd w:id="65"/>
    </w:p>
    <w:p w14:paraId="1567F48B" w14:textId="5BC4C694" w:rsidR="00FB1B1D" w:rsidRDefault="00FB1B1D" w:rsidP="00FB1B1D">
      <w:r>
        <w:t xml:space="preserve">Australia </w:t>
      </w:r>
      <w:r w:rsidR="009E146A">
        <w:t xml:space="preserve">would benefit from </w:t>
      </w:r>
      <w:r>
        <w:t>a more coordinated national approach to data</w:t>
      </w:r>
      <w:r w:rsidR="00286AAB">
        <w:t xml:space="preserve">; moving </w:t>
      </w:r>
      <w:r>
        <w:t xml:space="preserve">from high-level estimates of feedstock potential to a clearer view of what can be delivered commercially and sustainably. This includes improving the consistency, accessibility and integration of existing datasets. It also includes expanding coverage to better capture less well-characterised </w:t>
      </w:r>
      <w:r w:rsidR="009257AD">
        <w:t xml:space="preserve">and emerging </w:t>
      </w:r>
      <w:r>
        <w:t>feedstocks, and adding key supply-side factors such as seasonality, variability, emissions intensity and competing uses.</w:t>
      </w:r>
    </w:p>
    <w:p w14:paraId="501D308B" w14:textId="0F27B5DB" w:rsidR="00FB1B1D" w:rsidRDefault="00FB1B1D" w:rsidP="00FB1B1D">
      <w:r>
        <w:t xml:space="preserve">Consistent approaches to data collection and assessment </w:t>
      </w:r>
      <w:proofErr w:type="gramStart"/>
      <w:r w:rsidR="00286AAB">
        <w:t>is</w:t>
      </w:r>
      <w:proofErr w:type="gramEnd"/>
      <w:r w:rsidR="00286AAB">
        <w:t xml:space="preserve"> important</w:t>
      </w:r>
      <w:r>
        <w:t xml:space="preserve">. Nationally aligned standards, definitions, assumptions and methods </w:t>
      </w:r>
      <w:r w:rsidR="00286AAB">
        <w:t xml:space="preserve">can </w:t>
      </w:r>
      <w:r>
        <w:t>improve comparability across jurisdictions, reduce duplication and strengthen confidence in the evidence base. They</w:t>
      </w:r>
      <w:r w:rsidDel="002F5417">
        <w:t xml:space="preserve"> </w:t>
      </w:r>
      <w:r w:rsidR="002F5417">
        <w:t xml:space="preserve">would </w:t>
      </w:r>
      <w:r>
        <w:t>also support more integrated policy and market development.</w:t>
      </w:r>
    </w:p>
    <w:p w14:paraId="0ADC193E" w14:textId="3EBBF3AE" w:rsidR="00FB1B1D" w:rsidRDefault="00FB1B1D" w:rsidP="00FB1B1D">
      <w:r>
        <w:t>There is also a need for more market-ready information. This means moving beyond theoretical supply estimates to more granular, region-specific information about feedstocks that are technically recoverable, economically viable and able to be supplied reliably. Linking feedstock data with information on infrastructure, transport, workforce and processing capacity will further support commercial assessment and investment decisions.</w:t>
      </w:r>
    </w:p>
    <w:p w14:paraId="38C123B5" w14:textId="2136626C" w:rsidR="00FB1B1D" w:rsidRDefault="00FB1B1D" w:rsidP="00FB1B1D">
      <w:r>
        <w:t xml:space="preserve">Some jurisdictions are already improving feedstock data and how it is presented. For example, New South Wales has developed the </w:t>
      </w:r>
      <w:proofErr w:type="spellStart"/>
      <w:r>
        <w:t>BioSMART</w:t>
      </w:r>
      <w:proofErr w:type="spellEnd"/>
      <w:r>
        <w:t xml:space="preserve"> Tool to provide accessible and integrated data, while Queensland is identifying feedstock suitability and supply chain opportunities through its Biofuels Feedstock Expansion Study (</w:t>
      </w:r>
      <w:r w:rsidR="00670708">
        <w:fldChar w:fldCharType="begin"/>
      </w:r>
      <w:r w:rsidR="00670708">
        <w:instrText xml:space="preserve"> REF _Ref234490583 \h </w:instrText>
      </w:r>
      <w:r w:rsidR="00670708">
        <w:fldChar w:fldCharType="separate"/>
      </w:r>
      <w:r w:rsidR="00C71C2F" w:rsidRPr="009B67EC">
        <w:t xml:space="preserve">Box </w:t>
      </w:r>
      <w:r w:rsidR="00C71C2F">
        <w:rPr>
          <w:noProof/>
        </w:rPr>
        <w:t>2</w:t>
      </w:r>
      <w:r w:rsidR="00670708">
        <w:fldChar w:fldCharType="end"/>
      </w:r>
      <w:r>
        <w:t>). Both approaches build on the earlier work undertaken through the ABBA project.</w:t>
      </w:r>
    </w:p>
    <w:p w14:paraId="6483BBD5" w14:textId="12CEE967" w:rsidR="00FB1B1D" w:rsidRDefault="007645D1" w:rsidP="00FB1B1D">
      <w:r>
        <w:t xml:space="preserve">There is an opportunity for </w:t>
      </w:r>
      <w:r w:rsidR="0081245F">
        <w:t>governments</w:t>
      </w:r>
      <w:r>
        <w:t xml:space="preserve"> and </w:t>
      </w:r>
      <w:r w:rsidR="00B42883">
        <w:t xml:space="preserve">industry to </w:t>
      </w:r>
      <w:r w:rsidR="00FB1B1D" w:rsidDel="004F68A6">
        <w:t xml:space="preserve">work together </w:t>
      </w:r>
      <w:r w:rsidR="00FB1B1D">
        <w:t>to improve data consistency and accessibility, expand and harmonise existing datasets, and develop nationally consistent standards, definitions and methods to support ongoing and comparable data collection and analysis. This</w:t>
      </w:r>
      <w:r w:rsidR="00FB1B1D" w:rsidDel="00BE5069">
        <w:t xml:space="preserve"> </w:t>
      </w:r>
      <w:r w:rsidR="00BE5069">
        <w:t xml:space="preserve">could </w:t>
      </w:r>
      <w:r w:rsidR="00FB1B1D">
        <w:t>include a national access point that links existing data sources, reduces fragmentation, improves transparency and helps investors and policymakers identify opportunities, constraints and risks more easily.</w:t>
      </w:r>
    </w:p>
    <w:p w14:paraId="4898F0B2" w14:textId="7B721765" w:rsidR="00CE32D0" w:rsidRDefault="00FB1B1D" w:rsidP="00FB1B1D">
      <w:r>
        <w:t>Industry-led investment in new data, especially emissions values for</w:t>
      </w:r>
      <w:r w:rsidR="00872708">
        <w:t xml:space="preserve"> the cultivation and pre-treatment of</w:t>
      </w:r>
      <w:r>
        <w:t xml:space="preserve"> </w:t>
      </w:r>
      <w:r w:rsidR="00F90502">
        <w:t xml:space="preserve">developing and </w:t>
      </w:r>
      <w:r>
        <w:t xml:space="preserve">emerging feedstocks, could also support the development and refinement of life cycle assessments. </w:t>
      </w:r>
      <w:r w:rsidR="008A7BE4">
        <w:t>Additional data on land use</w:t>
      </w:r>
      <w:r w:rsidR="00385EBA">
        <w:t xml:space="preserve"> change</w:t>
      </w:r>
      <w:r w:rsidR="008A7BE4">
        <w:t xml:space="preserve"> linked with commodity expansion </w:t>
      </w:r>
      <w:r w:rsidR="004B4427">
        <w:t xml:space="preserve">will </w:t>
      </w:r>
      <w:r w:rsidR="00C97A70">
        <w:t xml:space="preserve">help </w:t>
      </w:r>
      <w:r w:rsidR="00385EBA">
        <w:t xml:space="preserve">in </w:t>
      </w:r>
      <w:r w:rsidR="00803582">
        <w:t>managing associated concerns.</w:t>
      </w:r>
      <w:r w:rsidR="00C97A70">
        <w:t xml:space="preserve"> </w:t>
      </w:r>
      <w:r>
        <w:t>This would strengthen confidence in feedstock attributes and improve commercial viability.</w:t>
      </w:r>
    </w:p>
    <w:p w14:paraId="366B28B6" w14:textId="70A7CC26" w:rsidR="009B67EC" w:rsidRPr="009B67EC" w:rsidRDefault="009B67EC" w:rsidP="001353E5">
      <w:pPr>
        <w:pStyle w:val="Caption"/>
        <w:pBdr>
          <w:top w:val="single" w:sz="4" w:space="10" w:color="auto"/>
          <w:left w:val="single" w:sz="4" w:space="10" w:color="auto"/>
          <w:bottom w:val="single" w:sz="4" w:space="10" w:color="auto"/>
          <w:right w:val="single" w:sz="4" w:space="10" w:color="auto"/>
        </w:pBdr>
      </w:pPr>
      <w:bookmarkStart w:id="66" w:name="_Ref234490583"/>
      <w:bookmarkStart w:id="67" w:name="_Toc234489883"/>
      <w:bookmarkStart w:id="68" w:name="_Toc234587213"/>
      <w:bookmarkStart w:id="69" w:name="_Toc234840888"/>
      <w:bookmarkStart w:id="70" w:name="_Toc235099514"/>
      <w:bookmarkStart w:id="71" w:name="_Toc235100630"/>
      <w:bookmarkStart w:id="72" w:name="_Toc236985531"/>
      <w:r w:rsidRPr="009B67EC">
        <w:lastRenderedPageBreak/>
        <w:t xml:space="preserve">Box </w:t>
      </w:r>
      <w:fldSimple w:instr=" SEQ Box \* ARABIC ">
        <w:r w:rsidR="00C71C2F">
          <w:rPr>
            <w:noProof/>
          </w:rPr>
          <w:t>2</w:t>
        </w:r>
      </w:fldSimple>
      <w:bookmarkEnd w:id="66"/>
      <w:r w:rsidRPr="009B67EC">
        <w:t xml:space="preserve"> Improving the feedstock evidence base</w:t>
      </w:r>
      <w:bookmarkEnd w:id="67"/>
      <w:bookmarkEnd w:id="68"/>
      <w:bookmarkEnd w:id="69"/>
      <w:bookmarkEnd w:id="70"/>
      <w:bookmarkEnd w:id="71"/>
      <w:bookmarkEnd w:id="72"/>
    </w:p>
    <w:p w14:paraId="48059BBE" w14:textId="393A798E" w:rsidR="009B67EC" w:rsidRDefault="009B67EC" w:rsidP="009B67EC">
      <w:pPr>
        <w:pStyle w:val="BoxText"/>
      </w:pPr>
      <w:r>
        <w:t xml:space="preserve">The NSW Biomass Spatial and Modular Assessment of Resources Tool (NSW </w:t>
      </w:r>
      <w:proofErr w:type="spellStart"/>
      <w:r>
        <w:t>BioSMART</w:t>
      </w:r>
      <w:proofErr w:type="spellEnd"/>
      <w:r>
        <w:t>), developed by the Department of Primary Industries and Regional Development in collaboration with CSIRO, is an interactive, spatial tool that enables users to determine the potential for using biomass in NSW for a range of applications. While the tool was initially focused on electricity generation options from biomass, future versions will include industrial heat applications, liquid biofuels and biochar (NSW</w:t>
      </w:r>
      <w:r w:rsidR="00397168">
        <w:t> </w:t>
      </w:r>
      <w:r>
        <w:t>DPI</w:t>
      </w:r>
      <w:r w:rsidR="00B33F82">
        <w:t> </w:t>
      </w:r>
      <w:r>
        <w:t>2025).</w:t>
      </w:r>
    </w:p>
    <w:p w14:paraId="1A34A8C2" w14:textId="77777777" w:rsidR="009B67EC" w:rsidRDefault="009B67EC" w:rsidP="009B67EC">
      <w:pPr>
        <w:pStyle w:val="BoxText"/>
      </w:pPr>
      <w:r>
        <w:t>The biomass data within the tool was derived from the ABBA Project. In addition to a variety of existing biomass sources derived from agriculture, forestry, and organic waste, the tool also allows users to identify potentially suitable lands where woody biomass crops could be produced.</w:t>
      </w:r>
    </w:p>
    <w:p w14:paraId="59860F1B" w14:textId="676533C0" w:rsidR="00FB1B1D" w:rsidRDefault="009B67EC" w:rsidP="009B67EC">
      <w:pPr>
        <w:pStyle w:val="BoxText"/>
      </w:pPr>
      <w:r>
        <w:t>The Queensland Government’s Biofuels Feedstock Expansion Study is considering opportunities across 22</w:t>
      </w:r>
      <w:r w:rsidR="00397168">
        <w:t> </w:t>
      </w:r>
      <w:r>
        <w:t>crop and non-crop feedstocks. The study will provide an evidence base on the most viable feedstocks to meet commercial biofuels production requirements.</w:t>
      </w:r>
    </w:p>
    <w:p w14:paraId="49D03FCE" w14:textId="79C9159D" w:rsidR="00BA70CF" w:rsidRDefault="00BA70CF" w:rsidP="00EF3776">
      <w:pPr>
        <w:pStyle w:val="Heading2"/>
      </w:pPr>
      <w:bookmarkStart w:id="73" w:name="_Toc236928338"/>
      <w:r>
        <w:lastRenderedPageBreak/>
        <w:t>Priority area: innovation to advance feedstock readiness</w:t>
      </w:r>
      <w:bookmarkEnd w:id="73"/>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4"/>
        <w:gridCol w:w="8107"/>
      </w:tblGrid>
      <w:tr w:rsidR="002E7C36" w:rsidRPr="002E7C36" w14:paraId="2AE367E1" w14:textId="77777777">
        <w:tc>
          <w:tcPr>
            <w:tcW w:w="964" w:type="dxa"/>
            <w:vAlign w:val="center"/>
          </w:tcPr>
          <w:p w14:paraId="03E7CD09" w14:textId="77777777" w:rsidR="002E7C36" w:rsidRPr="002E7C36" w:rsidRDefault="002E7C36" w:rsidP="002E7C36">
            <w:pPr>
              <w:spacing w:before="0" w:after="0" w:line="240" w:lineRule="auto"/>
              <w:rPr>
                <w:rFonts w:cstheme="minorHAnsi"/>
                <w:i/>
                <w:iCs/>
                <w:color w:val="215868" w:themeColor="accent5" w:themeShade="80"/>
                <w:sz w:val="24"/>
                <w:szCs w:val="28"/>
              </w:rPr>
            </w:pPr>
            <w:r w:rsidRPr="002E7C36">
              <w:rPr>
                <w:rFonts w:cstheme="minorHAnsi"/>
                <w:i/>
                <w:iCs/>
                <w:noProof/>
                <w:color w:val="215868" w:themeColor="accent5" w:themeShade="80"/>
                <w:sz w:val="24"/>
                <w:szCs w:val="28"/>
              </w:rPr>
              <w:drawing>
                <wp:inline distT="0" distB="0" distL="0" distR="0" wp14:anchorId="7114F5D5" wp14:editId="32B2F4C4">
                  <wp:extent cx="576000" cy="576000"/>
                  <wp:effectExtent l="0" t="0" r="0" b="0"/>
                  <wp:docPr id="1173620942" name="Picture 19" descr="This graphic demonstrates a relationship between feedstock market readiness (x-axis), and carbon abatement potential (y-axis). The trend shows that established feedstocks (such as lipids) can be deployed in the short-term, developing feedstocks (such as agricultural residues) can help expand the feedstock market in the medium-term, and through innovation emerging feedstocks (such as purpose grown energy crops) can be introduced in the long-term. Carbon abatement potential increases as the range of feedstock options expand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620942" name="Picture 19" descr="This graphic demonstrates a relationship between feedstock market readiness (x-axis), and carbon abatement potential (y-axis). The trend shows that established feedstocks (such as lipids) can be deployed in the short-term, developing feedstocks (such as agricultural residues) can help expand the feedstock market in the medium-term, and through innovation emerging feedstocks (such as purpose grown energy crops) can be introduced in the long-term. Carbon abatement potential increases as the range of feedstock options expands over time."/>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76000" cy="576000"/>
                          </a:xfrm>
                          <a:prstGeom prst="rect">
                            <a:avLst/>
                          </a:prstGeom>
                          <a:noFill/>
                        </pic:spPr>
                      </pic:pic>
                    </a:graphicData>
                  </a:graphic>
                </wp:inline>
              </w:drawing>
            </w:r>
          </w:p>
        </w:tc>
        <w:tc>
          <w:tcPr>
            <w:tcW w:w="8107" w:type="dxa"/>
            <w:vAlign w:val="center"/>
          </w:tcPr>
          <w:p w14:paraId="6EB1825F" w14:textId="77777777" w:rsidR="002E7C36" w:rsidRPr="006D4FA3" w:rsidRDefault="002E7C36" w:rsidP="009B6FAA">
            <w:pPr>
              <w:pStyle w:val="Quote"/>
              <w:ind w:left="0"/>
              <w:rPr>
                <w:b/>
                <w:bCs/>
                <w:color w:val="525F29" w:themeColor="text2"/>
              </w:rPr>
            </w:pPr>
            <w:r w:rsidRPr="006D4FA3">
              <w:rPr>
                <w:b/>
                <w:bCs/>
                <w:color w:val="525F29" w:themeColor="text2"/>
              </w:rPr>
              <w:t>Accelerating research, development and demonstration to improve productivity and bring feedstocks to commercial readiness.</w:t>
            </w:r>
          </w:p>
        </w:tc>
      </w:tr>
    </w:tbl>
    <w:p w14:paraId="3316D90B" w14:textId="0CFAD268" w:rsidR="00331F46" w:rsidRDefault="003F55AE" w:rsidP="006D4FA3">
      <w:pPr>
        <w:pStyle w:val="BoxHeading"/>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t>Future direction</w:t>
      </w:r>
      <w:r w:rsidR="00331F46">
        <w:t>:</w:t>
      </w:r>
    </w:p>
    <w:p w14:paraId="339429BF" w14:textId="1DD03549" w:rsidR="002455F8" w:rsidRPr="00931C7C" w:rsidRDefault="002455F8"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t>I</w:t>
      </w:r>
      <w:r w:rsidRPr="0066224E">
        <w:t>mprove feedstock productivity, quality, sustainability</w:t>
      </w:r>
      <w:r w:rsidR="008D3706">
        <w:t xml:space="preserve"> and</w:t>
      </w:r>
      <w:r>
        <w:t xml:space="preserve"> </w:t>
      </w:r>
      <w:r w:rsidRPr="0066224E">
        <w:t>emissions performance</w:t>
      </w:r>
      <w:r>
        <w:t>, while a</w:t>
      </w:r>
      <w:r w:rsidRPr="00931C7C">
        <w:t>ccelerat</w:t>
      </w:r>
      <w:r>
        <w:t>ing</w:t>
      </w:r>
      <w:r w:rsidRPr="00931C7C">
        <w:t xml:space="preserve"> the </w:t>
      </w:r>
      <w:r w:rsidR="002441B1">
        <w:t>readiness</w:t>
      </w:r>
      <w:r w:rsidR="002441B1" w:rsidRPr="00931C7C">
        <w:t xml:space="preserve"> </w:t>
      </w:r>
      <w:r w:rsidRPr="00931C7C">
        <w:t xml:space="preserve">of </w:t>
      </w:r>
      <w:r w:rsidR="00F64BAE">
        <w:t xml:space="preserve">developing and </w:t>
      </w:r>
      <w:r w:rsidRPr="00931C7C">
        <w:t>emerging feedstocks</w:t>
      </w:r>
      <w:r w:rsidR="002441B1">
        <w:t>.</w:t>
      </w:r>
    </w:p>
    <w:p w14:paraId="561247AC" w14:textId="77777777" w:rsidR="002455F8" w:rsidRPr="001806E1" w:rsidRDefault="002455F8"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1806E1">
        <w:t>Reduce production, logistics and supply chain costs to strengthen competitiveness.</w:t>
      </w:r>
    </w:p>
    <w:p w14:paraId="16546FAC" w14:textId="4BA07A81" w:rsidR="002455F8" w:rsidRDefault="002455F8"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t>D</w:t>
      </w:r>
      <w:r w:rsidRPr="000C4BBF">
        <w:t>riv</w:t>
      </w:r>
      <w:r>
        <w:t>e greater cross</w:t>
      </w:r>
      <w:r w:rsidR="008D3706">
        <w:t>-</w:t>
      </w:r>
      <w:r>
        <w:t xml:space="preserve">sector </w:t>
      </w:r>
      <w:r w:rsidRPr="000C4BBF">
        <w:t>coordination</w:t>
      </w:r>
      <w:r>
        <w:t>,</w:t>
      </w:r>
      <w:r w:rsidRPr="000C4BBF">
        <w:t xml:space="preserve"> collaboration</w:t>
      </w:r>
      <w:r>
        <w:t xml:space="preserve">, knowledge sharing and investment alignment across the </w:t>
      </w:r>
      <w:r w:rsidR="00E14C30">
        <w:t>R</w:t>
      </w:r>
      <w:r w:rsidR="00237AD6">
        <w:t>D&amp;E</w:t>
      </w:r>
      <w:r w:rsidDel="00E14C30">
        <w:t xml:space="preserve"> </w:t>
      </w:r>
      <w:r>
        <w:t>system.</w:t>
      </w:r>
    </w:p>
    <w:p w14:paraId="6373B56F" w14:textId="3BFD8F26" w:rsidR="00331F46" w:rsidRDefault="008D3706"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t>Support i</w:t>
      </w:r>
      <w:r w:rsidR="002455F8" w:rsidRPr="00054723">
        <w:t>nvestment and demonstration activity to bridge the gap between pilot projects and commercial-scale deployment.</w:t>
      </w:r>
    </w:p>
    <w:p w14:paraId="2C6B415D" w14:textId="3BEC1D65" w:rsidR="00BA70CF" w:rsidRDefault="00BA70CF" w:rsidP="00180B11">
      <w:pPr>
        <w:spacing w:before="240"/>
      </w:pPr>
      <w:r>
        <w:t>Advancing a diverse range of high-quality, low-emissions feedstocks to commercial readiness means overcoming technical challenges that vary by feedstock type, maturity and supply chain. Innovation and continuous improvement will be critical to scaling production and mobilisation, lowering costs and reducing the risk that promising feedstocks fail to progress beyond pilot stages. A more strategic approach to research</w:t>
      </w:r>
      <w:r w:rsidR="00237AD6">
        <w:t>,</w:t>
      </w:r>
      <w:r>
        <w:t xml:space="preserve"> development </w:t>
      </w:r>
      <w:r w:rsidR="00237AD6">
        <w:t>and extension</w:t>
      </w:r>
      <w:r>
        <w:t xml:space="preserve"> (RD</w:t>
      </w:r>
      <w:r w:rsidR="00833F2D">
        <w:t>&amp;E</w:t>
      </w:r>
      <w:r>
        <w:t xml:space="preserve">), backed by stronger collaboration and greater investment, </w:t>
      </w:r>
      <w:r w:rsidR="00914C65">
        <w:t xml:space="preserve">would </w:t>
      </w:r>
      <w:r>
        <w:t xml:space="preserve">help the sector </w:t>
      </w:r>
      <w:r w:rsidR="008D3706">
        <w:t xml:space="preserve">to </w:t>
      </w:r>
      <w:r>
        <w:t>produce feedstocks at scale, at the right quality and at a price that can compete globally.</w:t>
      </w:r>
    </w:p>
    <w:p w14:paraId="29B7626E" w14:textId="77777777" w:rsidR="00BA70CF" w:rsidRDefault="00BA70CF" w:rsidP="00987732">
      <w:pPr>
        <w:pStyle w:val="Heading3"/>
      </w:pPr>
      <w:bookmarkStart w:id="74" w:name="_Toc236928339"/>
      <w:r>
        <w:t>Innovation at the feedstock end of the supply chain is a priority</w:t>
      </w:r>
      <w:bookmarkEnd w:id="74"/>
    </w:p>
    <w:p w14:paraId="7B47E109" w14:textId="15671EA2" w:rsidR="00BA70CF" w:rsidRDefault="00BA70CF" w:rsidP="00BA70CF">
      <w:r>
        <w:t>Despite significant bioenergy RD</w:t>
      </w:r>
      <w:r w:rsidR="00E84AC3">
        <w:t>&amp;E</w:t>
      </w:r>
      <w:r>
        <w:t xml:space="preserve"> activity, stakeholders said investment and effort remain skewed towards downstream processing technologies. </w:t>
      </w:r>
      <w:r w:rsidR="00944656">
        <w:t>Investment in</w:t>
      </w:r>
      <w:r>
        <w:t xml:space="preserve"> upstream areas, including feedstock production and near-farm-gate supply chain components, is still underrepresented in strategic agendas and investment portfolios.</w:t>
      </w:r>
    </w:p>
    <w:p w14:paraId="0F9116A0" w14:textId="26DCD2C3" w:rsidR="00BA70CF" w:rsidRDefault="00BA70CF" w:rsidP="00BA70CF">
      <w:r>
        <w:t xml:space="preserve">More </w:t>
      </w:r>
      <w:r w:rsidR="00E84AC3">
        <w:t>RD&amp;E</w:t>
      </w:r>
      <w:r>
        <w:t xml:space="preserve"> is needed at the feedstock end of the supply chain to achieve competitive supply at greater scale. The core challenges are:</w:t>
      </w:r>
    </w:p>
    <w:p w14:paraId="336E27B2" w14:textId="3CBA92AE" w:rsidR="00AB3F20" w:rsidRPr="004341F4" w:rsidRDefault="00987732" w:rsidP="004341F4">
      <w:pPr>
        <w:pStyle w:val="ListBullet"/>
        <w:numPr>
          <w:ilvl w:val="0"/>
          <w:numId w:val="49"/>
        </w:numPr>
        <w:ind w:left="454" w:hanging="454"/>
      </w:pPr>
      <w:r w:rsidRPr="004341F4">
        <w:rPr>
          <w:b/>
        </w:rPr>
        <w:t>s</w:t>
      </w:r>
      <w:r w:rsidR="00BA70CF" w:rsidRPr="004341F4">
        <w:rPr>
          <w:b/>
        </w:rPr>
        <w:t>ustainably increasing production and mobilisation</w:t>
      </w:r>
      <w:r w:rsidR="00C11D14" w:rsidRPr="004341F4">
        <w:t xml:space="preserve"> – </w:t>
      </w:r>
      <w:r w:rsidR="00BA70CF" w:rsidRPr="004341F4">
        <w:t>enabling diversification of feedstocks with improved yields, higher quality and increased integration with production systems</w:t>
      </w:r>
    </w:p>
    <w:p w14:paraId="2A2D3A88" w14:textId="6EA5EDB1" w:rsidR="00BA70CF" w:rsidRPr="004341F4" w:rsidRDefault="00987732" w:rsidP="004341F4">
      <w:pPr>
        <w:pStyle w:val="ListBullet"/>
        <w:numPr>
          <w:ilvl w:val="0"/>
          <w:numId w:val="49"/>
        </w:numPr>
        <w:ind w:left="454" w:hanging="454"/>
      </w:pPr>
      <w:r w:rsidRPr="004341F4">
        <w:rPr>
          <w:b/>
        </w:rPr>
        <w:t>i</w:t>
      </w:r>
      <w:r w:rsidR="00BA70CF" w:rsidRPr="004341F4">
        <w:rPr>
          <w:b/>
        </w:rPr>
        <w:t>ncreasing emissions abatement</w:t>
      </w:r>
      <w:r w:rsidR="00880DDC" w:rsidRPr="004341F4">
        <w:t xml:space="preserve"> –</w:t>
      </w:r>
      <w:r w:rsidR="00BA70CF" w:rsidRPr="004341F4">
        <w:t xml:space="preserve"> improving the emissions intensity of feedstocks and supply chains to maximise emissions reduction outcomes</w:t>
      </w:r>
    </w:p>
    <w:p w14:paraId="242B3E43" w14:textId="6885416D" w:rsidR="00BA70CF" w:rsidRPr="005A7EF1" w:rsidRDefault="00987732" w:rsidP="004341F4">
      <w:pPr>
        <w:pStyle w:val="ListBullet"/>
        <w:numPr>
          <w:ilvl w:val="0"/>
          <w:numId w:val="49"/>
        </w:numPr>
        <w:ind w:left="454" w:hanging="454"/>
        <w:rPr>
          <w:rFonts w:cstheme="minorHAnsi"/>
        </w:rPr>
      </w:pPr>
      <w:r w:rsidRPr="004341F4">
        <w:rPr>
          <w:b/>
        </w:rPr>
        <w:t>i</w:t>
      </w:r>
      <w:r w:rsidR="00BA70CF" w:rsidRPr="004341F4">
        <w:rPr>
          <w:b/>
        </w:rPr>
        <w:t>mproving long-term cost effectiveness</w:t>
      </w:r>
      <w:r w:rsidR="00880DDC" w:rsidRPr="004341F4">
        <w:t xml:space="preserve"> –</w:t>
      </w:r>
      <w:r w:rsidR="00BA70CF" w:rsidRPr="004341F4">
        <w:t xml:space="preserve"> reducing production, processing and logistics costs to support international competitiveness</w:t>
      </w:r>
      <w:r w:rsidR="00BA70CF" w:rsidRPr="005A7EF1">
        <w:rPr>
          <w:rFonts w:cstheme="minorHAnsi"/>
        </w:rPr>
        <w:t>.</w:t>
      </w:r>
    </w:p>
    <w:p w14:paraId="69D9FC34" w14:textId="52BAB0F8" w:rsidR="00BA70CF" w:rsidRDefault="00BA70CF" w:rsidP="00BA70CF">
      <w:r>
        <w:lastRenderedPageBreak/>
        <w:t>A</w:t>
      </w:r>
      <w:r w:rsidDel="00944656">
        <w:t xml:space="preserve"> </w:t>
      </w:r>
      <w:r>
        <w:t>range of innovation is needed to address these challenges and complement ongoing work on downstream processing technologies (</w:t>
      </w:r>
      <w:r w:rsidR="0045360C">
        <w:fldChar w:fldCharType="begin"/>
      </w:r>
      <w:r w:rsidR="0045360C">
        <w:instrText xml:space="preserve"> REF _Ref235100147 \h </w:instrText>
      </w:r>
      <w:r w:rsidR="0045360C">
        <w:fldChar w:fldCharType="separate"/>
      </w:r>
      <w:r w:rsidR="00C71C2F">
        <w:t xml:space="preserve">Figure </w:t>
      </w:r>
      <w:r w:rsidR="00C71C2F">
        <w:rPr>
          <w:noProof/>
        </w:rPr>
        <w:t>8</w:t>
      </w:r>
      <w:r w:rsidR="0045360C">
        <w:fldChar w:fldCharType="end"/>
      </w:r>
      <w:r>
        <w:t>).</w:t>
      </w:r>
      <w:r w:rsidR="00BF3C74">
        <w:t xml:space="preserve"> </w:t>
      </w:r>
      <w:r>
        <w:t xml:space="preserve">Current needs are most acute for less </w:t>
      </w:r>
      <w:r w:rsidR="00DD2FE5">
        <w:t xml:space="preserve">developed </w:t>
      </w:r>
      <w:r w:rsidR="00211D89">
        <w:t xml:space="preserve">and emerging </w:t>
      </w:r>
      <w:r>
        <w:t xml:space="preserve">feedstocks, including novel energy crops and agriculture and forestry residues, where uncertainty about yield, cost, sustainability and logistics creates major barriers to scale. </w:t>
      </w:r>
      <w:r w:rsidR="00490EC0">
        <w:t>Developing and e</w:t>
      </w:r>
      <w:r>
        <w:t xml:space="preserve">merging feedstocks also need more </w:t>
      </w:r>
      <w:r w:rsidR="00316FF3">
        <w:t>RD&amp;E</w:t>
      </w:r>
      <w:r>
        <w:t xml:space="preserve"> to develop market-ready co-products and create more value. Addressing these barriers will require a stronger focus on early-stage innovation that reduces supply risk, strengthens producer participation and supports downstream investment.</w:t>
      </w:r>
    </w:p>
    <w:p w14:paraId="206CAE5B" w14:textId="3E8F3DAD" w:rsidR="0045360C" w:rsidRDefault="0045360C" w:rsidP="0045360C">
      <w:pPr>
        <w:pStyle w:val="Caption"/>
      </w:pPr>
      <w:bookmarkStart w:id="75" w:name="_Ref235100147"/>
      <w:bookmarkStart w:id="76" w:name="_Toc235100475"/>
      <w:bookmarkStart w:id="77" w:name="_Toc236992426"/>
      <w:r>
        <w:t xml:space="preserve">Figure </w:t>
      </w:r>
      <w:fldSimple w:instr=" SEQ Figure \* ARABIC ">
        <w:r w:rsidR="00C71C2F">
          <w:rPr>
            <w:noProof/>
          </w:rPr>
          <w:t>8</w:t>
        </w:r>
      </w:fldSimple>
      <w:bookmarkEnd w:id="75"/>
      <w:r>
        <w:t xml:space="preserve"> </w:t>
      </w:r>
      <w:r w:rsidRPr="00467CF8">
        <w:t>Opportunities for RD&amp;E to enable bioenergy feedstock industry development</w:t>
      </w:r>
      <w:bookmarkEnd w:id="76"/>
      <w:bookmarkEnd w:id="77"/>
    </w:p>
    <w:p w14:paraId="11D91896" w14:textId="69FEA875" w:rsidR="00A85F42" w:rsidRPr="00A85F42" w:rsidRDefault="00A85F42" w:rsidP="00A85F42">
      <w:pPr>
        <w:pStyle w:val="Caption"/>
      </w:pPr>
      <w:r w:rsidRPr="00A85F42">
        <w:rPr>
          <w:noProof/>
        </w:rPr>
        <w:drawing>
          <wp:inline distT="0" distB="0" distL="0" distR="0" wp14:anchorId="2C068996" wp14:editId="5786ACDA">
            <wp:extent cx="5759450" cy="3947160"/>
            <wp:effectExtent l="0" t="0" r="0" b="0"/>
            <wp:docPr id="228039782" name="Picture 8" descr="This figure displays opportunities for feedstock research and development that span the bioenergy value chain. The stages of the value chain are represented in linear sequence at the top of the figure, including feedstock selection, production and harvest, aggregation and storage, pre-processing, transport and handling, and processing pathway. These stages are categorised into on-farm production, logistics, and energy conversion. Sitting under these three categories are cross-cutting areas for research and development, including life cycle assessments, trade-off analysis and whole of value chain bioregional feedstock assess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39782" name="Picture 8" descr="This figure displays opportunities for feedstock research and development that span the bioenergy value chain. The stages of the value chain are represented in linear sequence at the top of the figure, including feedstock selection, production and harvest, aggregation and storage, pre-processing, transport and handling, and processing pathway. These stages are categorised into on-farm production, logistics, and energy conversion. Sitting under these three categories are cross-cutting areas for research and development, including life cycle assessments, trade-off analysis and whole of value chain bioregional feedstock assessments.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9450" cy="3947160"/>
                    </a:xfrm>
                    <a:prstGeom prst="rect">
                      <a:avLst/>
                    </a:prstGeom>
                    <a:noFill/>
                    <a:ln>
                      <a:noFill/>
                    </a:ln>
                  </pic:spPr>
                </pic:pic>
              </a:graphicData>
            </a:graphic>
          </wp:inline>
        </w:drawing>
      </w:r>
    </w:p>
    <w:p w14:paraId="010FF5CF" w14:textId="77777777" w:rsidR="00B77AFD" w:rsidRDefault="00B77AFD" w:rsidP="00B77AFD">
      <w:pPr>
        <w:pStyle w:val="Heading3"/>
      </w:pPr>
      <w:bookmarkStart w:id="78" w:name="_Toc236928340"/>
      <w:r>
        <w:t>Increasing scale of investment</w:t>
      </w:r>
      <w:bookmarkEnd w:id="78"/>
    </w:p>
    <w:p w14:paraId="5C55AD2A" w14:textId="665793D0" w:rsidR="00B77AFD" w:rsidRDefault="00B77AFD" w:rsidP="00B77AFD">
      <w:r>
        <w:t xml:space="preserve">Greater collective innovation effort is needed to address key barriers to industry development. Stakeholders consistently identified the transition from pilot to commercial-scale production as a major challenge, especially for </w:t>
      </w:r>
      <w:r w:rsidR="00A625CE">
        <w:t xml:space="preserve">developing and </w:t>
      </w:r>
      <w:r>
        <w:t>emerging feedstocks. Targeted, sustained investment is needed across the innovation pipeline, while also enabling rapid innovation cycles through parallel development pathways, from feedstock development to advanced harvesting and aggregation technologies, and through to full supply chain integration under real-world conditions.</w:t>
      </w:r>
    </w:p>
    <w:p w14:paraId="5DE1001D" w14:textId="12BD593A" w:rsidR="00B77AFD" w:rsidRDefault="00B77AFD" w:rsidP="00B77AFD">
      <w:r>
        <w:t xml:space="preserve">Through the </w:t>
      </w:r>
      <w:r w:rsidR="008D3706">
        <w:t>Research and Development Corporation (</w:t>
      </w:r>
      <w:r>
        <w:t>RDC</w:t>
      </w:r>
      <w:r w:rsidR="008D3706">
        <w:t>)</w:t>
      </w:r>
      <w:r>
        <w:t xml:space="preserve"> system, government and industry are already investing heavily in innovation across a wide range of agricultural and forestry commodities. There is scope to increase the focus on feedstock development and strengthen alignment across RDCs (</w:t>
      </w:r>
      <w:r w:rsidR="0045360C">
        <w:fldChar w:fldCharType="begin"/>
      </w:r>
      <w:r w:rsidR="0045360C">
        <w:instrText xml:space="preserve"> REF _Ref235100225 \h </w:instrText>
      </w:r>
      <w:r w:rsidR="0045360C">
        <w:fldChar w:fldCharType="separate"/>
      </w:r>
      <w:r w:rsidR="00C71C2F">
        <w:t xml:space="preserve">Box </w:t>
      </w:r>
      <w:r w:rsidR="00C71C2F">
        <w:rPr>
          <w:noProof/>
        </w:rPr>
        <w:t>3</w:t>
      </w:r>
      <w:r w:rsidR="0045360C">
        <w:fldChar w:fldCharType="end"/>
      </w:r>
      <w:r>
        <w:t>).</w:t>
      </w:r>
      <w:r w:rsidR="00CE6F1E">
        <w:t xml:space="preserve"> For example, AgriFutures invests in RD&amp;E that supports the development of emerging, high-potential agricultural industries and has already done work on emerging feedstocks such as pongamia. In future, AgriFutures could expand this work in its forward plans to complement RD&amp;E on more established commodities led by other RDCs.</w:t>
      </w:r>
    </w:p>
    <w:p w14:paraId="66C198FC" w14:textId="056C1876" w:rsidR="0045360C" w:rsidRDefault="0045360C" w:rsidP="0045360C">
      <w:pPr>
        <w:pStyle w:val="Caption"/>
        <w:pBdr>
          <w:top w:val="single" w:sz="4" w:space="10" w:color="auto"/>
          <w:left w:val="single" w:sz="4" w:space="10" w:color="auto"/>
          <w:bottom w:val="single" w:sz="4" w:space="10" w:color="auto"/>
          <w:right w:val="single" w:sz="4" w:space="10" w:color="auto"/>
        </w:pBdr>
      </w:pPr>
      <w:bookmarkStart w:id="79" w:name="_Ref235100225"/>
      <w:bookmarkStart w:id="80" w:name="_Toc235100631"/>
      <w:bookmarkStart w:id="81" w:name="_Toc236985532"/>
      <w:r>
        <w:lastRenderedPageBreak/>
        <w:t xml:space="preserve">Box </w:t>
      </w:r>
      <w:fldSimple w:instr=" SEQ Box \* ARABIC ">
        <w:r w:rsidR="00C71C2F">
          <w:rPr>
            <w:noProof/>
          </w:rPr>
          <w:t>3</w:t>
        </w:r>
      </w:fldSimple>
      <w:bookmarkEnd w:id="79"/>
      <w:r>
        <w:t xml:space="preserve"> The role of </w:t>
      </w:r>
      <w:r w:rsidR="005F70DA">
        <w:t>Research and Development Corporation</w:t>
      </w:r>
      <w:r>
        <w:t xml:space="preserve"> investment</w:t>
      </w:r>
      <w:bookmarkEnd w:id="80"/>
      <w:bookmarkEnd w:id="81"/>
    </w:p>
    <w:p w14:paraId="518BF1BE" w14:textId="77777777" w:rsidR="00B77AFD" w:rsidRDefault="00B77AFD" w:rsidP="00B77AFD">
      <w:pPr>
        <w:pStyle w:val="BoxText"/>
      </w:pPr>
      <w:r>
        <w:t>The RDC model is a successful partnership combining industry levies and Australian Government matched funding for eligible research, development and extension activities. In 2024-25, activities included the Grains Research Development Corporation exploring opportunities for farmers to participate in the bioenergy feedstock sector, outlining innovation opportunities from improving existing feedstocks to advancing novel biomass oil crops (GRDC Low Carbon Liquid Fuels Roadmap 2025).</w:t>
      </w:r>
    </w:p>
    <w:p w14:paraId="00C5ED6E" w14:textId="77777777" w:rsidR="00B77AFD" w:rsidRDefault="00B77AFD" w:rsidP="00B77AFD">
      <w:pPr>
        <w:pStyle w:val="BoxText"/>
      </w:pPr>
      <w:r>
        <w:t>RDCs also have an opportunity to align their efforts with each other to achieve gains across the sector. The Council of Rural RDCs could play a convening or leadership role in this area, alongside AgriFutures Australia with its cross-industry and cross-sectoral remit.</w:t>
      </w:r>
    </w:p>
    <w:p w14:paraId="5623589B" w14:textId="5E8C45B9" w:rsidR="00B77AFD" w:rsidRDefault="00B77AFD" w:rsidP="00B77AFD">
      <w:r>
        <w:t xml:space="preserve">The Australian Government is </w:t>
      </w:r>
      <w:r w:rsidR="0028733E">
        <w:t xml:space="preserve">also </w:t>
      </w:r>
      <w:r>
        <w:t>supporting innovation and commercialisation through investments such as the Future Made in Australia Innovation Fund. Under the LCLF Technology Focus Area, funding is available for innovative projects that accelerate commercial-scale domestic production, pre-commercial technology demonstration, and feedstock and supply chain enablement (</w:t>
      </w:r>
      <w:r w:rsidR="00FB73DA">
        <w:fldChar w:fldCharType="begin"/>
      </w:r>
      <w:r w:rsidR="00FB73DA">
        <w:instrText xml:space="preserve"> REF _Ref235100288 \h </w:instrText>
      </w:r>
      <w:r w:rsidR="00FB73DA">
        <w:fldChar w:fldCharType="separate"/>
      </w:r>
      <w:r w:rsidR="00C71C2F">
        <w:t xml:space="preserve">Box </w:t>
      </w:r>
      <w:r w:rsidR="00C71C2F">
        <w:rPr>
          <w:noProof/>
        </w:rPr>
        <w:t>4</w:t>
      </w:r>
      <w:r w:rsidR="00FB73DA">
        <w:fldChar w:fldCharType="end"/>
      </w:r>
      <w:r>
        <w:t>).</w:t>
      </w:r>
    </w:p>
    <w:p w14:paraId="6176989A" w14:textId="4794E533" w:rsidR="00FB73DA" w:rsidRDefault="00FB73DA" w:rsidP="00FB73DA">
      <w:pPr>
        <w:pStyle w:val="Caption"/>
        <w:pBdr>
          <w:top w:val="single" w:sz="4" w:space="10" w:color="auto"/>
          <w:left w:val="single" w:sz="4" w:space="10" w:color="auto"/>
          <w:bottom w:val="single" w:sz="4" w:space="10" w:color="auto"/>
          <w:right w:val="single" w:sz="4" w:space="10" w:color="auto"/>
        </w:pBdr>
      </w:pPr>
      <w:bookmarkStart w:id="82" w:name="_Ref235100288"/>
      <w:bookmarkStart w:id="83" w:name="_Toc235100632"/>
      <w:bookmarkStart w:id="84" w:name="_Toc236985533"/>
      <w:r>
        <w:t xml:space="preserve">Box </w:t>
      </w:r>
      <w:fldSimple w:instr=" SEQ Box \* ARABIC ">
        <w:r w:rsidR="00C71C2F">
          <w:rPr>
            <w:noProof/>
          </w:rPr>
          <w:t>4</w:t>
        </w:r>
      </w:fldSimple>
      <w:bookmarkEnd w:id="82"/>
      <w:r>
        <w:t xml:space="preserve"> Future Made in Australia Innovation Fund</w:t>
      </w:r>
      <w:bookmarkEnd w:id="83"/>
      <w:bookmarkEnd w:id="84"/>
    </w:p>
    <w:p w14:paraId="32820F20" w14:textId="77777777" w:rsidR="00B77AFD" w:rsidRDefault="00B77AFD" w:rsidP="00B77AFD">
      <w:pPr>
        <w:pStyle w:val="BoxText"/>
      </w:pPr>
      <w:r>
        <w:t>ARENA’s Future Made in Australia Innovation Fund has allocated $250 million in grant funding under the LCLF Technology Focus Area. This builds on previous investments made under ARENA’s SAF Funding Initiative.</w:t>
      </w:r>
    </w:p>
    <w:p w14:paraId="428B17F1" w14:textId="77777777" w:rsidR="00B77AFD" w:rsidRDefault="00B77AFD" w:rsidP="00B77AFD">
      <w:pPr>
        <w:pStyle w:val="BoxText"/>
      </w:pPr>
      <w:r>
        <w:t>This funding will accelerate the development of a domestic LCLF industry - supporting the development of biogenic feedstocks through innovative approaches to production, processing and aggregation and the enablement of innovative supply chain infrastructure.</w:t>
      </w:r>
    </w:p>
    <w:p w14:paraId="161A770B" w14:textId="7DC0F09B" w:rsidR="00BA70CF" w:rsidRDefault="00BA70CF" w:rsidP="00B76CFA">
      <w:pPr>
        <w:pStyle w:val="Heading3"/>
      </w:pPr>
      <w:bookmarkStart w:id="85" w:name="_Toc236928341"/>
      <w:r>
        <w:t>Stronger coordination and collaboration</w:t>
      </w:r>
      <w:bookmarkEnd w:id="85"/>
    </w:p>
    <w:p w14:paraId="1055A482" w14:textId="6F6A5C07" w:rsidR="00BA70CF" w:rsidRDefault="00BA70CF" w:rsidP="00BA70CF">
      <w:r>
        <w:t xml:space="preserve">Stakeholders </w:t>
      </w:r>
      <w:r w:rsidR="00D70AA3">
        <w:t xml:space="preserve">have </w:t>
      </w:r>
      <w:r>
        <w:t xml:space="preserve">said </w:t>
      </w:r>
      <w:r w:rsidR="00D70AA3">
        <w:t xml:space="preserve">that </w:t>
      </w:r>
      <w:r>
        <w:t xml:space="preserve">better coordination and collaboration between governments, industry and research institutions is needed to reduce duplication, integrate effort, share knowledge and support co-investment that helps de-risk transformative projects. Clearer roles and stronger collaboration will help align activities across the </w:t>
      </w:r>
      <w:r w:rsidR="00316FF3">
        <w:t>RD&amp;E</w:t>
      </w:r>
      <w:r>
        <w:t xml:space="preserve"> pipeline and get more value from investment.</w:t>
      </w:r>
    </w:p>
    <w:p w14:paraId="4094DBF4" w14:textId="11508570" w:rsidR="00BA70CF" w:rsidRDefault="00BA70CF" w:rsidP="00BA70CF">
      <w:r>
        <w:t xml:space="preserve">Stakeholders also identified opportunities to build feedstock-specific collaborative initiatives that deliver greater </w:t>
      </w:r>
      <w:r w:rsidR="00316FF3">
        <w:t>RD&amp;E</w:t>
      </w:r>
      <w:r>
        <w:t xml:space="preserve"> impact.</w:t>
      </w:r>
      <w:r w:rsidR="00251D04">
        <w:t xml:space="preserve"> </w:t>
      </w:r>
      <w:r w:rsidR="00251D04" w:rsidRPr="005C6AAB">
        <w:t xml:space="preserve">The Australian Government is delivering coordinated science and research through Australia’s national science agency, CSIRO </w:t>
      </w:r>
      <w:r w:rsidR="00251D04">
        <w:t>(</w:t>
      </w:r>
      <w:r w:rsidR="00FB73DA">
        <w:fldChar w:fldCharType="begin"/>
      </w:r>
      <w:r w:rsidR="00FB73DA">
        <w:instrText xml:space="preserve"> REF _Ref235100368 \h </w:instrText>
      </w:r>
      <w:r w:rsidR="00FB73DA">
        <w:fldChar w:fldCharType="separate"/>
      </w:r>
      <w:r w:rsidR="00C71C2F">
        <w:t xml:space="preserve">Box </w:t>
      </w:r>
      <w:r w:rsidR="00C71C2F">
        <w:rPr>
          <w:noProof/>
        </w:rPr>
        <w:t>5</w:t>
      </w:r>
      <w:r w:rsidR="00FB73DA">
        <w:fldChar w:fldCharType="end"/>
      </w:r>
      <w:r w:rsidR="00251D04">
        <w:t>).</w:t>
      </w:r>
      <w:r>
        <w:t xml:space="preserve"> </w:t>
      </w:r>
      <w:r w:rsidR="00251D04" w:rsidRPr="005C6AAB">
        <w:t>This work spans feedstock development, biophysical and socio-economic system modelling, supply chain analysis, and downstream processing and conversion technology development.</w:t>
      </w:r>
      <w:r w:rsidR="00251D04">
        <w:t xml:space="preserve"> </w:t>
      </w:r>
      <w:r>
        <w:t xml:space="preserve">Models such as the CSIRO </w:t>
      </w:r>
      <w:r w:rsidRPr="007E2C8A">
        <w:rPr>
          <w:i/>
        </w:rPr>
        <w:t>Towards Net Zero Mission</w:t>
      </w:r>
      <w:r>
        <w:t xml:space="preserve"> and the </w:t>
      </w:r>
      <w:r w:rsidRPr="007E2C8A">
        <w:rPr>
          <w:i/>
        </w:rPr>
        <w:t>Zero Net Emissions Agriculture Cooperative Research Centre</w:t>
      </w:r>
      <w:r>
        <w:t xml:space="preserve"> show the value of this kind of collaboration.</w:t>
      </w:r>
    </w:p>
    <w:p w14:paraId="29C6F97B" w14:textId="307955A7" w:rsidR="00BA70CF" w:rsidRDefault="00BA70CF" w:rsidP="00BA70CF">
      <w:r>
        <w:t xml:space="preserve">The Australian Government will </w:t>
      </w:r>
      <w:r w:rsidR="005C6AAB">
        <w:t xml:space="preserve">also </w:t>
      </w:r>
      <w:r w:rsidR="009D676C">
        <w:t xml:space="preserve">consider </w:t>
      </w:r>
      <w:r w:rsidR="005C6AAB">
        <w:t>opportunities to</w:t>
      </w:r>
      <w:r w:rsidR="009D676C">
        <w:t xml:space="preserve"> </w:t>
      </w:r>
      <w:r>
        <w:t xml:space="preserve">work </w:t>
      </w:r>
      <w:r w:rsidR="005C6AAB">
        <w:t xml:space="preserve">together </w:t>
      </w:r>
      <w:r>
        <w:t xml:space="preserve">with RDCs and industry to strengthen cross-sector coordination and collaboration on feedstock </w:t>
      </w:r>
      <w:r w:rsidR="00B704C3">
        <w:t>RD&amp;E</w:t>
      </w:r>
      <w:r>
        <w:t xml:space="preserve">. </w:t>
      </w:r>
      <w:r w:rsidR="007A4879">
        <w:t>The</w:t>
      </w:r>
      <w:r>
        <w:t xml:space="preserve"> recent </w:t>
      </w:r>
      <w:r w:rsidRPr="00935DE1">
        <w:rPr>
          <w:i/>
        </w:rPr>
        <w:t>Energy Transition Roadmap for the Agriculture, Fisheries and Forestry Sector</w:t>
      </w:r>
      <w:r>
        <w:t xml:space="preserve"> (AgriFutures</w:t>
      </w:r>
      <w:r w:rsidR="00B33F82">
        <w:t> </w:t>
      </w:r>
      <w:r>
        <w:t xml:space="preserve">2026) highlights the feedstock opportunity and the need to align behind a shared pathway to overcome fragmented effort and support a coherent, whole-of-sector transition. AgriFutures, together with the Council of Rural RDCs, could help connect </w:t>
      </w:r>
      <w:r w:rsidR="00B704C3">
        <w:t>RD&amp;E</w:t>
      </w:r>
      <w:r>
        <w:t xml:space="preserve"> efforts, support knowledge sharing, and align the investment and capability development needed to bring diverse feedstock pathways to commercial readiness.</w:t>
      </w:r>
    </w:p>
    <w:p w14:paraId="76F666FE" w14:textId="7A7239C5" w:rsidR="00FB73DA" w:rsidRDefault="00FB73DA" w:rsidP="00FB73DA">
      <w:pPr>
        <w:pStyle w:val="Caption"/>
        <w:pBdr>
          <w:top w:val="single" w:sz="4" w:space="10" w:color="auto"/>
          <w:left w:val="single" w:sz="4" w:space="10" w:color="auto"/>
          <w:bottom w:val="single" w:sz="4" w:space="10" w:color="auto"/>
          <w:right w:val="single" w:sz="4" w:space="10" w:color="auto"/>
        </w:pBdr>
      </w:pPr>
      <w:bookmarkStart w:id="86" w:name="_Ref235100368"/>
      <w:bookmarkStart w:id="87" w:name="_Toc235100633"/>
      <w:bookmarkStart w:id="88" w:name="_Toc236985534"/>
      <w:r>
        <w:lastRenderedPageBreak/>
        <w:t xml:space="preserve">Box </w:t>
      </w:r>
      <w:fldSimple w:instr=" SEQ Box \* ARABIC ">
        <w:r w:rsidR="00C71C2F">
          <w:rPr>
            <w:noProof/>
          </w:rPr>
          <w:t>5</w:t>
        </w:r>
      </w:fldSimple>
      <w:bookmarkEnd w:id="86"/>
      <w:r>
        <w:t xml:space="preserve"> </w:t>
      </w:r>
      <w:r w:rsidRPr="00151B5A">
        <w:t xml:space="preserve">CSIRO applied science and research to advance </w:t>
      </w:r>
      <w:bookmarkEnd w:id="87"/>
      <w:r w:rsidR="009F550C">
        <w:t>low carbon liquid fuels</w:t>
      </w:r>
      <w:bookmarkEnd w:id="88"/>
    </w:p>
    <w:p w14:paraId="7E593300" w14:textId="77777777" w:rsidR="00BA70CF" w:rsidRDefault="00BA70CF" w:rsidP="008808FD">
      <w:pPr>
        <w:pStyle w:val="BoxText"/>
      </w:pPr>
      <w:r>
        <w:t>The Australian Government is delivering coordinated science and research contributing to a Future Made in Australia through CSIRO.</w:t>
      </w:r>
    </w:p>
    <w:p w14:paraId="3F06791E" w14:textId="6F4DB3FD" w:rsidR="00BA70CF" w:rsidRDefault="00BA70CF" w:rsidP="008808FD">
      <w:pPr>
        <w:pStyle w:val="BoxText"/>
      </w:pPr>
      <w:r>
        <w:t>CSIRO science has shaped the foundations for LCLFs in Australia, through initiatives such as the Towards Net Zero Mission, the Sustainable Aviation Fuel roadmap</w:t>
      </w:r>
      <w:r w:rsidR="00DE2899">
        <w:t xml:space="preserve"> (</w:t>
      </w:r>
      <w:r w:rsidR="006C695E">
        <w:t>2023)</w:t>
      </w:r>
      <w:r>
        <w:t>, the Opportunities for LCLFs report (2025a), and the State of Energy Transition Technologies report (2025b). As the LCLF supply chain is highly interconnected, coordinating research across the supply chain enables CSIRO to deliver end-to-end solutions for industry and government to advance LCLFs, while integrating community co-benefits, economic viability and environmental impact assessments.</w:t>
      </w:r>
    </w:p>
    <w:p w14:paraId="23556D3E" w14:textId="784BCC6A" w:rsidR="00BA70CF" w:rsidRDefault="00BA70CF" w:rsidP="008808FD">
      <w:pPr>
        <w:pStyle w:val="Heading2"/>
      </w:pPr>
      <w:bookmarkStart w:id="89" w:name="_Toc236928342"/>
      <w:r>
        <w:lastRenderedPageBreak/>
        <w:t>Priority area: regional supply chain development</w:t>
      </w:r>
      <w:bookmarkEnd w:id="89"/>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4"/>
        <w:gridCol w:w="8107"/>
      </w:tblGrid>
      <w:tr w:rsidR="005E1E6D" w:rsidRPr="005E1E6D" w14:paraId="7EFDEDB0" w14:textId="77777777">
        <w:tc>
          <w:tcPr>
            <w:tcW w:w="964" w:type="dxa"/>
            <w:vAlign w:val="center"/>
          </w:tcPr>
          <w:p w14:paraId="356CEE90" w14:textId="77777777" w:rsidR="005E1E6D" w:rsidRPr="005E1E6D" w:rsidRDefault="005E1E6D" w:rsidP="005E1E6D">
            <w:pPr>
              <w:spacing w:before="0" w:after="0" w:line="240" w:lineRule="auto"/>
              <w:rPr>
                <w:rFonts w:cstheme="minorHAnsi"/>
                <w:i/>
                <w:iCs/>
                <w:color w:val="215868" w:themeColor="accent5" w:themeShade="80"/>
                <w:sz w:val="24"/>
                <w:szCs w:val="28"/>
              </w:rPr>
            </w:pPr>
            <w:r w:rsidRPr="005E1E6D">
              <w:rPr>
                <w:rFonts w:cstheme="minorHAnsi"/>
                <w:i/>
                <w:iCs/>
                <w:noProof/>
                <w:color w:val="215868" w:themeColor="accent5" w:themeShade="80"/>
                <w:sz w:val="24"/>
                <w:szCs w:val="28"/>
              </w:rPr>
              <w:drawing>
                <wp:inline distT="0" distB="0" distL="0" distR="0" wp14:anchorId="6E946EF2" wp14:editId="2B7EA8A7">
                  <wp:extent cx="576000" cy="576000"/>
                  <wp:effectExtent l="0" t="0" r="0" b="0"/>
                  <wp:docPr id="651127246" name="Picture 20" descr="Decorativ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27246" name="Picture 20" descr="Decorative icon"/>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76000" cy="576000"/>
                          </a:xfrm>
                          <a:prstGeom prst="rect">
                            <a:avLst/>
                          </a:prstGeom>
                          <a:noFill/>
                        </pic:spPr>
                      </pic:pic>
                    </a:graphicData>
                  </a:graphic>
                </wp:inline>
              </w:drawing>
            </w:r>
          </w:p>
        </w:tc>
        <w:tc>
          <w:tcPr>
            <w:tcW w:w="8107" w:type="dxa"/>
            <w:vAlign w:val="center"/>
          </w:tcPr>
          <w:p w14:paraId="2F08C86E" w14:textId="77777777" w:rsidR="005E1E6D" w:rsidRPr="006D4FA3" w:rsidRDefault="005E1E6D" w:rsidP="009B6FAA">
            <w:pPr>
              <w:pStyle w:val="Quote"/>
              <w:ind w:left="0"/>
              <w:rPr>
                <w:color w:val="525F29" w:themeColor="text2"/>
              </w:rPr>
            </w:pPr>
            <w:r w:rsidRPr="006D4FA3">
              <w:rPr>
                <w:b/>
                <w:bCs/>
                <w:color w:val="525F29" w:themeColor="text2"/>
              </w:rPr>
              <w:t>Supporting regionally tailored approaches aligning production with infrastructure, logistics and community priorities</w:t>
            </w:r>
            <w:r w:rsidRPr="006D4FA3">
              <w:rPr>
                <w:color w:val="525F29" w:themeColor="text2"/>
              </w:rPr>
              <w:t>.</w:t>
            </w:r>
          </w:p>
        </w:tc>
      </w:tr>
    </w:tbl>
    <w:p w14:paraId="2EF69311" w14:textId="227E288D" w:rsidR="00331F46" w:rsidRDefault="008F15A3" w:rsidP="006D4FA3">
      <w:pPr>
        <w:pStyle w:val="BoxHeading"/>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t xml:space="preserve">Future </w:t>
      </w:r>
      <w:r w:rsidR="007A4879">
        <w:t>direction</w:t>
      </w:r>
      <w:r w:rsidR="00331F46">
        <w:t>:</w:t>
      </w:r>
    </w:p>
    <w:p w14:paraId="715D49AB" w14:textId="77777777" w:rsidR="00E4021B" w:rsidRPr="00EE3CFA" w:rsidRDefault="00E4021B"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t>Develop r</w:t>
      </w:r>
      <w:r w:rsidRPr="00EE3CFA">
        <w:t xml:space="preserve">egionally tailored supply chains </w:t>
      </w:r>
      <w:r>
        <w:t xml:space="preserve">(including </w:t>
      </w:r>
      <w:r w:rsidRPr="00AB2FCB">
        <w:t>efficient aggregation, storage, preprocessing and transport solutions</w:t>
      </w:r>
      <w:r>
        <w:t xml:space="preserve">) </w:t>
      </w:r>
      <w:r w:rsidRPr="00EE3CFA">
        <w:t>that align feedstock production with infrastructure, logistics, workforce capability and end-use demand</w:t>
      </w:r>
      <w:r>
        <w:t>.</w:t>
      </w:r>
    </w:p>
    <w:p w14:paraId="22E02939" w14:textId="77777777" w:rsidR="00E4021B" w:rsidRPr="000D4D9A" w:rsidRDefault="00E4021B"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0D4D9A">
        <w:t>Support integrated planning and community engagement to build confidence, participation and social licence.</w:t>
      </w:r>
    </w:p>
    <w:p w14:paraId="0C9A431B" w14:textId="77777777" w:rsidR="00E4021B" w:rsidRPr="000D4D9A" w:rsidRDefault="00E4021B"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0D4D9A">
        <w:t>Improve regulatory consistency and reduce supply chain barriers across jurisdictions.</w:t>
      </w:r>
    </w:p>
    <w:p w14:paraId="5B96C6A6" w14:textId="2827546A" w:rsidR="00BA70CF" w:rsidRDefault="00BA70CF" w:rsidP="00EE2CF6">
      <w:pPr>
        <w:spacing w:before="240"/>
      </w:pPr>
      <w:r>
        <w:t>Efficient, resilient supply chains are essential if Australian feedstocks are to be internationally competitive. Increasing production matters, but so does moving feedstocks cost-effectively, which is difficult because they are dispersed, bulky and seasonal. Without regionally tailored solutions, supply chains risk remaining fragmented, high-cost and unable to support reliable scale. Addressing these challenges will require approaches tailored to different feedstocks and regional contexts, backed by coordinated infrastructure investment and streamlined regulation.</w:t>
      </w:r>
    </w:p>
    <w:p w14:paraId="424FB7BB" w14:textId="77777777" w:rsidR="00BA70CF" w:rsidRDefault="00BA70CF" w:rsidP="00186118">
      <w:pPr>
        <w:pStyle w:val="Heading3"/>
      </w:pPr>
      <w:bookmarkStart w:id="90" w:name="_Toc236928343"/>
      <w:r>
        <w:t>Strengthening regional approaches</w:t>
      </w:r>
      <w:bookmarkEnd w:id="90"/>
    </w:p>
    <w:p w14:paraId="07484A38" w14:textId="35784E31" w:rsidR="00BA70CF" w:rsidRDefault="00BA70CF" w:rsidP="00BA70CF">
      <w:r>
        <w:t xml:space="preserve">Feedstock supply chains are inherently complex, with </w:t>
      </w:r>
      <w:r w:rsidR="00636CEF">
        <w:t xml:space="preserve">considerable seasonal variability and </w:t>
      </w:r>
      <w:r w:rsidR="007D71A3">
        <w:t>biomass</w:t>
      </w:r>
      <w:r>
        <w:t xml:space="preserve"> moving through multiple stages before it reaches end use. Challenges in aggregation, preprocessing, transport and storage must be addressed to build efficient supply chains. There is no single solution. Feedstock type and availability, proximity to end uses, infrastructure, workforce capability and market dynamics vary across Australia, so place-based design is essential. Integrated planning and strong community engagement, backed by coordinated infrastructure investment and regulatory alignment, are critical to achieving regionally optimised outcomes.</w:t>
      </w:r>
    </w:p>
    <w:p w14:paraId="7B53EC2E" w14:textId="77777777" w:rsidR="00BA70CF" w:rsidRDefault="00BA70CF" w:rsidP="00BA70CF">
      <w:r>
        <w:t>Stakeholders widely identified aggregation hubs as a useful approach to supply chain design because they can create co-location efficiencies across multiple feedstocks and end uses. But stakeholders also said these models must be shaped by regional characteristics and priorities. Rather than being a universal solution, hubs are best understood as an outcome of well-designed supply chains that reinforce regional strengths.</w:t>
      </w:r>
    </w:p>
    <w:p w14:paraId="5D98967F" w14:textId="00EB8F15" w:rsidR="00BA70CF" w:rsidRDefault="00BA70CF" w:rsidP="00BA70CF">
      <w:r>
        <w:t xml:space="preserve">The Ararat </w:t>
      </w:r>
      <w:r w:rsidR="00300CA9">
        <w:t>Renewable Energy Park</w:t>
      </w:r>
      <w:r>
        <w:t xml:space="preserve"> (</w:t>
      </w:r>
      <w:r w:rsidR="00931447">
        <w:fldChar w:fldCharType="begin"/>
      </w:r>
      <w:r w:rsidR="00931447">
        <w:instrText xml:space="preserve"> REF _Ref235100544 \h </w:instrText>
      </w:r>
      <w:r w:rsidR="00931447">
        <w:fldChar w:fldCharType="separate"/>
      </w:r>
      <w:r w:rsidR="00C71C2F">
        <w:t xml:space="preserve">Box </w:t>
      </w:r>
      <w:r w:rsidR="00C71C2F">
        <w:rPr>
          <w:noProof/>
        </w:rPr>
        <w:t>6</w:t>
      </w:r>
      <w:r w:rsidR="00931447">
        <w:fldChar w:fldCharType="end"/>
      </w:r>
      <w:r>
        <w:t xml:space="preserve">) shows how this can work in practice. It demonstrates how a regionally aligned approach can secure reliable feedstock supply, build community confidence and support investment. Stakeholders pointed to examples like this as models that </w:t>
      </w:r>
      <w:r w:rsidR="008D3706">
        <w:t>c</w:t>
      </w:r>
      <w:r>
        <w:t>ould be replicated more broadly.</w:t>
      </w:r>
    </w:p>
    <w:p w14:paraId="41D274A8" w14:textId="4B281B2F" w:rsidR="00BA70CF" w:rsidRPr="00451D91" w:rsidRDefault="00931447" w:rsidP="00931447">
      <w:pPr>
        <w:pStyle w:val="Caption"/>
        <w:pBdr>
          <w:top w:val="single" w:sz="4" w:space="10" w:color="auto"/>
          <w:left w:val="single" w:sz="4" w:space="10" w:color="auto"/>
          <w:bottom w:val="single" w:sz="4" w:space="10" w:color="auto"/>
          <w:right w:val="single" w:sz="4" w:space="10" w:color="auto"/>
        </w:pBdr>
      </w:pPr>
      <w:bookmarkStart w:id="91" w:name="_Ref235100544"/>
      <w:bookmarkStart w:id="92" w:name="_Toc235100634"/>
      <w:bookmarkStart w:id="93" w:name="_Toc236985535"/>
      <w:r>
        <w:lastRenderedPageBreak/>
        <w:t xml:space="preserve">Box </w:t>
      </w:r>
      <w:fldSimple w:instr=" SEQ Box \* ARABIC ">
        <w:r w:rsidR="00C71C2F">
          <w:rPr>
            <w:noProof/>
          </w:rPr>
          <w:t>6</w:t>
        </w:r>
      </w:fldSimple>
      <w:bookmarkEnd w:id="91"/>
      <w:r w:rsidRPr="00451D91">
        <w:t xml:space="preserve"> Ararat </w:t>
      </w:r>
      <w:r>
        <w:t>Renewable Energy Park</w:t>
      </w:r>
      <w:bookmarkEnd w:id="92"/>
      <w:bookmarkEnd w:id="93"/>
    </w:p>
    <w:p w14:paraId="41D227CC" w14:textId="15CB625B" w:rsidR="00BA70CF" w:rsidRDefault="00BA70CF" w:rsidP="00451D91">
      <w:pPr>
        <w:pStyle w:val="BoxText"/>
      </w:pPr>
      <w:r>
        <w:t>Ararat Rural City Council, located in the Central Highlands of Victoria, is supporting efforts to establish bioenergy production within its Renewable Energy Park through a proposed $400</w:t>
      </w:r>
      <w:r w:rsidR="00872617">
        <w:t> </w:t>
      </w:r>
      <w:r>
        <w:t xml:space="preserve">million biomethane plant led by bioenergy developer </w:t>
      </w:r>
      <w:proofErr w:type="spellStart"/>
      <w:r>
        <w:t>Valorify</w:t>
      </w:r>
      <w:proofErr w:type="spellEnd"/>
      <w:r>
        <w:t>. When developed</w:t>
      </w:r>
      <w:r w:rsidR="008D3706">
        <w:t>,</w:t>
      </w:r>
      <w:r>
        <w:t xml:space="preserve"> the plant will process local agricultural residues into renewable gas, to be fed into a local gas pipeline (ARC</w:t>
      </w:r>
      <w:r w:rsidR="00451D91">
        <w:t> </w:t>
      </w:r>
      <w:r>
        <w:t>2025).</w:t>
      </w:r>
    </w:p>
    <w:p w14:paraId="364DA3FD" w14:textId="77777777" w:rsidR="00BA70CF" w:rsidRDefault="00BA70CF" w:rsidP="00451D91">
      <w:pPr>
        <w:pStyle w:val="BoxText"/>
      </w:pPr>
      <w:r>
        <w:t>In developing the project, significant attention has been given to planning and engagement to quantify the seasonal aggregate cereal-straw volume that might be contractable and available for delivery from local farms.</w:t>
      </w:r>
    </w:p>
    <w:p w14:paraId="5B98E372" w14:textId="0D959A95" w:rsidR="00BA70CF" w:rsidRDefault="00BA70CF" w:rsidP="00451D91">
      <w:pPr>
        <w:pStyle w:val="BoxText"/>
      </w:pPr>
      <w:r>
        <w:t xml:space="preserve">Several years of engagement with the farming community and those across the supply chain resulted in a supply agreement that reflected the needs of feedstock producers – </w:t>
      </w:r>
      <w:proofErr w:type="gramStart"/>
      <w:r>
        <w:t>taking into account</w:t>
      </w:r>
      <w:proofErr w:type="gramEnd"/>
      <w:r>
        <w:t xml:space="preserve"> farming practices, seasonal and climate variability impacts on the cereal cropping sector and required minimum rates of stubble retention. </w:t>
      </w:r>
      <w:proofErr w:type="spellStart"/>
      <w:r>
        <w:t>Valorify</w:t>
      </w:r>
      <w:proofErr w:type="spellEnd"/>
      <w:r>
        <w:t xml:space="preserve"> was able to secure sufficient feedstock under contract to progress the Ararat Bioenergy project as the first single feedstock, straw-based anaerobic digestion platform in Australia (AB</w:t>
      </w:r>
      <w:r w:rsidR="00451D91">
        <w:t> </w:t>
      </w:r>
      <w:r>
        <w:t>2024).</w:t>
      </w:r>
    </w:p>
    <w:p w14:paraId="135A71A5" w14:textId="00E63CF6" w:rsidR="00BA70CF" w:rsidRDefault="00BA70CF" w:rsidP="00BA70CF">
      <w:r>
        <w:t xml:space="preserve">Aligning feedstock industry development with national, regional and local planning frameworks, including land use, infrastructure and broader economic development strategies, is central to determining the best supply chain approach. This includes identifying where hubs can add most value and coordinating infrastructure investment. It also helps make sure existing assets, such as transport and logistics networks, industrial precincts and workforce capability, are used effectively and that new investment is well targeted. </w:t>
      </w:r>
      <w:r w:rsidR="00670708">
        <w:fldChar w:fldCharType="begin"/>
      </w:r>
      <w:r w:rsidR="00670708">
        <w:instrText xml:space="preserve"> REF _Ref234490656 \h </w:instrText>
      </w:r>
      <w:r w:rsidR="00670708">
        <w:fldChar w:fldCharType="separate"/>
      </w:r>
      <w:r w:rsidR="00C71C2F" w:rsidRPr="00587DEA">
        <w:t xml:space="preserve">Box </w:t>
      </w:r>
      <w:r w:rsidR="00C71C2F">
        <w:rPr>
          <w:noProof/>
        </w:rPr>
        <w:t>7</w:t>
      </w:r>
      <w:r w:rsidR="00670708">
        <w:fldChar w:fldCharType="end"/>
      </w:r>
      <w:r>
        <w:t xml:space="preserve"> shows how different supply chain infrastructure approaches can build on existing regional assets.</w:t>
      </w:r>
    </w:p>
    <w:p w14:paraId="0FC689A1" w14:textId="180279BC" w:rsidR="00BA70CF" w:rsidRPr="00587DEA" w:rsidRDefault="00BA70CF" w:rsidP="001353E5">
      <w:pPr>
        <w:pStyle w:val="Caption"/>
        <w:pBdr>
          <w:top w:val="single" w:sz="4" w:space="10" w:color="auto"/>
          <w:left w:val="single" w:sz="4" w:space="10" w:color="auto"/>
          <w:bottom w:val="single" w:sz="4" w:space="10" w:color="auto"/>
          <w:right w:val="single" w:sz="4" w:space="10" w:color="auto"/>
        </w:pBdr>
      </w:pPr>
      <w:bookmarkStart w:id="94" w:name="_Ref234490656"/>
      <w:bookmarkStart w:id="95" w:name="_Toc234489888"/>
      <w:bookmarkStart w:id="96" w:name="_Toc234587218"/>
      <w:bookmarkStart w:id="97" w:name="_Toc234840893"/>
      <w:bookmarkStart w:id="98" w:name="_Toc235099516"/>
      <w:bookmarkStart w:id="99" w:name="_Toc235100635"/>
      <w:bookmarkStart w:id="100" w:name="_Toc236985536"/>
      <w:r w:rsidRPr="00587DEA">
        <w:t xml:space="preserve">Box </w:t>
      </w:r>
      <w:fldSimple w:instr=" SEQ Box \* ARABIC ">
        <w:r w:rsidR="00C71C2F">
          <w:rPr>
            <w:noProof/>
          </w:rPr>
          <w:t>7</w:t>
        </w:r>
      </w:fldSimple>
      <w:bookmarkEnd w:id="94"/>
      <w:r w:rsidRPr="00587DEA">
        <w:t xml:space="preserve"> Regional approaches to supply chain infrastructure</w:t>
      </w:r>
      <w:bookmarkEnd w:id="95"/>
      <w:bookmarkEnd w:id="96"/>
      <w:bookmarkEnd w:id="97"/>
      <w:bookmarkEnd w:id="98"/>
      <w:bookmarkEnd w:id="99"/>
      <w:bookmarkEnd w:id="100"/>
    </w:p>
    <w:p w14:paraId="4E9AB24A" w14:textId="77777777" w:rsidR="00BA70CF" w:rsidRPr="00587DEA" w:rsidRDefault="00BA70CF" w:rsidP="00587DEA">
      <w:pPr>
        <w:pStyle w:val="BoxText"/>
        <w:rPr>
          <w:i/>
          <w:iCs/>
        </w:rPr>
      </w:pPr>
      <w:r w:rsidRPr="00587DEA">
        <w:rPr>
          <w:i/>
          <w:iCs/>
        </w:rPr>
        <w:t xml:space="preserve">Forestry in </w:t>
      </w:r>
      <w:proofErr w:type="gramStart"/>
      <w:r w:rsidRPr="00587DEA">
        <w:rPr>
          <w:i/>
          <w:iCs/>
        </w:rPr>
        <w:t>south eastern</w:t>
      </w:r>
      <w:proofErr w:type="gramEnd"/>
      <w:r w:rsidRPr="00587DEA">
        <w:rPr>
          <w:i/>
          <w:iCs/>
        </w:rPr>
        <w:t xml:space="preserve"> Australia</w:t>
      </w:r>
    </w:p>
    <w:p w14:paraId="1FB6A1B1" w14:textId="18F5C78C" w:rsidR="00BA70CF" w:rsidRDefault="00BA70CF" w:rsidP="00587DEA">
      <w:pPr>
        <w:pStyle w:val="BoxText"/>
      </w:pPr>
      <w:r>
        <w:t xml:space="preserve">The Green Triangle region covers approximately 17% of Australia's forestry area. HAMR Energy plans to use a vertically integrated </w:t>
      </w:r>
      <w:r w:rsidR="00E93D4D">
        <w:t>'</w:t>
      </w:r>
      <w:r>
        <w:t>Hub &amp; Spoke</w:t>
      </w:r>
      <w:r w:rsidR="00E93D4D">
        <w:t>'</w:t>
      </w:r>
      <w:r>
        <w:t xml:space="preserve"> model to address supply chain constraints associated with converting under-utilised forestry by-products and residues into SAF (HAMR</w:t>
      </w:r>
      <w:r w:rsidR="003F2088">
        <w:t> </w:t>
      </w:r>
      <w:r>
        <w:t>2025</w:t>
      </w:r>
      <w:r w:rsidR="00622D33">
        <w:t>a</w:t>
      </w:r>
      <w:r>
        <w:t>). A centralised SAF refining hub will be supported by regional biomass to methanol facilities across the region (HAMR</w:t>
      </w:r>
      <w:r w:rsidR="001E598C">
        <w:t> </w:t>
      </w:r>
      <w:r>
        <w:t>2025b).</w:t>
      </w:r>
    </w:p>
    <w:p w14:paraId="3C65D0DA" w14:textId="77777777" w:rsidR="00BA70CF" w:rsidRPr="00587DEA" w:rsidRDefault="00BA70CF" w:rsidP="00587DEA">
      <w:pPr>
        <w:pStyle w:val="BoxText"/>
        <w:rPr>
          <w:i/>
          <w:iCs/>
        </w:rPr>
      </w:pPr>
      <w:r w:rsidRPr="00587DEA">
        <w:rPr>
          <w:i/>
          <w:iCs/>
        </w:rPr>
        <w:t>Sugarcane in Queensland</w:t>
      </w:r>
    </w:p>
    <w:p w14:paraId="290A14F6" w14:textId="7BC5F6E5" w:rsidR="00BA70CF" w:rsidRDefault="00BA70CF" w:rsidP="00587DEA">
      <w:pPr>
        <w:pStyle w:val="BoxText"/>
      </w:pPr>
      <w:r>
        <w:t>Sugarcane has an established network of nearly 4,000</w:t>
      </w:r>
      <w:r w:rsidR="007A1782">
        <w:t> </w:t>
      </w:r>
      <w:r>
        <w:t>km of railways linking to mills, which usually operate between June and December; out of season there is potential to leverage the network to transport other feedstocks, such as woody biomass.</w:t>
      </w:r>
    </w:p>
    <w:p w14:paraId="02D2EC13" w14:textId="77777777" w:rsidR="00BA70CF" w:rsidRPr="00587DEA" w:rsidRDefault="00BA70CF" w:rsidP="00587DEA">
      <w:pPr>
        <w:pStyle w:val="BoxText"/>
        <w:rPr>
          <w:i/>
          <w:iCs/>
        </w:rPr>
      </w:pPr>
      <w:r w:rsidRPr="00587DEA">
        <w:rPr>
          <w:i/>
          <w:iCs/>
        </w:rPr>
        <w:t>Canola in Western Australia</w:t>
      </w:r>
    </w:p>
    <w:p w14:paraId="70B74C0C" w14:textId="058BD3B0" w:rsidR="00BA70CF" w:rsidRDefault="00BA70CF" w:rsidP="00587DEA">
      <w:pPr>
        <w:pStyle w:val="BoxText"/>
      </w:pPr>
      <w:r>
        <w:t>An established canola export supply chain comprises a growing area of approximately 65,000</w:t>
      </w:r>
      <w:r w:rsidR="00D849B1">
        <w:t> </w:t>
      </w:r>
      <w:r>
        <w:t>square</w:t>
      </w:r>
      <w:r w:rsidR="00D849B1">
        <w:t> </w:t>
      </w:r>
      <w:r>
        <w:t>km (GIWA</w:t>
      </w:r>
      <w:r w:rsidR="001E598C">
        <w:t> </w:t>
      </w:r>
      <w:r>
        <w:t>2025), over 100</w:t>
      </w:r>
      <w:r w:rsidR="00D849B1">
        <w:t> </w:t>
      </w:r>
      <w:r>
        <w:t>grain receival sites (CBH 2026) and more than 1,450</w:t>
      </w:r>
      <w:r w:rsidR="00D849B1">
        <w:t> </w:t>
      </w:r>
      <w:r>
        <w:t>km of dedicated rail track (</w:t>
      </w:r>
      <w:r w:rsidR="000F56DA">
        <w:t>Office of the Auditor General</w:t>
      </w:r>
      <w:r w:rsidR="001E598C">
        <w:t> </w:t>
      </w:r>
      <w:r>
        <w:t>2013). There are opportunities to pivot toward domestic biofuel production and leverage this supply chain by adding additional infrastructure such as crushing facilities.</w:t>
      </w:r>
    </w:p>
    <w:p w14:paraId="42ED5C93" w14:textId="77777777" w:rsidR="00BA70CF" w:rsidRDefault="00BA70CF" w:rsidP="00BA70CF">
      <w:r>
        <w:t xml:space="preserve">Early and ongoing community engagement, supported by strong local leadership, is equally important. Working with producers, communities, local governments and First Nations groups can improve supply chain design, strengthen participation and help secure reliable feedstock supply. It also helps ensure infrastructure decisions reflect local conditions and maintain social licence. With networks across Australia, Regional Development Australia (RDA) committees can play an important </w:t>
      </w:r>
      <w:r>
        <w:lastRenderedPageBreak/>
        <w:t>role in enabling these place-based approaches and using local knowledge to tailor solutions to regional conditions and opportunities.</w:t>
      </w:r>
    </w:p>
    <w:p w14:paraId="270559AE" w14:textId="62395135" w:rsidR="00BA70CF" w:rsidRDefault="00BA70CF" w:rsidP="00BA70CF">
      <w:r>
        <w:t>Stakeholders also identified regulatory fragmentation as a barrier to supply chain development. Differences across jurisdictions in areas such as transport, waste regulation, biosecurity and approval</w:t>
      </w:r>
      <w:r w:rsidR="008D3706">
        <w:t xml:space="preserve"> processes</w:t>
      </w:r>
      <w:r>
        <w:t xml:space="preserve"> can stop supply chains operating efficiently across regions and reduce the ability to take full advantage of regional strengths. Improving consistency, harmonising frameworks and streamlining approvals were seen as critical to enabling integrated, cross-jurisdictional supply chains.</w:t>
      </w:r>
    </w:p>
    <w:p w14:paraId="134E3FBB" w14:textId="34B777F9" w:rsidR="00BA70CF" w:rsidRDefault="00BB7E60" w:rsidP="00BA70CF">
      <w:r>
        <w:t>There is an opportunity for governments to work together to</w:t>
      </w:r>
      <w:r w:rsidR="00BA70CF">
        <w:t xml:space="preserve"> harmonis</w:t>
      </w:r>
      <w:r w:rsidR="0084691F">
        <w:t>e</w:t>
      </w:r>
      <w:r w:rsidR="000D67E3">
        <w:t xml:space="preserve"> regulatory frameworks</w:t>
      </w:r>
      <w:r w:rsidR="00BA70CF">
        <w:t xml:space="preserve">. Mapping regulatory variation across jurisdictions to identify barriers and friction points </w:t>
      </w:r>
      <w:r w:rsidR="00443DEE">
        <w:t xml:space="preserve">could be </w:t>
      </w:r>
      <w:r w:rsidR="00BA70CF">
        <w:t>a practical step towards a more integrated and efficient supply chain.</w:t>
      </w:r>
    </w:p>
    <w:p w14:paraId="3BEFA267" w14:textId="1B6CACC5" w:rsidR="00BA70CF" w:rsidRDefault="004D37B4" w:rsidP="008122FF">
      <w:pPr>
        <w:pStyle w:val="Heading3"/>
      </w:pPr>
      <w:bookmarkStart w:id="101" w:name="_Toc236928344"/>
      <w:r>
        <w:t xml:space="preserve">Investing in </w:t>
      </w:r>
      <w:r w:rsidR="00CA3726">
        <w:t>i</w:t>
      </w:r>
      <w:r w:rsidR="00BA70CF">
        <w:t>nfrastructure</w:t>
      </w:r>
      <w:bookmarkEnd w:id="101"/>
    </w:p>
    <w:p w14:paraId="73362F78" w14:textId="1DB28A21" w:rsidR="00BA70CF" w:rsidRDefault="00BA70CF" w:rsidP="00BA70CF">
      <w:r>
        <w:t>More investment in infrastructure will be needed across the supply chain. Production facilities alone are estimated to require between $25</w:t>
      </w:r>
      <w:r w:rsidR="00D849B1">
        <w:t> </w:t>
      </w:r>
      <w:r>
        <w:t>billion and $30</w:t>
      </w:r>
      <w:r w:rsidR="00D849B1">
        <w:t> </w:t>
      </w:r>
      <w:r>
        <w:t>billion (ARENA, CEFC</w:t>
      </w:r>
      <w:r w:rsidR="001E598C">
        <w:t> </w:t>
      </w:r>
      <w:r>
        <w:t>2019). Stakeholders</w:t>
      </w:r>
      <w:r w:rsidR="00F250FB">
        <w:t xml:space="preserve"> are</w:t>
      </w:r>
      <w:r w:rsidR="0030517D">
        <w:t xml:space="preserve"> looking for opportunities </w:t>
      </w:r>
      <w:r w:rsidR="007629CD">
        <w:t>to de-risk</w:t>
      </w:r>
      <w:r>
        <w:t xml:space="preserve"> early investment</w:t>
      </w:r>
      <w:r w:rsidR="007629CD">
        <w:t>s</w:t>
      </w:r>
      <w:r>
        <w:t xml:space="preserve"> and enabl</w:t>
      </w:r>
      <w:r w:rsidR="007629CD">
        <w:t>e</w:t>
      </w:r>
      <w:r>
        <w:t xml:space="preserve"> aggregation and co-location models that align with regional production strengths.</w:t>
      </w:r>
    </w:p>
    <w:p w14:paraId="7DABED5E" w14:textId="3F1F4546" w:rsidR="003140E0" w:rsidRDefault="00F549E6" w:rsidP="00BA70CF">
      <w:r w:rsidRPr="00F549E6">
        <w:t xml:space="preserve">There is significant government investment underway to support industry development. </w:t>
      </w:r>
      <w:r w:rsidR="00931447">
        <w:fldChar w:fldCharType="begin"/>
      </w:r>
      <w:r w:rsidR="00931447">
        <w:instrText xml:space="preserve"> REF _Ref235100447 \h </w:instrText>
      </w:r>
      <w:r w:rsidR="00931447">
        <w:fldChar w:fldCharType="separate"/>
      </w:r>
      <w:r w:rsidR="00C71C2F">
        <w:t xml:space="preserve">Figure </w:t>
      </w:r>
      <w:r w:rsidR="00C71C2F">
        <w:rPr>
          <w:noProof/>
        </w:rPr>
        <w:t>9</w:t>
      </w:r>
      <w:r w:rsidR="00931447">
        <w:fldChar w:fldCharType="end"/>
      </w:r>
      <w:r w:rsidR="00931447">
        <w:t xml:space="preserve"> </w:t>
      </w:r>
      <w:r w:rsidRPr="00F549E6">
        <w:t>illustrates work across several state governments on enabling infrastructure and supply chain development. Whilst feedstocks are generally part of government activity, there is an opportunity for feedstock supply to be more comprehensively integrated into broader planning and investment settings</w:t>
      </w:r>
      <w:r w:rsidR="00BA70CF">
        <w:t>.</w:t>
      </w:r>
      <w:r w:rsidR="00882829">
        <w:t xml:space="preserve"> </w:t>
      </w:r>
      <w:r w:rsidR="003140E0" w:rsidRPr="003140E0">
        <w:t>For example, the National Freight and Supply Chain Strategy (NFSCS) sets a national agenda for action across governments and the transport and logistics industry. Key actions under the NFSCS are to model the current and future freight networks and develop a National Freight Resilience Plan. Together with actions to improve supply chain productivity and support for the development of a domestic LCLF industry, the NFSCS will help address a range of challenges facing the feedstock sector.</w:t>
      </w:r>
    </w:p>
    <w:p w14:paraId="06725DB2" w14:textId="13AA70DA" w:rsidR="00FB73DA" w:rsidRDefault="00FB73DA" w:rsidP="00FB73DA">
      <w:pPr>
        <w:pStyle w:val="Caption"/>
      </w:pPr>
      <w:bookmarkStart w:id="102" w:name="_Ref235100447"/>
      <w:bookmarkStart w:id="103" w:name="_Toc235100476"/>
      <w:bookmarkStart w:id="104" w:name="_Toc236992427"/>
      <w:r>
        <w:t xml:space="preserve">Figure </w:t>
      </w:r>
      <w:fldSimple w:instr=" SEQ Figure \* ARABIC ">
        <w:r w:rsidR="00C71C2F">
          <w:rPr>
            <w:noProof/>
          </w:rPr>
          <w:t>9</w:t>
        </w:r>
      </w:fldSimple>
      <w:bookmarkEnd w:id="102"/>
      <w:r>
        <w:t xml:space="preserve"> </w:t>
      </w:r>
      <w:r w:rsidRPr="006E68AF">
        <w:t>Examples of state government support for bioenergy supply chain development</w:t>
      </w:r>
      <w:bookmarkEnd w:id="103"/>
      <w:bookmarkEnd w:id="104"/>
    </w:p>
    <w:p w14:paraId="356446C8" w14:textId="1D3E0EFD" w:rsidR="001D031A" w:rsidRPr="001D031A" w:rsidRDefault="001D031A" w:rsidP="001D031A">
      <w:pPr>
        <w:jc w:val="center"/>
      </w:pPr>
      <w:r w:rsidRPr="001D031A">
        <w:rPr>
          <w:noProof/>
        </w:rPr>
        <w:drawing>
          <wp:inline distT="0" distB="0" distL="0" distR="0" wp14:anchorId="70FD02E0" wp14:editId="385FE8B0">
            <wp:extent cx="5759450" cy="3037205"/>
            <wp:effectExtent l="0" t="0" r="0" b="0"/>
            <wp:docPr id="1185083710" name="Picture 36" descr="This figure includes three textboxes, outlining examples of key activities to support bioenergy supply chain development in New South Wales, Queensland and Victoria. In New South Wales, this includes $130 million in government funding through the Net Zero Manufacturing Initiative. In Queensland, this includes government support for industry projects such as Ampol's Brisbane Renewables Fuels Facility. In Victoria, this includes the government's Investment Prospectus, which outlines the bioenergy opportunity for investors in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83710" name="Picture 36" descr="This figure includes three textboxes, outlining examples of key activities to support bioenergy supply chain development in New South Wales, Queensland and Victoria. In New South Wales, this includes $130 million in government funding through the Net Zero Manufacturing Initiative. In Queensland, this includes government support for industry projects such as Ampol's Brisbane Renewables Fuels Facility. In Victoria, this includes the government's Investment Prospectus, which outlines the bioenergy opportunity for investors in Victoria.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9450" cy="3037205"/>
                    </a:xfrm>
                    <a:prstGeom prst="rect">
                      <a:avLst/>
                    </a:prstGeom>
                    <a:noFill/>
                    <a:ln>
                      <a:noFill/>
                    </a:ln>
                  </pic:spPr>
                </pic:pic>
              </a:graphicData>
            </a:graphic>
          </wp:inline>
        </w:drawing>
      </w:r>
    </w:p>
    <w:p w14:paraId="22C76CD0" w14:textId="62FC46CA" w:rsidR="00BA70CF" w:rsidRDefault="00BA70CF" w:rsidP="003140E0">
      <w:pPr>
        <w:jc w:val="center"/>
      </w:pPr>
    </w:p>
    <w:p w14:paraId="57A63C1E" w14:textId="56F5DDB3" w:rsidR="00BA70CF" w:rsidRDefault="00BA70CF" w:rsidP="00BA70CF">
      <w:r>
        <w:t xml:space="preserve">The Australian Government is </w:t>
      </w:r>
      <w:r w:rsidR="00013082">
        <w:t xml:space="preserve">also </w:t>
      </w:r>
      <w:r>
        <w:t xml:space="preserve">playing an active role through targeted investments that support industry across the value chain. </w:t>
      </w:r>
      <w:r w:rsidR="00435639">
        <w:t>For example, c</w:t>
      </w:r>
      <w:r>
        <w:t>apital to de-risk industry investment is available through the Clean Energy Finance Corporation (CEFC), the National Reconstruction Fund (NRF) and the Northern Australia Infrastructure Facility (NAIF). ARENA is also investing in supply chain innovation, proof of concept and trials of new approaches (</w:t>
      </w:r>
      <w:r w:rsidR="00670708">
        <w:fldChar w:fldCharType="begin"/>
      </w:r>
      <w:r w:rsidR="00670708">
        <w:instrText xml:space="preserve"> REF _Ref234490677 \h </w:instrText>
      </w:r>
      <w:r w:rsidR="00670708">
        <w:fldChar w:fldCharType="separate"/>
      </w:r>
      <w:r w:rsidR="00C71C2F" w:rsidRPr="00D44FC2">
        <w:t xml:space="preserve">Box </w:t>
      </w:r>
      <w:r w:rsidR="00C71C2F">
        <w:rPr>
          <w:noProof/>
        </w:rPr>
        <w:t>8</w:t>
      </w:r>
      <w:r w:rsidR="00670708">
        <w:fldChar w:fldCharType="end"/>
      </w:r>
      <w:r>
        <w:t>).</w:t>
      </w:r>
    </w:p>
    <w:p w14:paraId="1F5D3736" w14:textId="77777777" w:rsidR="00BA70CF" w:rsidRDefault="00BA70CF" w:rsidP="00BA70CF">
      <w:r>
        <w:t>In 2026, the Australian Government launched the Investor Front Door to help unlock investment in Australia’s fuel security, supply chain resilience and critical minerals. The Investor Front Door offers selected projects, including HAMR Energy’s LCLF project, dedicated support to navigate regulatory requirements more efficiently and identify suitable government financing options.</w:t>
      </w:r>
    </w:p>
    <w:p w14:paraId="561BC86A" w14:textId="77777777" w:rsidR="00BA70CF" w:rsidRDefault="00BA70CF" w:rsidP="00BA70CF">
      <w:r>
        <w:t>The Australian Trade and Investment Commission (Austrade) also helps attract and facilitate investment in bioenergy supply chains by connecting domestic projects with international investors. This includes helping projects across the supply chain navigate foreign investment opportunities and connect with the right stakeholders.</w:t>
      </w:r>
    </w:p>
    <w:p w14:paraId="02E47463" w14:textId="00A830D7" w:rsidR="00BA70CF" w:rsidRPr="00D44FC2" w:rsidRDefault="00BA70CF" w:rsidP="001353E5">
      <w:pPr>
        <w:pStyle w:val="Caption"/>
        <w:pBdr>
          <w:top w:val="single" w:sz="4" w:space="10" w:color="auto"/>
          <w:left w:val="single" w:sz="4" w:space="10" w:color="auto"/>
          <w:bottom w:val="single" w:sz="4" w:space="10" w:color="auto"/>
          <w:right w:val="single" w:sz="4" w:space="10" w:color="auto"/>
        </w:pBdr>
      </w:pPr>
      <w:bookmarkStart w:id="105" w:name="_Ref234490677"/>
      <w:bookmarkStart w:id="106" w:name="_Toc234489889"/>
      <w:bookmarkStart w:id="107" w:name="_Toc234587219"/>
      <w:bookmarkStart w:id="108" w:name="_Toc234840894"/>
      <w:bookmarkStart w:id="109" w:name="_Toc235099517"/>
      <w:bookmarkStart w:id="110" w:name="_Toc235100636"/>
      <w:bookmarkStart w:id="111" w:name="_Toc236985537"/>
      <w:r w:rsidRPr="00D44FC2">
        <w:t xml:space="preserve">Box </w:t>
      </w:r>
      <w:fldSimple w:instr=" SEQ Box \* ARABIC ">
        <w:r w:rsidR="00C71C2F">
          <w:rPr>
            <w:noProof/>
          </w:rPr>
          <w:t>8</w:t>
        </w:r>
      </w:fldSimple>
      <w:bookmarkEnd w:id="105"/>
      <w:r w:rsidRPr="00D44FC2">
        <w:t xml:space="preserve"> Australian Government investment</w:t>
      </w:r>
      <w:r w:rsidR="003252F6">
        <w:t xml:space="preserve">s </w:t>
      </w:r>
      <w:r w:rsidR="007556FF">
        <w:t>that can support</w:t>
      </w:r>
      <w:r w:rsidRPr="00D44FC2" w:rsidDel="003252F6">
        <w:t xml:space="preserve"> </w:t>
      </w:r>
      <w:r w:rsidRPr="00D44FC2">
        <w:t>supply chain infrastructure</w:t>
      </w:r>
      <w:bookmarkEnd w:id="106"/>
      <w:bookmarkEnd w:id="107"/>
      <w:bookmarkEnd w:id="108"/>
      <w:bookmarkEnd w:id="109"/>
      <w:bookmarkEnd w:id="110"/>
      <w:bookmarkEnd w:id="111"/>
    </w:p>
    <w:p w14:paraId="1151A055" w14:textId="21B1A886" w:rsidR="00BA70CF" w:rsidRDefault="00E36EBF" w:rsidP="00D44FC2">
      <w:pPr>
        <w:pStyle w:val="BoxText"/>
      </w:pPr>
      <w:r w:rsidRPr="005D5A53">
        <w:rPr>
          <w:b/>
          <w:bCs/>
        </w:rPr>
        <w:t>CEFC</w:t>
      </w:r>
      <w:r w:rsidR="00BA70CF">
        <w:t xml:space="preserve">: </w:t>
      </w:r>
      <w:r w:rsidR="007010E8">
        <w:t>I</w:t>
      </w:r>
      <w:r w:rsidR="00BA70CF">
        <w:t>nvesting more than $33</w:t>
      </w:r>
      <w:r w:rsidR="00D849B1">
        <w:t> </w:t>
      </w:r>
      <w:r w:rsidR="00BA70CF">
        <w:t xml:space="preserve">billion into decarbonisation and nation-building infrastructure projects, including for projects that prioritise renewable energy, energy efficiency and low emissions technologies. CEFC finance has been investing in biofuels for </w:t>
      </w:r>
      <w:proofErr w:type="gramStart"/>
      <w:r w:rsidR="00BA70CF">
        <w:t>a number of</w:t>
      </w:r>
      <w:proofErr w:type="gramEnd"/>
      <w:r w:rsidR="00BA70CF">
        <w:t xml:space="preserve"> years, including working with institutional investors to back early-stage and demonstration projects, and to accelerate the evolution of biofuel feedstocks and end-user markets.</w:t>
      </w:r>
    </w:p>
    <w:p w14:paraId="0380905C" w14:textId="1B8D2582" w:rsidR="00BA70CF" w:rsidRDefault="00BA70CF" w:rsidP="00D44FC2">
      <w:pPr>
        <w:pStyle w:val="BoxText"/>
      </w:pPr>
      <w:r w:rsidRPr="002372CF">
        <w:rPr>
          <w:b/>
          <w:bCs/>
        </w:rPr>
        <w:t>NRF</w:t>
      </w:r>
      <w:r>
        <w:t>: The $15</w:t>
      </w:r>
      <w:r w:rsidR="00D849B1">
        <w:t> </w:t>
      </w:r>
      <w:r>
        <w:t>billion fund facilitates increased flows of finance into the Australian economy through targeted investment in manufacturing businesses across 8 priority areas including value add in agriculture, forestry, and fisheries. Additionally, the $5</w:t>
      </w:r>
      <w:r w:rsidR="00D849B1">
        <w:t> </w:t>
      </w:r>
      <w:r>
        <w:t>billion Net Zero Fund, delivered through the NRF Corporation, supports large industrial facilities to transition to net zero and scaling up domestic manufacturing of renewables and low emissions technologies.</w:t>
      </w:r>
    </w:p>
    <w:p w14:paraId="762EDBBB" w14:textId="4E8E6262" w:rsidR="00BA70CF" w:rsidRDefault="00E36EBF" w:rsidP="00D44FC2">
      <w:pPr>
        <w:pStyle w:val="BoxText"/>
      </w:pPr>
      <w:r w:rsidRPr="005D5A53">
        <w:rPr>
          <w:b/>
          <w:bCs/>
        </w:rPr>
        <w:t>NAIF</w:t>
      </w:r>
      <w:r w:rsidR="00BA70CF">
        <w:t xml:space="preserve">: </w:t>
      </w:r>
      <w:r w:rsidR="007010E8">
        <w:t>A</w:t>
      </w:r>
      <w:r w:rsidR="00BA70CF">
        <w:t>n Australian Government financier, providing concessional loans for the development of infrastructure projects in northern Australia that demonstrate clear public benefit and support sustainable growth in remote regions.</w:t>
      </w:r>
    </w:p>
    <w:p w14:paraId="7EB08B9E" w14:textId="78484D4D" w:rsidR="00BA70CF" w:rsidRDefault="00E36EBF" w:rsidP="00D44FC2">
      <w:pPr>
        <w:pStyle w:val="BoxText"/>
      </w:pPr>
      <w:r w:rsidRPr="005D5A53">
        <w:rPr>
          <w:b/>
          <w:bCs/>
        </w:rPr>
        <w:t>ARENA</w:t>
      </w:r>
      <w:r w:rsidR="00BA70CF">
        <w:t xml:space="preserve">: </w:t>
      </w:r>
      <w:r w:rsidR="007010E8">
        <w:t>F</w:t>
      </w:r>
      <w:r w:rsidR="00BA70CF">
        <w:t>unding of up to $250</w:t>
      </w:r>
      <w:r w:rsidR="00D849B1">
        <w:t> </w:t>
      </w:r>
      <w:r w:rsidR="00BA70CF">
        <w:t>million towards the LCLF Technology Focus Area of the Future Made in Australia Innovation Fund, to progress supply chain innovation.</w:t>
      </w:r>
    </w:p>
    <w:p w14:paraId="55E921CF" w14:textId="7E5497D2" w:rsidR="00BA70CF" w:rsidRDefault="00BA70CF" w:rsidP="00956B1D">
      <w:pPr>
        <w:pStyle w:val="Heading2"/>
      </w:pPr>
      <w:bookmarkStart w:id="112" w:name="_Toc236928345"/>
      <w:r>
        <w:lastRenderedPageBreak/>
        <w:t>Priority area: sustainability and certification</w:t>
      </w:r>
      <w:bookmarkEnd w:id="112"/>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4"/>
        <w:gridCol w:w="8107"/>
      </w:tblGrid>
      <w:tr w:rsidR="008A1024" w:rsidRPr="008A1024" w14:paraId="1A707815" w14:textId="77777777">
        <w:tc>
          <w:tcPr>
            <w:tcW w:w="964" w:type="dxa"/>
            <w:vAlign w:val="center"/>
          </w:tcPr>
          <w:p w14:paraId="1FA2F804" w14:textId="77777777" w:rsidR="008A1024" w:rsidRPr="006D4FA3" w:rsidRDefault="008A1024" w:rsidP="008A1024">
            <w:pPr>
              <w:spacing w:before="0" w:after="0" w:line="240" w:lineRule="auto"/>
              <w:rPr>
                <w:rFonts w:cstheme="minorHAnsi"/>
                <w:b/>
                <w:bCs/>
                <w:i/>
                <w:iCs/>
                <w:color w:val="525F29" w:themeColor="text2"/>
                <w:sz w:val="24"/>
                <w:szCs w:val="28"/>
              </w:rPr>
            </w:pPr>
            <w:r w:rsidRPr="006D4FA3">
              <w:rPr>
                <w:rFonts w:cstheme="minorHAnsi"/>
                <w:b/>
                <w:bCs/>
                <w:i/>
                <w:iCs/>
                <w:noProof/>
                <w:color w:val="525F29" w:themeColor="text2"/>
                <w:sz w:val="24"/>
                <w:szCs w:val="28"/>
              </w:rPr>
              <w:drawing>
                <wp:inline distT="0" distB="0" distL="0" distR="0" wp14:anchorId="67BB7167" wp14:editId="4ADAF375">
                  <wp:extent cx="576000" cy="576000"/>
                  <wp:effectExtent l="0" t="0" r="0" b="0"/>
                  <wp:docPr id="845082053" name="Picture 21" descr="Decorativ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82053" name="Picture 21" descr="Decorative icon"/>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76000" cy="576000"/>
                          </a:xfrm>
                          <a:prstGeom prst="rect">
                            <a:avLst/>
                          </a:prstGeom>
                          <a:noFill/>
                        </pic:spPr>
                      </pic:pic>
                    </a:graphicData>
                  </a:graphic>
                </wp:inline>
              </w:drawing>
            </w:r>
          </w:p>
        </w:tc>
        <w:tc>
          <w:tcPr>
            <w:tcW w:w="8107" w:type="dxa"/>
            <w:vAlign w:val="center"/>
          </w:tcPr>
          <w:p w14:paraId="4A1172DE" w14:textId="77777777" w:rsidR="008A1024" w:rsidRPr="006D4FA3" w:rsidRDefault="008A1024" w:rsidP="00CF33E7">
            <w:pPr>
              <w:pStyle w:val="Quote"/>
              <w:ind w:left="0"/>
              <w:rPr>
                <w:b/>
                <w:bCs/>
                <w:color w:val="525F29" w:themeColor="text2"/>
              </w:rPr>
            </w:pPr>
            <w:r w:rsidRPr="006D4FA3">
              <w:rPr>
                <w:b/>
                <w:bCs/>
                <w:color w:val="525F29" w:themeColor="text2"/>
              </w:rPr>
              <w:t>Strengthening emissions accounting and certification frameworks to ensure international credibility and market confidence.</w:t>
            </w:r>
          </w:p>
        </w:tc>
      </w:tr>
    </w:tbl>
    <w:p w14:paraId="224E9402" w14:textId="6C74EEE4" w:rsidR="00331F46" w:rsidRDefault="00C84A8E" w:rsidP="006D4FA3">
      <w:pPr>
        <w:pStyle w:val="BoxHeading"/>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t>Future direction</w:t>
      </w:r>
      <w:r w:rsidR="00331F46">
        <w:t>:</w:t>
      </w:r>
    </w:p>
    <w:p w14:paraId="2B9F44D9" w14:textId="77777777" w:rsidR="00EC00A7" w:rsidRPr="0021785E" w:rsidRDefault="00EC00A7"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21785E">
        <w:t>Ensure certification frameworks support market access, credibility and value recognition, and align with feedstock production systems.</w:t>
      </w:r>
    </w:p>
    <w:p w14:paraId="1821002B" w14:textId="350FB708" w:rsidR="00EC00A7" w:rsidRPr="00CC30E2" w:rsidRDefault="00EC00A7"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05487F">
        <w:t xml:space="preserve">Increase availability of high-quality emissions data, particularly for </w:t>
      </w:r>
      <w:r w:rsidR="00C43138">
        <w:t xml:space="preserve">developing and </w:t>
      </w:r>
      <w:r w:rsidRPr="0005487F">
        <w:t>emerging feedstocks</w:t>
      </w:r>
      <w:r>
        <w:t xml:space="preserve"> to i</w:t>
      </w:r>
      <w:r w:rsidRPr="00CC30E2">
        <w:t>mprove emissions accounting and lifecycle assessment capability.</w:t>
      </w:r>
    </w:p>
    <w:p w14:paraId="45102D9A" w14:textId="59EE1A2D" w:rsidR="00EC00A7" w:rsidRDefault="00EC00A7"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t>I</w:t>
      </w:r>
      <w:r w:rsidRPr="005762F1">
        <w:t>mprove coordination, traceability and data sharing to support credible sustainability outcomes.</w:t>
      </w:r>
    </w:p>
    <w:p w14:paraId="0CDEA07F" w14:textId="5B4AE0EC" w:rsidR="00331F46" w:rsidRPr="005611A0" w:rsidRDefault="00EC00A7"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t xml:space="preserve">Improve understandings of interactions between feedstock production and </w:t>
      </w:r>
      <w:r w:rsidRPr="005762F1">
        <w:t>food</w:t>
      </w:r>
      <w:r>
        <w:t xml:space="preserve">, </w:t>
      </w:r>
      <w:r w:rsidRPr="005762F1">
        <w:t>fibre</w:t>
      </w:r>
      <w:r>
        <w:t xml:space="preserve"> and feed</w:t>
      </w:r>
      <w:r w:rsidRPr="005762F1">
        <w:t xml:space="preserve"> systems, including identifying co-benefits and managing trade-offs</w:t>
      </w:r>
      <w:r w:rsidR="00331F46" w:rsidRPr="00BB5FF7">
        <w:t>.</w:t>
      </w:r>
    </w:p>
    <w:p w14:paraId="3748A47F" w14:textId="7C83F2B5" w:rsidR="00FC64F3" w:rsidRDefault="00FC64F3" w:rsidP="00FC64F3">
      <w:pPr>
        <w:spacing w:before="240"/>
      </w:pPr>
      <w:r>
        <w:t>Demonstration of carbon abatement and sustainability credentials is a key part of accessing bioenergy markets globally. Certification schemes enable feedstock attributes, such as emissions intensity, to be differentiated and traded. Broader sustainability considerations are also important for maintaining social licence, with some international regulatory frameworks requiring these attributes to be verified for market access. Close engagement with feedstock producers will be important as the Australian Government considers the appropriate policy and regulatory settings for our domestic bioenergy market, as the design of these frameworks can directly affect the relative competitiveness of feedstocks.</w:t>
      </w:r>
    </w:p>
    <w:p w14:paraId="3CDAB773" w14:textId="21D1603A" w:rsidR="00BA70CF" w:rsidRDefault="00BA70CF" w:rsidP="00C97402">
      <w:pPr>
        <w:pStyle w:val="Heading3"/>
      </w:pPr>
      <w:bookmarkStart w:id="113" w:name="_Toc236928346"/>
      <w:r>
        <w:t>Certification is c</w:t>
      </w:r>
      <w:r w:rsidR="00FC64F3">
        <w:t>ore</w:t>
      </w:r>
      <w:r>
        <w:t xml:space="preserve"> to value creation and market access</w:t>
      </w:r>
      <w:bookmarkEnd w:id="113"/>
    </w:p>
    <w:p w14:paraId="2DBC993C" w14:textId="4B355F17" w:rsidR="00BA70CF" w:rsidRDefault="00BA70CF" w:rsidP="00BA70CF">
      <w:r>
        <w:t xml:space="preserve">Certification of feedstock attributes is increasingly a prerequisite for value creation and recognition. Policy frameworks, including demand-side measures and production incentives, are built around demonstrated emissions reductions compared with fossil fuels. Verification of this and other attributes often determines whether a product is eligible for market incentives and procurement schemes. </w:t>
      </w:r>
      <w:r w:rsidR="0066232E">
        <w:t xml:space="preserve">Where market mechanisms are designed around </w:t>
      </w:r>
      <w:r w:rsidR="0020587D">
        <w:t>a</w:t>
      </w:r>
      <w:r w:rsidR="00431C7B">
        <w:t>n</w:t>
      </w:r>
      <w:r w:rsidR="00370407">
        <w:t xml:space="preserve"> emissions intensity standard, </w:t>
      </w:r>
      <w:r w:rsidR="00B57EAB">
        <w:t xml:space="preserve">a greater abatement effect is directly tied to financial value. </w:t>
      </w:r>
      <w:r w:rsidR="00C72385">
        <w:t>Current i</w:t>
      </w:r>
      <w:r>
        <w:t>nternational frameworks such as the EU Renewable Energy Directive (RED) and ICAO’s Carbon Offsetting and Reduction Scheme for International Aviation (CORSIA) show how certified feedstock attributes effectively underpin market participation.</w:t>
      </w:r>
    </w:p>
    <w:p w14:paraId="374F6033" w14:textId="2870F007" w:rsidR="00BA70CF" w:rsidRDefault="00BA70CF" w:rsidP="00BA70CF">
      <w:r>
        <w:t xml:space="preserve">Stakeholders have consistently noted the importance of appropriate certification settings to ensure the competitiveness of </w:t>
      </w:r>
      <w:r w:rsidR="00C72385">
        <w:t xml:space="preserve">Australia’s </w:t>
      </w:r>
      <w:r>
        <w:t xml:space="preserve">developing feedstock industry. </w:t>
      </w:r>
      <w:r w:rsidR="00515668">
        <w:t>Given that s</w:t>
      </w:r>
      <w:r>
        <w:t>ignificant volumes of feedstocks exported from Australia are already certified under international frameworks, maintaining alignment and interoperability (where possible) is a priority.</w:t>
      </w:r>
    </w:p>
    <w:p w14:paraId="7B2A505A" w14:textId="02CDC8B5" w:rsidR="00BA70CF" w:rsidRDefault="00187C62" w:rsidP="00BA70CF">
      <w:r>
        <w:lastRenderedPageBreak/>
        <w:t xml:space="preserve">Australia’s bioenergy market requirements are evolving in response to policy development, market demand and community expectations. </w:t>
      </w:r>
      <w:r w:rsidR="00BA70CF">
        <w:t xml:space="preserve">The GO Scheme will be Australia’s primary mechanism for measuring and recognising the emissions intensity of LCLF and low carbon gases. </w:t>
      </w:r>
      <w:r w:rsidR="00713C0C">
        <w:t>Product Guarantee of Origin (P</w:t>
      </w:r>
      <w:r w:rsidR="00BA70CF">
        <w:t>G</w:t>
      </w:r>
      <w:r w:rsidR="00713C0C">
        <w:t>O)</w:t>
      </w:r>
      <w:r w:rsidR="00BA70CF">
        <w:t xml:space="preserve"> certificates provide a foundation for linking certified emissions intensity attributes to the eligibility requirements of future domestic policy frameworks, including a demand-side measure. The expansion and refinement of the scheme will, over time, provide opportunities for feedstock industry input and help it to meet both international and domestic market requirements.</w:t>
      </w:r>
    </w:p>
    <w:p w14:paraId="21598602" w14:textId="33945DE0" w:rsidR="00BA70CF" w:rsidRDefault="00BA70CF" w:rsidP="00B05681">
      <w:pPr>
        <w:pStyle w:val="Heading3"/>
      </w:pPr>
      <w:bookmarkStart w:id="114" w:name="_Toc236928347"/>
      <w:r>
        <w:t>Emissions intensity underpins competitiveness</w:t>
      </w:r>
      <w:bookmarkEnd w:id="114"/>
    </w:p>
    <w:p w14:paraId="0276B134" w14:textId="40C02BB4" w:rsidR="00BA70CF" w:rsidRDefault="00BA70CF" w:rsidP="00BA70CF">
      <w:r>
        <w:t xml:space="preserve">A clear understanding of emissions intensity across the supply chain is essential to capturing value and staying competitive. Feedstock production, processing and transport often make up a large share of lifecycle </w:t>
      </w:r>
      <w:r w:rsidR="00895AA1">
        <w:t>GHG</w:t>
      </w:r>
      <w:r>
        <w:t xml:space="preserve"> emissions for the final bioenergy product. This makes upstream emissions accounting, data quality</w:t>
      </w:r>
      <w:r w:rsidR="009F3AAB">
        <w:t>,</w:t>
      </w:r>
      <w:r w:rsidDel="009F3AAB">
        <w:t xml:space="preserve"> </w:t>
      </w:r>
      <w:r>
        <w:t>data integrity</w:t>
      </w:r>
      <w:r w:rsidR="009F3AAB">
        <w:t xml:space="preserve"> and data transmission</w:t>
      </w:r>
      <w:r>
        <w:t xml:space="preserve"> critical to</w:t>
      </w:r>
      <w:r w:rsidR="00DC0237">
        <w:t xml:space="preserve"> accurately determining</w:t>
      </w:r>
      <w:r>
        <w:t xml:space="preserve"> overall fuel emissions intensity.</w:t>
      </w:r>
    </w:p>
    <w:p w14:paraId="1E78CD64" w14:textId="005B852B" w:rsidR="00BA70CF" w:rsidRDefault="00BA70CF" w:rsidP="00BA70CF">
      <w:r>
        <w:t>Certification frameworks use different methods for life cycle assessments (LCA) which can lead to very different carbon abatement results. One example is how indirect</w:t>
      </w:r>
      <w:r w:rsidR="00673C20">
        <w:t>/induced</w:t>
      </w:r>
      <w:r>
        <w:t xml:space="preserve"> land use change (ILUC) is treated. </w:t>
      </w:r>
      <w:r w:rsidR="0064509D">
        <w:t>In case</w:t>
      </w:r>
      <w:r w:rsidR="008A1A72">
        <w:t>s</w:t>
      </w:r>
      <w:r w:rsidR="00DC64E7">
        <w:t xml:space="preserve"> where feedstocks </w:t>
      </w:r>
      <w:r w:rsidR="000E59A9">
        <w:t xml:space="preserve">are produced on </w:t>
      </w:r>
      <w:r w:rsidR="008A1A72">
        <w:t>land cleared prior to 2008</w:t>
      </w:r>
      <w:r w:rsidR="0064509D">
        <w:t xml:space="preserve">, </w:t>
      </w:r>
      <w:r>
        <w:t>COR</w:t>
      </w:r>
      <w:r w:rsidR="003E3CCD">
        <w:t>S</w:t>
      </w:r>
      <w:r>
        <w:t xml:space="preserve">IA </w:t>
      </w:r>
      <w:r w:rsidR="0064509D">
        <w:t xml:space="preserve">will </w:t>
      </w:r>
      <w:r>
        <w:t>appl</w:t>
      </w:r>
      <w:r w:rsidR="00D43011">
        <w:t>y</w:t>
      </w:r>
      <w:r w:rsidR="007049C8">
        <w:t xml:space="preserve"> </w:t>
      </w:r>
      <w:r>
        <w:t>default ILUC emissions values in their LCA, whereas the E</w:t>
      </w:r>
      <w:r w:rsidR="009B127E">
        <w:t>uropean Commission</w:t>
      </w:r>
      <w:r>
        <w:t xml:space="preserve"> notes a lack of certainty around ILUC modelling and instead applies a qualitative, risk-based approach</w:t>
      </w:r>
      <w:r w:rsidR="0056100B">
        <w:t xml:space="preserve"> through </w:t>
      </w:r>
      <w:r w:rsidR="00D42795">
        <w:t xml:space="preserve">the </w:t>
      </w:r>
      <w:r w:rsidR="0056100B">
        <w:t>RED</w:t>
      </w:r>
      <w:r w:rsidR="002357EB">
        <w:t xml:space="preserve"> (EU 2018)</w:t>
      </w:r>
      <w:r>
        <w:t>.</w:t>
      </w:r>
    </w:p>
    <w:p w14:paraId="1B6C4355" w14:textId="0E1BAB50" w:rsidR="00BA70CF" w:rsidRDefault="00BA70CF" w:rsidP="00BA70CF">
      <w:r>
        <w:t>Global certification frameworks often rely on default emissions values to simplify verification across complex supply chains. These defaults can understate the competitiveness of Australian feedstocks because Australian production systems are often less emissions-intensive than global averages (ABARES</w:t>
      </w:r>
      <w:r w:rsidR="001E598C">
        <w:t> </w:t>
      </w:r>
      <w:r>
        <w:t>2023). CSIRO has produced analysis demonstrating the lower emissions profile of Australian canola, which has subsequently been recognised by the European Commission (</w:t>
      </w:r>
      <w:proofErr w:type="spellStart"/>
      <w:r>
        <w:t>Sevenster</w:t>
      </w:r>
      <w:proofErr w:type="spellEnd"/>
      <w:r w:rsidR="001E598C">
        <w:t> </w:t>
      </w:r>
      <w:r>
        <w:t>2023).</w:t>
      </w:r>
    </w:p>
    <w:p w14:paraId="44F9865F" w14:textId="05189171" w:rsidR="00BA70CF" w:rsidRDefault="00BA70CF" w:rsidP="00BA70CF">
      <w:r>
        <w:t xml:space="preserve">The continuing </w:t>
      </w:r>
      <w:r w:rsidR="00036245">
        <w:t xml:space="preserve">expansion </w:t>
      </w:r>
      <w:r>
        <w:t xml:space="preserve">of the GO Scheme provides a mechanism to incorporate data specific to Australian systems and best-practice carbon accounting. This includes the potential recognition of site-specific emissions data (where supported by evidence and third-party verification), and for alignment with </w:t>
      </w:r>
      <w:r w:rsidR="00205501">
        <w:t xml:space="preserve">Australia’s </w:t>
      </w:r>
      <w:r>
        <w:t>voluntary emissions estimation and reporting guidelines for agriculture, fisheries and forestry. The Australian Government is playing an active role in improving emissions calculation practices</w:t>
      </w:r>
      <w:r w:rsidR="00483F47">
        <w:t xml:space="preserve"> at the farm level</w:t>
      </w:r>
      <w:r w:rsidR="008D2842">
        <w:t xml:space="preserve">, including </w:t>
      </w:r>
      <w:r w:rsidR="00BF4594">
        <w:t xml:space="preserve">a </w:t>
      </w:r>
      <w:r w:rsidR="00BF4594" w:rsidRPr="00930962">
        <w:t>$6.4m</w:t>
      </w:r>
      <w:r w:rsidR="00BF4594">
        <w:t xml:space="preserve"> investment</w:t>
      </w:r>
      <w:r w:rsidR="00BF4594" w:rsidRPr="00930962">
        <w:t xml:space="preserve"> support</w:t>
      </w:r>
      <w:r w:rsidR="00BF4594">
        <w:t>ing</w:t>
      </w:r>
      <w:r w:rsidR="00BF4594" w:rsidRPr="00930962">
        <w:t xml:space="preserve"> farm-level GHG emissions calculators and tools to align with those guidelines</w:t>
      </w:r>
      <w:r w:rsidR="00483F47">
        <w:t>. It is also investing in</w:t>
      </w:r>
      <w:r w:rsidDel="00483F47">
        <w:t xml:space="preserve"> the </w:t>
      </w:r>
      <w:r>
        <w:t>Carbon Farming Outreach Program,</w:t>
      </w:r>
      <w:r w:rsidR="00483F47">
        <w:t xml:space="preserve"> to help </w:t>
      </w:r>
      <w:r>
        <w:t>producers to better understand emissions</w:t>
      </w:r>
      <w:r w:rsidR="00332C8C">
        <w:t xml:space="preserve"> </w:t>
      </w:r>
      <w:r w:rsidR="00332C8C" w:rsidRPr="00332C8C">
        <w:t>management opportunities</w:t>
      </w:r>
      <w:r>
        <w:t>.</w:t>
      </w:r>
    </w:p>
    <w:p w14:paraId="75041ACC" w14:textId="4E7C2B0D" w:rsidR="006B225B" w:rsidRDefault="00483F47" w:rsidP="00BA70CF">
      <w:r>
        <w:t xml:space="preserve">Ongoing </w:t>
      </w:r>
      <w:r w:rsidR="00BA70CF">
        <w:t xml:space="preserve">industry engagement in certification development, including the GO Scheme, </w:t>
      </w:r>
      <w:r>
        <w:t xml:space="preserve">will be </w:t>
      </w:r>
      <w:r w:rsidR="00BA70CF">
        <w:t xml:space="preserve">critical to making sure systems are both credible and workable. More </w:t>
      </w:r>
      <w:r w:rsidR="005A0207">
        <w:t>RD&amp;E</w:t>
      </w:r>
      <w:r w:rsidR="00BA70CF">
        <w:t xml:space="preserve"> and better commodity-level and regional emissions data </w:t>
      </w:r>
      <w:r w:rsidR="006B225B">
        <w:t xml:space="preserve">can </w:t>
      </w:r>
      <w:r w:rsidR="00BA70CF">
        <w:t xml:space="preserve">help refine default emissions factors, better reflecting Australia’s emissions intensity advantage and strengthening confidence in emissions outcomes. Better availability of high-quality emissions data, especially for </w:t>
      </w:r>
      <w:r w:rsidR="000037AC">
        <w:t xml:space="preserve">developing and </w:t>
      </w:r>
      <w:r w:rsidR="00BA70CF">
        <w:t>emerging feedstocks, will support more accurate and defensible outcomes and could, over time, reduce reliance on generic defaults.</w:t>
      </w:r>
    </w:p>
    <w:p w14:paraId="33A4CBB2" w14:textId="42404551" w:rsidR="00BA70CF" w:rsidRDefault="00BA70CF" w:rsidP="00BA70CF">
      <w:r>
        <w:lastRenderedPageBreak/>
        <w:t>By continuing to engage</w:t>
      </w:r>
      <w:r w:rsidR="006B225B">
        <w:t xml:space="preserve"> in the overarching policy development</w:t>
      </w:r>
      <w:r>
        <w:t>, producers can help shape frameworks that recognise Australian production practices, stay aligned with international systems where suitable and allow low-emissions feedstocks to capture their value.</w:t>
      </w:r>
    </w:p>
    <w:p w14:paraId="542735B1" w14:textId="77777777" w:rsidR="00BA70CF" w:rsidRDefault="00BA70CF" w:rsidP="00956495">
      <w:pPr>
        <w:pStyle w:val="Heading3"/>
      </w:pPr>
      <w:bookmarkStart w:id="115" w:name="_Toc236928348"/>
      <w:r>
        <w:t>Sustainability beyond emissions</w:t>
      </w:r>
      <w:bookmarkEnd w:id="115"/>
    </w:p>
    <w:p w14:paraId="7F43B2D2" w14:textId="77777777" w:rsidR="00BA70CF" w:rsidRDefault="00BA70CF" w:rsidP="00BA70CF">
      <w:r>
        <w:t>International bioenergy frameworks increasingly include sustainability criteria beyond emissions, covering issues such as water use, soil health, biodiversity and social factors. For Australian producers, many of these requirements align with existing regulation, although gaps can remain between minimum compliance and best-practice sustainability outcomes.</w:t>
      </w:r>
    </w:p>
    <w:p w14:paraId="6330153A" w14:textId="1C2209DE" w:rsidR="00BA70CF" w:rsidRDefault="00BA70CF" w:rsidP="00BA70CF">
      <w:r>
        <w:t>There are differing views on how sustainability frameworks and certification schemes should be applied to a future domestic bioenergy sector. Stakeholders have noted that sustainability standards are important to build social licen</w:t>
      </w:r>
      <w:r w:rsidR="00385A41">
        <w:t>c</w:t>
      </w:r>
      <w:r>
        <w:t>e and, at minimum, reduce reputational risks from imported feedstocks produced outside Australia’s regulatory jurisdiction. But these will likely add complexity and regulatory burden for producers. Developing a bespoke framework could better reflect Australian production systems than existing international schemes but could create challenges for interoperability with international markets.</w:t>
      </w:r>
    </w:p>
    <w:p w14:paraId="46AB447C" w14:textId="0E2A626E" w:rsidR="00BA70CF" w:rsidRDefault="00BA70CF" w:rsidP="00BA70CF">
      <w:r>
        <w:t xml:space="preserve">Designing an effective approach will require the right balance. The Australian Government has committed to work with industry to introduce a LCLF demand-side policy which will articulate the core market requirements for biofuels used here in Australia. </w:t>
      </w:r>
      <w:r w:rsidR="00C82E42">
        <w:t xml:space="preserve">Development </w:t>
      </w:r>
      <w:r>
        <w:t>o</w:t>
      </w:r>
      <w:r w:rsidR="00C82E42">
        <w:t>f</w:t>
      </w:r>
      <w:r>
        <w:t xml:space="preserve"> this policy will </w:t>
      </w:r>
      <w:r w:rsidR="00EE1B17">
        <w:t>involve</w:t>
      </w:r>
      <w:r>
        <w:t xml:space="preserve"> </w:t>
      </w:r>
      <w:r w:rsidR="00BD648C">
        <w:t>consideration of</w:t>
      </w:r>
      <w:r>
        <w:t xml:space="preserve"> sustainability and certification in more detail </w:t>
      </w:r>
      <w:proofErr w:type="gramStart"/>
      <w:r w:rsidR="00BD648C">
        <w:t>in order to</w:t>
      </w:r>
      <w:proofErr w:type="gramEnd"/>
      <w:r w:rsidR="00BD648C">
        <w:t xml:space="preserve"> </w:t>
      </w:r>
      <w:r>
        <w:t>resolve issues around domestic market requirements.</w:t>
      </w:r>
    </w:p>
    <w:p w14:paraId="336F30E6" w14:textId="77777777" w:rsidR="00BA70CF" w:rsidRDefault="00BA70CF" w:rsidP="00956495">
      <w:pPr>
        <w:pStyle w:val="Heading3"/>
      </w:pPr>
      <w:bookmarkStart w:id="116" w:name="_Toc236928349"/>
      <w:r>
        <w:t>Traceability and system integrity</w:t>
      </w:r>
      <w:bookmarkEnd w:id="116"/>
    </w:p>
    <w:p w14:paraId="4BB3B7F4" w14:textId="77777777" w:rsidR="00BA70CF" w:rsidRDefault="00BA70CF" w:rsidP="00BA70CF">
      <w:r>
        <w:t>Traceability is central to certification systems and underpins confidence in emissions and sustainability claims. As value increasingly depends on certified attributes, effective traceability becomes essential for market participation. Without it, emissions outcomes cannot be substantiated, market access is limited and feedstocks cannot capture their full value. Robust chain-of-custody arrangements are needed to verify inputs, allocate emissions across co-products and prevent fraud, non-compliance and double counting, especially in systems involving co-processing, blending and international trade.</w:t>
      </w:r>
    </w:p>
    <w:p w14:paraId="48A4E1A8" w14:textId="344E4093" w:rsidR="00BA70CF" w:rsidRDefault="00BA70CF" w:rsidP="00BA70CF">
      <w:r>
        <w:t xml:space="preserve">Traceability systems will need to keep developing as supply chains become more complex and internationally integrated. The GO Scheme and international certification schemes such as the International Sustainability and Carbon Certification (ISCC) and the Roundtable on Sustainable Biomaterials (RSB) are likely to play an important role in meeting these requirements. </w:t>
      </w:r>
      <w:r w:rsidR="000E6B5C">
        <w:t>F</w:t>
      </w:r>
      <w:r>
        <w:t xml:space="preserve">urther consideration of traceability needs </w:t>
      </w:r>
      <w:r w:rsidR="0013300D">
        <w:t xml:space="preserve">will be considered </w:t>
      </w:r>
      <w:r w:rsidR="00140FE5">
        <w:t>during policy design for</w:t>
      </w:r>
      <w:r>
        <w:t xml:space="preserve"> the demand-side measure.</w:t>
      </w:r>
    </w:p>
    <w:p w14:paraId="7871D7F3" w14:textId="1E195110" w:rsidR="00BA70CF" w:rsidRDefault="00BA70CF" w:rsidP="00956495">
      <w:pPr>
        <w:pStyle w:val="Heading3"/>
      </w:pPr>
      <w:bookmarkStart w:id="117" w:name="_Toc236928350"/>
      <w:r>
        <w:t>Integration with food, fibre and feed systems</w:t>
      </w:r>
      <w:bookmarkEnd w:id="117"/>
    </w:p>
    <w:p w14:paraId="4228901B" w14:textId="6B38C6C2" w:rsidR="005A6666" w:rsidRDefault="002A54EE" w:rsidP="00BA70CF">
      <w:r>
        <w:t>Some stakeholders</w:t>
      </w:r>
      <w:r w:rsidR="00654D53">
        <w:t xml:space="preserve">, </w:t>
      </w:r>
      <w:r>
        <w:t>particularly in the intensive livestock sector</w:t>
      </w:r>
      <w:r w:rsidR="00654D53">
        <w:t>,</w:t>
      </w:r>
      <w:r w:rsidDel="00654D53">
        <w:t xml:space="preserve"> </w:t>
      </w:r>
      <w:r>
        <w:t xml:space="preserve">have raised concerns that using edible feedstocks for bioenergy could intensify competition for agricultural </w:t>
      </w:r>
      <w:r w:rsidR="00DA2979">
        <w:t>commodities</w:t>
      </w:r>
      <w:r>
        <w:t>, potentially driving price pressures and supply constraints that could have downstream impacts on food affordability and security.</w:t>
      </w:r>
      <w:r w:rsidRPr="00371CB9">
        <w:t xml:space="preserve"> </w:t>
      </w:r>
      <w:r w:rsidR="00AF00C2">
        <w:t xml:space="preserve">This is not just a domestic concern. </w:t>
      </w:r>
      <w:r>
        <w:t xml:space="preserve">Some international regulatory </w:t>
      </w:r>
      <w:r>
        <w:lastRenderedPageBreak/>
        <w:t>frameworks have taken steps to cap the proportion of food crop-derived biofuels within their overall energy mix and are positioning for an eventual phase-out. However, these approaches can overlook the diversified and complementary nature of primary production systems, which have in-built risk mitigations.</w:t>
      </w:r>
    </w:p>
    <w:p w14:paraId="42767106" w14:textId="7C160025" w:rsidR="00BA70CF" w:rsidRDefault="00053EB9" w:rsidP="00BA70CF">
      <w:r>
        <w:t xml:space="preserve">Bioenergy feedstocks are produced within multifunctional agricultural and forestry systems that produce </w:t>
      </w:r>
      <w:r w:rsidR="00547D18">
        <w:t xml:space="preserve">a range of </w:t>
      </w:r>
      <w:r>
        <w:t>outputs alongside food and fibre. Industry feedback identified no material constraint or conflict in the short term between feedstock production and food, fibre or other outputs.</w:t>
      </w:r>
    </w:p>
    <w:p w14:paraId="54DAD4CF" w14:textId="73107D8E" w:rsidR="00BA70CF" w:rsidRDefault="00BA70CF" w:rsidP="00BA70CF">
      <w:r>
        <w:t>Australia already produces and trades large volumes of commodities such as canola into global bioenergy markets, showing that our production systems can support multiple uses. Our</w:t>
      </w:r>
      <w:r w:rsidDel="00A23E58">
        <w:t xml:space="preserve"> </w:t>
      </w:r>
      <w:r>
        <w:t xml:space="preserve">agricultural </w:t>
      </w:r>
      <w:r w:rsidR="00316FF3">
        <w:t>innovation</w:t>
      </w:r>
      <w:r>
        <w:t xml:space="preserve"> system continues to drive productivity improvements within existing cropping footprints. It is also important to consider that reliable and affordable liquid fuels are essential inputs to agricultural production, processing and distribution. Strengthening domestic LCLF production therefore supports the resilience of the food system to supply shocks.</w:t>
      </w:r>
    </w:p>
    <w:p w14:paraId="6A22FD09" w14:textId="7BDA1CCD" w:rsidR="00BA70CF" w:rsidRDefault="00BA70CF" w:rsidP="00BA70CF">
      <w:r>
        <w:t>Evidence also points to co-benefits from integrated production systems and value stacking, where a single feedstock supports multiple food, feed and fuel outputs</w:t>
      </w:r>
      <w:r w:rsidR="008D3706">
        <w:t>. It is possible that an</w:t>
      </w:r>
      <w:r w:rsidDel="00AE0502">
        <w:t xml:space="preserve"> </w:t>
      </w:r>
      <w:r>
        <w:t xml:space="preserve">increased supply of co-products </w:t>
      </w:r>
      <w:r w:rsidR="00AE0502">
        <w:t xml:space="preserve">from bioenergy production, </w:t>
      </w:r>
      <w:r>
        <w:t xml:space="preserve">such as </w:t>
      </w:r>
      <w:r w:rsidR="0067588D">
        <w:t>canola</w:t>
      </w:r>
      <w:r>
        <w:t xml:space="preserve"> meal and distillers’ dried grains</w:t>
      </w:r>
      <w:r w:rsidR="00AE0502">
        <w:t>,</w:t>
      </w:r>
      <w:r>
        <w:t xml:space="preserve"> </w:t>
      </w:r>
      <w:r w:rsidR="008D3706">
        <w:t xml:space="preserve">could be utilised in </w:t>
      </w:r>
      <w:r>
        <w:t xml:space="preserve">the animal feed </w:t>
      </w:r>
      <w:r w:rsidR="008D3706">
        <w:t>industry</w:t>
      </w:r>
      <w:r>
        <w:t xml:space="preserve"> (though this will depend on consistent supply and suitable nutritional properties). </w:t>
      </w:r>
      <w:r w:rsidR="001B5A1E">
        <w:t>In Australia, c</w:t>
      </w:r>
      <w:r>
        <w:t>anola and other oilseeds are grown in rotation with cereal grains and serve as a useful break crop with benefits for disease and pest management, which supports food production</w:t>
      </w:r>
      <w:r w:rsidR="00183713">
        <w:t>.</w:t>
      </w:r>
    </w:p>
    <w:p w14:paraId="7CBEB9C8" w14:textId="129C1E9C" w:rsidR="00BA70CF" w:rsidRDefault="00624C13" w:rsidP="00BA70CF">
      <w:r w:rsidRPr="00624C13">
        <w:t xml:space="preserve">Diversification of feedstocks will be </w:t>
      </w:r>
      <w:r w:rsidR="0019356D">
        <w:t xml:space="preserve">an </w:t>
      </w:r>
      <w:r w:rsidRPr="00624C13">
        <w:t xml:space="preserve">important </w:t>
      </w:r>
      <w:r w:rsidR="0019356D">
        <w:t xml:space="preserve">part of addressing concerns </w:t>
      </w:r>
      <w:r w:rsidR="00FC7027">
        <w:t>around competition</w:t>
      </w:r>
      <w:r w:rsidR="00C24E90">
        <w:t xml:space="preserve"> with food and fibre production</w:t>
      </w:r>
      <w:r w:rsidR="00ED30B7">
        <w:t xml:space="preserve"> in the longer term</w:t>
      </w:r>
      <w:r w:rsidRPr="00624C13">
        <w:t>.</w:t>
      </w:r>
      <w:r>
        <w:t xml:space="preserve"> </w:t>
      </w:r>
      <w:r w:rsidR="00BA70CF">
        <w:t>While first-generation feedstocks remain among the most commercially ready and lowest-cost options in the short term (CEFC</w:t>
      </w:r>
      <w:r w:rsidR="00D16C68">
        <w:t> </w:t>
      </w:r>
      <w:r w:rsidR="00BA70CF">
        <w:t>2025), Australia will need a diversified feedstock base to achieve scale and reduce over-reliance on individual commodities. This includes expanding the use of non-edible residues, by-products and novel energy crops, which may be grown on marginal lands. Even so, as demand for feedstocks grows, it will be important to maintain visibility over land use, input allocation and price signals as systems evolve.</w:t>
      </w:r>
    </w:p>
    <w:p w14:paraId="3CB49ED2" w14:textId="408D5146" w:rsidR="00C96E3C" w:rsidRDefault="00733DB6" w:rsidP="00BA70CF">
      <w:r>
        <w:t>While m</w:t>
      </w:r>
      <w:r w:rsidR="00BA70CF">
        <w:t xml:space="preserve">ajor </w:t>
      </w:r>
      <w:r>
        <w:t>competition</w:t>
      </w:r>
      <w:r w:rsidR="00880AE6">
        <w:t xml:space="preserve"> </w:t>
      </w:r>
      <w:r w:rsidR="00BA70CF">
        <w:t>issues appear unlikely in the short term, maintaining social licen</w:t>
      </w:r>
      <w:r w:rsidR="00385A41">
        <w:t>c</w:t>
      </w:r>
      <w:r w:rsidR="00BA70CF">
        <w:t xml:space="preserve">e will require a robust and transparent evidence base that demonstrates how feedstock production can align with other national objectives. That means better data on </w:t>
      </w:r>
      <w:r w:rsidR="00F868A5">
        <w:t xml:space="preserve">trends in </w:t>
      </w:r>
      <w:r w:rsidR="00BA70CF">
        <w:t xml:space="preserve">feedstock </w:t>
      </w:r>
      <w:r w:rsidR="00F868A5">
        <w:t>cultivation and collection</w:t>
      </w:r>
      <w:r w:rsidR="00BA70CF">
        <w:t>, co-product and market flows, a stronger understanding of system interactions, and mitigation strategies for emerging risks. The</w:t>
      </w:r>
      <w:r w:rsidR="00BE3503">
        <w:t>re is an opportunity for industry and government</w:t>
      </w:r>
      <w:r w:rsidR="00E438BE">
        <w:t>s</w:t>
      </w:r>
      <w:r w:rsidR="005811B9">
        <w:t xml:space="preserve"> to work together</w:t>
      </w:r>
      <w:r w:rsidR="00EA424D">
        <w:t xml:space="preserve"> </w:t>
      </w:r>
      <w:r w:rsidR="00BA70CF">
        <w:t>to strengthen th</w:t>
      </w:r>
      <w:r w:rsidR="00730850">
        <w:t>e</w:t>
      </w:r>
      <w:r w:rsidR="00BA70CF">
        <w:t xml:space="preserve"> evidence base and ensure overarching policy settings do not lead to unintended outcomes. In the meantime, there is an opportunity for the feedstock industry to be proactive in addressing concerns regarding competition for resources, and to engage with other affected industries to ensure complementarity can be maintained.</w:t>
      </w:r>
    </w:p>
    <w:p w14:paraId="226C9CFB" w14:textId="5FAE35C9" w:rsidR="00BA70CF" w:rsidRDefault="00956495" w:rsidP="00956495">
      <w:pPr>
        <w:pStyle w:val="Heading2"/>
      </w:pPr>
      <w:bookmarkStart w:id="118" w:name="_Toc236928351"/>
      <w:r>
        <w:lastRenderedPageBreak/>
        <w:t>Priority</w:t>
      </w:r>
      <w:r w:rsidR="00BA70CF">
        <w:t xml:space="preserve"> area: building sector capability</w:t>
      </w:r>
      <w:bookmarkEnd w:id="118"/>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5"/>
        <w:gridCol w:w="8106"/>
      </w:tblGrid>
      <w:tr w:rsidR="007D7044" w:rsidRPr="007D7044" w14:paraId="5CBB0794" w14:textId="77777777">
        <w:tc>
          <w:tcPr>
            <w:tcW w:w="964" w:type="dxa"/>
            <w:vAlign w:val="center"/>
          </w:tcPr>
          <w:p w14:paraId="62476044" w14:textId="77777777" w:rsidR="007D7044" w:rsidRPr="007D7044" w:rsidRDefault="007D7044" w:rsidP="007D7044">
            <w:pPr>
              <w:spacing w:before="0" w:after="0" w:line="240" w:lineRule="auto"/>
              <w:rPr>
                <w:rFonts w:cstheme="minorHAnsi"/>
                <w:i/>
                <w:iCs/>
                <w:color w:val="215868" w:themeColor="accent5" w:themeShade="80"/>
                <w:sz w:val="24"/>
                <w:szCs w:val="28"/>
              </w:rPr>
            </w:pPr>
            <w:r w:rsidRPr="007D7044">
              <w:rPr>
                <w:rFonts w:cstheme="minorHAnsi"/>
                <w:i/>
                <w:iCs/>
                <w:noProof/>
                <w:color w:val="215868" w:themeColor="accent5" w:themeShade="80"/>
                <w:sz w:val="24"/>
                <w:szCs w:val="28"/>
              </w:rPr>
              <w:drawing>
                <wp:inline distT="0" distB="0" distL="0" distR="0" wp14:anchorId="0E1E8F76" wp14:editId="2F7285E0">
                  <wp:extent cx="613124" cy="613124"/>
                  <wp:effectExtent l="0" t="0" r="0" b="0"/>
                  <wp:docPr id="1296713288" name="Picture 22" descr="Decorativ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13288" name="Picture 22" descr="Decorative icon"/>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616302" cy="616302"/>
                          </a:xfrm>
                          <a:prstGeom prst="rect">
                            <a:avLst/>
                          </a:prstGeom>
                          <a:noFill/>
                        </pic:spPr>
                      </pic:pic>
                    </a:graphicData>
                  </a:graphic>
                </wp:inline>
              </w:drawing>
            </w:r>
          </w:p>
        </w:tc>
        <w:tc>
          <w:tcPr>
            <w:tcW w:w="8107" w:type="dxa"/>
            <w:vAlign w:val="center"/>
          </w:tcPr>
          <w:p w14:paraId="6744FD6C" w14:textId="77777777" w:rsidR="007D7044" w:rsidRPr="006D4FA3" w:rsidRDefault="007D7044" w:rsidP="00CF33E7">
            <w:pPr>
              <w:pStyle w:val="Quote"/>
              <w:ind w:left="0"/>
              <w:rPr>
                <w:b/>
                <w:bCs/>
                <w:color w:val="525F29" w:themeColor="text2"/>
              </w:rPr>
            </w:pPr>
            <w:r w:rsidRPr="006D4FA3">
              <w:rPr>
                <w:b/>
                <w:bCs/>
                <w:color w:val="525F29" w:themeColor="text2"/>
              </w:rPr>
              <w:t>Enhancing coordination, skills, workforce planning and policy alignment across the supply chain to enable confident participation in new markets.</w:t>
            </w:r>
          </w:p>
        </w:tc>
      </w:tr>
    </w:tbl>
    <w:p w14:paraId="3F00EC65" w14:textId="5006191A" w:rsidR="00331F46" w:rsidRDefault="00515689" w:rsidP="006D4FA3">
      <w:pPr>
        <w:pStyle w:val="BoxHeading"/>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t>Future direction</w:t>
      </w:r>
      <w:r w:rsidR="00331F46">
        <w:t>:</w:t>
      </w:r>
    </w:p>
    <w:p w14:paraId="1B290FD7" w14:textId="77777777" w:rsidR="00372776" w:rsidRPr="000E628E" w:rsidRDefault="00372776"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0E628E">
        <w:t>Strengthen connections</w:t>
      </w:r>
      <w:r>
        <w:t>, communication and</w:t>
      </w:r>
      <w:r w:rsidRPr="000E628E">
        <w:t xml:space="preserve"> collaboration across feedstock production, aggregation, processing and end-use markets</w:t>
      </w:r>
      <w:r>
        <w:t>.</w:t>
      </w:r>
    </w:p>
    <w:p w14:paraId="11515A17" w14:textId="77777777" w:rsidR="00372776" w:rsidRPr="00F22AF9" w:rsidRDefault="00372776"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F22AF9">
        <w:t>Improve access to credible, practical and evidence-based information across the supply chain.</w:t>
      </w:r>
    </w:p>
    <w:p w14:paraId="78F9D38F" w14:textId="77777777" w:rsidR="00372776" w:rsidRPr="00F22AF9" w:rsidRDefault="00372776"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F22AF9">
        <w:t>Develop tools, guidance and market frameworks that reduce barriers to participation and improve market transparency.</w:t>
      </w:r>
    </w:p>
    <w:p w14:paraId="2335FF6D" w14:textId="77777777" w:rsidR="00372776" w:rsidRPr="00F22AF9" w:rsidRDefault="00372776"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F22AF9">
        <w:t>Build workforce capability and incorporate workforce needs into regional and supply chain planning.</w:t>
      </w:r>
    </w:p>
    <w:p w14:paraId="6994B06B" w14:textId="77777777" w:rsidR="00372776" w:rsidRPr="00E1123E" w:rsidRDefault="00372776" w:rsidP="006D4FA3">
      <w:pPr>
        <w:pStyle w:val="BoxTextBullet"/>
        <w:pBdr>
          <w:top w:val="single" w:sz="4" w:space="10" w:color="E1E8CA" w:themeColor="text2" w:themeTint="33"/>
          <w:left w:val="single" w:sz="4" w:space="10" w:color="E1E8CA" w:themeColor="text2" w:themeTint="33"/>
          <w:bottom w:val="single" w:sz="4" w:space="10" w:color="E1E8CA" w:themeColor="text2" w:themeTint="33"/>
          <w:right w:val="single" w:sz="4" w:space="10" w:color="E1E8CA" w:themeColor="text2" w:themeTint="33"/>
        </w:pBdr>
        <w:shd w:val="clear" w:color="auto" w:fill="E1E8CA" w:themeFill="text2" w:themeFillTint="33"/>
      </w:pPr>
      <w:r w:rsidRPr="00E1123E">
        <w:t>Strengthen policy coordination and collaboration across sectors, jurisdictions and supply chain participants.</w:t>
      </w:r>
    </w:p>
    <w:p w14:paraId="114C33B6" w14:textId="457CC710" w:rsidR="00BA70CF" w:rsidRDefault="00BA70CF" w:rsidP="007D7044">
      <w:pPr>
        <w:spacing w:before="240"/>
      </w:pPr>
      <w:r>
        <w:t>Developing a domestic bioenergy feedstock industry will depend on Australia’s ability to translate strong existing agricultural capability into new, integrated supply chains. The sector starts from a position of productivity, adaptability and global competitiveness, but participating in bioenergy markets introduces new requirements, especially around information, coordination and market engagement. Targeted capability uplift across the supply chain will be needed to support confident participation, reduce coordination gaps and enable a connected, investable and scalable industry.</w:t>
      </w:r>
    </w:p>
    <w:p w14:paraId="336897BF" w14:textId="77777777" w:rsidR="00BA70CF" w:rsidRDefault="00BA70CF" w:rsidP="00960925">
      <w:pPr>
        <w:pStyle w:val="Heading3"/>
      </w:pPr>
      <w:bookmarkStart w:id="119" w:name="_Toc236928352"/>
      <w:r>
        <w:t>Strong existing base to support industry development</w:t>
      </w:r>
      <w:bookmarkEnd w:id="119"/>
    </w:p>
    <w:p w14:paraId="4E9250EE" w14:textId="7DC348AE" w:rsidR="00BA70CF" w:rsidRDefault="00BA70CF" w:rsidP="00BA70CF">
      <w:r>
        <w:t>Australian agriculture is well placed to support a domestic bioenergy industry. Australia’s natural resource base, institutional settings and export orientation, with more than two-thirds of production exported, reinforce this capability. Producers continue to adapt to climate variability and changing market demands, and operate in highly constrained environments, with only about 6% of agricultural land suitable for annual cropping (AFI</w:t>
      </w:r>
      <w:r w:rsidR="00D16C68">
        <w:t> </w:t>
      </w:r>
      <w:r>
        <w:t>2014). This has driven efficient and resilient production systems.</w:t>
      </w:r>
    </w:p>
    <w:p w14:paraId="5E378C6E" w14:textId="77777777" w:rsidR="00BA70CF" w:rsidRDefault="00BA70CF" w:rsidP="00BA70CF">
      <w:r>
        <w:t>These strengths are already visible in Australia’s participation in international bioenergy supply chains. But scaling a domestic LCLF industry creates new dynamics. Historically, agriculture and fuel manufacturing have operated largely separately. Bringing them together will require stronger coordination, new capabilities and better market understanding. Without targeted capability uplift, participation is likely to remain uneven, which will limit the pace and scale of industry development.</w:t>
      </w:r>
    </w:p>
    <w:p w14:paraId="14134D3A" w14:textId="54357533" w:rsidR="00BA70CF" w:rsidRDefault="00636EA4" w:rsidP="00960925">
      <w:pPr>
        <w:pStyle w:val="Heading3"/>
      </w:pPr>
      <w:bookmarkStart w:id="120" w:name="_Toc236928353"/>
      <w:r>
        <w:lastRenderedPageBreak/>
        <w:t xml:space="preserve">Integration </w:t>
      </w:r>
      <w:r w:rsidR="00BA70CF">
        <w:t>across the supply chain</w:t>
      </w:r>
      <w:bookmarkEnd w:id="120"/>
    </w:p>
    <w:p w14:paraId="438667D0" w14:textId="7101625E" w:rsidR="00BA70CF" w:rsidRDefault="00BA70CF" w:rsidP="00BA70CF">
      <w:r>
        <w:t xml:space="preserve">Bioenergy feedstocks are part of a new and more integrated value chain that requires alignment across production, aggregation, processing and end use. Participation means meeting </w:t>
      </w:r>
      <w:r w:rsidR="008D3706">
        <w:t xml:space="preserve">emerging market </w:t>
      </w:r>
      <w:r>
        <w:t xml:space="preserve">requirements, including emissions accounting, product quality </w:t>
      </w:r>
      <w:r w:rsidR="00F4233E">
        <w:t>and certification</w:t>
      </w:r>
      <w:r>
        <w:t>.</w:t>
      </w:r>
    </w:p>
    <w:p w14:paraId="164963D1" w14:textId="5D9A78C1" w:rsidR="00BA70CF" w:rsidRDefault="00BA70CF" w:rsidP="00BA70CF">
      <w:r>
        <w:t>Stronger connectivity across the supply chain is therefore critical. This includes improving two-way understanding between producers and fuel manufacturers, increasing visibility of feedstock availability, and helping producers understand market requirements and risks.</w:t>
      </w:r>
    </w:p>
    <w:p w14:paraId="188706D2" w14:textId="77777777" w:rsidR="00BA70CF" w:rsidRDefault="00BA70CF" w:rsidP="00BA70CF">
      <w:r>
        <w:t>This capability uplift must go both ways. Feedstock buyers need practical understanding of agricultural systems and constraints, while producers need clarity about downstream demand and commercial terms. Better integration will support stronger contracting, reduce risk and improve investment readiness.</w:t>
      </w:r>
    </w:p>
    <w:p w14:paraId="0F1D5B1E" w14:textId="7779C678" w:rsidR="00BA70CF" w:rsidRDefault="00BA70CF" w:rsidP="00BA70CF">
      <w:r>
        <w:t>Industry partnerships show what this can look like in practice. Long-term agreements, such as those for certified carinata oil, show how coordinated engagement can align production systems with fuel market requirements and give both producers and investors more confidence (</w:t>
      </w:r>
      <w:r w:rsidR="00670708">
        <w:fldChar w:fldCharType="begin"/>
      </w:r>
      <w:r w:rsidR="00670708">
        <w:instrText xml:space="preserve"> REF _Ref234490716 \h </w:instrText>
      </w:r>
      <w:r w:rsidR="00670708">
        <w:fldChar w:fldCharType="separate"/>
      </w:r>
      <w:r w:rsidR="00C71C2F" w:rsidRPr="00F94BF0">
        <w:t xml:space="preserve">Box </w:t>
      </w:r>
      <w:r w:rsidR="00C71C2F">
        <w:rPr>
          <w:noProof/>
        </w:rPr>
        <w:t>9</w:t>
      </w:r>
      <w:r w:rsidR="00670708">
        <w:fldChar w:fldCharType="end"/>
      </w:r>
      <w:r>
        <w:t>).</w:t>
      </w:r>
    </w:p>
    <w:p w14:paraId="743D438B" w14:textId="030DCA19" w:rsidR="00BA70CF" w:rsidRPr="00F94BF0" w:rsidRDefault="00BA70CF" w:rsidP="001353E5">
      <w:pPr>
        <w:pStyle w:val="Caption"/>
        <w:pBdr>
          <w:top w:val="single" w:sz="4" w:space="10" w:color="auto"/>
          <w:left w:val="single" w:sz="4" w:space="10" w:color="auto"/>
          <w:bottom w:val="single" w:sz="4" w:space="10" w:color="auto"/>
          <w:right w:val="single" w:sz="4" w:space="10" w:color="auto"/>
        </w:pBdr>
      </w:pPr>
      <w:bookmarkStart w:id="121" w:name="_Ref234490716"/>
      <w:bookmarkStart w:id="122" w:name="_Toc234489890"/>
      <w:bookmarkStart w:id="123" w:name="_Toc234587220"/>
      <w:bookmarkStart w:id="124" w:name="_Toc234840895"/>
      <w:bookmarkStart w:id="125" w:name="_Toc235099518"/>
      <w:bookmarkStart w:id="126" w:name="_Toc235100637"/>
      <w:bookmarkStart w:id="127" w:name="_Toc236985538"/>
      <w:r w:rsidRPr="00F94BF0">
        <w:t xml:space="preserve">Box </w:t>
      </w:r>
      <w:fldSimple w:instr=" SEQ Box \* ARABIC ">
        <w:r w:rsidR="00C71C2F">
          <w:rPr>
            <w:noProof/>
          </w:rPr>
          <w:t>9</w:t>
        </w:r>
      </w:fldSimple>
      <w:bookmarkEnd w:id="121"/>
      <w:r w:rsidRPr="00F94BF0">
        <w:t xml:space="preserve"> Industry led connectivity across supply chains - </w:t>
      </w:r>
      <w:proofErr w:type="spellStart"/>
      <w:r w:rsidRPr="00F94BF0">
        <w:t>Nuseed</w:t>
      </w:r>
      <w:proofErr w:type="spellEnd"/>
      <w:r w:rsidRPr="00F94BF0">
        <w:t xml:space="preserve">, bp and </w:t>
      </w:r>
      <w:proofErr w:type="spellStart"/>
      <w:r w:rsidRPr="00F94BF0">
        <w:t>carinata</w:t>
      </w:r>
      <w:bookmarkEnd w:id="122"/>
      <w:bookmarkEnd w:id="123"/>
      <w:bookmarkEnd w:id="124"/>
      <w:bookmarkEnd w:id="125"/>
      <w:bookmarkEnd w:id="126"/>
      <w:bookmarkEnd w:id="127"/>
      <w:proofErr w:type="spellEnd"/>
    </w:p>
    <w:p w14:paraId="6D552DCB" w14:textId="116DD4AB" w:rsidR="00BA70CF" w:rsidRDefault="00BA70CF" w:rsidP="00F94BF0">
      <w:pPr>
        <w:pStyle w:val="BoxText"/>
      </w:pPr>
      <w:proofErr w:type="spellStart"/>
      <w:r>
        <w:t>Nuseed</w:t>
      </w:r>
      <w:proofErr w:type="spellEnd"/>
      <w:r>
        <w:t xml:space="preserve"> </w:t>
      </w:r>
      <w:proofErr w:type="spellStart"/>
      <w:r>
        <w:t>carinata</w:t>
      </w:r>
      <w:proofErr w:type="spellEnd"/>
      <w:r>
        <w:t xml:space="preserve"> is a proprietary low-carbon oilseed cover crop that is certified by the R</w:t>
      </w:r>
      <w:r w:rsidR="008D3706">
        <w:t>SB</w:t>
      </w:r>
      <w:r>
        <w:t xml:space="preserve"> for the EU R</w:t>
      </w:r>
      <w:r w:rsidR="008D3706">
        <w:t>ED market</w:t>
      </w:r>
      <w:r>
        <w:t>, as a low-carbon fuel feedstock (Nufarm</w:t>
      </w:r>
      <w:r w:rsidR="008F6817">
        <w:t> </w:t>
      </w:r>
      <w:r>
        <w:t xml:space="preserve">2019). </w:t>
      </w:r>
      <w:proofErr w:type="spellStart"/>
      <w:r>
        <w:t>Nuseed</w:t>
      </w:r>
      <w:proofErr w:type="spellEnd"/>
      <w:r>
        <w:t xml:space="preserve"> and bp Products North America Inc. have entered into a 10-year strategic agreement for the supply of carinata oil for sustainable biofuel production (bp</w:t>
      </w:r>
      <w:r w:rsidR="008F6817">
        <w:t> </w:t>
      </w:r>
      <w:r>
        <w:t>2022).</w:t>
      </w:r>
    </w:p>
    <w:p w14:paraId="77CAC026" w14:textId="73985D34" w:rsidR="00BA70CF" w:rsidRDefault="00BA70CF" w:rsidP="00F94BF0">
      <w:pPr>
        <w:pStyle w:val="BoxText"/>
      </w:pPr>
      <w:r>
        <w:t xml:space="preserve">Under the agreement </w:t>
      </w:r>
      <w:proofErr w:type="spellStart"/>
      <w:r>
        <w:t>Nuseed</w:t>
      </w:r>
      <w:proofErr w:type="spellEnd"/>
      <w:r>
        <w:t xml:space="preserve"> will expand its existing network of growers and supply chain partners to deliver certified carinata oil. Carinata has potential</w:t>
      </w:r>
      <w:r w:rsidR="00971F19">
        <w:t xml:space="preserve"> to be integrated,</w:t>
      </w:r>
      <w:r>
        <w:t xml:space="preserve"> in rotation, in existing cropping regions and more marginal areas that may have physical or economic restrictions for conventional crops. It can also be grown as a break </w:t>
      </w:r>
      <w:r w:rsidR="00623978">
        <w:t xml:space="preserve">crop </w:t>
      </w:r>
      <w:r w:rsidR="00971F19">
        <w:t>for</w:t>
      </w:r>
      <w:r>
        <w:t xml:space="preserve"> irrigated systems </w:t>
      </w:r>
      <w:r w:rsidR="00971F19">
        <w:t xml:space="preserve">(such as cotton), </w:t>
      </w:r>
      <w:r>
        <w:t xml:space="preserve">that normally have an extended fallow </w:t>
      </w:r>
      <w:r w:rsidR="00A14EAC">
        <w:t xml:space="preserve">period </w:t>
      </w:r>
      <w:r>
        <w:t>(Grains Central</w:t>
      </w:r>
      <w:r w:rsidR="008F6817">
        <w:t> </w:t>
      </w:r>
      <w:r>
        <w:t>2024).</w:t>
      </w:r>
    </w:p>
    <w:p w14:paraId="383A784D" w14:textId="1F4CF927" w:rsidR="00BA70CF" w:rsidRDefault="00BA70CF" w:rsidP="00F94BF0">
      <w:pPr>
        <w:pStyle w:val="BoxText"/>
      </w:pPr>
      <w:r>
        <w:t xml:space="preserve">Commercial scale trials of </w:t>
      </w:r>
      <w:proofErr w:type="spellStart"/>
      <w:r>
        <w:t>Nuseed’s</w:t>
      </w:r>
      <w:proofErr w:type="spellEnd"/>
      <w:r>
        <w:t xml:space="preserve"> non-food oilseed </w:t>
      </w:r>
      <w:proofErr w:type="spellStart"/>
      <w:r>
        <w:t>carinata</w:t>
      </w:r>
      <w:proofErr w:type="spellEnd"/>
      <w:r>
        <w:t xml:space="preserve"> varieties are under way in Australia, with plots located in cotton-growing regions of New South Wales and southern Queensland. The communication of trial outcomes will allow growers and </w:t>
      </w:r>
      <w:proofErr w:type="spellStart"/>
      <w:r>
        <w:t>Nuseed</w:t>
      </w:r>
      <w:proofErr w:type="spellEnd"/>
      <w:r>
        <w:t xml:space="preserve"> to evaluate </w:t>
      </w:r>
      <w:proofErr w:type="spellStart"/>
      <w:r>
        <w:t>carinata’s</w:t>
      </w:r>
      <w:proofErr w:type="spellEnd"/>
      <w:r>
        <w:t xml:space="preserve"> value proposition and enable informed</w:t>
      </w:r>
      <w:r w:rsidR="006D4FA3">
        <w:t xml:space="preserve"> </w:t>
      </w:r>
      <w:r>
        <w:t>evidence-based conversations around participation in developing supply chains.</w:t>
      </w:r>
    </w:p>
    <w:p w14:paraId="3625FD9C" w14:textId="77777777" w:rsidR="00BA70CF" w:rsidRDefault="00BA70CF" w:rsidP="00F94BF0">
      <w:pPr>
        <w:pStyle w:val="Heading3"/>
      </w:pPr>
      <w:bookmarkStart w:id="128" w:name="_Toc236928354"/>
      <w:r>
        <w:t>Ensuring accessible information flow</w:t>
      </w:r>
      <w:bookmarkEnd w:id="128"/>
    </w:p>
    <w:p w14:paraId="6A7F2921" w14:textId="6B491597" w:rsidR="00BA70CF" w:rsidRPr="00E65BDE" w:rsidRDefault="00BA70CF" w:rsidP="00BA70CF">
      <w:r>
        <w:t>Accessible, credible and fit-for-purpose information underpins sector capability. Better information flow helps stakeholders across the supply chain understand risks and make decisions about investment and participation. It also supports stronger connections between feedstock producers and downstream participants, helping build markets and more efficient supply chains</w:t>
      </w:r>
      <w:r w:rsidR="00D91ECF">
        <w:t>.</w:t>
      </w:r>
    </w:p>
    <w:p w14:paraId="2B59C090" w14:textId="5721EA37" w:rsidR="00BA70CF" w:rsidRDefault="00BA70CF" w:rsidP="00BA70CF">
      <w:r>
        <w:t xml:space="preserve">Extension services, RDC programs and state and territory initiatives all play an important role, but stakeholders said information remains fragmented, uneven in quality and not always aligned with user needs. Better coordination and accessibility, through improved data integration, clearer market requirements </w:t>
      </w:r>
      <w:r w:rsidR="00971F19">
        <w:t>(</w:t>
      </w:r>
      <w:r>
        <w:t>including certification, sustainability and quality standards</w:t>
      </w:r>
      <w:r w:rsidR="00971F19">
        <w:t>)</w:t>
      </w:r>
      <w:r>
        <w:t xml:space="preserve"> and more practical, evidence-based guidance, will lower barriers to entry and support more consistent participation.</w:t>
      </w:r>
    </w:p>
    <w:p w14:paraId="2D3D2B88" w14:textId="4BC8F38B" w:rsidR="00BA70CF" w:rsidRDefault="00BA70CF" w:rsidP="00BA70CF">
      <w:r>
        <w:lastRenderedPageBreak/>
        <w:t xml:space="preserve">The Australian Government is supporting information flow through </w:t>
      </w:r>
      <w:r w:rsidR="00FF4E22">
        <w:t xml:space="preserve">initiatives such as the </w:t>
      </w:r>
      <w:r w:rsidR="00EF1AED">
        <w:t xml:space="preserve">Australian Jet Zero Council </w:t>
      </w:r>
      <w:r w:rsidR="003E03CC">
        <w:t xml:space="preserve">and </w:t>
      </w:r>
      <w:r w:rsidR="00201743">
        <w:t xml:space="preserve">work to </w:t>
      </w:r>
      <w:r w:rsidR="006C1479">
        <w:t xml:space="preserve">establish </w:t>
      </w:r>
      <w:r>
        <w:t>a national LCLF knowledge hub. This hub will help address current gaps by providing a central, publicly accessible platform for validated information, including case studies, datasets and technical guidance (</w:t>
      </w:r>
      <w:r w:rsidR="00670708">
        <w:fldChar w:fldCharType="begin"/>
      </w:r>
      <w:r w:rsidR="00670708">
        <w:instrText xml:space="preserve"> REF _Ref234490726 \h </w:instrText>
      </w:r>
      <w:r w:rsidR="00670708">
        <w:fldChar w:fldCharType="separate"/>
      </w:r>
      <w:r w:rsidR="00C71C2F" w:rsidRPr="00F94BF0">
        <w:t xml:space="preserve">Box </w:t>
      </w:r>
      <w:r w:rsidR="00C71C2F">
        <w:rPr>
          <w:noProof/>
        </w:rPr>
        <w:t>10</w:t>
      </w:r>
      <w:r w:rsidR="00670708">
        <w:fldChar w:fldCharType="end"/>
      </w:r>
      <w:r>
        <w:t>). Over time, maintaining the quality, relevance and usability of this information through ongoing collaboration between government, industry and research organisations will be critical to helping the sector build capability and respond to changing market conditions.</w:t>
      </w:r>
    </w:p>
    <w:p w14:paraId="1EBBC45E" w14:textId="3F080F76" w:rsidR="00BA70CF" w:rsidRDefault="00BA70CF" w:rsidP="00BA70CF">
      <w:r>
        <w:t>Alongside better access to information, there is also a role for industry-led tools and frameworks that support participation in emerging feedstock markets. Stakeholders said standard approaches such as template contracts, pricing frameworks and guidance materials could reduce transaction costs, clarify commercial arrangements and support more consistent engagement between producers, aggregators and end users. Similar industry-led initiatives in other markets, such as codes of practice and landholder guidance, show how this can build confidence, improve transparency and help markets form more quickly.</w:t>
      </w:r>
    </w:p>
    <w:p w14:paraId="24691A53" w14:textId="2F8C4C4F" w:rsidR="00BA70CF" w:rsidRPr="00F94BF0" w:rsidRDefault="00BA70CF" w:rsidP="001353E5">
      <w:pPr>
        <w:pStyle w:val="Caption"/>
        <w:pBdr>
          <w:top w:val="single" w:sz="4" w:space="10" w:color="auto"/>
          <w:left w:val="single" w:sz="4" w:space="10" w:color="auto"/>
          <w:bottom w:val="single" w:sz="4" w:space="10" w:color="auto"/>
          <w:right w:val="single" w:sz="4" w:space="10" w:color="auto"/>
        </w:pBdr>
      </w:pPr>
      <w:bookmarkStart w:id="129" w:name="_Ref234490726"/>
      <w:bookmarkStart w:id="130" w:name="_Toc234489891"/>
      <w:bookmarkStart w:id="131" w:name="_Toc234587221"/>
      <w:bookmarkStart w:id="132" w:name="_Toc234840896"/>
      <w:bookmarkStart w:id="133" w:name="_Toc235099519"/>
      <w:bookmarkStart w:id="134" w:name="_Toc235100638"/>
      <w:bookmarkStart w:id="135" w:name="_Toc236985539"/>
      <w:r w:rsidRPr="00F94BF0">
        <w:t xml:space="preserve">Box </w:t>
      </w:r>
      <w:fldSimple w:instr=" SEQ Box \* ARABIC ">
        <w:r w:rsidR="00C71C2F">
          <w:rPr>
            <w:noProof/>
          </w:rPr>
          <w:t>10</w:t>
        </w:r>
      </w:fldSimple>
      <w:bookmarkEnd w:id="129"/>
      <w:r w:rsidRPr="00F94BF0">
        <w:t xml:space="preserve"> </w:t>
      </w:r>
      <w:r w:rsidR="004416A7">
        <w:t>Low carbon liquid fuel</w:t>
      </w:r>
      <w:r w:rsidRPr="00F94BF0">
        <w:t xml:space="preserve"> knowledge hub</w:t>
      </w:r>
      <w:bookmarkEnd w:id="130"/>
      <w:bookmarkEnd w:id="131"/>
      <w:bookmarkEnd w:id="132"/>
      <w:bookmarkEnd w:id="133"/>
      <w:bookmarkEnd w:id="134"/>
      <w:bookmarkEnd w:id="135"/>
    </w:p>
    <w:p w14:paraId="6F23A343" w14:textId="54D943D9" w:rsidR="00BA70CF" w:rsidRDefault="00BA70CF" w:rsidP="00F94BF0">
      <w:pPr>
        <w:pStyle w:val="BoxText"/>
      </w:pPr>
      <w:r>
        <w:t xml:space="preserve">An </w:t>
      </w:r>
      <w:proofErr w:type="spellStart"/>
      <w:r>
        <w:t>iMove</w:t>
      </w:r>
      <w:proofErr w:type="spellEnd"/>
      <w:r>
        <w:t xml:space="preserve"> CRC project being progressed through the Queensland University of Technology will deliver a LCLF knowledge hub to serve as Australia’s primary evidence-based platform for LCLF information, communication, and stakeholder engagement. The publicly accessible </w:t>
      </w:r>
      <w:r w:rsidR="00971F19">
        <w:t>h</w:t>
      </w:r>
      <w:r>
        <w:t>ub will consolidate reputable and validated information, including factsheets, databases and case studies, into an intuitive online resource. It will include relevant feedstock specific information.</w:t>
      </w:r>
    </w:p>
    <w:p w14:paraId="453B3B9F" w14:textId="7D43687E" w:rsidR="00BA70CF" w:rsidRDefault="00BA70CF" w:rsidP="00F94BF0">
      <w:pPr>
        <w:pStyle w:val="BoxText"/>
      </w:pPr>
      <w:r>
        <w:t xml:space="preserve">Delivery of the </w:t>
      </w:r>
      <w:r w:rsidR="00971F19">
        <w:t>h</w:t>
      </w:r>
      <w:r>
        <w:t>ub will accelerate national understanding, collaboration, and investment in LCLF technologies and feedstocks by providing an authoritative and accessible resource for stakeholders (</w:t>
      </w:r>
      <w:proofErr w:type="spellStart"/>
      <w:r>
        <w:t>iMove</w:t>
      </w:r>
      <w:proofErr w:type="spellEnd"/>
      <w:r w:rsidR="008F6817">
        <w:t> </w:t>
      </w:r>
      <w:r>
        <w:t>2025).</w:t>
      </w:r>
    </w:p>
    <w:p w14:paraId="0C6B2D63" w14:textId="77777777" w:rsidR="00BA70CF" w:rsidRDefault="00BA70CF" w:rsidP="00F94BF0">
      <w:pPr>
        <w:pStyle w:val="Heading3"/>
      </w:pPr>
      <w:bookmarkStart w:id="136" w:name="_Toc236928355"/>
      <w:r>
        <w:t>Workforce planning</w:t>
      </w:r>
      <w:bookmarkEnd w:id="136"/>
    </w:p>
    <w:p w14:paraId="06B8F4A7" w14:textId="77777777" w:rsidR="00BA70CF" w:rsidRDefault="00BA70CF" w:rsidP="00BA70CF">
      <w:r>
        <w:t>The development of feedstock markets creates new workforce requirements across production, logistics and processing. Many relevant skills already exist, but they are not always aligned with the specific needs of bioenergy supply chains.</w:t>
      </w:r>
    </w:p>
    <w:p w14:paraId="008E5B4D" w14:textId="77777777" w:rsidR="00BA70CF" w:rsidRDefault="00BA70CF" w:rsidP="00BA70CF">
      <w:r>
        <w:t>Targeted workforce planning can help identify and address skill gaps early, reducing risks to project delivery and industry growth. Embedding workforce considerations into regional and project planning will help ensure labour availability supports industry development rather than constrains it.</w:t>
      </w:r>
    </w:p>
    <w:p w14:paraId="70514806" w14:textId="77777777" w:rsidR="00BA70CF" w:rsidRDefault="00BA70CF" w:rsidP="00BA70CF">
      <w:r>
        <w:t>Access to reliable information and stronger coordination across stakeholders will also support workforce capability uplift.</w:t>
      </w:r>
    </w:p>
    <w:p w14:paraId="79451114" w14:textId="77777777" w:rsidR="00BA70CF" w:rsidRDefault="00BA70CF" w:rsidP="00F94BF0">
      <w:pPr>
        <w:pStyle w:val="Heading3"/>
      </w:pPr>
      <w:bookmarkStart w:id="137" w:name="_Toc236928356"/>
      <w:r>
        <w:t>Coordinated policy</w:t>
      </w:r>
      <w:bookmarkEnd w:id="137"/>
    </w:p>
    <w:p w14:paraId="69AD1E3B" w14:textId="54709FEF" w:rsidR="00BA70CF" w:rsidRDefault="00BA70CF" w:rsidP="00BA70CF">
      <w:r>
        <w:t>Clear, consistent and coordinated policy settings are essential to support capability building and market confidence. Feedstocks need to be treated as a central part of bioenergy policy, not just as a</w:t>
      </w:r>
      <w:r w:rsidR="004E0E76">
        <w:t>n</w:t>
      </w:r>
      <w:r>
        <w:t xml:space="preserve"> </w:t>
      </w:r>
      <w:r w:rsidR="004E0E76">
        <w:t>up</w:t>
      </w:r>
      <w:r>
        <w:t>stream input. This requires active representation of feedstock stakeholders in policy development, alignment across agriculture, energy, transport and environmental portfolios, and consistent signals that support investment, participation and long-term confidence.</w:t>
      </w:r>
    </w:p>
    <w:p w14:paraId="316DA1EA" w14:textId="6B909BC9" w:rsidR="00BA70CF" w:rsidRDefault="00BA70CF" w:rsidP="00BA70CF">
      <w:r>
        <w:lastRenderedPageBreak/>
        <w:t xml:space="preserve">The Australian Government will </w:t>
      </w:r>
      <w:r w:rsidR="00101695">
        <w:t>con</w:t>
      </w:r>
      <w:r w:rsidR="00FC297B">
        <w:t>sider</w:t>
      </w:r>
      <w:r w:rsidR="00101695">
        <w:t xml:space="preserve"> opportunities </w:t>
      </w:r>
      <w:r>
        <w:t>to keep policy direction clear and coordinated. Close alignment between the Department of Agriculture, Fisheries and Forestry, other relevant portfolios, agencies and participants across the value chain will be important to ensure feedstock industry development is embedded in a coordinated policy approach. Existing structures such as the Australian Jet Zero Council can help strengthen this coordination.</w:t>
      </w:r>
    </w:p>
    <w:p w14:paraId="660225CB" w14:textId="55E957BC" w:rsidR="00FB1B1D" w:rsidRDefault="00BA70CF" w:rsidP="00BA70CF">
      <w:r>
        <w:t>There is also an opportunity for stronger policy coordination between the Australian Government and states and territories through existing intergovernmental forums. The Agriculture Ministers’ Meeting (AMM) and Forestry Ministers’ Meeting (FMM) bring together ministers from all jurisdictions with responsibility for primary industries and forestry. These meetings, and their subordinate committees, can provide a forum for national collaboration on bioenergy industry development. Continuing this work will remain important, including collaboration on capability building and stronger community engagement.</w:t>
      </w:r>
    </w:p>
    <w:p w14:paraId="392020E8" w14:textId="77777777" w:rsidR="00764D6A" w:rsidRDefault="00E91D72" w:rsidP="007E39EF">
      <w:pPr>
        <w:pStyle w:val="Heading2"/>
        <w:numPr>
          <w:ilvl w:val="0"/>
          <w:numId w:val="0"/>
        </w:numPr>
        <w:ind w:left="720" w:hanging="720"/>
      </w:pPr>
      <w:bookmarkStart w:id="138" w:name="_Appendix_A:_Statistical"/>
      <w:bookmarkStart w:id="139" w:name="_Toc430782161"/>
      <w:bookmarkStart w:id="140" w:name="_Toc236928357"/>
      <w:bookmarkEnd w:id="138"/>
      <w:r>
        <w:lastRenderedPageBreak/>
        <w:t>Glossary</w:t>
      </w:r>
      <w:bookmarkEnd w:id="139"/>
      <w:bookmarkEnd w:id="140"/>
    </w:p>
    <w:tbl>
      <w:tblPr>
        <w:tblW w:w="5000" w:type="pct"/>
        <w:tblBorders>
          <w:top w:val="single" w:sz="6" w:space="0" w:color="auto"/>
          <w:bottom w:val="single" w:sz="4" w:space="0" w:color="auto"/>
          <w:insideH w:val="single" w:sz="4" w:space="0" w:color="auto"/>
        </w:tblBorders>
        <w:tblLook w:val="06A0" w:firstRow="1" w:lastRow="0" w:firstColumn="1" w:lastColumn="0" w:noHBand="1" w:noVBand="1"/>
      </w:tblPr>
      <w:tblGrid>
        <w:gridCol w:w="2267"/>
        <w:gridCol w:w="6803"/>
      </w:tblGrid>
      <w:tr w:rsidR="00972720" w14:paraId="3E58548C" w14:textId="77777777" w:rsidTr="006935A0">
        <w:trPr>
          <w:cantSplit/>
          <w:tblHeader/>
        </w:trPr>
        <w:tc>
          <w:tcPr>
            <w:tcW w:w="1250" w:type="pct"/>
            <w:tcMar>
              <w:left w:w="108" w:type="dxa"/>
              <w:right w:w="108" w:type="dxa"/>
            </w:tcMar>
          </w:tcPr>
          <w:p w14:paraId="209B2698" w14:textId="6D502EFB" w:rsidR="00972720" w:rsidRPr="00FE64BC" w:rsidRDefault="00972720" w:rsidP="00972720">
            <w:pPr>
              <w:pStyle w:val="TableHeading"/>
            </w:pPr>
            <w:r w:rsidRPr="000C2A86">
              <w:t>Term</w:t>
            </w:r>
          </w:p>
        </w:tc>
        <w:tc>
          <w:tcPr>
            <w:tcW w:w="3750" w:type="pct"/>
            <w:tcMar>
              <w:left w:w="108" w:type="dxa"/>
              <w:right w:w="108" w:type="dxa"/>
            </w:tcMar>
          </w:tcPr>
          <w:p w14:paraId="7B24658A" w14:textId="5369E02B" w:rsidR="00972720" w:rsidRPr="00FE64BC" w:rsidRDefault="00972720" w:rsidP="00972720">
            <w:pPr>
              <w:pStyle w:val="TableHeading"/>
            </w:pPr>
            <w:r w:rsidRPr="000C2A86">
              <w:t>Definition</w:t>
            </w:r>
          </w:p>
        </w:tc>
      </w:tr>
      <w:tr w:rsidR="00972720" w14:paraId="479D94F9" w14:textId="77777777" w:rsidTr="006935A0">
        <w:tc>
          <w:tcPr>
            <w:tcW w:w="1250" w:type="pct"/>
            <w:tcMar>
              <w:left w:w="108" w:type="dxa"/>
              <w:right w:w="108" w:type="dxa"/>
            </w:tcMar>
          </w:tcPr>
          <w:p w14:paraId="5DB04A9C" w14:textId="178436E1" w:rsidR="00972720" w:rsidRPr="00FE64BC" w:rsidRDefault="00972720" w:rsidP="00972720">
            <w:pPr>
              <w:pStyle w:val="TableText"/>
            </w:pPr>
            <w:r w:rsidRPr="000C2A86">
              <w:t>ABARES</w:t>
            </w:r>
          </w:p>
        </w:tc>
        <w:tc>
          <w:tcPr>
            <w:tcW w:w="3750" w:type="pct"/>
            <w:tcMar>
              <w:left w:w="108" w:type="dxa"/>
              <w:right w:w="108" w:type="dxa"/>
            </w:tcMar>
          </w:tcPr>
          <w:p w14:paraId="4F2B3503" w14:textId="3A4CC27E" w:rsidR="00972720" w:rsidRPr="00FE64BC" w:rsidRDefault="00972720" w:rsidP="00972720">
            <w:pPr>
              <w:pStyle w:val="TableText"/>
            </w:pPr>
            <w:r w:rsidRPr="000C2A86">
              <w:t>Australian Bureau of Agricultural and Resource Economics and Sciences</w:t>
            </w:r>
          </w:p>
        </w:tc>
      </w:tr>
      <w:tr w:rsidR="00982A5A" w14:paraId="2785E07A" w14:textId="77777777" w:rsidTr="006935A0">
        <w:tc>
          <w:tcPr>
            <w:tcW w:w="1250" w:type="pct"/>
            <w:tcMar>
              <w:left w:w="108" w:type="dxa"/>
              <w:right w:w="108" w:type="dxa"/>
            </w:tcMar>
          </w:tcPr>
          <w:p w14:paraId="6EB22DBE" w14:textId="16134A4B" w:rsidR="00982A5A" w:rsidRPr="000C2A86" w:rsidRDefault="00982A5A" w:rsidP="00972720">
            <w:pPr>
              <w:pStyle w:val="TableText"/>
            </w:pPr>
            <w:r>
              <w:t>ABBA</w:t>
            </w:r>
          </w:p>
        </w:tc>
        <w:tc>
          <w:tcPr>
            <w:tcW w:w="3750" w:type="pct"/>
            <w:tcMar>
              <w:left w:w="108" w:type="dxa"/>
              <w:right w:w="108" w:type="dxa"/>
            </w:tcMar>
          </w:tcPr>
          <w:p w14:paraId="4491C6D6" w14:textId="3BCDF68E" w:rsidR="00982A5A" w:rsidRPr="000C2A86" w:rsidRDefault="00982A5A" w:rsidP="00972720">
            <w:pPr>
              <w:pStyle w:val="TableText"/>
            </w:pPr>
            <w:r>
              <w:t xml:space="preserve">Australian </w:t>
            </w:r>
            <w:r w:rsidR="00EB5578">
              <w:t>Biomass for Bioenergy Assessment</w:t>
            </w:r>
          </w:p>
        </w:tc>
      </w:tr>
      <w:tr w:rsidR="00972720" w14:paraId="2C52644F" w14:textId="77777777" w:rsidTr="006935A0">
        <w:tc>
          <w:tcPr>
            <w:tcW w:w="1250" w:type="pct"/>
            <w:tcMar>
              <w:left w:w="108" w:type="dxa"/>
              <w:right w:w="108" w:type="dxa"/>
            </w:tcMar>
          </w:tcPr>
          <w:p w14:paraId="0368E8FB" w14:textId="57F1DBFA" w:rsidR="00972720" w:rsidRPr="00FE64BC" w:rsidRDefault="00972720" w:rsidP="00972720">
            <w:pPr>
              <w:pStyle w:val="TableText"/>
            </w:pPr>
            <w:r w:rsidRPr="000C2A86">
              <w:t xml:space="preserve">AgriFutures </w:t>
            </w:r>
          </w:p>
        </w:tc>
        <w:tc>
          <w:tcPr>
            <w:tcW w:w="3750" w:type="pct"/>
            <w:tcMar>
              <w:left w:w="108" w:type="dxa"/>
              <w:right w:w="108" w:type="dxa"/>
            </w:tcMar>
          </w:tcPr>
          <w:p w14:paraId="6ABE9476" w14:textId="777EE9EE" w:rsidR="00972720" w:rsidRPr="00FE64BC" w:rsidRDefault="00972720" w:rsidP="00972720">
            <w:pPr>
              <w:pStyle w:val="TableText"/>
            </w:pPr>
            <w:r w:rsidRPr="000C2A86">
              <w:t>An Australian research and development corporation representing 13 rural industries and across a range of emerging rural industries.</w:t>
            </w:r>
          </w:p>
        </w:tc>
      </w:tr>
      <w:tr w:rsidR="00972720" w14:paraId="43CBD302" w14:textId="77777777" w:rsidTr="006935A0">
        <w:tc>
          <w:tcPr>
            <w:tcW w:w="1250" w:type="pct"/>
            <w:tcMar>
              <w:left w:w="108" w:type="dxa"/>
              <w:right w:w="108" w:type="dxa"/>
            </w:tcMar>
          </w:tcPr>
          <w:p w14:paraId="6FDF04AF" w14:textId="10808118" w:rsidR="00972720" w:rsidRPr="00FE64BC" w:rsidRDefault="00972720" w:rsidP="00972720">
            <w:pPr>
              <w:pStyle w:val="TableText"/>
            </w:pPr>
            <w:r w:rsidRPr="000C2A86">
              <w:t>alcohol-to-jet (</w:t>
            </w:r>
            <w:proofErr w:type="spellStart"/>
            <w:r w:rsidRPr="000C2A86">
              <w:t>AtJ</w:t>
            </w:r>
            <w:proofErr w:type="spellEnd"/>
            <w:r w:rsidRPr="000C2A86">
              <w:t>)</w:t>
            </w:r>
          </w:p>
        </w:tc>
        <w:tc>
          <w:tcPr>
            <w:tcW w:w="3750" w:type="pct"/>
            <w:tcMar>
              <w:left w:w="108" w:type="dxa"/>
              <w:right w:w="108" w:type="dxa"/>
            </w:tcMar>
          </w:tcPr>
          <w:p w14:paraId="59C3B38B" w14:textId="703EBFC1" w:rsidR="00972720" w:rsidRPr="00FE64BC" w:rsidRDefault="00972720" w:rsidP="00972720">
            <w:pPr>
              <w:pStyle w:val="TableText"/>
            </w:pPr>
            <w:r w:rsidRPr="000C2A86">
              <w:t>The process of converting alcohol (typically ethanol) to jet fuel through a series of catalytic reactions.</w:t>
            </w:r>
          </w:p>
        </w:tc>
      </w:tr>
      <w:tr w:rsidR="00972720" w14:paraId="66C106A6" w14:textId="77777777" w:rsidTr="006935A0">
        <w:tc>
          <w:tcPr>
            <w:tcW w:w="1250" w:type="pct"/>
            <w:tcMar>
              <w:left w:w="108" w:type="dxa"/>
              <w:right w:w="108" w:type="dxa"/>
            </w:tcMar>
          </w:tcPr>
          <w:p w14:paraId="7D6AC2B3" w14:textId="24A32AA1" w:rsidR="00972720" w:rsidRPr="00FE64BC" w:rsidRDefault="00972720" w:rsidP="00972720">
            <w:pPr>
              <w:pStyle w:val="TableText"/>
            </w:pPr>
            <w:r w:rsidRPr="000C2A86">
              <w:t>AMM</w:t>
            </w:r>
          </w:p>
        </w:tc>
        <w:tc>
          <w:tcPr>
            <w:tcW w:w="3750" w:type="pct"/>
            <w:tcMar>
              <w:left w:w="108" w:type="dxa"/>
              <w:right w:w="108" w:type="dxa"/>
            </w:tcMar>
          </w:tcPr>
          <w:p w14:paraId="03BC381B" w14:textId="02DC6A0C" w:rsidR="00972720" w:rsidRPr="00FE64BC" w:rsidRDefault="00972720" w:rsidP="00972720">
            <w:pPr>
              <w:pStyle w:val="TableText"/>
            </w:pPr>
            <w:r w:rsidRPr="000C2A86">
              <w:t>Agricultural Ministers' Meeting</w:t>
            </w:r>
          </w:p>
        </w:tc>
      </w:tr>
      <w:tr w:rsidR="00972720" w14:paraId="73212B02" w14:textId="77777777" w:rsidTr="006935A0">
        <w:tc>
          <w:tcPr>
            <w:tcW w:w="1250" w:type="pct"/>
            <w:tcMar>
              <w:left w:w="108" w:type="dxa"/>
              <w:right w:w="108" w:type="dxa"/>
            </w:tcMar>
          </w:tcPr>
          <w:p w14:paraId="1628F9E8" w14:textId="266E16FA" w:rsidR="00972720" w:rsidRPr="00FE64BC" w:rsidRDefault="00972720" w:rsidP="00972720">
            <w:pPr>
              <w:pStyle w:val="TableText"/>
            </w:pPr>
            <w:r w:rsidRPr="000C2A86">
              <w:t>ARENA</w:t>
            </w:r>
          </w:p>
        </w:tc>
        <w:tc>
          <w:tcPr>
            <w:tcW w:w="3750" w:type="pct"/>
            <w:tcMar>
              <w:left w:w="108" w:type="dxa"/>
              <w:right w:w="108" w:type="dxa"/>
            </w:tcMar>
          </w:tcPr>
          <w:p w14:paraId="3D07E677" w14:textId="4F84CBE1" w:rsidR="00972720" w:rsidRPr="00FE64BC" w:rsidRDefault="00972720" w:rsidP="00972720">
            <w:pPr>
              <w:pStyle w:val="TableText"/>
            </w:pPr>
            <w:r w:rsidRPr="000C2A86">
              <w:t>Australian Renewable Energy Agency</w:t>
            </w:r>
          </w:p>
        </w:tc>
      </w:tr>
      <w:tr w:rsidR="00972720" w14:paraId="208ADBF5" w14:textId="77777777" w:rsidTr="006935A0">
        <w:tc>
          <w:tcPr>
            <w:tcW w:w="1250" w:type="pct"/>
            <w:tcMar>
              <w:left w:w="108" w:type="dxa"/>
              <w:right w:w="108" w:type="dxa"/>
            </w:tcMar>
          </w:tcPr>
          <w:p w14:paraId="5A7BEC61" w14:textId="5271128A" w:rsidR="00972720" w:rsidRPr="00FE64BC" w:rsidRDefault="00972720" w:rsidP="00972720">
            <w:pPr>
              <w:pStyle w:val="TableText"/>
            </w:pPr>
            <w:r w:rsidRPr="000C2A86">
              <w:t>bioenergy</w:t>
            </w:r>
          </w:p>
        </w:tc>
        <w:tc>
          <w:tcPr>
            <w:tcW w:w="3750" w:type="pct"/>
            <w:tcMar>
              <w:left w:w="108" w:type="dxa"/>
              <w:right w:w="108" w:type="dxa"/>
            </w:tcMar>
          </w:tcPr>
          <w:p w14:paraId="5F281A6E" w14:textId="16BCE9A1" w:rsidR="00972720" w:rsidRPr="00FE64BC" w:rsidRDefault="00972720" w:rsidP="00972720">
            <w:pPr>
              <w:pStyle w:val="TableText"/>
            </w:pPr>
            <w:r w:rsidRPr="000C2A86">
              <w:t>A form of renewable energy generated from the conversion of biomass resources into heat, electricity, gas, and/or liquid fuels.</w:t>
            </w:r>
          </w:p>
        </w:tc>
      </w:tr>
      <w:tr w:rsidR="00972720" w14:paraId="26229126" w14:textId="77777777" w:rsidTr="006935A0">
        <w:tc>
          <w:tcPr>
            <w:tcW w:w="1250" w:type="pct"/>
            <w:tcMar>
              <w:left w:w="108" w:type="dxa"/>
              <w:right w:w="108" w:type="dxa"/>
            </w:tcMar>
          </w:tcPr>
          <w:p w14:paraId="0A25125C" w14:textId="174AF845" w:rsidR="00972720" w:rsidRPr="00FE64BC" w:rsidRDefault="00972720" w:rsidP="00972720">
            <w:pPr>
              <w:pStyle w:val="TableText"/>
            </w:pPr>
            <w:r w:rsidRPr="000C2A86">
              <w:t>biomethane</w:t>
            </w:r>
          </w:p>
        </w:tc>
        <w:tc>
          <w:tcPr>
            <w:tcW w:w="3750" w:type="pct"/>
            <w:tcMar>
              <w:left w:w="108" w:type="dxa"/>
              <w:right w:w="108" w:type="dxa"/>
            </w:tcMar>
          </w:tcPr>
          <w:p w14:paraId="4B3E0A6B" w14:textId="6F5F5B3D" w:rsidR="00972720" w:rsidRPr="00FE64BC" w:rsidRDefault="00972720" w:rsidP="00972720">
            <w:pPr>
              <w:pStyle w:val="TableText"/>
            </w:pPr>
            <w:r w:rsidRPr="000C2A86">
              <w:t>A renewable gas produced by upgrading biogas (derived from organic waste) into a near</w:t>
            </w:r>
            <w:r w:rsidRPr="000C2A86">
              <w:rPr>
                <w:rFonts w:ascii="Cambria Math" w:hAnsi="Cambria Math" w:cs="Cambria Math"/>
              </w:rPr>
              <w:t>‑</w:t>
            </w:r>
            <w:r w:rsidRPr="000C2A86">
              <w:t>pure methane that is chemically equivalent to natural gas and can be used as a drop</w:t>
            </w:r>
            <w:r w:rsidR="003E7916">
              <w:t>-</w:t>
            </w:r>
            <w:r w:rsidRPr="000C2A86">
              <w:t>in fuel.</w:t>
            </w:r>
          </w:p>
        </w:tc>
      </w:tr>
      <w:tr w:rsidR="00972720" w14:paraId="1A0604D1" w14:textId="77777777" w:rsidTr="006935A0">
        <w:tc>
          <w:tcPr>
            <w:tcW w:w="1250" w:type="pct"/>
            <w:tcMar>
              <w:left w:w="108" w:type="dxa"/>
              <w:right w:w="108" w:type="dxa"/>
            </w:tcMar>
          </w:tcPr>
          <w:p w14:paraId="17273653" w14:textId="54346188" w:rsidR="00972720" w:rsidRPr="00FE64BC" w:rsidRDefault="00972720" w:rsidP="00972720">
            <w:pPr>
              <w:pStyle w:val="TableText"/>
            </w:pPr>
            <w:r w:rsidRPr="000C2A86">
              <w:t>biofuel</w:t>
            </w:r>
          </w:p>
        </w:tc>
        <w:tc>
          <w:tcPr>
            <w:tcW w:w="3750" w:type="pct"/>
            <w:tcMar>
              <w:left w:w="108" w:type="dxa"/>
              <w:right w:w="108" w:type="dxa"/>
            </w:tcMar>
          </w:tcPr>
          <w:p w14:paraId="565BC79F" w14:textId="0D209521" w:rsidR="00972720" w:rsidRPr="00FE64BC" w:rsidRDefault="00972720" w:rsidP="00972720">
            <w:pPr>
              <w:pStyle w:val="TableText"/>
            </w:pPr>
            <w:r w:rsidRPr="000C2A86">
              <w:t>A renewable, combustible fuel made from organic materials, which can be blended with fossil fuel. Term commonly refers to liquid fuels but can also include gaseous and solid fuels.</w:t>
            </w:r>
          </w:p>
        </w:tc>
      </w:tr>
      <w:tr w:rsidR="00972720" w14:paraId="3B0877A9" w14:textId="77777777" w:rsidTr="006935A0">
        <w:tc>
          <w:tcPr>
            <w:tcW w:w="1250" w:type="pct"/>
            <w:tcMar>
              <w:left w:w="108" w:type="dxa"/>
              <w:right w:w="108" w:type="dxa"/>
            </w:tcMar>
          </w:tcPr>
          <w:p w14:paraId="73F38889" w14:textId="1958F559" w:rsidR="00972720" w:rsidRPr="00FE64BC" w:rsidRDefault="00972720" w:rsidP="00972720">
            <w:pPr>
              <w:pStyle w:val="TableText"/>
            </w:pPr>
            <w:r w:rsidRPr="000C2A86">
              <w:t>byproducts and residues</w:t>
            </w:r>
          </w:p>
        </w:tc>
        <w:tc>
          <w:tcPr>
            <w:tcW w:w="3750" w:type="pct"/>
            <w:tcMar>
              <w:left w:w="108" w:type="dxa"/>
              <w:right w:w="108" w:type="dxa"/>
            </w:tcMar>
          </w:tcPr>
          <w:p w14:paraId="60C9DBF7" w14:textId="7B032B46" w:rsidR="00972720" w:rsidRPr="00FE64BC" w:rsidRDefault="00972720" w:rsidP="00972720">
            <w:pPr>
              <w:pStyle w:val="TableText"/>
            </w:pPr>
            <w:r w:rsidRPr="000C2A86">
              <w:t>Materials that remain after the primary processing of agricultural and forestry biomass which can have alternative purposes, including bioenergy.</w:t>
            </w:r>
          </w:p>
        </w:tc>
      </w:tr>
      <w:tr w:rsidR="00972720" w14:paraId="4E9DC876" w14:textId="77777777" w:rsidTr="006935A0">
        <w:tc>
          <w:tcPr>
            <w:tcW w:w="1250" w:type="pct"/>
            <w:tcMar>
              <w:left w:w="108" w:type="dxa"/>
              <w:right w:w="108" w:type="dxa"/>
            </w:tcMar>
          </w:tcPr>
          <w:p w14:paraId="4EE35B92" w14:textId="3BCDDA58" w:rsidR="00972720" w:rsidRPr="00FE64BC" w:rsidRDefault="00972720" w:rsidP="00972720">
            <w:pPr>
              <w:pStyle w:val="TableText"/>
            </w:pPr>
            <w:r w:rsidRPr="000C2A86">
              <w:t>carinata</w:t>
            </w:r>
          </w:p>
        </w:tc>
        <w:tc>
          <w:tcPr>
            <w:tcW w:w="3750" w:type="pct"/>
            <w:tcMar>
              <w:left w:w="108" w:type="dxa"/>
              <w:right w:w="108" w:type="dxa"/>
            </w:tcMar>
          </w:tcPr>
          <w:p w14:paraId="033CCD54" w14:textId="6618FF67" w:rsidR="00972720" w:rsidRPr="00FE64BC" w:rsidRDefault="00972720" w:rsidP="00972720">
            <w:pPr>
              <w:pStyle w:val="TableText"/>
            </w:pPr>
            <w:r w:rsidRPr="000C2A86">
              <w:t>A non-edible oilseed crop, grown between main crop rotations and used as a lower carbon liquid fuel feedstock.</w:t>
            </w:r>
          </w:p>
        </w:tc>
      </w:tr>
      <w:tr w:rsidR="00972720" w14:paraId="3327D1A9" w14:textId="77777777" w:rsidTr="006935A0">
        <w:tc>
          <w:tcPr>
            <w:tcW w:w="1250" w:type="pct"/>
            <w:tcMar>
              <w:left w:w="108" w:type="dxa"/>
              <w:right w:w="108" w:type="dxa"/>
            </w:tcMar>
          </w:tcPr>
          <w:p w14:paraId="16203282" w14:textId="09A2C8C9" w:rsidR="00972720" w:rsidRPr="00FE64BC" w:rsidRDefault="00972720" w:rsidP="00972720">
            <w:pPr>
              <w:pStyle w:val="TableText"/>
            </w:pPr>
            <w:r w:rsidRPr="000C2A86">
              <w:t>CEFC</w:t>
            </w:r>
          </w:p>
        </w:tc>
        <w:tc>
          <w:tcPr>
            <w:tcW w:w="3750" w:type="pct"/>
            <w:tcMar>
              <w:left w:w="108" w:type="dxa"/>
              <w:right w:w="108" w:type="dxa"/>
            </w:tcMar>
          </w:tcPr>
          <w:p w14:paraId="6C3E7553" w14:textId="4B9068F7" w:rsidR="00972720" w:rsidRPr="00FE64BC" w:rsidRDefault="00972720" w:rsidP="00972720">
            <w:pPr>
              <w:pStyle w:val="TableText"/>
            </w:pPr>
            <w:r w:rsidRPr="000C2A86">
              <w:t>Clean Energy Finance Corporation</w:t>
            </w:r>
          </w:p>
        </w:tc>
      </w:tr>
      <w:tr w:rsidR="00972720" w14:paraId="496C849B" w14:textId="77777777" w:rsidTr="006935A0">
        <w:tc>
          <w:tcPr>
            <w:tcW w:w="1250" w:type="pct"/>
            <w:tcMar>
              <w:left w:w="108" w:type="dxa"/>
              <w:right w:w="108" w:type="dxa"/>
            </w:tcMar>
          </w:tcPr>
          <w:p w14:paraId="19A31870" w14:textId="6A0FBC8A" w:rsidR="00972720" w:rsidRPr="00FE64BC" w:rsidRDefault="00972720" w:rsidP="00972720">
            <w:pPr>
              <w:pStyle w:val="TableText"/>
            </w:pPr>
            <w:r w:rsidRPr="000C2A86">
              <w:t>CO</w:t>
            </w:r>
            <w:r w:rsidRPr="002120F9">
              <w:rPr>
                <w:vertAlign w:val="subscript"/>
              </w:rPr>
              <w:t>2</w:t>
            </w:r>
            <w:r w:rsidRPr="000C2A86">
              <w:t>-e</w:t>
            </w:r>
          </w:p>
        </w:tc>
        <w:tc>
          <w:tcPr>
            <w:tcW w:w="3750" w:type="pct"/>
            <w:tcMar>
              <w:left w:w="108" w:type="dxa"/>
              <w:right w:w="108" w:type="dxa"/>
            </w:tcMar>
          </w:tcPr>
          <w:p w14:paraId="20ED4493" w14:textId="1C1D2044" w:rsidR="00972720" w:rsidRPr="00FE64BC" w:rsidRDefault="00972720" w:rsidP="00972720">
            <w:pPr>
              <w:pStyle w:val="TableText"/>
            </w:pPr>
            <w:r w:rsidRPr="000C2A86">
              <w:t>Carbon dioxide equivalents</w:t>
            </w:r>
          </w:p>
        </w:tc>
      </w:tr>
      <w:tr w:rsidR="00F93BD8" w14:paraId="1F3C0332" w14:textId="77777777">
        <w:tc>
          <w:tcPr>
            <w:tcW w:w="1250" w:type="pct"/>
            <w:tcMar>
              <w:left w:w="108" w:type="dxa"/>
              <w:right w:w="108" w:type="dxa"/>
            </w:tcMar>
          </w:tcPr>
          <w:p w14:paraId="24323470" w14:textId="77777777" w:rsidR="00F93BD8" w:rsidRPr="00FE64BC" w:rsidRDefault="00F93BD8">
            <w:pPr>
              <w:pStyle w:val="TableText"/>
            </w:pPr>
            <w:r w:rsidRPr="000C2A86">
              <w:t>co-product</w:t>
            </w:r>
          </w:p>
        </w:tc>
        <w:tc>
          <w:tcPr>
            <w:tcW w:w="3750" w:type="pct"/>
            <w:tcMar>
              <w:left w:w="108" w:type="dxa"/>
              <w:right w:w="108" w:type="dxa"/>
            </w:tcMar>
          </w:tcPr>
          <w:p w14:paraId="35126F13" w14:textId="77777777" w:rsidR="00F93BD8" w:rsidRPr="00FE64BC" w:rsidRDefault="00F93BD8">
            <w:pPr>
              <w:pStyle w:val="TableText"/>
            </w:pPr>
            <w:r w:rsidRPr="000C2A86">
              <w:t>Biogenic materials that are intentionally produced alongside the main agricultural or forestry production process and have specific market uses or value.</w:t>
            </w:r>
          </w:p>
        </w:tc>
      </w:tr>
      <w:tr w:rsidR="00DC7250" w14:paraId="035D9C23" w14:textId="77777777">
        <w:tblPrEx>
          <w:tblLook w:val="0000" w:firstRow="0" w:lastRow="0" w:firstColumn="0" w:lastColumn="0" w:noHBand="0" w:noVBand="0"/>
        </w:tblPrEx>
        <w:tc>
          <w:tcPr>
            <w:tcW w:w="1250" w:type="pct"/>
            <w:tcMar>
              <w:left w:w="108" w:type="dxa"/>
              <w:right w:w="108" w:type="dxa"/>
            </w:tcMar>
          </w:tcPr>
          <w:p w14:paraId="7E2A8A4D" w14:textId="77777777" w:rsidR="00DC7250" w:rsidRPr="008C676C" w:rsidRDefault="00DC7250">
            <w:pPr>
              <w:pStyle w:val="TableText"/>
            </w:pPr>
            <w:r>
              <w:t>CRC</w:t>
            </w:r>
          </w:p>
        </w:tc>
        <w:tc>
          <w:tcPr>
            <w:tcW w:w="3750" w:type="pct"/>
            <w:tcMar>
              <w:left w:w="108" w:type="dxa"/>
              <w:right w:w="108" w:type="dxa"/>
            </w:tcMar>
          </w:tcPr>
          <w:p w14:paraId="4108A2E2" w14:textId="77777777" w:rsidR="00DC7250" w:rsidRPr="008C676C" w:rsidRDefault="00DC7250">
            <w:pPr>
              <w:pStyle w:val="TableText"/>
            </w:pPr>
            <w:r>
              <w:t>Cooperative Research Centre</w:t>
            </w:r>
          </w:p>
        </w:tc>
      </w:tr>
      <w:tr w:rsidR="00DC7250" w14:paraId="5732F8E2" w14:textId="77777777">
        <w:tblPrEx>
          <w:tblLook w:val="0000" w:firstRow="0" w:lastRow="0" w:firstColumn="0" w:lastColumn="0" w:noHBand="0" w:noVBand="0"/>
        </w:tblPrEx>
        <w:tc>
          <w:tcPr>
            <w:tcW w:w="1250" w:type="pct"/>
            <w:tcMar>
              <w:left w:w="108" w:type="dxa"/>
              <w:right w:w="108" w:type="dxa"/>
            </w:tcMar>
          </w:tcPr>
          <w:p w14:paraId="393B8AA3" w14:textId="77777777" w:rsidR="00DC7250" w:rsidRPr="00FE64BC" w:rsidRDefault="00DC7250">
            <w:pPr>
              <w:pStyle w:val="TableText"/>
            </w:pPr>
            <w:r w:rsidRPr="008C676C">
              <w:t>CSIRO</w:t>
            </w:r>
          </w:p>
        </w:tc>
        <w:tc>
          <w:tcPr>
            <w:tcW w:w="3750" w:type="pct"/>
            <w:tcMar>
              <w:left w:w="108" w:type="dxa"/>
              <w:right w:w="108" w:type="dxa"/>
            </w:tcMar>
          </w:tcPr>
          <w:p w14:paraId="3C42513A" w14:textId="77777777" w:rsidR="00DC7250" w:rsidRPr="00FE64BC" w:rsidRDefault="00DC7250">
            <w:pPr>
              <w:pStyle w:val="TableText"/>
            </w:pPr>
            <w:r w:rsidRPr="008C676C">
              <w:t>Commonwealth Scientific and Industrial Research Organisation</w:t>
            </w:r>
          </w:p>
        </w:tc>
      </w:tr>
      <w:tr w:rsidR="00DC7250" w14:paraId="47C52DC9" w14:textId="77777777">
        <w:tblPrEx>
          <w:tblLook w:val="0000" w:firstRow="0" w:lastRow="0" w:firstColumn="0" w:lastColumn="0" w:noHBand="0" w:noVBand="0"/>
        </w:tblPrEx>
        <w:tc>
          <w:tcPr>
            <w:tcW w:w="1250" w:type="pct"/>
            <w:tcMar>
              <w:left w:w="108" w:type="dxa"/>
              <w:right w:w="108" w:type="dxa"/>
            </w:tcMar>
          </w:tcPr>
          <w:p w14:paraId="5982D5A2" w14:textId="77777777" w:rsidR="00DC7250" w:rsidRPr="00FE64BC" w:rsidRDefault="00DC7250">
            <w:pPr>
              <w:pStyle w:val="TableText"/>
            </w:pPr>
            <w:r w:rsidRPr="008C676C">
              <w:t>DAFF</w:t>
            </w:r>
          </w:p>
        </w:tc>
        <w:tc>
          <w:tcPr>
            <w:tcW w:w="3750" w:type="pct"/>
            <w:tcMar>
              <w:left w:w="108" w:type="dxa"/>
              <w:right w:w="108" w:type="dxa"/>
            </w:tcMar>
          </w:tcPr>
          <w:p w14:paraId="0B4A9866" w14:textId="77777777" w:rsidR="00DC7250" w:rsidRPr="00FE64BC" w:rsidRDefault="00DC7250">
            <w:pPr>
              <w:pStyle w:val="TableText"/>
            </w:pPr>
            <w:r w:rsidRPr="008C676C">
              <w:t>Department of Agriculture, Fisheries and Forestry (Commonwealth)</w:t>
            </w:r>
          </w:p>
        </w:tc>
      </w:tr>
      <w:tr w:rsidR="00DC7250" w14:paraId="51555015" w14:textId="77777777">
        <w:tblPrEx>
          <w:tblLook w:val="0000" w:firstRow="0" w:lastRow="0" w:firstColumn="0" w:lastColumn="0" w:noHBand="0" w:noVBand="0"/>
        </w:tblPrEx>
        <w:tc>
          <w:tcPr>
            <w:tcW w:w="1250" w:type="pct"/>
            <w:tcMar>
              <w:left w:w="108" w:type="dxa"/>
              <w:right w:w="108" w:type="dxa"/>
            </w:tcMar>
          </w:tcPr>
          <w:p w14:paraId="727A62B7" w14:textId="77777777" w:rsidR="00DC7250" w:rsidRPr="00FE64BC" w:rsidRDefault="00DC7250">
            <w:pPr>
              <w:pStyle w:val="TableText"/>
            </w:pPr>
            <w:r w:rsidRPr="008C676C">
              <w:t>densification</w:t>
            </w:r>
          </w:p>
        </w:tc>
        <w:tc>
          <w:tcPr>
            <w:tcW w:w="3750" w:type="pct"/>
            <w:tcMar>
              <w:left w:w="108" w:type="dxa"/>
              <w:right w:w="108" w:type="dxa"/>
            </w:tcMar>
          </w:tcPr>
          <w:p w14:paraId="5C29F97E" w14:textId="43A004F4" w:rsidR="00DC7250" w:rsidRPr="00FE64BC" w:rsidRDefault="00DC7250">
            <w:pPr>
              <w:pStyle w:val="TableText"/>
            </w:pPr>
            <w:r w:rsidRPr="008C676C">
              <w:t>The use of heating and pressure to increase the density and energy of biomass, resulting in products such as pellets or briquettes.</w:t>
            </w:r>
          </w:p>
        </w:tc>
      </w:tr>
      <w:tr w:rsidR="00DC7250" w14:paraId="516C6BD4" w14:textId="77777777">
        <w:tblPrEx>
          <w:tblLook w:val="0000" w:firstRow="0" w:lastRow="0" w:firstColumn="0" w:lastColumn="0" w:noHBand="0" w:noVBand="0"/>
        </w:tblPrEx>
        <w:tc>
          <w:tcPr>
            <w:tcW w:w="1250" w:type="pct"/>
            <w:tcMar>
              <w:left w:w="108" w:type="dxa"/>
              <w:right w:w="108" w:type="dxa"/>
            </w:tcMar>
          </w:tcPr>
          <w:p w14:paraId="50EE1264" w14:textId="77777777" w:rsidR="00DC7250" w:rsidRPr="00D816D4" w:rsidRDefault="00DC7250">
            <w:pPr>
              <w:pStyle w:val="TableText"/>
            </w:pPr>
            <w:r w:rsidRPr="00D816D4">
              <w:t>DLUC</w:t>
            </w:r>
          </w:p>
        </w:tc>
        <w:tc>
          <w:tcPr>
            <w:tcW w:w="3750" w:type="pct"/>
            <w:tcMar>
              <w:left w:w="108" w:type="dxa"/>
              <w:right w:w="108" w:type="dxa"/>
            </w:tcMar>
          </w:tcPr>
          <w:p w14:paraId="58445B39" w14:textId="77777777" w:rsidR="00DC7250" w:rsidRPr="008C676C" w:rsidRDefault="00DC7250">
            <w:pPr>
              <w:pStyle w:val="TableText"/>
            </w:pPr>
            <w:r w:rsidRPr="00D816D4">
              <w:t>Direct land use change</w:t>
            </w:r>
          </w:p>
        </w:tc>
      </w:tr>
      <w:tr w:rsidR="00DC7250" w14:paraId="20409874" w14:textId="77777777">
        <w:tblPrEx>
          <w:tblLook w:val="0000" w:firstRow="0" w:lastRow="0" w:firstColumn="0" w:lastColumn="0" w:noHBand="0" w:noVBand="0"/>
        </w:tblPrEx>
        <w:tc>
          <w:tcPr>
            <w:tcW w:w="1250" w:type="pct"/>
            <w:tcMar>
              <w:left w:w="108" w:type="dxa"/>
              <w:right w:w="108" w:type="dxa"/>
            </w:tcMar>
          </w:tcPr>
          <w:p w14:paraId="477180DA" w14:textId="77777777" w:rsidR="00DC7250" w:rsidRPr="00D816D4" w:rsidRDefault="00DC7250">
            <w:pPr>
              <w:pStyle w:val="TableText"/>
            </w:pPr>
            <w:r>
              <w:t>e-fuels</w:t>
            </w:r>
          </w:p>
        </w:tc>
        <w:tc>
          <w:tcPr>
            <w:tcW w:w="3750" w:type="pct"/>
            <w:tcMar>
              <w:left w:w="108" w:type="dxa"/>
              <w:right w:w="108" w:type="dxa"/>
            </w:tcMar>
          </w:tcPr>
          <w:p w14:paraId="6869070E" w14:textId="77777777" w:rsidR="00DC7250" w:rsidRPr="00D816D4" w:rsidRDefault="00DC7250">
            <w:pPr>
              <w:pStyle w:val="TableText"/>
            </w:pPr>
            <w:r>
              <w:t>Electro-fuels, produced with green hydrogen and a non-fossil source of carbon.</w:t>
            </w:r>
          </w:p>
        </w:tc>
      </w:tr>
      <w:tr w:rsidR="00DC7250" w14:paraId="4FAEC102" w14:textId="77777777">
        <w:tblPrEx>
          <w:tblLook w:val="0000" w:firstRow="0" w:lastRow="0" w:firstColumn="0" w:lastColumn="0" w:noHBand="0" w:noVBand="0"/>
        </w:tblPrEx>
        <w:tc>
          <w:tcPr>
            <w:tcW w:w="1250" w:type="pct"/>
            <w:tcMar>
              <w:left w:w="108" w:type="dxa"/>
              <w:right w:w="108" w:type="dxa"/>
            </w:tcMar>
          </w:tcPr>
          <w:p w14:paraId="692550FC" w14:textId="77777777" w:rsidR="00DC7250" w:rsidRPr="00FE64BC" w:rsidRDefault="00DC7250">
            <w:pPr>
              <w:pStyle w:val="TableText"/>
            </w:pPr>
            <w:r w:rsidRPr="008C676C">
              <w:t>feedstock, biogenic</w:t>
            </w:r>
          </w:p>
        </w:tc>
        <w:tc>
          <w:tcPr>
            <w:tcW w:w="3750" w:type="pct"/>
            <w:tcMar>
              <w:left w:w="108" w:type="dxa"/>
              <w:right w:w="108" w:type="dxa"/>
            </w:tcMar>
          </w:tcPr>
          <w:p w14:paraId="57A0D240" w14:textId="77777777" w:rsidR="00DC7250" w:rsidRPr="00FE64BC" w:rsidRDefault="00DC7250">
            <w:pPr>
              <w:pStyle w:val="TableText"/>
            </w:pPr>
            <w:r w:rsidRPr="008C676C">
              <w:t>Biological materials that are used as input to process energy carriers including liquid fuels and gases. These materials can come from agricultural crops (such as oilseeds), agricultural and forestry residues, livestock waste, or even municipal solid waste.</w:t>
            </w:r>
          </w:p>
        </w:tc>
      </w:tr>
      <w:tr w:rsidR="00DC7250" w14:paraId="33429B12" w14:textId="77777777">
        <w:tblPrEx>
          <w:tblLook w:val="0000" w:firstRow="0" w:lastRow="0" w:firstColumn="0" w:lastColumn="0" w:noHBand="0" w:noVBand="0"/>
        </w:tblPrEx>
        <w:tc>
          <w:tcPr>
            <w:tcW w:w="1250" w:type="pct"/>
            <w:tcMar>
              <w:left w:w="108" w:type="dxa"/>
              <w:right w:w="108" w:type="dxa"/>
            </w:tcMar>
          </w:tcPr>
          <w:p w14:paraId="7E2F48CF" w14:textId="77777777" w:rsidR="00DC7250" w:rsidRPr="008C676C" w:rsidRDefault="00DC7250">
            <w:pPr>
              <w:pStyle w:val="TableText"/>
            </w:pPr>
            <w:r>
              <w:t>Fischer-</w:t>
            </w:r>
            <w:proofErr w:type="spellStart"/>
            <w:r>
              <w:t>Tropsch</w:t>
            </w:r>
            <w:proofErr w:type="spellEnd"/>
            <w:r>
              <w:t xml:space="preserve"> (FT)</w:t>
            </w:r>
          </w:p>
        </w:tc>
        <w:tc>
          <w:tcPr>
            <w:tcW w:w="3750" w:type="pct"/>
            <w:tcMar>
              <w:left w:w="108" w:type="dxa"/>
              <w:right w:w="108" w:type="dxa"/>
            </w:tcMar>
          </w:tcPr>
          <w:p w14:paraId="77091A4B" w14:textId="77777777" w:rsidR="00DC7250" w:rsidRPr="008C676C" w:rsidRDefault="00DC7250">
            <w:pPr>
              <w:pStyle w:val="TableText"/>
            </w:pPr>
            <w:r>
              <w:t>The process of converting feedstocks (primarily lignocellulosic and wastes) to syngas through FT synthesis pathways.</w:t>
            </w:r>
          </w:p>
        </w:tc>
      </w:tr>
      <w:tr w:rsidR="00DC7250" w14:paraId="5C86B395" w14:textId="77777777">
        <w:tblPrEx>
          <w:tblLook w:val="0000" w:firstRow="0" w:lastRow="0" w:firstColumn="0" w:lastColumn="0" w:noHBand="0" w:noVBand="0"/>
        </w:tblPrEx>
        <w:tc>
          <w:tcPr>
            <w:tcW w:w="1250" w:type="pct"/>
            <w:tcMar>
              <w:left w:w="108" w:type="dxa"/>
              <w:right w:w="108" w:type="dxa"/>
            </w:tcMar>
          </w:tcPr>
          <w:p w14:paraId="1D43C3B4" w14:textId="77777777" w:rsidR="00DC7250" w:rsidRDefault="00DC7250">
            <w:pPr>
              <w:pStyle w:val="TableText"/>
            </w:pPr>
            <w:r>
              <w:t>FMM</w:t>
            </w:r>
          </w:p>
        </w:tc>
        <w:tc>
          <w:tcPr>
            <w:tcW w:w="3750" w:type="pct"/>
            <w:tcMar>
              <w:left w:w="108" w:type="dxa"/>
              <w:right w:w="108" w:type="dxa"/>
            </w:tcMar>
          </w:tcPr>
          <w:p w14:paraId="4BB792C7" w14:textId="77777777" w:rsidR="00DC7250" w:rsidRDefault="00DC7250">
            <w:pPr>
              <w:pStyle w:val="TableText"/>
            </w:pPr>
            <w:r>
              <w:t>Forestry Ministers' Meeting</w:t>
            </w:r>
          </w:p>
        </w:tc>
      </w:tr>
      <w:tr w:rsidR="00DC7250" w14:paraId="28FCB35F" w14:textId="77777777">
        <w:tblPrEx>
          <w:tblLook w:val="0000" w:firstRow="0" w:lastRow="0" w:firstColumn="0" w:lastColumn="0" w:noHBand="0" w:noVBand="0"/>
        </w:tblPrEx>
        <w:tc>
          <w:tcPr>
            <w:tcW w:w="1250" w:type="pct"/>
            <w:tcMar>
              <w:left w:w="108" w:type="dxa"/>
              <w:right w:w="108" w:type="dxa"/>
            </w:tcMar>
          </w:tcPr>
          <w:p w14:paraId="36A44C6C" w14:textId="77777777" w:rsidR="00DC7250" w:rsidRPr="00FE64BC" w:rsidRDefault="00DC7250">
            <w:pPr>
              <w:pStyle w:val="TableText"/>
            </w:pPr>
            <w:r w:rsidRPr="008C676C">
              <w:t>generations (feedstock)</w:t>
            </w:r>
          </w:p>
        </w:tc>
        <w:tc>
          <w:tcPr>
            <w:tcW w:w="3750" w:type="pct"/>
            <w:tcMar>
              <w:left w:w="108" w:type="dxa"/>
              <w:right w:w="108" w:type="dxa"/>
            </w:tcMar>
          </w:tcPr>
          <w:p w14:paraId="58149749" w14:textId="77777777" w:rsidR="00DC7250" w:rsidRPr="00FE64BC" w:rsidRDefault="00DC7250">
            <w:pPr>
              <w:pStyle w:val="TableText"/>
            </w:pPr>
            <w:r w:rsidRPr="008C676C">
              <w:t>Categorisation of biomass</w:t>
            </w:r>
            <w:r>
              <w:t xml:space="preserve"> and biofuels </w:t>
            </w:r>
            <w:r w:rsidRPr="008C676C">
              <w:t>as first (from edible sources), second (non-edible sources), and third (algae and other microorganisms)</w:t>
            </w:r>
            <w:r>
              <w:t xml:space="preserve"> generation</w:t>
            </w:r>
            <w:r w:rsidRPr="008C676C">
              <w:t>.</w:t>
            </w:r>
          </w:p>
        </w:tc>
      </w:tr>
      <w:tr w:rsidR="00205501" w14:paraId="4DC7DC32" w14:textId="77777777">
        <w:tblPrEx>
          <w:tblLook w:val="0000" w:firstRow="0" w:lastRow="0" w:firstColumn="0" w:lastColumn="0" w:noHBand="0" w:noVBand="0"/>
        </w:tblPrEx>
        <w:tc>
          <w:tcPr>
            <w:tcW w:w="1250" w:type="pct"/>
            <w:tcMar>
              <w:left w:w="108" w:type="dxa"/>
              <w:right w:w="108" w:type="dxa"/>
            </w:tcMar>
          </w:tcPr>
          <w:p w14:paraId="30012C30" w14:textId="341D6612" w:rsidR="00205501" w:rsidRDefault="00205501">
            <w:pPr>
              <w:pStyle w:val="TableText"/>
            </w:pPr>
            <w:r>
              <w:t>GHG</w:t>
            </w:r>
          </w:p>
        </w:tc>
        <w:tc>
          <w:tcPr>
            <w:tcW w:w="3750" w:type="pct"/>
            <w:tcMar>
              <w:left w:w="108" w:type="dxa"/>
              <w:right w:w="108" w:type="dxa"/>
            </w:tcMar>
          </w:tcPr>
          <w:p w14:paraId="380909C0" w14:textId="393E59D1" w:rsidR="00205501" w:rsidRDefault="00205501">
            <w:pPr>
              <w:pStyle w:val="TableText"/>
            </w:pPr>
            <w:r>
              <w:t>Greenhouse gas</w:t>
            </w:r>
          </w:p>
        </w:tc>
      </w:tr>
      <w:tr w:rsidR="00DC7250" w14:paraId="07DEEC52" w14:textId="77777777">
        <w:tblPrEx>
          <w:tblLook w:val="0000" w:firstRow="0" w:lastRow="0" w:firstColumn="0" w:lastColumn="0" w:noHBand="0" w:noVBand="0"/>
        </w:tblPrEx>
        <w:tc>
          <w:tcPr>
            <w:tcW w:w="1250" w:type="pct"/>
            <w:tcMar>
              <w:left w:w="108" w:type="dxa"/>
              <w:right w:w="108" w:type="dxa"/>
            </w:tcMar>
          </w:tcPr>
          <w:p w14:paraId="017A13EA" w14:textId="77777777" w:rsidR="00DC7250" w:rsidRPr="008C676C" w:rsidRDefault="00DC7250">
            <w:pPr>
              <w:pStyle w:val="TableText"/>
            </w:pPr>
            <w:r>
              <w:t>GO Scheme</w:t>
            </w:r>
          </w:p>
        </w:tc>
        <w:tc>
          <w:tcPr>
            <w:tcW w:w="3750" w:type="pct"/>
            <w:tcMar>
              <w:left w:w="108" w:type="dxa"/>
              <w:right w:w="108" w:type="dxa"/>
            </w:tcMar>
          </w:tcPr>
          <w:p w14:paraId="435AA7AA" w14:textId="77777777" w:rsidR="00DC7250" w:rsidRPr="008C676C" w:rsidRDefault="00DC7250">
            <w:pPr>
              <w:pStyle w:val="TableText"/>
            </w:pPr>
            <w:r>
              <w:t>Guarantee of Origin Scheme</w:t>
            </w:r>
          </w:p>
        </w:tc>
      </w:tr>
      <w:tr w:rsidR="00DC7250" w14:paraId="7BE39462" w14:textId="77777777">
        <w:tblPrEx>
          <w:tblLook w:val="0000" w:firstRow="0" w:lastRow="0" w:firstColumn="0" w:lastColumn="0" w:noHBand="0" w:noVBand="0"/>
        </w:tblPrEx>
        <w:tc>
          <w:tcPr>
            <w:tcW w:w="1250" w:type="pct"/>
            <w:tcMar>
              <w:left w:w="108" w:type="dxa"/>
              <w:right w:w="108" w:type="dxa"/>
            </w:tcMar>
          </w:tcPr>
          <w:p w14:paraId="0E1CB047" w14:textId="77777777" w:rsidR="00DC7250" w:rsidRPr="008C676C" w:rsidRDefault="00DC7250">
            <w:pPr>
              <w:pStyle w:val="TableText"/>
            </w:pPr>
            <w:proofErr w:type="spellStart"/>
            <w:r w:rsidRPr="000835D7">
              <w:lastRenderedPageBreak/>
              <w:t>Hydroprocessed</w:t>
            </w:r>
            <w:proofErr w:type="spellEnd"/>
            <w:r w:rsidRPr="000835D7">
              <w:t xml:space="preserve"> Esters and Fatty Acids (HEFA)</w:t>
            </w:r>
          </w:p>
        </w:tc>
        <w:tc>
          <w:tcPr>
            <w:tcW w:w="3750" w:type="pct"/>
            <w:tcMar>
              <w:left w:w="108" w:type="dxa"/>
              <w:right w:w="108" w:type="dxa"/>
            </w:tcMar>
          </w:tcPr>
          <w:p w14:paraId="7DA346E4" w14:textId="77777777" w:rsidR="00DC7250" w:rsidRPr="008C676C" w:rsidRDefault="00DC7250">
            <w:pPr>
              <w:pStyle w:val="TableText"/>
            </w:pPr>
            <w:r w:rsidRPr="000835D7">
              <w:t>The use of hydrogen and a catalyst to process high-fat content feedstocks (such as oilseeds) to create liquid biofuels, including biodiesel and sustainable aviation fuel.</w:t>
            </w:r>
          </w:p>
        </w:tc>
      </w:tr>
      <w:tr w:rsidR="00DC7250" w14:paraId="349355F2" w14:textId="77777777">
        <w:tblPrEx>
          <w:tblLook w:val="0000" w:firstRow="0" w:lastRow="0" w:firstColumn="0" w:lastColumn="0" w:noHBand="0" w:noVBand="0"/>
        </w:tblPrEx>
        <w:tc>
          <w:tcPr>
            <w:tcW w:w="1250" w:type="pct"/>
            <w:tcMar>
              <w:left w:w="108" w:type="dxa"/>
              <w:right w:w="108" w:type="dxa"/>
            </w:tcMar>
          </w:tcPr>
          <w:p w14:paraId="64C061AB" w14:textId="77777777" w:rsidR="00DC7250" w:rsidRPr="003B4AB4" w:rsidRDefault="00DC7250">
            <w:pPr>
              <w:pStyle w:val="TableText"/>
            </w:pPr>
            <w:r w:rsidRPr="003B4AB4">
              <w:t>ICAO</w:t>
            </w:r>
          </w:p>
        </w:tc>
        <w:tc>
          <w:tcPr>
            <w:tcW w:w="3750" w:type="pct"/>
            <w:tcMar>
              <w:left w:w="108" w:type="dxa"/>
              <w:right w:w="108" w:type="dxa"/>
            </w:tcMar>
          </w:tcPr>
          <w:p w14:paraId="436FD6E1" w14:textId="77777777" w:rsidR="00DC7250" w:rsidRPr="003B4AB4" w:rsidRDefault="00DC7250">
            <w:pPr>
              <w:pStyle w:val="TableText"/>
            </w:pPr>
            <w:r>
              <w:t>International Civil Aviation Organisation</w:t>
            </w:r>
          </w:p>
        </w:tc>
      </w:tr>
      <w:tr w:rsidR="00DC7250" w14:paraId="128C0ABB" w14:textId="77777777">
        <w:tblPrEx>
          <w:tblLook w:val="0000" w:firstRow="0" w:lastRow="0" w:firstColumn="0" w:lastColumn="0" w:noHBand="0" w:noVBand="0"/>
        </w:tblPrEx>
        <w:tc>
          <w:tcPr>
            <w:tcW w:w="1250" w:type="pct"/>
            <w:tcMar>
              <w:left w:w="108" w:type="dxa"/>
              <w:right w:w="108" w:type="dxa"/>
            </w:tcMar>
          </w:tcPr>
          <w:p w14:paraId="13550773" w14:textId="77777777" w:rsidR="00DC7250" w:rsidRPr="00D816D4" w:rsidRDefault="00DC7250">
            <w:pPr>
              <w:pStyle w:val="TableText"/>
            </w:pPr>
            <w:r w:rsidRPr="00D816D4">
              <w:t>ILUC</w:t>
            </w:r>
          </w:p>
        </w:tc>
        <w:tc>
          <w:tcPr>
            <w:tcW w:w="3750" w:type="pct"/>
            <w:tcMar>
              <w:left w:w="108" w:type="dxa"/>
              <w:right w:w="108" w:type="dxa"/>
            </w:tcMar>
          </w:tcPr>
          <w:p w14:paraId="400B74C9" w14:textId="77777777" w:rsidR="00DC7250" w:rsidRPr="000835D7" w:rsidRDefault="00DC7250">
            <w:pPr>
              <w:pStyle w:val="TableText"/>
            </w:pPr>
            <w:r w:rsidRPr="00D816D4">
              <w:t>Indirect land use change</w:t>
            </w:r>
          </w:p>
        </w:tc>
      </w:tr>
      <w:tr w:rsidR="00DC7250" w14:paraId="24A5DAD4" w14:textId="77777777">
        <w:tblPrEx>
          <w:tblLook w:val="0000" w:firstRow="0" w:lastRow="0" w:firstColumn="0" w:lastColumn="0" w:noHBand="0" w:noVBand="0"/>
        </w:tblPrEx>
        <w:tc>
          <w:tcPr>
            <w:tcW w:w="1250" w:type="pct"/>
            <w:tcMar>
              <w:left w:w="108" w:type="dxa"/>
              <w:right w:w="108" w:type="dxa"/>
            </w:tcMar>
          </w:tcPr>
          <w:p w14:paraId="218454E5" w14:textId="77777777" w:rsidR="00DC7250" w:rsidRPr="003B4AB4" w:rsidRDefault="00DC7250">
            <w:pPr>
              <w:pStyle w:val="TableText"/>
            </w:pPr>
            <w:r w:rsidRPr="003B4AB4">
              <w:t>ISCC</w:t>
            </w:r>
          </w:p>
        </w:tc>
        <w:tc>
          <w:tcPr>
            <w:tcW w:w="3750" w:type="pct"/>
            <w:tcMar>
              <w:left w:w="108" w:type="dxa"/>
              <w:right w:w="108" w:type="dxa"/>
            </w:tcMar>
          </w:tcPr>
          <w:p w14:paraId="6CB98811" w14:textId="77777777" w:rsidR="00DC7250" w:rsidRPr="003B4AB4" w:rsidRDefault="00DC7250">
            <w:pPr>
              <w:pStyle w:val="TableText"/>
            </w:pPr>
            <w:r>
              <w:t>International Sustainability and Carbon Certification</w:t>
            </w:r>
          </w:p>
        </w:tc>
      </w:tr>
      <w:tr w:rsidR="00DC7250" w14:paraId="242FC822" w14:textId="77777777">
        <w:tblPrEx>
          <w:tblLook w:val="0000" w:firstRow="0" w:lastRow="0" w:firstColumn="0" w:lastColumn="0" w:noHBand="0" w:noVBand="0"/>
        </w:tblPrEx>
        <w:tc>
          <w:tcPr>
            <w:tcW w:w="1250" w:type="pct"/>
            <w:tcMar>
              <w:left w:w="108" w:type="dxa"/>
              <w:right w:w="108" w:type="dxa"/>
            </w:tcMar>
          </w:tcPr>
          <w:p w14:paraId="09C8CB2A" w14:textId="77777777" w:rsidR="00DC7250" w:rsidRPr="000835D7" w:rsidRDefault="00DC7250">
            <w:pPr>
              <w:pStyle w:val="TableText"/>
            </w:pPr>
            <w:r>
              <w:t>LCA</w:t>
            </w:r>
          </w:p>
        </w:tc>
        <w:tc>
          <w:tcPr>
            <w:tcW w:w="3750" w:type="pct"/>
            <w:tcMar>
              <w:left w:w="108" w:type="dxa"/>
              <w:right w:w="108" w:type="dxa"/>
            </w:tcMar>
          </w:tcPr>
          <w:p w14:paraId="7726BD0E" w14:textId="77777777" w:rsidR="00DC7250" w:rsidRPr="000835D7" w:rsidRDefault="00DC7250">
            <w:pPr>
              <w:pStyle w:val="TableText"/>
            </w:pPr>
            <w:r>
              <w:t>Lifecycle assessment</w:t>
            </w:r>
          </w:p>
        </w:tc>
      </w:tr>
      <w:tr w:rsidR="00DC7250" w14:paraId="656AB0C0" w14:textId="77777777">
        <w:tblPrEx>
          <w:tblLook w:val="0000" w:firstRow="0" w:lastRow="0" w:firstColumn="0" w:lastColumn="0" w:noHBand="0" w:noVBand="0"/>
        </w:tblPrEx>
        <w:tc>
          <w:tcPr>
            <w:tcW w:w="1250" w:type="pct"/>
            <w:tcMar>
              <w:left w:w="108" w:type="dxa"/>
              <w:right w:w="108" w:type="dxa"/>
            </w:tcMar>
          </w:tcPr>
          <w:p w14:paraId="581D988B" w14:textId="77777777" w:rsidR="00DC7250" w:rsidRPr="008C676C" w:rsidRDefault="00DC7250">
            <w:pPr>
              <w:pStyle w:val="TableText"/>
            </w:pPr>
            <w:r w:rsidRPr="000835D7">
              <w:t>lignocellulosic</w:t>
            </w:r>
          </w:p>
        </w:tc>
        <w:tc>
          <w:tcPr>
            <w:tcW w:w="3750" w:type="pct"/>
            <w:tcMar>
              <w:left w:w="108" w:type="dxa"/>
              <w:right w:w="108" w:type="dxa"/>
            </w:tcMar>
          </w:tcPr>
          <w:p w14:paraId="0271DE52" w14:textId="77777777" w:rsidR="00DC7250" w:rsidRPr="008C676C" w:rsidRDefault="00DC7250">
            <w:pPr>
              <w:pStyle w:val="TableText"/>
            </w:pPr>
            <w:r w:rsidRPr="000835D7">
              <w:t>Biomass derived from dry plant matter, including agricultural residues, forestry residues, and short rotation trees.</w:t>
            </w:r>
          </w:p>
        </w:tc>
      </w:tr>
      <w:tr w:rsidR="00DC7250" w14:paraId="36F668B9" w14:textId="77777777">
        <w:tblPrEx>
          <w:tblLook w:val="0000" w:firstRow="0" w:lastRow="0" w:firstColumn="0" w:lastColumn="0" w:noHBand="0" w:noVBand="0"/>
        </w:tblPrEx>
        <w:tc>
          <w:tcPr>
            <w:tcW w:w="1250" w:type="pct"/>
            <w:tcMar>
              <w:left w:w="108" w:type="dxa"/>
              <w:right w:w="108" w:type="dxa"/>
            </w:tcMar>
          </w:tcPr>
          <w:p w14:paraId="490BA219" w14:textId="77777777" w:rsidR="00DC7250" w:rsidRPr="008C676C" w:rsidRDefault="00DC7250">
            <w:pPr>
              <w:pStyle w:val="TableText"/>
            </w:pPr>
            <w:r w:rsidRPr="000835D7">
              <w:t>low carbon liquid fuel (LCLF)</w:t>
            </w:r>
          </w:p>
        </w:tc>
        <w:tc>
          <w:tcPr>
            <w:tcW w:w="3750" w:type="pct"/>
            <w:tcMar>
              <w:left w:w="108" w:type="dxa"/>
              <w:right w:w="108" w:type="dxa"/>
            </w:tcMar>
          </w:tcPr>
          <w:p w14:paraId="5E567C96" w14:textId="6CEAED76" w:rsidR="00DC7250" w:rsidRPr="008C676C" w:rsidRDefault="00DC7250">
            <w:pPr>
              <w:pStyle w:val="TableText"/>
            </w:pPr>
            <w:r w:rsidRPr="0007246E">
              <w:t>Alternative liquid fuels with lower lifecycle emissions compared to fossil fuels</w:t>
            </w:r>
            <w:r w:rsidRPr="000835D7">
              <w:t>. Commonly (but not exclusively) produced with biogenic feedstocks.</w:t>
            </w:r>
          </w:p>
        </w:tc>
      </w:tr>
      <w:tr w:rsidR="00DC7250" w14:paraId="37B19BF9" w14:textId="77777777">
        <w:tblPrEx>
          <w:tblLook w:val="0000" w:firstRow="0" w:lastRow="0" w:firstColumn="0" w:lastColumn="0" w:noHBand="0" w:noVBand="0"/>
        </w:tblPrEx>
        <w:tc>
          <w:tcPr>
            <w:tcW w:w="1250" w:type="pct"/>
            <w:tcMar>
              <w:left w:w="108" w:type="dxa"/>
              <w:right w:w="108" w:type="dxa"/>
            </w:tcMar>
          </w:tcPr>
          <w:p w14:paraId="261C6011" w14:textId="77777777" w:rsidR="00DC7250" w:rsidRPr="000835D7" w:rsidRDefault="00DC7250">
            <w:pPr>
              <w:pStyle w:val="TableText"/>
            </w:pPr>
            <w:r>
              <w:t>LUC</w:t>
            </w:r>
          </w:p>
        </w:tc>
        <w:tc>
          <w:tcPr>
            <w:tcW w:w="3750" w:type="pct"/>
            <w:tcMar>
              <w:left w:w="108" w:type="dxa"/>
              <w:right w:w="108" w:type="dxa"/>
            </w:tcMar>
          </w:tcPr>
          <w:p w14:paraId="299E445E" w14:textId="77777777" w:rsidR="00DC7250" w:rsidRPr="000835D7" w:rsidRDefault="00DC7250">
            <w:pPr>
              <w:pStyle w:val="TableText"/>
            </w:pPr>
            <w:r>
              <w:t>Land use change</w:t>
            </w:r>
          </w:p>
        </w:tc>
      </w:tr>
      <w:tr w:rsidR="00DC7250" w14:paraId="596491D8" w14:textId="77777777">
        <w:tblPrEx>
          <w:tblLook w:val="0000" w:firstRow="0" w:lastRow="0" w:firstColumn="0" w:lastColumn="0" w:noHBand="0" w:noVBand="0"/>
        </w:tblPrEx>
        <w:tc>
          <w:tcPr>
            <w:tcW w:w="1250" w:type="pct"/>
            <w:tcMar>
              <w:left w:w="108" w:type="dxa"/>
              <w:right w:w="108" w:type="dxa"/>
            </w:tcMar>
          </w:tcPr>
          <w:p w14:paraId="33B9606C" w14:textId="77777777" w:rsidR="00DC7250" w:rsidRDefault="00DC7250">
            <w:pPr>
              <w:pStyle w:val="TableText"/>
            </w:pPr>
            <w:r>
              <w:t>MT</w:t>
            </w:r>
          </w:p>
        </w:tc>
        <w:tc>
          <w:tcPr>
            <w:tcW w:w="3750" w:type="pct"/>
            <w:tcMar>
              <w:left w:w="108" w:type="dxa"/>
              <w:right w:w="108" w:type="dxa"/>
            </w:tcMar>
          </w:tcPr>
          <w:p w14:paraId="69B4D537" w14:textId="77777777" w:rsidR="00DC7250" w:rsidRDefault="00DC7250">
            <w:pPr>
              <w:pStyle w:val="TableText"/>
            </w:pPr>
            <w:r>
              <w:t>Mega tonne</w:t>
            </w:r>
          </w:p>
        </w:tc>
      </w:tr>
      <w:tr w:rsidR="00DC7250" w14:paraId="4E2E4B6D" w14:textId="77777777">
        <w:tblPrEx>
          <w:tblLook w:val="0000" w:firstRow="0" w:lastRow="0" w:firstColumn="0" w:lastColumn="0" w:noHBand="0" w:noVBand="0"/>
        </w:tblPrEx>
        <w:tc>
          <w:tcPr>
            <w:tcW w:w="1250" w:type="pct"/>
            <w:tcMar>
              <w:left w:w="108" w:type="dxa"/>
              <w:right w:w="108" w:type="dxa"/>
            </w:tcMar>
          </w:tcPr>
          <w:p w14:paraId="023BF6C5" w14:textId="77777777" w:rsidR="00DC7250" w:rsidRDefault="00DC7250">
            <w:pPr>
              <w:pStyle w:val="TableText"/>
            </w:pPr>
            <w:r>
              <w:t>PGO Certificate</w:t>
            </w:r>
          </w:p>
        </w:tc>
        <w:tc>
          <w:tcPr>
            <w:tcW w:w="3750" w:type="pct"/>
            <w:tcMar>
              <w:left w:w="108" w:type="dxa"/>
              <w:right w:w="108" w:type="dxa"/>
            </w:tcMar>
          </w:tcPr>
          <w:p w14:paraId="51769B3D" w14:textId="77777777" w:rsidR="00DC7250" w:rsidRDefault="00DC7250">
            <w:pPr>
              <w:pStyle w:val="TableText"/>
            </w:pPr>
            <w:r>
              <w:t>Product Guarantee of Origin Certificate</w:t>
            </w:r>
          </w:p>
        </w:tc>
      </w:tr>
      <w:tr w:rsidR="00DC7250" w14:paraId="796B24C6" w14:textId="77777777">
        <w:tblPrEx>
          <w:tblLook w:val="0000" w:firstRow="0" w:lastRow="0" w:firstColumn="0" w:lastColumn="0" w:noHBand="0" w:noVBand="0"/>
        </w:tblPrEx>
        <w:tc>
          <w:tcPr>
            <w:tcW w:w="1250" w:type="pct"/>
            <w:tcMar>
              <w:left w:w="108" w:type="dxa"/>
              <w:right w:w="108" w:type="dxa"/>
            </w:tcMar>
          </w:tcPr>
          <w:p w14:paraId="61108464" w14:textId="77777777" w:rsidR="00DC7250" w:rsidRPr="000835D7" w:rsidRDefault="00DC7250">
            <w:pPr>
              <w:pStyle w:val="TableText"/>
            </w:pPr>
            <w:r>
              <w:t>PJ</w:t>
            </w:r>
          </w:p>
        </w:tc>
        <w:tc>
          <w:tcPr>
            <w:tcW w:w="3750" w:type="pct"/>
            <w:tcMar>
              <w:left w:w="108" w:type="dxa"/>
              <w:right w:w="108" w:type="dxa"/>
            </w:tcMar>
          </w:tcPr>
          <w:p w14:paraId="51B3CA77" w14:textId="77777777" w:rsidR="00DC7250" w:rsidRPr="000835D7" w:rsidRDefault="00DC7250">
            <w:pPr>
              <w:pStyle w:val="TableText"/>
            </w:pPr>
            <w:r>
              <w:t>Petajoule</w:t>
            </w:r>
          </w:p>
        </w:tc>
      </w:tr>
      <w:tr w:rsidR="00DC7250" w14:paraId="27D9E627" w14:textId="77777777">
        <w:tblPrEx>
          <w:tblLook w:val="0000" w:firstRow="0" w:lastRow="0" w:firstColumn="0" w:lastColumn="0" w:noHBand="0" w:noVBand="0"/>
        </w:tblPrEx>
        <w:tc>
          <w:tcPr>
            <w:tcW w:w="1250" w:type="pct"/>
            <w:tcMar>
              <w:left w:w="108" w:type="dxa"/>
              <w:right w:w="108" w:type="dxa"/>
            </w:tcMar>
          </w:tcPr>
          <w:p w14:paraId="1E6EAF33" w14:textId="77777777" w:rsidR="00DC7250" w:rsidRPr="008C676C" w:rsidRDefault="00DC7250">
            <w:pPr>
              <w:pStyle w:val="TableText"/>
            </w:pPr>
            <w:r w:rsidRPr="000835D7">
              <w:t>pongamia</w:t>
            </w:r>
          </w:p>
        </w:tc>
        <w:tc>
          <w:tcPr>
            <w:tcW w:w="3750" w:type="pct"/>
            <w:tcMar>
              <w:left w:w="108" w:type="dxa"/>
              <w:right w:w="108" w:type="dxa"/>
            </w:tcMar>
          </w:tcPr>
          <w:p w14:paraId="17440754" w14:textId="77777777" w:rsidR="00DC7250" w:rsidRPr="008C676C" w:rsidRDefault="00DC7250">
            <w:pPr>
              <w:pStyle w:val="TableText"/>
            </w:pPr>
            <w:r w:rsidRPr="000835D7">
              <w:t xml:space="preserve">A drought-tolerant oilseed crop that can be grown on marginal land and used as </w:t>
            </w:r>
            <w:r>
              <w:t>LCLF</w:t>
            </w:r>
            <w:r w:rsidRPr="000835D7">
              <w:t xml:space="preserve"> feedstock</w:t>
            </w:r>
            <w:r>
              <w:t>.</w:t>
            </w:r>
          </w:p>
        </w:tc>
      </w:tr>
      <w:tr w:rsidR="00DC7250" w14:paraId="34729325" w14:textId="77777777">
        <w:tblPrEx>
          <w:tblLook w:val="0000" w:firstRow="0" w:lastRow="0" w:firstColumn="0" w:lastColumn="0" w:noHBand="0" w:noVBand="0"/>
        </w:tblPrEx>
        <w:tc>
          <w:tcPr>
            <w:tcW w:w="1250" w:type="pct"/>
            <w:tcMar>
              <w:left w:w="108" w:type="dxa"/>
              <w:right w:w="108" w:type="dxa"/>
            </w:tcMar>
          </w:tcPr>
          <w:p w14:paraId="6D5F2854" w14:textId="77777777" w:rsidR="00DC7250" w:rsidRPr="000835D7" w:rsidRDefault="00DC7250">
            <w:pPr>
              <w:pStyle w:val="TableText"/>
            </w:pPr>
            <w:proofErr w:type="spellStart"/>
            <w:r>
              <w:t>PtL</w:t>
            </w:r>
            <w:proofErr w:type="spellEnd"/>
          </w:p>
        </w:tc>
        <w:tc>
          <w:tcPr>
            <w:tcW w:w="3750" w:type="pct"/>
            <w:tcMar>
              <w:left w:w="108" w:type="dxa"/>
              <w:right w:w="108" w:type="dxa"/>
            </w:tcMar>
          </w:tcPr>
          <w:p w14:paraId="769B0743" w14:textId="77777777" w:rsidR="00DC7250" w:rsidRPr="000835D7" w:rsidRDefault="00DC7250">
            <w:pPr>
              <w:pStyle w:val="TableText"/>
            </w:pPr>
            <w:r>
              <w:t>Power-to-liquid</w:t>
            </w:r>
          </w:p>
        </w:tc>
      </w:tr>
      <w:tr w:rsidR="00DC7250" w14:paraId="3F89D0C9" w14:textId="77777777">
        <w:tblPrEx>
          <w:tblLook w:val="0000" w:firstRow="0" w:lastRow="0" w:firstColumn="0" w:lastColumn="0" w:noHBand="0" w:noVBand="0"/>
        </w:tblPrEx>
        <w:tc>
          <w:tcPr>
            <w:tcW w:w="1250" w:type="pct"/>
            <w:tcMar>
              <w:left w:w="108" w:type="dxa"/>
              <w:right w:w="108" w:type="dxa"/>
            </w:tcMar>
          </w:tcPr>
          <w:p w14:paraId="3A1CB693" w14:textId="77777777" w:rsidR="00DC7250" w:rsidRPr="000835D7" w:rsidRDefault="00DC7250">
            <w:pPr>
              <w:pStyle w:val="TableText"/>
            </w:pPr>
            <w:r>
              <w:t>RDA</w:t>
            </w:r>
          </w:p>
        </w:tc>
        <w:tc>
          <w:tcPr>
            <w:tcW w:w="3750" w:type="pct"/>
            <w:tcMar>
              <w:left w:w="108" w:type="dxa"/>
              <w:right w:w="108" w:type="dxa"/>
            </w:tcMar>
          </w:tcPr>
          <w:p w14:paraId="7A94F50C" w14:textId="77777777" w:rsidR="00DC7250" w:rsidRPr="000835D7" w:rsidRDefault="00DC7250">
            <w:pPr>
              <w:pStyle w:val="TableText"/>
            </w:pPr>
            <w:r>
              <w:t>Regional Development Australia</w:t>
            </w:r>
          </w:p>
        </w:tc>
      </w:tr>
      <w:tr w:rsidR="00DC7250" w14:paraId="54850BE9" w14:textId="77777777">
        <w:tblPrEx>
          <w:tblLook w:val="0000" w:firstRow="0" w:lastRow="0" w:firstColumn="0" w:lastColumn="0" w:noHBand="0" w:noVBand="0"/>
        </w:tblPrEx>
        <w:tc>
          <w:tcPr>
            <w:tcW w:w="1250" w:type="pct"/>
            <w:tcMar>
              <w:left w:w="108" w:type="dxa"/>
              <w:right w:w="108" w:type="dxa"/>
            </w:tcMar>
          </w:tcPr>
          <w:p w14:paraId="251B7993" w14:textId="77777777" w:rsidR="00DC7250" w:rsidRPr="000835D7" w:rsidRDefault="00DC7250">
            <w:pPr>
              <w:pStyle w:val="TableText"/>
            </w:pPr>
            <w:r>
              <w:t>RDC</w:t>
            </w:r>
          </w:p>
        </w:tc>
        <w:tc>
          <w:tcPr>
            <w:tcW w:w="3750" w:type="pct"/>
            <w:tcMar>
              <w:left w:w="108" w:type="dxa"/>
              <w:right w:w="108" w:type="dxa"/>
            </w:tcMar>
          </w:tcPr>
          <w:p w14:paraId="2A13CBFA" w14:textId="77777777" w:rsidR="00DC7250" w:rsidRPr="000835D7" w:rsidRDefault="00DC7250">
            <w:pPr>
              <w:pStyle w:val="TableText"/>
            </w:pPr>
            <w:r>
              <w:t>Research Development Corporation</w:t>
            </w:r>
          </w:p>
        </w:tc>
      </w:tr>
      <w:tr w:rsidR="00DC7250" w14:paraId="2065E7C4" w14:textId="77777777">
        <w:tblPrEx>
          <w:tblLook w:val="0000" w:firstRow="0" w:lastRow="0" w:firstColumn="0" w:lastColumn="0" w:noHBand="0" w:noVBand="0"/>
        </w:tblPrEx>
        <w:tc>
          <w:tcPr>
            <w:tcW w:w="1250" w:type="pct"/>
            <w:tcMar>
              <w:left w:w="108" w:type="dxa"/>
              <w:right w:w="108" w:type="dxa"/>
            </w:tcMar>
          </w:tcPr>
          <w:p w14:paraId="0F26DE89" w14:textId="77777777" w:rsidR="00DC7250" w:rsidRDefault="00DC7250">
            <w:pPr>
              <w:pStyle w:val="TableText"/>
            </w:pPr>
            <w:r>
              <w:t>RED</w:t>
            </w:r>
          </w:p>
        </w:tc>
        <w:tc>
          <w:tcPr>
            <w:tcW w:w="3750" w:type="pct"/>
            <w:tcMar>
              <w:left w:w="108" w:type="dxa"/>
              <w:right w:w="108" w:type="dxa"/>
            </w:tcMar>
          </w:tcPr>
          <w:p w14:paraId="6133EF08" w14:textId="77777777" w:rsidR="00DC7250" w:rsidRDefault="00DC7250">
            <w:pPr>
              <w:pStyle w:val="TableText"/>
            </w:pPr>
            <w:r>
              <w:t>Renewable Energy Directive</w:t>
            </w:r>
          </w:p>
        </w:tc>
      </w:tr>
      <w:tr w:rsidR="00EB5578" w14:paraId="63525F68" w14:textId="77777777">
        <w:tblPrEx>
          <w:tblLook w:val="0000" w:firstRow="0" w:lastRow="0" w:firstColumn="0" w:lastColumn="0" w:noHBand="0" w:noVBand="0"/>
        </w:tblPrEx>
        <w:tc>
          <w:tcPr>
            <w:tcW w:w="1250" w:type="pct"/>
            <w:tcMar>
              <w:left w:w="108" w:type="dxa"/>
              <w:right w:w="108" w:type="dxa"/>
            </w:tcMar>
          </w:tcPr>
          <w:p w14:paraId="1440206D" w14:textId="6271DCD2" w:rsidR="00EB5578" w:rsidRDefault="00EB5578" w:rsidP="00EB5578">
            <w:pPr>
              <w:pStyle w:val="TableText"/>
            </w:pPr>
            <w:r>
              <w:t>renewable diesel</w:t>
            </w:r>
          </w:p>
        </w:tc>
        <w:tc>
          <w:tcPr>
            <w:tcW w:w="3750" w:type="pct"/>
            <w:tcMar>
              <w:left w:w="108" w:type="dxa"/>
              <w:right w:w="108" w:type="dxa"/>
            </w:tcMar>
          </w:tcPr>
          <w:p w14:paraId="7B28B270" w14:textId="6ABBF0B1" w:rsidR="00EB5578" w:rsidRDefault="00EB5578" w:rsidP="00EB5578">
            <w:pPr>
              <w:pStyle w:val="TableText"/>
            </w:pPr>
            <w:r>
              <w:t>A drop</w:t>
            </w:r>
            <w:r w:rsidR="003E7916">
              <w:t>-</w:t>
            </w:r>
            <w:r>
              <w:t>in LCLF that</w:t>
            </w:r>
            <w:r w:rsidRPr="002A31EB">
              <w:t xml:space="preserve"> is chemically similar to standard diesel and can be used</w:t>
            </w:r>
            <w:r>
              <w:t xml:space="preserve"> </w:t>
            </w:r>
            <w:r w:rsidRPr="002A31EB">
              <w:t>directly in existing diesel engines without modifications</w:t>
            </w:r>
            <w:r>
              <w:t>.</w:t>
            </w:r>
          </w:p>
        </w:tc>
      </w:tr>
      <w:tr w:rsidR="00665034" w14:paraId="1C72EDC9" w14:textId="77777777">
        <w:tblPrEx>
          <w:tblLook w:val="0000" w:firstRow="0" w:lastRow="0" w:firstColumn="0" w:lastColumn="0" w:noHBand="0" w:noVBand="0"/>
        </w:tblPrEx>
        <w:tc>
          <w:tcPr>
            <w:tcW w:w="1250" w:type="pct"/>
            <w:tcMar>
              <w:left w:w="108" w:type="dxa"/>
              <w:right w:w="108" w:type="dxa"/>
            </w:tcMar>
          </w:tcPr>
          <w:p w14:paraId="09F8EA74" w14:textId="1E563A7E" w:rsidR="00665034" w:rsidRDefault="00665034" w:rsidP="00EB5578">
            <w:pPr>
              <w:pStyle w:val="TableText"/>
            </w:pPr>
            <w:r>
              <w:t>RSB</w:t>
            </w:r>
          </w:p>
        </w:tc>
        <w:tc>
          <w:tcPr>
            <w:tcW w:w="3750" w:type="pct"/>
            <w:tcMar>
              <w:left w:w="108" w:type="dxa"/>
              <w:right w:w="108" w:type="dxa"/>
            </w:tcMar>
          </w:tcPr>
          <w:p w14:paraId="2D471EBC" w14:textId="30D78315" w:rsidR="00665034" w:rsidRDefault="00665034" w:rsidP="00EB5578">
            <w:pPr>
              <w:pStyle w:val="TableText"/>
            </w:pPr>
            <w:r>
              <w:t>Roundtable on Sustainable Biomaterials</w:t>
            </w:r>
          </w:p>
        </w:tc>
      </w:tr>
      <w:tr w:rsidR="00EB5578" w14:paraId="4E4A5807" w14:textId="77777777">
        <w:tblPrEx>
          <w:tblLook w:val="0000" w:firstRow="0" w:lastRow="0" w:firstColumn="0" w:lastColumn="0" w:noHBand="0" w:noVBand="0"/>
        </w:tblPrEx>
        <w:tc>
          <w:tcPr>
            <w:tcW w:w="1250" w:type="pct"/>
            <w:tcMar>
              <w:left w:w="108" w:type="dxa"/>
              <w:right w:w="108" w:type="dxa"/>
            </w:tcMar>
          </w:tcPr>
          <w:p w14:paraId="0079063A" w14:textId="77777777" w:rsidR="00EB5578" w:rsidRPr="000835D7" w:rsidRDefault="00EB5578" w:rsidP="00EB5578">
            <w:pPr>
              <w:pStyle w:val="TableText"/>
            </w:pPr>
            <w:r>
              <w:t>SRT</w:t>
            </w:r>
          </w:p>
        </w:tc>
        <w:tc>
          <w:tcPr>
            <w:tcW w:w="3750" w:type="pct"/>
            <w:tcMar>
              <w:left w:w="108" w:type="dxa"/>
              <w:right w:w="108" w:type="dxa"/>
            </w:tcMar>
          </w:tcPr>
          <w:p w14:paraId="3DF07F24" w14:textId="77777777" w:rsidR="00EB5578" w:rsidRPr="000835D7" w:rsidRDefault="00EB5578" w:rsidP="00EB5578">
            <w:pPr>
              <w:pStyle w:val="TableText"/>
            </w:pPr>
            <w:r>
              <w:t>Short rotation tree</w:t>
            </w:r>
          </w:p>
        </w:tc>
      </w:tr>
      <w:tr w:rsidR="00EB5578" w14:paraId="678DABB2" w14:textId="77777777">
        <w:tblPrEx>
          <w:tblLook w:val="0000" w:firstRow="0" w:lastRow="0" w:firstColumn="0" w:lastColumn="0" w:noHBand="0" w:noVBand="0"/>
        </w:tblPrEx>
        <w:tc>
          <w:tcPr>
            <w:tcW w:w="1250" w:type="pct"/>
            <w:tcMar>
              <w:left w:w="108" w:type="dxa"/>
              <w:right w:w="108" w:type="dxa"/>
            </w:tcMar>
          </w:tcPr>
          <w:p w14:paraId="151FE295" w14:textId="77777777" w:rsidR="00EB5578" w:rsidRPr="008C676C" w:rsidRDefault="00EB5578" w:rsidP="00EB5578">
            <w:pPr>
              <w:pStyle w:val="TableText"/>
            </w:pPr>
            <w:r w:rsidRPr="000835D7">
              <w:t>sustainable aviation fuel (SAF)</w:t>
            </w:r>
          </w:p>
        </w:tc>
        <w:tc>
          <w:tcPr>
            <w:tcW w:w="3750" w:type="pct"/>
            <w:tcMar>
              <w:left w:w="108" w:type="dxa"/>
              <w:right w:w="108" w:type="dxa"/>
            </w:tcMar>
          </w:tcPr>
          <w:p w14:paraId="03442009" w14:textId="77777777" w:rsidR="00EB5578" w:rsidRPr="008C676C" w:rsidRDefault="00EB5578" w:rsidP="00EB5578">
            <w:pPr>
              <w:pStyle w:val="TableText"/>
            </w:pPr>
            <w:r w:rsidRPr="000835D7">
              <w:t xml:space="preserve">A </w:t>
            </w:r>
            <w:r>
              <w:t>LCLF</w:t>
            </w:r>
            <w:r w:rsidRPr="000835D7">
              <w:t xml:space="preserve"> replacement to traditional jet fuels produced from a range of feedstocks</w:t>
            </w:r>
            <w:r>
              <w:t>,</w:t>
            </w:r>
            <w:r w:rsidRPr="000835D7" w:rsidDel="00EB42E7">
              <w:t xml:space="preserve"> </w:t>
            </w:r>
            <w:r w:rsidRPr="005B656B">
              <w:t>that meets aviation fuel standards and reduces lifecycle emissions.</w:t>
            </w:r>
          </w:p>
        </w:tc>
      </w:tr>
      <w:tr w:rsidR="00EB5578" w14:paraId="3599E8CA" w14:textId="77777777">
        <w:tblPrEx>
          <w:tblLook w:val="0000" w:firstRow="0" w:lastRow="0" w:firstColumn="0" w:lastColumn="0" w:noHBand="0" w:noVBand="0"/>
        </w:tblPrEx>
        <w:tc>
          <w:tcPr>
            <w:tcW w:w="1250" w:type="pct"/>
            <w:tcMar>
              <w:left w:w="108" w:type="dxa"/>
              <w:right w:w="108" w:type="dxa"/>
            </w:tcMar>
          </w:tcPr>
          <w:p w14:paraId="4100AEDF" w14:textId="77777777" w:rsidR="00EB5578" w:rsidRPr="008C676C" w:rsidRDefault="00EB5578" w:rsidP="00EB5578">
            <w:pPr>
              <w:pStyle w:val="TableText"/>
            </w:pPr>
            <w:r w:rsidRPr="000835D7">
              <w:t>torrefaction</w:t>
            </w:r>
          </w:p>
        </w:tc>
        <w:tc>
          <w:tcPr>
            <w:tcW w:w="3750" w:type="pct"/>
            <w:tcMar>
              <w:left w:w="108" w:type="dxa"/>
              <w:right w:w="108" w:type="dxa"/>
            </w:tcMar>
          </w:tcPr>
          <w:p w14:paraId="52417E5F" w14:textId="77777777" w:rsidR="00EB5578" w:rsidRPr="008C676C" w:rsidRDefault="00EB5578" w:rsidP="00EB5578">
            <w:pPr>
              <w:pStyle w:val="TableText"/>
            </w:pPr>
            <w:r w:rsidRPr="000835D7">
              <w:t>The heating of biomass in an oxygen-limited environment, to improve energy density and reduce water content.</w:t>
            </w:r>
          </w:p>
        </w:tc>
      </w:tr>
      <w:tr w:rsidR="00EB5578" w14:paraId="7A60D8AE" w14:textId="77777777">
        <w:tblPrEx>
          <w:tblLook w:val="0000" w:firstRow="0" w:lastRow="0" w:firstColumn="0" w:lastColumn="0" w:noHBand="0" w:noVBand="0"/>
        </w:tblPrEx>
        <w:tc>
          <w:tcPr>
            <w:tcW w:w="1250" w:type="pct"/>
            <w:tcMar>
              <w:left w:w="108" w:type="dxa"/>
              <w:right w:w="108" w:type="dxa"/>
            </w:tcMar>
          </w:tcPr>
          <w:p w14:paraId="6C8464E6" w14:textId="77777777" w:rsidR="00EB5578" w:rsidRPr="000835D7" w:rsidRDefault="00EB5578" w:rsidP="00EB5578">
            <w:pPr>
              <w:pStyle w:val="TableText"/>
            </w:pPr>
            <w:r>
              <w:t>waste</w:t>
            </w:r>
          </w:p>
        </w:tc>
        <w:tc>
          <w:tcPr>
            <w:tcW w:w="3750" w:type="pct"/>
            <w:tcMar>
              <w:left w:w="108" w:type="dxa"/>
              <w:right w:w="108" w:type="dxa"/>
            </w:tcMar>
          </w:tcPr>
          <w:p w14:paraId="2E1FAB64" w14:textId="77777777" w:rsidR="00EB5578" w:rsidRDefault="00EB5578" w:rsidP="00EB5578">
            <w:pPr>
              <w:pStyle w:val="TableText"/>
            </w:pPr>
            <w:r>
              <w:t xml:space="preserve">Materials or products that are unwanted, surplus, discarded, rejected, abandoned or </w:t>
            </w:r>
          </w:p>
          <w:p w14:paraId="0FFEDB18" w14:textId="77777777" w:rsidR="00EB5578" w:rsidRDefault="00EB5578" w:rsidP="00EB5578">
            <w:pPr>
              <w:pStyle w:val="TableText"/>
            </w:pPr>
            <w:r>
              <w:t xml:space="preserve">left over, including those materials or products intended for or managed by recycling, </w:t>
            </w:r>
          </w:p>
          <w:p w14:paraId="3F27F14C" w14:textId="4DBC266C" w:rsidR="00EB5578" w:rsidRPr="000835D7" w:rsidRDefault="00EB5578" w:rsidP="00EB5578">
            <w:pPr>
              <w:pStyle w:val="TableText"/>
            </w:pPr>
            <w:r>
              <w:t>energy recovery, treatment, storage and disposal.</w:t>
            </w:r>
          </w:p>
        </w:tc>
      </w:tr>
    </w:tbl>
    <w:p w14:paraId="194B5467" w14:textId="77777777" w:rsidR="005A7193" w:rsidRDefault="005A7193" w:rsidP="005A7193">
      <w:pPr>
        <w:rPr>
          <w:lang w:eastAsia="ja-JP"/>
        </w:rPr>
      </w:pPr>
    </w:p>
    <w:p w14:paraId="79F1A22C" w14:textId="77777777" w:rsidR="00764D6A" w:rsidRDefault="00E91D72" w:rsidP="007E39EF">
      <w:pPr>
        <w:pStyle w:val="Heading2"/>
        <w:numPr>
          <w:ilvl w:val="0"/>
          <w:numId w:val="0"/>
        </w:numPr>
        <w:ind w:left="720" w:hanging="720"/>
      </w:pPr>
      <w:bookmarkStart w:id="141" w:name="_Toc430782162"/>
      <w:bookmarkStart w:id="142" w:name="_Toc236928358"/>
      <w:r>
        <w:lastRenderedPageBreak/>
        <w:t>References</w:t>
      </w:r>
      <w:bookmarkEnd w:id="141"/>
      <w:bookmarkEnd w:id="142"/>
    </w:p>
    <w:p w14:paraId="19CD5155" w14:textId="27E0D26C" w:rsidR="006A0E1A" w:rsidRPr="006A0E1A" w:rsidRDefault="006A0E1A" w:rsidP="006A0E1A">
      <w:pPr>
        <w:spacing w:before="120" w:after="120" w:line="240" w:lineRule="auto"/>
        <w:rPr>
          <w:rFonts w:cstheme="minorHAnsi"/>
        </w:rPr>
      </w:pPr>
      <w:r w:rsidRPr="006A0E1A">
        <w:rPr>
          <w:rFonts w:cstheme="minorHAnsi"/>
        </w:rPr>
        <w:t xml:space="preserve">ABARES 2023, </w:t>
      </w:r>
      <w:hyperlink r:id="rId40" w:history="1">
        <w:r w:rsidRPr="006A0E1A">
          <w:rPr>
            <w:rFonts w:cstheme="minorHAnsi"/>
            <w:color w:val="165788"/>
            <w:u w:val="single"/>
          </w:rPr>
          <w:t>ABARES Insights: Environmental sustainability and agri-environmental indicators – international comparisons</w:t>
        </w:r>
      </w:hyperlink>
      <w:r w:rsidRPr="006A0E1A">
        <w:rPr>
          <w:rFonts w:cstheme="minorHAnsi"/>
        </w:rPr>
        <w:t xml:space="preserve">, Australian Bureau of Agricultural and Resource Economics and Sciences, Issue 2, Canberra, July, DOI: </w:t>
      </w:r>
      <w:hyperlink r:id="rId41" w:history="1">
        <w:r w:rsidRPr="006A0E1A">
          <w:rPr>
            <w:rFonts w:cstheme="minorHAnsi"/>
            <w:color w:val="165788"/>
            <w:u w:val="single"/>
          </w:rPr>
          <w:t>https://doi.org/10.25814/zzdq-4t23</w:t>
        </w:r>
      </w:hyperlink>
      <w:r w:rsidRPr="006A0E1A">
        <w:rPr>
          <w:rFonts w:cstheme="minorHAnsi"/>
        </w:rPr>
        <w:t>, accessed 28</w:t>
      </w:r>
      <w:r w:rsidR="0034533C">
        <w:rPr>
          <w:rFonts w:cstheme="minorHAnsi"/>
        </w:rPr>
        <w:t> </w:t>
      </w:r>
      <w:r w:rsidRPr="006A0E1A">
        <w:rPr>
          <w:rFonts w:cstheme="minorHAnsi"/>
        </w:rPr>
        <w:t>May</w:t>
      </w:r>
      <w:r w:rsidR="0034533C">
        <w:rPr>
          <w:rFonts w:cstheme="minorHAnsi"/>
        </w:rPr>
        <w:t> </w:t>
      </w:r>
      <w:r w:rsidRPr="006A0E1A">
        <w:rPr>
          <w:rFonts w:cstheme="minorHAnsi"/>
        </w:rPr>
        <w:t>2026</w:t>
      </w:r>
    </w:p>
    <w:p w14:paraId="036F15E7" w14:textId="55F87FCE" w:rsidR="006A0E1A" w:rsidRPr="006A0E1A" w:rsidRDefault="006A0E1A" w:rsidP="006A0E1A">
      <w:pPr>
        <w:spacing w:before="120" w:after="120" w:line="240" w:lineRule="auto"/>
        <w:rPr>
          <w:rFonts w:cstheme="minorHAnsi"/>
        </w:rPr>
      </w:pPr>
      <w:r w:rsidRPr="006A0E1A">
        <w:rPr>
          <w:rFonts w:cstheme="minorHAnsi"/>
        </w:rPr>
        <w:t xml:space="preserve">ABARES 2026a, </w:t>
      </w:r>
      <w:hyperlink r:id="rId42" w:history="1">
        <w:r w:rsidRPr="006A0E1A">
          <w:rPr>
            <w:rFonts w:cstheme="minorHAnsi"/>
            <w:color w:val="165788"/>
            <w:u w:val="single"/>
          </w:rPr>
          <w:t>Agricultural Commodities: March quarter 2026</w:t>
        </w:r>
      </w:hyperlink>
      <w:r w:rsidRPr="006A0E1A">
        <w:rPr>
          <w:rFonts w:cstheme="minorHAnsi"/>
        </w:rPr>
        <w:t>, Australian Bureau of Agricultural and Resource Economics and Sciences, Canberra, DOI: 10.25814/98pm-3f48, accessed 17</w:t>
      </w:r>
      <w:r w:rsidR="0034533C">
        <w:rPr>
          <w:rFonts w:cstheme="minorHAnsi"/>
        </w:rPr>
        <w:t> </w:t>
      </w:r>
      <w:r w:rsidRPr="006A0E1A">
        <w:rPr>
          <w:rFonts w:cstheme="minorHAnsi"/>
        </w:rPr>
        <w:t>April</w:t>
      </w:r>
      <w:r w:rsidR="0034533C">
        <w:rPr>
          <w:rFonts w:cstheme="minorHAnsi"/>
        </w:rPr>
        <w:t> </w:t>
      </w:r>
      <w:r w:rsidRPr="006A0E1A">
        <w:rPr>
          <w:rFonts w:cstheme="minorHAnsi"/>
        </w:rPr>
        <w:t>2026.</w:t>
      </w:r>
    </w:p>
    <w:p w14:paraId="57A7EECC" w14:textId="71221940" w:rsidR="006A0E1A" w:rsidRPr="006A0E1A" w:rsidRDefault="006A0E1A" w:rsidP="006A0E1A">
      <w:pPr>
        <w:spacing w:before="120" w:after="120" w:line="240" w:lineRule="auto"/>
        <w:rPr>
          <w:rFonts w:cstheme="minorHAnsi"/>
        </w:rPr>
      </w:pPr>
      <w:r w:rsidRPr="006A0E1A">
        <w:rPr>
          <w:rFonts w:cstheme="minorHAnsi"/>
        </w:rPr>
        <w:t xml:space="preserve">ABARES 2026b, </w:t>
      </w:r>
      <w:hyperlink r:id="rId43" w:history="1">
        <w:r w:rsidRPr="006A0E1A">
          <w:rPr>
            <w:rFonts w:cstheme="minorHAnsi"/>
            <w:color w:val="165788"/>
            <w:u w:val="single"/>
          </w:rPr>
          <w:t>Snapshot of Australian Agriculture 2026</w:t>
        </w:r>
      </w:hyperlink>
      <w:r w:rsidRPr="006A0E1A">
        <w:rPr>
          <w:rFonts w:cstheme="minorHAnsi"/>
        </w:rPr>
        <w:t>, Australian Bureau of Agricultural and Resource Economics and Sciences, Canberra, accessed 21</w:t>
      </w:r>
      <w:r w:rsidR="0034533C">
        <w:rPr>
          <w:rFonts w:cstheme="minorHAnsi"/>
        </w:rPr>
        <w:t> </w:t>
      </w:r>
      <w:r w:rsidRPr="006A0E1A">
        <w:rPr>
          <w:rFonts w:cstheme="minorHAnsi"/>
        </w:rPr>
        <w:t>April</w:t>
      </w:r>
      <w:r w:rsidR="0034533C">
        <w:rPr>
          <w:rFonts w:cstheme="minorHAnsi"/>
        </w:rPr>
        <w:t> </w:t>
      </w:r>
      <w:r w:rsidRPr="006A0E1A">
        <w:rPr>
          <w:rFonts w:cstheme="minorHAnsi"/>
        </w:rPr>
        <w:t>2026.</w:t>
      </w:r>
    </w:p>
    <w:p w14:paraId="6080E492" w14:textId="731FDE10" w:rsidR="006A0E1A" w:rsidRPr="006A0E1A" w:rsidRDefault="006A0E1A" w:rsidP="006A0E1A">
      <w:pPr>
        <w:spacing w:before="120" w:after="120" w:line="240" w:lineRule="auto"/>
        <w:rPr>
          <w:rFonts w:cstheme="minorHAnsi"/>
        </w:rPr>
      </w:pPr>
      <w:r w:rsidRPr="006A0E1A">
        <w:rPr>
          <w:rFonts w:cstheme="minorHAnsi"/>
        </w:rPr>
        <w:t>AB 202</w:t>
      </w:r>
      <w:r w:rsidR="00CD03CF">
        <w:rPr>
          <w:rFonts w:cstheme="minorHAnsi"/>
        </w:rPr>
        <w:t>4</w:t>
      </w:r>
      <w:r w:rsidRPr="006A0E1A">
        <w:rPr>
          <w:rFonts w:cstheme="minorHAnsi"/>
        </w:rPr>
        <w:t xml:space="preserve">, </w:t>
      </w:r>
      <w:hyperlink r:id="rId44" w:history="1">
        <w:r w:rsidRPr="006A0E1A">
          <w:rPr>
            <w:rFonts w:cstheme="minorHAnsi"/>
            <w:color w:val="165788"/>
            <w:u w:val="single"/>
          </w:rPr>
          <w:t>Ararat Bioenergy reaches key project milestone</w:t>
        </w:r>
      </w:hyperlink>
      <w:r w:rsidRPr="006A0E1A">
        <w:rPr>
          <w:rFonts w:cstheme="minorHAnsi"/>
        </w:rPr>
        <w:t>, Ararat Bioenergy, Melbourne, accessed 21</w:t>
      </w:r>
      <w:r w:rsidR="0034533C">
        <w:rPr>
          <w:rFonts w:cstheme="minorHAnsi"/>
        </w:rPr>
        <w:t> </w:t>
      </w:r>
      <w:r w:rsidRPr="006A0E1A">
        <w:rPr>
          <w:rFonts w:cstheme="minorHAnsi"/>
        </w:rPr>
        <w:t>April</w:t>
      </w:r>
      <w:r w:rsidR="0034533C">
        <w:rPr>
          <w:rFonts w:cstheme="minorHAnsi"/>
        </w:rPr>
        <w:t> </w:t>
      </w:r>
      <w:r w:rsidRPr="006A0E1A">
        <w:rPr>
          <w:rFonts w:cstheme="minorHAnsi"/>
        </w:rPr>
        <w:t>2026.</w:t>
      </w:r>
    </w:p>
    <w:p w14:paraId="7BEF7471" w14:textId="20E6B421" w:rsidR="006A0E1A" w:rsidRPr="006A0E1A" w:rsidRDefault="006A0E1A" w:rsidP="006A0E1A">
      <w:pPr>
        <w:spacing w:before="120" w:after="120" w:line="240" w:lineRule="auto"/>
        <w:rPr>
          <w:rFonts w:cstheme="minorHAnsi"/>
        </w:rPr>
      </w:pPr>
      <w:r w:rsidRPr="006A0E1A">
        <w:rPr>
          <w:rFonts w:cstheme="minorHAnsi"/>
        </w:rPr>
        <w:t xml:space="preserve">AFI 2014, </w:t>
      </w:r>
      <w:hyperlink r:id="rId45" w:history="1">
        <w:r w:rsidR="00A71946">
          <w:rPr>
            <w:rFonts w:cstheme="minorHAnsi"/>
            <w:color w:val="165788"/>
            <w:u w:val="single"/>
          </w:rPr>
          <w:t>Optimising Australian agriculture's competitive advantages</w:t>
        </w:r>
      </w:hyperlink>
      <w:r w:rsidRPr="006A0E1A">
        <w:rPr>
          <w:rFonts w:cstheme="minorHAnsi"/>
        </w:rPr>
        <w:t>, Australian Farm Institute, Canberra, accessed 21 April 2026.</w:t>
      </w:r>
    </w:p>
    <w:p w14:paraId="2C52FD00" w14:textId="3FAAB8E6" w:rsidR="006A0E1A" w:rsidRPr="006A0E1A" w:rsidRDefault="006A0E1A" w:rsidP="006A0E1A">
      <w:pPr>
        <w:spacing w:before="120" w:after="120" w:line="240" w:lineRule="auto"/>
        <w:rPr>
          <w:rFonts w:cstheme="minorHAnsi"/>
        </w:rPr>
      </w:pPr>
      <w:r w:rsidRPr="006A0E1A">
        <w:rPr>
          <w:rFonts w:cstheme="minorHAnsi"/>
        </w:rPr>
        <w:t>AgriFutures 2021</w:t>
      </w:r>
      <w:hyperlink r:id="rId46" w:history="1">
        <w:r w:rsidRPr="006A0E1A">
          <w:rPr>
            <w:rFonts w:cstheme="minorHAnsi"/>
            <w:color w:val="165788"/>
            <w:u w:val="single"/>
          </w:rPr>
          <w:t>, Australian Biomass for Bioenergy Assessment 2015-2021 Final report</w:t>
        </w:r>
      </w:hyperlink>
      <w:r w:rsidRPr="006A0E1A">
        <w:rPr>
          <w:rFonts w:cstheme="minorHAnsi"/>
        </w:rPr>
        <w:t>, AgriFutures Australia, Wagga Wagga, accessed 10 December 2025.</w:t>
      </w:r>
    </w:p>
    <w:p w14:paraId="2B198E20" w14:textId="77777777" w:rsidR="006A0E1A" w:rsidRPr="006A0E1A" w:rsidRDefault="006A0E1A" w:rsidP="006A0E1A">
      <w:pPr>
        <w:spacing w:before="120" w:after="120" w:line="240" w:lineRule="auto"/>
        <w:rPr>
          <w:rFonts w:cstheme="minorHAnsi"/>
        </w:rPr>
      </w:pPr>
      <w:r w:rsidRPr="006A0E1A">
        <w:rPr>
          <w:rFonts w:cstheme="minorHAnsi"/>
        </w:rPr>
        <w:t>AgriFutures 2026</w:t>
      </w:r>
      <w:hyperlink r:id="rId47" w:history="1">
        <w:r w:rsidRPr="006A0E1A">
          <w:rPr>
            <w:rFonts w:cstheme="minorHAnsi"/>
            <w:color w:val="165788"/>
            <w:u w:val="single"/>
          </w:rPr>
          <w:t>, Australian Agriculture Fisheries and Forestry Sector Energy Transition Roadmap 2026-2035</w:t>
        </w:r>
      </w:hyperlink>
      <w:r w:rsidRPr="006A0E1A">
        <w:rPr>
          <w:rFonts w:cstheme="minorHAnsi"/>
        </w:rPr>
        <w:t>, AgriFutures Australia, Wagga Wagga, accessed 7 May 2026.</w:t>
      </w:r>
    </w:p>
    <w:p w14:paraId="0E6E2B6F" w14:textId="77777777" w:rsidR="006A0E1A" w:rsidRPr="006A0E1A" w:rsidRDefault="006A0E1A" w:rsidP="006A0E1A">
      <w:pPr>
        <w:spacing w:before="120" w:after="120" w:line="240" w:lineRule="auto"/>
        <w:rPr>
          <w:rFonts w:cstheme="minorHAnsi"/>
        </w:rPr>
      </w:pPr>
      <w:r w:rsidRPr="006A0E1A">
        <w:rPr>
          <w:rFonts w:cstheme="minorHAnsi"/>
        </w:rPr>
        <w:t xml:space="preserve">ARC 2025, </w:t>
      </w:r>
      <w:hyperlink r:id="rId48" w:history="1">
        <w:r w:rsidRPr="006A0E1A">
          <w:rPr>
            <w:rFonts w:cstheme="minorHAnsi"/>
            <w:color w:val="165788"/>
            <w:u w:val="single"/>
          </w:rPr>
          <w:t>Ararat Rural City Council Leads Push for Renewable Gas</w:t>
        </w:r>
      </w:hyperlink>
      <w:r w:rsidRPr="006A0E1A">
        <w:rPr>
          <w:rFonts w:cstheme="minorHAnsi"/>
        </w:rPr>
        <w:t>, Ararat Rural City Council, Ararat, accessed 21 April 2026.</w:t>
      </w:r>
    </w:p>
    <w:p w14:paraId="3384F194" w14:textId="77777777" w:rsidR="006A0E1A" w:rsidRPr="006A0E1A" w:rsidRDefault="006A0E1A" w:rsidP="006A0E1A">
      <w:pPr>
        <w:spacing w:before="120" w:after="120" w:line="240" w:lineRule="auto"/>
        <w:rPr>
          <w:rFonts w:cstheme="minorHAnsi"/>
        </w:rPr>
      </w:pPr>
      <w:r w:rsidRPr="006A0E1A">
        <w:rPr>
          <w:rFonts w:cstheme="minorHAnsi"/>
        </w:rPr>
        <w:t xml:space="preserve">ARENA, CEFC 2019, </w:t>
      </w:r>
      <w:hyperlink r:id="rId49" w:history="1">
        <w:r w:rsidRPr="006A0E1A">
          <w:rPr>
            <w:rFonts w:cstheme="minorHAnsi"/>
            <w:color w:val="165788"/>
            <w:u w:val="single"/>
          </w:rPr>
          <w:t>Biofuels and Transport: An Australian Opportunity</w:t>
        </w:r>
      </w:hyperlink>
      <w:r w:rsidRPr="006A0E1A">
        <w:rPr>
          <w:rFonts w:cstheme="minorHAnsi"/>
        </w:rPr>
        <w:t>, Australian Renewable Energy Agency and Clean Energy Finance Corporation, accessed 20 April 2026.</w:t>
      </w:r>
    </w:p>
    <w:p w14:paraId="0E3493B5" w14:textId="77777777" w:rsidR="006A0E1A" w:rsidRPr="006A0E1A" w:rsidRDefault="006A0E1A" w:rsidP="006A0E1A">
      <w:pPr>
        <w:spacing w:before="120" w:after="120" w:line="240" w:lineRule="auto"/>
        <w:rPr>
          <w:rFonts w:cstheme="minorHAnsi"/>
        </w:rPr>
      </w:pPr>
      <w:r w:rsidRPr="006A0E1A">
        <w:rPr>
          <w:rFonts w:cstheme="minorHAnsi"/>
        </w:rPr>
        <w:t xml:space="preserve">ARENA 2021, </w:t>
      </w:r>
      <w:hyperlink r:id="rId50" w:history="1">
        <w:r w:rsidRPr="006A0E1A">
          <w:rPr>
            <w:rFonts w:cstheme="minorHAnsi"/>
            <w:color w:val="165788"/>
            <w:u w:val="single"/>
          </w:rPr>
          <w:t>Australia’s Bioenergy Roadmap</w:t>
        </w:r>
      </w:hyperlink>
      <w:r w:rsidRPr="006A0E1A">
        <w:rPr>
          <w:rFonts w:cstheme="minorHAnsi"/>
        </w:rPr>
        <w:t>, Australian Renewable Energy Agency, Canberra, accessed 10 December 2025.</w:t>
      </w:r>
    </w:p>
    <w:p w14:paraId="12135189" w14:textId="77777777" w:rsidR="006A0E1A" w:rsidRPr="006A0E1A" w:rsidRDefault="006A0E1A" w:rsidP="006A0E1A">
      <w:pPr>
        <w:spacing w:before="120" w:after="120" w:line="240" w:lineRule="auto"/>
        <w:rPr>
          <w:rFonts w:cstheme="minorHAnsi"/>
        </w:rPr>
      </w:pPr>
      <w:r w:rsidRPr="006A0E1A">
        <w:rPr>
          <w:rFonts w:cstheme="minorHAnsi"/>
        </w:rPr>
        <w:t xml:space="preserve">Bioenergy Australia 2022, </w:t>
      </w:r>
      <w:hyperlink r:id="rId51" w:history="1">
        <w:r w:rsidRPr="006A0E1A">
          <w:rPr>
            <w:rFonts w:cstheme="minorHAnsi"/>
            <w:color w:val="165788"/>
            <w:u w:val="single"/>
          </w:rPr>
          <w:t>Transitioning Australia’s Liquid Fuel Sector: The role of renewable fuels</w:t>
        </w:r>
      </w:hyperlink>
      <w:r w:rsidRPr="006A0E1A">
        <w:rPr>
          <w:rFonts w:cstheme="minorHAnsi"/>
        </w:rPr>
        <w:t>, Bioenergy Australia Pty Ltd, Canberra, accessed 10 December 2025.</w:t>
      </w:r>
    </w:p>
    <w:p w14:paraId="772B7886" w14:textId="0AB5B2D4" w:rsidR="006A0E1A" w:rsidRPr="006A0E1A" w:rsidRDefault="006A0E1A" w:rsidP="006A0E1A">
      <w:pPr>
        <w:spacing w:before="120" w:after="120" w:line="240" w:lineRule="auto"/>
        <w:rPr>
          <w:rFonts w:cstheme="minorHAnsi"/>
        </w:rPr>
      </w:pPr>
      <w:r w:rsidRPr="006A0E1A">
        <w:rPr>
          <w:rFonts w:cstheme="minorHAnsi"/>
        </w:rPr>
        <w:t xml:space="preserve">Bioenergy Australia 2025, </w:t>
      </w:r>
      <w:hyperlink r:id="rId52" w:history="1">
        <w:r w:rsidRPr="006A0E1A">
          <w:rPr>
            <w:rFonts w:cstheme="minorHAnsi"/>
            <w:color w:val="165788"/>
            <w:u w:val="single"/>
          </w:rPr>
          <w:t>Securing our Fuel Future: Resilience Through Low Carbon Liquid Fuels</w:t>
        </w:r>
      </w:hyperlink>
      <w:r w:rsidRPr="006A0E1A">
        <w:rPr>
          <w:rFonts w:cstheme="minorHAnsi"/>
        </w:rPr>
        <w:t>, Bioenergy Australia Pty Ltd, Canberra, accessed 10 December 2025.</w:t>
      </w:r>
    </w:p>
    <w:p w14:paraId="497A7832" w14:textId="60DCF234" w:rsidR="006A0E1A" w:rsidRPr="006A0E1A" w:rsidRDefault="006A0E1A" w:rsidP="006A0E1A">
      <w:pPr>
        <w:spacing w:before="120" w:after="120" w:line="240" w:lineRule="auto"/>
        <w:rPr>
          <w:rFonts w:cstheme="minorHAnsi"/>
        </w:rPr>
      </w:pPr>
      <w:r w:rsidRPr="006A0E1A">
        <w:rPr>
          <w:rFonts w:cstheme="minorHAnsi"/>
        </w:rPr>
        <w:t xml:space="preserve">Bp 2022, </w:t>
      </w:r>
      <w:hyperlink r:id="rId53" w:history="1">
        <w:r w:rsidRPr="006A0E1A">
          <w:rPr>
            <w:rFonts w:cstheme="minorHAnsi"/>
            <w:color w:val="165788"/>
            <w:u w:val="single"/>
          </w:rPr>
          <w:t>bp welcomes strategic ag</w:t>
        </w:r>
        <w:bookmarkStart w:id="143" w:name="_Hlt227682043"/>
        <w:bookmarkStart w:id="144" w:name="_Hlt227682044"/>
        <w:r w:rsidRPr="006A0E1A">
          <w:rPr>
            <w:rFonts w:cstheme="minorHAnsi"/>
            <w:color w:val="165788"/>
            <w:u w:val="single"/>
          </w:rPr>
          <w:t>r</w:t>
        </w:r>
        <w:bookmarkEnd w:id="143"/>
        <w:bookmarkEnd w:id="144"/>
        <w:r w:rsidRPr="006A0E1A">
          <w:rPr>
            <w:rFonts w:cstheme="minorHAnsi"/>
            <w:color w:val="165788"/>
            <w:u w:val="single"/>
          </w:rPr>
          <w:t xml:space="preserve">eement with </w:t>
        </w:r>
        <w:proofErr w:type="spellStart"/>
        <w:r w:rsidRPr="006A0E1A">
          <w:rPr>
            <w:rFonts w:cstheme="minorHAnsi"/>
            <w:color w:val="165788"/>
            <w:u w:val="single"/>
          </w:rPr>
          <w:t>Nuseed</w:t>
        </w:r>
        <w:proofErr w:type="spellEnd"/>
        <w:r w:rsidRPr="006A0E1A">
          <w:rPr>
            <w:rFonts w:cstheme="minorHAnsi"/>
            <w:color w:val="165788"/>
            <w:u w:val="single"/>
          </w:rPr>
          <w:t xml:space="preserve"> </w:t>
        </w:r>
        <w:proofErr w:type="spellStart"/>
        <w:r w:rsidRPr="006A0E1A">
          <w:rPr>
            <w:rFonts w:cstheme="minorHAnsi"/>
            <w:color w:val="165788"/>
            <w:u w:val="single"/>
          </w:rPr>
          <w:t>Carinata</w:t>
        </w:r>
        <w:proofErr w:type="spellEnd"/>
      </w:hyperlink>
      <w:r w:rsidRPr="006A0E1A">
        <w:rPr>
          <w:rFonts w:cstheme="minorHAnsi"/>
        </w:rPr>
        <w:t>, Air bp, Melbourne, accessed 21</w:t>
      </w:r>
      <w:r w:rsidR="0034533C">
        <w:rPr>
          <w:rFonts w:cstheme="minorHAnsi"/>
        </w:rPr>
        <w:t> </w:t>
      </w:r>
      <w:r w:rsidRPr="006A0E1A">
        <w:rPr>
          <w:rFonts w:cstheme="minorHAnsi"/>
        </w:rPr>
        <w:t>April</w:t>
      </w:r>
      <w:r w:rsidR="0034533C">
        <w:rPr>
          <w:rFonts w:cstheme="minorHAnsi"/>
        </w:rPr>
        <w:t> </w:t>
      </w:r>
      <w:r w:rsidRPr="006A0E1A">
        <w:rPr>
          <w:rFonts w:cstheme="minorHAnsi"/>
        </w:rPr>
        <w:t>2026.</w:t>
      </w:r>
    </w:p>
    <w:p w14:paraId="7A61E5CF" w14:textId="77777777" w:rsidR="006A0E1A" w:rsidRPr="006A0E1A" w:rsidRDefault="006A0E1A" w:rsidP="006A0E1A">
      <w:pPr>
        <w:spacing w:before="120" w:after="120" w:line="240" w:lineRule="auto"/>
        <w:rPr>
          <w:rFonts w:cstheme="minorHAnsi"/>
        </w:rPr>
      </w:pPr>
      <w:r w:rsidRPr="006A0E1A">
        <w:rPr>
          <w:rFonts w:cstheme="minorHAnsi"/>
        </w:rPr>
        <w:t xml:space="preserve">CBH 2026, </w:t>
      </w:r>
      <w:hyperlink r:id="rId54" w:history="1">
        <w:r w:rsidRPr="006A0E1A">
          <w:rPr>
            <w:rFonts w:cstheme="minorHAnsi"/>
            <w:color w:val="165788"/>
            <w:u w:val="single"/>
          </w:rPr>
          <w:t>Storage and Handling</w:t>
        </w:r>
      </w:hyperlink>
      <w:r w:rsidRPr="006A0E1A">
        <w:rPr>
          <w:rFonts w:cstheme="minorHAnsi"/>
        </w:rPr>
        <w:t>, CBH Group, Perth, accessed 24 April 2026.</w:t>
      </w:r>
    </w:p>
    <w:p w14:paraId="59E5D7C9" w14:textId="77777777" w:rsidR="006A0E1A" w:rsidRPr="006A0E1A" w:rsidRDefault="006A0E1A" w:rsidP="006A0E1A">
      <w:pPr>
        <w:spacing w:before="120" w:after="120" w:line="240" w:lineRule="auto"/>
        <w:rPr>
          <w:rFonts w:cstheme="minorHAnsi"/>
        </w:rPr>
      </w:pPr>
      <w:r w:rsidRPr="006A0E1A">
        <w:rPr>
          <w:rFonts w:cstheme="minorHAnsi"/>
        </w:rPr>
        <w:t xml:space="preserve">CSIRO 2023, </w:t>
      </w:r>
      <w:hyperlink r:id="rId55" w:history="1">
        <w:r w:rsidRPr="006A0E1A">
          <w:rPr>
            <w:rFonts w:cstheme="minorHAnsi"/>
            <w:color w:val="165788"/>
            <w:u w:val="single"/>
          </w:rPr>
          <w:t>Sustainable Aviation Fuel Roadmap</w:t>
        </w:r>
      </w:hyperlink>
      <w:r w:rsidRPr="006A0E1A">
        <w:rPr>
          <w:rFonts w:cstheme="minorHAnsi"/>
        </w:rPr>
        <w:t>, Commonwealth Scientific and Industrial Research Organisation, Canberra, accessed 10 December 2025.</w:t>
      </w:r>
    </w:p>
    <w:p w14:paraId="6194101C" w14:textId="1BA891F9" w:rsidR="006A0E1A" w:rsidRPr="006A0E1A" w:rsidRDefault="006A0E1A" w:rsidP="006A0E1A">
      <w:pPr>
        <w:spacing w:before="120" w:after="120" w:line="240" w:lineRule="auto"/>
        <w:rPr>
          <w:rFonts w:cstheme="minorHAnsi"/>
        </w:rPr>
      </w:pPr>
      <w:r w:rsidRPr="006A0E1A">
        <w:rPr>
          <w:rFonts w:cstheme="minorHAnsi"/>
        </w:rPr>
        <w:t xml:space="preserve">CSIRO 2025a, </w:t>
      </w:r>
      <w:hyperlink r:id="rId56" w:history="1">
        <w:r w:rsidRPr="006A0E1A">
          <w:rPr>
            <w:rFonts w:cstheme="minorHAnsi"/>
            <w:color w:val="165788"/>
            <w:u w:val="single"/>
          </w:rPr>
          <w:t>Opportunities and Priorities for a Low Carbon Liquid Fuel Industry in Australia</w:t>
        </w:r>
      </w:hyperlink>
      <w:r w:rsidRPr="006A0E1A">
        <w:rPr>
          <w:rFonts w:cstheme="minorHAnsi"/>
        </w:rPr>
        <w:t>, Commonwealth Scientific and Industrial Research Organisation, Canberra, accessed 10</w:t>
      </w:r>
      <w:r w:rsidR="0034533C">
        <w:rPr>
          <w:rFonts w:cstheme="minorHAnsi"/>
        </w:rPr>
        <w:t> </w:t>
      </w:r>
      <w:r w:rsidRPr="006A0E1A">
        <w:rPr>
          <w:rFonts w:cstheme="minorHAnsi"/>
        </w:rPr>
        <w:t>December</w:t>
      </w:r>
      <w:r w:rsidR="0034533C">
        <w:rPr>
          <w:rFonts w:cstheme="minorHAnsi"/>
        </w:rPr>
        <w:t> </w:t>
      </w:r>
      <w:r w:rsidRPr="006A0E1A">
        <w:rPr>
          <w:rFonts w:cstheme="minorHAnsi"/>
        </w:rPr>
        <w:t>2025.</w:t>
      </w:r>
    </w:p>
    <w:p w14:paraId="083AF710" w14:textId="77777777" w:rsidR="006A0E1A" w:rsidRPr="006A0E1A" w:rsidRDefault="006A0E1A" w:rsidP="006A0E1A">
      <w:pPr>
        <w:spacing w:before="120" w:after="120" w:line="240" w:lineRule="auto"/>
        <w:rPr>
          <w:rFonts w:cstheme="minorHAnsi"/>
        </w:rPr>
      </w:pPr>
      <w:r w:rsidRPr="006A0E1A">
        <w:rPr>
          <w:rFonts w:cstheme="minorHAnsi"/>
        </w:rPr>
        <w:t xml:space="preserve">CSIRO 2025b, </w:t>
      </w:r>
      <w:hyperlink r:id="rId57" w:history="1">
        <w:r w:rsidRPr="006A0E1A">
          <w:rPr>
            <w:rFonts w:cstheme="minorHAnsi"/>
            <w:color w:val="165788"/>
            <w:u w:val="single"/>
          </w:rPr>
          <w:t>The State of Energy Transition Technologies: Low Carbon Fuels Technical Appendix</w:t>
        </w:r>
      </w:hyperlink>
      <w:r w:rsidRPr="006A0E1A">
        <w:rPr>
          <w:rFonts w:cstheme="minorHAnsi"/>
        </w:rPr>
        <w:t>, Commonwealth Scientific and Industrial Research Organisation, Canberra, accessed 29 May 2026.</w:t>
      </w:r>
    </w:p>
    <w:p w14:paraId="7701D4C1" w14:textId="77777777" w:rsidR="006A0E1A" w:rsidRPr="006A0E1A" w:rsidRDefault="006A0E1A" w:rsidP="006A0E1A">
      <w:pPr>
        <w:spacing w:before="120" w:after="120" w:line="240" w:lineRule="auto"/>
        <w:rPr>
          <w:rFonts w:cstheme="minorHAnsi"/>
        </w:rPr>
      </w:pPr>
      <w:r w:rsidRPr="006A0E1A">
        <w:rPr>
          <w:rFonts w:cstheme="minorHAnsi"/>
        </w:rPr>
        <w:t xml:space="preserve">CEFC 2025, </w:t>
      </w:r>
      <w:hyperlink r:id="rId58" w:history="1">
        <w:r w:rsidRPr="006A0E1A">
          <w:rPr>
            <w:rFonts w:cstheme="minorHAnsi"/>
            <w:color w:val="165788"/>
            <w:u w:val="single"/>
          </w:rPr>
          <w:t>Refined Ambitions: Exploring Australia’s Low Carbon Liquid Fuel Potential</w:t>
        </w:r>
      </w:hyperlink>
      <w:r w:rsidRPr="006A0E1A">
        <w:rPr>
          <w:rFonts w:cstheme="minorHAnsi"/>
        </w:rPr>
        <w:t>, Clean Energy Finance Corporation, Sydney.</w:t>
      </w:r>
    </w:p>
    <w:p w14:paraId="2996D66E" w14:textId="677D562B" w:rsidR="006A0E1A" w:rsidRPr="006A0E1A" w:rsidRDefault="006A0E1A" w:rsidP="006A0E1A">
      <w:pPr>
        <w:spacing w:before="120" w:after="120" w:line="240" w:lineRule="auto"/>
        <w:rPr>
          <w:rFonts w:cstheme="minorHAnsi"/>
        </w:rPr>
      </w:pPr>
      <w:r w:rsidRPr="006A0E1A">
        <w:rPr>
          <w:rFonts w:cstheme="minorHAnsi"/>
        </w:rPr>
        <w:t xml:space="preserve">DCCEEW 2025, </w:t>
      </w:r>
      <w:hyperlink r:id="rId59" w:anchor=":~:text=Table_title:%20Australian%20energy%20consumption%20-%20by%20fuel,average%20annual%20growth%20(per%20cent):%200.2%20%7C" w:history="1">
        <w:r w:rsidRPr="006A0E1A">
          <w:rPr>
            <w:rFonts w:cstheme="minorHAnsi"/>
            <w:color w:val="165788"/>
            <w:u w:val="single"/>
          </w:rPr>
          <w:t>Australian Energy Statistics: Energy Consumption (Table C)</w:t>
        </w:r>
      </w:hyperlink>
      <w:r w:rsidRPr="006A0E1A">
        <w:rPr>
          <w:rFonts w:cstheme="minorHAnsi"/>
        </w:rPr>
        <w:t>, Department of Climate Change, Energy, the Environment and Water, Canberra, accessed 23 April 2026.</w:t>
      </w:r>
    </w:p>
    <w:p w14:paraId="50D3C7C3" w14:textId="3299F89F" w:rsidR="006B5840" w:rsidRDefault="006B5840" w:rsidP="006A0E1A">
      <w:pPr>
        <w:spacing w:before="120" w:after="120" w:line="240" w:lineRule="auto"/>
        <w:rPr>
          <w:rFonts w:cstheme="minorHAnsi"/>
        </w:rPr>
      </w:pPr>
      <w:r>
        <w:rPr>
          <w:rFonts w:cstheme="minorHAnsi"/>
        </w:rPr>
        <w:lastRenderedPageBreak/>
        <w:t>DCCEEW</w:t>
      </w:r>
      <w:r w:rsidR="004A0B14">
        <w:rPr>
          <w:rFonts w:cstheme="minorHAnsi"/>
        </w:rPr>
        <w:t xml:space="preserve"> </w:t>
      </w:r>
      <w:r w:rsidR="00F45535">
        <w:rPr>
          <w:rFonts w:cstheme="minorHAnsi"/>
        </w:rPr>
        <w:t>2026</w:t>
      </w:r>
      <w:r w:rsidR="007712A8">
        <w:rPr>
          <w:rFonts w:cstheme="minorHAnsi"/>
        </w:rPr>
        <w:t xml:space="preserve">, Securing Australia’s Cleaner Fuels Industry: </w:t>
      </w:r>
      <w:r w:rsidR="002400E0" w:rsidRPr="002400E0">
        <w:rPr>
          <w:rFonts w:cstheme="minorHAnsi"/>
        </w:rPr>
        <w:t>Consultation paper on a demand mechanism</w:t>
      </w:r>
      <w:r w:rsidR="00E7694F">
        <w:rPr>
          <w:rFonts w:cstheme="minorHAnsi"/>
        </w:rPr>
        <w:t>,</w:t>
      </w:r>
      <w:r w:rsidR="004A0B14">
        <w:rPr>
          <w:rFonts w:cstheme="minorHAnsi"/>
        </w:rPr>
        <w:t xml:space="preserve"> Department of Climate Chan</w:t>
      </w:r>
      <w:r w:rsidR="002400E0">
        <w:rPr>
          <w:rFonts w:cstheme="minorHAnsi"/>
        </w:rPr>
        <w:t>g</w:t>
      </w:r>
      <w:r w:rsidR="004A0B14">
        <w:rPr>
          <w:rFonts w:cstheme="minorHAnsi"/>
        </w:rPr>
        <w:t>e, Energy, the Environment and Water, Canberra, accessed 10 July 2026.</w:t>
      </w:r>
    </w:p>
    <w:p w14:paraId="005D8EDA" w14:textId="6C81F653" w:rsidR="006A0E1A" w:rsidRPr="006A0E1A" w:rsidRDefault="006A0E1A" w:rsidP="006A0E1A">
      <w:pPr>
        <w:spacing w:before="120" w:after="120" w:line="240" w:lineRule="auto"/>
        <w:rPr>
          <w:rFonts w:cstheme="minorHAnsi"/>
        </w:rPr>
      </w:pPr>
      <w:r w:rsidRPr="006A0E1A">
        <w:rPr>
          <w:rFonts w:cstheme="minorHAnsi"/>
        </w:rPr>
        <w:t xml:space="preserve">European Union, </w:t>
      </w:r>
      <w:hyperlink r:id="rId60" w:history="1">
        <w:r w:rsidRPr="006A0E1A">
          <w:rPr>
            <w:rFonts w:cstheme="minorHAnsi"/>
            <w:color w:val="165788"/>
            <w:u w:val="single"/>
          </w:rPr>
          <w:t>Directive 2018/2001 of the European Parliament and of the Council on the Promotion of the Use of Energy from Renewable Sources</w:t>
        </w:r>
      </w:hyperlink>
      <w:r w:rsidRPr="006A0E1A">
        <w:rPr>
          <w:rFonts w:cstheme="minorHAnsi"/>
        </w:rPr>
        <w:t>, accessed 24 March 2026</w:t>
      </w:r>
    </w:p>
    <w:p w14:paraId="203DE46A" w14:textId="77777777" w:rsidR="006A0E1A" w:rsidRPr="006A0E1A" w:rsidRDefault="006A0E1A" w:rsidP="006A0E1A">
      <w:pPr>
        <w:spacing w:before="120" w:after="120" w:line="240" w:lineRule="auto"/>
        <w:rPr>
          <w:rFonts w:cstheme="minorHAnsi"/>
        </w:rPr>
      </w:pPr>
      <w:r w:rsidRPr="006A0E1A">
        <w:rPr>
          <w:rFonts w:cstheme="minorHAnsi"/>
        </w:rPr>
        <w:t xml:space="preserve">GIWA 2025, </w:t>
      </w:r>
      <w:hyperlink r:id="rId61" w:history="1">
        <w:r w:rsidRPr="006A0E1A">
          <w:rPr>
            <w:rFonts w:cstheme="minorHAnsi"/>
            <w:color w:val="165788"/>
            <w:u w:val="single"/>
          </w:rPr>
          <w:t>GIWA Crop Report – February 2025</w:t>
        </w:r>
      </w:hyperlink>
      <w:r w:rsidRPr="006A0E1A">
        <w:rPr>
          <w:rFonts w:cstheme="minorHAnsi"/>
        </w:rPr>
        <w:t>, Grain Industry Association of Western Australia, Perth, accessed 24 April 2026.</w:t>
      </w:r>
    </w:p>
    <w:p w14:paraId="675EA7A4" w14:textId="03AF8584" w:rsidR="009C6FD4" w:rsidRPr="006A0E1A" w:rsidRDefault="009C6FD4" w:rsidP="006A0E1A">
      <w:pPr>
        <w:spacing w:before="120" w:after="120" w:line="240" w:lineRule="auto"/>
        <w:rPr>
          <w:rFonts w:cstheme="minorHAnsi"/>
        </w:rPr>
      </w:pPr>
      <w:r w:rsidRPr="006A0E1A">
        <w:rPr>
          <w:rFonts w:cstheme="minorHAnsi"/>
        </w:rPr>
        <w:t>Grain</w:t>
      </w:r>
      <w:r w:rsidR="000919F3">
        <w:rPr>
          <w:rFonts w:cstheme="minorHAnsi"/>
        </w:rPr>
        <w:t>s</w:t>
      </w:r>
      <w:r w:rsidRPr="006A0E1A">
        <w:rPr>
          <w:rFonts w:cstheme="minorHAnsi"/>
        </w:rPr>
        <w:t xml:space="preserve"> Central 2024, </w:t>
      </w:r>
      <w:hyperlink r:id="rId62" w:history="1">
        <w:proofErr w:type="spellStart"/>
        <w:r w:rsidRPr="006A0E1A">
          <w:rPr>
            <w:rFonts w:cstheme="minorHAnsi"/>
            <w:color w:val="165788"/>
            <w:u w:val="single"/>
          </w:rPr>
          <w:t>Nuseed</w:t>
        </w:r>
        <w:proofErr w:type="spellEnd"/>
        <w:r w:rsidRPr="006A0E1A">
          <w:rPr>
            <w:rFonts w:cstheme="minorHAnsi"/>
            <w:color w:val="165788"/>
            <w:u w:val="single"/>
          </w:rPr>
          <w:t xml:space="preserve"> trials, talks up carinata as fit with cotton</w:t>
        </w:r>
      </w:hyperlink>
      <w:r w:rsidRPr="006A0E1A">
        <w:rPr>
          <w:rFonts w:cstheme="minorHAnsi"/>
        </w:rPr>
        <w:t>, Grain Central, Brisbane, accessed 21 April 2026.</w:t>
      </w:r>
    </w:p>
    <w:p w14:paraId="6B1E215C" w14:textId="2009AD7F" w:rsidR="00AB51C1" w:rsidRPr="006A0E1A" w:rsidRDefault="00AB51C1" w:rsidP="006A0E1A">
      <w:pPr>
        <w:spacing w:before="120" w:after="120" w:line="240" w:lineRule="auto"/>
        <w:rPr>
          <w:rFonts w:cstheme="minorHAnsi"/>
        </w:rPr>
      </w:pPr>
      <w:r>
        <w:rPr>
          <w:rFonts w:cstheme="minorHAnsi"/>
        </w:rPr>
        <w:t xml:space="preserve">GrainCorp 2026, </w:t>
      </w:r>
      <w:hyperlink r:id="rId63" w:history="1">
        <w:r w:rsidR="00056FCB" w:rsidRPr="00056FCB">
          <w:rPr>
            <w:rStyle w:val="Hyperlink"/>
            <w:rFonts w:cstheme="minorHAnsi"/>
          </w:rPr>
          <w:t>From Paddock</w:t>
        </w:r>
        <w:bookmarkStart w:id="145" w:name="_Hlt234573936"/>
        <w:bookmarkStart w:id="146" w:name="_Hlt234573937"/>
        <w:bookmarkEnd w:id="145"/>
        <w:bookmarkEnd w:id="146"/>
        <w:r w:rsidR="00056FCB" w:rsidRPr="00056FCB">
          <w:rPr>
            <w:rStyle w:val="Hyperlink"/>
            <w:rFonts w:cstheme="minorHAnsi"/>
          </w:rPr>
          <w:t xml:space="preserve"> to Plane: Feedstock White Paper. Unlocking Australia’s domestic sustainable aviation feedstock potential</w:t>
        </w:r>
      </w:hyperlink>
      <w:r w:rsidR="00D95E31">
        <w:rPr>
          <w:rFonts w:cstheme="minorHAnsi"/>
        </w:rPr>
        <w:t>, accessed 10 July 2026.</w:t>
      </w:r>
    </w:p>
    <w:p w14:paraId="6BBD151B" w14:textId="6F21EB9E" w:rsidR="009C6FD4" w:rsidRPr="006A0E1A" w:rsidRDefault="009C6FD4" w:rsidP="006A0E1A">
      <w:pPr>
        <w:spacing w:before="120" w:after="120" w:line="240" w:lineRule="auto"/>
        <w:rPr>
          <w:rFonts w:cstheme="minorHAnsi"/>
        </w:rPr>
      </w:pPr>
      <w:r w:rsidRPr="006A0E1A">
        <w:rPr>
          <w:rFonts w:cstheme="minorHAnsi"/>
        </w:rPr>
        <w:t xml:space="preserve">GRDC 2025, </w:t>
      </w:r>
      <w:hyperlink r:id="rId64" w:history="1">
        <w:r w:rsidRPr="006A0E1A">
          <w:rPr>
            <w:rFonts w:cstheme="minorHAnsi"/>
            <w:color w:val="165788"/>
            <w:u w:val="single"/>
          </w:rPr>
          <w:t>Low Carbon Liquid Fuels Roadmap</w:t>
        </w:r>
      </w:hyperlink>
      <w:r w:rsidRPr="006A0E1A">
        <w:rPr>
          <w:rFonts w:cstheme="minorHAnsi"/>
        </w:rPr>
        <w:t>, Grains Research Development Corporation, Canberra, accessed 20 April 2026.</w:t>
      </w:r>
    </w:p>
    <w:p w14:paraId="0170783A" w14:textId="77777777" w:rsidR="006A0E1A" w:rsidRPr="006A0E1A" w:rsidRDefault="006A0E1A" w:rsidP="006A0E1A">
      <w:pPr>
        <w:spacing w:before="120" w:after="120" w:line="240" w:lineRule="auto"/>
        <w:rPr>
          <w:rFonts w:cstheme="minorHAnsi"/>
        </w:rPr>
      </w:pPr>
      <w:r w:rsidRPr="006A0E1A">
        <w:rPr>
          <w:rFonts w:cstheme="minorHAnsi"/>
        </w:rPr>
        <w:t xml:space="preserve">HAMR 2025a, </w:t>
      </w:r>
      <w:hyperlink r:id="rId65" w:history="1">
        <w:r w:rsidRPr="006A0E1A">
          <w:rPr>
            <w:rFonts w:cstheme="minorHAnsi"/>
            <w:color w:val="165788"/>
            <w:u w:val="single"/>
          </w:rPr>
          <w:t>Portland Renewable Fuels</w:t>
        </w:r>
      </w:hyperlink>
      <w:r w:rsidRPr="006A0E1A">
        <w:rPr>
          <w:rFonts w:cstheme="minorHAnsi"/>
        </w:rPr>
        <w:t>, HAMR Energy, Melbourne, accessed 21 April 2026.</w:t>
      </w:r>
    </w:p>
    <w:p w14:paraId="52C0F008" w14:textId="77777777" w:rsidR="006A0E1A" w:rsidRPr="006A0E1A" w:rsidRDefault="006A0E1A" w:rsidP="006A0E1A">
      <w:pPr>
        <w:spacing w:before="120" w:after="120" w:line="240" w:lineRule="auto"/>
        <w:rPr>
          <w:rFonts w:cstheme="minorHAnsi"/>
        </w:rPr>
      </w:pPr>
      <w:r w:rsidRPr="006A0E1A">
        <w:rPr>
          <w:rFonts w:cstheme="minorHAnsi"/>
        </w:rPr>
        <w:t xml:space="preserve">HAMR 2025b, </w:t>
      </w:r>
      <w:hyperlink r:id="rId66" w:history="1">
        <w:r w:rsidRPr="006A0E1A">
          <w:rPr>
            <w:rFonts w:cstheme="minorHAnsi"/>
            <w:color w:val="165788"/>
            <w:u w:val="single"/>
          </w:rPr>
          <w:t>Methanol to Jet SAF Energy Park</w:t>
        </w:r>
      </w:hyperlink>
      <w:r w:rsidRPr="006A0E1A">
        <w:rPr>
          <w:rFonts w:cstheme="minorHAnsi"/>
        </w:rPr>
        <w:t>, HAMR Energy, Melbourne, accessed 21 April 2026.</w:t>
      </w:r>
    </w:p>
    <w:p w14:paraId="4EC54E21" w14:textId="77777777" w:rsidR="006A0E1A" w:rsidRPr="006A0E1A" w:rsidRDefault="006A0E1A" w:rsidP="006A0E1A">
      <w:pPr>
        <w:spacing w:before="120" w:after="120" w:line="240" w:lineRule="auto"/>
        <w:rPr>
          <w:rFonts w:cstheme="minorHAnsi"/>
        </w:rPr>
      </w:pPr>
      <w:r w:rsidRPr="006A0E1A">
        <w:rPr>
          <w:rFonts w:cstheme="minorHAnsi"/>
        </w:rPr>
        <w:t xml:space="preserve">IEA 2024, </w:t>
      </w:r>
      <w:hyperlink r:id="rId67" w:history="1">
        <w:r w:rsidRPr="006A0E1A">
          <w:rPr>
            <w:rFonts w:cstheme="minorHAnsi"/>
            <w:color w:val="165788"/>
            <w:u w:val="single"/>
          </w:rPr>
          <w:t>What is bioenergy?</w:t>
        </w:r>
      </w:hyperlink>
      <w:r w:rsidRPr="006A0E1A">
        <w:rPr>
          <w:rFonts w:cstheme="minorHAnsi"/>
        </w:rPr>
        <w:t>, International Energy Agency, Paris, accessed 27 May 2026.</w:t>
      </w:r>
    </w:p>
    <w:p w14:paraId="02532A86" w14:textId="77777777" w:rsidR="006A0E1A" w:rsidRPr="006A0E1A" w:rsidRDefault="006A0E1A" w:rsidP="006A0E1A">
      <w:pPr>
        <w:spacing w:before="120" w:after="120" w:line="240" w:lineRule="auto"/>
        <w:rPr>
          <w:rFonts w:cstheme="minorHAnsi"/>
        </w:rPr>
      </w:pPr>
      <w:r w:rsidRPr="006A0E1A">
        <w:rPr>
          <w:rFonts w:cstheme="minorHAnsi"/>
        </w:rPr>
        <w:t xml:space="preserve">IEA 2025a, </w:t>
      </w:r>
      <w:hyperlink r:id="rId68" w:history="1">
        <w:r w:rsidRPr="006A0E1A">
          <w:rPr>
            <w:rFonts w:cstheme="minorHAnsi"/>
            <w:color w:val="165788"/>
            <w:u w:val="single"/>
          </w:rPr>
          <w:t>Renewables 2025: Analysis and forecasts to 2030</w:t>
        </w:r>
      </w:hyperlink>
      <w:r w:rsidRPr="006A0E1A">
        <w:rPr>
          <w:rFonts w:cstheme="minorHAnsi"/>
        </w:rPr>
        <w:t>, International Energy Agency, Paris, accessed 30 April 2026.</w:t>
      </w:r>
    </w:p>
    <w:p w14:paraId="4B9304AF" w14:textId="77777777" w:rsidR="006A0E1A" w:rsidRPr="006A0E1A" w:rsidRDefault="006A0E1A" w:rsidP="006A0E1A">
      <w:pPr>
        <w:spacing w:before="120" w:after="120" w:line="240" w:lineRule="auto"/>
        <w:rPr>
          <w:rFonts w:cstheme="minorHAnsi"/>
        </w:rPr>
      </w:pPr>
      <w:r w:rsidRPr="006A0E1A">
        <w:rPr>
          <w:rFonts w:cstheme="minorHAnsi"/>
        </w:rPr>
        <w:t xml:space="preserve">IEA 2025b, </w:t>
      </w:r>
      <w:hyperlink r:id="rId69" w:history="1">
        <w:r w:rsidRPr="006A0E1A">
          <w:rPr>
            <w:rFonts w:cstheme="minorHAnsi"/>
            <w:color w:val="165788"/>
            <w:u w:val="single"/>
          </w:rPr>
          <w:t>Outlook for Biogas and Biomethane: A global geospatial assessment</w:t>
        </w:r>
      </w:hyperlink>
      <w:r w:rsidRPr="006A0E1A">
        <w:rPr>
          <w:rFonts w:cstheme="minorHAnsi"/>
        </w:rPr>
        <w:t>, International Energy Agency, Paris, accessed 22 May 2026.</w:t>
      </w:r>
    </w:p>
    <w:p w14:paraId="62279BA5" w14:textId="77777777" w:rsidR="006A0E1A" w:rsidRPr="006A0E1A" w:rsidRDefault="006A0E1A" w:rsidP="006A0E1A">
      <w:pPr>
        <w:spacing w:before="120" w:after="120" w:line="240" w:lineRule="auto"/>
        <w:rPr>
          <w:rFonts w:cstheme="minorHAnsi"/>
        </w:rPr>
      </w:pPr>
      <w:r w:rsidRPr="006A0E1A">
        <w:rPr>
          <w:rFonts w:cstheme="minorHAnsi"/>
        </w:rPr>
        <w:t xml:space="preserve">IEA Bioenergy 2026, </w:t>
      </w:r>
      <w:hyperlink r:id="rId70" w:history="1">
        <w:r w:rsidRPr="006A0E1A">
          <w:rPr>
            <w:rFonts w:cstheme="minorHAnsi"/>
            <w:color w:val="165788"/>
            <w:u w:val="single"/>
          </w:rPr>
          <w:t>Task 43: Biomass Supply in a Nature Positive Circular Economy (2025-2027 Workplan)</w:t>
        </w:r>
      </w:hyperlink>
      <w:r w:rsidRPr="006A0E1A">
        <w:rPr>
          <w:rFonts w:cstheme="minorHAnsi"/>
        </w:rPr>
        <w:t>, International Energy Agency, Paris, accessed 27 May 2026.</w:t>
      </w:r>
    </w:p>
    <w:p w14:paraId="2E7CD61E" w14:textId="296685B5" w:rsidR="006A0E1A" w:rsidRPr="006A0E1A" w:rsidRDefault="006A0E1A" w:rsidP="006A0E1A">
      <w:pPr>
        <w:spacing w:before="120" w:after="120" w:line="240" w:lineRule="auto"/>
        <w:rPr>
          <w:rFonts w:cstheme="minorHAnsi"/>
        </w:rPr>
      </w:pPr>
      <w:proofErr w:type="spellStart"/>
      <w:r w:rsidRPr="006A0E1A">
        <w:rPr>
          <w:rFonts w:cstheme="minorHAnsi"/>
        </w:rPr>
        <w:t>iMove</w:t>
      </w:r>
      <w:proofErr w:type="spellEnd"/>
      <w:r w:rsidRPr="006A0E1A">
        <w:rPr>
          <w:rFonts w:cstheme="minorHAnsi"/>
        </w:rPr>
        <w:t xml:space="preserve"> 2025, </w:t>
      </w:r>
      <w:hyperlink r:id="rId71" w:history="1">
        <w:r w:rsidRPr="006A0E1A">
          <w:rPr>
            <w:rFonts w:cstheme="minorHAnsi"/>
            <w:color w:val="165788"/>
            <w:u w:val="single"/>
          </w:rPr>
          <w:t>Low Carbon Liquid Fuels Knowledge Hub</w:t>
        </w:r>
      </w:hyperlink>
      <w:r w:rsidRPr="006A0E1A">
        <w:rPr>
          <w:rFonts w:cstheme="minorHAnsi"/>
        </w:rPr>
        <w:t xml:space="preserve">, </w:t>
      </w:r>
      <w:proofErr w:type="spellStart"/>
      <w:r w:rsidRPr="006A0E1A">
        <w:rPr>
          <w:rFonts w:cstheme="minorHAnsi"/>
        </w:rPr>
        <w:t>iMove</w:t>
      </w:r>
      <w:proofErr w:type="spellEnd"/>
      <w:r w:rsidRPr="006A0E1A">
        <w:rPr>
          <w:rFonts w:cstheme="minorHAnsi"/>
        </w:rPr>
        <w:t xml:space="preserve"> Australia, Melbourne, accessed 21</w:t>
      </w:r>
      <w:r w:rsidR="0034533C">
        <w:rPr>
          <w:rFonts w:cstheme="minorHAnsi"/>
        </w:rPr>
        <w:t> </w:t>
      </w:r>
      <w:r w:rsidRPr="006A0E1A">
        <w:rPr>
          <w:rFonts w:cstheme="minorHAnsi"/>
        </w:rPr>
        <w:t>April</w:t>
      </w:r>
      <w:r w:rsidR="0034533C">
        <w:rPr>
          <w:rFonts w:cstheme="minorHAnsi"/>
        </w:rPr>
        <w:t> </w:t>
      </w:r>
      <w:r w:rsidRPr="006A0E1A">
        <w:rPr>
          <w:rFonts w:cstheme="minorHAnsi"/>
        </w:rPr>
        <w:t>2026.</w:t>
      </w:r>
    </w:p>
    <w:p w14:paraId="5606F3A9" w14:textId="77777777" w:rsidR="006A0E1A" w:rsidRPr="006A0E1A" w:rsidRDefault="006A0E1A" w:rsidP="006A0E1A">
      <w:pPr>
        <w:spacing w:before="120" w:after="120" w:line="240" w:lineRule="auto"/>
        <w:rPr>
          <w:rFonts w:cstheme="minorHAnsi"/>
        </w:rPr>
      </w:pPr>
      <w:r w:rsidRPr="006A0E1A">
        <w:rPr>
          <w:rFonts w:cstheme="minorHAnsi"/>
        </w:rPr>
        <w:t xml:space="preserve">NSW DPI 2025, </w:t>
      </w:r>
      <w:hyperlink r:id="rId72" w:history="1">
        <w:r w:rsidRPr="006A0E1A">
          <w:rPr>
            <w:rFonts w:cstheme="minorHAnsi"/>
            <w:color w:val="165788"/>
            <w:u w:val="single"/>
          </w:rPr>
          <w:t xml:space="preserve">NSW </w:t>
        </w:r>
        <w:proofErr w:type="spellStart"/>
        <w:r w:rsidRPr="006A0E1A">
          <w:rPr>
            <w:rFonts w:cstheme="minorHAnsi"/>
            <w:color w:val="165788"/>
            <w:u w:val="single"/>
          </w:rPr>
          <w:t>BioSMART</w:t>
        </w:r>
        <w:proofErr w:type="spellEnd"/>
        <w:r w:rsidRPr="006A0E1A">
          <w:rPr>
            <w:rFonts w:cstheme="minorHAnsi"/>
            <w:color w:val="165788"/>
            <w:u w:val="single"/>
          </w:rPr>
          <w:t xml:space="preserve"> Tool</w:t>
        </w:r>
      </w:hyperlink>
      <w:r w:rsidRPr="006A0E1A">
        <w:rPr>
          <w:rFonts w:cstheme="minorHAnsi"/>
        </w:rPr>
        <w:t>, NSW Department of Primary Industries and Regional Development, Orange, accessed 21 April 2026.</w:t>
      </w:r>
    </w:p>
    <w:p w14:paraId="63BE82EB" w14:textId="5C58CCBE" w:rsidR="006A0E1A" w:rsidRPr="006A0E1A" w:rsidRDefault="006A0E1A" w:rsidP="006A0E1A">
      <w:pPr>
        <w:spacing w:before="120" w:after="120" w:line="240" w:lineRule="auto"/>
        <w:rPr>
          <w:rFonts w:cstheme="minorHAnsi"/>
        </w:rPr>
      </w:pPr>
      <w:r w:rsidRPr="006A0E1A">
        <w:rPr>
          <w:rFonts w:cstheme="minorHAnsi"/>
        </w:rPr>
        <w:t xml:space="preserve">Nufarm 2019, </w:t>
      </w:r>
      <w:hyperlink r:id="rId73" w:history="1">
        <w:proofErr w:type="spellStart"/>
        <w:r w:rsidRPr="006A0E1A">
          <w:rPr>
            <w:rFonts w:cstheme="minorHAnsi"/>
            <w:color w:val="165788"/>
            <w:u w:val="single"/>
          </w:rPr>
          <w:t>Carinata</w:t>
        </w:r>
        <w:proofErr w:type="spellEnd"/>
        <w:r w:rsidRPr="006A0E1A">
          <w:rPr>
            <w:rFonts w:cstheme="minorHAnsi"/>
            <w:color w:val="165788"/>
            <w:u w:val="single"/>
          </w:rPr>
          <w:t xml:space="preserve"> new to </w:t>
        </w:r>
        <w:proofErr w:type="spellStart"/>
        <w:r w:rsidRPr="006A0E1A">
          <w:rPr>
            <w:rFonts w:cstheme="minorHAnsi"/>
            <w:color w:val="165788"/>
            <w:u w:val="single"/>
          </w:rPr>
          <w:t>Nuseed’s</w:t>
        </w:r>
        <w:proofErr w:type="spellEnd"/>
        <w:r w:rsidRPr="006A0E1A">
          <w:rPr>
            <w:rFonts w:cstheme="minorHAnsi"/>
            <w:color w:val="165788"/>
            <w:u w:val="single"/>
          </w:rPr>
          <w:t xml:space="preserve"> Global Portfolio</w:t>
        </w:r>
      </w:hyperlink>
      <w:r w:rsidRPr="006A0E1A">
        <w:rPr>
          <w:rFonts w:cstheme="minorHAnsi"/>
        </w:rPr>
        <w:t>, Nufarm Limited, Melbourne, accessed 21</w:t>
      </w:r>
      <w:r w:rsidR="001244A6">
        <w:rPr>
          <w:rFonts w:cstheme="minorHAnsi"/>
        </w:rPr>
        <w:t> </w:t>
      </w:r>
      <w:r w:rsidRPr="006A0E1A">
        <w:rPr>
          <w:rFonts w:cstheme="minorHAnsi"/>
        </w:rPr>
        <w:t>April</w:t>
      </w:r>
      <w:r w:rsidR="001244A6">
        <w:rPr>
          <w:rFonts w:cstheme="minorHAnsi"/>
        </w:rPr>
        <w:t> </w:t>
      </w:r>
      <w:r w:rsidRPr="006A0E1A">
        <w:rPr>
          <w:rFonts w:cstheme="minorHAnsi"/>
        </w:rPr>
        <w:t>2026</w:t>
      </w:r>
      <w:r w:rsidR="0034533C">
        <w:rPr>
          <w:rFonts w:cstheme="minorHAnsi"/>
        </w:rPr>
        <w:t>.</w:t>
      </w:r>
    </w:p>
    <w:p w14:paraId="12C1FE2D" w14:textId="22C10E34" w:rsidR="00E43601" w:rsidRPr="006A0E1A" w:rsidRDefault="00E43601" w:rsidP="006A0E1A">
      <w:pPr>
        <w:spacing w:before="120" w:after="120" w:line="240" w:lineRule="auto"/>
        <w:rPr>
          <w:rFonts w:cstheme="minorHAnsi"/>
        </w:rPr>
      </w:pPr>
      <w:r>
        <w:rPr>
          <w:rFonts w:cstheme="minorHAnsi"/>
        </w:rPr>
        <w:t>Office of the Auditor General</w:t>
      </w:r>
      <w:r w:rsidRPr="006A0E1A">
        <w:rPr>
          <w:rFonts w:cstheme="minorHAnsi"/>
        </w:rPr>
        <w:t xml:space="preserve"> 2013, </w:t>
      </w:r>
      <w:hyperlink r:id="rId74" w:history="1">
        <w:r w:rsidRPr="006A0E1A">
          <w:rPr>
            <w:rFonts w:cstheme="minorHAnsi"/>
            <w:color w:val="165788"/>
            <w:u w:val="single"/>
          </w:rPr>
          <w:t>Management of the Rail Freight Network Lease: Twelve Years Down the Track</w:t>
        </w:r>
      </w:hyperlink>
      <w:r w:rsidRPr="006A0E1A">
        <w:rPr>
          <w:rFonts w:cstheme="minorHAnsi"/>
        </w:rPr>
        <w:t xml:space="preserve"> (PDF 823K) Office of the Auditor General, Western Australia, accessed 24 April 2026.</w:t>
      </w:r>
    </w:p>
    <w:p w14:paraId="006E9F43" w14:textId="33CEB4C3" w:rsidR="006A0E1A" w:rsidRPr="006A0E1A" w:rsidRDefault="006A0E1A" w:rsidP="006A0E1A">
      <w:pPr>
        <w:spacing w:before="120" w:after="120" w:line="240" w:lineRule="auto"/>
        <w:rPr>
          <w:rFonts w:cstheme="minorHAnsi"/>
        </w:rPr>
      </w:pPr>
      <w:proofErr w:type="spellStart"/>
      <w:r w:rsidRPr="006A0E1A">
        <w:rPr>
          <w:rFonts w:cstheme="minorHAnsi"/>
        </w:rPr>
        <w:t>Sevenster</w:t>
      </w:r>
      <w:proofErr w:type="spellEnd"/>
      <w:r w:rsidRPr="006A0E1A">
        <w:rPr>
          <w:rFonts w:cstheme="minorHAnsi"/>
        </w:rPr>
        <w:t xml:space="preserve">, Maartje 2023, </w:t>
      </w:r>
      <w:hyperlink r:id="rId75" w:history="1">
        <w:r w:rsidRPr="006A0E1A">
          <w:rPr>
            <w:rFonts w:cstheme="minorHAnsi"/>
            <w:color w:val="165788"/>
            <w:u w:val="single"/>
          </w:rPr>
          <w:t>Greenhouse gas emissions from the cultivation of canola oilseed in Australia</w:t>
        </w:r>
      </w:hyperlink>
      <w:r w:rsidRPr="006A0E1A">
        <w:rPr>
          <w:rFonts w:cstheme="minorHAnsi"/>
        </w:rPr>
        <w:t>, CSIRO, Canberra, accessed 20 May 2026.</w:t>
      </w:r>
    </w:p>
    <w:sectPr w:rsidR="006A0E1A" w:rsidRPr="006A0E1A" w:rsidSect="0045360C">
      <w:pgSz w:w="11906" w:h="16838"/>
      <w:pgMar w:top="1418" w:right="1418" w:bottom="1418" w:left="1418" w:header="56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DEB8" w14:textId="77777777" w:rsidR="00D076D6" w:rsidRDefault="00D076D6">
      <w:r>
        <w:separator/>
      </w:r>
    </w:p>
    <w:p w14:paraId="69CAFBE7" w14:textId="77777777" w:rsidR="00D076D6" w:rsidRDefault="00D076D6"/>
    <w:p w14:paraId="2B2EBC90" w14:textId="77777777" w:rsidR="00D076D6" w:rsidRDefault="00D076D6"/>
  </w:endnote>
  <w:endnote w:type="continuationSeparator" w:id="0">
    <w:p w14:paraId="3D5B1361" w14:textId="77777777" w:rsidR="00D076D6" w:rsidRDefault="00D076D6">
      <w:r>
        <w:continuationSeparator/>
      </w:r>
    </w:p>
    <w:p w14:paraId="6A033864" w14:textId="77777777" w:rsidR="00D076D6" w:rsidRDefault="00D076D6"/>
    <w:p w14:paraId="18975176" w14:textId="77777777" w:rsidR="00D076D6" w:rsidRDefault="00D076D6"/>
  </w:endnote>
  <w:endnote w:type="continuationNotice" w:id="1">
    <w:p w14:paraId="6E3F5E23" w14:textId="77777777" w:rsidR="00D076D6" w:rsidRDefault="00D076D6">
      <w:pPr>
        <w:pStyle w:val="Footer"/>
      </w:pPr>
    </w:p>
    <w:p w14:paraId="100B49F3" w14:textId="77777777" w:rsidR="00D076D6" w:rsidRDefault="00D076D6"/>
    <w:p w14:paraId="1C209A10" w14:textId="77777777" w:rsidR="00D076D6" w:rsidRDefault="00D076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BCE4" w14:textId="77777777" w:rsidR="0020216A" w:rsidRDefault="00057E37">
    <w:pPr>
      <w:pStyle w:val="Footer"/>
    </w:pPr>
    <w:r>
      <w:rPr>
        <w:noProof/>
      </w:rPr>
      <mc:AlternateContent>
        <mc:Choice Requires="wps">
          <w:drawing>
            <wp:anchor distT="0" distB="0" distL="0" distR="0" simplePos="0" relativeHeight="251658244" behindDoc="0" locked="0" layoutInCell="1" allowOverlap="1" wp14:anchorId="13CFCAFA" wp14:editId="2AC6DB8B">
              <wp:simplePos x="635" y="635"/>
              <wp:positionH relativeFrom="page">
                <wp:align>center</wp:align>
              </wp:positionH>
              <wp:positionV relativeFrom="page">
                <wp:align>bottom</wp:align>
              </wp:positionV>
              <wp:extent cx="551815" cy="404495"/>
              <wp:effectExtent l="0" t="0" r="635" b="0"/>
              <wp:wrapNone/>
              <wp:docPr id="192995040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CBCA327"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CFCAFA"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1CBCA327"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EA5D" w14:textId="77777777" w:rsidR="00B861B4" w:rsidRDefault="00057E37" w:rsidP="003F22A3">
    <w:pPr>
      <w:pStyle w:val="Footer"/>
    </w:pPr>
    <w:r>
      <w:rPr>
        <w:noProof/>
      </w:rPr>
      <mc:AlternateContent>
        <mc:Choice Requires="wps">
          <w:drawing>
            <wp:anchor distT="0" distB="0" distL="0" distR="0" simplePos="0" relativeHeight="251658245" behindDoc="0" locked="0" layoutInCell="1" allowOverlap="1" wp14:anchorId="636C9E75" wp14:editId="7250CDE5">
              <wp:simplePos x="901065" y="10053320"/>
              <wp:positionH relativeFrom="page">
                <wp:align>center</wp:align>
              </wp:positionH>
              <wp:positionV relativeFrom="page">
                <wp:align>bottom</wp:align>
              </wp:positionV>
              <wp:extent cx="551815" cy="404495"/>
              <wp:effectExtent l="0" t="0" r="635" b="0"/>
              <wp:wrapNone/>
              <wp:docPr id="21309215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5F962F5"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6C9E75"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25F962F5"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r w:rsidR="00DE0AAE" w:rsidRPr="00DE0AAE">
      <w:t>Department of Agriculture, Fisheries and Forestry</w:t>
    </w:r>
    <w:r w:rsidR="003F22A3">
      <w:tab/>
    </w:r>
    <w:r w:rsidR="00B861B4">
      <w:fldChar w:fldCharType="begin"/>
    </w:r>
    <w:r w:rsidR="00B861B4">
      <w:instrText xml:space="preserve"> PAGE   \* MERGEFORMAT </w:instrText>
    </w:r>
    <w:r w:rsidR="00B861B4">
      <w:fldChar w:fldCharType="separate"/>
    </w:r>
    <w:r w:rsidR="005E25BD">
      <w:rPr>
        <w:noProof/>
      </w:rPr>
      <w:t>12</w:t>
    </w:r>
    <w:r w:rsidR="00B861B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80F4" w14:textId="77777777" w:rsidR="003F22A3" w:rsidRDefault="00057E37">
    <w:pPr>
      <w:pStyle w:val="Footer"/>
    </w:pPr>
    <w:r>
      <w:rPr>
        <w:noProof/>
      </w:rPr>
      <mc:AlternateContent>
        <mc:Choice Requires="wps">
          <w:drawing>
            <wp:anchor distT="0" distB="0" distL="0" distR="0" simplePos="0" relativeHeight="251658243" behindDoc="0" locked="0" layoutInCell="1" allowOverlap="1" wp14:anchorId="7162ABDF" wp14:editId="4AD97FD0">
              <wp:simplePos x="899770" y="10051085"/>
              <wp:positionH relativeFrom="page">
                <wp:align>center</wp:align>
              </wp:positionH>
              <wp:positionV relativeFrom="page">
                <wp:align>bottom</wp:align>
              </wp:positionV>
              <wp:extent cx="551815" cy="404495"/>
              <wp:effectExtent l="0" t="0" r="635" b="0"/>
              <wp:wrapNone/>
              <wp:docPr id="173340789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8245EAF"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62ABDF"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68245EAF"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71570" w14:textId="77777777" w:rsidR="00D076D6" w:rsidRDefault="00D076D6">
      <w:r>
        <w:separator/>
      </w:r>
    </w:p>
    <w:p w14:paraId="180E4C85" w14:textId="77777777" w:rsidR="00D076D6" w:rsidRDefault="00D076D6"/>
    <w:p w14:paraId="779A5431" w14:textId="77777777" w:rsidR="00D076D6" w:rsidRDefault="00D076D6"/>
  </w:footnote>
  <w:footnote w:type="continuationSeparator" w:id="0">
    <w:p w14:paraId="7B409DA4" w14:textId="77777777" w:rsidR="00D076D6" w:rsidRDefault="00D076D6">
      <w:r>
        <w:continuationSeparator/>
      </w:r>
    </w:p>
    <w:p w14:paraId="78EC9522" w14:textId="77777777" w:rsidR="00D076D6" w:rsidRDefault="00D076D6"/>
    <w:p w14:paraId="27224399" w14:textId="77777777" w:rsidR="00D076D6" w:rsidRDefault="00D076D6"/>
  </w:footnote>
  <w:footnote w:type="continuationNotice" w:id="1">
    <w:p w14:paraId="4401E096" w14:textId="77777777" w:rsidR="00D076D6" w:rsidRDefault="00D076D6">
      <w:pPr>
        <w:pStyle w:val="Footer"/>
      </w:pPr>
    </w:p>
    <w:p w14:paraId="1711B070" w14:textId="77777777" w:rsidR="00D076D6" w:rsidRDefault="00D076D6"/>
    <w:p w14:paraId="1CAA7947" w14:textId="77777777" w:rsidR="00D076D6" w:rsidRDefault="00D076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15DA" w14:textId="4D994FED" w:rsidR="00B861B4" w:rsidRDefault="00057E37">
    <w:pPr>
      <w:pStyle w:val="Header"/>
    </w:pPr>
    <w:r>
      <w:rPr>
        <w:noProof/>
        <w:lang w:val="en-US"/>
      </w:rPr>
      <mc:AlternateContent>
        <mc:Choice Requires="wps">
          <w:drawing>
            <wp:anchor distT="0" distB="0" distL="0" distR="0" simplePos="0" relativeHeight="251658241" behindDoc="0" locked="0" layoutInCell="1" allowOverlap="1" wp14:anchorId="6665D2A5" wp14:editId="0DEB7A02">
              <wp:simplePos x="635" y="635"/>
              <wp:positionH relativeFrom="page">
                <wp:align>center</wp:align>
              </wp:positionH>
              <wp:positionV relativeFrom="page">
                <wp:align>top</wp:align>
              </wp:positionV>
              <wp:extent cx="551815" cy="404495"/>
              <wp:effectExtent l="0" t="0" r="635" b="14605"/>
              <wp:wrapNone/>
              <wp:docPr id="13221318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8A6DE1B"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65D2A5"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38A6DE1B"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5E643" w14:textId="0D9C2612" w:rsidR="00B861B4" w:rsidRDefault="00057E37">
    <w:pPr>
      <w:pStyle w:val="Header"/>
    </w:pPr>
    <w:r>
      <w:rPr>
        <w:noProof/>
        <w:lang w:val="en-US"/>
      </w:rPr>
      <mc:AlternateContent>
        <mc:Choice Requires="wps">
          <w:drawing>
            <wp:anchor distT="0" distB="0" distL="0" distR="0" simplePos="0" relativeHeight="251658242" behindDoc="0" locked="0" layoutInCell="1" allowOverlap="1" wp14:anchorId="46C3178F" wp14:editId="62A26264">
              <wp:simplePos x="901065" y="360680"/>
              <wp:positionH relativeFrom="page">
                <wp:align>center</wp:align>
              </wp:positionH>
              <wp:positionV relativeFrom="page">
                <wp:align>top</wp:align>
              </wp:positionV>
              <wp:extent cx="551815" cy="404495"/>
              <wp:effectExtent l="0" t="0" r="635" b="14605"/>
              <wp:wrapNone/>
              <wp:docPr id="9455770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10EB287"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C3178F"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410EB287"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r w:rsidR="00FB549A">
      <w:t>National Bioenergy Feedstock Strategy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EEB12" w14:textId="42C2FE0F" w:rsidR="00B861B4" w:rsidRDefault="00057E37">
    <w:pPr>
      <w:pStyle w:val="Header"/>
      <w:jc w:val="left"/>
    </w:pPr>
    <w:r>
      <w:rPr>
        <w:noProof/>
        <w:lang w:val="en-US"/>
      </w:rPr>
      <mc:AlternateContent>
        <mc:Choice Requires="wps">
          <w:drawing>
            <wp:anchor distT="0" distB="0" distL="0" distR="0" simplePos="0" relativeHeight="251658240" behindDoc="0" locked="0" layoutInCell="1" allowOverlap="1" wp14:anchorId="7CFBE575" wp14:editId="33E0C83D">
              <wp:simplePos x="899770" y="358445"/>
              <wp:positionH relativeFrom="page">
                <wp:align>center</wp:align>
              </wp:positionH>
              <wp:positionV relativeFrom="page">
                <wp:align>top</wp:align>
              </wp:positionV>
              <wp:extent cx="551815" cy="404495"/>
              <wp:effectExtent l="0" t="0" r="635" b="14605"/>
              <wp:wrapNone/>
              <wp:docPr id="4422463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F1BE72A"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FBE575"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5F1BE72A"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BCF8C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DB0538"/>
    <w:multiLevelType w:val="hybridMultilevel"/>
    <w:tmpl w:val="8430B398"/>
    <w:lvl w:ilvl="0" w:tplc="0C09000B">
      <w:start w:val="1"/>
      <w:numFmt w:val="bullet"/>
      <w:lvlText w:val=""/>
      <w:lvlJc w:val="left"/>
      <w:pPr>
        <w:ind w:left="410" w:hanging="360"/>
      </w:pPr>
      <w:rPr>
        <w:rFonts w:ascii="Wingdings" w:hAnsi="Wingdings" w:hint="default"/>
      </w:rPr>
    </w:lvl>
    <w:lvl w:ilvl="1" w:tplc="FFFFFFFF" w:tentative="1">
      <w:start w:val="1"/>
      <w:numFmt w:val="bullet"/>
      <w:lvlText w:val="o"/>
      <w:lvlJc w:val="left"/>
      <w:pPr>
        <w:ind w:left="1130" w:hanging="360"/>
      </w:pPr>
      <w:rPr>
        <w:rFonts w:ascii="Courier New" w:hAnsi="Courier New" w:cs="Courier New" w:hint="default"/>
      </w:rPr>
    </w:lvl>
    <w:lvl w:ilvl="2" w:tplc="FFFFFFFF" w:tentative="1">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2" w15:restartNumberingAfterBreak="0">
    <w:nsid w:val="018913EA"/>
    <w:multiLevelType w:val="multilevel"/>
    <w:tmpl w:val="7C4CE320"/>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187722"/>
    <w:multiLevelType w:val="hybridMultilevel"/>
    <w:tmpl w:val="54B63648"/>
    <w:lvl w:ilvl="0" w:tplc="C75A4E68">
      <w:start w:val="1"/>
      <w:numFmt w:val="bullet"/>
      <w:lvlText w:val=""/>
      <w:lvlJc w:val="left"/>
      <w:pPr>
        <w:ind w:left="720" w:hanging="360"/>
      </w:pPr>
      <w:rPr>
        <w:rFonts w:ascii="Symbol" w:hAnsi="Symbol"/>
      </w:rPr>
    </w:lvl>
    <w:lvl w:ilvl="1" w:tplc="69EC12CA">
      <w:start w:val="1"/>
      <w:numFmt w:val="bullet"/>
      <w:lvlText w:val=""/>
      <w:lvlJc w:val="left"/>
      <w:pPr>
        <w:ind w:left="720" w:hanging="360"/>
      </w:pPr>
      <w:rPr>
        <w:rFonts w:ascii="Symbol" w:hAnsi="Symbol"/>
      </w:rPr>
    </w:lvl>
    <w:lvl w:ilvl="2" w:tplc="43BCFAC8">
      <w:start w:val="1"/>
      <w:numFmt w:val="bullet"/>
      <w:lvlText w:val=""/>
      <w:lvlJc w:val="left"/>
      <w:pPr>
        <w:ind w:left="720" w:hanging="360"/>
      </w:pPr>
      <w:rPr>
        <w:rFonts w:ascii="Symbol" w:hAnsi="Symbol"/>
      </w:rPr>
    </w:lvl>
    <w:lvl w:ilvl="3" w:tplc="89CA9AA8">
      <w:start w:val="1"/>
      <w:numFmt w:val="bullet"/>
      <w:lvlText w:val=""/>
      <w:lvlJc w:val="left"/>
      <w:pPr>
        <w:ind w:left="720" w:hanging="360"/>
      </w:pPr>
      <w:rPr>
        <w:rFonts w:ascii="Symbol" w:hAnsi="Symbol"/>
      </w:rPr>
    </w:lvl>
    <w:lvl w:ilvl="4" w:tplc="8ED4D464">
      <w:start w:val="1"/>
      <w:numFmt w:val="bullet"/>
      <w:lvlText w:val=""/>
      <w:lvlJc w:val="left"/>
      <w:pPr>
        <w:ind w:left="720" w:hanging="360"/>
      </w:pPr>
      <w:rPr>
        <w:rFonts w:ascii="Symbol" w:hAnsi="Symbol"/>
      </w:rPr>
    </w:lvl>
    <w:lvl w:ilvl="5" w:tplc="96407E1C">
      <w:start w:val="1"/>
      <w:numFmt w:val="bullet"/>
      <w:lvlText w:val=""/>
      <w:lvlJc w:val="left"/>
      <w:pPr>
        <w:ind w:left="720" w:hanging="360"/>
      </w:pPr>
      <w:rPr>
        <w:rFonts w:ascii="Symbol" w:hAnsi="Symbol"/>
      </w:rPr>
    </w:lvl>
    <w:lvl w:ilvl="6" w:tplc="55AAB23C">
      <w:start w:val="1"/>
      <w:numFmt w:val="bullet"/>
      <w:lvlText w:val=""/>
      <w:lvlJc w:val="left"/>
      <w:pPr>
        <w:ind w:left="720" w:hanging="360"/>
      </w:pPr>
      <w:rPr>
        <w:rFonts w:ascii="Symbol" w:hAnsi="Symbol"/>
      </w:rPr>
    </w:lvl>
    <w:lvl w:ilvl="7" w:tplc="526685C4">
      <w:start w:val="1"/>
      <w:numFmt w:val="bullet"/>
      <w:lvlText w:val=""/>
      <w:lvlJc w:val="left"/>
      <w:pPr>
        <w:ind w:left="720" w:hanging="360"/>
      </w:pPr>
      <w:rPr>
        <w:rFonts w:ascii="Symbol" w:hAnsi="Symbol"/>
      </w:rPr>
    </w:lvl>
    <w:lvl w:ilvl="8" w:tplc="3954A5F0">
      <w:start w:val="1"/>
      <w:numFmt w:val="bullet"/>
      <w:lvlText w:val=""/>
      <w:lvlJc w:val="left"/>
      <w:pPr>
        <w:ind w:left="720" w:hanging="360"/>
      </w:pPr>
      <w:rPr>
        <w:rFonts w:ascii="Symbol" w:hAnsi="Symbol"/>
      </w:rPr>
    </w:lvl>
  </w:abstractNum>
  <w:abstractNum w:abstractNumId="4" w15:restartNumberingAfterBreak="0">
    <w:nsid w:val="0DA118D6"/>
    <w:multiLevelType w:val="hybridMultilevel"/>
    <w:tmpl w:val="D9145C2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12C7E"/>
    <w:multiLevelType w:val="hybridMultilevel"/>
    <w:tmpl w:val="0E1A3B00"/>
    <w:lvl w:ilvl="0" w:tplc="DAD002EC">
      <w:start w:val="1"/>
      <w:numFmt w:val="bullet"/>
      <w:lvlText w:val=""/>
      <w:lvlJc w:val="left"/>
      <w:pPr>
        <w:ind w:left="720" w:hanging="360"/>
      </w:pPr>
      <w:rPr>
        <w:rFonts w:ascii="Symbol" w:hAnsi="Symbol"/>
      </w:rPr>
    </w:lvl>
    <w:lvl w:ilvl="1" w:tplc="4F282F4A">
      <w:start w:val="1"/>
      <w:numFmt w:val="bullet"/>
      <w:lvlText w:val=""/>
      <w:lvlJc w:val="left"/>
      <w:pPr>
        <w:ind w:left="720" w:hanging="360"/>
      </w:pPr>
      <w:rPr>
        <w:rFonts w:ascii="Symbol" w:hAnsi="Symbol"/>
      </w:rPr>
    </w:lvl>
    <w:lvl w:ilvl="2" w:tplc="B11E6BC2">
      <w:start w:val="1"/>
      <w:numFmt w:val="bullet"/>
      <w:lvlText w:val=""/>
      <w:lvlJc w:val="left"/>
      <w:pPr>
        <w:ind w:left="720" w:hanging="360"/>
      </w:pPr>
      <w:rPr>
        <w:rFonts w:ascii="Symbol" w:hAnsi="Symbol"/>
      </w:rPr>
    </w:lvl>
    <w:lvl w:ilvl="3" w:tplc="54721BA4">
      <w:start w:val="1"/>
      <w:numFmt w:val="bullet"/>
      <w:lvlText w:val=""/>
      <w:lvlJc w:val="left"/>
      <w:pPr>
        <w:ind w:left="720" w:hanging="360"/>
      </w:pPr>
      <w:rPr>
        <w:rFonts w:ascii="Symbol" w:hAnsi="Symbol"/>
      </w:rPr>
    </w:lvl>
    <w:lvl w:ilvl="4" w:tplc="A2FAD626">
      <w:start w:val="1"/>
      <w:numFmt w:val="bullet"/>
      <w:lvlText w:val=""/>
      <w:lvlJc w:val="left"/>
      <w:pPr>
        <w:ind w:left="720" w:hanging="360"/>
      </w:pPr>
      <w:rPr>
        <w:rFonts w:ascii="Symbol" w:hAnsi="Symbol"/>
      </w:rPr>
    </w:lvl>
    <w:lvl w:ilvl="5" w:tplc="0CFEC6D6">
      <w:start w:val="1"/>
      <w:numFmt w:val="bullet"/>
      <w:lvlText w:val=""/>
      <w:lvlJc w:val="left"/>
      <w:pPr>
        <w:ind w:left="720" w:hanging="360"/>
      </w:pPr>
      <w:rPr>
        <w:rFonts w:ascii="Symbol" w:hAnsi="Symbol"/>
      </w:rPr>
    </w:lvl>
    <w:lvl w:ilvl="6" w:tplc="A202A66E">
      <w:start w:val="1"/>
      <w:numFmt w:val="bullet"/>
      <w:lvlText w:val=""/>
      <w:lvlJc w:val="left"/>
      <w:pPr>
        <w:ind w:left="720" w:hanging="360"/>
      </w:pPr>
      <w:rPr>
        <w:rFonts w:ascii="Symbol" w:hAnsi="Symbol"/>
      </w:rPr>
    </w:lvl>
    <w:lvl w:ilvl="7" w:tplc="5A5A9CC8">
      <w:start w:val="1"/>
      <w:numFmt w:val="bullet"/>
      <w:lvlText w:val=""/>
      <w:lvlJc w:val="left"/>
      <w:pPr>
        <w:ind w:left="720" w:hanging="360"/>
      </w:pPr>
      <w:rPr>
        <w:rFonts w:ascii="Symbol" w:hAnsi="Symbol"/>
      </w:rPr>
    </w:lvl>
    <w:lvl w:ilvl="8" w:tplc="46327F5C">
      <w:start w:val="1"/>
      <w:numFmt w:val="bullet"/>
      <w:lvlText w:val=""/>
      <w:lvlJc w:val="left"/>
      <w:pPr>
        <w:ind w:left="720" w:hanging="360"/>
      </w:pPr>
      <w:rPr>
        <w:rFonts w:ascii="Symbol" w:hAnsi="Symbol"/>
      </w:rPr>
    </w:lvl>
  </w:abstractNum>
  <w:abstractNum w:abstractNumId="6"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14D433DF"/>
    <w:multiLevelType w:val="hybridMultilevel"/>
    <w:tmpl w:val="66D21D16"/>
    <w:lvl w:ilvl="0" w:tplc="4210F470">
      <w:start w:val="1"/>
      <w:numFmt w:val="bullet"/>
      <w:lvlText w:val=""/>
      <w:lvlJc w:val="left"/>
      <w:pPr>
        <w:ind w:left="1020" w:hanging="360"/>
      </w:pPr>
      <w:rPr>
        <w:rFonts w:ascii="Symbol" w:hAnsi="Symbol"/>
      </w:rPr>
    </w:lvl>
    <w:lvl w:ilvl="1" w:tplc="1682D142">
      <w:start w:val="1"/>
      <w:numFmt w:val="bullet"/>
      <w:lvlText w:val=""/>
      <w:lvlJc w:val="left"/>
      <w:pPr>
        <w:ind w:left="1020" w:hanging="360"/>
      </w:pPr>
      <w:rPr>
        <w:rFonts w:ascii="Symbol" w:hAnsi="Symbol"/>
      </w:rPr>
    </w:lvl>
    <w:lvl w:ilvl="2" w:tplc="696AA93E">
      <w:start w:val="1"/>
      <w:numFmt w:val="bullet"/>
      <w:lvlText w:val=""/>
      <w:lvlJc w:val="left"/>
      <w:pPr>
        <w:ind w:left="1020" w:hanging="360"/>
      </w:pPr>
      <w:rPr>
        <w:rFonts w:ascii="Symbol" w:hAnsi="Symbol"/>
      </w:rPr>
    </w:lvl>
    <w:lvl w:ilvl="3" w:tplc="1C5C7F74">
      <w:start w:val="1"/>
      <w:numFmt w:val="bullet"/>
      <w:lvlText w:val=""/>
      <w:lvlJc w:val="left"/>
      <w:pPr>
        <w:ind w:left="1020" w:hanging="360"/>
      </w:pPr>
      <w:rPr>
        <w:rFonts w:ascii="Symbol" w:hAnsi="Symbol"/>
      </w:rPr>
    </w:lvl>
    <w:lvl w:ilvl="4" w:tplc="F6D02B74">
      <w:start w:val="1"/>
      <w:numFmt w:val="bullet"/>
      <w:lvlText w:val=""/>
      <w:lvlJc w:val="left"/>
      <w:pPr>
        <w:ind w:left="1020" w:hanging="360"/>
      </w:pPr>
      <w:rPr>
        <w:rFonts w:ascii="Symbol" w:hAnsi="Symbol"/>
      </w:rPr>
    </w:lvl>
    <w:lvl w:ilvl="5" w:tplc="652CE0B4">
      <w:start w:val="1"/>
      <w:numFmt w:val="bullet"/>
      <w:lvlText w:val=""/>
      <w:lvlJc w:val="left"/>
      <w:pPr>
        <w:ind w:left="1020" w:hanging="360"/>
      </w:pPr>
      <w:rPr>
        <w:rFonts w:ascii="Symbol" w:hAnsi="Symbol"/>
      </w:rPr>
    </w:lvl>
    <w:lvl w:ilvl="6" w:tplc="DF4E2D04">
      <w:start w:val="1"/>
      <w:numFmt w:val="bullet"/>
      <w:lvlText w:val=""/>
      <w:lvlJc w:val="left"/>
      <w:pPr>
        <w:ind w:left="1020" w:hanging="360"/>
      </w:pPr>
      <w:rPr>
        <w:rFonts w:ascii="Symbol" w:hAnsi="Symbol"/>
      </w:rPr>
    </w:lvl>
    <w:lvl w:ilvl="7" w:tplc="67D27F74">
      <w:start w:val="1"/>
      <w:numFmt w:val="bullet"/>
      <w:lvlText w:val=""/>
      <w:lvlJc w:val="left"/>
      <w:pPr>
        <w:ind w:left="1020" w:hanging="360"/>
      </w:pPr>
      <w:rPr>
        <w:rFonts w:ascii="Symbol" w:hAnsi="Symbol"/>
      </w:rPr>
    </w:lvl>
    <w:lvl w:ilvl="8" w:tplc="F176C786">
      <w:start w:val="1"/>
      <w:numFmt w:val="bullet"/>
      <w:lvlText w:val=""/>
      <w:lvlJc w:val="left"/>
      <w:pPr>
        <w:ind w:left="1020" w:hanging="360"/>
      </w:pPr>
      <w:rPr>
        <w:rFonts w:ascii="Symbol" w:hAnsi="Symbol"/>
      </w:rPr>
    </w:lvl>
  </w:abstractNum>
  <w:abstractNum w:abstractNumId="8" w15:restartNumberingAfterBreak="0">
    <w:nsid w:val="18E1250F"/>
    <w:multiLevelType w:val="hybridMultilevel"/>
    <w:tmpl w:val="DC6E2C8E"/>
    <w:lvl w:ilvl="0" w:tplc="B23ACD92">
      <w:start w:val="1"/>
      <w:numFmt w:val="bullet"/>
      <w:lvlText w:val=""/>
      <w:lvlJc w:val="left"/>
      <w:pPr>
        <w:ind w:left="1020" w:hanging="360"/>
      </w:pPr>
      <w:rPr>
        <w:rFonts w:ascii="Symbol" w:hAnsi="Symbol"/>
      </w:rPr>
    </w:lvl>
    <w:lvl w:ilvl="1" w:tplc="EE304CF6">
      <w:start w:val="1"/>
      <w:numFmt w:val="bullet"/>
      <w:lvlText w:val=""/>
      <w:lvlJc w:val="left"/>
      <w:pPr>
        <w:ind w:left="1020" w:hanging="360"/>
      </w:pPr>
      <w:rPr>
        <w:rFonts w:ascii="Symbol" w:hAnsi="Symbol"/>
      </w:rPr>
    </w:lvl>
    <w:lvl w:ilvl="2" w:tplc="C860A358">
      <w:start w:val="1"/>
      <w:numFmt w:val="bullet"/>
      <w:lvlText w:val=""/>
      <w:lvlJc w:val="left"/>
      <w:pPr>
        <w:ind w:left="1020" w:hanging="360"/>
      </w:pPr>
      <w:rPr>
        <w:rFonts w:ascii="Symbol" w:hAnsi="Symbol"/>
      </w:rPr>
    </w:lvl>
    <w:lvl w:ilvl="3" w:tplc="0A8A9AD0">
      <w:start w:val="1"/>
      <w:numFmt w:val="bullet"/>
      <w:lvlText w:val=""/>
      <w:lvlJc w:val="left"/>
      <w:pPr>
        <w:ind w:left="1020" w:hanging="360"/>
      </w:pPr>
      <w:rPr>
        <w:rFonts w:ascii="Symbol" w:hAnsi="Symbol"/>
      </w:rPr>
    </w:lvl>
    <w:lvl w:ilvl="4" w:tplc="8D78B0F2">
      <w:start w:val="1"/>
      <w:numFmt w:val="bullet"/>
      <w:lvlText w:val=""/>
      <w:lvlJc w:val="left"/>
      <w:pPr>
        <w:ind w:left="1020" w:hanging="360"/>
      </w:pPr>
      <w:rPr>
        <w:rFonts w:ascii="Symbol" w:hAnsi="Symbol"/>
      </w:rPr>
    </w:lvl>
    <w:lvl w:ilvl="5" w:tplc="D4E29960">
      <w:start w:val="1"/>
      <w:numFmt w:val="bullet"/>
      <w:lvlText w:val=""/>
      <w:lvlJc w:val="left"/>
      <w:pPr>
        <w:ind w:left="1020" w:hanging="360"/>
      </w:pPr>
      <w:rPr>
        <w:rFonts w:ascii="Symbol" w:hAnsi="Symbol"/>
      </w:rPr>
    </w:lvl>
    <w:lvl w:ilvl="6" w:tplc="A6323632">
      <w:start w:val="1"/>
      <w:numFmt w:val="bullet"/>
      <w:lvlText w:val=""/>
      <w:lvlJc w:val="left"/>
      <w:pPr>
        <w:ind w:left="1020" w:hanging="360"/>
      </w:pPr>
      <w:rPr>
        <w:rFonts w:ascii="Symbol" w:hAnsi="Symbol"/>
      </w:rPr>
    </w:lvl>
    <w:lvl w:ilvl="7" w:tplc="6B7CCEF0">
      <w:start w:val="1"/>
      <w:numFmt w:val="bullet"/>
      <w:lvlText w:val=""/>
      <w:lvlJc w:val="left"/>
      <w:pPr>
        <w:ind w:left="1020" w:hanging="360"/>
      </w:pPr>
      <w:rPr>
        <w:rFonts w:ascii="Symbol" w:hAnsi="Symbol"/>
      </w:rPr>
    </w:lvl>
    <w:lvl w:ilvl="8" w:tplc="7812D8C4">
      <w:start w:val="1"/>
      <w:numFmt w:val="bullet"/>
      <w:lvlText w:val=""/>
      <w:lvlJc w:val="left"/>
      <w:pPr>
        <w:ind w:left="1020" w:hanging="360"/>
      </w:pPr>
      <w:rPr>
        <w:rFonts w:ascii="Symbol" w:hAnsi="Symbol"/>
      </w:rPr>
    </w:lvl>
  </w:abstractNum>
  <w:abstractNum w:abstractNumId="9" w15:restartNumberingAfterBreak="0">
    <w:nsid w:val="21E20078"/>
    <w:multiLevelType w:val="multilevel"/>
    <w:tmpl w:val="32E6FFFA"/>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C7F3289"/>
    <w:multiLevelType w:val="hybridMultilevel"/>
    <w:tmpl w:val="F5DCC358"/>
    <w:lvl w:ilvl="0" w:tplc="B05655FC">
      <w:start w:val="1"/>
      <w:numFmt w:val="bullet"/>
      <w:lvlText w:val=""/>
      <w:lvlJc w:val="left"/>
      <w:pPr>
        <w:ind w:left="1020" w:hanging="360"/>
      </w:pPr>
      <w:rPr>
        <w:rFonts w:ascii="Symbol" w:hAnsi="Symbol"/>
      </w:rPr>
    </w:lvl>
    <w:lvl w:ilvl="1" w:tplc="2B7EFC4E">
      <w:start w:val="1"/>
      <w:numFmt w:val="bullet"/>
      <w:lvlText w:val=""/>
      <w:lvlJc w:val="left"/>
      <w:pPr>
        <w:ind w:left="1020" w:hanging="360"/>
      </w:pPr>
      <w:rPr>
        <w:rFonts w:ascii="Symbol" w:hAnsi="Symbol"/>
      </w:rPr>
    </w:lvl>
    <w:lvl w:ilvl="2" w:tplc="F4F4E7E4">
      <w:start w:val="1"/>
      <w:numFmt w:val="bullet"/>
      <w:lvlText w:val=""/>
      <w:lvlJc w:val="left"/>
      <w:pPr>
        <w:ind w:left="1020" w:hanging="360"/>
      </w:pPr>
      <w:rPr>
        <w:rFonts w:ascii="Symbol" w:hAnsi="Symbol"/>
      </w:rPr>
    </w:lvl>
    <w:lvl w:ilvl="3" w:tplc="B13256E2">
      <w:start w:val="1"/>
      <w:numFmt w:val="bullet"/>
      <w:lvlText w:val=""/>
      <w:lvlJc w:val="left"/>
      <w:pPr>
        <w:ind w:left="1020" w:hanging="360"/>
      </w:pPr>
      <w:rPr>
        <w:rFonts w:ascii="Symbol" w:hAnsi="Symbol"/>
      </w:rPr>
    </w:lvl>
    <w:lvl w:ilvl="4" w:tplc="B8AC5140">
      <w:start w:val="1"/>
      <w:numFmt w:val="bullet"/>
      <w:lvlText w:val=""/>
      <w:lvlJc w:val="left"/>
      <w:pPr>
        <w:ind w:left="1020" w:hanging="360"/>
      </w:pPr>
      <w:rPr>
        <w:rFonts w:ascii="Symbol" w:hAnsi="Symbol"/>
      </w:rPr>
    </w:lvl>
    <w:lvl w:ilvl="5" w:tplc="761A37CC">
      <w:start w:val="1"/>
      <w:numFmt w:val="bullet"/>
      <w:lvlText w:val=""/>
      <w:lvlJc w:val="left"/>
      <w:pPr>
        <w:ind w:left="1020" w:hanging="360"/>
      </w:pPr>
      <w:rPr>
        <w:rFonts w:ascii="Symbol" w:hAnsi="Symbol"/>
      </w:rPr>
    </w:lvl>
    <w:lvl w:ilvl="6" w:tplc="F702C18A">
      <w:start w:val="1"/>
      <w:numFmt w:val="bullet"/>
      <w:lvlText w:val=""/>
      <w:lvlJc w:val="left"/>
      <w:pPr>
        <w:ind w:left="1020" w:hanging="360"/>
      </w:pPr>
      <w:rPr>
        <w:rFonts w:ascii="Symbol" w:hAnsi="Symbol"/>
      </w:rPr>
    </w:lvl>
    <w:lvl w:ilvl="7" w:tplc="4844EBA4">
      <w:start w:val="1"/>
      <w:numFmt w:val="bullet"/>
      <w:lvlText w:val=""/>
      <w:lvlJc w:val="left"/>
      <w:pPr>
        <w:ind w:left="1020" w:hanging="360"/>
      </w:pPr>
      <w:rPr>
        <w:rFonts w:ascii="Symbol" w:hAnsi="Symbol"/>
      </w:rPr>
    </w:lvl>
    <w:lvl w:ilvl="8" w:tplc="7750A522">
      <w:start w:val="1"/>
      <w:numFmt w:val="bullet"/>
      <w:lvlText w:val=""/>
      <w:lvlJc w:val="left"/>
      <w:pPr>
        <w:ind w:left="1020" w:hanging="360"/>
      </w:pPr>
      <w:rPr>
        <w:rFonts w:ascii="Symbol" w:hAnsi="Symbol"/>
      </w:rPr>
    </w:lvl>
  </w:abstractNum>
  <w:abstractNum w:abstractNumId="11" w15:restartNumberingAfterBreak="0">
    <w:nsid w:val="334C34B1"/>
    <w:multiLevelType w:val="hybridMultilevel"/>
    <w:tmpl w:val="672A201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18592F"/>
    <w:multiLevelType w:val="hybridMultilevel"/>
    <w:tmpl w:val="438485C2"/>
    <w:lvl w:ilvl="0" w:tplc="06C8A3D4">
      <w:start w:val="1"/>
      <w:numFmt w:val="bullet"/>
      <w:lvlText w:val=""/>
      <w:lvlJc w:val="left"/>
      <w:pPr>
        <w:ind w:left="720" w:hanging="360"/>
      </w:pPr>
      <w:rPr>
        <w:rFonts w:ascii="Symbol" w:hAnsi="Symbol"/>
      </w:rPr>
    </w:lvl>
    <w:lvl w:ilvl="1" w:tplc="6F9AFB0A">
      <w:start w:val="1"/>
      <w:numFmt w:val="bullet"/>
      <w:lvlText w:val=""/>
      <w:lvlJc w:val="left"/>
      <w:pPr>
        <w:ind w:left="720" w:hanging="360"/>
      </w:pPr>
      <w:rPr>
        <w:rFonts w:ascii="Symbol" w:hAnsi="Symbol"/>
      </w:rPr>
    </w:lvl>
    <w:lvl w:ilvl="2" w:tplc="514E9452">
      <w:start w:val="1"/>
      <w:numFmt w:val="bullet"/>
      <w:lvlText w:val=""/>
      <w:lvlJc w:val="left"/>
      <w:pPr>
        <w:ind w:left="720" w:hanging="360"/>
      </w:pPr>
      <w:rPr>
        <w:rFonts w:ascii="Symbol" w:hAnsi="Symbol"/>
      </w:rPr>
    </w:lvl>
    <w:lvl w:ilvl="3" w:tplc="A386C0B6">
      <w:start w:val="1"/>
      <w:numFmt w:val="bullet"/>
      <w:lvlText w:val=""/>
      <w:lvlJc w:val="left"/>
      <w:pPr>
        <w:ind w:left="720" w:hanging="360"/>
      </w:pPr>
      <w:rPr>
        <w:rFonts w:ascii="Symbol" w:hAnsi="Symbol"/>
      </w:rPr>
    </w:lvl>
    <w:lvl w:ilvl="4" w:tplc="BBD451AC">
      <w:start w:val="1"/>
      <w:numFmt w:val="bullet"/>
      <w:lvlText w:val=""/>
      <w:lvlJc w:val="left"/>
      <w:pPr>
        <w:ind w:left="720" w:hanging="360"/>
      </w:pPr>
      <w:rPr>
        <w:rFonts w:ascii="Symbol" w:hAnsi="Symbol"/>
      </w:rPr>
    </w:lvl>
    <w:lvl w:ilvl="5" w:tplc="B65C6F70">
      <w:start w:val="1"/>
      <w:numFmt w:val="bullet"/>
      <w:lvlText w:val=""/>
      <w:lvlJc w:val="left"/>
      <w:pPr>
        <w:ind w:left="720" w:hanging="360"/>
      </w:pPr>
      <w:rPr>
        <w:rFonts w:ascii="Symbol" w:hAnsi="Symbol"/>
      </w:rPr>
    </w:lvl>
    <w:lvl w:ilvl="6" w:tplc="B4AE1324">
      <w:start w:val="1"/>
      <w:numFmt w:val="bullet"/>
      <w:lvlText w:val=""/>
      <w:lvlJc w:val="left"/>
      <w:pPr>
        <w:ind w:left="720" w:hanging="360"/>
      </w:pPr>
      <w:rPr>
        <w:rFonts w:ascii="Symbol" w:hAnsi="Symbol"/>
      </w:rPr>
    </w:lvl>
    <w:lvl w:ilvl="7" w:tplc="9912DB9A">
      <w:start w:val="1"/>
      <w:numFmt w:val="bullet"/>
      <w:lvlText w:val=""/>
      <w:lvlJc w:val="left"/>
      <w:pPr>
        <w:ind w:left="720" w:hanging="360"/>
      </w:pPr>
      <w:rPr>
        <w:rFonts w:ascii="Symbol" w:hAnsi="Symbol"/>
      </w:rPr>
    </w:lvl>
    <w:lvl w:ilvl="8" w:tplc="5C103778">
      <w:start w:val="1"/>
      <w:numFmt w:val="bullet"/>
      <w:lvlText w:val=""/>
      <w:lvlJc w:val="left"/>
      <w:pPr>
        <w:ind w:left="720" w:hanging="360"/>
      </w:pPr>
      <w:rPr>
        <w:rFonts w:ascii="Symbol" w:hAnsi="Symbol"/>
      </w:rPr>
    </w:lvl>
  </w:abstractNum>
  <w:abstractNum w:abstractNumId="13" w15:restartNumberingAfterBreak="0">
    <w:nsid w:val="3C8E432D"/>
    <w:multiLevelType w:val="hybridMultilevel"/>
    <w:tmpl w:val="A17CBB2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405B9B"/>
    <w:multiLevelType w:val="hybridMultilevel"/>
    <w:tmpl w:val="4A4E0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183EF4"/>
    <w:multiLevelType w:val="hybridMultilevel"/>
    <w:tmpl w:val="6F0CABE6"/>
    <w:lvl w:ilvl="0" w:tplc="CC267B8E">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551864"/>
    <w:multiLevelType w:val="hybridMultilevel"/>
    <w:tmpl w:val="142A02CC"/>
    <w:lvl w:ilvl="0" w:tplc="0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86800B4"/>
    <w:multiLevelType w:val="multilevel"/>
    <w:tmpl w:val="A0241B28"/>
    <w:numStyleLink w:val="List1"/>
  </w:abstractNum>
  <w:abstractNum w:abstractNumId="18"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9"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CE40425"/>
    <w:multiLevelType w:val="hybridMultilevel"/>
    <w:tmpl w:val="7B4CA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70342E"/>
    <w:multiLevelType w:val="multilevel"/>
    <w:tmpl w:val="ED2C481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22" w15:restartNumberingAfterBreak="0">
    <w:nsid w:val="59002A8B"/>
    <w:multiLevelType w:val="hybridMultilevel"/>
    <w:tmpl w:val="9BD6E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8B541B"/>
    <w:multiLevelType w:val="multilevel"/>
    <w:tmpl w:val="6614A676"/>
    <w:lvl w:ilvl="0">
      <w:start w:val="1"/>
      <w:numFmt w:val="bullet"/>
      <w:pStyle w:val="Table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AA12966"/>
    <w:multiLevelType w:val="multilevel"/>
    <w:tmpl w:val="A0241B28"/>
    <w:styleLink w:val="List1"/>
    <w:lvl w:ilvl="0">
      <w:start w:val="1"/>
      <w:numFmt w:val="bullet"/>
      <w:lvlText w:val=""/>
      <w:lvlJc w:val="left"/>
      <w:pPr>
        <w:ind w:left="425" w:hanging="425"/>
      </w:pPr>
      <w:rPr>
        <w:rFonts w:ascii="Symbol" w:hAnsi="Symbol" w:hint="default"/>
        <w:color w:val="003150"/>
      </w:rPr>
    </w:lvl>
    <w:lvl w:ilvl="1">
      <w:start w:val="1"/>
      <w:numFmt w:val="bullet"/>
      <w:lvlText w:val=""/>
      <w:lvlJc w:val="left"/>
      <w:pPr>
        <w:ind w:left="851" w:hanging="426"/>
      </w:pPr>
      <w:rPr>
        <w:rFonts w:ascii="Symbol" w:hAnsi="Symbol" w:hint="default"/>
        <w:color w:val="auto"/>
      </w:rPr>
    </w:lvl>
    <w:lvl w:ilvl="2">
      <w:start w:val="1"/>
      <w:numFmt w:val="bullet"/>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5" w15:restartNumberingAfterBreak="0">
    <w:nsid w:val="5B633C91"/>
    <w:multiLevelType w:val="hybridMultilevel"/>
    <w:tmpl w:val="72F6A50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7" w15:restartNumberingAfterBreak="0">
    <w:nsid w:val="65886B16"/>
    <w:multiLevelType w:val="hybridMultilevel"/>
    <w:tmpl w:val="D8189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E933D3"/>
    <w:multiLevelType w:val="hybridMultilevel"/>
    <w:tmpl w:val="FCF2521C"/>
    <w:lvl w:ilvl="0" w:tplc="B4801282">
      <w:start w:val="1"/>
      <w:numFmt w:val="bullet"/>
      <w:pStyle w:val="Dotpoint"/>
      <w:lvlText w:val=""/>
      <w:lvlJc w:val="left"/>
      <w:pPr>
        <w:ind w:left="502" w:hanging="360"/>
      </w:pPr>
      <w:rPr>
        <w:rFonts w:ascii="Symbol" w:hAnsi="Symbol" w:hint="default"/>
      </w:rPr>
    </w:lvl>
    <w:lvl w:ilvl="1" w:tplc="5BBCBBAA">
      <w:start w:val="1"/>
      <w:numFmt w:val="bullet"/>
      <w:pStyle w:val="Sub-dotpoint"/>
      <w:lvlText w:val="o"/>
      <w:lvlJc w:val="left"/>
      <w:pPr>
        <w:ind w:left="1440" w:hanging="360"/>
      </w:pPr>
      <w:rPr>
        <w:rFonts w:ascii="Courier New" w:hAnsi="Courier New" w:cs="Courier New" w:hint="default"/>
      </w:rPr>
    </w:lvl>
    <w:lvl w:ilvl="2" w:tplc="F634B256">
      <w:start w:val="1"/>
      <w:numFmt w:val="bullet"/>
      <w:lvlText w:val=""/>
      <w:lvlJc w:val="left"/>
      <w:pPr>
        <w:ind w:left="2160" w:hanging="360"/>
      </w:pPr>
      <w:rPr>
        <w:rFonts w:ascii="Wingdings" w:hAnsi="Wingdings" w:hint="default"/>
      </w:rPr>
    </w:lvl>
    <w:lvl w:ilvl="3" w:tplc="354ABE74" w:tentative="1">
      <w:start w:val="1"/>
      <w:numFmt w:val="bullet"/>
      <w:lvlText w:val=""/>
      <w:lvlJc w:val="left"/>
      <w:pPr>
        <w:ind w:left="2880" w:hanging="360"/>
      </w:pPr>
      <w:rPr>
        <w:rFonts w:ascii="Symbol" w:hAnsi="Symbol" w:hint="default"/>
      </w:rPr>
    </w:lvl>
    <w:lvl w:ilvl="4" w:tplc="E1CE4FFA" w:tentative="1">
      <w:start w:val="1"/>
      <w:numFmt w:val="bullet"/>
      <w:lvlText w:val="o"/>
      <w:lvlJc w:val="left"/>
      <w:pPr>
        <w:ind w:left="3600" w:hanging="360"/>
      </w:pPr>
      <w:rPr>
        <w:rFonts w:ascii="Courier New" w:hAnsi="Courier New" w:cs="Courier New" w:hint="default"/>
      </w:rPr>
    </w:lvl>
    <w:lvl w:ilvl="5" w:tplc="B5D6817E" w:tentative="1">
      <w:start w:val="1"/>
      <w:numFmt w:val="bullet"/>
      <w:lvlText w:val=""/>
      <w:lvlJc w:val="left"/>
      <w:pPr>
        <w:ind w:left="4320" w:hanging="360"/>
      </w:pPr>
      <w:rPr>
        <w:rFonts w:ascii="Wingdings" w:hAnsi="Wingdings" w:hint="default"/>
      </w:rPr>
    </w:lvl>
    <w:lvl w:ilvl="6" w:tplc="2512AEA2" w:tentative="1">
      <w:start w:val="1"/>
      <w:numFmt w:val="bullet"/>
      <w:lvlText w:val=""/>
      <w:lvlJc w:val="left"/>
      <w:pPr>
        <w:ind w:left="5040" w:hanging="360"/>
      </w:pPr>
      <w:rPr>
        <w:rFonts w:ascii="Symbol" w:hAnsi="Symbol" w:hint="default"/>
      </w:rPr>
    </w:lvl>
    <w:lvl w:ilvl="7" w:tplc="1598AB0A" w:tentative="1">
      <w:start w:val="1"/>
      <w:numFmt w:val="bullet"/>
      <w:lvlText w:val="o"/>
      <w:lvlJc w:val="left"/>
      <w:pPr>
        <w:ind w:left="5760" w:hanging="360"/>
      </w:pPr>
      <w:rPr>
        <w:rFonts w:ascii="Courier New" w:hAnsi="Courier New" w:cs="Courier New" w:hint="default"/>
      </w:rPr>
    </w:lvl>
    <w:lvl w:ilvl="8" w:tplc="1A8842D6" w:tentative="1">
      <w:start w:val="1"/>
      <w:numFmt w:val="bullet"/>
      <w:lvlText w:val=""/>
      <w:lvlJc w:val="left"/>
      <w:pPr>
        <w:ind w:left="6480" w:hanging="360"/>
      </w:pPr>
      <w:rPr>
        <w:rFonts w:ascii="Wingdings" w:hAnsi="Wingdings" w:hint="default"/>
      </w:rPr>
    </w:lvl>
  </w:abstractNum>
  <w:abstractNum w:abstractNumId="29" w15:restartNumberingAfterBreak="0">
    <w:nsid w:val="676E3536"/>
    <w:multiLevelType w:val="hybridMultilevel"/>
    <w:tmpl w:val="242AD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9C70CCC"/>
    <w:multiLevelType w:val="hybridMultilevel"/>
    <w:tmpl w:val="526EC34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F6488C"/>
    <w:multiLevelType w:val="hybridMultilevel"/>
    <w:tmpl w:val="D43EE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1057155">
    <w:abstractNumId w:val="24"/>
  </w:num>
  <w:num w:numId="2" w16cid:durableId="1639215797">
    <w:abstractNumId w:val="26"/>
  </w:num>
  <w:num w:numId="3" w16cid:durableId="1643265712">
    <w:abstractNumId w:val="9"/>
  </w:num>
  <w:num w:numId="4" w16cid:durableId="1568950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6202022">
    <w:abstractNumId w:val="19"/>
  </w:num>
  <w:num w:numId="6" w16cid:durableId="281765065">
    <w:abstractNumId w:val="23"/>
  </w:num>
  <w:num w:numId="7" w16cid:durableId="2092000146">
    <w:abstractNumId w:val="18"/>
  </w:num>
  <w:num w:numId="8" w16cid:durableId="864908900">
    <w:abstractNumId w:val="9"/>
    <w:lvlOverride w:ilvl="0">
      <w:lvl w:ilvl="0">
        <w:start w:val="1"/>
        <w:numFmt w:val="decimal"/>
        <w:pStyle w:val="Heading2"/>
        <w:lvlText w:val="%1"/>
        <w:lvlJc w:val="left"/>
        <w:pPr>
          <w:ind w:left="720" w:hanging="720"/>
        </w:pPr>
        <w:rPr>
          <w:color w:val="auto"/>
        </w:rPr>
      </w:lvl>
    </w:lvlOverride>
  </w:num>
  <w:num w:numId="9" w16cid:durableId="1469322956">
    <w:abstractNumId w:val="24"/>
  </w:num>
  <w:num w:numId="10" w16cid:durableId="1341661948">
    <w:abstractNumId w:val="26"/>
  </w:num>
  <w:num w:numId="11" w16cid:durableId="1983389004">
    <w:abstractNumId w:val="6"/>
  </w:num>
  <w:num w:numId="12" w16cid:durableId="1510218002">
    <w:abstractNumId w:val="21"/>
  </w:num>
  <w:num w:numId="13" w16cid:durableId="2088572344">
    <w:abstractNumId w:val="15"/>
  </w:num>
  <w:num w:numId="14" w16cid:durableId="1721132150">
    <w:abstractNumId w:val="29"/>
  </w:num>
  <w:num w:numId="15" w16cid:durableId="1362634765">
    <w:abstractNumId w:val="31"/>
  </w:num>
  <w:num w:numId="16" w16cid:durableId="1180970162">
    <w:abstractNumId w:val="31"/>
  </w:num>
  <w:num w:numId="17" w16cid:durableId="1606646691">
    <w:abstractNumId w:val="31"/>
  </w:num>
  <w:num w:numId="18" w16cid:durableId="2013532180">
    <w:abstractNumId w:val="31"/>
  </w:num>
  <w:num w:numId="19" w16cid:durableId="1361395064">
    <w:abstractNumId w:val="30"/>
  </w:num>
  <w:num w:numId="20" w16cid:durableId="447628219">
    <w:abstractNumId w:val="0"/>
  </w:num>
  <w:num w:numId="21" w16cid:durableId="1863518738">
    <w:abstractNumId w:val="2"/>
  </w:num>
  <w:num w:numId="22" w16cid:durableId="7741777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68399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4629787">
    <w:abstractNumId w:val="9"/>
    <w:lvlOverride w:ilvl="0">
      <w:lvl w:ilvl="0">
        <w:start w:val="1"/>
        <w:numFmt w:val="decimal"/>
        <w:pStyle w:val="Heading2"/>
        <w:lvlText w:val="%1"/>
        <w:lvlJc w:val="left"/>
        <w:pPr>
          <w:ind w:left="720" w:hanging="720"/>
        </w:pPr>
      </w:lvl>
    </w:lvlOverride>
  </w:num>
  <w:num w:numId="25" w16cid:durableId="536505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495813">
    <w:abstractNumId w:val="1"/>
  </w:num>
  <w:num w:numId="27" w16cid:durableId="581524304">
    <w:abstractNumId w:val="25"/>
  </w:num>
  <w:num w:numId="28" w16cid:durableId="355421613">
    <w:abstractNumId w:val="11"/>
  </w:num>
  <w:num w:numId="29" w16cid:durableId="1553686290">
    <w:abstractNumId w:val="4"/>
  </w:num>
  <w:num w:numId="30" w16cid:durableId="2104766765">
    <w:abstractNumId w:val="13"/>
  </w:num>
  <w:num w:numId="31" w16cid:durableId="1649941491">
    <w:abstractNumId w:val="32"/>
  </w:num>
  <w:num w:numId="32" w16cid:durableId="94058609">
    <w:abstractNumId w:val="7"/>
  </w:num>
  <w:num w:numId="33" w16cid:durableId="1326201906">
    <w:abstractNumId w:val="10"/>
  </w:num>
  <w:num w:numId="34" w16cid:durableId="1046291501">
    <w:abstractNumId w:val="8"/>
  </w:num>
  <w:num w:numId="35" w16cid:durableId="145827293">
    <w:abstractNumId w:val="20"/>
  </w:num>
  <w:num w:numId="36" w16cid:durableId="1632786932">
    <w:abstractNumId w:val="14"/>
  </w:num>
  <w:num w:numId="37" w16cid:durableId="1070423476">
    <w:abstractNumId w:val="3"/>
  </w:num>
  <w:num w:numId="38" w16cid:durableId="776172114">
    <w:abstractNumId w:val="5"/>
  </w:num>
  <w:num w:numId="39" w16cid:durableId="842864686">
    <w:abstractNumId w:val="12"/>
  </w:num>
  <w:num w:numId="40" w16cid:durableId="1697847042">
    <w:abstractNumId w:val="9"/>
    <w:lvlOverride w:ilvl="0">
      <w:lvl w:ilvl="0">
        <w:start w:val="1"/>
        <w:numFmt w:val="decimal"/>
        <w:pStyle w:val="Heading2"/>
        <w:lvlText w:val="%1"/>
        <w:lvlJc w:val="left"/>
        <w:pPr>
          <w:ind w:left="720" w:hanging="720"/>
        </w:pPr>
        <w:rPr>
          <w:color w:val="auto"/>
        </w:rPr>
      </w:lvl>
    </w:lvlOverride>
  </w:num>
  <w:num w:numId="41" w16cid:durableId="1251699597">
    <w:abstractNumId w:val="9"/>
    <w:lvlOverride w:ilvl="0">
      <w:lvl w:ilvl="0">
        <w:start w:val="1"/>
        <w:numFmt w:val="decimal"/>
        <w:pStyle w:val="Heading2"/>
        <w:lvlText w:val="%1"/>
        <w:lvlJc w:val="left"/>
        <w:pPr>
          <w:ind w:left="720" w:hanging="720"/>
        </w:pPr>
        <w:rPr>
          <w:color w:val="auto"/>
        </w:rPr>
      </w:lvl>
    </w:lvlOverride>
  </w:num>
  <w:num w:numId="42" w16cid:durableId="178279586">
    <w:abstractNumId w:val="9"/>
    <w:lvlOverride w:ilvl="0">
      <w:lvl w:ilvl="0">
        <w:start w:val="1"/>
        <w:numFmt w:val="decimal"/>
        <w:pStyle w:val="Heading2"/>
        <w:lvlText w:val="%1"/>
        <w:lvlJc w:val="left"/>
        <w:pPr>
          <w:ind w:left="720" w:hanging="720"/>
        </w:pPr>
        <w:rPr>
          <w:color w:val="auto"/>
        </w:rPr>
      </w:lvl>
    </w:lvlOverride>
  </w:num>
  <w:num w:numId="43" w16cid:durableId="1632855849">
    <w:abstractNumId w:val="9"/>
    <w:lvlOverride w:ilvl="0">
      <w:lvl w:ilvl="0">
        <w:start w:val="1"/>
        <w:numFmt w:val="decimal"/>
        <w:pStyle w:val="Heading2"/>
        <w:lvlText w:val="%1"/>
        <w:lvlJc w:val="left"/>
        <w:pPr>
          <w:ind w:left="720" w:hanging="720"/>
        </w:pPr>
        <w:rPr>
          <w:color w:val="auto"/>
        </w:rPr>
      </w:lvl>
    </w:lvlOverride>
  </w:num>
  <w:num w:numId="44" w16cid:durableId="1653022924">
    <w:abstractNumId w:val="9"/>
    <w:lvlOverride w:ilvl="0">
      <w:lvl w:ilvl="0">
        <w:start w:val="1"/>
        <w:numFmt w:val="decimal"/>
        <w:pStyle w:val="Heading2"/>
        <w:lvlText w:val="%1"/>
        <w:lvlJc w:val="left"/>
        <w:pPr>
          <w:ind w:left="720" w:hanging="720"/>
        </w:pPr>
        <w:rPr>
          <w:color w:val="auto"/>
        </w:rPr>
      </w:lvl>
    </w:lvlOverride>
  </w:num>
  <w:num w:numId="45" w16cid:durableId="1594049516">
    <w:abstractNumId w:val="16"/>
  </w:num>
  <w:num w:numId="46" w16cid:durableId="1368948298">
    <w:abstractNumId w:val="28"/>
  </w:num>
  <w:num w:numId="47" w16cid:durableId="1988246127">
    <w:abstractNumId w:val="33"/>
  </w:num>
  <w:num w:numId="48" w16cid:durableId="1468431017">
    <w:abstractNumId w:val="27"/>
  </w:num>
  <w:num w:numId="49" w16cid:durableId="1702434672">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9D"/>
    <w:rsid w:val="0000005A"/>
    <w:rsid w:val="00000C1C"/>
    <w:rsid w:val="00001287"/>
    <w:rsid w:val="00001292"/>
    <w:rsid w:val="00002926"/>
    <w:rsid w:val="00002BEE"/>
    <w:rsid w:val="00002BEF"/>
    <w:rsid w:val="00002EDE"/>
    <w:rsid w:val="00002FE5"/>
    <w:rsid w:val="0000312F"/>
    <w:rsid w:val="000031FD"/>
    <w:rsid w:val="000032AD"/>
    <w:rsid w:val="000032D0"/>
    <w:rsid w:val="000037AC"/>
    <w:rsid w:val="00003BEB"/>
    <w:rsid w:val="00003CBF"/>
    <w:rsid w:val="00004623"/>
    <w:rsid w:val="00005AF7"/>
    <w:rsid w:val="00005EDB"/>
    <w:rsid w:val="0000639F"/>
    <w:rsid w:val="000064A4"/>
    <w:rsid w:val="00006B4C"/>
    <w:rsid w:val="00006C0E"/>
    <w:rsid w:val="00006D71"/>
    <w:rsid w:val="00006F96"/>
    <w:rsid w:val="000070E1"/>
    <w:rsid w:val="0000741B"/>
    <w:rsid w:val="00010585"/>
    <w:rsid w:val="00010CCB"/>
    <w:rsid w:val="00010EA3"/>
    <w:rsid w:val="000113C7"/>
    <w:rsid w:val="00011D84"/>
    <w:rsid w:val="000120EE"/>
    <w:rsid w:val="0001235B"/>
    <w:rsid w:val="000126F7"/>
    <w:rsid w:val="000128BB"/>
    <w:rsid w:val="00012CF4"/>
    <w:rsid w:val="00013082"/>
    <w:rsid w:val="0001331A"/>
    <w:rsid w:val="0001359C"/>
    <w:rsid w:val="00014EE1"/>
    <w:rsid w:val="000156B1"/>
    <w:rsid w:val="00015BED"/>
    <w:rsid w:val="00015C04"/>
    <w:rsid w:val="0001664D"/>
    <w:rsid w:val="000166A6"/>
    <w:rsid w:val="00017214"/>
    <w:rsid w:val="000173BB"/>
    <w:rsid w:val="00017592"/>
    <w:rsid w:val="00017FEE"/>
    <w:rsid w:val="00020B25"/>
    <w:rsid w:val="000210AF"/>
    <w:rsid w:val="00022395"/>
    <w:rsid w:val="00022968"/>
    <w:rsid w:val="00023804"/>
    <w:rsid w:val="0002432D"/>
    <w:rsid w:val="0002466E"/>
    <w:rsid w:val="000247EA"/>
    <w:rsid w:val="000247F6"/>
    <w:rsid w:val="0002567E"/>
    <w:rsid w:val="00025896"/>
    <w:rsid w:val="00026306"/>
    <w:rsid w:val="00026FEC"/>
    <w:rsid w:val="0002739D"/>
    <w:rsid w:val="000279C1"/>
    <w:rsid w:val="00030B19"/>
    <w:rsid w:val="000311AD"/>
    <w:rsid w:val="000317CE"/>
    <w:rsid w:val="00031AAB"/>
    <w:rsid w:val="000320B9"/>
    <w:rsid w:val="000325FD"/>
    <w:rsid w:val="000333A4"/>
    <w:rsid w:val="000342CD"/>
    <w:rsid w:val="000352B4"/>
    <w:rsid w:val="00035B28"/>
    <w:rsid w:val="00035BC1"/>
    <w:rsid w:val="00036245"/>
    <w:rsid w:val="00036A02"/>
    <w:rsid w:val="00037737"/>
    <w:rsid w:val="00037DB7"/>
    <w:rsid w:val="0004025F"/>
    <w:rsid w:val="0004043F"/>
    <w:rsid w:val="00040869"/>
    <w:rsid w:val="00040BA4"/>
    <w:rsid w:val="00040FD8"/>
    <w:rsid w:val="000411FB"/>
    <w:rsid w:val="00041364"/>
    <w:rsid w:val="00041A50"/>
    <w:rsid w:val="00041E2D"/>
    <w:rsid w:val="00041F81"/>
    <w:rsid w:val="000424AB"/>
    <w:rsid w:val="00042805"/>
    <w:rsid w:val="0004310B"/>
    <w:rsid w:val="00043D6F"/>
    <w:rsid w:val="000441A7"/>
    <w:rsid w:val="000442DA"/>
    <w:rsid w:val="000448DA"/>
    <w:rsid w:val="000449D8"/>
    <w:rsid w:val="000450BB"/>
    <w:rsid w:val="00045FED"/>
    <w:rsid w:val="000468AF"/>
    <w:rsid w:val="000470FD"/>
    <w:rsid w:val="00047A5E"/>
    <w:rsid w:val="00050330"/>
    <w:rsid w:val="00050417"/>
    <w:rsid w:val="000507C5"/>
    <w:rsid w:val="00051056"/>
    <w:rsid w:val="00051229"/>
    <w:rsid w:val="00051379"/>
    <w:rsid w:val="000513C9"/>
    <w:rsid w:val="00052A8B"/>
    <w:rsid w:val="000530BC"/>
    <w:rsid w:val="00053EB9"/>
    <w:rsid w:val="000540A9"/>
    <w:rsid w:val="000547B9"/>
    <w:rsid w:val="00054947"/>
    <w:rsid w:val="00056015"/>
    <w:rsid w:val="00056847"/>
    <w:rsid w:val="00056FCB"/>
    <w:rsid w:val="00057234"/>
    <w:rsid w:val="000577B1"/>
    <w:rsid w:val="00057A7A"/>
    <w:rsid w:val="00057B66"/>
    <w:rsid w:val="00057E37"/>
    <w:rsid w:val="0006020A"/>
    <w:rsid w:val="00060819"/>
    <w:rsid w:val="00060A34"/>
    <w:rsid w:val="00060AEB"/>
    <w:rsid w:val="00060D8E"/>
    <w:rsid w:val="00061038"/>
    <w:rsid w:val="000612F2"/>
    <w:rsid w:val="00061445"/>
    <w:rsid w:val="000616B8"/>
    <w:rsid w:val="00062B6C"/>
    <w:rsid w:val="00062E02"/>
    <w:rsid w:val="00063001"/>
    <w:rsid w:val="000630B0"/>
    <w:rsid w:val="0006317C"/>
    <w:rsid w:val="00064605"/>
    <w:rsid w:val="00064A21"/>
    <w:rsid w:val="00065A57"/>
    <w:rsid w:val="00066EB6"/>
    <w:rsid w:val="00067E29"/>
    <w:rsid w:val="00071014"/>
    <w:rsid w:val="00071136"/>
    <w:rsid w:val="000712A7"/>
    <w:rsid w:val="00071467"/>
    <w:rsid w:val="000715F1"/>
    <w:rsid w:val="00071927"/>
    <w:rsid w:val="00071CF6"/>
    <w:rsid w:val="0007246E"/>
    <w:rsid w:val="000724E4"/>
    <w:rsid w:val="000729D6"/>
    <w:rsid w:val="00072B40"/>
    <w:rsid w:val="00072BF3"/>
    <w:rsid w:val="00072FF2"/>
    <w:rsid w:val="000733AD"/>
    <w:rsid w:val="00073D06"/>
    <w:rsid w:val="00074674"/>
    <w:rsid w:val="00074690"/>
    <w:rsid w:val="00074734"/>
    <w:rsid w:val="00074B0A"/>
    <w:rsid w:val="00075152"/>
    <w:rsid w:val="00075A00"/>
    <w:rsid w:val="0007615B"/>
    <w:rsid w:val="0007660D"/>
    <w:rsid w:val="000769D3"/>
    <w:rsid w:val="00076B27"/>
    <w:rsid w:val="00076D36"/>
    <w:rsid w:val="00077830"/>
    <w:rsid w:val="00077CC3"/>
    <w:rsid w:val="00081420"/>
    <w:rsid w:val="00082215"/>
    <w:rsid w:val="000822AD"/>
    <w:rsid w:val="00082369"/>
    <w:rsid w:val="000826A3"/>
    <w:rsid w:val="000834E7"/>
    <w:rsid w:val="00083846"/>
    <w:rsid w:val="00084455"/>
    <w:rsid w:val="00084FA1"/>
    <w:rsid w:val="0008624E"/>
    <w:rsid w:val="000866C8"/>
    <w:rsid w:val="00086814"/>
    <w:rsid w:val="000869AB"/>
    <w:rsid w:val="00086A74"/>
    <w:rsid w:val="000874B4"/>
    <w:rsid w:val="00090112"/>
    <w:rsid w:val="00090294"/>
    <w:rsid w:val="00090680"/>
    <w:rsid w:val="00090BB8"/>
    <w:rsid w:val="00090DA2"/>
    <w:rsid w:val="00090FD7"/>
    <w:rsid w:val="00091544"/>
    <w:rsid w:val="00091671"/>
    <w:rsid w:val="000919F3"/>
    <w:rsid w:val="0009207D"/>
    <w:rsid w:val="00092855"/>
    <w:rsid w:val="000928C0"/>
    <w:rsid w:val="000929D4"/>
    <w:rsid w:val="00092DDA"/>
    <w:rsid w:val="0009382D"/>
    <w:rsid w:val="00094055"/>
    <w:rsid w:val="000942EE"/>
    <w:rsid w:val="000945AB"/>
    <w:rsid w:val="00094FE3"/>
    <w:rsid w:val="00095609"/>
    <w:rsid w:val="00095C3C"/>
    <w:rsid w:val="00096D75"/>
    <w:rsid w:val="00096DEA"/>
    <w:rsid w:val="000970BC"/>
    <w:rsid w:val="000972F1"/>
    <w:rsid w:val="000973D8"/>
    <w:rsid w:val="000979B6"/>
    <w:rsid w:val="00097BF5"/>
    <w:rsid w:val="00097FA8"/>
    <w:rsid w:val="000A0925"/>
    <w:rsid w:val="000A0A3C"/>
    <w:rsid w:val="000A1290"/>
    <w:rsid w:val="000A1586"/>
    <w:rsid w:val="000A166C"/>
    <w:rsid w:val="000A19AC"/>
    <w:rsid w:val="000A19DC"/>
    <w:rsid w:val="000A2257"/>
    <w:rsid w:val="000A294F"/>
    <w:rsid w:val="000A2A87"/>
    <w:rsid w:val="000A3406"/>
    <w:rsid w:val="000A37F3"/>
    <w:rsid w:val="000A3912"/>
    <w:rsid w:val="000A3FD8"/>
    <w:rsid w:val="000A4985"/>
    <w:rsid w:val="000A4A99"/>
    <w:rsid w:val="000A4C2A"/>
    <w:rsid w:val="000A4E7E"/>
    <w:rsid w:val="000A56AF"/>
    <w:rsid w:val="000A5782"/>
    <w:rsid w:val="000A593A"/>
    <w:rsid w:val="000A64A9"/>
    <w:rsid w:val="000A727F"/>
    <w:rsid w:val="000A7438"/>
    <w:rsid w:val="000A765D"/>
    <w:rsid w:val="000A7AAF"/>
    <w:rsid w:val="000A7B32"/>
    <w:rsid w:val="000A7EFA"/>
    <w:rsid w:val="000B0433"/>
    <w:rsid w:val="000B0801"/>
    <w:rsid w:val="000B109D"/>
    <w:rsid w:val="000B13BC"/>
    <w:rsid w:val="000B17B5"/>
    <w:rsid w:val="000B1A96"/>
    <w:rsid w:val="000B1DBE"/>
    <w:rsid w:val="000B2456"/>
    <w:rsid w:val="000B386F"/>
    <w:rsid w:val="000B3900"/>
    <w:rsid w:val="000B3E77"/>
    <w:rsid w:val="000B483C"/>
    <w:rsid w:val="000B4ED1"/>
    <w:rsid w:val="000B505E"/>
    <w:rsid w:val="000B56C6"/>
    <w:rsid w:val="000B57EE"/>
    <w:rsid w:val="000B5B3D"/>
    <w:rsid w:val="000B6F07"/>
    <w:rsid w:val="000C07EF"/>
    <w:rsid w:val="000C0D36"/>
    <w:rsid w:val="000C15E6"/>
    <w:rsid w:val="000C1753"/>
    <w:rsid w:val="000C2CDE"/>
    <w:rsid w:val="000C2F80"/>
    <w:rsid w:val="000C3416"/>
    <w:rsid w:val="000C341C"/>
    <w:rsid w:val="000C3730"/>
    <w:rsid w:val="000C4E7D"/>
    <w:rsid w:val="000C4E93"/>
    <w:rsid w:val="000C57AD"/>
    <w:rsid w:val="000C6462"/>
    <w:rsid w:val="000C65A5"/>
    <w:rsid w:val="000C6C0C"/>
    <w:rsid w:val="000C7298"/>
    <w:rsid w:val="000C7435"/>
    <w:rsid w:val="000C74DB"/>
    <w:rsid w:val="000D0900"/>
    <w:rsid w:val="000D0A57"/>
    <w:rsid w:val="000D0E6A"/>
    <w:rsid w:val="000D1807"/>
    <w:rsid w:val="000D18D2"/>
    <w:rsid w:val="000D1FFC"/>
    <w:rsid w:val="000D4614"/>
    <w:rsid w:val="000D4772"/>
    <w:rsid w:val="000D4A14"/>
    <w:rsid w:val="000D5EAD"/>
    <w:rsid w:val="000D61B9"/>
    <w:rsid w:val="000D67E3"/>
    <w:rsid w:val="000D6D74"/>
    <w:rsid w:val="000D79B1"/>
    <w:rsid w:val="000D7EC3"/>
    <w:rsid w:val="000E04D3"/>
    <w:rsid w:val="000E096B"/>
    <w:rsid w:val="000E0E25"/>
    <w:rsid w:val="000E1360"/>
    <w:rsid w:val="000E2DCB"/>
    <w:rsid w:val="000E3A17"/>
    <w:rsid w:val="000E42BF"/>
    <w:rsid w:val="000E470F"/>
    <w:rsid w:val="000E49BC"/>
    <w:rsid w:val="000E53F5"/>
    <w:rsid w:val="000E56D1"/>
    <w:rsid w:val="000E59A9"/>
    <w:rsid w:val="000E5BF0"/>
    <w:rsid w:val="000E67E5"/>
    <w:rsid w:val="000E6B5C"/>
    <w:rsid w:val="000E7767"/>
    <w:rsid w:val="000F0C70"/>
    <w:rsid w:val="000F2230"/>
    <w:rsid w:val="000F232E"/>
    <w:rsid w:val="000F25D9"/>
    <w:rsid w:val="000F2896"/>
    <w:rsid w:val="000F296D"/>
    <w:rsid w:val="000F32C1"/>
    <w:rsid w:val="000F3320"/>
    <w:rsid w:val="000F466E"/>
    <w:rsid w:val="000F4CF8"/>
    <w:rsid w:val="000F5082"/>
    <w:rsid w:val="000F539F"/>
    <w:rsid w:val="000F5437"/>
    <w:rsid w:val="000F54BC"/>
    <w:rsid w:val="000F54D9"/>
    <w:rsid w:val="000F56DA"/>
    <w:rsid w:val="000F5D07"/>
    <w:rsid w:val="000F62DE"/>
    <w:rsid w:val="000F69D3"/>
    <w:rsid w:val="000F6B78"/>
    <w:rsid w:val="000F6E6A"/>
    <w:rsid w:val="000F6F00"/>
    <w:rsid w:val="000F7306"/>
    <w:rsid w:val="000F735F"/>
    <w:rsid w:val="000F755E"/>
    <w:rsid w:val="000F79E5"/>
    <w:rsid w:val="00101241"/>
    <w:rsid w:val="00101328"/>
    <w:rsid w:val="001013AD"/>
    <w:rsid w:val="00101695"/>
    <w:rsid w:val="00101789"/>
    <w:rsid w:val="001019E7"/>
    <w:rsid w:val="00101A51"/>
    <w:rsid w:val="00101A69"/>
    <w:rsid w:val="00102599"/>
    <w:rsid w:val="0010269C"/>
    <w:rsid w:val="00102A64"/>
    <w:rsid w:val="00102AE0"/>
    <w:rsid w:val="00102FDD"/>
    <w:rsid w:val="001032C7"/>
    <w:rsid w:val="00103505"/>
    <w:rsid w:val="001040D9"/>
    <w:rsid w:val="001049CD"/>
    <w:rsid w:val="00104ADE"/>
    <w:rsid w:val="00104B1A"/>
    <w:rsid w:val="00105279"/>
    <w:rsid w:val="00105B16"/>
    <w:rsid w:val="00105BF8"/>
    <w:rsid w:val="00106E54"/>
    <w:rsid w:val="001075C8"/>
    <w:rsid w:val="00110300"/>
    <w:rsid w:val="001108E7"/>
    <w:rsid w:val="00110D92"/>
    <w:rsid w:val="00110F32"/>
    <w:rsid w:val="00111336"/>
    <w:rsid w:val="001116C3"/>
    <w:rsid w:val="00111B8E"/>
    <w:rsid w:val="00112C04"/>
    <w:rsid w:val="00113148"/>
    <w:rsid w:val="00114553"/>
    <w:rsid w:val="001148F8"/>
    <w:rsid w:val="00114C55"/>
    <w:rsid w:val="00115437"/>
    <w:rsid w:val="001156AF"/>
    <w:rsid w:val="001163B7"/>
    <w:rsid w:val="00116C7E"/>
    <w:rsid w:val="00117331"/>
    <w:rsid w:val="001176A1"/>
    <w:rsid w:val="0011777F"/>
    <w:rsid w:val="00117BA9"/>
    <w:rsid w:val="001201DA"/>
    <w:rsid w:val="00120414"/>
    <w:rsid w:val="0012096E"/>
    <w:rsid w:val="00120A86"/>
    <w:rsid w:val="00121009"/>
    <w:rsid w:val="00121035"/>
    <w:rsid w:val="001219FA"/>
    <w:rsid w:val="00121D29"/>
    <w:rsid w:val="0012231D"/>
    <w:rsid w:val="00122B6F"/>
    <w:rsid w:val="00122F45"/>
    <w:rsid w:val="0012319F"/>
    <w:rsid w:val="00123598"/>
    <w:rsid w:val="001244A6"/>
    <w:rsid w:val="00125030"/>
    <w:rsid w:val="00125479"/>
    <w:rsid w:val="00125718"/>
    <w:rsid w:val="00125C99"/>
    <w:rsid w:val="00126072"/>
    <w:rsid w:val="00126DE9"/>
    <w:rsid w:val="00126F80"/>
    <w:rsid w:val="00127BA6"/>
    <w:rsid w:val="00127CD4"/>
    <w:rsid w:val="00127E4A"/>
    <w:rsid w:val="00130EA6"/>
    <w:rsid w:val="001315FF"/>
    <w:rsid w:val="00131EA6"/>
    <w:rsid w:val="00131F17"/>
    <w:rsid w:val="00132516"/>
    <w:rsid w:val="001329B8"/>
    <w:rsid w:val="00132BE5"/>
    <w:rsid w:val="00132DD4"/>
    <w:rsid w:val="00132F4A"/>
    <w:rsid w:val="0013300D"/>
    <w:rsid w:val="001336CF"/>
    <w:rsid w:val="00133C8D"/>
    <w:rsid w:val="00133D66"/>
    <w:rsid w:val="001353E5"/>
    <w:rsid w:val="00135671"/>
    <w:rsid w:val="001357FA"/>
    <w:rsid w:val="00135C24"/>
    <w:rsid w:val="00136021"/>
    <w:rsid w:val="0013647F"/>
    <w:rsid w:val="00136A41"/>
    <w:rsid w:val="00136C00"/>
    <w:rsid w:val="00137CD9"/>
    <w:rsid w:val="00140A4B"/>
    <w:rsid w:val="00140AD6"/>
    <w:rsid w:val="00140FE5"/>
    <w:rsid w:val="001412A1"/>
    <w:rsid w:val="00141511"/>
    <w:rsid w:val="00141690"/>
    <w:rsid w:val="00142A11"/>
    <w:rsid w:val="00142BD0"/>
    <w:rsid w:val="00143062"/>
    <w:rsid w:val="0014317F"/>
    <w:rsid w:val="001438EA"/>
    <w:rsid w:val="001449EC"/>
    <w:rsid w:val="00144FD8"/>
    <w:rsid w:val="00145CC7"/>
    <w:rsid w:val="001465D1"/>
    <w:rsid w:val="001469DB"/>
    <w:rsid w:val="00146B5B"/>
    <w:rsid w:val="00146F04"/>
    <w:rsid w:val="00150872"/>
    <w:rsid w:val="00150FF1"/>
    <w:rsid w:val="001510A2"/>
    <w:rsid w:val="001510C5"/>
    <w:rsid w:val="001510D9"/>
    <w:rsid w:val="0015159C"/>
    <w:rsid w:val="00151E0B"/>
    <w:rsid w:val="0015237E"/>
    <w:rsid w:val="00152B0C"/>
    <w:rsid w:val="0015363E"/>
    <w:rsid w:val="001537E0"/>
    <w:rsid w:val="00153967"/>
    <w:rsid w:val="00153F1C"/>
    <w:rsid w:val="0015435F"/>
    <w:rsid w:val="00154538"/>
    <w:rsid w:val="00154581"/>
    <w:rsid w:val="001546C0"/>
    <w:rsid w:val="00154988"/>
    <w:rsid w:val="00154A9B"/>
    <w:rsid w:val="00154F39"/>
    <w:rsid w:val="0015535F"/>
    <w:rsid w:val="0015553A"/>
    <w:rsid w:val="001558DD"/>
    <w:rsid w:val="00156962"/>
    <w:rsid w:val="001569CC"/>
    <w:rsid w:val="001570E7"/>
    <w:rsid w:val="001571DE"/>
    <w:rsid w:val="001578AC"/>
    <w:rsid w:val="00157AAF"/>
    <w:rsid w:val="00157C3D"/>
    <w:rsid w:val="001607AC"/>
    <w:rsid w:val="00160BB3"/>
    <w:rsid w:val="00160BCE"/>
    <w:rsid w:val="0016104B"/>
    <w:rsid w:val="001615F5"/>
    <w:rsid w:val="00161683"/>
    <w:rsid w:val="00161FB1"/>
    <w:rsid w:val="0016201B"/>
    <w:rsid w:val="00162735"/>
    <w:rsid w:val="00162831"/>
    <w:rsid w:val="00163B43"/>
    <w:rsid w:val="001641A3"/>
    <w:rsid w:val="0016436B"/>
    <w:rsid w:val="00164661"/>
    <w:rsid w:val="00164F0C"/>
    <w:rsid w:val="001656F2"/>
    <w:rsid w:val="0016572A"/>
    <w:rsid w:val="00165DEE"/>
    <w:rsid w:val="00165E58"/>
    <w:rsid w:val="0016638D"/>
    <w:rsid w:val="00166C0F"/>
    <w:rsid w:val="001673B0"/>
    <w:rsid w:val="00167B44"/>
    <w:rsid w:val="00167DAE"/>
    <w:rsid w:val="00167EDD"/>
    <w:rsid w:val="00167F93"/>
    <w:rsid w:val="0017000B"/>
    <w:rsid w:val="001700C6"/>
    <w:rsid w:val="001700F9"/>
    <w:rsid w:val="00170486"/>
    <w:rsid w:val="001704E2"/>
    <w:rsid w:val="00170541"/>
    <w:rsid w:val="00170A0E"/>
    <w:rsid w:val="00171676"/>
    <w:rsid w:val="00171EF1"/>
    <w:rsid w:val="00171F5C"/>
    <w:rsid w:val="001723B4"/>
    <w:rsid w:val="001728AE"/>
    <w:rsid w:val="00172D45"/>
    <w:rsid w:val="0017346A"/>
    <w:rsid w:val="001735DC"/>
    <w:rsid w:val="00173608"/>
    <w:rsid w:val="00173622"/>
    <w:rsid w:val="00173695"/>
    <w:rsid w:val="0017377F"/>
    <w:rsid w:val="001738CE"/>
    <w:rsid w:val="00173BBE"/>
    <w:rsid w:val="00173F18"/>
    <w:rsid w:val="00174E02"/>
    <w:rsid w:val="00174F36"/>
    <w:rsid w:val="0017538E"/>
    <w:rsid w:val="001753FD"/>
    <w:rsid w:val="00175AF3"/>
    <w:rsid w:val="00175F63"/>
    <w:rsid w:val="001760A8"/>
    <w:rsid w:val="0017617A"/>
    <w:rsid w:val="00176594"/>
    <w:rsid w:val="001766D1"/>
    <w:rsid w:val="0017674D"/>
    <w:rsid w:val="0017699C"/>
    <w:rsid w:val="00176C6D"/>
    <w:rsid w:val="00180518"/>
    <w:rsid w:val="00180702"/>
    <w:rsid w:val="00180B11"/>
    <w:rsid w:val="00180DA9"/>
    <w:rsid w:val="001811E4"/>
    <w:rsid w:val="001812AE"/>
    <w:rsid w:val="00181402"/>
    <w:rsid w:val="0018225C"/>
    <w:rsid w:val="0018229E"/>
    <w:rsid w:val="00182381"/>
    <w:rsid w:val="00183247"/>
    <w:rsid w:val="00183713"/>
    <w:rsid w:val="00183EA7"/>
    <w:rsid w:val="00184295"/>
    <w:rsid w:val="001842AA"/>
    <w:rsid w:val="00184789"/>
    <w:rsid w:val="00184919"/>
    <w:rsid w:val="00185323"/>
    <w:rsid w:val="0018532B"/>
    <w:rsid w:val="00185D18"/>
    <w:rsid w:val="00185DD3"/>
    <w:rsid w:val="00185F9F"/>
    <w:rsid w:val="00186118"/>
    <w:rsid w:val="0018669D"/>
    <w:rsid w:val="00186DCF"/>
    <w:rsid w:val="0018705B"/>
    <w:rsid w:val="00187323"/>
    <w:rsid w:val="001878C2"/>
    <w:rsid w:val="00187C62"/>
    <w:rsid w:val="0019093E"/>
    <w:rsid w:val="00190948"/>
    <w:rsid w:val="00190AAD"/>
    <w:rsid w:val="00190B4A"/>
    <w:rsid w:val="00190C29"/>
    <w:rsid w:val="00190D81"/>
    <w:rsid w:val="00191806"/>
    <w:rsid w:val="001918B1"/>
    <w:rsid w:val="00191B42"/>
    <w:rsid w:val="00191D3F"/>
    <w:rsid w:val="00191EC7"/>
    <w:rsid w:val="0019234E"/>
    <w:rsid w:val="001923BB"/>
    <w:rsid w:val="001925F3"/>
    <w:rsid w:val="00192D0D"/>
    <w:rsid w:val="00193154"/>
    <w:rsid w:val="0019356D"/>
    <w:rsid w:val="00193DC0"/>
    <w:rsid w:val="001942A3"/>
    <w:rsid w:val="0019454F"/>
    <w:rsid w:val="0019478C"/>
    <w:rsid w:val="00194AEE"/>
    <w:rsid w:val="00195416"/>
    <w:rsid w:val="001966F6"/>
    <w:rsid w:val="00196EEC"/>
    <w:rsid w:val="00197284"/>
    <w:rsid w:val="00197E8C"/>
    <w:rsid w:val="00197FAA"/>
    <w:rsid w:val="001A01C7"/>
    <w:rsid w:val="001A1152"/>
    <w:rsid w:val="001A1ABB"/>
    <w:rsid w:val="001A1CEF"/>
    <w:rsid w:val="001A1EF9"/>
    <w:rsid w:val="001A2557"/>
    <w:rsid w:val="001A2608"/>
    <w:rsid w:val="001A2826"/>
    <w:rsid w:val="001A3052"/>
    <w:rsid w:val="001A3675"/>
    <w:rsid w:val="001A4059"/>
    <w:rsid w:val="001A41E8"/>
    <w:rsid w:val="001A50E3"/>
    <w:rsid w:val="001A553A"/>
    <w:rsid w:val="001A5A6B"/>
    <w:rsid w:val="001A5B09"/>
    <w:rsid w:val="001A6119"/>
    <w:rsid w:val="001A6830"/>
    <w:rsid w:val="001A6B92"/>
    <w:rsid w:val="001A7088"/>
    <w:rsid w:val="001A7BEF"/>
    <w:rsid w:val="001A7E1F"/>
    <w:rsid w:val="001B01A3"/>
    <w:rsid w:val="001B0847"/>
    <w:rsid w:val="001B109F"/>
    <w:rsid w:val="001B11FB"/>
    <w:rsid w:val="001B152C"/>
    <w:rsid w:val="001B1DB3"/>
    <w:rsid w:val="001B2354"/>
    <w:rsid w:val="001B2A4A"/>
    <w:rsid w:val="001B2EE8"/>
    <w:rsid w:val="001B31E8"/>
    <w:rsid w:val="001B37CC"/>
    <w:rsid w:val="001B3C13"/>
    <w:rsid w:val="001B45FB"/>
    <w:rsid w:val="001B479D"/>
    <w:rsid w:val="001B5A1E"/>
    <w:rsid w:val="001B5A7C"/>
    <w:rsid w:val="001B6373"/>
    <w:rsid w:val="001B67DE"/>
    <w:rsid w:val="001B6E5F"/>
    <w:rsid w:val="001B751E"/>
    <w:rsid w:val="001B7949"/>
    <w:rsid w:val="001B7A1D"/>
    <w:rsid w:val="001B7B71"/>
    <w:rsid w:val="001B7E39"/>
    <w:rsid w:val="001B7F63"/>
    <w:rsid w:val="001C0183"/>
    <w:rsid w:val="001C0542"/>
    <w:rsid w:val="001C0899"/>
    <w:rsid w:val="001C0A0C"/>
    <w:rsid w:val="001C0D4C"/>
    <w:rsid w:val="001C0EF1"/>
    <w:rsid w:val="001C171E"/>
    <w:rsid w:val="001C179B"/>
    <w:rsid w:val="001C1865"/>
    <w:rsid w:val="001C1956"/>
    <w:rsid w:val="001C1CE4"/>
    <w:rsid w:val="001C1F59"/>
    <w:rsid w:val="001C2249"/>
    <w:rsid w:val="001C2378"/>
    <w:rsid w:val="001C26CE"/>
    <w:rsid w:val="001C2F1D"/>
    <w:rsid w:val="001C2F56"/>
    <w:rsid w:val="001C310D"/>
    <w:rsid w:val="001C33F7"/>
    <w:rsid w:val="001C3619"/>
    <w:rsid w:val="001C3721"/>
    <w:rsid w:val="001C4138"/>
    <w:rsid w:val="001C526F"/>
    <w:rsid w:val="001C56F3"/>
    <w:rsid w:val="001C579A"/>
    <w:rsid w:val="001C58F4"/>
    <w:rsid w:val="001C5E84"/>
    <w:rsid w:val="001C5EAC"/>
    <w:rsid w:val="001C5FFC"/>
    <w:rsid w:val="001C64FF"/>
    <w:rsid w:val="001C6DB1"/>
    <w:rsid w:val="001C6E59"/>
    <w:rsid w:val="001C747D"/>
    <w:rsid w:val="001D031A"/>
    <w:rsid w:val="001D0E0F"/>
    <w:rsid w:val="001D1200"/>
    <w:rsid w:val="001D171A"/>
    <w:rsid w:val="001D2436"/>
    <w:rsid w:val="001D2C50"/>
    <w:rsid w:val="001D360A"/>
    <w:rsid w:val="001D38BC"/>
    <w:rsid w:val="001D3D1F"/>
    <w:rsid w:val="001D45E3"/>
    <w:rsid w:val="001D504E"/>
    <w:rsid w:val="001D50BC"/>
    <w:rsid w:val="001D511D"/>
    <w:rsid w:val="001D60B5"/>
    <w:rsid w:val="001D6648"/>
    <w:rsid w:val="001D66D4"/>
    <w:rsid w:val="001D6EF0"/>
    <w:rsid w:val="001D734C"/>
    <w:rsid w:val="001D7BC9"/>
    <w:rsid w:val="001D7E8A"/>
    <w:rsid w:val="001E099A"/>
    <w:rsid w:val="001E0A73"/>
    <w:rsid w:val="001E106A"/>
    <w:rsid w:val="001E13F6"/>
    <w:rsid w:val="001E144E"/>
    <w:rsid w:val="001E1FB3"/>
    <w:rsid w:val="001E22BF"/>
    <w:rsid w:val="001E2472"/>
    <w:rsid w:val="001E3461"/>
    <w:rsid w:val="001E3D0D"/>
    <w:rsid w:val="001E4F65"/>
    <w:rsid w:val="001E54CB"/>
    <w:rsid w:val="001E565E"/>
    <w:rsid w:val="001E598C"/>
    <w:rsid w:val="001E5C36"/>
    <w:rsid w:val="001E5E7E"/>
    <w:rsid w:val="001E631F"/>
    <w:rsid w:val="001E6362"/>
    <w:rsid w:val="001E6BF4"/>
    <w:rsid w:val="001E6C7A"/>
    <w:rsid w:val="001E7055"/>
    <w:rsid w:val="001E7696"/>
    <w:rsid w:val="001E76B6"/>
    <w:rsid w:val="001E77AD"/>
    <w:rsid w:val="001E7AB9"/>
    <w:rsid w:val="001E7B8C"/>
    <w:rsid w:val="001E7F61"/>
    <w:rsid w:val="001F042A"/>
    <w:rsid w:val="001F07D0"/>
    <w:rsid w:val="001F0B01"/>
    <w:rsid w:val="001F1176"/>
    <w:rsid w:val="001F14F5"/>
    <w:rsid w:val="001F2E39"/>
    <w:rsid w:val="001F3CEC"/>
    <w:rsid w:val="001F3E98"/>
    <w:rsid w:val="001F40C4"/>
    <w:rsid w:val="001F4A8B"/>
    <w:rsid w:val="001F4CC6"/>
    <w:rsid w:val="001F5028"/>
    <w:rsid w:val="001F5B87"/>
    <w:rsid w:val="001F5FE6"/>
    <w:rsid w:val="001F7769"/>
    <w:rsid w:val="002011C5"/>
    <w:rsid w:val="002014BB"/>
    <w:rsid w:val="00201743"/>
    <w:rsid w:val="00201B10"/>
    <w:rsid w:val="0020216A"/>
    <w:rsid w:val="00202565"/>
    <w:rsid w:val="00202786"/>
    <w:rsid w:val="0020295B"/>
    <w:rsid w:val="00203878"/>
    <w:rsid w:val="002039F6"/>
    <w:rsid w:val="00203B31"/>
    <w:rsid w:val="002046EA"/>
    <w:rsid w:val="00204E10"/>
    <w:rsid w:val="00205501"/>
    <w:rsid w:val="0020587D"/>
    <w:rsid w:val="0020687E"/>
    <w:rsid w:val="00206AAE"/>
    <w:rsid w:val="00207415"/>
    <w:rsid w:val="00207C68"/>
    <w:rsid w:val="00207F80"/>
    <w:rsid w:val="00210476"/>
    <w:rsid w:val="002107D9"/>
    <w:rsid w:val="00211100"/>
    <w:rsid w:val="00211734"/>
    <w:rsid w:val="002119F6"/>
    <w:rsid w:val="00211D89"/>
    <w:rsid w:val="00211D98"/>
    <w:rsid w:val="002120F9"/>
    <w:rsid w:val="002121DA"/>
    <w:rsid w:val="002128C1"/>
    <w:rsid w:val="00212E6F"/>
    <w:rsid w:val="002130C6"/>
    <w:rsid w:val="0021385D"/>
    <w:rsid w:val="00213D30"/>
    <w:rsid w:val="002142B9"/>
    <w:rsid w:val="0021439E"/>
    <w:rsid w:val="0021443D"/>
    <w:rsid w:val="0021631E"/>
    <w:rsid w:val="0021649B"/>
    <w:rsid w:val="002164D9"/>
    <w:rsid w:val="00216568"/>
    <w:rsid w:val="0021674F"/>
    <w:rsid w:val="00217148"/>
    <w:rsid w:val="0021785E"/>
    <w:rsid w:val="0022062A"/>
    <w:rsid w:val="00220D2A"/>
    <w:rsid w:val="00221376"/>
    <w:rsid w:val="002213C3"/>
    <w:rsid w:val="00221B5D"/>
    <w:rsid w:val="00222137"/>
    <w:rsid w:val="002223EA"/>
    <w:rsid w:val="00222A0F"/>
    <w:rsid w:val="0022329E"/>
    <w:rsid w:val="0022386F"/>
    <w:rsid w:val="00223938"/>
    <w:rsid w:val="00223AC1"/>
    <w:rsid w:val="00223B54"/>
    <w:rsid w:val="00223CB3"/>
    <w:rsid w:val="00224074"/>
    <w:rsid w:val="002244C6"/>
    <w:rsid w:val="002244D6"/>
    <w:rsid w:val="0022486C"/>
    <w:rsid w:val="00225AEE"/>
    <w:rsid w:val="00225B1B"/>
    <w:rsid w:val="002271C3"/>
    <w:rsid w:val="0022766D"/>
    <w:rsid w:val="002279C4"/>
    <w:rsid w:val="00227D5C"/>
    <w:rsid w:val="002300A1"/>
    <w:rsid w:val="002303A8"/>
    <w:rsid w:val="00230CEC"/>
    <w:rsid w:val="002318CA"/>
    <w:rsid w:val="00231B6F"/>
    <w:rsid w:val="00231E3E"/>
    <w:rsid w:val="002322B8"/>
    <w:rsid w:val="002323E4"/>
    <w:rsid w:val="00233474"/>
    <w:rsid w:val="00233FEA"/>
    <w:rsid w:val="00234360"/>
    <w:rsid w:val="00234675"/>
    <w:rsid w:val="002355A4"/>
    <w:rsid w:val="002357EB"/>
    <w:rsid w:val="00235A84"/>
    <w:rsid w:val="00235D04"/>
    <w:rsid w:val="00236A8D"/>
    <w:rsid w:val="002372CF"/>
    <w:rsid w:val="00237350"/>
    <w:rsid w:val="0023735E"/>
    <w:rsid w:val="002374A2"/>
    <w:rsid w:val="002374DA"/>
    <w:rsid w:val="00237AD6"/>
    <w:rsid w:val="00237B7A"/>
    <w:rsid w:val="00237BD5"/>
    <w:rsid w:val="00237DBD"/>
    <w:rsid w:val="002400E0"/>
    <w:rsid w:val="002402BE"/>
    <w:rsid w:val="00240A43"/>
    <w:rsid w:val="00240DBF"/>
    <w:rsid w:val="002411B7"/>
    <w:rsid w:val="0024162C"/>
    <w:rsid w:val="002419B0"/>
    <w:rsid w:val="00242337"/>
    <w:rsid w:val="00242EE6"/>
    <w:rsid w:val="00243F3C"/>
    <w:rsid w:val="002441B1"/>
    <w:rsid w:val="00244399"/>
    <w:rsid w:val="0024464F"/>
    <w:rsid w:val="00244792"/>
    <w:rsid w:val="00244B06"/>
    <w:rsid w:val="00245131"/>
    <w:rsid w:val="002455F8"/>
    <w:rsid w:val="002461D0"/>
    <w:rsid w:val="0024629E"/>
    <w:rsid w:val="0024639E"/>
    <w:rsid w:val="0024705F"/>
    <w:rsid w:val="00247075"/>
    <w:rsid w:val="00247423"/>
    <w:rsid w:val="0024765F"/>
    <w:rsid w:val="0024796D"/>
    <w:rsid w:val="00247A2B"/>
    <w:rsid w:val="00247FF7"/>
    <w:rsid w:val="00250200"/>
    <w:rsid w:val="002505B2"/>
    <w:rsid w:val="00250A93"/>
    <w:rsid w:val="00251449"/>
    <w:rsid w:val="00251859"/>
    <w:rsid w:val="00251D04"/>
    <w:rsid w:val="00251E52"/>
    <w:rsid w:val="00252336"/>
    <w:rsid w:val="00252BC8"/>
    <w:rsid w:val="0025352C"/>
    <w:rsid w:val="00254062"/>
    <w:rsid w:val="00254D5C"/>
    <w:rsid w:val="00255469"/>
    <w:rsid w:val="00255B78"/>
    <w:rsid w:val="00257280"/>
    <w:rsid w:val="00257387"/>
    <w:rsid w:val="002576F0"/>
    <w:rsid w:val="00261453"/>
    <w:rsid w:val="0026146B"/>
    <w:rsid w:val="002619D0"/>
    <w:rsid w:val="00261D14"/>
    <w:rsid w:val="00261EFD"/>
    <w:rsid w:val="002626DC"/>
    <w:rsid w:val="0026291D"/>
    <w:rsid w:val="00262F14"/>
    <w:rsid w:val="002632AE"/>
    <w:rsid w:val="00263CB6"/>
    <w:rsid w:val="0026463E"/>
    <w:rsid w:val="00264900"/>
    <w:rsid w:val="00264DA0"/>
    <w:rsid w:val="00264E15"/>
    <w:rsid w:val="00266514"/>
    <w:rsid w:val="00266C5A"/>
    <w:rsid w:val="002673ED"/>
    <w:rsid w:val="002700E0"/>
    <w:rsid w:val="0027031C"/>
    <w:rsid w:val="00270C4A"/>
    <w:rsid w:val="002720D1"/>
    <w:rsid w:val="0027249A"/>
    <w:rsid w:val="00272A43"/>
    <w:rsid w:val="00272BE5"/>
    <w:rsid w:val="00273766"/>
    <w:rsid w:val="00273975"/>
    <w:rsid w:val="00273E05"/>
    <w:rsid w:val="00274F45"/>
    <w:rsid w:val="00274FFC"/>
    <w:rsid w:val="002753C0"/>
    <w:rsid w:val="00275494"/>
    <w:rsid w:val="00275773"/>
    <w:rsid w:val="002759B5"/>
    <w:rsid w:val="002759D7"/>
    <w:rsid w:val="00275CBC"/>
    <w:rsid w:val="00276B94"/>
    <w:rsid w:val="00277EF3"/>
    <w:rsid w:val="002800A4"/>
    <w:rsid w:val="00280173"/>
    <w:rsid w:val="00280574"/>
    <w:rsid w:val="002805A0"/>
    <w:rsid w:val="00280DE4"/>
    <w:rsid w:val="002815D4"/>
    <w:rsid w:val="00281BB6"/>
    <w:rsid w:val="00281D47"/>
    <w:rsid w:val="00281ECD"/>
    <w:rsid w:val="00281F34"/>
    <w:rsid w:val="00282176"/>
    <w:rsid w:val="00282560"/>
    <w:rsid w:val="00282935"/>
    <w:rsid w:val="00282DD0"/>
    <w:rsid w:val="0028304B"/>
    <w:rsid w:val="00283992"/>
    <w:rsid w:val="00283C5B"/>
    <w:rsid w:val="00283D58"/>
    <w:rsid w:val="00284C5A"/>
    <w:rsid w:val="00284CFB"/>
    <w:rsid w:val="00284D14"/>
    <w:rsid w:val="00285ABD"/>
    <w:rsid w:val="00286307"/>
    <w:rsid w:val="00286AAB"/>
    <w:rsid w:val="00287008"/>
    <w:rsid w:val="00287331"/>
    <w:rsid w:val="0028733E"/>
    <w:rsid w:val="0028736A"/>
    <w:rsid w:val="00287827"/>
    <w:rsid w:val="00290447"/>
    <w:rsid w:val="002904AE"/>
    <w:rsid w:val="0029053A"/>
    <w:rsid w:val="00290DFF"/>
    <w:rsid w:val="002911BE"/>
    <w:rsid w:val="00291234"/>
    <w:rsid w:val="00292139"/>
    <w:rsid w:val="00292874"/>
    <w:rsid w:val="0029307B"/>
    <w:rsid w:val="002932D0"/>
    <w:rsid w:val="00293813"/>
    <w:rsid w:val="00293D0D"/>
    <w:rsid w:val="00294232"/>
    <w:rsid w:val="002943F3"/>
    <w:rsid w:val="00294756"/>
    <w:rsid w:val="00294768"/>
    <w:rsid w:val="00294C30"/>
    <w:rsid w:val="00295386"/>
    <w:rsid w:val="00295392"/>
    <w:rsid w:val="002958E8"/>
    <w:rsid w:val="00295A81"/>
    <w:rsid w:val="00295D2D"/>
    <w:rsid w:val="002968B8"/>
    <w:rsid w:val="00296C9F"/>
    <w:rsid w:val="00297795"/>
    <w:rsid w:val="00297CBD"/>
    <w:rsid w:val="002A03C1"/>
    <w:rsid w:val="002A046C"/>
    <w:rsid w:val="002A052C"/>
    <w:rsid w:val="002A097E"/>
    <w:rsid w:val="002A1F7B"/>
    <w:rsid w:val="002A265F"/>
    <w:rsid w:val="002A2800"/>
    <w:rsid w:val="002A3F39"/>
    <w:rsid w:val="002A4483"/>
    <w:rsid w:val="002A4BA6"/>
    <w:rsid w:val="002A503F"/>
    <w:rsid w:val="002A5334"/>
    <w:rsid w:val="002A54EE"/>
    <w:rsid w:val="002A5626"/>
    <w:rsid w:val="002A5795"/>
    <w:rsid w:val="002A6333"/>
    <w:rsid w:val="002A6A8A"/>
    <w:rsid w:val="002A6C49"/>
    <w:rsid w:val="002A72FB"/>
    <w:rsid w:val="002A7313"/>
    <w:rsid w:val="002A7F89"/>
    <w:rsid w:val="002B0AB7"/>
    <w:rsid w:val="002B0ED6"/>
    <w:rsid w:val="002B1FEB"/>
    <w:rsid w:val="002B25DE"/>
    <w:rsid w:val="002B2D6F"/>
    <w:rsid w:val="002B32B4"/>
    <w:rsid w:val="002B3319"/>
    <w:rsid w:val="002B401E"/>
    <w:rsid w:val="002B448D"/>
    <w:rsid w:val="002B4739"/>
    <w:rsid w:val="002B4F9F"/>
    <w:rsid w:val="002B5DAF"/>
    <w:rsid w:val="002B665C"/>
    <w:rsid w:val="002B6694"/>
    <w:rsid w:val="002B6A51"/>
    <w:rsid w:val="002B6E4C"/>
    <w:rsid w:val="002B6F14"/>
    <w:rsid w:val="002B719D"/>
    <w:rsid w:val="002B78B1"/>
    <w:rsid w:val="002C02BC"/>
    <w:rsid w:val="002C07F8"/>
    <w:rsid w:val="002C0877"/>
    <w:rsid w:val="002C0A92"/>
    <w:rsid w:val="002C22D0"/>
    <w:rsid w:val="002C243B"/>
    <w:rsid w:val="002C26C5"/>
    <w:rsid w:val="002C2D1B"/>
    <w:rsid w:val="002C333C"/>
    <w:rsid w:val="002C369B"/>
    <w:rsid w:val="002C406C"/>
    <w:rsid w:val="002C5321"/>
    <w:rsid w:val="002C56C4"/>
    <w:rsid w:val="002C6257"/>
    <w:rsid w:val="002C64CA"/>
    <w:rsid w:val="002C66E7"/>
    <w:rsid w:val="002C6C88"/>
    <w:rsid w:val="002C7591"/>
    <w:rsid w:val="002C7713"/>
    <w:rsid w:val="002C7F2F"/>
    <w:rsid w:val="002D031B"/>
    <w:rsid w:val="002D0DE2"/>
    <w:rsid w:val="002D152A"/>
    <w:rsid w:val="002D1BAB"/>
    <w:rsid w:val="002D20DE"/>
    <w:rsid w:val="002D2342"/>
    <w:rsid w:val="002D34C9"/>
    <w:rsid w:val="002D3740"/>
    <w:rsid w:val="002D37D5"/>
    <w:rsid w:val="002D3807"/>
    <w:rsid w:val="002D3EB2"/>
    <w:rsid w:val="002D3F7A"/>
    <w:rsid w:val="002D49C8"/>
    <w:rsid w:val="002D4F6F"/>
    <w:rsid w:val="002D5150"/>
    <w:rsid w:val="002D539F"/>
    <w:rsid w:val="002D5465"/>
    <w:rsid w:val="002D591C"/>
    <w:rsid w:val="002D5B0A"/>
    <w:rsid w:val="002D67C2"/>
    <w:rsid w:val="002D68B4"/>
    <w:rsid w:val="002E0017"/>
    <w:rsid w:val="002E0042"/>
    <w:rsid w:val="002E02DF"/>
    <w:rsid w:val="002E0C0A"/>
    <w:rsid w:val="002E0C3F"/>
    <w:rsid w:val="002E10DC"/>
    <w:rsid w:val="002E167C"/>
    <w:rsid w:val="002E2166"/>
    <w:rsid w:val="002E27AA"/>
    <w:rsid w:val="002E31FE"/>
    <w:rsid w:val="002E35C5"/>
    <w:rsid w:val="002E568F"/>
    <w:rsid w:val="002E5AB4"/>
    <w:rsid w:val="002E62F0"/>
    <w:rsid w:val="002E7C36"/>
    <w:rsid w:val="002E7D29"/>
    <w:rsid w:val="002F0793"/>
    <w:rsid w:val="002F1457"/>
    <w:rsid w:val="002F1F9A"/>
    <w:rsid w:val="002F2C9A"/>
    <w:rsid w:val="002F2D46"/>
    <w:rsid w:val="002F2EC7"/>
    <w:rsid w:val="002F3362"/>
    <w:rsid w:val="002F33D8"/>
    <w:rsid w:val="002F34DE"/>
    <w:rsid w:val="002F3C52"/>
    <w:rsid w:val="002F4156"/>
    <w:rsid w:val="002F4202"/>
    <w:rsid w:val="002F4603"/>
    <w:rsid w:val="002F4B18"/>
    <w:rsid w:val="002F5286"/>
    <w:rsid w:val="002F5417"/>
    <w:rsid w:val="002F5D68"/>
    <w:rsid w:val="002F5D6F"/>
    <w:rsid w:val="002F5EF5"/>
    <w:rsid w:val="002F7DDB"/>
    <w:rsid w:val="003006F3"/>
    <w:rsid w:val="00300AE8"/>
    <w:rsid w:val="00300CA9"/>
    <w:rsid w:val="0030155E"/>
    <w:rsid w:val="00301795"/>
    <w:rsid w:val="00301845"/>
    <w:rsid w:val="00301AD0"/>
    <w:rsid w:val="00301B02"/>
    <w:rsid w:val="00301CE1"/>
    <w:rsid w:val="003024BD"/>
    <w:rsid w:val="00302A75"/>
    <w:rsid w:val="00303DD0"/>
    <w:rsid w:val="003045C8"/>
    <w:rsid w:val="003045FF"/>
    <w:rsid w:val="0030479A"/>
    <w:rsid w:val="00304AB4"/>
    <w:rsid w:val="00304B9C"/>
    <w:rsid w:val="0030517D"/>
    <w:rsid w:val="00305D2E"/>
    <w:rsid w:val="003060A6"/>
    <w:rsid w:val="003062B3"/>
    <w:rsid w:val="00307218"/>
    <w:rsid w:val="0030723B"/>
    <w:rsid w:val="003118C0"/>
    <w:rsid w:val="00311D4E"/>
    <w:rsid w:val="0031271A"/>
    <w:rsid w:val="0031297D"/>
    <w:rsid w:val="003140E0"/>
    <w:rsid w:val="00314243"/>
    <w:rsid w:val="003150CF"/>
    <w:rsid w:val="003151A0"/>
    <w:rsid w:val="00315BBA"/>
    <w:rsid w:val="00315C8B"/>
    <w:rsid w:val="00315E3D"/>
    <w:rsid w:val="00315FA7"/>
    <w:rsid w:val="00316CDC"/>
    <w:rsid w:val="00316D5D"/>
    <w:rsid w:val="00316FF3"/>
    <w:rsid w:val="003171EA"/>
    <w:rsid w:val="0031731A"/>
    <w:rsid w:val="0031760B"/>
    <w:rsid w:val="00317C1E"/>
    <w:rsid w:val="00317FB8"/>
    <w:rsid w:val="003203E5"/>
    <w:rsid w:val="003206F7"/>
    <w:rsid w:val="00320787"/>
    <w:rsid w:val="00320EAC"/>
    <w:rsid w:val="00321261"/>
    <w:rsid w:val="00321427"/>
    <w:rsid w:val="003214B3"/>
    <w:rsid w:val="003215A3"/>
    <w:rsid w:val="003218D2"/>
    <w:rsid w:val="003223C9"/>
    <w:rsid w:val="003229C9"/>
    <w:rsid w:val="00322BA7"/>
    <w:rsid w:val="00322C7B"/>
    <w:rsid w:val="00322E4C"/>
    <w:rsid w:val="00323AA0"/>
    <w:rsid w:val="00323B7F"/>
    <w:rsid w:val="00324041"/>
    <w:rsid w:val="00324138"/>
    <w:rsid w:val="00324BD0"/>
    <w:rsid w:val="00324CF6"/>
    <w:rsid w:val="003252F6"/>
    <w:rsid w:val="00325783"/>
    <w:rsid w:val="00325AC1"/>
    <w:rsid w:val="00326300"/>
    <w:rsid w:val="003263AB"/>
    <w:rsid w:val="0032647E"/>
    <w:rsid w:val="0032648F"/>
    <w:rsid w:val="0032711D"/>
    <w:rsid w:val="00327A21"/>
    <w:rsid w:val="00327A31"/>
    <w:rsid w:val="00330869"/>
    <w:rsid w:val="0033093D"/>
    <w:rsid w:val="0033119F"/>
    <w:rsid w:val="00331396"/>
    <w:rsid w:val="00331541"/>
    <w:rsid w:val="00331822"/>
    <w:rsid w:val="00331F46"/>
    <w:rsid w:val="00331F5E"/>
    <w:rsid w:val="003326FD"/>
    <w:rsid w:val="00332963"/>
    <w:rsid w:val="00332C8C"/>
    <w:rsid w:val="00333336"/>
    <w:rsid w:val="00333896"/>
    <w:rsid w:val="003339FC"/>
    <w:rsid w:val="00333C7E"/>
    <w:rsid w:val="00333EB3"/>
    <w:rsid w:val="00334358"/>
    <w:rsid w:val="00334754"/>
    <w:rsid w:val="00334BAF"/>
    <w:rsid w:val="00334DBA"/>
    <w:rsid w:val="00335352"/>
    <w:rsid w:val="003356B0"/>
    <w:rsid w:val="00335A0E"/>
    <w:rsid w:val="00336040"/>
    <w:rsid w:val="00336339"/>
    <w:rsid w:val="00337CD5"/>
    <w:rsid w:val="00337D2B"/>
    <w:rsid w:val="00340BE7"/>
    <w:rsid w:val="00341111"/>
    <w:rsid w:val="0034114E"/>
    <w:rsid w:val="0034166F"/>
    <w:rsid w:val="003419AA"/>
    <w:rsid w:val="00341A46"/>
    <w:rsid w:val="00341EE8"/>
    <w:rsid w:val="00341F70"/>
    <w:rsid w:val="003431DA"/>
    <w:rsid w:val="0034523F"/>
    <w:rsid w:val="0034533C"/>
    <w:rsid w:val="00345455"/>
    <w:rsid w:val="003456A3"/>
    <w:rsid w:val="003458B2"/>
    <w:rsid w:val="00345D40"/>
    <w:rsid w:val="0034663E"/>
    <w:rsid w:val="00346687"/>
    <w:rsid w:val="003466A7"/>
    <w:rsid w:val="003466B0"/>
    <w:rsid w:val="003469E7"/>
    <w:rsid w:val="00346DA0"/>
    <w:rsid w:val="0034734D"/>
    <w:rsid w:val="003503A6"/>
    <w:rsid w:val="003503BA"/>
    <w:rsid w:val="00350BFE"/>
    <w:rsid w:val="00350C5A"/>
    <w:rsid w:val="00350EC4"/>
    <w:rsid w:val="00351652"/>
    <w:rsid w:val="00351792"/>
    <w:rsid w:val="00351DE0"/>
    <w:rsid w:val="00351F23"/>
    <w:rsid w:val="00352DCC"/>
    <w:rsid w:val="00352EB7"/>
    <w:rsid w:val="003530BA"/>
    <w:rsid w:val="003534FB"/>
    <w:rsid w:val="003537AD"/>
    <w:rsid w:val="00353C6D"/>
    <w:rsid w:val="00353E09"/>
    <w:rsid w:val="00353EF1"/>
    <w:rsid w:val="00354251"/>
    <w:rsid w:val="003542FA"/>
    <w:rsid w:val="003544DB"/>
    <w:rsid w:val="003546B5"/>
    <w:rsid w:val="00354C6A"/>
    <w:rsid w:val="0035512A"/>
    <w:rsid w:val="00355207"/>
    <w:rsid w:val="003559EA"/>
    <w:rsid w:val="00355A98"/>
    <w:rsid w:val="00355B8D"/>
    <w:rsid w:val="003564C2"/>
    <w:rsid w:val="003568EB"/>
    <w:rsid w:val="00356ABE"/>
    <w:rsid w:val="00357C18"/>
    <w:rsid w:val="00360039"/>
    <w:rsid w:val="00360D3B"/>
    <w:rsid w:val="00360E09"/>
    <w:rsid w:val="00361123"/>
    <w:rsid w:val="0036138F"/>
    <w:rsid w:val="00361C7A"/>
    <w:rsid w:val="00361EBE"/>
    <w:rsid w:val="00361F26"/>
    <w:rsid w:val="00362173"/>
    <w:rsid w:val="00363A1D"/>
    <w:rsid w:val="00364A4A"/>
    <w:rsid w:val="00364BFA"/>
    <w:rsid w:val="00364C46"/>
    <w:rsid w:val="00364CAF"/>
    <w:rsid w:val="003654AC"/>
    <w:rsid w:val="003657F7"/>
    <w:rsid w:val="00365999"/>
    <w:rsid w:val="00365E8C"/>
    <w:rsid w:val="00366261"/>
    <w:rsid w:val="0036659D"/>
    <w:rsid w:val="003667C6"/>
    <w:rsid w:val="00366F02"/>
    <w:rsid w:val="00367028"/>
    <w:rsid w:val="0036743F"/>
    <w:rsid w:val="00370407"/>
    <w:rsid w:val="00370711"/>
    <w:rsid w:val="0037073B"/>
    <w:rsid w:val="0037088C"/>
    <w:rsid w:val="00370CC8"/>
    <w:rsid w:val="00370EBF"/>
    <w:rsid w:val="00370FAE"/>
    <w:rsid w:val="0037163D"/>
    <w:rsid w:val="00371CB9"/>
    <w:rsid w:val="003720F9"/>
    <w:rsid w:val="00372776"/>
    <w:rsid w:val="00373091"/>
    <w:rsid w:val="003730C3"/>
    <w:rsid w:val="003738DC"/>
    <w:rsid w:val="003741FB"/>
    <w:rsid w:val="00374A45"/>
    <w:rsid w:val="00374AD8"/>
    <w:rsid w:val="00374AEF"/>
    <w:rsid w:val="00374C6E"/>
    <w:rsid w:val="00375058"/>
    <w:rsid w:val="003755B4"/>
    <w:rsid w:val="00375A5B"/>
    <w:rsid w:val="00375C2A"/>
    <w:rsid w:val="00375D3C"/>
    <w:rsid w:val="00376256"/>
    <w:rsid w:val="003762F6"/>
    <w:rsid w:val="00376638"/>
    <w:rsid w:val="0037696D"/>
    <w:rsid w:val="00376A6F"/>
    <w:rsid w:val="00376D6F"/>
    <w:rsid w:val="003774AF"/>
    <w:rsid w:val="00377EBE"/>
    <w:rsid w:val="00377FCA"/>
    <w:rsid w:val="003806BF"/>
    <w:rsid w:val="00380823"/>
    <w:rsid w:val="00380952"/>
    <w:rsid w:val="00380B59"/>
    <w:rsid w:val="003815EA"/>
    <w:rsid w:val="0038161D"/>
    <w:rsid w:val="00381785"/>
    <w:rsid w:val="00381C2B"/>
    <w:rsid w:val="00381E90"/>
    <w:rsid w:val="00382A15"/>
    <w:rsid w:val="00382C59"/>
    <w:rsid w:val="003831B7"/>
    <w:rsid w:val="003834EC"/>
    <w:rsid w:val="00383F7E"/>
    <w:rsid w:val="00384227"/>
    <w:rsid w:val="003844C9"/>
    <w:rsid w:val="00384931"/>
    <w:rsid w:val="003852B0"/>
    <w:rsid w:val="00385A41"/>
    <w:rsid w:val="00385AA1"/>
    <w:rsid w:val="00385DB6"/>
    <w:rsid w:val="00385EBA"/>
    <w:rsid w:val="003861FE"/>
    <w:rsid w:val="00386C64"/>
    <w:rsid w:val="00386C6D"/>
    <w:rsid w:val="00387BCE"/>
    <w:rsid w:val="00387C49"/>
    <w:rsid w:val="0039098A"/>
    <w:rsid w:val="00390DE3"/>
    <w:rsid w:val="00391581"/>
    <w:rsid w:val="0039177A"/>
    <w:rsid w:val="0039199B"/>
    <w:rsid w:val="00392658"/>
    <w:rsid w:val="00392663"/>
    <w:rsid w:val="003928A9"/>
    <w:rsid w:val="00392989"/>
    <w:rsid w:val="00392C38"/>
    <w:rsid w:val="00392E07"/>
    <w:rsid w:val="00393831"/>
    <w:rsid w:val="0039393B"/>
    <w:rsid w:val="00393AB0"/>
    <w:rsid w:val="00393F83"/>
    <w:rsid w:val="0039448B"/>
    <w:rsid w:val="00394614"/>
    <w:rsid w:val="003946E4"/>
    <w:rsid w:val="003948B3"/>
    <w:rsid w:val="00395407"/>
    <w:rsid w:val="00395AB0"/>
    <w:rsid w:val="00395BDB"/>
    <w:rsid w:val="003965C5"/>
    <w:rsid w:val="00396FA3"/>
    <w:rsid w:val="00397168"/>
    <w:rsid w:val="0039756F"/>
    <w:rsid w:val="003A030B"/>
    <w:rsid w:val="003A031B"/>
    <w:rsid w:val="003A0949"/>
    <w:rsid w:val="003A0A29"/>
    <w:rsid w:val="003A0E8D"/>
    <w:rsid w:val="003A278F"/>
    <w:rsid w:val="003A30BA"/>
    <w:rsid w:val="003A45C4"/>
    <w:rsid w:val="003A4655"/>
    <w:rsid w:val="003A5151"/>
    <w:rsid w:val="003A5471"/>
    <w:rsid w:val="003A63CA"/>
    <w:rsid w:val="003A658F"/>
    <w:rsid w:val="003A6A25"/>
    <w:rsid w:val="003A6F1E"/>
    <w:rsid w:val="003A6F9D"/>
    <w:rsid w:val="003A7425"/>
    <w:rsid w:val="003A7A9F"/>
    <w:rsid w:val="003B0A84"/>
    <w:rsid w:val="003B0B88"/>
    <w:rsid w:val="003B0B8F"/>
    <w:rsid w:val="003B0FE5"/>
    <w:rsid w:val="003B1239"/>
    <w:rsid w:val="003B1A0D"/>
    <w:rsid w:val="003B1D57"/>
    <w:rsid w:val="003B1E29"/>
    <w:rsid w:val="003B3AE5"/>
    <w:rsid w:val="003B412B"/>
    <w:rsid w:val="003B42C7"/>
    <w:rsid w:val="003B46EE"/>
    <w:rsid w:val="003B49FA"/>
    <w:rsid w:val="003B5C8B"/>
    <w:rsid w:val="003B5D15"/>
    <w:rsid w:val="003B6BE2"/>
    <w:rsid w:val="003C0BE3"/>
    <w:rsid w:val="003C1052"/>
    <w:rsid w:val="003C12F3"/>
    <w:rsid w:val="003C18C2"/>
    <w:rsid w:val="003C1908"/>
    <w:rsid w:val="003C1C29"/>
    <w:rsid w:val="003C1FCE"/>
    <w:rsid w:val="003C222F"/>
    <w:rsid w:val="003C25B8"/>
    <w:rsid w:val="003C3061"/>
    <w:rsid w:val="003C33C3"/>
    <w:rsid w:val="003C3742"/>
    <w:rsid w:val="003C3A49"/>
    <w:rsid w:val="003C3DBF"/>
    <w:rsid w:val="003C4596"/>
    <w:rsid w:val="003C4598"/>
    <w:rsid w:val="003C4635"/>
    <w:rsid w:val="003C4D7E"/>
    <w:rsid w:val="003C4DB6"/>
    <w:rsid w:val="003C5678"/>
    <w:rsid w:val="003C59B9"/>
    <w:rsid w:val="003C67FC"/>
    <w:rsid w:val="003C6B81"/>
    <w:rsid w:val="003C6CFD"/>
    <w:rsid w:val="003C6EA7"/>
    <w:rsid w:val="003C75D2"/>
    <w:rsid w:val="003C7D1B"/>
    <w:rsid w:val="003C7FF0"/>
    <w:rsid w:val="003D0464"/>
    <w:rsid w:val="003D1062"/>
    <w:rsid w:val="003D169B"/>
    <w:rsid w:val="003D17E0"/>
    <w:rsid w:val="003D1BD1"/>
    <w:rsid w:val="003D1F8D"/>
    <w:rsid w:val="003D2AEF"/>
    <w:rsid w:val="003D36C8"/>
    <w:rsid w:val="003D3A84"/>
    <w:rsid w:val="003D44D4"/>
    <w:rsid w:val="003D4CCC"/>
    <w:rsid w:val="003D5978"/>
    <w:rsid w:val="003D5A4C"/>
    <w:rsid w:val="003D5B3D"/>
    <w:rsid w:val="003D6451"/>
    <w:rsid w:val="003D6B56"/>
    <w:rsid w:val="003D6C61"/>
    <w:rsid w:val="003D6F01"/>
    <w:rsid w:val="003D71FA"/>
    <w:rsid w:val="003D7231"/>
    <w:rsid w:val="003D753E"/>
    <w:rsid w:val="003D7A52"/>
    <w:rsid w:val="003D7D65"/>
    <w:rsid w:val="003E03CC"/>
    <w:rsid w:val="003E064A"/>
    <w:rsid w:val="003E07DC"/>
    <w:rsid w:val="003E0C03"/>
    <w:rsid w:val="003E1037"/>
    <w:rsid w:val="003E11AD"/>
    <w:rsid w:val="003E175C"/>
    <w:rsid w:val="003E1888"/>
    <w:rsid w:val="003E1AA5"/>
    <w:rsid w:val="003E224B"/>
    <w:rsid w:val="003E2270"/>
    <w:rsid w:val="003E22F3"/>
    <w:rsid w:val="003E24C3"/>
    <w:rsid w:val="003E2E09"/>
    <w:rsid w:val="003E304A"/>
    <w:rsid w:val="003E39CF"/>
    <w:rsid w:val="003E3CCD"/>
    <w:rsid w:val="003E4A18"/>
    <w:rsid w:val="003E687F"/>
    <w:rsid w:val="003E6F25"/>
    <w:rsid w:val="003E71A2"/>
    <w:rsid w:val="003E72EF"/>
    <w:rsid w:val="003E781A"/>
    <w:rsid w:val="003E7916"/>
    <w:rsid w:val="003F1C8D"/>
    <w:rsid w:val="003F1E5A"/>
    <w:rsid w:val="003F2088"/>
    <w:rsid w:val="003F22A3"/>
    <w:rsid w:val="003F2A0A"/>
    <w:rsid w:val="003F2E56"/>
    <w:rsid w:val="003F2EC3"/>
    <w:rsid w:val="003F34C5"/>
    <w:rsid w:val="003F47B4"/>
    <w:rsid w:val="003F55AE"/>
    <w:rsid w:val="003F5693"/>
    <w:rsid w:val="003F58F8"/>
    <w:rsid w:val="003F5AC3"/>
    <w:rsid w:val="003F612B"/>
    <w:rsid w:val="003F66E6"/>
    <w:rsid w:val="003F69D6"/>
    <w:rsid w:val="003F6D70"/>
    <w:rsid w:val="003F777C"/>
    <w:rsid w:val="003F7FD3"/>
    <w:rsid w:val="00401B85"/>
    <w:rsid w:val="00402063"/>
    <w:rsid w:val="0040284F"/>
    <w:rsid w:val="00403C2B"/>
    <w:rsid w:val="004054AA"/>
    <w:rsid w:val="0040591B"/>
    <w:rsid w:val="00405A4A"/>
    <w:rsid w:val="004064B2"/>
    <w:rsid w:val="00406C3A"/>
    <w:rsid w:val="004072D9"/>
    <w:rsid w:val="00407375"/>
    <w:rsid w:val="0040765E"/>
    <w:rsid w:val="0040784B"/>
    <w:rsid w:val="00407A8C"/>
    <w:rsid w:val="004102FE"/>
    <w:rsid w:val="00410487"/>
    <w:rsid w:val="00410813"/>
    <w:rsid w:val="00410B27"/>
    <w:rsid w:val="00410C32"/>
    <w:rsid w:val="00411191"/>
    <w:rsid w:val="0041183F"/>
    <w:rsid w:val="004118FF"/>
    <w:rsid w:val="004119A5"/>
    <w:rsid w:val="004122A8"/>
    <w:rsid w:val="0041246C"/>
    <w:rsid w:val="00412AFE"/>
    <w:rsid w:val="00412BF5"/>
    <w:rsid w:val="004131DA"/>
    <w:rsid w:val="00413D80"/>
    <w:rsid w:val="004142CA"/>
    <w:rsid w:val="004146B5"/>
    <w:rsid w:val="00414C9D"/>
    <w:rsid w:val="0041583D"/>
    <w:rsid w:val="00415DE0"/>
    <w:rsid w:val="00416203"/>
    <w:rsid w:val="0041691A"/>
    <w:rsid w:val="00416BA1"/>
    <w:rsid w:val="00416F4A"/>
    <w:rsid w:val="00417B66"/>
    <w:rsid w:val="00417D88"/>
    <w:rsid w:val="00420A4C"/>
    <w:rsid w:val="00420CF0"/>
    <w:rsid w:val="00420ED3"/>
    <w:rsid w:val="004218BD"/>
    <w:rsid w:val="004220F5"/>
    <w:rsid w:val="00422D90"/>
    <w:rsid w:val="00423645"/>
    <w:rsid w:val="004244F1"/>
    <w:rsid w:val="00424507"/>
    <w:rsid w:val="00424622"/>
    <w:rsid w:val="0042533A"/>
    <w:rsid w:val="004256AD"/>
    <w:rsid w:val="0042573D"/>
    <w:rsid w:val="00425C5E"/>
    <w:rsid w:val="00425DB7"/>
    <w:rsid w:val="00425E2A"/>
    <w:rsid w:val="00425E8B"/>
    <w:rsid w:val="004263E4"/>
    <w:rsid w:val="00426532"/>
    <w:rsid w:val="00426597"/>
    <w:rsid w:val="00426E69"/>
    <w:rsid w:val="00427527"/>
    <w:rsid w:val="00430958"/>
    <w:rsid w:val="004309A2"/>
    <w:rsid w:val="00430D35"/>
    <w:rsid w:val="00430DBE"/>
    <w:rsid w:val="00430E84"/>
    <w:rsid w:val="004310FC"/>
    <w:rsid w:val="004317AC"/>
    <w:rsid w:val="0043185A"/>
    <w:rsid w:val="00431A35"/>
    <w:rsid w:val="00431C7B"/>
    <w:rsid w:val="00431F7E"/>
    <w:rsid w:val="004320C9"/>
    <w:rsid w:val="0043212A"/>
    <w:rsid w:val="00432172"/>
    <w:rsid w:val="00432B35"/>
    <w:rsid w:val="004331CD"/>
    <w:rsid w:val="004338C7"/>
    <w:rsid w:val="00433A11"/>
    <w:rsid w:val="004341F4"/>
    <w:rsid w:val="00434406"/>
    <w:rsid w:val="00434FD8"/>
    <w:rsid w:val="00435586"/>
    <w:rsid w:val="00435639"/>
    <w:rsid w:val="00435CF7"/>
    <w:rsid w:val="00435D8B"/>
    <w:rsid w:val="0043603A"/>
    <w:rsid w:val="004369C4"/>
    <w:rsid w:val="00436FE4"/>
    <w:rsid w:val="0043785A"/>
    <w:rsid w:val="00437A35"/>
    <w:rsid w:val="00440241"/>
    <w:rsid w:val="004410F5"/>
    <w:rsid w:val="004416A7"/>
    <w:rsid w:val="00441BFD"/>
    <w:rsid w:val="00441E96"/>
    <w:rsid w:val="00442034"/>
    <w:rsid w:val="004427A8"/>
    <w:rsid w:val="00442F50"/>
    <w:rsid w:val="00443DEE"/>
    <w:rsid w:val="00443FF6"/>
    <w:rsid w:val="0044528C"/>
    <w:rsid w:val="00445C6B"/>
    <w:rsid w:val="00445D54"/>
    <w:rsid w:val="00446367"/>
    <w:rsid w:val="00446881"/>
    <w:rsid w:val="00446F1F"/>
    <w:rsid w:val="00447393"/>
    <w:rsid w:val="0044759F"/>
    <w:rsid w:val="0044786E"/>
    <w:rsid w:val="00447B4F"/>
    <w:rsid w:val="00450903"/>
    <w:rsid w:val="0045112E"/>
    <w:rsid w:val="004519B9"/>
    <w:rsid w:val="00451B82"/>
    <w:rsid w:val="00451D91"/>
    <w:rsid w:val="0045211B"/>
    <w:rsid w:val="004521B3"/>
    <w:rsid w:val="00453236"/>
    <w:rsid w:val="0045360C"/>
    <w:rsid w:val="00453B7E"/>
    <w:rsid w:val="00454336"/>
    <w:rsid w:val="00454C04"/>
    <w:rsid w:val="004554FE"/>
    <w:rsid w:val="004558B8"/>
    <w:rsid w:val="00455A74"/>
    <w:rsid w:val="00456049"/>
    <w:rsid w:val="004568AA"/>
    <w:rsid w:val="00457744"/>
    <w:rsid w:val="00457BD6"/>
    <w:rsid w:val="00457FB4"/>
    <w:rsid w:val="004604EB"/>
    <w:rsid w:val="00460618"/>
    <w:rsid w:val="00461957"/>
    <w:rsid w:val="004622C2"/>
    <w:rsid w:val="004622F7"/>
    <w:rsid w:val="004627A1"/>
    <w:rsid w:val="00462B2E"/>
    <w:rsid w:val="00462F19"/>
    <w:rsid w:val="00463317"/>
    <w:rsid w:val="004634E5"/>
    <w:rsid w:val="0046360E"/>
    <w:rsid w:val="00463D6D"/>
    <w:rsid w:val="00464DB0"/>
    <w:rsid w:val="00465562"/>
    <w:rsid w:val="004659C3"/>
    <w:rsid w:val="00465B6D"/>
    <w:rsid w:val="0046625C"/>
    <w:rsid w:val="004673A0"/>
    <w:rsid w:val="00467458"/>
    <w:rsid w:val="00467795"/>
    <w:rsid w:val="004677FD"/>
    <w:rsid w:val="00467B9E"/>
    <w:rsid w:val="00467DC8"/>
    <w:rsid w:val="00470289"/>
    <w:rsid w:val="00470C21"/>
    <w:rsid w:val="00470FA0"/>
    <w:rsid w:val="00470FB3"/>
    <w:rsid w:val="00471619"/>
    <w:rsid w:val="004718DC"/>
    <w:rsid w:val="00471A67"/>
    <w:rsid w:val="00472D46"/>
    <w:rsid w:val="00472E22"/>
    <w:rsid w:val="00472E8A"/>
    <w:rsid w:val="0047379C"/>
    <w:rsid w:val="00473C1B"/>
    <w:rsid w:val="00473E0F"/>
    <w:rsid w:val="00474245"/>
    <w:rsid w:val="00474AB2"/>
    <w:rsid w:val="00474BF0"/>
    <w:rsid w:val="00475A9F"/>
    <w:rsid w:val="00475F91"/>
    <w:rsid w:val="00476C9E"/>
    <w:rsid w:val="00477455"/>
    <w:rsid w:val="00477A47"/>
    <w:rsid w:val="00477D9D"/>
    <w:rsid w:val="004802E4"/>
    <w:rsid w:val="00480AB9"/>
    <w:rsid w:val="004815F1"/>
    <w:rsid w:val="00481A56"/>
    <w:rsid w:val="00482076"/>
    <w:rsid w:val="004824A4"/>
    <w:rsid w:val="00482DAA"/>
    <w:rsid w:val="0048323B"/>
    <w:rsid w:val="004832B6"/>
    <w:rsid w:val="00483527"/>
    <w:rsid w:val="00483EF9"/>
    <w:rsid w:val="00483F47"/>
    <w:rsid w:val="004842F7"/>
    <w:rsid w:val="0048448E"/>
    <w:rsid w:val="00484E1F"/>
    <w:rsid w:val="00484ED1"/>
    <w:rsid w:val="00485623"/>
    <w:rsid w:val="00486124"/>
    <w:rsid w:val="0048631E"/>
    <w:rsid w:val="00487419"/>
    <w:rsid w:val="0048787E"/>
    <w:rsid w:val="00490366"/>
    <w:rsid w:val="0049066A"/>
    <w:rsid w:val="00490EC0"/>
    <w:rsid w:val="00491187"/>
    <w:rsid w:val="004916E0"/>
    <w:rsid w:val="00491E58"/>
    <w:rsid w:val="00491E5F"/>
    <w:rsid w:val="00492FA1"/>
    <w:rsid w:val="004930D7"/>
    <w:rsid w:val="00493984"/>
    <w:rsid w:val="00493A4A"/>
    <w:rsid w:val="00493CF7"/>
    <w:rsid w:val="00494BA6"/>
    <w:rsid w:val="0049504E"/>
    <w:rsid w:val="00495631"/>
    <w:rsid w:val="00495F5C"/>
    <w:rsid w:val="004960AE"/>
    <w:rsid w:val="00496D0B"/>
    <w:rsid w:val="004971BD"/>
    <w:rsid w:val="004971C3"/>
    <w:rsid w:val="00497233"/>
    <w:rsid w:val="004977A2"/>
    <w:rsid w:val="004978AA"/>
    <w:rsid w:val="00497B8C"/>
    <w:rsid w:val="00497E50"/>
    <w:rsid w:val="004A0065"/>
    <w:rsid w:val="004A08D8"/>
    <w:rsid w:val="004A0B14"/>
    <w:rsid w:val="004A130D"/>
    <w:rsid w:val="004A138E"/>
    <w:rsid w:val="004A1854"/>
    <w:rsid w:val="004A1B23"/>
    <w:rsid w:val="004A1BFE"/>
    <w:rsid w:val="004A1D05"/>
    <w:rsid w:val="004A20FC"/>
    <w:rsid w:val="004A2B97"/>
    <w:rsid w:val="004A3418"/>
    <w:rsid w:val="004A3519"/>
    <w:rsid w:val="004A3997"/>
    <w:rsid w:val="004A3A83"/>
    <w:rsid w:val="004A3BCE"/>
    <w:rsid w:val="004A3D6B"/>
    <w:rsid w:val="004A3F81"/>
    <w:rsid w:val="004A40A9"/>
    <w:rsid w:val="004A4189"/>
    <w:rsid w:val="004A431D"/>
    <w:rsid w:val="004A463A"/>
    <w:rsid w:val="004A4D32"/>
    <w:rsid w:val="004A5114"/>
    <w:rsid w:val="004A5149"/>
    <w:rsid w:val="004A5C21"/>
    <w:rsid w:val="004A66B5"/>
    <w:rsid w:val="004A69D9"/>
    <w:rsid w:val="004A6C38"/>
    <w:rsid w:val="004A705B"/>
    <w:rsid w:val="004A731E"/>
    <w:rsid w:val="004A775D"/>
    <w:rsid w:val="004A7907"/>
    <w:rsid w:val="004A7B38"/>
    <w:rsid w:val="004A7CEB"/>
    <w:rsid w:val="004B0143"/>
    <w:rsid w:val="004B017F"/>
    <w:rsid w:val="004B03D8"/>
    <w:rsid w:val="004B0F87"/>
    <w:rsid w:val="004B1324"/>
    <w:rsid w:val="004B142C"/>
    <w:rsid w:val="004B1AD2"/>
    <w:rsid w:val="004B1B79"/>
    <w:rsid w:val="004B1D54"/>
    <w:rsid w:val="004B1DA1"/>
    <w:rsid w:val="004B27A9"/>
    <w:rsid w:val="004B2DF5"/>
    <w:rsid w:val="004B3047"/>
    <w:rsid w:val="004B3181"/>
    <w:rsid w:val="004B4427"/>
    <w:rsid w:val="004B474F"/>
    <w:rsid w:val="004B51E6"/>
    <w:rsid w:val="004B52EF"/>
    <w:rsid w:val="004B565C"/>
    <w:rsid w:val="004B5EBF"/>
    <w:rsid w:val="004B61D8"/>
    <w:rsid w:val="004B6315"/>
    <w:rsid w:val="004B6680"/>
    <w:rsid w:val="004B7165"/>
    <w:rsid w:val="004B78E7"/>
    <w:rsid w:val="004B7B86"/>
    <w:rsid w:val="004B7CD8"/>
    <w:rsid w:val="004C01B8"/>
    <w:rsid w:val="004C0429"/>
    <w:rsid w:val="004C0588"/>
    <w:rsid w:val="004C0A09"/>
    <w:rsid w:val="004C0B7C"/>
    <w:rsid w:val="004C0D3A"/>
    <w:rsid w:val="004C0DCD"/>
    <w:rsid w:val="004C1043"/>
    <w:rsid w:val="004C14B0"/>
    <w:rsid w:val="004C1501"/>
    <w:rsid w:val="004C17B3"/>
    <w:rsid w:val="004C193E"/>
    <w:rsid w:val="004C235A"/>
    <w:rsid w:val="004C2962"/>
    <w:rsid w:val="004C4D4A"/>
    <w:rsid w:val="004C57F9"/>
    <w:rsid w:val="004C6619"/>
    <w:rsid w:val="004C6EA8"/>
    <w:rsid w:val="004C779B"/>
    <w:rsid w:val="004C77ED"/>
    <w:rsid w:val="004C7FB6"/>
    <w:rsid w:val="004D0379"/>
    <w:rsid w:val="004D0B82"/>
    <w:rsid w:val="004D0B91"/>
    <w:rsid w:val="004D19BB"/>
    <w:rsid w:val="004D1E0C"/>
    <w:rsid w:val="004D1E9A"/>
    <w:rsid w:val="004D2381"/>
    <w:rsid w:val="004D251F"/>
    <w:rsid w:val="004D2AB8"/>
    <w:rsid w:val="004D3413"/>
    <w:rsid w:val="004D3432"/>
    <w:rsid w:val="004D355E"/>
    <w:rsid w:val="004D35EF"/>
    <w:rsid w:val="004D3706"/>
    <w:rsid w:val="004D37B4"/>
    <w:rsid w:val="004D387B"/>
    <w:rsid w:val="004D38D8"/>
    <w:rsid w:val="004D53DD"/>
    <w:rsid w:val="004D5573"/>
    <w:rsid w:val="004D57CF"/>
    <w:rsid w:val="004D5B38"/>
    <w:rsid w:val="004D6321"/>
    <w:rsid w:val="004D64B4"/>
    <w:rsid w:val="004D6C7A"/>
    <w:rsid w:val="004D73E0"/>
    <w:rsid w:val="004E06F4"/>
    <w:rsid w:val="004E084C"/>
    <w:rsid w:val="004E0C3A"/>
    <w:rsid w:val="004E0E76"/>
    <w:rsid w:val="004E0F77"/>
    <w:rsid w:val="004E107A"/>
    <w:rsid w:val="004E1143"/>
    <w:rsid w:val="004E157A"/>
    <w:rsid w:val="004E16A2"/>
    <w:rsid w:val="004E2164"/>
    <w:rsid w:val="004E2645"/>
    <w:rsid w:val="004E28FC"/>
    <w:rsid w:val="004E33BE"/>
    <w:rsid w:val="004E35AE"/>
    <w:rsid w:val="004E370F"/>
    <w:rsid w:val="004E392B"/>
    <w:rsid w:val="004E3FDC"/>
    <w:rsid w:val="004E4093"/>
    <w:rsid w:val="004E42EF"/>
    <w:rsid w:val="004E49B0"/>
    <w:rsid w:val="004E4B47"/>
    <w:rsid w:val="004E593C"/>
    <w:rsid w:val="004E6C68"/>
    <w:rsid w:val="004E7618"/>
    <w:rsid w:val="004E7936"/>
    <w:rsid w:val="004F0623"/>
    <w:rsid w:val="004F0896"/>
    <w:rsid w:val="004F0997"/>
    <w:rsid w:val="004F1578"/>
    <w:rsid w:val="004F175E"/>
    <w:rsid w:val="004F1CB7"/>
    <w:rsid w:val="004F1EED"/>
    <w:rsid w:val="004F23A0"/>
    <w:rsid w:val="004F2A18"/>
    <w:rsid w:val="004F3038"/>
    <w:rsid w:val="004F3AFE"/>
    <w:rsid w:val="004F3EAD"/>
    <w:rsid w:val="004F3F2A"/>
    <w:rsid w:val="004F493D"/>
    <w:rsid w:val="004F4BDC"/>
    <w:rsid w:val="004F4DB8"/>
    <w:rsid w:val="004F5565"/>
    <w:rsid w:val="004F5836"/>
    <w:rsid w:val="004F58C5"/>
    <w:rsid w:val="004F58D9"/>
    <w:rsid w:val="004F5D3C"/>
    <w:rsid w:val="004F68A6"/>
    <w:rsid w:val="004F69D2"/>
    <w:rsid w:val="004F71E0"/>
    <w:rsid w:val="004F7289"/>
    <w:rsid w:val="005007B9"/>
    <w:rsid w:val="005009D3"/>
    <w:rsid w:val="00500EE7"/>
    <w:rsid w:val="005019E5"/>
    <w:rsid w:val="00501A22"/>
    <w:rsid w:val="00501DD7"/>
    <w:rsid w:val="005025D2"/>
    <w:rsid w:val="00502AFD"/>
    <w:rsid w:val="00503101"/>
    <w:rsid w:val="00503306"/>
    <w:rsid w:val="00503389"/>
    <w:rsid w:val="00503A98"/>
    <w:rsid w:val="005043EB"/>
    <w:rsid w:val="00504CC9"/>
    <w:rsid w:val="00504F0D"/>
    <w:rsid w:val="005055B1"/>
    <w:rsid w:val="005055FF"/>
    <w:rsid w:val="00505673"/>
    <w:rsid w:val="00505F77"/>
    <w:rsid w:val="005061F6"/>
    <w:rsid w:val="005065E2"/>
    <w:rsid w:val="00506F7E"/>
    <w:rsid w:val="00507689"/>
    <w:rsid w:val="00507890"/>
    <w:rsid w:val="00507928"/>
    <w:rsid w:val="00507BD2"/>
    <w:rsid w:val="00507D6B"/>
    <w:rsid w:val="00507FDF"/>
    <w:rsid w:val="005102A1"/>
    <w:rsid w:val="00510324"/>
    <w:rsid w:val="005108C4"/>
    <w:rsid w:val="00510A41"/>
    <w:rsid w:val="00510BDB"/>
    <w:rsid w:val="00510BF2"/>
    <w:rsid w:val="005112D5"/>
    <w:rsid w:val="005117EC"/>
    <w:rsid w:val="005121C7"/>
    <w:rsid w:val="005121CA"/>
    <w:rsid w:val="005129D9"/>
    <w:rsid w:val="00512F6B"/>
    <w:rsid w:val="0051352F"/>
    <w:rsid w:val="00513A3E"/>
    <w:rsid w:val="00513EC5"/>
    <w:rsid w:val="00514394"/>
    <w:rsid w:val="00514903"/>
    <w:rsid w:val="00514B23"/>
    <w:rsid w:val="00514DD9"/>
    <w:rsid w:val="00515668"/>
    <w:rsid w:val="00515689"/>
    <w:rsid w:val="00515A65"/>
    <w:rsid w:val="00515E4C"/>
    <w:rsid w:val="00516258"/>
    <w:rsid w:val="005169F6"/>
    <w:rsid w:val="00516F3D"/>
    <w:rsid w:val="0051753D"/>
    <w:rsid w:val="00517A68"/>
    <w:rsid w:val="00520600"/>
    <w:rsid w:val="00520CD6"/>
    <w:rsid w:val="00521649"/>
    <w:rsid w:val="005218BA"/>
    <w:rsid w:val="00521CA5"/>
    <w:rsid w:val="005221BA"/>
    <w:rsid w:val="00522529"/>
    <w:rsid w:val="00523049"/>
    <w:rsid w:val="005234C9"/>
    <w:rsid w:val="00523609"/>
    <w:rsid w:val="00523634"/>
    <w:rsid w:val="00523764"/>
    <w:rsid w:val="0052403B"/>
    <w:rsid w:val="0052447C"/>
    <w:rsid w:val="0052603A"/>
    <w:rsid w:val="0052647B"/>
    <w:rsid w:val="00526B05"/>
    <w:rsid w:val="00526C36"/>
    <w:rsid w:val="005271C1"/>
    <w:rsid w:val="005303CC"/>
    <w:rsid w:val="0053161F"/>
    <w:rsid w:val="00532E92"/>
    <w:rsid w:val="00534C0B"/>
    <w:rsid w:val="00534DC9"/>
    <w:rsid w:val="00534EC6"/>
    <w:rsid w:val="00535635"/>
    <w:rsid w:val="005358D8"/>
    <w:rsid w:val="00535BCB"/>
    <w:rsid w:val="00535D52"/>
    <w:rsid w:val="00536350"/>
    <w:rsid w:val="00537B7B"/>
    <w:rsid w:val="00540D1E"/>
    <w:rsid w:val="00540DFB"/>
    <w:rsid w:val="00541327"/>
    <w:rsid w:val="0054152F"/>
    <w:rsid w:val="005415C9"/>
    <w:rsid w:val="00541CDE"/>
    <w:rsid w:val="00541DD5"/>
    <w:rsid w:val="0054208B"/>
    <w:rsid w:val="0054246B"/>
    <w:rsid w:val="0054262A"/>
    <w:rsid w:val="00542746"/>
    <w:rsid w:val="0054277C"/>
    <w:rsid w:val="00543D24"/>
    <w:rsid w:val="00544AC7"/>
    <w:rsid w:val="00544AD0"/>
    <w:rsid w:val="00544C18"/>
    <w:rsid w:val="0054520E"/>
    <w:rsid w:val="00545ECB"/>
    <w:rsid w:val="005460D6"/>
    <w:rsid w:val="00546D07"/>
    <w:rsid w:val="00547D18"/>
    <w:rsid w:val="0055092D"/>
    <w:rsid w:val="00550AB4"/>
    <w:rsid w:val="00551E3D"/>
    <w:rsid w:val="00552794"/>
    <w:rsid w:val="00552B56"/>
    <w:rsid w:val="00552D89"/>
    <w:rsid w:val="00552D9E"/>
    <w:rsid w:val="00553231"/>
    <w:rsid w:val="00553385"/>
    <w:rsid w:val="005535E7"/>
    <w:rsid w:val="00553AAB"/>
    <w:rsid w:val="00554016"/>
    <w:rsid w:val="0055440F"/>
    <w:rsid w:val="0055479C"/>
    <w:rsid w:val="00554D37"/>
    <w:rsid w:val="00555553"/>
    <w:rsid w:val="005566B8"/>
    <w:rsid w:val="0055688E"/>
    <w:rsid w:val="005576E4"/>
    <w:rsid w:val="00560504"/>
    <w:rsid w:val="00560736"/>
    <w:rsid w:val="00560B67"/>
    <w:rsid w:val="0056100B"/>
    <w:rsid w:val="005611A0"/>
    <w:rsid w:val="00562007"/>
    <w:rsid w:val="005621F1"/>
    <w:rsid w:val="005624A1"/>
    <w:rsid w:val="0056276C"/>
    <w:rsid w:val="00562B17"/>
    <w:rsid w:val="00563DFB"/>
    <w:rsid w:val="00564656"/>
    <w:rsid w:val="00565892"/>
    <w:rsid w:val="00566D7F"/>
    <w:rsid w:val="00566EFB"/>
    <w:rsid w:val="00570013"/>
    <w:rsid w:val="00570AC7"/>
    <w:rsid w:val="00571E1C"/>
    <w:rsid w:val="00572F1D"/>
    <w:rsid w:val="00574584"/>
    <w:rsid w:val="00574A1B"/>
    <w:rsid w:val="00574FA6"/>
    <w:rsid w:val="005759CB"/>
    <w:rsid w:val="00575C71"/>
    <w:rsid w:val="0057626E"/>
    <w:rsid w:val="005768EA"/>
    <w:rsid w:val="00576E95"/>
    <w:rsid w:val="00576F2C"/>
    <w:rsid w:val="00577498"/>
    <w:rsid w:val="00577E77"/>
    <w:rsid w:val="0058009E"/>
    <w:rsid w:val="00580E47"/>
    <w:rsid w:val="005811B9"/>
    <w:rsid w:val="005811D8"/>
    <w:rsid w:val="005812A2"/>
    <w:rsid w:val="00581C86"/>
    <w:rsid w:val="00582103"/>
    <w:rsid w:val="005822F5"/>
    <w:rsid w:val="00582BDA"/>
    <w:rsid w:val="00582E76"/>
    <w:rsid w:val="00582EC6"/>
    <w:rsid w:val="005841E5"/>
    <w:rsid w:val="00585B08"/>
    <w:rsid w:val="00586102"/>
    <w:rsid w:val="00586A1D"/>
    <w:rsid w:val="00586E75"/>
    <w:rsid w:val="00586EF8"/>
    <w:rsid w:val="0058710B"/>
    <w:rsid w:val="00587DEA"/>
    <w:rsid w:val="0059018E"/>
    <w:rsid w:val="0059020D"/>
    <w:rsid w:val="005903A3"/>
    <w:rsid w:val="00590A1C"/>
    <w:rsid w:val="00590DD1"/>
    <w:rsid w:val="005915C4"/>
    <w:rsid w:val="005918EB"/>
    <w:rsid w:val="00591ED5"/>
    <w:rsid w:val="00592026"/>
    <w:rsid w:val="00592110"/>
    <w:rsid w:val="005926E9"/>
    <w:rsid w:val="00592A27"/>
    <w:rsid w:val="005931A8"/>
    <w:rsid w:val="0059380F"/>
    <w:rsid w:val="00593A7D"/>
    <w:rsid w:val="00593C49"/>
    <w:rsid w:val="00593F1B"/>
    <w:rsid w:val="005954B6"/>
    <w:rsid w:val="00595B89"/>
    <w:rsid w:val="0059623A"/>
    <w:rsid w:val="005966EB"/>
    <w:rsid w:val="00596773"/>
    <w:rsid w:val="0059684D"/>
    <w:rsid w:val="00596A01"/>
    <w:rsid w:val="005A0207"/>
    <w:rsid w:val="005A06BD"/>
    <w:rsid w:val="005A06E1"/>
    <w:rsid w:val="005A0EF1"/>
    <w:rsid w:val="005A1683"/>
    <w:rsid w:val="005A1FC2"/>
    <w:rsid w:val="005A2311"/>
    <w:rsid w:val="005A2414"/>
    <w:rsid w:val="005A24D4"/>
    <w:rsid w:val="005A2786"/>
    <w:rsid w:val="005A29CA"/>
    <w:rsid w:val="005A4941"/>
    <w:rsid w:val="005A4F1E"/>
    <w:rsid w:val="005A5242"/>
    <w:rsid w:val="005A5355"/>
    <w:rsid w:val="005A541C"/>
    <w:rsid w:val="005A6466"/>
    <w:rsid w:val="005A659A"/>
    <w:rsid w:val="005A6666"/>
    <w:rsid w:val="005A6E57"/>
    <w:rsid w:val="005A6EA3"/>
    <w:rsid w:val="005A7193"/>
    <w:rsid w:val="005A7EF1"/>
    <w:rsid w:val="005B0215"/>
    <w:rsid w:val="005B0575"/>
    <w:rsid w:val="005B085C"/>
    <w:rsid w:val="005B0C49"/>
    <w:rsid w:val="005B0F7D"/>
    <w:rsid w:val="005B1803"/>
    <w:rsid w:val="005B1860"/>
    <w:rsid w:val="005B1D8C"/>
    <w:rsid w:val="005B1FF6"/>
    <w:rsid w:val="005B2242"/>
    <w:rsid w:val="005B27E7"/>
    <w:rsid w:val="005B2C28"/>
    <w:rsid w:val="005B2FBD"/>
    <w:rsid w:val="005B3EAB"/>
    <w:rsid w:val="005B4979"/>
    <w:rsid w:val="005B4CE5"/>
    <w:rsid w:val="005B644F"/>
    <w:rsid w:val="005B6E21"/>
    <w:rsid w:val="005B7913"/>
    <w:rsid w:val="005B7ABB"/>
    <w:rsid w:val="005C1174"/>
    <w:rsid w:val="005C1210"/>
    <w:rsid w:val="005C14EF"/>
    <w:rsid w:val="005C1522"/>
    <w:rsid w:val="005C15C8"/>
    <w:rsid w:val="005C19DA"/>
    <w:rsid w:val="005C20F3"/>
    <w:rsid w:val="005C2612"/>
    <w:rsid w:val="005C2928"/>
    <w:rsid w:val="005C2BBE"/>
    <w:rsid w:val="005C36F6"/>
    <w:rsid w:val="005C38A2"/>
    <w:rsid w:val="005C4231"/>
    <w:rsid w:val="005C43E3"/>
    <w:rsid w:val="005C4497"/>
    <w:rsid w:val="005C4C24"/>
    <w:rsid w:val="005C5148"/>
    <w:rsid w:val="005C53F4"/>
    <w:rsid w:val="005C53FB"/>
    <w:rsid w:val="005C5959"/>
    <w:rsid w:val="005C5C9D"/>
    <w:rsid w:val="005C5FC3"/>
    <w:rsid w:val="005C5FE6"/>
    <w:rsid w:val="005C5FF4"/>
    <w:rsid w:val="005C6960"/>
    <w:rsid w:val="005C6AAB"/>
    <w:rsid w:val="005C6DA9"/>
    <w:rsid w:val="005C7B16"/>
    <w:rsid w:val="005D08AC"/>
    <w:rsid w:val="005D0EDE"/>
    <w:rsid w:val="005D10D4"/>
    <w:rsid w:val="005D188F"/>
    <w:rsid w:val="005D1A15"/>
    <w:rsid w:val="005D24BE"/>
    <w:rsid w:val="005D2961"/>
    <w:rsid w:val="005D2E77"/>
    <w:rsid w:val="005D3288"/>
    <w:rsid w:val="005D34BF"/>
    <w:rsid w:val="005D3790"/>
    <w:rsid w:val="005D3A0A"/>
    <w:rsid w:val="005D447E"/>
    <w:rsid w:val="005D44E9"/>
    <w:rsid w:val="005D4523"/>
    <w:rsid w:val="005D5096"/>
    <w:rsid w:val="005D5140"/>
    <w:rsid w:val="005D52B4"/>
    <w:rsid w:val="005D5318"/>
    <w:rsid w:val="005D5504"/>
    <w:rsid w:val="005D59B6"/>
    <w:rsid w:val="005D5A53"/>
    <w:rsid w:val="005D77D4"/>
    <w:rsid w:val="005D7808"/>
    <w:rsid w:val="005D78A8"/>
    <w:rsid w:val="005D7B64"/>
    <w:rsid w:val="005E0897"/>
    <w:rsid w:val="005E0DDD"/>
    <w:rsid w:val="005E0EFE"/>
    <w:rsid w:val="005E1E55"/>
    <w:rsid w:val="005E1E6D"/>
    <w:rsid w:val="005E2211"/>
    <w:rsid w:val="005E25BD"/>
    <w:rsid w:val="005E2997"/>
    <w:rsid w:val="005E326D"/>
    <w:rsid w:val="005E44FA"/>
    <w:rsid w:val="005E50F9"/>
    <w:rsid w:val="005E5832"/>
    <w:rsid w:val="005E5CDC"/>
    <w:rsid w:val="005E5D5E"/>
    <w:rsid w:val="005E69CD"/>
    <w:rsid w:val="005E75A1"/>
    <w:rsid w:val="005F09A4"/>
    <w:rsid w:val="005F0C7F"/>
    <w:rsid w:val="005F0F66"/>
    <w:rsid w:val="005F1937"/>
    <w:rsid w:val="005F1D85"/>
    <w:rsid w:val="005F2724"/>
    <w:rsid w:val="005F395A"/>
    <w:rsid w:val="005F50A0"/>
    <w:rsid w:val="005F5162"/>
    <w:rsid w:val="005F51C7"/>
    <w:rsid w:val="005F5294"/>
    <w:rsid w:val="005F5348"/>
    <w:rsid w:val="005F5FBA"/>
    <w:rsid w:val="005F64B9"/>
    <w:rsid w:val="005F677D"/>
    <w:rsid w:val="005F6E20"/>
    <w:rsid w:val="005F6F45"/>
    <w:rsid w:val="005F70DA"/>
    <w:rsid w:val="005F75F0"/>
    <w:rsid w:val="005F77FE"/>
    <w:rsid w:val="00600046"/>
    <w:rsid w:val="00600B98"/>
    <w:rsid w:val="00600DD7"/>
    <w:rsid w:val="0060100F"/>
    <w:rsid w:val="00601686"/>
    <w:rsid w:val="006016B0"/>
    <w:rsid w:val="00601B28"/>
    <w:rsid w:val="00601F58"/>
    <w:rsid w:val="006020E2"/>
    <w:rsid w:val="00603B98"/>
    <w:rsid w:val="00606349"/>
    <w:rsid w:val="006064A0"/>
    <w:rsid w:val="00606959"/>
    <w:rsid w:val="00606B09"/>
    <w:rsid w:val="00606B0E"/>
    <w:rsid w:val="0060759B"/>
    <w:rsid w:val="006078AE"/>
    <w:rsid w:val="00610050"/>
    <w:rsid w:val="006103D5"/>
    <w:rsid w:val="00610508"/>
    <w:rsid w:val="0061063F"/>
    <w:rsid w:val="00610A05"/>
    <w:rsid w:val="006110E6"/>
    <w:rsid w:val="00611583"/>
    <w:rsid w:val="00612426"/>
    <w:rsid w:val="00612676"/>
    <w:rsid w:val="006128CA"/>
    <w:rsid w:val="00612CA9"/>
    <w:rsid w:val="00612DCA"/>
    <w:rsid w:val="00612E17"/>
    <w:rsid w:val="00613391"/>
    <w:rsid w:val="006138D1"/>
    <w:rsid w:val="00613907"/>
    <w:rsid w:val="0061441F"/>
    <w:rsid w:val="00614B52"/>
    <w:rsid w:val="00614F0F"/>
    <w:rsid w:val="0061568E"/>
    <w:rsid w:val="00615692"/>
    <w:rsid w:val="00615947"/>
    <w:rsid w:val="006166EE"/>
    <w:rsid w:val="006171C0"/>
    <w:rsid w:val="00617570"/>
    <w:rsid w:val="00617572"/>
    <w:rsid w:val="00620A20"/>
    <w:rsid w:val="00620DCC"/>
    <w:rsid w:val="00620F94"/>
    <w:rsid w:val="00621B29"/>
    <w:rsid w:val="00621C93"/>
    <w:rsid w:val="006224BF"/>
    <w:rsid w:val="00622AAE"/>
    <w:rsid w:val="00622D33"/>
    <w:rsid w:val="00623289"/>
    <w:rsid w:val="00623978"/>
    <w:rsid w:val="0062471B"/>
    <w:rsid w:val="00624844"/>
    <w:rsid w:val="00624C13"/>
    <w:rsid w:val="00626FBF"/>
    <w:rsid w:val="00627072"/>
    <w:rsid w:val="0062749E"/>
    <w:rsid w:val="00627C1F"/>
    <w:rsid w:val="006330D1"/>
    <w:rsid w:val="0063318E"/>
    <w:rsid w:val="0063357F"/>
    <w:rsid w:val="00633AF6"/>
    <w:rsid w:val="0063496A"/>
    <w:rsid w:val="00635160"/>
    <w:rsid w:val="006356AD"/>
    <w:rsid w:val="00635C53"/>
    <w:rsid w:val="00635F01"/>
    <w:rsid w:val="00635F05"/>
    <w:rsid w:val="0063611E"/>
    <w:rsid w:val="006364CC"/>
    <w:rsid w:val="00636C88"/>
    <w:rsid w:val="00636CEF"/>
    <w:rsid w:val="00636E38"/>
    <w:rsid w:val="00636EA4"/>
    <w:rsid w:val="006370E6"/>
    <w:rsid w:val="006371CD"/>
    <w:rsid w:val="00640B26"/>
    <w:rsid w:val="006416A4"/>
    <w:rsid w:val="00641701"/>
    <w:rsid w:val="00641C9B"/>
    <w:rsid w:val="006423DC"/>
    <w:rsid w:val="00642541"/>
    <w:rsid w:val="00642B99"/>
    <w:rsid w:val="0064320E"/>
    <w:rsid w:val="0064396B"/>
    <w:rsid w:val="00643BFA"/>
    <w:rsid w:val="00643C78"/>
    <w:rsid w:val="00643FE1"/>
    <w:rsid w:val="006440A9"/>
    <w:rsid w:val="0064412F"/>
    <w:rsid w:val="006443B0"/>
    <w:rsid w:val="00644DCC"/>
    <w:rsid w:val="0064509D"/>
    <w:rsid w:val="00645239"/>
    <w:rsid w:val="00645C4D"/>
    <w:rsid w:val="0064656F"/>
    <w:rsid w:val="0064699D"/>
    <w:rsid w:val="00646A61"/>
    <w:rsid w:val="00646D7F"/>
    <w:rsid w:val="00647353"/>
    <w:rsid w:val="00650B8A"/>
    <w:rsid w:val="00650C91"/>
    <w:rsid w:val="00650F68"/>
    <w:rsid w:val="006512A8"/>
    <w:rsid w:val="006515E1"/>
    <w:rsid w:val="00652354"/>
    <w:rsid w:val="00654493"/>
    <w:rsid w:val="006546B0"/>
    <w:rsid w:val="00654A5C"/>
    <w:rsid w:val="00654D53"/>
    <w:rsid w:val="00654EFA"/>
    <w:rsid w:val="0065572F"/>
    <w:rsid w:val="00655DE0"/>
    <w:rsid w:val="006561EA"/>
    <w:rsid w:val="00656B7C"/>
    <w:rsid w:val="00656BA1"/>
    <w:rsid w:val="00657AB3"/>
    <w:rsid w:val="00660410"/>
    <w:rsid w:val="00660590"/>
    <w:rsid w:val="00660BE4"/>
    <w:rsid w:val="00660C07"/>
    <w:rsid w:val="00661271"/>
    <w:rsid w:val="00661CE4"/>
    <w:rsid w:val="00662269"/>
    <w:rsid w:val="0066232E"/>
    <w:rsid w:val="0066340B"/>
    <w:rsid w:val="0066374B"/>
    <w:rsid w:val="0066442B"/>
    <w:rsid w:val="0066462D"/>
    <w:rsid w:val="00665034"/>
    <w:rsid w:val="006650C4"/>
    <w:rsid w:val="0066523C"/>
    <w:rsid w:val="0066546F"/>
    <w:rsid w:val="00665AE3"/>
    <w:rsid w:val="00665B15"/>
    <w:rsid w:val="00666971"/>
    <w:rsid w:val="00666AE2"/>
    <w:rsid w:val="0066704C"/>
    <w:rsid w:val="00667AEC"/>
    <w:rsid w:val="00670231"/>
    <w:rsid w:val="00670344"/>
    <w:rsid w:val="00670559"/>
    <w:rsid w:val="00670673"/>
    <w:rsid w:val="00670708"/>
    <w:rsid w:val="00670B62"/>
    <w:rsid w:val="00670ECA"/>
    <w:rsid w:val="006713A7"/>
    <w:rsid w:val="00671627"/>
    <w:rsid w:val="00672731"/>
    <w:rsid w:val="006738CF"/>
    <w:rsid w:val="00673C20"/>
    <w:rsid w:val="006749C8"/>
    <w:rsid w:val="00674D8C"/>
    <w:rsid w:val="00675294"/>
    <w:rsid w:val="006754B8"/>
    <w:rsid w:val="0067588D"/>
    <w:rsid w:val="0067599A"/>
    <w:rsid w:val="00675B41"/>
    <w:rsid w:val="00675F33"/>
    <w:rsid w:val="00675F9D"/>
    <w:rsid w:val="006763A2"/>
    <w:rsid w:val="006768C9"/>
    <w:rsid w:val="00676DD5"/>
    <w:rsid w:val="00676F0F"/>
    <w:rsid w:val="00677800"/>
    <w:rsid w:val="006803BE"/>
    <w:rsid w:val="006806BA"/>
    <w:rsid w:val="00680970"/>
    <w:rsid w:val="00680E06"/>
    <w:rsid w:val="00681137"/>
    <w:rsid w:val="00681CD2"/>
    <w:rsid w:val="006829C5"/>
    <w:rsid w:val="00682ADF"/>
    <w:rsid w:val="006830FD"/>
    <w:rsid w:val="006834FC"/>
    <w:rsid w:val="006838E4"/>
    <w:rsid w:val="00683BD8"/>
    <w:rsid w:val="00684BD3"/>
    <w:rsid w:val="006850E7"/>
    <w:rsid w:val="006852EC"/>
    <w:rsid w:val="00685D07"/>
    <w:rsid w:val="006863A2"/>
    <w:rsid w:val="00686857"/>
    <w:rsid w:val="006873B2"/>
    <w:rsid w:val="00687B75"/>
    <w:rsid w:val="00687D59"/>
    <w:rsid w:val="0069054D"/>
    <w:rsid w:val="00690C42"/>
    <w:rsid w:val="00690FD3"/>
    <w:rsid w:val="00691CDC"/>
    <w:rsid w:val="00691E78"/>
    <w:rsid w:val="00691EC7"/>
    <w:rsid w:val="006924A8"/>
    <w:rsid w:val="00692580"/>
    <w:rsid w:val="0069305B"/>
    <w:rsid w:val="006934C2"/>
    <w:rsid w:val="006935A0"/>
    <w:rsid w:val="00693748"/>
    <w:rsid w:val="00693881"/>
    <w:rsid w:val="0069458A"/>
    <w:rsid w:val="00694AF9"/>
    <w:rsid w:val="00695427"/>
    <w:rsid w:val="0069586C"/>
    <w:rsid w:val="00695993"/>
    <w:rsid w:val="00695FA2"/>
    <w:rsid w:val="00696DD7"/>
    <w:rsid w:val="006976EB"/>
    <w:rsid w:val="00697738"/>
    <w:rsid w:val="00697792"/>
    <w:rsid w:val="0069789A"/>
    <w:rsid w:val="006A08C4"/>
    <w:rsid w:val="006A0B8C"/>
    <w:rsid w:val="006A0D8A"/>
    <w:rsid w:val="006A0E1A"/>
    <w:rsid w:val="006A28CB"/>
    <w:rsid w:val="006A2D04"/>
    <w:rsid w:val="006A31F4"/>
    <w:rsid w:val="006A4A27"/>
    <w:rsid w:val="006A59CA"/>
    <w:rsid w:val="006A5E0B"/>
    <w:rsid w:val="006A600C"/>
    <w:rsid w:val="006A60EA"/>
    <w:rsid w:val="006A64DA"/>
    <w:rsid w:val="006A6956"/>
    <w:rsid w:val="006A6AB5"/>
    <w:rsid w:val="006A6AEE"/>
    <w:rsid w:val="006A7306"/>
    <w:rsid w:val="006A7CB9"/>
    <w:rsid w:val="006B0079"/>
    <w:rsid w:val="006B0149"/>
    <w:rsid w:val="006B0496"/>
    <w:rsid w:val="006B04D2"/>
    <w:rsid w:val="006B05CB"/>
    <w:rsid w:val="006B063C"/>
    <w:rsid w:val="006B06C7"/>
    <w:rsid w:val="006B0C55"/>
    <w:rsid w:val="006B0D03"/>
    <w:rsid w:val="006B1136"/>
    <w:rsid w:val="006B1316"/>
    <w:rsid w:val="006B1401"/>
    <w:rsid w:val="006B1856"/>
    <w:rsid w:val="006B19FC"/>
    <w:rsid w:val="006B1BD2"/>
    <w:rsid w:val="006B1C64"/>
    <w:rsid w:val="006B1CEC"/>
    <w:rsid w:val="006B1D01"/>
    <w:rsid w:val="006B222A"/>
    <w:rsid w:val="006B225B"/>
    <w:rsid w:val="006B26D9"/>
    <w:rsid w:val="006B2A22"/>
    <w:rsid w:val="006B2FAC"/>
    <w:rsid w:val="006B35E4"/>
    <w:rsid w:val="006B46EC"/>
    <w:rsid w:val="006B5383"/>
    <w:rsid w:val="006B5840"/>
    <w:rsid w:val="006B5E8E"/>
    <w:rsid w:val="006B63E8"/>
    <w:rsid w:val="006B7A3C"/>
    <w:rsid w:val="006C0C47"/>
    <w:rsid w:val="006C12FD"/>
    <w:rsid w:val="006C1362"/>
    <w:rsid w:val="006C138C"/>
    <w:rsid w:val="006C1479"/>
    <w:rsid w:val="006C16FF"/>
    <w:rsid w:val="006C1B41"/>
    <w:rsid w:val="006C1C38"/>
    <w:rsid w:val="006C1C3A"/>
    <w:rsid w:val="006C1EAF"/>
    <w:rsid w:val="006C21C3"/>
    <w:rsid w:val="006C261F"/>
    <w:rsid w:val="006C283F"/>
    <w:rsid w:val="006C2848"/>
    <w:rsid w:val="006C2953"/>
    <w:rsid w:val="006C2990"/>
    <w:rsid w:val="006C299E"/>
    <w:rsid w:val="006C2FAF"/>
    <w:rsid w:val="006C309D"/>
    <w:rsid w:val="006C36C0"/>
    <w:rsid w:val="006C380D"/>
    <w:rsid w:val="006C3995"/>
    <w:rsid w:val="006C41E1"/>
    <w:rsid w:val="006C5145"/>
    <w:rsid w:val="006C5377"/>
    <w:rsid w:val="006C5C57"/>
    <w:rsid w:val="006C68A0"/>
    <w:rsid w:val="006C695E"/>
    <w:rsid w:val="006C71D3"/>
    <w:rsid w:val="006C73E5"/>
    <w:rsid w:val="006C78C0"/>
    <w:rsid w:val="006D1C4C"/>
    <w:rsid w:val="006D2426"/>
    <w:rsid w:val="006D2738"/>
    <w:rsid w:val="006D2D6B"/>
    <w:rsid w:val="006D2E03"/>
    <w:rsid w:val="006D3532"/>
    <w:rsid w:val="006D35B6"/>
    <w:rsid w:val="006D40DC"/>
    <w:rsid w:val="006D4598"/>
    <w:rsid w:val="006D4FA3"/>
    <w:rsid w:val="006D5283"/>
    <w:rsid w:val="006D5ABC"/>
    <w:rsid w:val="006D5DBF"/>
    <w:rsid w:val="006D6294"/>
    <w:rsid w:val="006D647B"/>
    <w:rsid w:val="006D6885"/>
    <w:rsid w:val="006D6EC3"/>
    <w:rsid w:val="006D72E1"/>
    <w:rsid w:val="006D77F0"/>
    <w:rsid w:val="006D7B2D"/>
    <w:rsid w:val="006D7FC1"/>
    <w:rsid w:val="006E0077"/>
    <w:rsid w:val="006E0101"/>
    <w:rsid w:val="006E1794"/>
    <w:rsid w:val="006E199D"/>
    <w:rsid w:val="006E1A2B"/>
    <w:rsid w:val="006E2C53"/>
    <w:rsid w:val="006E33EF"/>
    <w:rsid w:val="006E3670"/>
    <w:rsid w:val="006E38DB"/>
    <w:rsid w:val="006E3B42"/>
    <w:rsid w:val="006E3D2D"/>
    <w:rsid w:val="006E3D77"/>
    <w:rsid w:val="006E4184"/>
    <w:rsid w:val="006E4AB7"/>
    <w:rsid w:val="006E4ADD"/>
    <w:rsid w:val="006E57F7"/>
    <w:rsid w:val="006E5D49"/>
    <w:rsid w:val="006E6435"/>
    <w:rsid w:val="006E6712"/>
    <w:rsid w:val="006E7491"/>
    <w:rsid w:val="006E766B"/>
    <w:rsid w:val="006E78BE"/>
    <w:rsid w:val="006E7D82"/>
    <w:rsid w:val="006F0098"/>
    <w:rsid w:val="006F05A8"/>
    <w:rsid w:val="006F0A1E"/>
    <w:rsid w:val="006F0C01"/>
    <w:rsid w:val="006F0FDB"/>
    <w:rsid w:val="006F1553"/>
    <w:rsid w:val="006F158C"/>
    <w:rsid w:val="006F1F66"/>
    <w:rsid w:val="006F28AA"/>
    <w:rsid w:val="006F2DEE"/>
    <w:rsid w:val="006F2DF2"/>
    <w:rsid w:val="006F3199"/>
    <w:rsid w:val="006F3CD9"/>
    <w:rsid w:val="006F4DD7"/>
    <w:rsid w:val="006F5E0C"/>
    <w:rsid w:val="006F6439"/>
    <w:rsid w:val="006F6861"/>
    <w:rsid w:val="006F68CF"/>
    <w:rsid w:val="006F6C05"/>
    <w:rsid w:val="00700B9B"/>
    <w:rsid w:val="007010E8"/>
    <w:rsid w:val="00702026"/>
    <w:rsid w:val="0070330D"/>
    <w:rsid w:val="0070337D"/>
    <w:rsid w:val="00704803"/>
    <w:rsid w:val="007049C8"/>
    <w:rsid w:val="00704BED"/>
    <w:rsid w:val="00704FD4"/>
    <w:rsid w:val="00705670"/>
    <w:rsid w:val="007063F5"/>
    <w:rsid w:val="00706607"/>
    <w:rsid w:val="00706F1F"/>
    <w:rsid w:val="007077EB"/>
    <w:rsid w:val="007079B1"/>
    <w:rsid w:val="00710A65"/>
    <w:rsid w:val="00710C78"/>
    <w:rsid w:val="00711F9B"/>
    <w:rsid w:val="00711FAB"/>
    <w:rsid w:val="0071208A"/>
    <w:rsid w:val="00713B54"/>
    <w:rsid w:val="00713C0C"/>
    <w:rsid w:val="007140EE"/>
    <w:rsid w:val="00714188"/>
    <w:rsid w:val="00714225"/>
    <w:rsid w:val="00714682"/>
    <w:rsid w:val="00714791"/>
    <w:rsid w:val="0071555C"/>
    <w:rsid w:val="00715709"/>
    <w:rsid w:val="00715906"/>
    <w:rsid w:val="0071605A"/>
    <w:rsid w:val="00716682"/>
    <w:rsid w:val="007169D6"/>
    <w:rsid w:val="00716B3C"/>
    <w:rsid w:val="00717028"/>
    <w:rsid w:val="007202B2"/>
    <w:rsid w:val="007207C1"/>
    <w:rsid w:val="007210CD"/>
    <w:rsid w:val="007213B3"/>
    <w:rsid w:val="007214C6"/>
    <w:rsid w:val="007216B4"/>
    <w:rsid w:val="0072176C"/>
    <w:rsid w:val="00721C32"/>
    <w:rsid w:val="00721C9D"/>
    <w:rsid w:val="00721FE4"/>
    <w:rsid w:val="00722F6A"/>
    <w:rsid w:val="007230AB"/>
    <w:rsid w:val="007232AB"/>
    <w:rsid w:val="00723CA7"/>
    <w:rsid w:val="00723DBA"/>
    <w:rsid w:val="007248A5"/>
    <w:rsid w:val="007248F5"/>
    <w:rsid w:val="00724A82"/>
    <w:rsid w:val="00724EE7"/>
    <w:rsid w:val="00724FF2"/>
    <w:rsid w:val="00725786"/>
    <w:rsid w:val="0072604E"/>
    <w:rsid w:val="00726107"/>
    <w:rsid w:val="007264B6"/>
    <w:rsid w:val="007271C0"/>
    <w:rsid w:val="00730850"/>
    <w:rsid w:val="00731782"/>
    <w:rsid w:val="00731B22"/>
    <w:rsid w:val="007324E8"/>
    <w:rsid w:val="0073251C"/>
    <w:rsid w:val="00732BB4"/>
    <w:rsid w:val="00732DF4"/>
    <w:rsid w:val="00733610"/>
    <w:rsid w:val="00733811"/>
    <w:rsid w:val="00733DB6"/>
    <w:rsid w:val="007354FA"/>
    <w:rsid w:val="00735ACD"/>
    <w:rsid w:val="00735D7D"/>
    <w:rsid w:val="007367B5"/>
    <w:rsid w:val="00736A2A"/>
    <w:rsid w:val="00736E02"/>
    <w:rsid w:val="00737066"/>
    <w:rsid w:val="00737AF2"/>
    <w:rsid w:val="00741702"/>
    <w:rsid w:val="00741E96"/>
    <w:rsid w:val="0074208C"/>
    <w:rsid w:val="00742489"/>
    <w:rsid w:val="00742563"/>
    <w:rsid w:val="007426BD"/>
    <w:rsid w:val="00742FE3"/>
    <w:rsid w:val="007430F6"/>
    <w:rsid w:val="00744129"/>
    <w:rsid w:val="007466BF"/>
    <w:rsid w:val="007468E7"/>
    <w:rsid w:val="00746AF4"/>
    <w:rsid w:val="00746E6E"/>
    <w:rsid w:val="00747782"/>
    <w:rsid w:val="007503C3"/>
    <w:rsid w:val="0075046B"/>
    <w:rsid w:val="00750E4E"/>
    <w:rsid w:val="0075197E"/>
    <w:rsid w:val="00751A83"/>
    <w:rsid w:val="00752245"/>
    <w:rsid w:val="007522C2"/>
    <w:rsid w:val="007522F1"/>
    <w:rsid w:val="007526D4"/>
    <w:rsid w:val="007530EB"/>
    <w:rsid w:val="00753174"/>
    <w:rsid w:val="0075372D"/>
    <w:rsid w:val="0075380A"/>
    <w:rsid w:val="00753DF4"/>
    <w:rsid w:val="007541D7"/>
    <w:rsid w:val="00754492"/>
    <w:rsid w:val="00754EB4"/>
    <w:rsid w:val="00755300"/>
    <w:rsid w:val="007553A8"/>
    <w:rsid w:val="00755639"/>
    <w:rsid w:val="007556FF"/>
    <w:rsid w:val="00755748"/>
    <w:rsid w:val="007558A5"/>
    <w:rsid w:val="007558DD"/>
    <w:rsid w:val="007558FB"/>
    <w:rsid w:val="0075605E"/>
    <w:rsid w:val="0075636B"/>
    <w:rsid w:val="007566AE"/>
    <w:rsid w:val="00757086"/>
    <w:rsid w:val="00757929"/>
    <w:rsid w:val="00757BCD"/>
    <w:rsid w:val="00757E25"/>
    <w:rsid w:val="0076058D"/>
    <w:rsid w:val="00760C8B"/>
    <w:rsid w:val="00760F09"/>
    <w:rsid w:val="007610DC"/>
    <w:rsid w:val="0076139F"/>
    <w:rsid w:val="0076189C"/>
    <w:rsid w:val="007619F8"/>
    <w:rsid w:val="00761FCF"/>
    <w:rsid w:val="00762473"/>
    <w:rsid w:val="007624BB"/>
    <w:rsid w:val="00762877"/>
    <w:rsid w:val="007629CD"/>
    <w:rsid w:val="00763643"/>
    <w:rsid w:val="007645D1"/>
    <w:rsid w:val="00764D6A"/>
    <w:rsid w:val="007653A3"/>
    <w:rsid w:val="00765FB4"/>
    <w:rsid w:val="00766C5C"/>
    <w:rsid w:val="0077036A"/>
    <w:rsid w:val="007705E7"/>
    <w:rsid w:val="007706DC"/>
    <w:rsid w:val="00770DC9"/>
    <w:rsid w:val="007710AF"/>
    <w:rsid w:val="00771135"/>
    <w:rsid w:val="007712A8"/>
    <w:rsid w:val="00771539"/>
    <w:rsid w:val="00771BF7"/>
    <w:rsid w:val="007720A6"/>
    <w:rsid w:val="007720B8"/>
    <w:rsid w:val="007723F7"/>
    <w:rsid w:val="007727F9"/>
    <w:rsid w:val="00773056"/>
    <w:rsid w:val="007731F6"/>
    <w:rsid w:val="007734AA"/>
    <w:rsid w:val="007736B0"/>
    <w:rsid w:val="00774C0D"/>
    <w:rsid w:val="00775B09"/>
    <w:rsid w:val="00775DC1"/>
    <w:rsid w:val="00776ABB"/>
    <w:rsid w:val="00776B07"/>
    <w:rsid w:val="00776F67"/>
    <w:rsid w:val="0077722E"/>
    <w:rsid w:val="00777549"/>
    <w:rsid w:val="00780129"/>
    <w:rsid w:val="0078035A"/>
    <w:rsid w:val="00781355"/>
    <w:rsid w:val="00781B61"/>
    <w:rsid w:val="0078265F"/>
    <w:rsid w:val="00782830"/>
    <w:rsid w:val="00782FFC"/>
    <w:rsid w:val="00783170"/>
    <w:rsid w:val="007837A3"/>
    <w:rsid w:val="00784296"/>
    <w:rsid w:val="007844D4"/>
    <w:rsid w:val="00784846"/>
    <w:rsid w:val="007848E1"/>
    <w:rsid w:val="0078535E"/>
    <w:rsid w:val="007856B2"/>
    <w:rsid w:val="00786534"/>
    <w:rsid w:val="00786C80"/>
    <w:rsid w:val="00786DC4"/>
    <w:rsid w:val="007878F3"/>
    <w:rsid w:val="00787FC6"/>
    <w:rsid w:val="0079014C"/>
    <w:rsid w:val="00790B04"/>
    <w:rsid w:val="00790E9F"/>
    <w:rsid w:val="00791185"/>
    <w:rsid w:val="00792956"/>
    <w:rsid w:val="00792B41"/>
    <w:rsid w:val="00792C06"/>
    <w:rsid w:val="00792DC6"/>
    <w:rsid w:val="00793544"/>
    <w:rsid w:val="00793746"/>
    <w:rsid w:val="00793B0B"/>
    <w:rsid w:val="007947E1"/>
    <w:rsid w:val="0079614C"/>
    <w:rsid w:val="00796402"/>
    <w:rsid w:val="00796820"/>
    <w:rsid w:val="00797492"/>
    <w:rsid w:val="00797875"/>
    <w:rsid w:val="00797892"/>
    <w:rsid w:val="00797916"/>
    <w:rsid w:val="00797D8C"/>
    <w:rsid w:val="00797E97"/>
    <w:rsid w:val="007A0414"/>
    <w:rsid w:val="007A06F6"/>
    <w:rsid w:val="007A09D5"/>
    <w:rsid w:val="007A0DB4"/>
    <w:rsid w:val="007A11A7"/>
    <w:rsid w:val="007A13AF"/>
    <w:rsid w:val="007A1782"/>
    <w:rsid w:val="007A2790"/>
    <w:rsid w:val="007A3A27"/>
    <w:rsid w:val="007A3F93"/>
    <w:rsid w:val="007A4879"/>
    <w:rsid w:val="007A4AFE"/>
    <w:rsid w:val="007A4D14"/>
    <w:rsid w:val="007A59D4"/>
    <w:rsid w:val="007A5D10"/>
    <w:rsid w:val="007A5DAE"/>
    <w:rsid w:val="007A6B56"/>
    <w:rsid w:val="007A6F99"/>
    <w:rsid w:val="007B0C77"/>
    <w:rsid w:val="007B2225"/>
    <w:rsid w:val="007B248B"/>
    <w:rsid w:val="007B2597"/>
    <w:rsid w:val="007B2C8F"/>
    <w:rsid w:val="007B2DAE"/>
    <w:rsid w:val="007B38BB"/>
    <w:rsid w:val="007B3F70"/>
    <w:rsid w:val="007B406E"/>
    <w:rsid w:val="007B43D9"/>
    <w:rsid w:val="007B45E8"/>
    <w:rsid w:val="007B4F98"/>
    <w:rsid w:val="007B56FF"/>
    <w:rsid w:val="007B5ED3"/>
    <w:rsid w:val="007B642F"/>
    <w:rsid w:val="007B646B"/>
    <w:rsid w:val="007B66C4"/>
    <w:rsid w:val="007B676D"/>
    <w:rsid w:val="007B7E13"/>
    <w:rsid w:val="007C039D"/>
    <w:rsid w:val="007C125B"/>
    <w:rsid w:val="007C1562"/>
    <w:rsid w:val="007C1E03"/>
    <w:rsid w:val="007C1F38"/>
    <w:rsid w:val="007C23A4"/>
    <w:rsid w:val="007C273C"/>
    <w:rsid w:val="007C284F"/>
    <w:rsid w:val="007C2AAB"/>
    <w:rsid w:val="007C2AB2"/>
    <w:rsid w:val="007C3010"/>
    <w:rsid w:val="007C358A"/>
    <w:rsid w:val="007C3E37"/>
    <w:rsid w:val="007C49A6"/>
    <w:rsid w:val="007C4B05"/>
    <w:rsid w:val="007C55B1"/>
    <w:rsid w:val="007C5FEB"/>
    <w:rsid w:val="007C60DD"/>
    <w:rsid w:val="007C7260"/>
    <w:rsid w:val="007C729F"/>
    <w:rsid w:val="007C7FDA"/>
    <w:rsid w:val="007D0247"/>
    <w:rsid w:val="007D0604"/>
    <w:rsid w:val="007D0C64"/>
    <w:rsid w:val="007D1A3B"/>
    <w:rsid w:val="007D1D92"/>
    <w:rsid w:val="007D230C"/>
    <w:rsid w:val="007D2689"/>
    <w:rsid w:val="007D288B"/>
    <w:rsid w:val="007D3033"/>
    <w:rsid w:val="007D3C59"/>
    <w:rsid w:val="007D419B"/>
    <w:rsid w:val="007D430A"/>
    <w:rsid w:val="007D43AB"/>
    <w:rsid w:val="007D473C"/>
    <w:rsid w:val="007D48AA"/>
    <w:rsid w:val="007D4F26"/>
    <w:rsid w:val="007D50CD"/>
    <w:rsid w:val="007D6080"/>
    <w:rsid w:val="007D7044"/>
    <w:rsid w:val="007D71A3"/>
    <w:rsid w:val="007E0509"/>
    <w:rsid w:val="007E0721"/>
    <w:rsid w:val="007E0B27"/>
    <w:rsid w:val="007E0FAA"/>
    <w:rsid w:val="007E120F"/>
    <w:rsid w:val="007E1F8B"/>
    <w:rsid w:val="007E212B"/>
    <w:rsid w:val="007E25F5"/>
    <w:rsid w:val="007E2BC6"/>
    <w:rsid w:val="007E2C8A"/>
    <w:rsid w:val="007E391C"/>
    <w:rsid w:val="007E39EF"/>
    <w:rsid w:val="007E3BAC"/>
    <w:rsid w:val="007E3C05"/>
    <w:rsid w:val="007E45F3"/>
    <w:rsid w:val="007E4772"/>
    <w:rsid w:val="007E4CE8"/>
    <w:rsid w:val="007E5021"/>
    <w:rsid w:val="007E534C"/>
    <w:rsid w:val="007E57F5"/>
    <w:rsid w:val="007E5B51"/>
    <w:rsid w:val="007E5E21"/>
    <w:rsid w:val="007E6674"/>
    <w:rsid w:val="007E68CE"/>
    <w:rsid w:val="007E7B36"/>
    <w:rsid w:val="007F0392"/>
    <w:rsid w:val="007F05A2"/>
    <w:rsid w:val="007F0CD9"/>
    <w:rsid w:val="007F0FCE"/>
    <w:rsid w:val="007F123F"/>
    <w:rsid w:val="007F20A2"/>
    <w:rsid w:val="007F2842"/>
    <w:rsid w:val="007F28B4"/>
    <w:rsid w:val="007F2A0A"/>
    <w:rsid w:val="007F2F24"/>
    <w:rsid w:val="007F2FB3"/>
    <w:rsid w:val="007F34F6"/>
    <w:rsid w:val="007F35BF"/>
    <w:rsid w:val="007F410F"/>
    <w:rsid w:val="007F4D2B"/>
    <w:rsid w:val="007F5375"/>
    <w:rsid w:val="007F5B43"/>
    <w:rsid w:val="007F5DA5"/>
    <w:rsid w:val="007F5F23"/>
    <w:rsid w:val="007F608A"/>
    <w:rsid w:val="007F6631"/>
    <w:rsid w:val="007F6E14"/>
    <w:rsid w:val="00800281"/>
    <w:rsid w:val="00800D87"/>
    <w:rsid w:val="00800FE1"/>
    <w:rsid w:val="008011EE"/>
    <w:rsid w:val="008011FC"/>
    <w:rsid w:val="00801937"/>
    <w:rsid w:val="00802B5D"/>
    <w:rsid w:val="00803582"/>
    <w:rsid w:val="00803EC4"/>
    <w:rsid w:val="00804465"/>
    <w:rsid w:val="008044BB"/>
    <w:rsid w:val="008054E7"/>
    <w:rsid w:val="00806487"/>
    <w:rsid w:val="00806606"/>
    <w:rsid w:val="008067D8"/>
    <w:rsid w:val="00806FE5"/>
    <w:rsid w:val="00807556"/>
    <w:rsid w:val="00807BCE"/>
    <w:rsid w:val="00810A38"/>
    <w:rsid w:val="00810DD1"/>
    <w:rsid w:val="00810FB0"/>
    <w:rsid w:val="008111F9"/>
    <w:rsid w:val="00811492"/>
    <w:rsid w:val="008114FA"/>
    <w:rsid w:val="00811808"/>
    <w:rsid w:val="008118E4"/>
    <w:rsid w:val="00811B72"/>
    <w:rsid w:val="00811FFB"/>
    <w:rsid w:val="00812045"/>
    <w:rsid w:val="008122FF"/>
    <w:rsid w:val="008123F2"/>
    <w:rsid w:val="0081245F"/>
    <w:rsid w:val="0081269E"/>
    <w:rsid w:val="00812827"/>
    <w:rsid w:val="008131FB"/>
    <w:rsid w:val="00814394"/>
    <w:rsid w:val="008144C4"/>
    <w:rsid w:val="0081499E"/>
    <w:rsid w:val="00814D59"/>
    <w:rsid w:val="00814EE2"/>
    <w:rsid w:val="008155C2"/>
    <w:rsid w:val="00816255"/>
    <w:rsid w:val="00816B17"/>
    <w:rsid w:val="00817193"/>
    <w:rsid w:val="008172DC"/>
    <w:rsid w:val="00817CD6"/>
    <w:rsid w:val="00817DDC"/>
    <w:rsid w:val="00820D2E"/>
    <w:rsid w:val="00820F04"/>
    <w:rsid w:val="008210D3"/>
    <w:rsid w:val="00821CAD"/>
    <w:rsid w:val="008228B9"/>
    <w:rsid w:val="00823420"/>
    <w:rsid w:val="008238F0"/>
    <w:rsid w:val="008239B5"/>
    <w:rsid w:val="00823DBB"/>
    <w:rsid w:val="00823E6E"/>
    <w:rsid w:val="00824526"/>
    <w:rsid w:val="00824D79"/>
    <w:rsid w:val="008252E4"/>
    <w:rsid w:val="008255A5"/>
    <w:rsid w:val="008255E6"/>
    <w:rsid w:val="00825876"/>
    <w:rsid w:val="00825A68"/>
    <w:rsid w:val="00825C4D"/>
    <w:rsid w:val="00825F0D"/>
    <w:rsid w:val="008261D2"/>
    <w:rsid w:val="008265C4"/>
    <w:rsid w:val="00826C84"/>
    <w:rsid w:val="0082708A"/>
    <w:rsid w:val="008301B7"/>
    <w:rsid w:val="00830300"/>
    <w:rsid w:val="008308B7"/>
    <w:rsid w:val="00830921"/>
    <w:rsid w:val="00830FB1"/>
    <w:rsid w:val="00831230"/>
    <w:rsid w:val="008312D2"/>
    <w:rsid w:val="008315F8"/>
    <w:rsid w:val="00831DED"/>
    <w:rsid w:val="00831E40"/>
    <w:rsid w:val="00831E8F"/>
    <w:rsid w:val="0083258A"/>
    <w:rsid w:val="008328A9"/>
    <w:rsid w:val="00833148"/>
    <w:rsid w:val="00833503"/>
    <w:rsid w:val="008335AA"/>
    <w:rsid w:val="008338DD"/>
    <w:rsid w:val="008338E1"/>
    <w:rsid w:val="00833F2D"/>
    <w:rsid w:val="00833F3D"/>
    <w:rsid w:val="00834081"/>
    <w:rsid w:val="008346C9"/>
    <w:rsid w:val="008349B6"/>
    <w:rsid w:val="00834DA5"/>
    <w:rsid w:val="00836496"/>
    <w:rsid w:val="00836650"/>
    <w:rsid w:val="00836E4C"/>
    <w:rsid w:val="00836E6C"/>
    <w:rsid w:val="0084011B"/>
    <w:rsid w:val="00840476"/>
    <w:rsid w:val="00840552"/>
    <w:rsid w:val="0084089B"/>
    <w:rsid w:val="008408BF"/>
    <w:rsid w:val="00840CBB"/>
    <w:rsid w:val="00840F90"/>
    <w:rsid w:val="00841222"/>
    <w:rsid w:val="008416E1"/>
    <w:rsid w:val="00841930"/>
    <w:rsid w:val="00841F98"/>
    <w:rsid w:val="00842020"/>
    <w:rsid w:val="008428B9"/>
    <w:rsid w:val="00842CB3"/>
    <w:rsid w:val="0084316D"/>
    <w:rsid w:val="00843273"/>
    <w:rsid w:val="00843E64"/>
    <w:rsid w:val="00844FCB"/>
    <w:rsid w:val="008453D7"/>
    <w:rsid w:val="00845628"/>
    <w:rsid w:val="00845E04"/>
    <w:rsid w:val="00846252"/>
    <w:rsid w:val="0084691F"/>
    <w:rsid w:val="00846B71"/>
    <w:rsid w:val="00846B73"/>
    <w:rsid w:val="00846FC1"/>
    <w:rsid w:val="00847513"/>
    <w:rsid w:val="00847A55"/>
    <w:rsid w:val="00847F26"/>
    <w:rsid w:val="0085035A"/>
    <w:rsid w:val="008505B6"/>
    <w:rsid w:val="00850AD9"/>
    <w:rsid w:val="00850B01"/>
    <w:rsid w:val="0085120A"/>
    <w:rsid w:val="00851E4B"/>
    <w:rsid w:val="008520FF"/>
    <w:rsid w:val="00852E21"/>
    <w:rsid w:val="0085389E"/>
    <w:rsid w:val="008545D3"/>
    <w:rsid w:val="008552BE"/>
    <w:rsid w:val="00855E72"/>
    <w:rsid w:val="008566DA"/>
    <w:rsid w:val="00856B10"/>
    <w:rsid w:val="00856CDB"/>
    <w:rsid w:val="00856FAA"/>
    <w:rsid w:val="0086005C"/>
    <w:rsid w:val="008601F3"/>
    <w:rsid w:val="00860386"/>
    <w:rsid w:val="00860530"/>
    <w:rsid w:val="0086085F"/>
    <w:rsid w:val="00860EC1"/>
    <w:rsid w:val="0086189B"/>
    <w:rsid w:val="00861D9D"/>
    <w:rsid w:val="00862A4E"/>
    <w:rsid w:val="00862F3B"/>
    <w:rsid w:val="00863135"/>
    <w:rsid w:val="00863CE4"/>
    <w:rsid w:val="00863DF8"/>
    <w:rsid w:val="00863FE6"/>
    <w:rsid w:val="0086442F"/>
    <w:rsid w:val="0086485E"/>
    <w:rsid w:val="008657B6"/>
    <w:rsid w:val="0086583E"/>
    <w:rsid w:val="00865A68"/>
    <w:rsid w:val="00865D5A"/>
    <w:rsid w:val="008664DE"/>
    <w:rsid w:val="008665F0"/>
    <w:rsid w:val="008668E7"/>
    <w:rsid w:val="00866D8E"/>
    <w:rsid w:val="00867064"/>
    <w:rsid w:val="008670DD"/>
    <w:rsid w:val="00867662"/>
    <w:rsid w:val="00867945"/>
    <w:rsid w:val="00870BEA"/>
    <w:rsid w:val="00870DCB"/>
    <w:rsid w:val="00870FB3"/>
    <w:rsid w:val="008712D6"/>
    <w:rsid w:val="00871974"/>
    <w:rsid w:val="00871F73"/>
    <w:rsid w:val="008724C4"/>
    <w:rsid w:val="00872617"/>
    <w:rsid w:val="008726FE"/>
    <w:rsid w:val="00872708"/>
    <w:rsid w:val="0087299B"/>
    <w:rsid w:val="00872E43"/>
    <w:rsid w:val="008738F1"/>
    <w:rsid w:val="00873C5A"/>
    <w:rsid w:val="00873D46"/>
    <w:rsid w:val="00873ED4"/>
    <w:rsid w:val="008740E2"/>
    <w:rsid w:val="0087430D"/>
    <w:rsid w:val="008749D9"/>
    <w:rsid w:val="00874A14"/>
    <w:rsid w:val="00874ADA"/>
    <w:rsid w:val="00874F5C"/>
    <w:rsid w:val="0087537B"/>
    <w:rsid w:val="00875885"/>
    <w:rsid w:val="00875C6E"/>
    <w:rsid w:val="00875DDB"/>
    <w:rsid w:val="008761B5"/>
    <w:rsid w:val="00876F6E"/>
    <w:rsid w:val="008779DF"/>
    <w:rsid w:val="00877A4E"/>
    <w:rsid w:val="00877B3C"/>
    <w:rsid w:val="00877E3E"/>
    <w:rsid w:val="0088039D"/>
    <w:rsid w:val="0088079E"/>
    <w:rsid w:val="008808FD"/>
    <w:rsid w:val="008809EA"/>
    <w:rsid w:val="00880AE6"/>
    <w:rsid w:val="00880DDC"/>
    <w:rsid w:val="008812F3"/>
    <w:rsid w:val="008813EE"/>
    <w:rsid w:val="00881A8B"/>
    <w:rsid w:val="00881EB2"/>
    <w:rsid w:val="00882829"/>
    <w:rsid w:val="00882A1F"/>
    <w:rsid w:val="00883780"/>
    <w:rsid w:val="008838E2"/>
    <w:rsid w:val="00883BEA"/>
    <w:rsid w:val="008840E2"/>
    <w:rsid w:val="008848CA"/>
    <w:rsid w:val="00884DFC"/>
    <w:rsid w:val="00885C30"/>
    <w:rsid w:val="00885C87"/>
    <w:rsid w:val="008864E7"/>
    <w:rsid w:val="00886751"/>
    <w:rsid w:val="00886BA7"/>
    <w:rsid w:val="008873E1"/>
    <w:rsid w:val="0088758F"/>
    <w:rsid w:val="00887FEE"/>
    <w:rsid w:val="0089062B"/>
    <w:rsid w:val="008908E3"/>
    <w:rsid w:val="00890C7C"/>
    <w:rsid w:val="00890CC3"/>
    <w:rsid w:val="00891443"/>
    <w:rsid w:val="00891500"/>
    <w:rsid w:val="00891FE6"/>
    <w:rsid w:val="00892CC1"/>
    <w:rsid w:val="00892E2C"/>
    <w:rsid w:val="00893974"/>
    <w:rsid w:val="00893CCC"/>
    <w:rsid w:val="008945BA"/>
    <w:rsid w:val="00894825"/>
    <w:rsid w:val="00895170"/>
    <w:rsid w:val="0089526D"/>
    <w:rsid w:val="00895406"/>
    <w:rsid w:val="00895AA1"/>
    <w:rsid w:val="00896A57"/>
    <w:rsid w:val="00896EBB"/>
    <w:rsid w:val="008975E6"/>
    <w:rsid w:val="0089793D"/>
    <w:rsid w:val="00897B06"/>
    <w:rsid w:val="00897D73"/>
    <w:rsid w:val="008A022B"/>
    <w:rsid w:val="008A0764"/>
    <w:rsid w:val="008A0EE3"/>
    <w:rsid w:val="008A1024"/>
    <w:rsid w:val="008A1186"/>
    <w:rsid w:val="008A1A72"/>
    <w:rsid w:val="008A1C48"/>
    <w:rsid w:val="008A2126"/>
    <w:rsid w:val="008A2187"/>
    <w:rsid w:val="008A2B56"/>
    <w:rsid w:val="008A30CB"/>
    <w:rsid w:val="008A32BA"/>
    <w:rsid w:val="008A36B0"/>
    <w:rsid w:val="008A390C"/>
    <w:rsid w:val="008A45AF"/>
    <w:rsid w:val="008A46B0"/>
    <w:rsid w:val="008A46C7"/>
    <w:rsid w:val="008A4F0C"/>
    <w:rsid w:val="008A5427"/>
    <w:rsid w:val="008A695D"/>
    <w:rsid w:val="008A69E6"/>
    <w:rsid w:val="008A6E86"/>
    <w:rsid w:val="008A6FCA"/>
    <w:rsid w:val="008A738B"/>
    <w:rsid w:val="008A7BE4"/>
    <w:rsid w:val="008B0640"/>
    <w:rsid w:val="008B0B12"/>
    <w:rsid w:val="008B0BF8"/>
    <w:rsid w:val="008B0D1C"/>
    <w:rsid w:val="008B1170"/>
    <w:rsid w:val="008B1414"/>
    <w:rsid w:val="008B141B"/>
    <w:rsid w:val="008B14E1"/>
    <w:rsid w:val="008B27F0"/>
    <w:rsid w:val="008B295C"/>
    <w:rsid w:val="008B2BB4"/>
    <w:rsid w:val="008B2DC6"/>
    <w:rsid w:val="008B340E"/>
    <w:rsid w:val="008B3EB9"/>
    <w:rsid w:val="008B4253"/>
    <w:rsid w:val="008B50F9"/>
    <w:rsid w:val="008B5F15"/>
    <w:rsid w:val="008B6635"/>
    <w:rsid w:val="008B67D3"/>
    <w:rsid w:val="008B70AE"/>
    <w:rsid w:val="008B7445"/>
    <w:rsid w:val="008B7670"/>
    <w:rsid w:val="008B7B92"/>
    <w:rsid w:val="008B7BE1"/>
    <w:rsid w:val="008C0043"/>
    <w:rsid w:val="008C2072"/>
    <w:rsid w:val="008C278B"/>
    <w:rsid w:val="008C29D1"/>
    <w:rsid w:val="008C30A3"/>
    <w:rsid w:val="008C3141"/>
    <w:rsid w:val="008C3478"/>
    <w:rsid w:val="008C396E"/>
    <w:rsid w:val="008C415D"/>
    <w:rsid w:val="008C4EED"/>
    <w:rsid w:val="008C584E"/>
    <w:rsid w:val="008C59CD"/>
    <w:rsid w:val="008C68BC"/>
    <w:rsid w:val="008C6ACA"/>
    <w:rsid w:val="008C6B7D"/>
    <w:rsid w:val="008C6C25"/>
    <w:rsid w:val="008C6C7D"/>
    <w:rsid w:val="008C6D56"/>
    <w:rsid w:val="008C6ECE"/>
    <w:rsid w:val="008C7D25"/>
    <w:rsid w:val="008C7E7F"/>
    <w:rsid w:val="008D0702"/>
    <w:rsid w:val="008D0DB2"/>
    <w:rsid w:val="008D1517"/>
    <w:rsid w:val="008D27B5"/>
    <w:rsid w:val="008D2842"/>
    <w:rsid w:val="008D2AAA"/>
    <w:rsid w:val="008D331B"/>
    <w:rsid w:val="008D367B"/>
    <w:rsid w:val="008D3706"/>
    <w:rsid w:val="008D379B"/>
    <w:rsid w:val="008D3B48"/>
    <w:rsid w:val="008D3D62"/>
    <w:rsid w:val="008D4189"/>
    <w:rsid w:val="008D42B1"/>
    <w:rsid w:val="008D48F9"/>
    <w:rsid w:val="008D4AAF"/>
    <w:rsid w:val="008D4E4E"/>
    <w:rsid w:val="008D51B7"/>
    <w:rsid w:val="008D5330"/>
    <w:rsid w:val="008D5864"/>
    <w:rsid w:val="008D6171"/>
    <w:rsid w:val="008D619B"/>
    <w:rsid w:val="008D6310"/>
    <w:rsid w:val="008D6688"/>
    <w:rsid w:val="008D66CC"/>
    <w:rsid w:val="008D6731"/>
    <w:rsid w:val="008D6873"/>
    <w:rsid w:val="008D72A2"/>
    <w:rsid w:val="008D749F"/>
    <w:rsid w:val="008D7743"/>
    <w:rsid w:val="008D7DD1"/>
    <w:rsid w:val="008D7EF0"/>
    <w:rsid w:val="008E0E28"/>
    <w:rsid w:val="008E1009"/>
    <w:rsid w:val="008E1BF8"/>
    <w:rsid w:val="008E1F8F"/>
    <w:rsid w:val="008E2E9C"/>
    <w:rsid w:val="008E31FA"/>
    <w:rsid w:val="008E3370"/>
    <w:rsid w:val="008E4242"/>
    <w:rsid w:val="008E4243"/>
    <w:rsid w:val="008E42BA"/>
    <w:rsid w:val="008E48B3"/>
    <w:rsid w:val="008E4B65"/>
    <w:rsid w:val="008E4E27"/>
    <w:rsid w:val="008E53FF"/>
    <w:rsid w:val="008E5C99"/>
    <w:rsid w:val="008E61B0"/>
    <w:rsid w:val="008E61BA"/>
    <w:rsid w:val="008E64A5"/>
    <w:rsid w:val="008E719A"/>
    <w:rsid w:val="008E7547"/>
    <w:rsid w:val="008E7A7B"/>
    <w:rsid w:val="008F0D71"/>
    <w:rsid w:val="008F145B"/>
    <w:rsid w:val="008F14B4"/>
    <w:rsid w:val="008F15A3"/>
    <w:rsid w:val="008F1658"/>
    <w:rsid w:val="008F1A3E"/>
    <w:rsid w:val="008F3214"/>
    <w:rsid w:val="008F3DEA"/>
    <w:rsid w:val="008F3F03"/>
    <w:rsid w:val="008F3F8B"/>
    <w:rsid w:val="008F3FD3"/>
    <w:rsid w:val="008F4051"/>
    <w:rsid w:val="008F486D"/>
    <w:rsid w:val="008F4F8C"/>
    <w:rsid w:val="008F54C0"/>
    <w:rsid w:val="008F55F1"/>
    <w:rsid w:val="008F6463"/>
    <w:rsid w:val="008F6817"/>
    <w:rsid w:val="008F6881"/>
    <w:rsid w:val="008F77A5"/>
    <w:rsid w:val="00900C11"/>
    <w:rsid w:val="00900DFD"/>
    <w:rsid w:val="00900E8C"/>
    <w:rsid w:val="00901533"/>
    <w:rsid w:val="00901A6E"/>
    <w:rsid w:val="00901DD6"/>
    <w:rsid w:val="009020C3"/>
    <w:rsid w:val="0090312F"/>
    <w:rsid w:val="00903F5E"/>
    <w:rsid w:val="009041DB"/>
    <w:rsid w:val="00904937"/>
    <w:rsid w:val="00904A35"/>
    <w:rsid w:val="00904B9A"/>
    <w:rsid w:val="00904F2F"/>
    <w:rsid w:val="00905967"/>
    <w:rsid w:val="00906230"/>
    <w:rsid w:val="009067DA"/>
    <w:rsid w:val="00906D99"/>
    <w:rsid w:val="0090758E"/>
    <w:rsid w:val="009102BC"/>
    <w:rsid w:val="00910898"/>
    <w:rsid w:val="00910D04"/>
    <w:rsid w:val="009128C4"/>
    <w:rsid w:val="00912BB3"/>
    <w:rsid w:val="00913A93"/>
    <w:rsid w:val="00913B46"/>
    <w:rsid w:val="0091403E"/>
    <w:rsid w:val="00914ACB"/>
    <w:rsid w:val="00914BB1"/>
    <w:rsid w:val="00914C65"/>
    <w:rsid w:val="00915A4B"/>
    <w:rsid w:val="00915B36"/>
    <w:rsid w:val="00915E8C"/>
    <w:rsid w:val="00916975"/>
    <w:rsid w:val="00916CD5"/>
    <w:rsid w:val="00917512"/>
    <w:rsid w:val="00917DCC"/>
    <w:rsid w:val="00917DEE"/>
    <w:rsid w:val="00920B29"/>
    <w:rsid w:val="00921624"/>
    <w:rsid w:val="00921C99"/>
    <w:rsid w:val="009226A1"/>
    <w:rsid w:val="00922A39"/>
    <w:rsid w:val="00922D92"/>
    <w:rsid w:val="00923399"/>
    <w:rsid w:val="00923486"/>
    <w:rsid w:val="00923CC9"/>
    <w:rsid w:val="0092414D"/>
    <w:rsid w:val="00924470"/>
    <w:rsid w:val="009246B2"/>
    <w:rsid w:val="00924FA5"/>
    <w:rsid w:val="00925331"/>
    <w:rsid w:val="009254C2"/>
    <w:rsid w:val="009257AD"/>
    <w:rsid w:val="009257C1"/>
    <w:rsid w:val="00926338"/>
    <w:rsid w:val="00926668"/>
    <w:rsid w:val="0092682F"/>
    <w:rsid w:val="00926DC0"/>
    <w:rsid w:val="009270A5"/>
    <w:rsid w:val="009270E1"/>
    <w:rsid w:val="00927620"/>
    <w:rsid w:val="0092777F"/>
    <w:rsid w:val="00930079"/>
    <w:rsid w:val="00930116"/>
    <w:rsid w:val="009308F4"/>
    <w:rsid w:val="00930962"/>
    <w:rsid w:val="00930B20"/>
    <w:rsid w:val="00931447"/>
    <w:rsid w:val="00931821"/>
    <w:rsid w:val="009319F1"/>
    <w:rsid w:val="0093251D"/>
    <w:rsid w:val="009328C0"/>
    <w:rsid w:val="00932A39"/>
    <w:rsid w:val="00932CE8"/>
    <w:rsid w:val="00932E58"/>
    <w:rsid w:val="00933057"/>
    <w:rsid w:val="00933159"/>
    <w:rsid w:val="00933347"/>
    <w:rsid w:val="0093401E"/>
    <w:rsid w:val="00934C9F"/>
    <w:rsid w:val="00934E7D"/>
    <w:rsid w:val="009352E8"/>
    <w:rsid w:val="00935353"/>
    <w:rsid w:val="00935A7E"/>
    <w:rsid w:val="00935C57"/>
    <w:rsid w:val="00935D0E"/>
    <w:rsid w:val="00935D4A"/>
    <w:rsid w:val="00935DE1"/>
    <w:rsid w:val="00935F11"/>
    <w:rsid w:val="00937584"/>
    <w:rsid w:val="0093778A"/>
    <w:rsid w:val="00937A5C"/>
    <w:rsid w:val="00937A7F"/>
    <w:rsid w:val="00937AA8"/>
    <w:rsid w:val="009407D8"/>
    <w:rsid w:val="0094117F"/>
    <w:rsid w:val="009418B7"/>
    <w:rsid w:val="009426F9"/>
    <w:rsid w:val="00942733"/>
    <w:rsid w:val="00942849"/>
    <w:rsid w:val="00942A35"/>
    <w:rsid w:val="009434B2"/>
    <w:rsid w:val="00943713"/>
    <w:rsid w:val="009438A9"/>
    <w:rsid w:val="00943E3A"/>
    <w:rsid w:val="00943F92"/>
    <w:rsid w:val="009442DC"/>
    <w:rsid w:val="00944656"/>
    <w:rsid w:val="00944C53"/>
    <w:rsid w:val="00944F10"/>
    <w:rsid w:val="009453A8"/>
    <w:rsid w:val="009456E3"/>
    <w:rsid w:val="00946403"/>
    <w:rsid w:val="00946D5E"/>
    <w:rsid w:val="009475DF"/>
    <w:rsid w:val="009478F6"/>
    <w:rsid w:val="00947CC0"/>
    <w:rsid w:val="00950144"/>
    <w:rsid w:val="009508F2"/>
    <w:rsid w:val="00950BE8"/>
    <w:rsid w:val="00950E2E"/>
    <w:rsid w:val="00951004"/>
    <w:rsid w:val="009510B5"/>
    <w:rsid w:val="00951475"/>
    <w:rsid w:val="00951B3C"/>
    <w:rsid w:val="0095238A"/>
    <w:rsid w:val="009523D4"/>
    <w:rsid w:val="00952A32"/>
    <w:rsid w:val="00953001"/>
    <w:rsid w:val="00953198"/>
    <w:rsid w:val="0095360A"/>
    <w:rsid w:val="00953990"/>
    <w:rsid w:val="00953AE4"/>
    <w:rsid w:val="00954167"/>
    <w:rsid w:val="009548D6"/>
    <w:rsid w:val="00954DE7"/>
    <w:rsid w:val="0095617E"/>
    <w:rsid w:val="00956495"/>
    <w:rsid w:val="0095657C"/>
    <w:rsid w:val="0095696F"/>
    <w:rsid w:val="00956B1D"/>
    <w:rsid w:val="009572E6"/>
    <w:rsid w:val="00957CB3"/>
    <w:rsid w:val="00960925"/>
    <w:rsid w:val="00960EF7"/>
    <w:rsid w:val="009612B5"/>
    <w:rsid w:val="0096137B"/>
    <w:rsid w:val="00961849"/>
    <w:rsid w:val="0096189A"/>
    <w:rsid w:val="00961C8C"/>
    <w:rsid w:val="00961F93"/>
    <w:rsid w:val="0096259C"/>
    <w:rsid w:val="009639EF"/>
    <w:rsid w:val="0096434C"/>
    <w:rsid w:val="00964BF8"/>
    <w:rsid w:val="00964C21"/>
    <w:rsid w:val="00965676"/>
    <w:rsid w:val="0096694A"/>
    <w:rsid w:val="00966B49"/>
    <w:rsid w:val="00966C08"/>
    <w:rsid w:val="00967184"/>
    <w:rsid w:val="009675C1"/>
    <w:rsid w:val="0096779A"/>
    <w:rsid w:val="009678B8"/>
    <w:rsid w:val="009679DD"/>
    <w:rsid w:val="00971BBD"/>
    <w:rsid w:val="00971F19"/>
    <w:rsid w:val="009722D9"/>
    <w:rsid w:val="00972720"/>
    <w:rsid w:val="00972C4B"/>
    <w:rsid w:val="0097339C"/>
    <w:rsid w:val="009736FE"/>
    <w:rsid w:val="00973D48"/>
    <w:rsid w:val="00973F43"/>
    <w:rsid w:val="00974317"/>
    <w:rsid w:val="009744C9"/>
    <w:rsid w:val="00974B83"/>
    <w:rsid w:val="00975701"/>
    <w:rsid w:val="009757CA"/>
    <w:rsid w:val="00975CB3"/>
    <w:rsid w:val="00975CC9"/>
    <w:rsid w:val="00975D7D"/>
    <w:rsid w:val="00977A1A"/>
    <w:rsid w:val="00977D17"/>
    <w:rsid w:val="00981083"/>
    <w:rsid w:val="00981CE9"/>
    <w:rsid w:val="00982804"/>
    <w:rsid w:val="00982992"/>
    <w:rsid w:val="00982A5A"/>
    <w:rsid w:val="00982C7B"/>
    <w:rsid w:val="00982FFB"/>
    <w:rsid w:val="00983740"/>
    <w:rsid w:val="00983A2F"/>
    <w:rsid w:val="00983C5F"/>
    <w:rsid w:val="0098493C"/>
    <w:rsid w:val="0098498B"/>
    <w:rsid w:val="00984EA1"/>
    <w:rsid w:val="00985735"/>
    <w:rsid w:val="00985DA2"/>
    <w:rsid w:val="00986142"/>
    <w:rsid w:val="0098646C"/>
    <w:rsid w:val="00986530"/>
    <w:rsid w:val="00986A62"/>
    <w:rsid w:val="00987732"/>
    <w:rsid w:val="00987FB3"/>
    <w:rsid w:val="00990DF5"/>
    <w:rsid w:val="00990E1A"/>
    <w:rsid w:val="0099100A"/>
    <w:rsid w:val="00992AA8"/>
    <w:rsid w:val="0099312A"/>
    <w:rsid w:val="0099359C"/>
    <w:rsid w:val="0099388E"/>
    <w:rsid w:val="00993890"/>
    <w:rsid w:val="00993ECF"/>
    <w:rsid w:val="0099407D"/>
    <w:rsid w:val="009945FB"/>
    <w:rsid w:val="0099484E"/>
    <w:rsid w:val="0099518A"/>
    <w:rsid w:val="009955E3"/>
    <w:rsid w:val="009957A8"/>
    <w:rsid w:val="0099598D"/>
    <w:rsid w:val="00995FD7"/>
    <w:rsid w:val="00996CD9"/>
    <w:rsid w:val="00996DF1"/>
    <w:rsid w:val="00997072"/>
    <w:rsid w:val="009975B2"/>
    <w:rsid w:val="00997975"/>
    <w:rsid w:val="00997A50"/>
    <w:rsid w:val="00997A86"/>
    <w:rsid w:val="00997CFF"/>
    <w:rsid w:val="00997F8A"/>
    <w:rsid w:val="009A0041"/>
    <w:rsid w:val="009A020A"/>
    <w:rsid w:val="009A048F"/>
    <w:rsid w:val="009A0DFF"/>
    <w:rsid w:val="009A1786"/>
    <w:rsid w:val="009A1EFA"/>
    <w:rsid w:val="009A22A1"/>
    <w:rsid w:val="009A25C2"/>
    <w:rsid w:val="009A37ED"/>
    <w:rsid w:val="009A393F"/>
    <w:rsid w:val="009A3F55"/>
    <w:rsid w:val="009A47FF"/>
    <w:rsid w:val="009A4EC0"/>
    <w:rsid w:val="009A5786"/>
    <w:rsid w:val="009A57F5"/>
    <w:rsid w:val="009A57FD"/>
    <w:rsid w:val="009A584B"/>
    <w:rsid w:val="009A5F07"/>
    <w:rsid w:val="009A6323"/>
    <w:rsid w:val="009A638E"/>
    <w:rsid w:val="009A6C78"/>
    <w:rsid w:val="009A6D82"/>
    <w:rsid w:val="009A6DEB"/>
    <w:rsid w:val="009A6E37"/>
    <w:rsid w:val="009A7546"/>
    <w:rsid w:val="009B0B62"/>
    <w:rsid w:val="009B0D95"/>
    <w:rsid w:val="009B0E95"/>
    <w:rsid w:val="009B127E"/>
    <w:rsid w:val="009B1474"/>
    <w:rsid w:val="009B16EF"/>
    <w:rsid w:val="009B2107"/>
    <w:rsid w:val="009B216C"/>
    <w:rsid w:val="009B244F"/>
    <w:rsid w:val="009B29B1"/>
    <w:rsid w:val="009B2C88"/>
    <w:rsid w:val="009B30AF"/>
    <w:rsid w:val="009B3D5E"/>
    <w:rsid w:val="009B3E03"/>
    <w:rsid w:val="009B44ED"/>
    <w:rsid w:val="009B5ABA"/>
    <w:rsid w:val="009B5C58"/>
    <w:rsid w:val="009B5CFB"/>
    <w:rsid w:val="009B6783"/>
    <w:rsid w:val="009B679E"/>
    <w:rsid w:val="009B67EC"/>
    <w:rsid w:val="009B6A1E"/>
    <w:rsid w:val="009B6AC0"/>
    <w:rsid w:val="009B6B18"/>
    <w:rsid w:val="009B6FAA"/>
    <w:rsid w:val="009B72A5"/>
    <w:rsid w:val="009B774A"/>
    <w:rsid w:val="009B790D"/>
    <w:rsid w:val="009C010A"/>
    <w:rsid w:val="009C130F"/>
    <w:rsid w:val="009C1456"/>
    <w:rsid w:val="009C153B"/>
    <w:rsid w:val="009C2585"/>
    <w:rsid w:val="009C3411"/>
    <w:rsid w:val="009C347B"/>
    <w:rsid w:val="009C40CD"/>
    <w:rsid w:val="009C4A48"/>
    <w:rsid w:val="009C501D"/>
    <w:rsid w:val="009C52C4"/>
    <w:rsid w:val="009C55FC"/>
    <w:rsid w:val="009C590C"/>
    <w:rsid w:val="009C60FB"/>
    <w:rsid w:val="009C61B9"/>
    <w:rsid w:val="009C642C"/>
    <w:rsid w:val="009C65F2"/>
    <w:rsid w:val="009C6FD4"/>
    <w:rsid w:val="009C7B09"/>
    <w:rsid w:val="009C7FD0"/>
    <w:rsid w:val="009D05F8"/>
    <w:rsid w:val="009D0F5E"/>
    <w:rsid w:val="009D1314"/>
    <w:rsid w:val="009D1764"/>
    <w:rsid w:val="009D17E5"/>
    <w:rsid w:val="009D18E1"/>
    <w:rsid w:val="009D23C1"/>
    <w:rsid w:val="009D247D"/>
    <w:rsid w:val="009D2672"/>
    <w:rsid w:val="009D34AD"/>
    <w:rsid w:val="009D36DB"/>
    <w:rsid w:val="009D3802"/>
    <w:rsid w:val="009D3BC2"/>
    <w:rsid w:val="009D432E"/>
    <w:rsid w:val="009D46B3"/>
    <w:rsid w:val="009D4869"/>
    <w:rsid w:val="009D4912"/>
    <w:rsid w:val="009D5007"/>
    <w:rsid w:val="009D5344"/>
    <w:rsid w:val="009D54B0"/>
    <w:rsid w:val="009D5690"/>
    <w:rsid w:val="009D5D65"/>
    <w:rsid w:val="009D61E7"/>
    <w:rsid w:val="009D62B4"/>
    <w:rsid w:val="009D64EC"/>
    <w:rsid w:val="009D65B2"/>
    <w:rsid w:val="009D676C"/>
    <w:rsid w:val="009D7143"/>
    <w:rsid w:val="009D75BE"/>
    <w:rsid w:val="009D7C5B"/>
    <w:rsid w:val="009D7F23"/>
    <w:rsid w:val="009E0780"/>
    <w:rsid w:val="009E0931"/>
    <w:rsid w:val="009E09E8"/>
    <w:rsid w:val="009E1021"/>
    <w:rsid w:val="009E1451"/>
    <w:rsid w:val="009E146A"/>
    <w:rsid w:val="009E1718"/>
    <w:rsid w:val="009E21D0"/>
    <w:rsid w:val="009E2823"/>
    <w:rsid w:val="009E2ABB"/>
    <w:rsid w:val="009E2B4D"/>
    <w:rsid w:val="009E2F83"/>
    <w:rsid w:val="009E2FC3"/>
    <w:rsid w:val="009E3155"/>
    <w:rsid w:val="009E3581"/>
    <w:rsid w:val="009E4152"/>
    <w:rsid w:val="009E4910"/>
    <w:rsid w:val="009E4A4E"/>
    <w:rsid w:val="009E5266"/>
    <w:rsid w:val="009E52F7"/>
    <w:rsid w:val="009E5751"/>
    <w:rsid w:val="009E5867"/>
    <w:rsid w:val="009E6205"/>
    <w:rsid w:val="009E65C5"/>
    <w:rsid w:val="009E6ECE"/>
    <w:rsid w:val="009E7A1F"/>
    <w:rsid w:val="009E7BB4"/>
    <w:rsid w:val="009F0276"/>
    <w:rsid w:val="009F0F0D"/>
    <w:rsid w:val="009F1301"/>
    <w:rsid w:val="009F1ACD"/>
    <w:rsid w:val="009F1B4E"/>
    <w:rsid w:val="009F1B70"/>
    <w:rsid w:val="009F1EEE"/>
    <w:rsid w:val="009F223D"/>
    <w:rsid w:val="009F25EA"/>
    <w:rsid w:val="009F2A94"/>
    <w:rsid w:val="009F2AA0"/>
    <w:rsid w:val="009F33FA"/>
    <w:rsid w:val="009F34A7"/>
    <w:rsid w:val="009F3AAB"/>
    <w:rsid w:val="009F3B61"/>
    <w:rsid w:val="009F4DE1"/>
    <w:rsid w:val="009F4FDB"/>
    <w:rsid w:val="009F515E"/>
    <w:rsid w:val="009F550C"/>
    <w:rsid w:val="009F5E8D"/>
    <w:rsid w:val="009F646F"/>
    <w:rsid w:val="009F6B5A"/>
    <w:rsid w:val="009F730F"/>
    <w:rsid w:val="00A00251"/>
    <w:rsid w:val="00A008FD"/>
    <w:rsid w:val="00A00C9D"/>
    <w:rsid w:val="00A00E63"/>
    <w:rsid w:val="00A011E5"/>
    <w:rsid w:val="00A0170A"/>
    <w:rsid w:val="00A01EF7"/>
    <w:rsid w:val="00A02219"/>
    <w:rsid w:val="00A0221C"/>
    <w:rsid w:val="00A0317D"/>
    <w:rsid w:val="00A0340D"/>
    <w:rsid w:val="00A03794"/>
    <w:rsid w:val="00A038DB"/>
    <w:rsid w:val="00A03F73"/>
    <w:rsid w:val="00A0457A"/>
    <w:rsid w:val="00A045A6"/>
    <w:rsid w:val="00A04BFC"/>
    <w:rsid w:val="00A0515C"/>
    <w:rsid w:val="00A054C6"/>
    <w:rsid w:val="00A05563"/>
    <w:rsid w:val="00A05F66"/>
    <w:rsid w:val="00A06455"/>
    <w:rsid w:val="00A06F1D"/>
    <w:rsid w:val="00A07803"/>
    <w:rsid w:val="00A07CF3"/>
    <w:rsid w:val="00A07FF6"/>
    <w:rsid w:val="00A10039"/>
    <w:rsid w:val="00A10594"/>
    <w:rsid w:val="00A113FB"/>
    <w:rsid w:val="00A12024"/>
    <w:rsid w:val="00A1272D"/>
    <w:rsid w:val="00A13449"/>
    <w:rsid w:val="00A137F9"/>
    <w:rsid w:val="00A1388A"/>
    <w:rsid w:val="00A14EAC"/>
    <w:rsid w:val="00A1502D"/>
    <w:rsid w:val="00A1558A"/>
    <w:rsid w:val="00A15D25"/>
    <w:rsid w:val="00A1605E"/>
    <w:rsid w:val="00A1723C"/>
    <w:rsid w:val="00A20240"/>
    <w:rsid w:val="00A20E62"/>
    <w:rsid w:val="00A213AA"/>
    <w:rsid w:val="00A2164D"/>
    <w:rsid w:val="00A21CA7"/>
    <w:rsid w:val="00A21D17"/>
    <w:rsid w:val="00A22291"/>
    <w:rsid w:val="00A2343A"/>
    <w:rsid w:val="00A23AAC"/>
    <w:rsid w:val="00A23E58"/>
    <w:rsid w:val="00A2490C"/>
    <w:rsid w:val="00A26280"/>
    <w:rsid w:val="00A26290"/>
    <w:rsid w:val="00A27EE7"/>
    <w:rsid w:val="00A27EFE"/>
    <w:rsid w:val="00A306C3"/>
    <w:rsid w:val="00A309A1"/>
    <w:rsid w:val="00A30D24"/>
    <w:rsid w:val="00A315FC"/>
    <w:rsid w:val="00A3208B"/>
    <w:rsid w:val="00A3270B"/>
    <w:rsid w:val="00A32955"/>
    <w:rsid w:val="00A3296E"/>
    <w:rsid w:val="00A331B0"/>
    <w:rsid w:val="00A3391C"/>
    <w:rsid w:val="00A33CE5"/>
    <w:rsid w:val="00A33D10"/>
    <w:rsid w:val="00A33FBC"/>
    <w:rsid w:val="00A342AD"/>
    <w:rsid w:val="00A34690"/>
    <w:rsid w:val="00A34B77"/>
    <w:rsid w:val="00A3501E"/>
    <w:rsid w:val="00A350C4"/>
    <w:rsid w:val="00A35252"/>
    <w:rsid w:val="00A353ED"/>
    <w:rsid w:val="00A354B5"/>
    <w:rsid w:val="00A35ADB"/>
    <w:rsid w:val="00A3696F"/>
    <w:rsid w:val="00A369FD"/>
    <w:rsid w:val="00A37425"/>
    <w:rsid w:val="00A378C7"/>
    <w:rsid w:val="00A37BDD"/>
    <w:rsid w:val="00A406EA"/>
    <w:rsid w:val="00A41026"/>
    <w:rsid w:val="00A411A8"/>
    <w:rsid w:val="00A416FA"/>
    <w:rsid w:val="00A41E94"/>
    <w:rsid w:val="00A42897"/>
    <w:rsid w:val="00A42F1D"/>
    <w:rsid w:val="00A431BF"/>
    <w:rsid w:val="00A43306"/>
    <w:rsid w:val="00A4380A"/>
    <w:rsid w:val="00A43BCB"/>
    <w:rsid w:val="00A43F82"/>
    <w:rsid w:val="00A4463D"/>
    <w:rsid w:val="00A4477B"/>
    <w:rsid w:val="00A44C7D"/>
    <w:rsid w:val="00A44CDA"/>
    <w:rsid w:val="00A451F7"/>
    <w:rsid w:val="00A4526D"/>
    <w:rsid w:val="00A45278"/>
    <w:rsid w:val="00A4547B"/>
    <w:rsid w:val="00A455B9"/>
    <w:rsid w:val="00A466CC"/>
    <w:rsid w:val="00A46916"/>
    <w:rsid w:val="00A469C3"/>
    <w:rsid w:val="00A46CD9"/>
    <w:rsid w:val="00A471B0"/>
    <w:rsid w:val="00A472E2"/>
    <w:rsid w:val="00A47506"/>
    <w:rsid w:val="00A47671"/>
    <w:rsid w:val="00A47A74"/>
    <w:rsid w:val="00A50EBC"/>
    <w:rsid w:val="00A516C2"/>
    <w:rsid w:val="00A51A33"/>
    <w:rsid w:val="00A51D39"/>
    <w:rsid w:val="00A51DB6"/>
    <w:rsid w:val="00A52206"/>
    <w:rsid w:val="00A52C17"/>
    <w:rsid w:val="00A531AD"/>
    <w:rsid w:val="00A531CE"/>
    <w:rsid w:val="00A53783"/>
    <w:rsid w:val="00A538D8"/>
    <w:rsid w:val="00A539DD"/>
    <w:rsid w:val="00A54373"/>
    <w:rsid w:val="00A54427"/>
    <w:rsid w:val="00A54823"/>
    <w:rsid w:val="00A548E6"/>
    <w:rsid w:val="00A548EA"/>
    <w:rsid w:val="00A54CA8"/>
    <w:rsid w:val="00A55550"/>
    <w:rsid w:val="00A55DEF"/>
    <w:rsid w:val="00A56083"/>
    <w:rsid w:val="00A5642F"/>
    <w:rsid w:val="00A5667C"/>
    <w:rsid w:val="00A56F35"/>
    <w:rsid w:val="00A57465"/>
    <w:rsid w:val="00A57925"/>
    <w:rsid w:val="00A57BE8"/>
    <w:rsid w:val="00A57D4F"/>
    <w:rsid w:val="00A6004E"/>
    <w:rsid w:val="00A6015E"/>
    <w:rsid w:val="00A605B7"/>
    <w:rsid w:val="00A60879"/>
    <w:rsid w:val="00A60B3F"/>
    <w:rsid w:val="00A60DCB"/>
    <w:rsid w:val="00A60F49"/>
    <w:rsid w:val="00A61099"/>
    <w:rsid w:val="00A610AD"/>
    <w:rsid w:val="00A61D23"/>
    <w:rsid w:val="00A62365"/>
    <w:rsid w:val="00A623FE"/>
    <w:rsid w:val="00A62467"/>
    <w:rsid w:val="00A624BE"/>
    <w:rsid w:val="00A625CE"/>
    <w:rsid w:val="00A6334A"/>
    <w:rsid w:val="00A6356D"/>
    <w:rsid w:val="00A63A44"/>
    <w:rsid w:val="00A63B2D"/>
    <w:rsid w:val="00A63D83"/>
    <w:rsid w:val="00A640F2"/>
    <w:rsid w:val="00A64546"/>
    <w:rsid w:val="00A64FB5"/>
    <w:rsid w:val="00A66128"/>
    <w:rsid w:val="00A66185"/>
    <w:rsid w:val="00A66786"/>
    <w:rsid w:val="00A66A3D"/>
    <w:rsid w:val="00A66A98"/>
    <w:rsid w:val="00A66BC1"/>
    <w:rsid w:val="00A66DBD"/>
    <w:rsid w:val="00A67354"/>
    <w:rsid w:val="00A6782E"/>
    <w:rsid w:val="00A7057F"/>
    <w:rsid w:val="00A70866"/>
    <w:rsid w:val="00A7097E"/>
    <w:rsid w:val="00A70C4B"/>
    <w:rsid w:val="00A713CB"/>
    <w:rsid w:val="00A71946"/>
    <w:rsid w:val="00A71AB9"/>
    <w:rsid w:val="00A71D1F"/>
    <w:rsid w:val="00A72307"/>
    <w:rsid w:val="00A73A9C"/>
    <w:rsid w:val="00A73BFF"/>
    <w:rsid w:val="00A74634"/>
    <w:rsid w:val="00A7484E"/>
    <w:rsid w:val="00A74C47"/>
    <w:rsid w:val="00A7523F"/>
    <w:rsid w:val="00A7600C"/>
    <w:rsid w:val="00A766DF"/>
    <w:rsid w:val="00A76BF0"/>
    <w:rsid w:val="00A76CF4"/>
    <w:rsid w:val="00A775C3"/>
    <w:rsid w:val="00A77913"/>
    <w:rsid w:val="00A77AAC"/>
    <w:rsid w:val="00A77BC6"/>
    <w:rsid w:val="00A804B6"/>
    <w:rsid w:val="00A80B16"/>
    <w:rsid w:val="00A80BF7"/>
    <w:rsid w:val="00A80FB4"/>
    <w:rsid w:val="00A81571"/>
    <w:rsid w:val="00A81D5C"/>
    <w:rsid w:val="00A81E3E"/>
    <w:rsid w:val="00A82040"/>
    <w:rsid w:val="00A8229B"/>
    <w:rsid w:val="00A8268A"/>
    <w:rsid w:val="00A8294E"/>
    <w:rsid w:val="00A82C28"/>
    <w:rsid w:val="00A830BD"/>
    <w:rsid w:val="00A83203"/>
    <w:rsid w:val="00A83313"/>
    <w:rsid w:val="00A8388D"/>
    <w:rsid w:val="00A839E0"/>
    <w:rsid w:val="00A8475A"/>
    <w:rsid w:val="00A858AE"/>
    <w:rsid w:val="00A85DB9"/>
    <w:rsid w:val="00A85F42"/>
    <w:rsid w:val="00A8642C"/>
    <w:rsid w:val="00A8696A"/>
    <w:rsid w:val="00A86CCE"/>
    <w:rsid w:val="00A86E45"/>
    <w:rsid w:val="00A86F93"/>
    <w:rsid w:val="00A87229"/>
    <w:rsid w:val="00A87875"/>
    <w:rsid w:val="00A87D93"/>
    <w:rsid w:val="00A91045"/>
    <w:rsid w:val="00A91233"/>
    <w:rsid w:val="00A91307"/>
    <w:rsid w:val="00A91BEB"/>
    <w:rsid w:val="00A91E99"/>
    <w:rsid w:val="00A92DD1"/>
    <w:rsid w:val="00A94025"/>
    <w:rsid w:val="00A94645"/>
    <w:rsid w:val="00A94B88"/>
    <w:rsid w:val="00A94DDA"/>
    <w:rsid w:val="00A94FAC"/>
    <w:rsid w:val="00A952B2"/>
    <w:rsid w:val="00A959D0"/>
    <w:rsid w:val="00A96148"/>
    <w:rsid w:val="00A96673"/>
    <w:rsid w:val="00A96B02"/>
    <w:rsid w:val="00A96B67"/>
    <w:rsid w:val="00A96F72"/>
    <w:rsid w:val="00A97542"/>
    <w:rsid w:val="00A97F63"/>
    <w:rsid w:val="00AA0045"/>
    <w:rsid w:val="00AA0141"/>
    <w:rsid w:val="00AA06B4"/>
    <w:rsid w:val="00AA0969"/>
    <w:rsid w:val="00AA0B63"/>
    <w:rsid w:val="00AA1767"/>
    <w:rsid w:val="00AA190C"/>
    <w:rsid w:val="00AA1D58"/>
    <w:rsid w:val="00AA2868"/>
    <w:rsid w:val="00AA34B1"/>
    <w:rsid w:val="00AA3685"/>
    <w:rsid w:val="00AA3744"/>
    <w:rsid w:val="00AA3886"/>
    <w:rsid w:val="00AA399E"/>
    <w:rsid w:val="00AA56D9"/>
    <w:rsid w:val="00AA59B1"/>
    <w:rsid w:val="00AA5A07"/>
    <w:rsid w:val="00AA5AD2"/>
    <w:rsid w:val="00AA5CAD"/>
    <w:rsid w:val="00AA64D2"/>
    <w:rsid w:val="00AA689D"/>
    <w:rsid w:val="00AA69FD"/>
    <w:rsid w:val="00AA6D2F"/>
    <w:rsid w:val="00AA7080"/>
    <w:rsid w:val="00AA7973"/>
    <w:rsid w:val="00AB0A3C"/>
    <w:rsid w:val="00AB0C20"/>
    <w:rsid w:val="00AB124C"/>
    <w:rsid w:val="00AB1602"/>
    <w:rsid w:val="00AB260A"/>
    <w:rsid w:val="00AB2FE3"/>
    <w:rsid w:val="00AB3735"/>
    <w:rsid w:val="00AB3A9B"/>
    <w:rsid w:val="00AB3AC1"/>
    <w:rsid w:val="00AB3B0A"/>
    <w:rsid w:val="00AB3F20"/>
    <w:rsid w:val="00AB4271"/>
    <w:rsid w:val="00AB427D"/>
    <w:rsid w:val="00AB4740"/>
    <w:rsid w:val="00AB4C89"/>
    <w:rsid w:val="00AB51C1"/>
    <w:rsid w:val="00AB549E"/>
    <w:rsid w:val="00AB55A4"/>
    <w:rsid w:val="00AB5622"/>
    <w:rsid w:val="00AB5D74"/>
    <w:rsid w:val="00AB5DEA"/>
    <w:rsid w:val="00AB665C"/>
    <w:rsid w:val="00AB6D49"/>
    <w:rsid w:val="00AB6E14"/>
    <w:rsid w:val="00AB7911"/>
    <w:rsid w:val="00AB7CE2"/>
    <w:rsid w:val="00AC0132"/>
    <w:rsid w:val="00AC03FB"/>
    <w:rsid w:val="00AC0E9A"/>
    <w:rsid w:val="00AC1220"/>
    <w:rsid w:val="00AC142D"/>
    <w:rsid w:val="00AC149F"/>
    <w:rsid w:val="00AC1C92"/>
    <w:rsid w:val="00AC1CF4"/>
    <w:rsid w:val="00AC2099"/>
    <w:rsid w:val="00AC25AA"/>
    <w:rsid w:val="00AC2868"/>
    <w:rsid w:val="00AC336C"/>
    <w:rsid w:val="00AC35F5"/>
    <w:rsid w:val="00AC3718"/>
    <w:rsid w:val="00AC3FD7"/>
    <w:rsid w:val="00AC647E"/>
    <w:rsid w:val="00AC7048"/>
    <w:rsid w:val="00AC7581"/>
    <w:rsid w:val="00AD03C4"/>
    <w:rsid w:val="00AD0D05"/>
    <w:rsid w:val="00AD0F9D"/>
    <w:rsid w:val="00AD15E5"/>
    <w:rsid w:val="00AD171A"/>
    <w:rsid w:val="00AD18D9"/>
    <w:rsid w:val="00AD1A38"/>
    <w:rsid w:val="00AD1ADD"/>
    <w:rsid w:val="00AD1FB8"/>
    <w:rsid w:val="00AD2239"/>
    <w:rsid w:val="00AD26C9"/>
    <w:rsid w:val="00AD27DD"/>
    <w:rsid w:val="00AD306C"/>
    <w:rsid w:val="00AD35CD"/>
    <w:rsid w:val="00AD4151"/>
    <w:rsid w:val="00AD5E82"/>
    <w:rsid w:val="00AD63F0"/>
    <w:rsid w:val="00AD6858"/>
    <w:rsid w:val="00AD6C61"/>
    <w:rsid w:val="00AD6E19"/>
    <w:rsid w:val="00AD6F3B"/>
    <w:rsid w:val="00AD71B0"/>
    <w:rsid w:val="00AD7416"/>
    <w:rsid w:val="00AD75A2"/>
    <w:rsid w:val="00AD7D21"/>
    <w:rsid w:val="00AE0502"/>
    <w:rsid w:val="00AE116F"/>
    <w:rsid w:val="00AE1197"/>
    <w:rsid w:val="00AE1814"/>
    <w:rsid w:val="00AE2137"/>
    <w:rsid w:val="00AE24BD"/>
    <w:rsid w:val="00AE29A0"/>
    <w:rsid w:val="00AE2BFA"/>
    <w:rsid w:val="00AE2E94"/>
    <w:rsid w:val="00AE36CA"/>
    <w:rsid w:val="00AE3D64"/>
    <w:rsid w:val="00AE4237"/>
    <w:rsid w:val="00AE56DF"/>
    <w:rsid w:val="00AE5973"/>
    <w:rsid w:val="00AE5C92"/>
    <w:rsid w:val="00AE7090"/>
    <w:rsid w:val="00AE7CAD"/>
    <w:rsid w:val="00AF00C2"/>
    <w:rsid w:val="00AF0254"/>
    <w:rsid w:val="00AF0257"/>
    <w:rsid w:val="00AF101C"/>
    <w:rsid w:val="00AF190C"/>
    <w:rsid w:val="00AF23EE"/>
    <w:rsid w:val="00AF241E"/>
    <w:rsid w:val="00AF3D94"/>
    <w:rsid w:val="00AF4780"/>
    <w:rsid w:val="00AF47E5"/>
    <w:rsid w:val="00AF561D"/>
    <w:rsid w:val="00AF59CD"/>
    <w:rsid w:val="00AF6240"/>
    <w:rsid w:val="00AF6813"/>
    <w:rsid w:val="00AF68F4"/>
    <w:rsid w:val="00AF7320"/>
    <w:rsid w:val="00AF7E75"/>
    <w:rsid w:val="00AF7FFC"/>
    <w:rsid w:val="00B000EC"/>
    <w:rsid w:val="00B00749"/>
    <w:rsid w:val="00B00AB2"/>
    <w:rsid w:val="00B00E80"/>
    <w:rsid w:val="00B00F50"/>
    <w:rsid w:val="00B018FF"/>
    <w:rsid w:val="00B02060"/>
    <w:rsid w:val="00B029A7"/>
    <w:rsid w:val="00B02B9B"/>
    <w:rsid w:val="00B04703"/>
    <w:rsid w:val="00B047ED"/>
    <w:rsid w:val="00B04A99"/>
    <w:rsid w:val="00B04CD0"/>
    <w:rsid w:val="00B05107"/>
    <w:rsid w:val="00B05681"/>
    <w:rsid w:val="00B06531"/>
    <w:rsid w:val="00B06652"/>
    <w:rsid w:val="00B06CFD"/>
    <w:rsid w:val="00B06E09"/>
    <w:rsid w:val="00B07513"/>
    <w:rsid w:val="00B07D76"/>
    <w:rsid w:val="00B1008E"/>
    <w:rsid w:val="00B10850"/>
    <w:rsid w:val="00B10AFA"/>
    <w:rsid w:val="00B10B88"/>
    <w:rsid w:val="00B1104C"/>
    <w:rsid w:val="00B11A2E"/>
    <w:rsid w:val="00B11B00"/>
    <w:rsid w:val="00B11F44"/>
    <w:rsid w:val="00B122E3"/>
    <w:rsid w:val="00B13FCA"/>
    <w:rsid w:val="00B14455"/>
    <w:rsid w:val="00B14C9F"/>
    <w:rsid w:val="00B14DE4"/>
    <w:rsid w:val="00B15986"/>
    <w:rsid w:val="00B15BF5"/>
    <w:rsid w:val="00B16C07"/>
    <w:rsid w:val="00B17CE7"/>
    <w:rsid w:val="00B17F41"/>
    <w:rsid w:val="00B20AD6"/>
    <w:rsid w:val="00B210ED"/>
    <w:rsid w:val="00B213F4"/>
    <w:rsid w:val="00B2179F"/>
    <w:rsid w:val="00B22450"/>
    <w:rsid w:val="00B23EC2"/>
    <w:rsid w:val="00B2403C"/>
    <w:rsid w:val="00B24365"/>
    <w:rsid w:val="00B248C7"/>
    <w:rsid w:val="00B24989"/>
    <w:rsid w:val="00B24BB7"/>
    <w:rsid w:val="00B24E13"/>
    <w:rsid w:val="00B24F7B"/>
    <w:rsid w:val="00B2557D"/>
    <w:rsid w:val="00B25AB4"/>
    <w:rsid w:val="00B26546"/>
    <w:rsid w:val="00B2747B"/>
    <w:rsid w:val="00B27B6A"/>
    <w:rsid w:val="00B27FAE"/>
    <w:rsid w:val="00B30601"/>
    <w:rsid w:val="00B30D45"/>
    <w:rsid w:val="00B3161D"/>
    <w:rsid w:val="00B31869"/>
    <w:rsid w:val="00B31EAC"/>
    <w:rsid w:val="00B32115"/>
    <w:rsid w:val="00B32817"/>
    <w:rsid w:val="00B334C3"/>
    <w:rsid w:val="00B33A4F"/>
    <w:rsid w:val="00B33B43"/>
    <w:rsid w:val="00B33F82"/>
    <w:rsid w:val="00B34C25"/>
    <w:rsid w:val="00B34D3D"/>
    <w:rsid w:val="00B35C4E"/>
    <w:rsid w:val="00B362DB"/>
    <w:rsid w:val="00B36911"/>
    <w:rsid w:val="00B374C7"/>
    <w:rsid w:val="00B37FF8"/>
    <w:rsid w:val="00B400BC"/>
    <w:rsid w:val="00B40412"/>
    <w:rsid w:val="00B4086F"/>
    <w:rsid w:val="00B4098E"/>
    <w:rsid w:val="00B409AE"/>
    <w:rsid w:val="00B40E4D"/>
    <w:rsid w:val="00B41018"/>
    <w:rsid w:val="00B41221"/>
    <w:rsid w:val="00B417B9"/>
    <w:rsid w:val="00B41AEE"/>
    <w:rsid w:val="00B4238A"/>
    <w:rsid w:val="00B42431"/>
    <w:rsid w:val="00B42883"/>
    <w:rsid w:val="00B42D3C"/>
    <w:rsid w:val="00B42D96"/>
    <w:rsid w:val="00B42DBE"/>
    <w:rsid w:val="00B438CE"/>
    <w:rsid w:val="00B44614"/>
    <w:rsid w:val="00B44BCF"/>
    <w:rsid w:val="00B453EF"/>
    <w:rsid w:val="00B4545A"/>
    <w:rsid w:val="00B45B84"/>
    <w:rsid w:val="00B46051"/>
    <w:rsid w:val="00B46299"/>
    <w:rsid w:val="00B46E54"/>
    <w:rsid w:val="00B4727D"/>
    <w:rsid w:val="00B4776D"/>
    <w:rsid w:val="00B47996"/>
    <w:rsid w:val="00B47D87"/>
    <w:rsid w:val="00B47F5B"/>
    <w:rsid w:val="00B50B2A"/>
    <w:rsid w:val="00B51649"/>
    <w:rsid w:val="00B516D8"/>
    <w:rsid w:val="00B51712"/>
    <w:rsid w:val="00B5174E"/>
    <w:rsid w:val="00B51CC2"/>
    <w:rsid w:val="00B51E3A"/>
    <w:rsid w:val="00B5254E"/>
    <w:rsid w:val="00B52EBA"/>
    <w:rsid w:val="00B533D4"/>
    <w:rsid w:val="00B538E6"/>
    <w:rsid w:val="00B53902"/>
    <w:rsid w:val="00B53D44"/>
    <w:rsid w:val="00B53F36"/>
    <w:rsid w:val="00B53FB1"/>
    <w:rsid w:val="00B542B7"/>
    <w:rsid w:val="00B54C65"/>
    <w:rsid w:val="00B551E6"/>
    <w:rsid w:val="00B55EED"/>
    <w:rsid w:val="00B56AD7"/>
    <w:rsid w:val="00B56B9E"/>
    <w:rsid w:val="00B56C2C"/>
    <w:rsid w:val="00B5740E"/>
    <w:rsid w:val="00B576C4"/>
    <w:rsid w:val="00B57BB8"/>
    <w:rsid w:val="00B57EAB"/>
    <w:rsid w:val="00B57FCE"/>
    <w:rsid w:val="00B60241"/>
    <w:rsid w:val="00B624B8"/>
    <w:rsid w:val="00B62CDB"/>
    <w:rsid w:val="00B62F49"/>
    <w:rsid w:val="00B638C4"/>
    <w:rsid w:val="00B63B5D"/>
    <w:rsid w:val="00B640F9"/>
    <w:rsid w:val="00B64607"/>
    <w:rsid w:val="00B64797"/>
    <w:rsid w:val="00B647B7"/>
    <w:rsid w:val="00B64896"/>
    <w:rsid w:val="00B64B81"/>
    <w:rsid w:val="00B64D5D"/>
    <w:rsid w:val="00B64E73"/>
    <w:rsid w:val="00B654AC"/>
    <w:rsid w:val="00B660B5"/>
    <w:rsid w:val="00B6652D"/>
    <w:rsid w:val="00B67141"/>
    <w:rsid w:val="00B67498"/>
    <w:rsid w:val="00B6762F"/>
    <w:rsid w:val="00B676E0"/>
    <w:rsid w:val="00B679E5"/>
    <w:rsid w:val="00B67BB1"/>
    <w:rsid w:val="00B70049"/>
    <w:rsid w:val="00B70447"/>
    <w:rsid w:val="00B704C3"/>
    <w:rsid w:val="00B70615"/>
    <w:rsid w:val="00B7101B"/>
    <w:rsid w:val="00B71584"/>
    <w:rsid w:val="00B715C8"/>
    <w:rsid w:val="00B716B3"/>
    <w:rsid w:val="00B71894"/>
    <w:rsid w:val="00B718AF"/>
    <w:rsid w:val="00B720D8"/>
    <w:rsid w:val="00B72120"/>
    <w:rsid w:val="00B725A5"/>
    <w:rsid w:val="00B72A30"/>
    <w:rsid w:val="00B72A8E"/>
    <w:rsid w:val="00B73074"/>
    <w:rsid w:val="00B73138"/>
    <w:rsid w:val="00B73A8F"/>
    <w:rsid w:val="00B73FDC"/>
    <w:rsid w:val="00B747E5"/>
    <w:rsid w:val="00B755E6"/>
    <w:rsid w:val="00B75C36"/>
    <w:rsid w:val="00B75DD6"/>
    <w:rsid w:val="00B76857"/>
    <w:rsid w:val="00B76AEA"/>
    <w:rsid w:val="00B76CFA"/>
    <w:rsid w:val="00B76F52"/>
    <w:rsid w:val="00B77AFD"/>
    <w:rsid w:val="00B80156"/>
    <w:rsid w:val="00B80574"/>
    <w:rsid w:val="00B81F04"/>
    <w:rsid w:val="00B8246B"/>
    <w:rsid w:val="00B8315A"/>
    <w:rsid w:val="00B83A00"/>
    <w:rsid w:val="00B83BA3"/>
    <w:rsid w:val="00B84485"/>
    <w:rsid w:val="00B84602"/>
    <w:rsid w:val="00B84BDF"/>
    <w:rsid w:val="00B85AB1"/>
    <w:rsid w:val="00B861B4"/>
    <w:rsid w:val="00B862BA"/>
    <w:rsid w:val="00B86FB4"/>
    <w:rsid w:val="00B87529"/>
    <w:rsid w:val="00B87558"/>
    <w:rsid w:val="00B87F9B"/>
    <w:rsid w:val="00B90383"/>
    <w:rsid w:val="00B90691"/>
    <w:rsid w:val="00B906A4"/>
    <w:rsid w:val="00B91404"/>
    <w:rsid w:val="00B91EB9"/>
    <w:rsid w:val="00B932BA"/>
    <w:rsid w:val="00B9357C"/>
    <w:rsid w:val="00B935EF"/>
    <w:rsid w:val="00B93BDE"/>
    <w:rsid w:val="00B93C42"/>
    <w:rsid w:val="00B93CB1"/>
    <w:rsid w:val="00B93FF4"/>
    <w:rsid w:val="00B9465D"/>
    <w:rsid w:val="00B94D7E"/>
    <w:rsid w:val="00B9590F"/>
    <w:rsid w:val="00B95AFF"/>
    <w:rsid w:val="00B95E4F"/>
    <w:rsid w:val="00B96550"/>
    <w:rsid w:val="00B9663F"/>
    <w:rsid w:val="00B967B9"/>
    <w:rsid w:val="00B96C09"/>
    <w:rsid w:val="00B96C0D"/>
    <w:rsid w:val="00B96D91"/>
    <w:rsid w:val="00B9757F"/>
    <w:rsid w:val="00B97604"/>
    <w:rsid w:val="00B97660"/>
    <w:rsid w:val="00B9798B"/>
    <w:rsid w:val="00B97A3B"/>
    <w:rsid w:val="00B97E61"/>
    <w:rsid w:val="00B97FC4"/>
    <w:rsid w:val="00BA153A"/>
    <w:rsid w:val="00BA1739"/>
    <w:rsid w:val="00BA1B85"/>
    <w:rsid w:val="00BA1EF7"/>
    <w:rsid w:val="00BA1F9B"/>
    <w:rsid w:val="00BA256B"/>
    <w:rsid w:val="00BA2690"/>
    <w:rsid w:val="00BA415C"/>
    <w:rsid w:val="00BA464B"/>
    <w:rsid w:val="00BA4B4B"/>
    <w:rsid w:val="00BA4DC5"/>
    <w:rsid w:val="00BA5A95"/>
    <w:rsid w:val="00BA5B6F"/>
    <w:rsid w:val="00BA62DC"/>
    <w:rsid w:val="00BA66C8"/>
    <w:rsid w:val="00BA69C7"/>
    <w:rsid w:val="00BA70CF"/>
    <w:rsid w:val="00BB04FA"/>
    <w:rsid w:val="00BB05DD"/>
    <w:rsid w:val="00BB1585"/>
    <w:rsid w:val="00BB1D2E"/>
    <w:rsid w:val="00BB22AA"/>
    <w:rsid w:val="00BB2478"/>
    <w:rsid w:val="00BB2B5E"/>
    <w:rsid w:val="00BB3596"/>
    <w:rsid w:val="00BB35EC"/>
    <w:rsid w:val="00BB3805"/>
    <w:rsid w:val="00BB42B8"/>
    <w:rsid w:val="00BB48D9"/>
    <w:rsid w:val="00BB4CA6"/>
    <w:rsid w:val="00BB52AE"/>
    <w:rsid w:val="00BB5F65"/>
    <w:rsid w:val="00BB5FDE"/>
    <w:rsid w:val="00BB5FF7"/>
    <w:rsid w:val="00BB6000"/>
    <w:rsid w:val="00BB63D7"/>
    <w:rsid w:val="00BB6B00"/>
    <w:rsid w:val="00BB6E7B"/>
    <w:rsid w:val="00BB70CA"/>
    <w:rsid w:val="00BB71A3"/>
    <w:rsid w:val="00BB786D"/>
    <w:rsid w:val="00BB7B48"/>
    <w:rsid w:val="00BB7E60"/>
    <w:rsid w:val="00BC03F7"/>
    <w:rsid w:val="00BC0D32"/>
    <w:rsid w:val="00BC1041"/>
    <w:rsid w:val="00BC109A"/>
    <w:rsid w:val="00BC1616"/>
    <w:rsid w:val="00BC168C"/>
    <w:rsid w:val="00BC2605"/>
    <w:rsid w:val="00BC2BDC"/>
    <w:rsid w:val="00BC304D"/>
    <w:rsid w:val="00BC38C3"/>
    <w:rsid w:val="00BC3A5B"/>
    <w:rsid w:val="00BC41D4"/>
    <w:rsid w:val="00BC466D"/>
    <w:rsid w:val="00BC6048"/>
    <w:rsid w:val="00BC625D"/>
    <w:rsid w:val="00BC6787"/>
    <w:rsid w:val="00BC6BFA"/>
    <w:rsid w:val="00BC727C"/>
    <w:rsid w:val="00BC7690"/>
    <w:rsid w:val="00BD069B"/>
    <w:rsid w:val="00BD0A76"/>
    <w:rsid w:val="00BD0C19"/>
    <w:rsid w:val="00BD0C57"/>
    <w:rsid w:val="00BD13AD"/>
    <w:rsid w:val="00BD15D9"/>
    <w:rsid w:val="00BD169D"/>
    <w:rsid w:val="00BD1E2B"/>
    <w:rsid w:val="00BD22FE"/>
    <w:rsid w:val="00BD240C"/>
    <w:rsid w:val="00BD274C"/>
    <w:rsid w:val="00BD373E"/>
    <w:rsid w:val="00BD3944"/>
    <w:rsid w:val="00BD3D93"/>
    <w:rsid w:val="00BD3E32"/>
    <w:rsid w:val="00BD3F08"/>
    <w:rsid w:val="00BD3F8F"/>
    <w:rsid w:val="00BD4CC4"/>
    <w:rsid w:val="00BD4E84"/>
    <w:rsid w:val="00BD648C"/>
    <w:rsid w:val="00BD671A"/>
    <w:rsid w:val="00BD683E"/>
    <w:rsid w:val="00BD6A60"/>
    <w:rsid w:val="00BD6C1C"/>
    <w:rsid w:val="00BD7200"/>
    <w:rsid w:val="00BD7DB9"/>
    <w:rsid w:val="00BD7F20"/>
    <w:rsid w:val="00BD7FA0"/>
    <w:rsid w:val="00BE0291"/>
    <w:rsid w:val="00BE072F"/>
    <w:rsid w:val="00BE08AA"/>
    <w:rsid w:val="00BE1D09"/>
    <w:rsid w:val="00BE20AE"/>
    <w:rsid w:val="00BE23B6"/>
    <w:rsid w:val="00BE2500"/>
    <w:rsid w:val="00BE2BF9"/>
    <w:rsid w:val="00BE2F9F"/>
    <w:rsid w:val="00BE304F"/>
    <w:rsid w:val="00BE3503"/>
    <w:rsid w:val="00BE360C"/>
    <w:rsid w:val="00BE361F"/>
    <w:rsid w:val="00BE3D21"/>
    <w:rsid w:val="00BE4297"/>
    <w:rsid w:val="00BE4DB2"/>
    <w:rsid w:val="00BE5067"/>
    <w:rsid w:val="00BE5069"/>
    <w:rsid w:val="00BE561A"/>
    <w:rsid w:val="00BE5E71"/>
    <w:rsid w:val="00BE68B5"/>
    <w:rsid w:val="00BE73D8"/>
    <w:rsid w:val="00BF040A"/>
    <w:rsid w:val="00BF0430"/>
    <w:rsid w:val="00BF0505"/>
    <w:rsid w:val="00BF08E8"/>
    <w:rsid w:val="00BF3298"/>
    <w:rsid w:val="00BF3A14"/>
    <w:rsid w:val="00BF3C74"/>
    <w:rsid w:val="00BF40FA"/>
    <w:rsid w:val="00BF4594"/>
    <w:rsid w:val="00BF4679"/>
    <w:rsid w:val="00BF4A86"/>
    <w:rsid w:val="00BF4AB0"/>
    <w:rsid w:val="00BF4B00"/>
    <w:rsid w:val="00BF4E55"/>
    <w:rsid w:val="00BF4FD1"/>
    <w:rsid w:val="00BF7238"/>
    <w:rsid w:val="00BF77EF"/>
    <w:rsid w:val="00BF7B27"/>
    <w:rsid w:val="00C003C5"/>
    <w:rsid w:val="00C007EA"/>
    <w:rsid w:val="00C00928"/>
    <w:rsid w:val="00C0096D"/>
    <w:rsid w:val="00C00A54"/>
    <w:rsid w:val="00C00A8C"/>
    <w:rsid w:val="00C00C21"/>
    <w:rsid w:val="00C00EFA"/>
    <w:rsid w:val="00C011C2"/>
    <w:rsid w:val="00C01B72"/>
    <w:rsid w:val="00C0229B"/>
    <w:rsid w:val="00C02519"/>
    <w:rsid w:val="00C02F52"/>
    <w:rsid w:val="00C03420"/>
    <w:rsid w:val="00C03442"/>
    <w:rsid w:val="00C034FC"/>
    <w:rsid w:val="00C03567"/>
    <w:rsid w:val="00C035E6"/>
    <w:rsid w:val="00C03CE6"/>
    <w:rsid w:val="00C04213"/>
    <w:rsid w:val="00C04424"/>
    <w:rsid w:val="00C04858"/>
    <w:rsid w:val="00C04AC7"/>
    <w:rsid w:val="00C04E94"/>
    <w:rsid w:val="00C0559E"/>
    <w:rsid w:val="00C055D5"/>
    <w:rsid w:val="00C059E6"/>
    <w:rsid w:val="00C05D2E"/>
    <w:rsid w:val="00C060FD"/>
    <w:rsid w:val="00C06C94"/>
    <w:rsid w:val="00C0713F"/>
    <w:rsid w:val="00C07332"/>
    <w:rsid w:val="00C0784C"/>
    <w:rsid w:val="00C07C50"/>
    <w:rsid w:val="00C07CE9"/>
    <w:rsid w:val="00C103DA"/>
    <w:rsid w:val="00C10E9A"/>
    <w:rsid w:val="00C1105E"/>
    <w:rsid w:val="00C112C9"/>
    <w:rsid w:val="00C11D14"/>
    <w:rsid w:val="00C12521"/>
    <w:rsid w:val="00C12ACE"/>
    <w:rsid w:val="00C13B10"/>
    <w:rsid w:val="00C13C0C"/>
    <w:rsid w:val="00C13EFA"/>
    <w:rsid w:val="00C14D16"/>
    <w:rsid w:val="00C14FFF"/>
    <w:rsid w:val="00C153A7"/>
    <w:rsid w:val="00C1543B"/>
    <w:rsid w:val="00C156B6"/>
    <w:rsid w:val="00C15AEC"/>
    <w:rsid w:val="00C15B8D"/>
    <w:rsid w:val="00C15CA5"/>
    <w:rsid w:val="00C15DC7"/>
    <w:rsid w:val="00C16968"/>
    <w:rsid w:val="00C16E2E"/>
    <w:rsid w:val="00C16FB9"/>
    <w:rsid w:val="00C1750D"/>
    <w:rsid w:val="00C17752"/>
    <w:rsid w:val="00C178EB"/>
    <w:rsid w:val="00C20669"/>
    <w:rsid w:val="00C207A0"/>
    <w:rsid w:val="00C209F7"/>
    <w:rsid w:val="00C2188B"/>
    <w:rsid w:val="00C21B35"/>
    <w:rsid w:val="00C21D38"/>
    <w:rsid w:val="00C223C3"/>
    <w:rsid w:val="00C22686"/>
    <w:rsid w:val="00C22FB5"/>
    <w:rsid w:val="00C23EFA"/>
    <w:rsid w:val="00C242E5"/>
    <w:rsid w:val="00C24E90"/>
    <w:rsid w:val="00C256E4"/>
    <w:rsid w:val="00C26CCF"/>
    <w:rsid w:val="00C274FF"/>
    <w:rsid w:val="00C3032D"/>
    <w:rsid w:val="00C30386"/>
    <w:rsid w:val="00C307AB"/>
    <w:rsid w:val="00C30A64"/>
    <w:rsid w:val="00C31451"/>
    <w:rsid w:val="00C317EF"/>
    <w:rsid w:val="00C31B7C"/>
    <w:rsid w:val="00C31FC1"/>
    <w:rsid w:val="00C32284"/>
    <w:rsid w:val="00C32D68"/>
    <w:rsid w:val="00C33358"/>
    <w:rsid w:val="00C33456"/>
    <w:rsid w:val="00C33B26"/>
    <w:rsid w:val="00C34136"/>
    <w:rsid w:val="00C34C42"/>
    <w:rsid w:val="00C354A2"/>
    <w:rsid w:val="00C3567E"/>
    <w:rsid w:val="00C35B28"/>
    <w:rsid w:val="00C35B63"/>
    <w:rsid w:val="00C35B82"/>
    <w:rsid w:val="00C36BE8"/>
    <w:rsid w:val="00C37306"/>
    <w:rsid w:val="00C4053A"/>
    <w:rsid w:val="00C416EC"/>
    <w:rsid w:val="00C422C5"/>
    <w:rsid w:val="00C42412"/>
    <w:rsid w:val="00C42AEE"/>
    <w:rsid w:val="00C43138"/>
    <w:rsid w:val="00C43A6A"/>
    <w:rsid w:val="00C43F5B"/>
    <w:rsid w:val="00C4423E"/>
    <w:rsid w:val="00C453A5"/>
    <w:rsid w:val="00C4592C"/>
    <w:rsid w:val="00C4660F"/>
    <w:rsid w:val="00C46713"/>
    <w:rsid w:val="00C46C59"/>
    <w:rsid w:val="00C4721F"/>
    <w:rsid w:val="00C47344"/>
    <w:rsid w:val="00C473C9"/>
    <w:rsid w:val="00C476AB"/>
    <w:rsid w:val="00C47BBD"/>
    <w:rsid w:val="00C50019"/>
    <w:rsid w:val="00C50360"/>
    <w:rsid w:val="00C50430"/>
    <w:rsid w:val="00C5095E"/>
    <w:rsid w:val="00C50E5F"/>
    <w:rsid w:val="00C50F3F"/>
    <w:rsid w:val="00C51312"/>
    <w:rsid w:val="00C515FA"/>
    <w:rsid w:val="00C51732"/>
    <w:rsid w:val="00C518D4"/>
    <w:rsid w:val="00C51951"/>
    <w:rsid w:val="00C52730"/>
    <w:rsid w:val="00C5275E"/>
    <w:rsid w:val="00C52953"/>
    <w:rsid w:val="00C5338C"/>
    <w:rsid w:val="00C548E4"/>
    <w:rsid w:val="00C54B6F"/>
    <w:rsid w:val="00C558F5"/>
    <w:rsid w:val="00C55FD6"/>
    <w:rsid w:val="00C560AE"/>
    <w:rsid w:val="00C565B7"/>
    <w:rsid w:val="00C566E3"/>
    <w:rsid w:val="00C56EDD"/>
    <w:rsid w:val="00C57032"/>
    <w:rsid w:val="00C57366"/>
    <w:rsid w:val="00C5771C"/>
    <w:rsid w:val="00C6008B"/>
    <w:rsid w:val="00C608CC"/>
    <w:rsid w:val="00C60987"/>
    <w:rsid w:val="00C6102B"/>
    <w:rsid w:val="00C61328"/>
    <w:rsid w:val="00C61785"/>
    <w:rsid w:val="00C618B6"/>
    <w:rsid w:val="00C61E9F"/>
    <w:rsid w:val="00C6232D"/>
    <w:rsid w:val="00C627BC"/>
    <w:rsid w:val="00C62A3B"/>
    <w:rsid w:val="00C62A58"/>
    <w:rsid w:val="00C62ACE"/>
    <w:rsid w:val="00C636D9"/>
    <w:rsid w:val="00C63F3A"/>
    <w:rsid w:val="00C640C8"/>
    <w:rsid w:val="00C64B66"/>
    <w:rsid w:val="00C64EE2"/>
    <w:rsid w:val="00C6673B"/>
    <w:rsid w:val="00C66E71"/>
    <w:rsid w:val="00C70E49"/>
    <w:rsid w:val="00C71C2F"/>
    <w:rsid w:val="00C72339"/>
    <w:rsid w:val="00C72385"/>
    <w:rsid w:val="00C72E05"/>
    <w:rsid w:val="00C731D7"/>
    <w:rsid w:val="00C736A3"/>
    <w:rsid w:val="00C7390D"/>
    <w:rsid w:val="00C74158"/>
    <w:rsid w:val="00C7417A"/>
    <w:rsid w:val="00C74984"/>
    <w:rsid w:val="00C74FF3"/>
    <w:rsid w:val="00C75500"/>
    <w:rsid w:val="00C758AD"/>
    <w:rsid w:val="00C75D94"/>
    <w:rsid w:val="00C76242"/>
    <w:rsid w:val="00C763A5"/>
    <w:rsid w:val="00C76424"/>
    <w:rsid w:val="00C76DD0"/>
    <w:rsid w:val="00C7747F"/>
    <w:rsid w:val="00C774AE"/>
    <w:rsid w:val="00C8016F"/>
    <w:rsid w:val="00C80233"/>
    <w:rsid w:val="00C80ED4"/>
    <w:rsid w:val="00C810BF"/>
    <w:rsid w:val="00C81FBD"/>
    <w:rsid w:val="00C82DEE"/>
    <w:rsid w:val="00C82E42"/>
    <w:rsid w:val="00C82ECD"/>
    <w:rsid w:val="00C8371C"/>
    <w:rsid w:val="00C84903"/>
    <w:rsid w:val="00C84A57"/>
    <w:rsid w:val="00C84A8E"/>
    <w:rsid w:val="00C84AD4"/>
    <w:rsid w:val="00C84DF9"/>
    <w:rsid w:val="00C85C62"/>
    <w:rsid w:val="00C864C3"/>
    <w:rsid w:val="00C864F2"/>
    <w:rsid w:val="00C873DC"/>
    <w:rsid w:val="00C87936"/>
    <w:rsid w:val="00C90534"/>
    <w:rsid w:val="00C90627"/>
    <w:rsid w:val="00C91C0B"/>
    <w:rsid w:val="00C91C8F"/>
    <w:rsid w:val="00C9206C"/>
    <w:rsid w:val="00C92E3F"/>
    <w:rsid w:val="00C9371E"/>
    <w:rsid w:val="00C9451B"/>
    <w:rsid w:val="00C94B9C"/>
    <w:rsid w:val="00C94C25"/>
    <w:rsid w:val="00C9500D"/>
    <w:rsid w:val="00C96475"/>
    <w:rsid w:val="00C96D4E"/>
    <w:rsid w:val="00C96E3C"/>
    <w:rsid w:val="00C96E60"/>
    <w:rsid w:val="00C97402"/>
    <w:rsid w:val="00C974C9"/>
    <w:rsid w:val="00C97A70"/>
    <w:rsid w:val="00CA00FF"/>
    <w:rsid w:val="00CA0746"/>
    <w:rsid w:val="00CA0BCF"/>
    <w:rsid w:val="00CA297C"/>
    <w:rsid w:val="00CA29A2"/>
    <w:rsid w:val="00CA2E6A"/>
    <w:rsid w:val="00CA3291"/>
    <w:rsid w:val="00CA34B9"/>
    <w:rsid w:val="00CA3519"/>
    <w:rsid w:val="00CA3726"/>
    <w:rsid w:val="00CA3C8E"/>
    <w:rsid w:val="00CA3F0E"/>
    <w:rsid w:val="00CA4120"/>
    <w:rsid w:val="00CA4A24"/>
    <w:rsid w:val="00CA4AC9"/>
    <w:rsid w:val="00CA538A"/>
    <w:rsid w:val="00CA57DB"/>
    <w:rsid w:val="00CA5990"/>
    <w:rsid w:val="00CA59F6"/>
    <w:rsid w:val="00CA5ACC"/>
    <w:rsid w:val="00CA5AEE"/>
    <w:rsid w:val="00CA606B"/>
    <w:rsid w:val="00CA6697"/>
    <w:rsid w:val="00CA67D8"/>
    <w:rsid w:val="00CA6A9A"/>
    <w:rsid w:val="00CA7219"/>
    <w:rsid w:val="00CA74C0"/>
    <w:rsid w:val="00CB05B0"/>
    <w:rsid w:val="00CB06C0"/>
    <w:rsid w:val="00CB0B14"/>
    <w:rsid w:val="00CB0BC5"/>
    <w:rsid w:val="00CB0EF3"/>
    <w:rsid w:val="00CB13B8"/>
    <w:rsid w:val="00CB1F9B"/>
    <w:rsid w:val="00CB2323"/>
    <w:rsid w:val="00CB260C"/>
    <w:rsid w:val="00CB28E3"/>
    <w:rsid w:val="00CB2C8C"/>
    <w:rsid w:val="00CB2E06"/>
    <w:rsid w:val="00CB2F4C"/>
    <w:rsid w:val="00CB2F8B"/>
    <w:rsid w:val="00CB35DF"/>
    <w:rsid w:val="00CB370F"/>
    <w:rsid w:val="00CB3941"/>
    <w:rsid w:val="00CB3EE3"/>
    <w:rsid w:val="00CB490D"/>
    <w:rsid w:val="00CB530E"/>
    <w:rsid w:val="00CB5D8A"/>
    <w:rsid w:val="00CB5F7F"/>
    <w:rsid w:val="00CB7388"/>
    <w:rsid w:val="00CB75CE"/>
    <w:rsid w:val="00CB7BB2"/>
    <w:rsid w:val="00CC07FA"/>
    <w:rsid w:val="00CC09D4"/>
    <w:rsid w:val="00CC15DC"/>
    <w:rsid w:val="00CC17D1"/>
    <w:rsid w:val="00CC21FF"/>
    <w:rsid w:val="00CC3018"/>
    <w:rsid w:val="00CC3A9F"/>
    <w:rsid w:val="00CC42F5"/>
    <w:rsid w:val="00CC437E"/>
    <w:rsid w:val="00CC5425"/>
    <w:rsid w:val="00CC5B8C"/>
    <w:rsid w:val="00CC5D55"/>
    <w:rsid w:val="00CC5D83"/>
    <w:rsid w:val="00CC6165"/>
    <w:rsid w:val="00CC653F"/>
    <w:rsid w:val="00CC6ECB"/>
    <w:rsid w:val="00CC707F"/>
    <w:rsid w:val="00CC74B9"/>
    <w:rsid w:val="00CC75AF"/>
    <w:rsid w:val="00CC766F"/>
    <w:rsid w:val="00CC7AEE"/>
    <w:rsid w:val="00CC7FEA"/>
    <w:rsid w:val="00CD00FA"/>
    <w:rsid w:val="00CD03CF"/>
    <w:rsid w:val="00CD13DB"/>
    <w:rsid w:val="00CD1BA1"/>
    <w:rsid w:val="00CD1D66"/>
    <w:rsid w:val="00CD1FA8"/>
    <w:rsid w:val="00CD2C00"/>
    <w:rsid w:val="00CD2C27"/>
    <w:rsid w:val="00CD2EEE"/>
    <w:rsid w:val="00CD2FAA"/>
    <w:rsid w:val="00CD3045"/>
    <w:rsid w:val="00CD35D5"/>
    <w:rsid w:val="00CD378C"/>
    <w:rsid w:val="00CD3F42"/>
    <w:rsid w:val="00CD4064"/>
    <w:rsid w:val="00CD40CE"/>
    <w:rsid w:val="00CD4660"/>
    <w:rsid w:val="00CD47DF"/>
    <w:rsid w:val="00CD47E1"/>
    <w:rsid w:val="00CD4A0B"/>
    <w:rsid w:val="00CD60A3"/>
    <w:rsid w:val="00CD64F0"/>
    <w:rsid w:val="00CD6B18"/>
    <w:rsid w:val="00CD6FD7"/>
    <w:rsid w:val="00CD79CF"/>
    <w:rsid w:val="00CE079C"/>
    <w:rsid w:val="00CE09C4"/>
    <w:rsid w:val="00CE10B5"/>
    <w:rsid w:val="00CE1B99"/>
    <w:rsid w:val="00CE1F76"/>
    <w:rsid w:val="00CE22C9"/>
    <w:rsid w:val="00CE23AC"/>
    <w:rsid w:val="00CE258B"/>
    <w:rsid w:val="00CE2A12"/>
    <w:rsid w:val="00CE2B0A"/>
    <w:rsid w:val="00CE32D0"/>
    <w:rsid w:val="00CE3B91"/>
    <w:rsid w:val="00CE455A"/>
    <w:rsid w:val="00CE4767"/>
    <w:rsid w:val="00CE47F8"/>
    <w:rsid w:val="00CE4BA2"/>
    <w:rsid w:val="00CE5C2C"/>
    <w:rsid w:val="00CE5C89"/>
    <w:rsid w:val="00CE60C0"/>
    <w:rsid w:val="00CE67F0"/>
    <w:rsid w:val="00CE6A9B"/>
    <w:rsid w:val="00CE6F1E"/>
    <w:rsid w:val="00CE7A75"/>
    <w:rsid w:val="00CE7AB1"/>
    <w:rsid w:val="00CE7ADB"/>
    <w:rsid w:val="00CF00E7"/>
    <w:rsid w:val="00CF0286"/>
    <w:rsid w:val="00CF0629"/>
    <w:rsid w:val="00CF0B58"/>
    <w:rsid w:val="00CF115E"/>
    <w:rsid w:val="00CF1505"/>
    <w:rsid w:val="00CF1B03"/>
    <w:rsid w:val="00CF1F71"/>
    <w:rsid w:val="00CF24EB"/>
    <w:rsid w:val="00CF2546"/>
    <w:rsid w:val="00CF33E7"/>
    <w:rsid w:val="00CF352C"/>
    <w:rsid w:val="00CF3770"/>
    <w:rsid w:val="00CF4166"/>
    <w:rsid w:val="00CF4260"/>
    <w:rsid w:val="00CF4F5E"/>
    <w:rsid w:val="00CF6024"/>
    <w:rsid w:val="00CF63C6"/>
    <w:rsid w:val="00CF6E65"/>
    <w:rsid w:val="00CF6FD8"/>
    <w:rsid w:val="00CF76BE"/>
    <w:rsid w:val="00D0061D"/>
    <w:rsid w:val="00D0065B"/>
    <w:rsid w:val="00D00909"/>
    <w:rsid w:val="00D00C1D"/>
    <w:rsid w:val="00D010E1"/>
    <w:rsid w:val="00D011D7"/>
    <w:rsid w:val="00D01447"/>
    <w:rsid w:val="00D0148C"/>
    <w:rsid w:val="00D015F9"/>
    <w:rsid w:val="00D01782"/>
    <w:rsid w:val="00D035D2"/>
    <w:rsid w:val="00D03756"/>
    <w:rsid w:val="00D037F7"/>
    <w:rsid w:val="00D03A2A"/>
    <w:rsid w:val="00D03B9E"/>
    <w:rsid w:val="00D03BFC"/>
    <w:rsid w:val="00D04097"/>
    <w:rsid w:val="00D046F1"/>
    <w:rsid w:val="00D0585D"/>
    <w:rsid w:val="00D05B58"/>
    <w:rsid w:val="00D06005"/>
    <w:rsid w:val="00D0643E"/>
    <w:rsid w:val="00D0666D"/>
    <w:rsid w:val="00D06877"/>
    <w:rsid w:val="00D071A1"/>
    <w:rsid w:val="00D0723A"/>
    <w:rsid w:val="00D076D6"/>
    <w:rsid w:val="00D07F7D"/>
    <w:rsid w:val="00D1032B"/>
    <w:rsid w:val="00D11E50"/>
    <w:rsid w:val="00D12084"/>
    <w:rsid w:val="00D124F9"/>
    <w:rsid w:val="00D13489"/>
    <w:rsid w:val="00D136DA"/>
    <w:rsid w:val="00D13E4F"/>
    <w:rsid w:val="00D14553"/>
    <w:rsid w:val="00D14EDC"/>
    <w:rsid w:val="00D1595E"/>
    <w:rsid w:val="00D15B31"/>
    <w:rsid w:val="00D15DA1"/>
    <w:rsid w:val="00D16C68"/>
    <w:rsid w:val="00D2001F"/>
    <w:rsid w:val="00D20FFE"/>
    <w:rsid w:val="00D223A6"/>
    <w:rsid w:val="00D22914"/>
    <w:rsid w:val="00D2378C"/>
    <w:rsid w:val="00D23F9F"/>
    <w:rsid w:val="00D24BCF"/>
    <w:rsid w:val="00D24D81"/>
    <w:rsid w:val="00D24F1F"/>
    <w:rsid w:val="00D252E4"/>
    <w:rsid w:val="00D255B5"/>
    <w:rsid w:val="00D258A6"/>
    <w:rsid w:val="00D25B45"/>
    <w:rsid w:val="00D25BCA"/>
    <w:rsid w:val="00D25CAB"/>
    <w:rsid w:val="00D26134"/>
    <w:rsid w:val="00D2688A"/>
    <w:rsid w:val="00D26CC0"/>
    <w:rsid w:val="00D26FAF"/>
    <w:rsid w:val="00D2791D"/>
    <w:rsid w:val="00D27BD8"/>
    <w:rsid w:val="00D27C5D"/>
    <w:rsid w:val="00D27D39"/>
    <w:rsid w:val="00D31088"/>
    <w:rsid w:val="00D31713"/>
    <w:rsid w:val="00D3176A"/>
    <w:rsid w:val="00D31BEF"/>
    <w:rsid w:val="00D31F53"/>
    <w:rsid w:val="00D31FEF"/>
    <w:rsid w:val="00D3212A"/>
    <w:rsid w:val="00D3341A"/>
    <w:rsid w:val="00D334DE"/>
    <w:rsid w:val="00D33562"/>
    <w:rsid w:val="00D33FB7"/>
    <w:rsid w:val="00D34E36"/>
    <w:rsid w:val="00D35D59"/>
    <w:rsid w:val="00D369B0"/>
    <w:rsid w:val="00D369F4"/>
    <w:rsid w:val="00D36B9A"/>
    <w:rsid w:val="00D371E7"/>
    <w:rsid w:val="00D3767D"/>
    <w:rsid w:val="00D37E12"/>
    <w:rsid w:val="00D37F07"/>
    <w:rsid w:val="00D40723"/>
    <w:rsid w:val="00D40A66"/>
    <w:rsid w:val="00D41079"/>
    <w:rsid w:val="00D41603"/>
    <w:rsid w:val="00D424A8"/>
    <w:rsid w:val="00D4277C"/>
    <w:rsid w:val="00D42795"/>
    <w:rsid w:val="00D42C15"/>
    <w:rsid w:val="00D42C1A"/>
    <w:rsid w:val="00D42D0F"/>
    <w:rsid w:val="00D43011"/>
    <w:rsid w:val="00D43352"/>
    <w:rsid w:val="00D43713"/>
    <w:rsid w:val="00D43D39"/>
    <w:rsid w:val="00D44013"/>
    <w:rsid w:val="00D44206"/>
    <w:rsid w:val="00D44782"/>
    <w:rsid w:val="00D44FC2"/>
    <w:rsid w:val="00D452B9"/>
    <w:rsid w:val="00D456E6"/>
    <w:rsid w:val="00D45DB5"/>
    <w:rsid w:val="00D45F49"/>
    <w:rsid w:val="00D46174"/>
    <w:rsid w:val="00D46287"/>
    <w:rsid w:val="00D46CB8"/>
    <w:rsid w:val="00D47121"/>
    <w:rsid w:val="00D47BD6"/>
    <w:rsid w:val="00D5048C"/>
    <w:rsid w:val="00D5080A"/>
    <w:rsid w:val="00D5098C"/>
    <w:rsid w:val="00D50BC9"/>
    <w:rsid w:val="00D50C54"/>
    <w:rsid w:val="00D5169C"/>
    <w:rsid w:val="00D51D95"/>
    <w:rsid w:val="00D520F8"/>
    <w:rsid w:val="00D525BB"/>
    <w:rsid w:val="00D538D0"/>
    <w:rsid w:val="00D53A2A"/>
    <w:rsid w:val="00D53CAD"/>
    <w:rsid w:val="00D53F81"/>
    <w:rsid w:val="00D540EF"/>
    <w:rsid w:val="00D54187"/>
    <w:rsid w:val="00D54647"/>
    <w:rsid w:val="00D54C01"/>
    <w:rsid w:val="00D54D82"/>
    <w:rsid w:val="00D552DF"/>
    <w:rsid w:val="00D552F8"/>
    <w:rsid w:val="00D55905"/>
    <w:rsid w:val="00D56256"/>
    <w:rsid w:val="00D56A2C"/>
    <w:rsid w:val="00D5763E"/>
    <w:rsid w:val="00D57D67"/>
    <w:rsid w:val="00D57DCC"/>
    <w:rsid w:val="00D57F25"/>
    <w:rsid w:val="00D60140"/>
    <w:rsid w:val="00D608CD"/>
    <w:rsid w:val="00D60C3D"/>
    <w:rsid w:val="00D60D0A"/>
    <w:rsid w:val="00D61CEA"/>
    <w:rsid w:val="00D62C12"/>
    <w:rsid w:val="00D6310C"/>
    <w:rsid w:val="00D63E69"/>
    <w:rsid w:val="00D64361"/>
    <w:rsid w:val="00D64444"/>
    <w:rsid w:val="00D64BC1"/>
    <w:rsid w:val="00D64FBB"/>
    <w:rsid w:val="00D6561B"/>
    <w:rsid w:val="00D65CD1"/>
    <w:rsid w:val="00D6626A"/>
    <w:rsid w:val="00D66C93"/>
    <w:rsid w:val="00D66DFF"/>
    <w:rsid w:val="00D67684"/>
    <w:rsid w:val="00D6787F"/>
    <w:rsid w:val="00D67D28"/>
    <w:rsid w:val="00D67E97"/>
    <w:rsid w:val="00D70670"/>
    <w:rsid w:val="00D70795"/>
    <w:rsid w:val="00D70AA3"/>
    <w:rsid w:val="00D70C5D"/>
    <w:rsid w:val="00D71BC4"/>
    <w:rsid w:val="00D71DCE"/>
    <w:rsid w:val="00D72135"/>
    <w:rsid w:val="00D7292C"/>
    <w:rsid w:val="00D72BEA"/>
    <w:rsid w:val="00D72E51"/>
    <w:rsid w:val="00D746B0"/>
    <w:rsid w:val="00D75892"/>
    <w:rsid w:val="00D75B85"/>
    <w:rsid w:val="00D75DF3"/>
    <w:rsid w:val="00D75E44"/>
    <w:rsid w:val="00D763D5"/>
    <w:rsid w:val="00D76DB4"/>
    <w:rsid w:val="00D77388"/>
    <w:rsid w:val="00D7759C"/>
    <w:rsid w:val="00D77E42"/>
    <w:rsid w:val="00D80398"/>
    <w:rsid w:val="00D8182C"/>
    <w:rsid w:val="00D81D1C"/>
    <w:rsid w:val="00D8248C"/>
    <w:rsid w:val="00D828B8"/>
    <w:rsid w:val="00D830FE"/>
    <w:rsid w:val="00D83933"/>
    <w:rsid w:val="00D83C4E"/>
    <w:rsid w:val="00D83CE3"/>
    <w:rsid w:val="00D844CA"/>
    <w:rsid w:val="00D849B1"/>
    <w:rsid w:val="00D853B5"/>
    <w:rsid w:val="00D8589E"/>
    <w:rsid w:val="00D85992"/>
    <w:rsid w:val="00D86044"/>
    <w:rsid w:val="00D860C2"/>
    <w:rsid w:val="00D86285"/>
    <w:rsid w:val="00D86322"/>
    <w:rsid w:val="00D86D1D"/>
    <w:rsid w:val="00D86E0F"/>
    <w:rsid w:val="00D872CF"/>
    <w:rsid w:val="00D8758C"/>
    <w:rsid w:val="00D877BE"/>
    <w:rsid w:val="00D9000A"/>
    <w:rsid w:val="00D9066C"/>
    <w:rsid w:val="00D90931"/>
    <w:rsid w:val="00D90EFB"/>
    <w:rsid w:val="00D9153A"/>
    <w:rsid w:val="00D91591"/>
    <w:rsid w:val="00D91B01"/>
    <w:rsid w:val="00D91ECF"/>
    <w:rsid w:val="00D922D6"/>
    <w:rsid w:val="00D9275F"/>
    <w:rsid w:val="00D92C67"/>
    <w:rsid w:val="00D92DEC"/>
    <w:rsid w:val="00D93139"/>
    <w:rsid w:val="00D938F0"/>
    <w:rsid w:val="00D9401F"/>
    <w:rsid w:val="00D94AC2"/>
    <w:rsid w:val="00D95072"/>
    <w:rsid w:val="00D95E31"/>
    <w:rsid w:val="00D96365"/>
    <w:rsid w:val="00D963CF"/>
    <w:rsid w:val="00D966A9"/>
    <w:rsid w:val="00D96E60"/>
    <w:rsid w:val="00D97531"/>
    <w:rsid w:val="00D97CFE"/>
    <w:rsid w:val="00DA0502"/>
    <w:rsid w:val="00DA120D"/>
    <w:rsid w:val="00DA19A8"/>
    <w:rsid w:val="00DA1F76"/>
    <w:rsid w:val="00DA2276"/>
    <w:rsid w:val="00DA24D8"/>
    <w:rsid w:val="00DA28B3"/>
    <w:rsid w:val="00DA2979"/>
    <w:rsid w:val="00DA3232"/>
    <w:rsid w:val="00DA3A81"/>
    <w:rsid w:val="00DA3B52"/>
    <w:rsid w:val="00DA3FE6"/>
    <w:rsid w:val="00DA407E"/>
    <w:rsid w:val="00DA5373"/>
    <w:rsid w:val="00DA5579"/>
    <w:rsid w:val="00DA5FB3"/>
    <w:rsid w:val="00DA6150"/>
    <w:rsid w:val="00DA61B2"/>
    <w:rsid w:val="00DA7015"/>
    <w:rsid w:val="00DA70A0"/>
    <w:rsid w:val="00DA71B8"/>
    <w:rsid w:val="00DA76FE"/>
    <w:rsid w:val="00DA7ECF"/>
    <w:rsid w:val="00DB093D"/>
    <w:rsid w:val="00DB11D6"/>
    <w:rsid w:val="00DB16BB"/>
    <w:rsid w:val="00DB22DC"/>
    <w:rsid w:val="00DB24D1"/>
    <w:rsid w:val="00DB2C00"/>
    <w:rsid w:val="00DB2E06"/>
    <w:rsid w:val="00DB31EB"/>
    <w:rsid w:val="00DB351B"/>
    <w:rsid w:val="00DB397B"/>
    <w:rsid w:val="00DB3D4A"/>
    <w:rsid w:val="00DB3DA1"/>
    <w:rsid w:val="00DB3E9B"/>
    <w:rsid w:val="00DB4464"/>
    <w:rsid w:val="00DB4C97"/>
    <w:rsid w:val="00DB54CB"/>
    <w:rsid w:val="00DB5E33"/>
    <w:rsid w:val="00DB67C9"/>
    <w:rsid w:val="00DB69F0"/>
    <w:rsid w:val="00DB71A3"/>
    <w:rsid w:val="00DC0237"/>
    <w:rsid w:val="00DC080C"/>
    <w:rsid w:val="00DC0B36"/>
    <w:rsid w:val="00DC0FA4"/>
    <w:rsid w:val="00DC2135"/>
    <w:rsid w:val="00DC2765"/>
    <w:rsid w:val="00DC3681"/>
    <w:rsid w:val="00DC39DD"/>
    <w:rsid w:val="00DC3AFE"/>
    <w:rsid w:val="00DC41DE"/>
    <w:rsid w:val="00DC4BA2"/>
    <w:rsid w:val="00DC55BE"/>
    <w:rsid w:val="00DC5749"/>
    <w:rsid w:val="00DC64E7"/>
    <w:rsid w:val="00DC696E"/>
    <w:rsid w:val="00DC6D5C"/>
    <w:rsid w:val="00DC7250"/>
    <w:rsid w:val="00DC75F8"/>
    <w:rsid w:val="00DC7AA9"/>
    <w:rsid w:val="00DD06CC"/>
    <w:rsid w:val="00DD0A66"/>
    <w:rsid w:val="00DD0AD5"/>
    <w:rsid w:val="00DD0BF6"/>
    <w:rsid w:val="00DD1976"/>
    <w:rsid w:val="00DD1F83"/>
    <w:rsid w:val="00DD2004"/>
    <w:rsid w:val="00DD21EC"/>
    <w:rsid w:val="00DD2887"/>
    <w:rsid w:val="00DD2FE5"/>
    <w:rsid w:val="00DD3252"/>
    <w:rsid w:val="00DD38D4"/>
    <w:rsid w:val="00DD3CF7"/>
    <w:rsid w:val="00DD3E2D"/>
    <w:rsid w:val="00DD5B28"/>
    <w:rsid w:val="00DD6D7D"/>
    <w:rsid w:val="00DE0514"/>
    <w:rsid w:val="00DE06E0"/>
    <w:rsid w:val="00DE0AAE"/>
    <w:rsid w:val="00DE151D"/>
    <w:rsid w:val="00DE19A0"/>
    <w:rsid w:val="00DE1AD0"/>
    <w:rsid w:val="00DE2866"/>
    <w:rsid w:val="00DE2899"/>
    <w:rsid w:val="00DE2B47"/>
    <w:rsid w:val="00DE2C79"/>
    <w:rsid w:val="00DE2EDB"/>
    <w:rsid w:val="00DE368F"/>
    <w:rsid w:val="00DE36A4"/>
    <w:rsid w:val="00DE3BD1"/>
    <w:rsid w:val="00DE3E96"/>
    <w:rsid w:val="00DE4665"/>
    <w:rsid w:val="00DE5292"/>
    <w:rsid w:val="00DE542C"/>
    <w:rsid w:val="00DE5C72"/>
    <w:rsid w:val="00DE5D0A"/>
    <w:rsid w:val="00DE6025"/>
    <w:rsid w:val="00DE630A"/>
    <w:rsid w:val="00DE6DBD"/>
    <w:rsid w:val="00DE72DE"/>
    <w:rsid w:val="00DF0B2C"/>
    <w:rsid w:val="00DF0CA1"/>
    <w:rsid w:val="00DF1A5A"/>
    <w:rsid w:val="00DF1A72"/>
    <w:rsid w:val="00DF23A2"/>
    <w:rsid w:val="00DF29FC"/>
    <w:rsid w:val="00DF2D9B"/>
    <w:rsid w:val="00DF2E3A"/>
    <w:rsid w:val="00DF30BB"/>
    <w:rsid w:val="00DF3254"/>
    <w:rsid w:val="00DF3367"/>
    <w:rsid w:val="00DF39BC"/>
    <w:rsid w:val="00DF4033"/>
    <w:rsid w:val="00DF43FE"/>
    <w:rsid w:val="00DF46A1"/>
    <w:rsid w:val="00DF53B5"/>
    <w:rsid w:val="00DF564C"/>
    <w:rsid w:val="00DF56E5"/>
    <w:rsid w:val="00DF65D5"/>
    <w:rsid w:val="00DF6747"/>
    <w:rsid w:val="00DF6925"/>
    <w:rsid w:val="00DF6F17"/>
    <w:rsid w:val="00DF72FC"/>
    <w:rsid w:val="00DF74FD"/>
    <w:rsid w:val="00DF7C66"/>
    <w:rsid w:val="00E006FC"/>
    <w:rsid w:val="00E00757"/>
    <w:rsid w:val="00E00B73"/>
    <w:rsid w:val="00E01505"/>
    <w:rsid w:val="00E01A63"/>
    <w:rsid w:val="00E02292"/>
    <w:rsid w:val="00E02CB8"/>
    <w:rsid w:val="00E03145"/>
    <w:rsid w:val="00E0318F"/>
    <w:rsid w:val="00E0319A"/>
    <w:rsid w:val="00E032EB"/>
    <w:rsid w:val="00E03CB3"/>
    <w:rsid w:val="00E03D56"/>
    <w:rsid w:val="00E043F5"/>
    <w:rsid w:val="00E0471A"/>
    <w:rsid w:val="00E04C36"/>
    <w:rsid w:val="00E066ED"/>
    <w:rsid w:val="00E06785"/>
    <w:rsid w:val="00E068C4"/>
    <w:rsid w:val="00E068F5"/>
    <w:rsid w:val="00E072DA"/>
    <w:rsid w:val="00E0776C"/>
    <w:rsid w:val="00E07C6C"/>
    <w:rsid w:val="00E07EDC"/>
    <w:rsid w:val="00E101CD"/>
    <w:rsid w:val="00E10FC7"/>
    <w:rsid w:val="00E11729"/>
    <w:rsid w:val="00E11975"/>
    <w:rsid w:val="00E11AC7"/>
    <w:rsid w:val="00E12268"/>
    <w:rsid w:val="00E1456A"/>
    <w:rsid w:val="00E1469E"/>
    <w:rsid w:val="00E14C30"/>
    <w:rsid w:val="00E1528A"/>
    <w:rsid w:val="00E15C3D"/>
    <w:rsid w:val="00E1633C"/>
    <w:rsid w:val="00E16D2A"/>
    <w:rsid w:val="00E17408"/>
    <w:rsid w:val="00E17A3C"/>
    <w:rsid w:val="00E17C1B"/>
    <w:rsid w:val="00E20806"/>
    <w:rsid w:val="00E20810"/>
    <w:rsid w:val="00E21A1A"/>
    <w:rsid w:val="00E22159"/>
    <w:rsid w:val="00E2221F"/>
    <w:rsid w:val="00E22376"/>
    <w:rsid w:val="00E223F4"/>
    <w:rsid w:val="00E22834"/>
    <w:rsid w:val="00E2288F"/>
    <w:rsid w:val="00E23E2E"/>
    <w:rsid w:val="00E2402E"/>
    <w:rsid w:val="00E24C0D"/>
    <w:rsid w:val="00E25046"/>
    <w:rsid w:val="00E2586E"/>
    <w:rsid w:val="00E258A4"/>
    <w:rsid w:val="00E2655D"/>
    <w:rsid w:val="00E2702C"/>
    <w:rsid w:val="00E27480"/>
    <w:rsid w:val="00E275DD"/>
    <w:rsid w:val="00E27C56"/>
    <w:rsid w:val="00E3072F"/>
    <w:rsid w:val="00E3099F"/>
    <w:rsid w:val="00E309E7"/>
    <w:rsid w:val="00E30B58"/>
    <w:rsid w:val="00E31421"/>
    <w:rsid w:val="00E321D5"/>
    <w:rsid w:val="00E327F3"/>
    <w:rsid w:val="00E32A13"/>
    <w:rsid w:val="00E32D52"/>
    <w:rsid w:val="00E33507"/>
    <w:rsid w:val="00E3353C"/>
    <w:rsid w:val="00E3369F"/>
    <w:rsid w:val="00E3395B"/>
    <w:rsid w:val="00E33AC0"/>
    <w:rsid w:val="00E33E88"/>
    <w:rsid w:val="00E349DC"/>
    <w:rsid w:val="00E3514B"/>
    <w:rsid w:val="00E360CF"/>
    <w:rsid w:val="00E36117"/>
    <w:rsid w:val="00E36651"/>
    <w:rsid w:val="00E36CE0"/>
    <w:rsid w:val="00E36EBF"/>
    <w:rsid w:val="00E370C7"/>
    <w:rsid w:val="00E4021B"/>
    <w:rsid w:val="00E40C95"/>
    <w:rsid w:val="00E4126D"/>
    <w:rsid w:val="00E41AF8"/>
    <w:rsid w:val="00E41B78"/>
    <w:rsid w:val="00E42720"/>
    <w:rsid w:val="00E4282F"/>
    <w:rsid w:val="00E433B4"/>
    <w:rsid w:val="00E43551"/>
    <w:rsid w:val="00E43601"/>
    <w:rsid w:val="00E438BE"/>
    <w:rsid w:val="00E43DDC"/>
    <w:rsid w:val="00E43E61"/>
    <w:rsid w:val="00E44683"/>
    <w:rsid w:val="00E44CB4"/>
    <w:rsid w:val="00E455F2"/>
    <w:rsid w:val="00E4570D"/>
    <w:rsid w:val="00E45CAE"/>
    <w:rsid w:val="00E4688C"/>
    <w:rsid w:val="00E46952"/>
    <w:rsid w:val="00E46986"/>
    <w:rsid w:val="00E50546"/>
    <w:rsid w:val="00E50705"/>
    <w:rsid w:val="00E50CBD"/>
    <w:rsid w:val="00E51F5B"/>
    <w:rsid w:val="00E52192"/>
    <w:rsid w:val="00E5262F"/>
    <w:rsid w:val="00E53789"/>
    <w:rsid w:val="00E539F4"/>
    <w:rsid w:val="00E53ED2"/>
    <w:rsid w:val="00E5405E"/>
    <w:rsid w:val="00E540D2"/>
    <w:rsid w:val="00E54995"/>
    <w:rsid w:val="00E54B89"/>
    <w:rsid w:val="00E54DBD"/>
    <w:rsid w:val="00E55494"/>
    <w:rsid w:val="00E557C9"/>
    <w:rsid w:val="00E55DE5"/>
    <w:rsid w:val="00E570A2"/>
    <w:rsid w:val="00E60E5E"/>
    <w:rsid w:val="00E61BB4"/>
    <w:rsid w:val="00E61DAE"/>
    <w:rsid w:val="00E62C54"/>
    <w:rsid w:val="00E631A9"/>
    <w:rsid w:val="00E63773"/>
    <w:rsid w:val="00E63A3E"/>
    <w:rsid w:val="00E64116"/>
    <w:rsid w:val="00E64B76"/>
    <w:rsid w:val="00E64F16"/>
    <w:rsid w:val="00E65080"/>
    <w:rsid w:val="00E65BDE"/>
    <w:rsid w:val="00E65D76"/>
    <w:rsid w:val="00E6694A"/>
    <w:rsid w:val="00E66E53"/>
    <w:rsid w:val="00E67085"/>
    <w:rsid w:val="00E67234"/>
    <w:rsid w:val="00E67C8E"/>
    <w:rsid w:val="00E7024F"/>
    <w:rsid w:val="00E70905"/>
    <w:rsid w:val="00E71811"/>
    <w:rsid w:val="00E7186B"/>
    <w:rsid w:val="00E71ED1"/>
    <w:rsid w:val="00E723E2"/>
    <w:rsid w:val="00E72A1E"/>
    <w:rsid w:val="00E72B66"/>
    <w:rsid w:val="00E72B84"/>
    <w:rsid w:val="00E72E67"/>
    <w:rsid w:val="00E7302B"/>
    <w:rsid w:val="00E73C47"/>
    <w:rsid w:val="00E7447D"/>
    <w:rsid w:val="00E74744"/>
    <w:rsid w:val="00E74D65"/>
    <w:rsid w:val="00E75040"/>
    <w:rsid w:val="00E75397"/>
    <w:rsid w:val="00E7694F"/>
    <w:rsid w:val="00E76DDB"/>
    <w:rsid w:val="00E77090"/>
    <w:rsid w:val="00E77319"/>
    <w:rsid w:val="00E77844"/>
    <w:rsid w:val="00E77ABF"/>
    <w:rsid w:val="00E80128"/>
    <w:rsid w:val="00E81001"/>
    <w:rsid w:val="00E81277"/>
    <w:rsid w:val="00E8250B"/>
    <w:rsid w:val="00E82589"/>
    <w:rsid w:val="00E82642"/>
    <w:rsid w:val="00E82A8D"/>
    <w:rsid w:val="00E82BD6"/>
    <w:rsid w:val="00E82D3F"/>
    <w:rsid w:val="00E82DFF"/>
    <w:rsid w:val="00E83042"/>
    <w:rsid w:val="00E830A0"/>
    <w:rsid w:val="00E8323C"/>
    <w:rsid w:val="00E834C2"/>
    <w:rsid w:val="00E83988"/>
    <w:rsid w:val="00E839AC"/>
    <w:rsid w:val="00E83F7D"/>
    <w:rsid w:val="00E84387"/>
    <w:rsid w:val="00E84804"/>
    <w:rsid w:val="00E84AC3"/>
    <w:rsid w:val="00E850AD"/>
    <w:rsid w:val="00E85602"/>
    <w:rsid w:val="00E85644"/>
    <w:rsid w:val="00E85BCB"/>
    <w:rsid w:val="00E87010"/>
    <w:rsid w:val="00E87352"/>
    <w:rsid w:val="00E875A8"/>
    <w:rsid w:val="00E878F1"/>
    <w:rsid w:val="00E87CEC"/>
    <w:rsid w:val="00E87E39"/>
    <w:rsid w:val="00E9065B"/>
    <w:rsid w:val="00E90E16"/>
    <w:rsid w:val="00E91046"/>
    <w:rsid w:val="00E918E4"/>
    <w:rsid w:val="00E91AC4"/>
    <w:rsid w:val="00E91D72"/>
    <w:rsid w:val="00E92161"/>
    <w:rsid w:val="00E922C9"/>
    <w:rsid w:val="00E92767"/>
    <w:rsid w:val="00E932F5"/>
    <w:rsid w:val="00E93D4D"/>
    <w:rsid w:val="00E948A9"/>
    <w:rsid w:val="00E94FD4"/>
    <w:rsid w:val="00E9545A"/>
    <w:rsid w:val="00E9556F"/>
    <w:rsid w:val="00E95679"/>
    <w:rsid w:val="00E959A2"/>
    <w:rsid w:val="00E95C8A"/>
    <w:rsid w:val="00E962B1"/>
    <w:rsid w:val="00E96937"/>
    <w:rsid w:val="00E9696B"/>
    <w:rsid w:val="00E96BD7"/>
    <w:rsid w:val="00E97D78"/>
    <w:rsid w:val="00E97F13"/>
    <w:rsid w:val="00EA1007"/>
    <w:rsid w:val="00EA107E"/>
    <w:rsid w:val="00EA1202"/>
    <w:rsid w:val="00EA2042"/>
    <w:rsid w:val="00EA32D8"/>
    <w:rsid w:val="00EA3F7F"/>
    <w:rsid w:val="00EA424D"/>
    <w:rsid w:val="00EA4B22"/>
    <w:rsid w:val="00EA4BB1"/>
    <w:rsid w:val="00EA4D79"/>
    <w:rsid w:val="00EA5121"/>
    <w:rsid w:val="00EA54A4"/>
    <w:rsid w:val="00EA56C7"/>
    <w:rsid w:val="00EA56D5"/>
    <w:rsid w:val="00EA5B69"/>
    <w:rsid w:val="00EA5BC9"/>
    <w:rsid w:val="00EA6759"/>
    <w:rsid w:val="00EA6E4A"/>
    <w:rsid w:val="00EA7C6A"/>
    <w:rsid w:val="00EB0067"/>
    <w:rsid w:val="00EB01F9"/>
    <w:rsid w:val="00EB069A"/>
    <w:rsid w:val="00EB0949"/>
    <w:rsid w:val="00EB0EEE"/>
    <w:rsid w:val="00EB1394"/>
    <w:rsid w:val="00EB1B94"/>
    <w:rsid w:val="00EB26C0"/>
    <w:rsid w:val="00EB2889"/>
    <w:rsid w:val="00EB2CFB"/>
    <w:rsid w:val="00EB2D4F"/>
    <w:rsid w:val="00EB3332"/>
    <w:rsid w:val="00EB3443"/>
    <w:rsid w:val="00EB35D8"/>
    <w:rsid w:val="00EB39B0"/>
    <w:rsid w:val="00EB3B05"/>
    <w:rsid w:val="00EB3CEB"/>
    <w:rsid w:val="00EB51F7"/>
    <w:rsid w:val="00EB5264"/>
    <w:rsid w:val="00EB5578"/>
    <w:rsid w:val="00EB5703"/>
    <w:rsid w:val="00EB57DE"/>
    <w:rsid w:val="00EB5EF9"/>
    <w:rsid w:val="00EB5F43"/>
    <w:rsid w:val="00EB61EF"/>
    <w:rsid w:val="00EB656E"/>
    <w:rsid w:val="00EB6785"/>
    <w:rsid w:val="00EB6B24"/>
    <w:rsid w:val="00EB75B8"/>
    <w:rsid w:val="00EC00A7"/>
    <w:rsid w:val="00EC04FE"/>
    <w:rsid w:val="00EC0AFB"/>
    <w:rsid w:val="00EC0FFD"/>
    <w:rsid w:val="00EC1173"/>
    <w:rsid w:val="00EC16C6"/>
    <w:rsid w:val="00EC185E"/>
    <w:rsid w:val="00EC1ACC"/>
    <w:rsid w:val="00EC2457"/>
    <w:rsid w:val="00EC3010"/>
    <w:rsid w:val="00EC3610"/>
    <w:rsid w:val="00EC3D69"/>
    <w:rsid w:val="00EC40D3"/>
    <w:rsid w:val="00EC42E1"/>
    <w:rsid w:val="00EC4D87"/>
    <w:rsid w:val="00EC5673"/>
    <w:rsid w:val="00EC5781"/>
    <w:rsid w:val="00EC68BA"/>
    <w:rsid w:val="00EC6FDF"/>
    <w:rsid w:val="00EC780E"/>
    <w:rsid w:val="00ED0ECF"/>
    <w:rsid w:val="00ED17A6"/>
    <w:rsid w:val="00ED1893"/>
    <w:rsid w:val="00ED1DE0"/>
    <w:rsid w:val="00ED1F7A"/>
    <w:rsid w:val="00ED242A"/>
    <w:rsid w:val="00ED28D7"/>
    <w:rsid w:val="00ED297A"/>
    <w:rsid w:val="00ED2AB1"/>
    <w:rsid w:val="00ED3063"/>
    <w:rsid w:val="00ED30B7"/>
    <w:rsid w:val="00ED3118"/>
    <w:rsid w:val="00ED3B44"/>
    <w:rsid w:val="00ED3F06"/>
    <w:rsid w:val="00ED47C5"/>
    <w:rsid w:val="00ED4E5C"/>
    <w:rsid w:val="00ED4F74"/>
    <w:rsid w:val="00ED5703"/>
    <w:rsid w:val="00ED58ED"/>
    <w:rsid w:val="00ED5B1B"/>
    <w:rsid w:val="00ED5B6F"/>
    <w:rsid w:val="00ED5EA0"/>
    <w:rsid w:val="00ED6B4C"/>
    <w:rsid w:val="00ED6C1C"/>
    <w:rsid w:val="00ED6C43"/>
    <w:rsid w:val="00ED6D50"/>
    <w:rsid w:val="00ED6E8E"/>
    <w:rsid w:val="00ED769A"/>
    <w:rsid w:val="00ED7B5D"/>
    <w:rsid w:val="00EE00AF"/>
    <w:rsid w:val="00EE13BE"/>
    <w:rsid w:val="00EE1434"/>
    <w:rsid w:val="00EE146C"/>
    <w:rsid w:val="00EE17DC"/>
    <w:rsid w:val="00EE17E5"/>
    <w:rsid w:val="00EE1B17"/>
    <w:rsid w:val="00EE1D78"/>
    <w:rsid w:val="00EE2CF6"/>
    <w:rsid w:val="00EE2DCC"/>
    <w:rsid w:val="00EE31F3"/>
    <w:rsid w:val="00EE3269"/>
    <w:rsid w:val="00EE3AE7"/>
    <w:rsid w:val="00EE4833"/>
    <w:rsid w:val="00EE5733"/>
    <w:rsid w:val="00EE682D"/>
    <w:rsid w:val="00EE733B"/>
    <w:rsid w:val="00EF0DF5"/>
    <w:rsid w:val="00EF0F77"/>
    <w:rsid w:val="00EF1997"/>
    <w:rsid w:val="00EF1AED"/>
    <w:rsid w:val="00EF21DB"/>
    <w:rsid w:val="00EF3776"/>
    <w:rsid w:val="00EF3A9A"/>
    <w:rsid w:val="00EF40DD"/>
    <w:rsid w:val="00EF4503"/>
    <w:rsid w:val="00EF46DD"/>
    <w:rsid w:val="00EF4E08"/>
    <w:rsid w:val="00EF5390"/>
    <w:rsid w:val="00EF5529"/>
    <w:rsid w:val="00EF55CC"/>
    <w:rsid w:val="00EF5781"/>
    <w:rsid w:val="00EF5785"/>
    <w:rsid w:val="00EF71C7"/>
    <w:rsid w:val="00EF723F"/>
    <w:rsid w:val="00F0017E"/>
    <w:rsid w:val="00F00A3B"/>
    <w:rsid w:val="00F011BE"/>
    <w:rsid w:val="00F01D00"/>
    <w:rsid w:val="00F0205D"/>
    <w:rsid w:val="00F022F6"/>
    <w:rsid w:val="00F0235D"/>
    <w:rsid w:val="00F02614"/>
    <w:rsid w:val="00F02873"/>
    <w:rsid w:val="00F02EAA"/>
    <w:rsid w:val="00F033A1"/>
    <w:rsid w:val="00F038F7"/>
    <w:rsid w:val="00F03D17"/>
    <w:rsid w:val="00F03F4C"/>
    <w:rsid w:val="00F04449"/>
    <w:rsid w:val="00F04729"/>
    <w:rsid w:val="00F0475F"/>
    <w:rsid w:val="00F04CAE"/>
    <w:rsid w:val="00F05749"/>
    <w:rsid w:val="00F06C91"/>
    <w:rsid w:val="00F06CD6"/>
    <w:rsid w:val="00F07286"/>
    <w:rsid w:val="00F07BC7"/>
    <w:rsid w:val="00F104B9"/>
    <w:rsid w:val="00F10C84"/>
    <w:rsid w:val="00F10E3B"/>
    <w:rsid w:val="00F10FE4"/>
    <w:rsid w:val="00F1158D"/>
    <w:rsid w:val="00F11928"/>
    <w:rsid w:val="00F12182"/>
    <w:rsid w:val="00F125DC"/>
    <w:rsid w:val="00F12AF7"/>
    <w:rsid w:val="00F12CC9"/>
    <w:rsid w:val="00F130F0"/>
    <w:rsid w:val="00F1395D"/>
    <w:rsid w:val="00F13C53"/>
    <w:rsid w:val="00F1442F"/>
    <w:rsid w:val="00F152F4"/>
    <w:rsid w:val="00F15624"/>
    <w:rsid w:val="00F16260"/>
    <w:rsid w:val="00F16DF3"/>
    <w:rsid w:val="00F179D1"/>
    <w:rsid w:val="00F20026"/>
    <w:rsid w:val="00F20314"/>
    <w:rsid w:val="00F208BE"/>
    <w:rsid w:val="00F208F2"/>
    <w:rsid w:val="00F21315"/>
    <w:rsid w:val="00F2133F"/>
    <w:rsid w:val="00F21AE1"/>
    <w:rsid w:val="00F21DB9"/>
    <w:rsid w:val="00F22522"/>
    <w:rsid w:val="00F22DB2"/>
    <w:rsid w:val="00F23884"/>
    <w:rsid w:val="00F23A95"/>
    <w:rsid w:val="00F23E93"/>
    <w:rsid w:val="00F243E7"/>
    <w:rsid w:val="00F24BDF"/>
    <w:rsid w:val="00F24D6F"/>
    <w:rsid w:val="00F250FB"/>
    <w:rsid w:val="00F252CE"/>
    <w:rsid w:val="00F25C06"/>
    <w:rsid w:val="00F26215"/>
    <w:rsid w:val="00F2630C"/>
    <w:rsid w:val="00F27361"/>
    <w:rsid w:val="00F27DBD"/>
    <w:rsid w:val="00F27FF0"/>
    <w:rsid w:val="00F30512"/>
    <w:rsid w:val="00F30D52"/>
    <w:rsid w:val="00F3166A"/>
    <w:rsid w:val="00F32301"/>
    <w:rsid w:val="00F333E9"/>
    <w:rsid w:val="00F33433"/>
    <w:rsid w:val="00F33532"/>
    <w:rsid w:val="00F34A26"/>
    <w:rsid w:val="00F34FC9"/>
    <w:rsid w:val="00F34FE8"/>
    <w:rsid w:val="00F35A62"/>
    <w:rsid w:val="00F37488"/>
    <w:rsid w:val="00F37882"/>
    <w:rsid w:val="00F37941"/>
    <w:rsid w:val="00F37B11"/>
    <w:rsid w:val="00F4011E"/>
    <w:rsid w:val="00F407A6"/>
    <w:rsid w:val="00F4233E"/>
    <w:rsid w:val="00F42825"/>
    <w:rsid w:val="00F4285B"/>
    <w:rsid w:val="00F4381E"/>
    <w:rsid w:val="00F43DF8"/>
    <w:rsid w:val="00F44543"/>
    <w:rsid w:val="00F451A0"/>
    <w:rsid w:val="00F45400"/>
    <w:rsid w:val="00F45535"/>
    <w:rsid w:val="00F45570"/>
    <w:rsid w:val="00F45AEB"/>
    <w:rsid w:val="00F45FC9"/>
    <w:rsid w:val="00F460E7"/>
    <w:rsid w:val="00F46610"/>
    <w:rsid w:val="00F466E5"/>
    <w:rsid w:val="00F4678B"/>
    <w:rsid w:val="00F50013"/>
    <w:rsid w:val="00F50015"/>
    <w:rsid w:val="00F50287"/>
    <w:rsid w:val="00F5039A"/>
    <w:rsid w:val="00F52483"/>
    <w:rsid w:val="00F52594"/>
    <w:rsid w:val="00F5259A"/>
    <w:rsid w:val="00F52D67"/>
    <w:rsid w:val="00F52FED"/>
    <w:rsid w:val="00F53044"/>
    <w:rsid w:val="00F5304F"/>
    <w:rsid w:val="00F53293"/>
    <w:rsid w:val="00F532BF"/>
    <w:rsid w:val="00F547F5"/>
    <w:rsid w:val="00F549E6"/>
    <w:rsid w:val="00F54CB8"/>
    <w:rsid w:val="00F54FC9"/>
    <w:rsid w:val="00F552E9"/>
    <w:rsid w:val="00F56C3A"/>
    <w:rsid w:val="00F575E1"/>
    <w:rsid w:val="00F5789D"/>
    <w:rsid w:val="00F57AFF"/>
    <w:rsid w:val="00F57CAE"/>
    <w:rsid w:val="00F57FC8"/>
    <w:rsid w:val="00F60589"/>
    <w:rsid w:val="00F6102E"/>
    <w:rsid w:val="00F619E7"/>
    <w:rsid w:val="00F61A97"/>
    <w:rsid w:val="00F621B8"/>
    <w:rsid w:val="00F6243D"/>
    <w:rsid w:val="00F62ABC"/>
    <w:rsid w:val="00F62B29"/>
    <w:rsid w:val="00F62D81"/>
    <w:rsid w:val="00F62EDA"/>
    <w:rsid w:val="00F63515"/>
    <w:rsid w:val="00F6352B"/>
    <w:rsid w:val="00F646ED"/>
    <w:rsid w:val="00F64952"/>
    <w:rsid w:val="00F64A72"/>
    <w:rsid w:val="00F64BAE"/>
    <w:rsid w:val="00F6584B"/>
    <w:rsid w:val="00F6593D"/>
    <w:rsid w:val="00F65C5D"/>
    <w:rsid w:val="00F66E9E"/>
    <w:rsid w:val="00F672D4"/>
    <w:rsid w:val="00F678CC"/>
    <w:rsid w:val="00F67947"/>
    <w:rsid w:val="00F70F0B"/>
    <w:rsid w:val="00F71B39"/>
    <w:rsid w:val="00F71E1F"/>
    <w:rsid w:val="00F72287"/>
    <w:rsid w:val="00F7275D"/>
    <w:rsid w:val="00F72C7A"/>
    <w:rsid w:val="00F73284"/>
    <w:rsid w:val="00F73EA7"/>
    <w:rsid w:val="00F74A4C"/>
    <w:rsid w:val="00F74AC1"/>
    <w:rsid w:val="00F75AA7"/>
    <w:rsid w:val="00F75D29"/>
    <w:rsid w:val="00F76473"/>
    <w:rsid w:val="00F7659C"/>
    <w:rsid w:val="00F768C4"/>
    <w:rsid w:val="00F76A2B"/>
    <w:rsid w:val="00F774FB"/>
    <w:rsid w:val="00F77ACA"/>
    <w:rsid w:val="00F8068C"/>
    <w:rsid w:val="00F80F2D"/>
    <w:rsid w:val="00F816E5"/>
    <w:rsid w:val="00F82482"/>
    <w:rsid w:val="00F8251D"/>
    <w:rsid w:val="00F8261B"/>
    <w:rsid w:val="00F82CFB"/>
    <w:rsid w:val="00F82F27"/>
    <w:rsid w:val="00F8341E"/>
    <w:rsid w:val="00F837C4"/>
    <w:rsid w:val="00F84567"/>
    <w:rsid w:val="00F854AA"/>
    <w:rsid w:val="00F861FE"/>
    <w:rsid w:val="00F8661F"/>
    <w:rsid w:val="00F868A5"/>
    <w:rsid w:val="00F87BBD"/>
    <w:rsid w:val="00F90502"/>
    <w:rsid w:val="00F908D3"/>
    <w:rsid w:val="00F92D26"/>
    <w:rsid w:val="00F93416"/>
    <w:rsid w:val="00F93BD8"/>
    <w:rsid w:val="00F940DB"/>
    <w:rsid w:val="00F94165"/>
    <w:rsid w:val="00F94919"/>
    <w:rsid w:val="00F94BF0"/>
    <w:rsid w:val="00F95211"/>
    <w:rsid w:val="00F95290"/>
    <w:rsid w:val="00F95825"/>
    <w:rsid w:val="00F95956"/>
    <w:rsid w:val="00F96246"/>
    <w:rsid w:val="00F96795"/>
    <w:rsid w:val="00F96AB6"/>
    <w:rsid w:val="00F96F39"/>
    <w:rsid w:val="00F96FC7"/>
    <w:rsid w:val="00F97338"/>
    <w:rsid w:val="00F97393"/>
    <w:rsid w:val="00F97657"/>
    <w:rsid w:val="00F9770A"/>
    <w:rsid w:val="00FA0B2E"/>
    <w:rsid w:val="00FA114A"/>
    <w:rsid w:val="00FA1396"/>
    <w:rsid w:val="00FA14E5"/>
    <w:rsid w:val="00FA1954"/>
    <w:rsid w:val="00FA236F"/>
    <w:rsid w:val="00FA2743"/>
    <w:rsid w:val="00FA28AB"/>
    <w:rsid w:val="00FA2DEB"/>
    <w:rsid w:val="00FA3083"/>
    <w:rsid w:val="00FA481B"/>
    <w:rsid w:val="00FA4976"/>
    <w:rsid w:val="00FA49DC"/>
    <w:rsid w:val="00FA4DA7"/>
    <w:rsid w:val="00FA5269"/>
    <w:rsid w:val="00FA5BBF"/>
    <w:rsid w:val="00FA5C47"/>
    <w:rsid w:val="00FA5E64"/>
    <w:rsid w:val="00FA6216"/>
    <w:rsid w:val="00FA7836"/>
    <w:rsid w:val="00FB1A97"/>
    <w:rsid w:val="00FB1B1D"/>
    <w:rsid w:val="00FB1E7F"/>
    <w:rsid w:val="00FB20A9"/>
    <w:rsid w:val="00FB2FFA"/>
    <w:rsid w:val="00FB36CC"/>
    <w:rsid w:val="00FB379C"/>
    <w:rsid w:val="00FB397B"/>
    <w:rsid w:val="00FB476E"/>
    <w:rsid w:val="00FB4C6F"/>
    <w:rsid w:val="00FB5187"/>
    <w:rsid w:val="00FB52C5"/>
    <w:rsid w:val="00FB549A"/>
    <w:rsid w:val="00FB5D71"/>
    <w:rsid w:val="00FB6495"/>
    <w:rsid w:val="00FB6F93"/>
    <w:rsid w:val="00FB73DA"/>
    <w:rsid w:val="00FC0204"/>
    <w:rsid w:val="00FC02D0"/>
    <w:rsid w:val="00FC0577"/>
    <w:rsid w:val="00FC083F"/>
    <w:rsid w:val="00FC0A54"/>
    <w:rsid w:val="00FC0FB2"/>
    <w:rsid w:val="00FC11F1"/>
    <w:rsid w:val="00FC15F4"/>
    <w:rsid w:val="00FC1759"/>
    <w:rsid w:val="00FC1A2B"/>
    <w:rsid w:val="00FC1B1E"/>
    <w:rsid w:val="00FC200D"/>
    <w:rsid w:val="00FC21B3"/>
    <w:rsid w:val="00FC2646"/>
    <w:rsid w:val="00FC297B"/>
    <w:rsid w:val="00FC2C65"/>
    <w:rsid w:val="00FC3908"/>
    <w:rsid w:val="00FC3B50"/>
    <w:rsid w:val="00FC4AD5"/>
    <w:rsid w:val="00FC5442"/>
    <w:rsid w:val="00FC5921"/>
    <w:rsid w:val="00FC5FD3"/>
    <w:rsid w:val="00FC6002"/>
    <w:rsid w:val="00FC60FA"/>
    <w:rsid w:val="00FC635A"/>
    <w:rsid w:val="00FC64F3"/>
    <w:rsid w:val="00FC7027"/>
    <w:rsid w:val="00FC7251"/>
    <w:rsid w:val="00FC72F4"/>
    <w:rsid w:val="00FD00A0"/>
    <w:rsid w:val="00FD01CF"/>
    <w:rsid w:val="00FD1183"/>
    <w:rsid w:val="00FD158A"/>
    <w:rsid w:val="00FD2284"/>
    <w:rsid w:val="00FD2B67"/>
    <w:rsid w:val="00FD2F64"/>
    <w:rsid w:val="00FD3AFB"/>
    <w:rsid w:val="00FD3B72"/>
    <w:rsid w:val="00FD40E1"/>
    <w:rsid w:val="00FD44AB"/>
    <w:rsid w:val="00FD4CCD"/>
    <w:rsid w:val="00FD5408"/>
    <w:rsid w:val="00FD5522"/>
    <w:rsid w:val="00FD5839"/>
    <w:rsid w:val="00FD58EC"/>
    <w:rsid w:val="00FD5AE2"/>
    <w:rsid w:val="00FD5E5D"/>
    <w:rsid w:val="00FD748E"/>
    <w:rsid w:val="00FD74CF"/>
    <w:rsid w:val="00FE01A1"/>
    <w:rsid w:val="00FE08D7"/>
    <w:rsid w:val="00FE08E7"/>
    <w:rsid w:val="00FE13CE"/>
    <w:rsid w:val="00FE1524"/>
    <w:rsid w:val="00FE2713"/>
    <w:rsid w:val="00FE274C"/>
    <w:rsid w:val="00FE277C"/>
    <w:rsid w:val="00FE27E5"/>
    <w:rsid w:val="00FE2F73"/>
    <w:rsid w:val="00FE31F4"/>
    <w:rsid w:val="00FE3342"/>
    <w:rsid w:val="00FE374D"/>
    <w:rsid w:val="00FE3D8A"/>
    <w:rsid w:val="00FE454F"/>
    <w:rsid w:val="00FE4793"/>
    <w:rsid w:val="00FE558C"/>
    <w:rsid w:val="00FE5657"/>
    <w:rsid w:val="00FE5F8A"/>
    <w:rsid w:val="00FE6058"/>
    <w:rsid w:val="00FE64BC"/>
    <w:rsid w:val="00FE6AE3"/>
    <w:rsid w:val="00FE6E30"/>
    <w:rsid w:val="00FE72BC"/>
    <w:rsid w:val="00FE7C38"/>
    <w:rsid w:val="00FF0B12"/>
    <w:rsid w:val="00FF2077"/>
    <w:rsid w:val="00FF288F"/>
    <w:rsid w:val="00FF2C34"/>
    <w:rsid w:val="00FF2D3D"/>
    <w:rsid w:val="00FF2E6B"/>
    <w:rsid w:val="00FF2FB9"/>
    <w:rsid w:val="00FF30E8"/>
    <w:rsid w:val="00FF3855"/>
    <w:rsid w:val="00FF3F3B"/>
    <w:rsid w:val="00FF4401"/>
    <w:rsid w:val="00FF4497"/>
    <w:rsid w:val="00FF4E22"/>
    <w:rsid w:val="00FF4FC8"/>
    <w:rsid w:val="00FF50D6"/>
    <w:rsid w:val="00FF5518"/>
    <w:rsid w:val="00FF5851"/>
    <w:rsid w:val="00FF5852"/>
    <w:rsid w:val="00FF58FD"/>
    <w:rsid w:val="00FF593C"/>
    <w:rsid w:val="00FF5CC9"/>
    <w:rsid w:val="00FF685C"/>
    <w:rsid w:val="00FF6A1A"/>
    <w:rsid w:val="00FF6A2A"/>
    <w:rsid w:val="00FF6CDC"/>
    <w:rsid w:val="00FF70FC"/>
    <w:rsid w:val="00FF7252"/>
    <w:rsid w:val="00FF76DC"/>
    <w:rsid w:val="00FF7B19"/>
    <w:rsid w:val="2A5EDE0D"/>
    <w:rsid w:val="450EA94B"/>
    <w:rsid w:val="47E24772"/>
    <w:rsid w:val="6599F424"/>
    <w:rsid w:val="6CC698A9"/>
    <w:rsid w:val="74A9FBC4"/>
    <w:rsid w:val="7BBDFFC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F66A8"/>
  <w15:docId w15:val="{A276B1BB-448A-4491-A467-54B76F6B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B70"/>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057E37"/>
    <w:pPr>
      <w:widowControl w:val="0"/>
      <w:spacing w:before="360" w:after="360"/>
      <w:contextualSpacing/>
      <w:outlineLvl w:val="0"/>
    </w:pPr>
    <w:rPr>
      <w:rFonts w:ascii="Calibri" w:eastAsiaTheme="minorHAnsi" w:hAnsi="Calibri" w:cstheme="minorBidi"/>
      <w:b/>
      <w:bCs/>
      <w:spacing w:val="5"/>
      <w:kern w:val="28"/>
      <w:sz w:val="72"/>
      <w:szCs w:val="28"/>
      <w:lang w:eastAsia="en-US"/>
    </w:rPr>
  </w:style>
  <w:style w:type="paragraph" w:styleId="Heading2">
    <w:name w:val="heading 2"/>
    <w:basedOn w:val="Normal"/>
    <w:next w:val="Normal"/>
    <w:link w:val="Heading2Char"/>
    <w:uiPriority w:val="3"/>
    <w:rsid w:val="007E39EF"/>
    <w:pPr>
      <w:pageBreakBefore/>
      <w:numPr>
        <w:numId w:val="8"/>
      </w:numPr>
      <w:spacing w:after="240" w:line="240" w:lineRule="auto"/>
      <w:outlineLvl w:val="1"/>
    </w:pPr>
    <w:rPr>
      <w:rFonts w:ascii="Calibri" w:eastAsiaTheme="minorEastAsia" w:hAnsi="Calibri"/>
      <w:bCs/>
      <w:color w:val="000000" w:themeColor="text1"/>
      <w:sz w:val="56"/>
      <w:szCs w:val="28"/>
      <w:lang w:eastAsia="ja-JP"/>
    </w:rPr>
  </w:style>
  <w:style w:type="paragraph" w:styleId="Heading3">
    <w:name w:val="heading 3"/>
    <w:next w:val="Normal"/>
    <w:link w:val="Heading3Char"/>
    <w:uiPriority w:val="4"/>
    <w:qFormat/>
    <w:rsid w:val="00057E37"/>
    <w:pPr>
      <w:keepNext/>
      <w:keepLines/>
      <w:numPr>
        <w:ilvl w:val="1"/>
        <w:numId w:val="8"/>
      </w:numPr>
      <w:outlineLvl w:val="2"/>
    </w:pPr>
    <w:rPr>
      <w:rFonts w:ascii="Calibri" w:eastAsia="Times New Roman" w:hAnsi="Calibri"/>
      <w:b/>
      <w:bCs/>
      <w:sz w:val="40"/>
      <w:szCs w:val="24"/>
      <w:lang w:eastAsia="en-US"/>
    </w:rPr>
  </w:style>
  <w:style w:type="paragraph" w:styleId="Heading4">
    <w:name w:val="heading 4"/>
    <w:next w:val="Normal"/>
    <w:link w:val="Heading4Char"/>
    <w:uiPriority w:val="5"/>
    <w:qFormat/>
    <w:rsid w:val="00057E37"/>
    <w:pPr>
      <w:keepNext/>
      <w:numPr>
        <w:ilvl w:val="2"/>
        <w:numId w:val="8"/>
      </w:numPr>
      <w:outlineLvl w:val="3"/>
    </w:pPr>
    <w:rPr>
      <w:rFonts w:ascii="Calibri" w:eastAsia="Times New Roman" w:hAnsi="Calibri"/>
      <w:b/>
      <w:bCs/>
      <w:sz w:val="32"/>
      <w:szCs w:val="24"/>
      <w:lang w:eastAsia="en-US"/>
    </w:rPr>
  </w:style>
  <w:style w:type="paragraph" w:styleId="Heading5">
    <w:name w:val="heading 5"/>
    <w:basedOn w:val="Normal"/>
    <w:next w:val="Normal"/>
    <w:link w:val="Heading5Char"/>
    <w:uiPriority w:val="6"/>
    <w:rsid w:val="00057E37"/>
    <w:pPr>
      <w:keepNext/>
      <w:keepLines/>
      <w:spacing w:after="0" w:line="240" w:lineRule="auto"/>
      <w:outlineLvl w:val="4"/>
    </w:pPr>
    <w:rPr>
      <w:rFonts w:ascii="Calibri" w:hAnsi="Calibri"/>
      <w:b/>
      <w:sz w:val="28"/>
    </w:rPr>
  </w:style>
  <w:style w:type="paragraph" w:styleId="Heading6">
    <w:name w:val="heading 6"/>
    <w:basedOn w:val="Normal"/>
    <w:next w:val="Normal"/>
    <w:link w:val="Heading6Char"/>
    <w:uiPriority w:val="9"/>
    <w:semiHidden/>
    <w:qFormat/>
    <w:rsid w:val="00057E37"/>
    <w:pPr>
      <w:keepNext/>
      <w:keepLines/>
      <w:spacing w:before="40" w:after="0"/>
      <w:outlineLvl w:val="5"/>
    </w:pPr>
    <w:rPr>
      <w:rFonts w:ascii="Calibri" w:eastAsiaTheme="majorEastAsia" w:hAnsi="Calibri" w:cstheme="majorBidi"/>
      <w:b/>
      <w:i/>
      <w:color w:val="000000" w:themeColor="text1"/>
      <w:sz w:val="24"/>
    </w:rPr>
  </w:style>
  <w:style w:type="paragraph" w:styleId="Heading7">
    <w:name w:val="heading 7"/>
    <w:basedOn w:val="Normal"/>
    <w:next w:val="Normal"/>
    <w:link w:val="Heading7Char"/>
    <w:uiPriority w:val="9"/>
    <w:semiHidden/>
    <w:qFormat/>
    <w:rsid w:val="00057E37"/>
    <w:pPr>
      <w:keepNext/>
      <w:keepLines/>
      <w:spacing w:before="40" w:after="0"/>
      <w:outlineLvl w:val="6"/>
    </w:pPr>
    <w:rPr>
      <w:rFonts w:ascii="Calibri" w:eastAsiaTheme="majorEastAsia" w:hAnsi="Calibri" w:cstheme="majorBidi"/>
      <w:b/>
      <w:iCs/>
    </w:rPr>
  </w:style>
  <w:style w:type="paragraph" w:styleId="Heading8">
    <w:name w:val="heading 8"/>
    <w:basedOn w:val="Normal"/>
    <w:next w:val="Normal"/>
    <w:link w:val="Heading8Char"/>
    <w:uiPriority w:val="9"/>
    <w:semiHidden/>
    <w:qFormat/>
    <w:rsid w:val="00057E37"/>
    <w:pPr>
      <w:keepNext/>
      <w:keepLines/>
      <w:spacing w:before="40" w:after="0"/>
      <w:outlineLvl w:val="7"/>
    </w:pPr>
    <w:rPr>
      <w:rFonts w:ascii="Calibri" w:eastAsiaTheme="majorEastAsia" w:hAnsi="Calibri" w:cstheme="majorBidi"/>
      <w:b/>
      <w: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441BFD"/>
    <w:rPr>
      <w:sz w:val="20"/>
      <w:szCs w:val="20"/>
    </w:rPr>
  </w:style>
  <w:style w:type="character" w:customStyle="1" w:styleId="CommentTextChar">
    <w:name w:val="Comment Text Char"/>
    <w:basedOn w:val="DefaultParagraphFont"/>
    <w:link w:val="CommentText"/>
    <w:rsid w:val="00441BFD"/>
    <w:rPr>
      <w:rFonts w:asciiTheme="minorHAnsi" w:eastAsiaTheme="minorHAnsi" w:hAnsiTheme="minorHAnsi" w:cstheme="minorBidi"/>
      <w:lang w:eastAsia="en-US"/>
    </w:rPr>
  </w:style>
  <w:style w:type="paragraph" w:styleId="Header">
    <w:name w:val="header"/>
    <w:basedOn w:val="Normal"/>
    <w:link w:val="HeaderChar"/>
    <w:uiPriority w:val="26"/>
    <w:rsid w:val="003F22A3"/>
    <w:pPr>
      <w:tabs>
        <w:tab w:val="center" w:pos="4820"/>
      </w:tabs>
      <w:spacing w:before="120" w:line="240" w:lineRule="auto"/>
      <w:jc w:val="center"/>
    </w:pPr>
    <w:rPr>
      <w:rFonts w:ascii="Calibri" w:hAnsi="Calibri"/>
      <w:sz w:val="20"/>
    </w:rPr>
  </w:style>
  <w:style w:type="character" w:customStyle="1" w:styleId="HeaderChar">
    <w:name w:val="Header Char"/>
    <w:basedOn w:val="DefaultParagraphFont"/>
    <w:link w:val="Header"/>
    <w:uiPriority w:val="26"/>
    <w:rsid w:val="003F22A3"/>
    <w:rPr>
      <w:rFonts w:ascii="Calibri" w:eastAsiaTheme="minorHAnsi" w:hAnsi="Calibri" w:cstheme="minorBidi"/>
      <w:szCs w:val="22"/>
      <w:lang w:eastAsia="en-US"/>
    </w:rPr>
  </w:style>
  <w:style w:type="paragraph" w:styleId="Footer">
    <w:name w:val="footer"/>
    <w:basedOn w:val="Normal"/>
    <w:link w:val="FooterChar"/>
    <w:uiPriority w:val="27"/>
    <w:rsid w:val="003F22A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27"/>
    <w:rsid w:val="003F22A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table" w:styleId="TableGrid">
    <w:name w:val="Table Grid"/>
    <w:basedOn w:val="TableNormal"/>
    <w:uiPriority w:val="59"/>
    <w:rsid w:val="00441BFD"/>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057E37"/>
    <w:rPr>
      <w:rFonts w:ascii="Calibri" w:eastAsiaTheme="minorHAnsi" w:hAnsi="Calibri" w:cstheme="minorBidi"/>
      <w:b/>
      <w:bCs/>
      <w:spacing w:val="5"/>
      <w:kern w:val="28"/>
      <w:sz w:val="72"/>
      <w:szCs w:val="28"/>
      <w:lang w:eastAsia="en-US"/>
    </w:rPr>
  </w:style>
  <w:style w:type="character" w:customStyle="1" w:styleId="Heading2Char">
    <w:name w:val="Heading 2 Char"/>
    <w:basedOn w:val="DefaultParagraphFont"/>
    <w:link w:val="Heading2"/>
    <w:uiPriority w:val="3"/>
    <w:rsid w:val="007E39EF"/>
    <w:rPr>
      <w:rFonts w:ascii="Calibri" w:eastAsiaTheme="minorEastAsia" w:hAnsi="Calibri" w:cstheme="minorBidi"/>
      <w:bCs/>
      <w:color w:val="000000" w:themeColor="text1"/>
      <w:sz w:val="56"/>
      <w:szCs w:val="28"/>
      <w:lang w:eastAsia="ja-JP"/>
    </w:rPr>
  </w:style>
  <w:style w:type="character" w:customStyle="1" w:styleId="Heading3Char">
    <w:name w:val="Heading 3 Char"/>
    <w:basedOn w:val="DefaultParagraphFont"/>
    <w:link w:val="Heading3"/>
    <w:uiPriority w:val="4"/>
    <w:rsid w:val="00057E37"/>
    <w:rPr>
      <w:rFonts w:ascii="Calibri" w:eastAsia="Times New Roman" w:hAnsi="Calibri"/>
      <w:b/>
      <w:bCs/>
      <w:sz w:val="40"/>
      <w:szCs w:val="24"/>
      <w:lang w:eastAsia="en-US"/>
    </w:rPr>
  </w:style>
  <w:style w:type="character" w:customStyle="1" w:styleId="Heading4Char">
    <w:name w:val="Heading 4 Char"/>
    <w:basedOn w:val="DefaultParagraphFont"/>
    <w:link w:val="Heading4"/>
    <w:uiPriority w:val="5"/>
    <w:rsid w:val="00057E37"/>
    <w:rPr>
      <w:rFonts w:ascii="Calibri" w:eastAsia="Times New Roman" w:hAnsi="Calibri"/>
      <w:b/>
      <w:bCs/>
      <w:sz w:val="32"/>
      <w:szCs w:val="24"/>
      <w:lang w:eastAsia="en-US"/>
    </w:rPr>
  </w:style>
  <w:style w:type="character" w:customStyle="1" w:styleId="Heading5Char">
    <w:name w:val="Heading 5 Char"/>
    <w:basedOn w:val="DefaultParagraphFont"/>
    <w:link w:val="Heading5"/>
    <w:uiPriority w:val="6"/>
    <w:rsid w:val="00057E37"/>
    <w:rPr>
      <w:rFonts w:ascii="Calibri" w:eastAsiaTheme="minorHAnsi" w:hAnsi="Calibri" w:cstheme="minorBidi"/>
      <w:b/>
      <w:sz w:val="28"/>
      <w:szCs w:val="22"/>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441BFD"/>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356ABE"/>
    <w:pPr>
      <w:spacing w:before="120"/>
    </w:pPr>
    <w:rPr>
      <w:b w:val="0"/>
      <w:sz w:val="56"/>
      <w:szCs w:val="56"/>
    </w:rPr>
  </w:style>
  <w:style w:type="character" w:customStyle="1" w:styleId="SubtitleChar">
    <w:name w:val="Subtitle Char"/>
    <w:basedOn w:val="DefaultParagraphFont"/>
    <w:link w:val="Subtitle"/>
    <w:uiPriority w:val="23"/>
    <w:rsid w:val="00356ABE"/>
    <w:rPr>
      <w:rFonts w:ascii="Calibri" w:eastAsiaTheme="minorHAnsi" w:hAnsi="Calibri" w:cstheme="minorBidi"/>
      <w:bCs/>
      <w:spacing w:val="5"/>
      <w:kern w:val="28"/>
      <w:sz w:val="56"/>
      <w:szCs w:val="56"/>
      <w:lang w:eastAsia="en-US"/>
    </w:rPr>
  </w:style>
  <w:style w:type="paragraph" w:styleId="TOCHeading">
    <w:name w:val="TOC Heading"/>
    <w:next w:val="Normal"/>
    <w:uiPriority w:val="39"/>
    <w:qFormat/>
    <w:rsid w:val="00356AB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F678CC"/>
    <w:pPr>
      <w:tabs>
        <w:tab w:val="left" w:pos="426"/>
        <w:tab w:val="right" w:leader="dot" w:pos="9072"/>
      </w:tabs>
      <w:spacing w:before="100" w:after="100" w:line="240" w:lineRule="auto"/>
    </w:pPr>
    <w:rPr>
      <w:b/>
      <w:noProof/>
    </w:rPr>
  </w:style>
  <w:style w:type="paragraph" w:styleId="TOC2">
    <w:name w:val="toc 2"/>
    <w:basedOn w:val="Normal"/>
    <w:next w:val="Normal"/>
    <w:uiPriority w:val="39"/>
    <w:unhideWhenUsed/>
    <w:qFormat/>
    <w:rsid w:val="00F678CC"/>
    <w:pPr>
      <w:tabs>
        <w:tab w:val="right" w:leader="dot" w:pos="9060"/>
      </w:tabs>
      <w:spacing w:before="100" w:after="100" w:line="240" w:lineRule="auto"/>
      <w:ind w:firstLine="425"/>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99"/>
    <w:qFormat/>
    <w:rsid w:val="0020216A"/>
    <w:pPr>
      <w:spacing w:before="120" w:after="120"/>
    </w:pPr>
  </w:style>
  <w:style w:type="paragraph" w:styleId="TableofFigures">
    <w:name w:val="table of figures"/>
    <w:basedOn w:val="Normal"/>
    <w:next w:val="Normal"/>
    <w:uiPriority w:val="99"/>
    <w:rsid w:val="00441BFD"/>
    <w:pPr>
      <w:spacing w:before="120" w:after="120" w:line="240" w:lineRule="auto"/>
    </w:pPr>
  </w:style>
  <w:style w:type="paragraph" w:styleId="ListBullet2">
    <w:name w:val="List Bullet 2"/>
    <w:basedOn w:val="Normal"/>
    <w:uiPriority w:val="8"/>
    <w:qFormat/>
    <w:rsid w:val="0020216A"/>
    <w:pPr>
      <w:spacing w:before="120" w:after="120"/>
      <w:contextualSpacing/>
    </w:pPr>
  </w:style>
  <w:style w:type="paragraph" w:styleId="ListNumber">
    <w:name w:val="List Number"/>
    <w:basedOn w:val="Normal"/>
    <w:uiPriority w:val="9"/>
    <w:qFormat/>
    <w:rsid w:val="0020216A"/>
    <w:pPr>
      <w:numPr>
        <w:numId w:val="10"/>
      </w:numPr>
      <w:tabs>
        <w:tab w:val="left" w:pos="142"/>
      </w:tabs>
      <w:spacing w:before="120" w:after="120"/>
      <w:ind w:left="454" w:hanging="454"/>
    </w:pPr>
  </w:style>
  <w:style w:type="paragraph" w:styleId="ListNumber2">
    <w:name w:val="List Number 2"/>
    <w:uiPriority w:val="10"/>
    <w:qFormat/>
    <w:rsid w:val="00A1558A"/>
    <w:pPr>
      <w:numPr>
        <w:ilvl w:val="1"/>
        <w:numId w:val="10"/>
      </w:numPr>
      <w:spacing w:before="120" w:after="120" w:line="264" w:lineRule="auto"/>
      <w:ind w:left="908" w:hanging="454"/>
    </w:pPr>
    <w:rPr>
      <w:rFonts w:asciiTheme="minorHAnsi" w:eastAsia="Times New Roman" w:hAnsiTheme="minorHAnsi"/>
      <w:sz w:val="22"/>
      <w:szCs w:val="24"/>
      <w:lang w:eastAsia="en-US"/>
    </w:rPr>
  </w:style>
  <w:style w:type="paragraph" w:styleId="ListNumber3">
    <w:name w:val="List Number 3"/>
    <w:uiPriority w:val="11"/>
    <w:qFormat/>
    <w:rsid w:val="0020216A"/>
    <w:pPr>
      <w:numPr>
        <w:ilvl w:val="2"/>
        <w:numId w:val="10"/>
      </w:numPr>
      <w:spacing w:before="120" w:after="120" w:line="264" w:lineRule="auto"/>
      <w:ind w:left="1361"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val="en-US"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441BFD"/>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uiPriority w:val="24"/>
    <w:qFormat/>
    <w:rsid w:val="00441BFD"/>
    <w:pPr>
      <w:spacing w:after="60"/>
    </w:pPr>
    <w:rPr>
      <w:b/>
      <w:sz w:val="28"/>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441BFD"/>
    <w:rPr>
      <w:b/>
      <w:bCs/>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semiHidden/>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7"/>
      </w:numPr>
      <w:ind w:left="357" w:hanging="357"/>
    </w:pPr>
  </w:style>
  <w:style w:type="paragraph" w:customStyle="1" w:styleId="TableBullet">
    <w:name w:val="Table Bullet"/>
    <w:basedOn w:val="TableText"/>
    <w:uiPriority w:val="15"/>
    <w:qFormat/>
    <w:rsid w:val="00997CFF"/>
    <w:pPr>
      <w:numPr>
        <w:numId w:val="6"/>
      </w:numPr>
    </w:pPr>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semiHidden/>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41BFD"/>
    <w:rPr>
      <w:vertAlign w:val="superscript"/>
    </w:rPr>
  </w:style>
  <w:style w:type="paragraph" w:styleId="EndnoteText">
    <w:name w:val="endnote text"/>
    <w:basedOn w:val="Normal"/>
    <w:link w:val="EndnoteTextChar"/>
    <w:uiPriority w:val="99"/>
    <w:unhideWhenUsed/>
    <w:rsid w:val="00441BFD"/>
    <w:pPr>
      <w:spacing w:after="60" w:line="264" w:lineRule="auto"/>
    </w:pPr>
    <w:rPr>
      <w:sz w:val="20"/>
      <w:szCs w:val="20"/>
    </w:rPr>
  </w:style>
  <w:style w:type="character" w:customStyle="1" w:styleId="EndnoteTextChar">
    <w:name w:val="Endnote Text Char"/>
    <w:basedOn w:val="DefaultParagraphFont"/>
    <w:link w:val="EndnoteText"/>
    <w:uiPriority w:val="99"/>
    <w:rsid w:val="00441BFD"/>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1"/>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4B1DA1"/>
    <w:pPr>
      <w:spacing w:before="240"/>
    </w:pPr>
    <w:rPr>
      <w:rFonts w:ascii="Calibri Light" w:eastAsiaTheme="minorHAnsi" w:hAnsi="Calibri Light" w:cstheme="minorBidi"/>
      <w:b/>
      <w:sz w:val="36"/>
      <w:szCs w:val="22"/>
      <w:lang w:eastAsia="en-US"/>
    </w:rPr>
  </w:style>
  <w:style w:type="numbering" w:customStyle="1" w:styleId="Numberlist">
    <w:name w:val="Number list"/>
    <w:uiPriority w:val="99"/>
    <w:rsid w:val="00441BFD"/>
    <w:pPr>
      <w:numPr>
        <w:numId w:val="2"/>
      </w:numPr>
    </w:pPr>
  </w:style>
  <w:style w:type="numbering" w:customStyle="1" w:styleId="Headinglist">
    <w:name w:val="Heading list"/>
    <w:uiPriority w:val="99"/>
    <w:rsid w:val="00441BFD"/>
    <w:pPr>
      <w:numPr>
        <w:numId w:val="3"/>
      </w:numPr>
    </w:pPr>
  </w:style>
  <w:style w:type="paragraph" w:customStyle="1" w:styleId="Normalsmall">
    <w:name w:val="Normal small"/>
    <w:qFormat/>
    <w:rsid w:val="00441BFD"/>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441BFD"/>
    <w:p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ListNumber">
    <w:name w:val="Table List Number"/>
    <w:uiPriority w:val="99"/>
    <w:qFormat/>
    <w:rsid w:val="00C1105E"/>
    <w:pPr>
      <w:numPr>
        <w:numId w:val="18"/>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441BFD"/>
    <w:rPr>
      <w:i/>
      <w:iCs/>
      <w:color w:val="F7A71B" w:themeColor="accent1"/>
    </w:rPr>
  </w:style>
  <w:style w:type="paragraph" w:customStyle="1" w:styleId="TableBullet2">
    <w:name w:val="Table Bullet 2"/>
    <w:basedOn w:val="TableBullet"/>
    <w:qFormat/>
    <w:rsid w:val="00997CFF"/>
    <w:pPr>
      <w:numPr>
        <w:numId w:val="11"/>
      </w:numPr>
      <w:tabs>
        <w:tab w:val="num" w:pos="361"/>
      </w:tabs>
      <w:ind w:left="568" w:hanging="284"/>
    </w:pPr>
  </w:style>
  <w:style w:type="numbering" w:customStyle="1" w:styleId="TableBulletlist">
    <w:name w:val="Table Bullet list"/>
    <w:uiPriority w:val="99"/>
    <w:rsid w:val="00441BFD"/>
    <w:pPr>
      <w:numPr>
        <w:numId w:val="5"/>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paragraph" w:styleId="ListParagraph">
    <w:name w:val="List Paragraph"/>
    <w:basedOn w:val="Normal"/>
    <w:uiPriority w:val="34"/>
    <w:qFormat/>
    <w:rsid w:val="00441BFD"/>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semiHidden/>
    <w:rsid w:val="00057E37"/>
    <w:rPr>
      <w:rFonts w:ascii="Calibri" w:eastAsiaTheme="majorEastAsia" w:hAnsi="Calibri" w:cstheme="majorBidi"/>
      <w:b/>
      <w:i/>
      <w:color w:val="000000" w:themeColor="text1"/>
      <w:sz w:val="24"/>
      <w:szCs w:val="22"/>
      <w:lang w:eastAsia="en-US"/>
    </w:rPr>
  </w:style>
  <w:style w:type="paragraph" w:customStyle="1" w:styleId="TableListNumber2">
    <w:name w:val="Table List Number 2"/>
    <w:basedOn w:val="TableText"/>
    <w:qFormat/>
    <w:rsid w:val="00C1105E"/>
    <w:pPr>
      <w:numPr>
        <w:ilvl w:val="1"/>
        <w:numId w:val="18"/>
      </w:numPr>
    </w:pPr>
  </w:style>
  <w:style w:type="paragraph" w:customStyle="1" w:styleId="TableListNumber3">
    <w:name w:val="Table List Number 3"/>
    <w:basedOn w:val="TableText"/>
    <w:qFormat/>
    <w:rsid w:val="00C1105E"/>
    <w:pPr>
      <w:numPr>
        <w:ilvl w:val="2"/>
        <w:numId w:val="18"/>
      </w:numPr>
    </w:pPr>
  </w:style>
  <w:style w:type="numbering" w:customStyle="1" w:styleId="Tablenumberedlists">
    <w:name w:val="Table numbered lists"/>
    <w:uiPriority w:val="99"/>
    <w:rsid w:val="00C1105E"/>
    <w:pPr>
      <w:numPr>
        <w:numId w:val="15"/>
      </w:numPr>
    </w:pPr>
  </w:style>
  <w:style w:type="character" w:customStyle="1" w:styleId="Heading7Char">
    <w:name w:val="Heading 7 Char"/>
    <w:basedOn w:val="DefaultParagraphFont"/>
    <w:link w:val="Heading7"/>
    <w:uiPriority w:val="9"/>
    <w:semiHidden/>
    <w:rsid w:val="00057E37"/>
    <w:rPr>
      <w:rFonts w:ascii="Calibri" w:eastAsiaTheme="majorEastAsia" w:hAnsi="Calibri" w:cstheme="majorBidi"/>
      <w:b/>
      <w:iCs/>
      <w:sz w:val="22"/>
      <w:szCs w:val="22"/>
      <w:lang w:eastAsia="en-US"/>
    </w:rPr>
  </w:style>
  <w:style w:type="character" w:customStyle="1" w:styleId="Heading8Char">
    <w:name w:val="Heading 8 Char"/>
    <w:basedOn w:val="DefaultParagraphFont"/>
    <w:link w:val="Heading8"/>
    <w:uiPriority w:val="9"/>
    <w:semiHidden/>
    <w:rsid w:val="00057E37"/>
    <w:rPr>
      <w:rFonts w:ascii="Calibri" w:eastAsiaTheme="majorEastAsia" w:hAnsi="Calibri" w:cstheme="majorBidi"/>
      <w:b/>
      <w:i/>
      <w:color w:val="272727" w:themeColor="text1" w:themeTint="D8"/>
      <w:sz w:val="22"/>
      <w:szCs w:val="21"/>
      <w:lang w:eastAsia="en-US"/>
    </w:rPr>
  </w:style>
  <w:style w:type="paragraph" w:customStyle="1" w:styleId="BoxTextNumber">
    <w:name w:val="Box Text Number"/>
    <w:basedOn w:val="BoxText"/>
    <w:qFormat/>
    <w:rsid w:val="00BE361F"/>
    <w:pPr>
      <w:numPr>
        <w:numId w:val="21"/>
      </w:numPr>
    </w:pPr>
  </w:style>
  <w:style w:type="paragraph" w:styleId="Date">
    <w:name w:val="Date"/>
    <w:basedOn w:val="Normal"/>
    <w:next w:val="Normal"/>
    <w:link w:val="DateChar"/>
    <w:uiPriority w:val="99"/>
    <w:unhideWhenUsed/>
    <w:rsid w:val="009F1B70"/>
    <w:rPr>
      <w:sz w:val="28"/>
    </w:rPr>
  </w:style>
  <w:style w:type="character" w:customStyle="1" w:styleId="DateChar">
    <w:name w:val="Date Char"/>
    <w:basedOn w:val="DefaultParagraphFont"/>
    <w:link w:val="Date"/>
    <w:uiPriority w:val="99"/>
    <w:rsid w:val="009F1B70"/>
    <w:rPr>
      <w:rFonts w:asciiTheme="minorHAnsi" w:eastAsiaTheme="minorHAnsi" w:hAnsiTheme="minorHAnsi" w:cstheme="minorBidi"/>
      <w:sz w:val="28"/>
      <w:szCs w:val="22"/>
      <w:lang w:eastAsia="en-US"/>
    </w:rPr>
  </w:style>
  <w:style w:type="paragraph" w:styleId="Revision">
    <w:name w:val="Revision"/>
    <w:hidden/>
    <w:uiPriority w:val="99"/>
    <w:semiHidden/>
    <w:rsid w:val="000B109D"/>
    <w:rPr>
      <w:rFonts w:asciiTheme="minorHAnsi" w:eastAsiaTheme="minorHAnsi" w:hAnsiTheme="minorHAnsi" w:cstheme="minorBidi"/>
      <w:sz w:val="22"/>
      <w:szCs w:val="22"/>
      <w:lang w:eastAsia="en-US"/>
    </w:rPr>
  </w:style>
  <w:style w:type="character" w:styleId="Mention">
    <w:name w:val="Mention"/>
    <w:basedOn w:val="DefaultParagraphFont"/>
    <w:uiPriority w:val="99"/>
    <w:unhideWhenUsed/>
    <w:rsid w:val="00C7390D"/>
    <w:rPr>
      <w:color w:val="2B579A"/>
      <w:shd w:val="clear" w:color="auto" w:fill="E1DFDD"/>
    </w:rPr>
  </w:style>
  <w:style w:type="paragraph" w:customStyle="1" w:styleId="Sub-dotpoint">
    <w:name w:val="Sub-dot point"/>
    <w:basedOn w:val="ListParagraph"/>
    <w:link w:val="Sub-dotpointChar"/>
    <w:qFormat/>
    <w:rsid w:val="00C96475"/>
    <w:pPr>
      <w:numPr>
        <w:ilvl w:val="1"/>
        <w:numId w:val="46"/>
      </w:numPr>
      <w:spacing w:after="120"/>
    </w:pPr>
    <w:rPr>
      <w:rFonts w:eastAsia="Times New Roman" w:cs="Arial"/>
      <w:iCs/>
      <w:sz w:val="28"/>
      <w:szCs w:val="28"/>
      <w:lang w:eastAsia="en-AU"/>
    </w:rPr>
  </w:style>
  <w:style w:type="character" w:customStyle="1" w:styleId="Sub-dotpointChar">
    <w:name w:val="Sub-dot point Char"/>
    <w:basedOn w:val="DefaultParagraphFont"/>
    <w:link w:val="Sub-dotpoint"/>
    <w:rsid w:val="00C96475"/>
    <w:rPr>
      <w:rFonts w:ascii="Calibri" w:eastAsia="Times New Roman" w:hAnsi="Calibri" w:cs="Arial"/>
      <w:iCs/>
      <w:sz w:val="28"/>
      <w:szCs w:val="28"/>
    </w:rPr>
  </w:style>
  <w:style w:type="paragraph" w:customStyle="1" w:styleId="Dotpoint">
    <w:name w:val="Dot point"/>
    <w:basedOn w:val="ListParagraph"/>
    <w:link w:val="DotpointChar"/>
    <w:qFormat/>
    <w:rsid w:val="00E25046"/>
    <w:pPr>
      <w:numPr>
        <w:numId w:val="46"/>
      </w:numPr>
      <w:spacing w:after="120"/>
    </w:pPr>
    <w:rPr>
      <w:rFonts w:eastAsia="Times New Roman" w:cs="Arial"/>
      <w:iCs/>
      <w:sz w:val="28"/>
      <w:szCs w:val="28"/>
      <w:lang w:eastAsia="en-AU"/>
    </w:rPr>
  </w:style>
  <w:style w:type="character" w:customStyle="1" w:styleId="DotpointChar">
    <w:name w:val="Dot point Char"/>
    <w:basedOn w:val="DefaultParagraphFont"/>
    <w:link w:val="Dotpoint"/>
    <w:rsid w:val="00C96475"/>
    <w:rPr>
      <w:rFonts w:ascii="Calibri" w:eastAsia="Times New Roman" w:hAnsi="Calibri" w:cs="Arial"/>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eader" Target="header2.xml"/><Relationship Id="rId42" Type="http://schemas.openxmlformats.org/officeDocument/2006/relationships/hyperlink" Target="https://www.agriculture.gov.au/abares/research-topics/agricultural-outlook/march-2026" TargetMode="External"/><Relationship Id="rId47" Type="http://schemas.openxmlformats.org/officeDocument/2006/relationships/hyperlink" Target="https://agrifutures.com.au/product/energy-transition-roadmap-2026-2035/" TargetMode="External"/><Relationship Id="rId63" Type="http://schemas.openxmlformats.org/officeDocument/2006/relationships/hyperlink" Target="https://energy.graincorp.com.au/wp-content/uploads/2026/07/From-Paddock-to-Plane-SAF-Feedstock-White-Paper.pdf" TargetMode="External"/><Relationship Id="rId68" Type="http://schemas.openxmlformats.org/officeDocument/2006/relationships/hyperlink" Target="https://www.iea.org/reports/renewables-2025" TargetMode="External"/><Relationship Id="rId16" Type="http://schemas.openxmlformats.org/officeDocument/2006/relationships/image" Target="media/image3.png"/><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hyperlink" Target="https://daff.ent.sirsidynix.net.au/client/en_AU/search/asset/1034821/0" TargetMode="External"/><Relationship Id="rId45" Type="http://schemas.openxmlformats.org/officeDocument/2006/relationships/hyperlink" Target="https://www.farminstitute.org.au/optimising-australian-agricultures-comparative-advantages/" TargetMode="External"/><Relationship Id="rId53" Type="http://schemas.openxmlformats.org/officeDocument/2006/relationships/hyperlink" Target="https://www.bp.com/en/global/air-bp/news-and-views/air-bp-news/bp-welcomes-strategic-agreement-with-nuseed-carinata.html" TargetMode="External"/><Relationship Id="rId58" Type="http://schemas.openxmlformats.org/officeDocument/2006/relationships/hyperlink" Target="https://www.cefc.com.au/insights/market-reports/refined-ambitions-how-australia-can-become-a-low-carbon-liquid-fuel-powerhouse/" TargetMode="External"/><Relationship Id="rId66" Type="http://schemas.openxmlformats.org/officeDocument/2006/relationships/hyperlink" Target="https://www.hamrenergy.com/projects/methanol-to-jet-saf-energy-park" TargetMode="External"/><Relationship Id="rId74" Type="http://schemas.openxmlformats.org/officeDocument/2006/relationships/hyperlink" Target="https://audit.wa.gov.au/wp-content/uploads/2013/05/report2013_01.pdf" TargetMode="External"/><Relationship Id="rId5" Type="http://schemas.openxmlformats.org/officeDocument/2006/relationships/numbering" Target="numbering.xml"/><Relationship Id="rId61" Type="http://schemas.openxmlformats.org/officeDocument/2006/relationships/hyperlink" Target="https://www.giwa.org.au/wa-crop-reports/2024-season/giwa-crop-report-february-2025/" TargetMode="External"/><Relationship Id="rId19" Type="http://schemas.openxmlformats.org/officeDocument/2006/relationships/image" Target="media/image6.jpeg"/><Relationship Id="rId14" Type="http://schemas.openxmlformats.org/officeDocument/2006/relationships/hyperlink" Target="https://www.agriculture.gov.au/publications" TargetMode="External"/><Relationship Id="rId22" Type="http://schemas.openxmlformats.org/officeDocument/2006/relationships/footer" Target="footer1.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png"/><Relationship Id="rId43" Type="http://schemas.openxmlformats.org/officeDocument/2006/relationships/hyperlink" Target="https://daff.ent.sirsidynix.net.au/client/en_AU/search/asset/1037941/0/_v1.0.0.pdf" TargetMode="External"/><Relationship Id="rId48" Type="http://schemas.openxmlformats.org/officeDocument/2006/relationships/hyperlink" Target="https://www.ararat.vic.gov.au/news/ararat-rural-city-council-leads-push-renewable-gas-highlighting-400m-project" TargetMode="External"/><Relationship Id="rId56" Type="http://schemas.openxmlformats.org/officeDocument/2006/relationships/hyperlink" Target="https://research.csiro.au/tnz/lclf-industry-in-australia/" TargetMode="External"/><Relationship Id="rId64" Type="http://schemas.openxmlformats.org/officeDocument/2006/relationships/hyperlink" Target="https://grdc.com.au/__data/assets/pdf_file/0033/627855/low-carbon-liquid-fuels-roadmap-grdc-20251010.pdf" TargetMode="External"/><Relationship Id="rId69" Type="http://schemas.openxmlformats.org/officeDocument/2006/relationships/hyperlink" Target="https://www.iea.org/reports/outlook-for-biogas-and-biomethane"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cdn.revolutionise.com.au/cups/bioenergy/files/ockzxz1e8olwnkbn.pdf" TargetMode="External"/><Relationship Id="rId72" Type="http://schemas.openxmlformats.org/officeDocument/2006/relationships/hyperlink" Target="https://www.dpi.nsw.gov.au/forestry/science/forest-carbon/biomass-for-bioenergy/nsw-biosmart" TargetMode="External"/><Relationship Id="rId3" Type="http://schemas.openxmlformats.org/officeDocument/2006/relationships/customXml" Target="../customXml/item3.xml"/><Relationship Id="rId12" Type="http://schemas.openxmlformats.org/officeDocument/2006/relationships/hyperlink" Target="https://creativecommons.org/licenses/by/4.0/legalcode" TargetMode="External"/><Relationship Id="rId17" Type="http://schemas.openxmlformats.org/officeDocument/2006/relationships/image" Target="media/image4.png"/><Relationship Id="rId25" Type="http://schemas.openxmlformats.org/officeDocument/2006/relationships/footer" Target="footer3.xm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hyperlink" Target="https://arena.gov.au/knowledge-bank/australian-biomass-for-bioenergy-assessment-final-report/" TargetMode="External"/><Relationship Id="rId59" Type="http://schemas.openxmlformats.org/officeDocument/2006/relationships/hyperlink" Target="https://www.energy.gov.au/energy-data/australian-energy-statistics/energy-consumption" TargetMode="External"/><Relationship Id="rId67" Type="http://schemas.openxmlformats.org/officeDocument/2006/relationships/hyperlink" Target="https://www.ieabioenergy.com/blog/publications/what-is-bioenergy/" TargetMode="External"/><Relationship Id="rId20" Type="http://schemas.openxmlformats.org/officeDocument/2006/relationships/header" Target="header1.xml"/><Relationship Id="rId41" Type="http://schemas.openxmlformats.org/officeDocument/2006/relationships/hyperlink" Target="https://doi.org/10.25814/zzdq-4t23" TargetMode="External"/><Relationship Id="rId54" Type="http://schemas.openxmlformats.org/officeDocument/2006/relationships/hyperlink" Target="https://www.cbh.com.au/storage-and-handling/storage-and-handling-overview" TargetMode="External"/><Relationship Id="rId62" Type="http://schemas.openxmlformats.org/officeDocument/2006/relationships/hyperlink" Target="https://www.graincentral.com/news/nuseed-trials-talks-up-carinata-as-fit-with-cotton/" TargetMode="External"/><Relationship Id="rId70" Type="http://schemas.openxmlformats.org/officeDocument/2006/relationships/hyperlink" Target="https://task43.ieabioenergy.com/about/workplan/" TargetMode="External"/><Relationship Id="rId75" Type="http://schemas.openxmlformats.org/officeDocument/2006/relationships/hyperlink" Target="https://publications.csiro.au/publications/publication/PIcsiro:EP2023-1841/RI9/RT1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griculture.gov.au/" TargetMode="External"/><Relationship Id="rId23" Type="http://schemas.openxmlformats.org/officeDocument/2006/relationships/footer" Target="footer2.xml"/><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hyperlink" Target="https://arena.gov.au/assets/2019/11/biofuels-and-transport-an-australian-opportunity.pdf" TargetMode="External"/><Relationship Id="rId57" Type="http://schemas.openxmlformats.org/officeDocument/2006/relationships/hyperlink" Target="https://www.csiro.au/en/work-with-us/services/consultancy-strategic-advice-services/csiro-futures/energy/state-of-energy-transition-technologies" TargetMode="External"/><Relationship Id="rId10" Type="http://schemas.openxmlformats.org/officeDocument/2006/relationships/endnotes" Target="endnotes.xml"/><Relationship Id="rId31" Type="http://schemas.openxmlformats.org/officeDocument/2006/relationships/image" Target="media/image12.jpeg"/><Relationship Id="rId44" Type="http://schemas.openxmlformats.org/officeDocument/2006/relationships/hyperlink" Target="https://araratbio.com.au/ararat-bioenergy-reaches-key-project-milestone/" TargetMode="External"/><Relationship Id="rId52" Type="http://schemas.openxmlformats.org/officeDocument/2006/relationships/hyperlink" Target="https://www.bioenergyaustralia.org.au/resources/industry-reports" TargetMode="External"/><Relationship Id="rId60" Type="http://schemas.openxmlformats.org/officeDocument/2006/relationships/hyperlink" Target="https://eur-lex.europa.eu/legal-content/EN/TXT/PDF/?uri=CELEX:32018L2001" TargetMode="External"/><Relationship Id="rId65" Type="http://schemas.openxmlformats.org/officeDocument/2006/relationships/hyperlink" Target="https://www.hamrenergy.com/projects/portland-renewable-fuels" TargetMode="External"/><Relationship Id="rId73" Type="http://schemas.openxmlformats.org/officeDocument/2006/relationships/hyperlink" Target="https://nuseed.com/carinata-new-to-nuseeds-global-portfolio-2/"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20.jpeg"/><Relationship Id="rId34" Type="http://schemas.openxmlformats.org/officeDocument/2006/relationships/image" Target="media/image15.jpeg"/><Relationship Id="rId50" Type="http://schemas.openxmlformats.org/officeDocument/2006/relationships/hyperlink" Target="https://arena.gov.au/knowledge-bank/australias-bioenergy-roadmap-report/" TargetMode="External"/><Relationship Id="rId55" Type="http://schemas.openxmlformats.org/officeDocument/2006/relationships/hyperlink" Target="https://www.csiro.au/en/work-with-us/services/consultancy-strategic-advice-services/CSIRO-futures/Energy/Sustainable-Aviation-Fuel-Roadmap"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imoveaustralia.com/project/low-carbon-liquid-fuels-knowledge-hub/" TargetMode="External"/><Relationship Id="rId2" Type="http://schemas.openxmlformats.org/officeDocument/2006/relationships/customXml" Target="../customXml/item2.xml"/><Relationship Id="rId29"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N0016\OneDrive%20-%20Agriculture\David\Desktop\Report_template_2.dotx"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525F29"/>
      </a:dk2>
      <a:lt2>
        <a:srgbClr val="E9D394"/>
      </a:lt2>
      <a:accent1>
        <a:srgbClr val="F7A71B"/>
      </a:accent1>
      <a:accent2>
        <a:srgbClr val="ED7A23"/>
      </a:accent2>
      <a:accent3>
        <a:srgbClr val="4F242F"/>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GPS.XSL" StyleName="Harvard - AGPS*"/>
</file>

<file path=customXml/item4.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15E37C-B933-4164-8D66-E69931417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3.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customXml/itemProps4.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81c01dc6-2c49-4730-b140-874c95cac377"/>
    <ds:schemaRef ds:uri="2b53c995-2120-4bc0-8922-c25044d37f65"/>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Report_template_2</Template>
  <TotalTime>3794</TotalTime>
  <Pages>43</Pages>
  <Words>14816</Words>
  <Characters>84455</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National Bioenergy Feedstock Strategy</vt:lpstr>
    </vt:vector>
  </TitlesOfParts>
  <Company/>
  <LinksUpToDate>false</LinksUpToDate>
  <CharactersWithSpaces>99073</CharactersWithSpaces>
  <SharedDoc>false</SharedDoc>
  <HLinks>
    <vt:vector size="582" baseType="variant">
      <vt:variant>
        <vt:i4>8061036</vt:i4>
      </vt:variant>
      <vt:variant>
        <vt:i4>585</vt:i4>
      </vt:variant>
      <vt:variant>
        <vt:i4>0</vt:i4>
      </vt:variant>
      <vt:variant>
        <vt:i4>5</vt:i4>
      </vt:variant>
      <vt:variant>
        <vt:lpwstr>https://publications.csiro.au/publications/publication/PIcsiro:EP2023-1841/RI9/RT11</vt:lpwstr>
      </vt:variant>
      <vt:variant>
        <vt:lpwstr/>
      </vt:variant>
      <vt:variant>
        <vt:i4>6815763</vt:i4>
      </vt:variant>
      <vt:variant>
        <vt:i4>582</vt:i4>
      </vt:variant>
      <vt:variant>
        <vt:i4>0</vt:i4>
      </vt:variant>
      <vt:variant>
        <vt:i4>5</vt:i4>
      </vt:variant>
      <vt:variant>
        <vt:lpwstr>https://audit.wa.gov.au/wp-content/uploads/2013/05/report2013_01.pdf</vt:lpwstr>
      </vt:variant>
      <vt:variant>
        <vt:lpwstr/>
      </vt:variant>
      <vt:variant>
        <vt:i4>3801200</vt:i4>
      </vt:variant>
      <vt:variant>
        <vt:i4>579</vt:i4>
      </vt:variant>
      <vt:variant>
        <vt:i4>0</vt:i4>
      </vt:variant>
      <vt:variant>
        <vt:i4>5</vt:i4>
      </vt:variant>
      <vt:variant>
        <vt:lpwstr>https://nuseed.com/carinata-new-to-nuseeds-global-portfolio-2/</vt:lpwstr>
      </vt:variant>
      <vt:variant>
        <vt:lpwstr/>
      </vt:variant>
      <vt:variant>
        <vt:i4>4718674</vt:i4>
      </vt:variant>
      <vt:variant>
        <vt:i4>576</vt:i4>
      </vt:variant>
      <vt:variant>
        <vt:i4>0</vt:i4>
      </vt:variant>
      <vt:variant>
        <vt:i4>5</vt:i4>
      </vt:variant>
      <vt:variant>
        <vt:lpwstr>https://www.dpi.nsw.gov.au/forestry/science/forest-carbon/biomass-for-bioenergy/nsw-biosmart</vt:lpwstr>
      </vt:variant>
      <vt:variant>
        <vt:lpwstr/>
      </vt:variant>
      <vt:variant>
        <vt:i4>4456465</vt:i4>
      </vt:variant>
      <vt:variant>
        <vt:i4>573</vt:i4>
      </vt:variant>
      <vt:variant>
        <vt:i4>0</vt:i4>
      </vt:variant>
      <vt:variant>
        <vt:i4>5</vt:i4>
      </vt:variant>
      <vt:variant>
        <vt:lpwstr>https://imoveaustralia.com/project/low-carbon-liquid-fuels-knowledge-hub/</vt:lpwstr>
      </vt:variant>
      <vt:variant>
        <vt:lpwstr/>
      </vt:variant>
      <vt:variant>
        <vt:i4>8257584</vt:i4>
      </vt:variant>
      <vt:variant>
        <vt:i4>570</vt:i4>
      </vt:variant>
      <vt:variant>
        <vt:i4>0</vt:i4>
      </vt:variant>
      <vt:variant>
        <vt:i4>5</vt:i4>
      </vt:variant>
      <vt:variant>
        <vt:lpwstr>https://task43.ieabioenergy.com/about/workplan/</vt:lpwstr>
      </vt:variant>
      <vt:variant>
        <vt:lpwstr/>
      </vt:variant>
      <vt:variant>
        <vt:i4>91</vt:i4>
      </vt:variant>
      <vt:variant>
        <vt:i4>567</vt:i4>
      </vt:variant>
      <vt:variant>
        <vt:i4>0</vt:i4>
      </vt:variant>
      <vt:variant>
        <vt:i4>5</vt:i4>
      </vt:variant>
      <vt:variant>
        <vt:lpwstr>https://www.iea.org/reports/outlook-for-biogas-and-biomethane</vt:lpwstr>
      </vt:variant>
      <vt:variant>
        <vt:lpwstr/>
      </vt:variant>
      <vt:variant>
        <vt:i4>7405618</vt:i4>
      </vt:variant>
      <vt:variant>
        <vt:i4>564</vt:i4>
      </vt:variant>
      <vt:variant>
        <vt:i4>0</vt:i4>
      </vt:variant>
      <vt:variant>
        <vt:i4>5</vt:i4>
      </vt:variant>
      <vt:variant>
        <vt:lpwstr>https://www.iea.org/reports/renewables-2025</vt:lpwstr>
      </vt:variant>
      <vt:variant>
        <vt:lpwstr/>
      </vt:variant>
      <vt:variant>
        <vt:i4>5963847</vt:i4>
      </vt:variant>
      <vt:variant>
        <vt:i4>561</vt:i4>
      </vt:variant>
      <vt:variant>
        <vt:i4>0</vt:i4>
      </vt:variant>
      <vt:variant>
        <vt:i4>5</vt:i4>
      </vt:variant>
      <vt:variant>
        <vt:lpwstr>https://www.ieabioenergy.com/blog/publications/what-is-bioenergy/</vt:lpwstr>
      </vt:variant>
      <vt:variant>
        <vt:lpwstr/>
      </vt:variant>
      <vt:variant>
        <vt:i4>2359345</vt:i4>
      </vt:variant>
      <vt:variant>
        <vt:i4>558</vt:i4>
      </vt:variant>
      <vt:variant>
        <vt:i4>0</vt:i4>
      </vt:variant>
      <vt:variant>
        <vt:i4>5</vt:i4>
      </vt:variant>
      <vt:variant>
        <vt:lpwstr>https://www.hamrenergy.com/projects/methanol-to-jet-saf-energy-park</vt:lpwstr>
      </vt:variant>
      <vt:variant>
        <vt:lpwstr/>
      </vt:variant>
      <vt:variant>
        <vt:i4>1245264</vt:i4>
      </vt:variant>
      <vt:variant>
        <vt:i4>555</vt:i4>
      </vt:variant>
      <vt:variant>
        <vt:i4>0</vt:i4>
      </vt:variant>
      <vt:variant>
        <vt:i4>5</vt:i4>
      </vt:variant>
      <vt:variant>
        <vt:lpwstr>https://www.hamrenergy.com/projects/portland-renewable-fuels</vt:lpwstr>
      </vt:variant>
      <vt:variant>
        <vt:lpwstr/>
      </vt:variant>
      <vt:variant>
        <vt:i4>65577</vt:i4>
      </vt:variant>
      <vt:variant>
        <vt:i4>552</vt:i4>
      </vt:variant>
      <vt:variant>
        <vt:i4>0</vt:i4>
      </vt:variant>
      <vt:variant>
        <vt:i4>5</vt:i4>
      </vt:variant>
      <vt:variant>
        <vt:lpwstr>https://grdc.com.au/__data/assets/pdf_file/0033/627855/low-carbon-liquid-fuels-roadmap-grdc-20251010.pdf</vt:lpwstr>
      </vt:variant>
      <vt:variant>
        <vt:lpwstr/>
      </vt:variant>
      <vt:variant>
        <vt:i4>3538981</vt:i4>
      </vt:variant>
      <vt:variant>
        <vt:i4>549</vt:i4>
      </vt:variant>
      <vt:variant>
        <vt:i4>0</vt:i4>
      </vt:variant>
      <vt:variant>
        <vt:i4>5</vt:i4>
      </vt:variant>
      <vt:variant>
        <vt:lpwstr>https://energy.graincorp.com.au/wp-content/uploads/2026/07/From-Paddock-to-Plane-SAF-Feedstock-White-Paper.pdf</vt:lpwstr>
      </vt:variant>
      <vt:variant>
        <vt:lpwstr/>
      </vt:variant>
      <vt:variant>
        <vt:i4>1769567</vt:i4>
      </vt:variant>
      <vt:variant>
        <vt:i4>546</vt:i4>
      </vt:variant>
      <vt:variant>
        <vt:i4>0</vt:i4>
      </vt:variant>
      <vt:variant>
        <vt:i4>5</vt:i4>
      </vt:variant>
      <vt:variant>
        <vt:lpwstr>https://www.graincentral.com/news/nuseed-trials-talks-up-carinata-as-fit-with-cotton/</vt:lpwstr>
      </vt:variant>
      <vt:variant>
        <vt:lpwstr/>
      </vt:variant>
      <vt:variant>
        <vt:i4>3997748</vt:i4>
      </vt:variant>
      <vt:variant>
        <vt:i4>543</vt:i4>
      </vt:variant>
      <vt:variant>
        <vt:i4>0</vt:i4>
      </vt:variant>
      <vt:variant>
        <vt:i4>5</vt:i4>
      </vt:variant>
      <vt:variant>
        <vt:lpwstr>https://www.giwa.org.au/wa-crop-reports/2024-season/giwa-crop-report-february-2025/</vt:lpwstr>
      </vt:variant>
      <vt:variant>
        <vt:lpwstr/>
      </vt:variant>
      <vt:variant>
        <vt:i4>1835008</vt:i4>
      </vt:variant>
      <vt:variant>
        <vt:i4>540</vt:i4>
      </vt:variant>
      <vt:variant>
        <vt:i4>0</vt:i4>
      </vt:variant>
      <vt:variant>
        <vt:i4>5</vt:i4>
      </vt:variant>
      <vt:variant>
        <vt:lpwstr>https://eur-lex.europa.eu/legal-content/EN/TXT/PDF/?uri=CELEX:32018L2001</vt:lpwstr>
      </vt:variant>
      <vt:variant>
        <vt:lpwstr/>
      </vt:variant>
      <vt:variant>
        <vt:i4>1966201</vt:i4>
      </vt:variant>
      <vt:variant>
        <vt:i4>537</vt:i4>
      </vt:variant>
      <vt:variant>
        <vt:i4>0</vt:i4>
      </vt:variant>
      <vt:variant>
        <vt:i4>5</vt:i4>
      </vt:variant>
      <vt:variant>
        <vt:lpwstr>https://www.energy.gov.au/energy-data/australian-energy-statistics/energy-consumption</vt:lpwstr>
      </vt:variant>
      <vt:variant>
        <vt:lpwstr>:~:text=Table_title:%20Australian%20energy%20consumption%20-%20by%20fuel,average%20annual%20growth%20(per%20cent):%200.2%20%7C</vt:lpwstr>
      </vt:variant>
      <vt:variant>
        <vt:i4>3539044</vt:i4>
      </vt:variant>
      <vt:variant>
        <vt:i4>534</vt:i4>
      </vt:variant>
      <vt:variant>
        <vt:i4>0</vt:i4>
      </vt:variant>
      <vt:variant>
        <vt:i4>5</vt:i4>
      </vt:variant>
      <vt:variant>
        <vt:lpwstr>https://www.cefc.com.au/insights/market-reports/refined-ambitions-how-australia-can-become-a-low-carbon-liquid-fuel-powerhouse/</vt:lpwstr>
      </vt:variant>
      <vt:variant>
        <vt:lpwstr/>
      </vt:variant>
      <vt:variant>
        <vt:i4>1441823</vt:i4>
      </vt:variant>
      <vt:variant>
        <vt:i4>531</vt:i4>
      </vt:variant>
      <vt:variant>
        <vt:i4>0</vt:i4>
      </vt:variant>
      <vt:variant>
        <vt:i4>5</vt:i4>
      </vt:variant>
      <vt:variant>
        <vt:lpwstr>https://www.csiro.au/en/work-with-us/services/consultancy-strategic-advice-services/csiro-futures/energy/state-of-energy-transition-technologies</vt:lpwstr>
      </vt:variant>
      <vt:variant>
        <vt:lpwstr/>
      </vt:variant>
      <vt:variant>
        <vt:i4>4587599</vt:i4>
      </vt:variant>
      <vt:variant>
        <vt:i4>528</vt:i4>
      </vt:variant>
      <vt:variant>
        <vt:i4>0</vt:i4>
      </vt:variant>
      <vt:variant>
        <vt:i4>5</vt:i4>
      </vt:variant>
      <vt:variant>
        <vt:lpwstr>https://research.csiro.au/tnz/lclf-industry-in-australia/</vt:lpwstr>
      </vt:variant>
      <vt:variant>
        <vt:lpwstr/>
      </vt:variant>
      <vt:variant>
        <vt:i4>2097255</vt:i4>
      </vt:variant>
      <vt:variant>
        <vt:i4>525</vt:i4>
      </vt:variant>
      <vt:variant>
        <vt:i4>0</vt:i4>
      </vt:variant>
      <vt:variant>
        <vt:i4>5</vt:i4>
      </vt:variant>
      <vt:variant>
        <vt:lpwstr>https://www.csiro.au/en/work-with-us/services/consultancy-strategic-advice-services/CSIRO-futures/Energy/Sustainable-Aviation-Fuel-Roadmap</vt:lpwstr>
      </vt:variant>
      <vt:variant>
        <vt:lpwstr/>
      </vt:variant>
      <vt:variant>
        <vt:i4>1769558</vt:i4>
      </vt:variant>
      <vt:variant>
        <vt:i4>522</vt:i4>
      </vt:variant>
      <vt:variant>
        <vt:i4>0</vt:i4>
      </vt:variant>
      <vt:variant>
        <vt:i4>5</vt:i4>
      </vt:variant>
      <vt:variant>
        <vt:lpwstr>https://www.cbh.com.au/storage-and-handling/storage-and-handling-overview</vt:lpwstr>
      </vt:variant>
      <vt:variant>
        <vt:lpwstr/>
      </vt:variant>
      <vt:variant>
        <vt:i4>6225945</vt:i4>
      </vt:variant>
      <vt:variant>
        <vt:i4>519</vt:i4>
      </vt:variant>
      <vt:variant>
        <vt:i4>0</vt:i4>
      </vt:variant>
      <vt:variant>
        <vt:i4>5</vt:i4>
      </vt:variant>
      <vt:variant>
        <vt:lpwstr>https://www.bp.com/en/global/air-bp/news-and-views/air-bp-news/bp-welcomes-strategic-agreement-with-nuseed-carinata.html</vt:lpwstr>
      </vt:variant>
      <vt:variant>
        <vt:lpwstr/>
      </vt:variant>
      <vt:variant>
        <vt:i4>4849693</vt:i4>
      </vt:variant>
      <vt:variant>
        <vt:i4>516</vt:i4>
      </vt:variant>
      <vt:variant>
        <vt:i4>0</vt:i4>
      </vt:variant>
      <vt:variant>
        <vt:i4>5</vt:i4>
      </vt:variant>
      <vt:variant>
        <vt:lpwstr>https://www.bioenergyaustralia.org.au/resources/industry-reports</vt:lpwstr>
      </vt:variant>
      <vt:variant>
        <vt:lpwstr/>
      </vt:variant>
      <vt:variant>
        <vt:i4>7929914</vt:i4>
      </vt:variant>
      <vt:variant>
        <vt:i4>513</vt:i4>
      </vt:variant>
      <vt:variant>
        <vt:i4>0</vt:i4>
      </vt:variant>
      <vt:variant>
        <vt:i4>5</vt:i4>
      </vt:variant>
      <vt:variant>
        <vt:lpwstr>https://cdn.revolutionise.com.au/cups/bioenergy/files/ockzxz1e8olwnkbn.pdf</vt:lpwstr>
      </vt:variant>
      <vt:variant>
        <vt:lpwstr/>
      </vt:variant>
      <vt:variant>
        <vt:i4>1966108</vt:i4>
      </vt:variant>
      <vt:variant>
        <vt:i4>510</vt:i4>
      </vt:variant>
      <vt:variant>
        <vt:i4>0</vt:i4>
      </vt:variant>
      <vt:variant>
        <vt:i4>5</vt:i4>
      </vt:variant>
      <vt:variant>
        <vt:lpwstr>https://arena.gov.au/knowledge-bank/australias-bioenergy-roadmap-report/</vt:lpwstr>
      </vt:variant>
      <vt:variant>
        <vt:lpwstr/>
      </vt:variant>
      <vt:variant>
        <vt:i4>1900638</vt:i4>
      </vt:variant>
      <vt:variant>
        <vt:i4>507</vt:i4>
      </vt:variant>
      <vt:variant>
        <vt:i4>0</vt:i4>
      </vt:variant>
      <vt:variant>
        <vt:i4>5</vt:i4>
      </vt:variant>
      <vt:variant>
        <vt:lpwstr>https://arena.gov.au/assets/2019/11/biofuels-and-transport-an-australian-opportunity.pdf</vt:lpwstr>
      </vt:variant>
      <vt:variant>
        <vt:lpwstr/>
      </vt:variant>
      <vt:variant>
        <vt:i4>8126576</vt:i4>
      </vt:variant>
      <vt:variant>
        <vt:i4>504</vt:i4>
      </vt:variant>
      <vt:variant>
        <vt:i4>0</vt:i4>
      </vt:variant>
      <vt:variant>
        <vt:i4>5</vt:i4>
      </vt:variant>
      <vt:variant>
        <vt:lpwstr>https://www.ararat.vic.gov.au/news/ararat-rural-city-council-leads-push-renewable-gas-highlighting-400m-project</vt:lpwstr>
      </vt:variant>
      <vt:variant>
        <vt:lpwstr/>
      </vt:variant>
      <vt:variant>
        <vt:i4>6291503</vt:i4>
      </vt:variant>
      <vt:variant>
        <vt:i4>501</vt:i4>
      </vt:variant>
      <vt:variant>
        <vt:i4>0</vt:i4>
      </vt:variant>
      <vt:variant>
        <vt:i4>5</vt:i4>
      </vt:variant>
      <vt:variant>
        <vt:lpwstr>https://agrifutures.com.au/product/energy-transition-roadmap-2026-2035/</vt:lpwstr>
      </vt:variant>
      <vt:variant>
        <vt:lpwstr/>
      </vt:variant>
      <vt:variant>
        <vt:i4>5046365</vt:i4>
      </vt:variant>
      <vt:variant>
        <vt:i4>498</vt:i4>
      </vt:variant>
      <vt:variant>
        <vt:i4>0</vt:i4>
      </vt:variant>
      <vt:variant>
        <vt:i4>5</vt:i4>
      </vt:variant>
      <vt:variant>
        <vt:lpwstr>https://arena.gov.au/knowledge-bank/australian-biomass-for-bioenergy-assessment-final-report/</vt:lpwstr>
      </vt:variant>
      <vt:variant>
        <vt:lpwstr/>
      </vt:variant>
      <vt:variant>
        <vt:i4>8257598</vt:i4>
      </vt:variant>
      <vt:variant>
        <vt:i4>495</vt:i4>
      </vt:variant>
      <vt:variant>
        <vt:i4>0</vt:i4>
      </vt:variant>
      <vt:variant>
        <vt:i4>5</vt:i4>
      </vt:variant>
      <vt:variant>
        <vt:lpwstr>https://www.farminstitute.org.au/optimising-australian-agricultures-comparative-advantages/</vt:lpwstr>
      </vt:variant>
      <vt:variant>
        <vt:lpwstr/>
      </vt:variant>
      <vt:variant>
        <vt:i4>1048604</vt:i4>
      </vt:variant>
      <vt:variant>
        <vt:i4>492</vt:i4>
      </vt:variant>
      <vt:variant>
        <vt:i4>0</vt:i4>
      </vt:variant>
      <vt:variant>
        <vt:i4>5</vt:i4>
      </vt:variant>
      <vt:variant>
        <vt:lpwstr>https://araratbio.com.au/ararat-bioenergy-reaches-key-project-milestone/</vt:lpwstr>
      </vt:variant>
      <vt:variant>
        <vt:lpwstr/>
      </vt:variant>
      <vt:variant>
        <vt:i4>6225994</vt:i4>
      </vt:variant>
      <vt:variant>
        <vt:i4>489</vt:i4>
      </vt:variant>
      <vt:variant>
        <vt:i4>0</vt:i4>
      </vt:variant>
      <vt:variant>
        <vt:i4>5</vt:i4>
      </vt:variant>
      <vt:variant>
        <vt:lpwstr>https://daff.ent.sirsidynix.net.au/client/en_AU/search/asset/1037941/0/_v1.0.0.pdf</vt:lpwstr>
      </vt:variant>
      <vt:variant>
        <vt:lpwstr/>
      </vt:variant>
      <vt:variant>
        <vt:i4>5111880</vt:i4>
      </vt:variant>
      <vt:variant>
        <vt:i4>486</vt:i4>
      </vt:variant>
      <vt:variant>
        <vt:i4>0</vt:i4>
      </vt:variant>
      <vt:variant>
        <vt:i4>5</vt:i4>
      </vt:variant>
      <vt:variant>
        <vt:lpwstr>https://www.agriculture.gov.au/abares/research-topics/agricultural-outlook/march-2026</vt:lpwstr>
      </vt:variant>
      <vt:variant>
        <vt:lpwstr/>
      </vt:variant>
      <vt:variant>
        <vt:i4>7798908</vt:i4>
      </vt:variant>
      <vt:variant>
        <vt:i4>483</vt:i4>
      </vt:variant>
      <vt:variant>
        <vt:i4>0</vt:i4>
      </vt:variant>
      <vt:variant>
        <vt:i4>5</vt:i4>
      </vt:variant>
      <vt:variant>
        <vt:lpwstr>https://doi.org/10.25814/zzdq-4t23</vt:lpwstr>
      </vt:variant>
      <vt:variant>
        <vt:lpwstr/>
      </vt:variant>
      <vt:variant>
        <vt:i4>2490460</vt:i4>
      </vt:variant>
      <vt:variant>
        <vt:i4>480</vt:i4>
      </vt:variant>
      <vt:variant>
        <vt:i4>0</vt:i4>
      </vt:variant>
      <vt:variant>
        <vt:i4>5</vt:i4>
      </vt:variant>
      <vt:variant>
        <vt:lpwstr>https://daff.ent.sirsidynix.net.au/client/en_AU/search/asset/1034821/0</vt:lpwstr>
      </vt:variant>
      <vt:variant>
        <vt:lpwstr/>
      </vt:variant>
      <vt:variant>
        <vt:i4>1769529</vt:i4>
      </vt:variant>
      <vt:variant>
        <vt:i4>359</vt:i4>
      </vt:variant>
      <vt:variant>
        <vt:i4>0</vt:i4>
      </vt:variant>
      <vt:variant>
        <vt:i4>5</vt:i4>
      </vt:variant>
      <vt:variant>
        <vt:lpwstr/>
      </vt:variant>
      <vt:variant>
        <vt:lpwstr>_Toc236985539</vt:lpwstr>
      </vt:variant>
      <vt:variant>
        <vt:i4>1769529</vt:i4>
      </vt:variant>
      <vt:variant>
        <vt:i4>353</vt:i4>
      </vt:variant>
      <vt:variant>
        <vt:i4>0</vt:i4>
      </vt:variant>
      <vt:variant>
        <vt:i4>5</vt:i4>
      </vt:variant>
      <vt:variant>
        <vt:lpwstr/>
      </vt:variant>
      <vt:variant>
        <vt:lpwstr>_Toc236985538</vt:lpwstr>
      </vt:variant>
      <vt:variant>
        <vt:i4>1769529</vt:i4>
      </vt:variant>
      <vt:variant>
        <vt:i4>347</vt:i4>
      </vt:variant>
      <vt:variant>
        <vt:i4>0</vt:i4>
      </vt:variant>
      <vt:variant>
        <vt:i4>5</vt:i4>
      </vt:variant>
      <vt:variant>
        <vt:lpwstr/>
      </vt:variant>
      <vt:variant>
        <vt:lpwstr>_Toc236985537</vt:lpwstr>
      </vt:variant>
      <vt:variant>
        <vt:i4>1769529</vt:i4>
      </vt:variant>
      <vt:variant>
        <vt:i4>341</vt:i4>
      </vt:variant>
      <vt:variant>
        <vt:i4>0</vt:i4>
      </vt:variant>
      <vt:variant>
        <vt:i4>5</vt:i4>
      </vt:variant>
      <vt:variant>
        <vt:lpwstr/>
      </vt:variant>
      <vt:variant>
        <vt:lpwstr>_Toc236985536</vt:lpwstr>
      </vt:variant>
      <vt:variant>
        <vt:i4>1769529</vt:i4>
      </vt:variant>
      <vt:variant>
        <vt:i4>335</vt:i4>
      </vt:variant>
      <vt:variant>
        <vt:i4>0</vt:i4>
      </vt:variant>
      <vt:variant>
        <vt:i4>5</vt:i4>
      </vt:variant>
      <vt:variant>
        <vt:lpwstr/>
      </vt:variant>
      <vt:variant>
        <vt:lpwstr>_Toc236985535</vt:lpwstr>
      </vt:variant>
      <vt:variant>
        <vt:i4>1769529</vt:i4>
      </vt:variant>
      <vt:variant>
        <vt:i4>329</vt:i4>
      </vt:variant>
      <vt:variant>
        <vt:i4>0</vt:i4>
      </vt:variant>
      <vt:variant>
        <vt:i4>5</vt:i4>
      </vt:variant>
      <vt:variant>
        <vt:lpwstr/>
      </vt:variant>
      <vt:variant>
        <vt:lpwstr>_Toc236985534</vt:lpwstr>
      </vt:variant>
      <vt:variant>
        <vt:i4>1769529</vt:i4>
      </vt:variant>
      <vt:variant>
        <vt:i4>323</vt:i4>
      </vt:variant>
      <vt:variant>
        <vt:i4>0</vt:i4>
      </vt:variant>
      <vt:variant>
        <vt:i4>5</vt:i4>
      </vt:variant>
      <vt:variant>
        <vt:lpwstr/>
      </vt:variant>
      <vt:variant>
        <vt:lpwstr>_Toc236985533</vt:lpwstr>
      </vt:variant>
      <vt:variant>
        <vt:i4>1769529</vt:i4>
      </vt:variant>
      <vt:variant>
        <vt:i4>317</vt:i4>
      </vt:variant>
      <vt:variant>
        <vt:i4>0</vt:i4>
      </vt:variant>
      <vt:variant>
        <vt:i4>5</vt:i4>
      </vt:variant>
      <vt:variant>
        <vt:lpwstr/>
      </vt:variant>
      <vt:variant>
        <vt:lpwstr>_Toc236985532</vt:lpwstr>
      </vt:variant>
      <vt:variant>
        <vt:i4>1769529</vt:i4>
      </vt:variant>
      <vt:variant>
        <vt:i4>311</vt:i4>
      </vt:variant>
      <vt:variant>
        <vt:i4>0</vt:i4>
      </vt:variant>
      <vt:variant>
        <vt:i4>5</vt:i4>
      </vt:variant>
      <vt:variant>
        <vt:lpwstr/>
      </vt:variant>
      <vt:variant>
        <vt:lpwstr>_Toc236985531</vt:lpwstr>
      </vt:variant>
      <vt:variant>
        <vt:i4>1769529</vt:i4>
      </vt:variant>
      <vt:variant>
        <vt:i4>305</vt:i4>
      </vt:variant>
      <vt:variant>
        <vt:i4>0</vt:i4>
      </vt:variant>
      <vt:variant>
        <vt:i4>5</vt:i4>
      </vt:variant>
      <vt:variant>
        <vt:lpwstr/>
      </vt:variant>
      <vt:variant>
        <vt:lpwstr>_Toc236985530</vt:lpwstr>
      </vt:variant>
      <vt:variant>
        <vt:i4>1900601</vt:i4>
      </vt:variant>
      <vt:variant>
        <vt:i4>296</vt:i4>
      </vt:variant>
      <vt:variant>
        <vt:i4>0</vt:i4>
      </vt:variant>
      <vt:variant>
        <vt:i4>5</vt:i4>
      </vt:variant>
      <vt:variant>
        <vt:lpwstr/>
      </vt:variant>
      <vt:variant>
        <vt:lpwstr>_Toc236992427</vt:lpwstr>
      </vt:variant>
      <vt:variant>
        <vt:i4>1900601</vt:i4>
      </vt:variant>
      <vt:variant>
        <vt:i4>290</vt:i4>
      </vt:variant>
      <vt:variant>
        <vt:i4>0</vt:i4>
      </vt:variant>
      <vt:variant>
        <vt:i4>5</vt:i4>
      </vt:variant>
      <vt:variant>
        <vt:lpwstr/>
      </vt:variant>
      <vt:variant>
        <vt:lpwstr>_Toc236992426</vt:lpwstr>
      </vt:variant>
      <vt:variant>
        <vt:i4>1900601</vt:i4>
      </vt:variant>
      <vt:variant>
        <vt:i4>284</vt:i4>
      </vt:variant>
      <vt:variant>
        <vt:i4>0</vt:i4>
      </vt:variant>
      <vt:variant>
        <vt:i4>5</vt:i4>
      </vt:variant>
      <vt:variant>
        <vt:lpwstr/>
      </vt:variant>
      <vt:variant>
        <vt:lpwstr>_Toc236992425</vt:lpwstr>
      </vt:variant>
      <vt:variant>
        <vt:i4>1900601</vt:i4>
      </vt:variant>
      <vt:variant>
        <vt:i4>278</vt:i4>
      </vt:variant>
      <vt:variant>
        <vt:i4>0</vt:i4>
      </vt:variant>
      <vt:variant>
        <vt:i4>5</vt:i4>
      </vt:variant>
      <vt:variant>
        <vt:lpwstr/>
      </vt:variant>
      <vt:variant>
        <vt:lpwstr>_Toc236992424</vt:lpwstr>
      </vt:variant>
      <vt:variant>
        <vt:i4>1900601</vt:i4>
      </vt:variant>
      <vt:variant>
        <vt:i4>272</vt:i4>
      </vt:variant>
      <vt:variant>
        <vt:i4>0</vt:i4>
      </vt:variant>
      <vt:variant>
        <vt:i4>5</vt:i4>
      </vt:variant>
      <vt:variant>
        <vt:lpwstr/>
      </vt:variant>
      <vt:variant>
        <vt:lpwstr>_Toc236992423</vt:lpwstr>
      </vt:variant>
      <vt:variant>
        <vt:i4>1900601</vt:i4>
      </vt:variant>
      <vt:variant>
        <vt:i4>266</vt:i4>
      </vt:variant>
      <vt:variant>
        <vt:i4>0</vt:i4>
      </vt:variant>
      <vt:variant>
        <vt:i4>5</vt:i4>
      </vt:variant>
      <vt:variant>
        <vt:lpwstr/>
      </vt:variant>
      <vt:variant>
        <vt:lpwstr>_Toc236992422</vt:lpwstr>
      </vt:variant>
      <vt:variant>
        <vt:i4>1900601</vt:i4>
      </vt:variant>
      <vt:variant>
        <vt:i4>260</vt:i4>
      </vt:variant>
      <vt:variant>
        <vt:i4>0</vt:i4>
      </vt:variant>
      <vt:variant>
        <vt:i4>5</vt:i4>
      </vt:variant>
      <vt:variant>
        <vt:lpwstr/>
      </vt:variant>
      <vt:variant>
        <vt:lpwstr>_Toc236992421</vt:lpwstr>
      </vt:variant>
      <vt:variant>
        <vt:i4>1900601</vt:i4>
      </vt:variant>
      <vt:variant>
        <vt:i4>254</vt:i4>
      </vt:variant>
      <vt:variant>
        <vt:i4>0</vt:i4>
      </vt:variant>
      <vt:variant>
        <vt:i4>5</vt:i4>
      </vt:variant>
      <vt:variant>
        <vt:lpwstr/>
      </vt:variant>
      <vt:variant>
        <vt:lpwstr>_Toc236992420</vt:lpwstr>
      </vt:variant>
      <vt:variant>
        <vt:i4>1966137</vt:i4>
      </vt:variant>
      <vt:variant>
        <vt:i4>248</vt:i4>
      </vt:variant>
      <vt:variant>
        <vt:i4>0</vt:i4>
      </vt:variant>
      <vt:variant>
        <vt:i4>5</vt:i4>
      </vt:variant>
      <vt:variant>
        <vt:lpwstr/>
      </vt:variant>
      <vt:variant>
        <vt:lpwstr>_Toc236992419</vt:lpwstr>
      </vt:variant>
      <vt:variant>
        <vt:i4>1048629</vt:i4>
      </vt:variant>
      <vt:variant>
        <vt:i4>239</vt:i4>
      </vt:variant>
      <vt:variant>
        <vt:i4>0</vt:i4>
      </vt:variant>
      <vt:variant>
        <vt:i4>5</vt:i4>
      </vt:variant>
      <vt:variant>
        <vt:lpwstr/>
      </vt:variant>
      <vt:variant>
        <vt:lpwstr>_Toc236928358</vt:lpwstr>
      </vt:variant>
      <vt:variant>
        <vt:i4>1048629</vt:i4>
      </vt:variant>
      <vt:variant>
        <vt:i4>233</vt:i4>
      </vt:variant>
      <vt:variant>
        <vt:i4>0</vt:i4>
      </vt:variant>
      <vt:variant>
        <vt:i4>5</vt:i4>
      </vt:variant>
      <vt:variant>
        <vt:lpwstr/>
      </vt:variant>
      <vt:variant>
        <vt:lpwstr>_Toc236928357</vt:lpwstr>
      </vt:variant>
      <vt:variant>
        <vt:i4>1048629</vt:i4>
      </vt:variant>
      <vt:variant>
        <vt:i4>227</vt:i4>
      </vt:variant>
      <vt:variant>
        <vt:i4>0</vt:i4>
      </vt:variant>
      <vt:variant>
        <vt:i4>5</vt:i4>
      </vt:variant>
      <vt:variant>
        <vt:lpwstr/>
      </vt:variant>
      <vt:variant>
        <vt:lpwstr>_Toc236928356</vt:lpwstr>
      </vt:variant>
      <vt:variant>
        <vt:i4>1048629</vt:i4>
      </vt:variant>
      <vt:variant>
        <vt:i4>221</vt:i4>
      </vt:variant>
      <vt:variant>
        <vt:i4>0</vt:i4>
      </vt:variant>
      <vt:variant>
        <vt:i4>5</vt:i4>
      </vt:variant>
      <vt:variant>
        <vt:lpwstr/>
      </vt:variant>
      <vt:variant>
        <vt:lpwstr>_Toc236928355</vt:lpwstr>
      </vt:variant>
      <vt:variant>
        <vt:i4>1048629</vt:i4>
      </vt:variant>
      <vt:variant>
        <vt:i4>215</vt:i4>
      </vt:variant>
      <vt:variant>
        <vt:i4>0</vt:i4>
      </vt:variant>
      <vt:variant>
        <vt:i4>5</vt:i4>
      </vt:variant>
      <vt:variant>
        <vt:lpwstr/>
      </vt:variant>
      <vt:variant>
        <vt:lpwstr>_Toc236928354</vt:lpwstr>
      </vt:variant>
      <vt:variant>
        <vt:i4>1048629</vt:i4>
      </vt:variant>
      <vt:variant>
        <vt:i4>209</vt:i4>
      </vt:variant>
      <vt:variant>
        <vt:i4>0</vt:i4>
      </vt:variant>
      <vt:variant>
        <vt:i4>5</vt:i4>
      </vt:variant>
      <vt:variant>
        <vt:lpwstr/>
      </vt:variant>
      <vt:variant>
        <vt:lpwstr>_Toc236928353</vt:lpwstr>
      </vt:variant>
      <vt:variant>
        <vt:i4>1048629</vt:i4>
      </vt:variant>
      <vt:variant>
        <vt:i4>203</vt:i4>
      </vt:variant>
      <vt:variant>
        <vt:i4>0</vt:i4>
      </vt:variant>
      <vt:variant>
        <vt:i4>5</vt:i4>
      </vt:variant>
      <vt:variant>
        <vt:lpwstr/>
      </vt:variant>
      <vt:variant>
        <vt:lpwstr>_Toc236928352</vt:lpwstr>
      </vt:variant>
      <vt:variant>
        <vt:i4>1048629</vt:i4>
      </vt:variant>
      <vt:variant>
        <vt:i4>197</vt:i4>
      </vt:variant>
      <vt:variant>
        <vt:i4>0</vt:i4>
      </vt:variant>
      <vt:variant>
        <vt:i4>5</vt:i4>
      </vt:variant>
      <vt:variant>
        <vt:lpwstr/>
      </vt:variant>
      <vt:variant>
        <vt:lpwstr>_Toc236928351</vt:lpwstr>
      </vt:variant>
      <vt:variant>
        <vt:i4>1048629</vt:i4>
      </vt:variant>
      <vt:variant>
        <vt:i4>191</vt:i4>
      </vt:variant>
      <vt:variant>
        <vt:i4>0</vt:i4>
      </vt:variant>
      <vt:variant>
        <vt:i4>5</vt:i4>
      </vt:variant>
      <vt:variant>
        <vt:lpwstr/>
      </vt:variant>
      <vt:variant>
        <vt:lpwstr>_Toc236928350</vt:lpwstr>
      </vt:variant>
      <vt:variant>
        <vt:i4>1114165</vt:i4>
      </vt:variant>
      <vt:variant>
        <vt:i4>185</vt:i4>
      </vt:variant>
      <vt:variant>
        <vt:i4>0</vt:i4>
      </vt:variant>
      <vt:variant>
        <vt:i4>5</vt:i4>
      </vt:variant>
      <vt:variant>
        <vt:lpwstr/>
      </vt:variant>
      <vt:variant>
        <vt:lpwstr>_Toc236928349</vt:lpwstr>
      </vt:variant>
      <vt:variant>
        <vt:i4>1114165</vt:i4>
      </vt:variant>
      <vt:variant>
        <vt:i4>179</vt:i4>
      </vt:variant>
      <vt:variant>
        <vt:i4>0</vt:i4>
      </vt:variant>
      <vt:variant>
        <vt:i4>5</vt:i4>
      </vt:variant>
      <vt:variant>
        <vt:lpwstr/>
      </vt:variant>
      <vt:variant>
        <vt:lpwstr>_Toc236928348</vt:lpwstr>
      </vt:variant>
      <vt:variant>
        <vt:i4>1114165</vt:i4>
      </vt:variant>
      <vt:variant>
        <vt:i4>173</vt:i4>
      </vt:variant>
      <vt:variant>
        <vt:i4>0</vt:i4>
      </vt:variant>
      <vt:variant>
        <vt:i4>5</vt:i4>
      </vt:variant>
      <vt:variant>
        <vt:lpwstr/>
      </vt:variant>
      <vt:variant>
        <vt:lpwstr>_Toc236928347</vt:lpwstr>
      </vt:variant>
      <vt:variant>
        <vt:i4>1114165</vt:i4>
      </vt:variant>
      <vt:variant>
        <vt:i4>167</vt:i4>
      </vt:variant>
      <vt:variant>
        <vt:i4>0</vt:i4>
      </vt:variant>
      <vt:variant>
        <vt:i4>5</vt:i4>
      </vt:variant>
      <vt:variant>
        <vt:lpwstr/>
      </vt:variant>
      <vt:variant>
        <vt:lpwstr>_Toc236928346</vt:lpwstr>
      </vt:variant>
      <vt:variant>
        <vt:i4>1114165</vt:i4>
      </vt:variant>
      <vt:variant>
        <vt:i4>161</vt:i4>
      </vt:variant>
      <vt:variant>
        <vt:i4>0</vt:i4>
      </vt:variant>
      <vt:variant>
        <vt:i4>5</vt:i4>
      </vt:variant>
      <vt:variant>
        <vt:lpwstr/>
      </vt:variant>
      <vt:variant>
        <vt:lpwstr>_Toc236928345</vt:lpwstr>
      </vt:variant>
      <vt:variant>
        <vt:i4>1114165</vt:i4>
      </vt:variant>
      <vt:variant>
        <vt:i4>155</vt:i4>
      </vt:variant>
      <vt:variant>
        <vt:i4>0</vt:i4>
      </vt:variant>
      <vt:variant>
        <vt:i4>5</vt:i4>
      </vt:variant>
      <vt:variant>
        <vt:lpwstr/>
      </vt:variant>
      <vt:variant>
        <vt:lpwstr>_Toc236928344</vt:lpwstr>
      </vt:variant>
      <vt:variant>
        <vt:i4>1114165</vt:i4>
      </vt:variant>
      <vt:variant>
        <vt:i4>149</vt:i4>
      </vt:variant>
      <vt:variant>
        <vt:i4>0</vt:i4>
      </vt:variant>
      <vt:variant>
        <vt:i4>5</vt:i4>
      </vt:variant>
      <vt:variant>
        <vt:lpwstr/>
      </vt:variant>
      <vt:variant>
        <vt:lpwstr>_Toc236928343</vt:lpwstr>
      </vt:variant>
      <vt:variant>
        <vt:i4>1114165</vt:i4>
      </vt:variant>
      <vt:variant>
        <vt:i4>143</vt:i4>
      </vt:variant>
      <vt:variant>
        <vt:i4>0</vt:i4>
      </vt:variant>
      <vt:variant>
        <vt:i4>5</vt:i4>
      </vt:variant>
      <vt:variant>
        <vt:lpwstr/>
      </vt:variant>
      <vt:variant>
        <vt:lpwstr>_Toc236928342</vt:lpwstr>
      </vt:variant>
      <vt:variant>
        <vt:i4>1114165</vt:i4>
      </vt:variant>
      <vt:variant>
        <vt:i4>137</vt:i4>
      </vt:variant>
      <vt:variant>
        <vt:i4>0</vt:i4>
      </vt:variant>
      <vt:variant>
        <vt:i4>5</vt:i4>
      </vt:variant>
      <vt:variant>
        <vt:lpwstr/>
      </vt:variant>
      <vt:variant>
        <vt:lpwstr>_Toc236928341</vt:lpwstr>
      </vt:variant>
      <vt:variant>
        <vt:i4>1114165</vt:i4>
      </vt:variant>
      <vt:variant>
        <vt:i4>131</vt:i4>
      </vt:variant>
      <vt:variant>
        <vt:i4>0</vt:i4>
      </vt:variant>
      <vt:variant>
        <vt:i4>5</vt:i4>
      </vt:variant>
      <vt:variant>
        <vt:lpwstr/>
      </vt:variant>
      <vt:variant>
        <vt:lpwstr>_Toc236928340</vt:lpwstr>
      </vt:variant>
      <vt:variant>
        <vt:i4>1441845</vt:i4>
      </vt:variant>
      <vt:variant>
        <vt:i4>125</vt:i4>
      </vt:variant>
      <vt:variant>
        <vt:i4>0</vt:i4>
      </vt:variant>
      <vt:variant>
        <vt:i4>5</vt:i4>
      </vt:variant>
      <vt:variant>
        <vt:lpwstr/>
      </vt:variant>
      <vt:variant>
        <vt:lpwstr>_Toc236928339</vt:lpwstr>
      </vt:variant>
      <vt:variant>
        <vt:i4>1441845</vt:i4>
      </vt:variant>
      <vt:variant>
        <vt:i4>119</vt:i4>
      </vt:variant>
      <vt:variant>
        <vt:i4>0</vt:i4>
      </vt:variant>
      <vt:variant>
        <vt:i4>5</vt:i4>
      </vt:variant>
      <vt:variant>
        <vt:lpwstr/>
      </vt:variant>
      <vt:variant>
        <vt:lpwstr>_Toc236928338</vt:lpwstr>
      </vt:variant>
      <vt:variant>
        <vt:i4>1441845</vt:i4>
      </vt:variant>
      <vt:variant>
        <vt:i4>113</vt:i4>
      </vt:variant>
      <vt:variant>
        <vt:i4>0</vt:i4>
      </vt:variant>
      <vt:variant>
        <vt:i4>5</vt:i4>
      </vt:variant>
      <vt:variant>
        <vt:lpwstr/>
      </vt:variant>
      <vt:variant>
        <vt:lpwstr>_Toc236928337</vt:lpwstr>
      </vt:variant>
      <vt:variant>
        <vt:i4>1441845</vt:i4>
      </vt:variant>
      <vt:variant>
        <vt:i4>107</vt:i4>
      </vt:variant>
      <vt:variant>
        <vt:i4>0</vt:i4>
      </vt:variant>
      <vt:variant>
        <vt:i4>5</vt:i4>
      </vt:variant>
      <vt:variant>
        <vt:lpwstr/>
      </vt:variant>
      <vt:variant>
        <vt:lpwstr>_Toc236928336</vt:lpwstr>
      </vt:variant>
      <vt:variant>
        <vt:i4>1441845</vt:i4>
      </vt:variant>
      <vt:variant>
        <vt:i4>101</vt:i4>
      </vt:variant>
      <vt:variant>
        <vt:i4>0</vt:i4>
      </vt:variant>
      <vt:variant>
        <vt:i4>5</vt:i4>
      </vt:variant>
      <vt:variant>
        <vt:lpwstr/>
      </vt:variant>
      <vt:variant>
        <vt:lpwstr>_Toc236928335</vt:lpwstr>
      </vt:variant>
      <vt:variant>
        <vt:i4>1441845</vt:i4>
      </vt:variant>
      <vt:variant>
        <vt:i4>95</vt:i4>
      </vt:variant>
      <vt:variant>
        <vt:i4>0</vt:i4>
      </vt:variant>
      <vt:variant>
        <vt:i4>5</vt:i4>
      </vt:variant>
      <vt:variant>
        <vt:lpwstr/>
      </vt:variant>
      <vt:variant>
        <vt:lpwstr>_Toc236928334</vt:lpwstr>
      </vt:variant>
      <vt:variant>
        <vt:i4>1441845</vt:i4>
      </vt:variant>
      <vt:variant>
        <vt:i4>89</vt:i4>
      </vt:variant>
      <vt:variant>
        <vt:i4>0</vt:i4>
      </vt:variant>
      <vt:variant>
        <vt:i4>5</vt:i4>
      </vt:variant>
      <vt:variant>
        <vt:lpwstr/>
      </vt:variant>
      <vt:variant>
        <vt:lpwstr>_Toc236928333</vt:lpwstr>
      </vt:variant>
      <vt:variant>
        <vt:i4>1441845</vt:i4>
      </vt:variant>
      <vt:variant>
        <vt:i4>83</vt:i4>
      </vt:variant>
      <vt:variant>
        <vt:i4>0</vt:i4>
      </vt:variant>
      <vt:variant>
        <vt:i4>5</vt:i4>
      </vt:variant>
      <vt:variant>
        <vt:lpwstr/>
      </vt:variant>
      <vt:variant>
        <vt:lpwstr>_Toc236928332</vt:lpwstr>
      </vt:variant>
      <vt:variant>
        <vt:i4>1441845</vt:i4>
      </vt:variant>
      <vt:variant>
        <vt:i4>77</vt:i4>
      </vt:variant>
      <vt:variant>
        <vt:i4>0</vt:i4>
      </vt:variant>
      <vt:variant>
        <vt:i4>5</vt:i4>
      </vt:variant>
      <vt:variant>
        <vt:lpwstr/>
      </vt:variant>
      <vt:variant>
        <vt:lpwstr>_Toc236928331</vt:lpwstr>
      </vt:variant>
      <vt:variant>
        <vt:i4>1441845</vt:i4>
      </vt:variant>
      <vt:variant>
        <vt:i4>71</vt:i4>
      </vt:variant>
      <vt:variant>
        <vt:i4>0</vt:i4>
      </vt:variant>
      <vt:variant>
        <vt:i4>5</vt:i4>
      </vt:variant>
      <vt:variant>
        <vt:lpwstr/>
      </vt:variant>
      <vt:variant>
        <vt:lpwstr>_Toc236928330</vt:lpwstr>
      </vt:variant>
      <vt:variant>
        <vt:i4>1507381</vt:i4>
      </vt:variant>
      <vt:variant>
        <vt:i4>65</vt:i4>
      </vt:variant>
      <vt:variant>
        <vt:i4>0</vt:i4>
      </vt:variant>
      <vt:variant>
        <vt:i4>5</vt:i4>
      </vt:variant>
      <vt:variant>
        <vt:lpwstr/>
      </vt:variant>
      <vt:variant>
        <vt:lpwstr>_Toc236928329</vt:lpwstr>
      </vt:variant>
      <vt:variant>
        <vt:i4>1507381</vt:i4>
      </vt:variant>
      <vt:variant>
        <vt:i4>59</vt:i4>
      </vt:variant>
      <vt:variant>
        <vt:i4>0</vt:i4>
      </vt:variant>
      <vt:variant>
        <vt:i4>5</vt:i4>
      </vt:variant>
      <vt:variant>
        <vt:lpwstr/>
      </vt:variant>
      <vt:variant>
        <vt:lpwstr>_Toc236928328</vt:lpwstr>
      </vt:variant>
      <vt:variant>
        <vt:i4>1507381</vt:i4>
      </vt:variant>
      <vt:variant>
        <vt:i4>53</vt:i4>
      </vt:variant>
      <vt:variant>
        <vt:i4>0</vt:i4>
      </vt:variant>
      <vt:variant>
        <vt:i4>5</vt:i4>
      </vt:variant>
      <vt:variant>
        <vt:lpwstr/>
      </vt:variant>
      <vt:variant>
        <vt:lpwstr>_Toc236928327</vt:lpwstr>
      </vt:variant>
      <vt:variant>
        <vt:i4>1507381</vt:i4>
      </vt:variant>
      <vt:variant>
        <vt:i4>47</vt:i4>
      </vt:variant>
      <vt:variant>
        <vt:i4>0</vt:i4>
      </vt:variant>
      <vt:variant>
        <vt:i4>5</vt:i4>
      </vt:variant>
      <vt:variant>
        <vt:lpwstr/>
      </vt:variant>
      <vt:variant>
        <vt:lpwstr>_Toc236928326</vt:lpwstr>
      </vt:variant>
      <vt:variant>
        <vt:i4>1507381</vt:i4>
      </vt:variant>
      <vt:variant>
        <vt:i4>41</vt:i4>
      </vt:variant>
      <vt:variant>
        <vt:i4>0</vt:i4>
      </vt:variant>
      <vt:variant>
        <vt:i4>5</vt:i4>
      </vt:variant>
      <vt:variant>
        <vt:lpwstr/>
      </vt:variant>
      <vt:variant>
        <vt:lpwstr>_Toc236928325</vt:lpwstr>
      </vt:variant>
      <vt:variant>
        <vt:i4>1507381</vt:i4>
      </vt:variant>
      <vt:variant>
        <vt:i4>35</vt:i4>
      </vt:variant>
      <vt:variant>
        <vt:i4>0</vt:i4>
      </vt:variant>
      <vt:variant>
        <vt:i4>5</vt:i4>
      </vt:variant>
      <vt:variant>
        <vt:lpwstr/>
      </vt:variant>
      <vt:variant>
        <vt:lpwstr>_Toc236928324</vt:lpwstr>
      </vt:variant>
      <vt:variant>
        <vt:i4>1507381</vt:i4>
      </vt:variant>
      <vt:variant>
        <vt:i4>29</vt:i4>
      </vt:variant>
      <vt:variant>
        <vt:i4>0</vt:i4>
      </vt:variant>
      <vt:variant>
        <vt:i4>5</vt:i4>
      </vt:variant>
      <vt:variant>
        <vt:lpwstr/>
      </vt:variant>
      <vt:variant>
        <vt:lpwstr>_Toc236928323</vt:lpwstr>
      </vt:variant>
      <vt:variant>
        <vt:i4>1507381</vt:i4>
      </vt:variant>
      <vt:variant>
        <vt:i4>23</vt:i4>
      </vt:variant>
      <vt:variant>
        <vt:i4>0</vt:i4>
      </vt:variant>
      <vt:variant>
        <vt:i4>5</vt:i4>
      </vt:variant>
      <vt:variant>
        <vt:lpwstr/>
      </vt:variant>
      <vt:variant>
        <vt:lpwstr>_Toc236928322</vt:lpwstr>
      </vt:variant>
      <vt:variant>
        <vt:i4>1507381</vt:i4>
      </vt:variant>
      <vt:variant>
        <vt:i4>17</vt:i4>
      </vt:variant>
      <vt:variant>
        <vt:i4>0</vt:i4>
      </vt:variant>
      <vt:variant>
        <vt:i4>5</vt:i4>
      </vt:variant>
      <vt:variant>
        <vt:lpwstr/>
      </vt:variant>
      <vt:variant>
        <vt:lpwstr>_Toc236928321</vt:lpwstr>
      </vt:variant>
      <vt:variant>
        <vt:i4>1507381</vt:i4>
      </vt:variant>
      <vt:variant>
        <vt:i4>11</vt:i4>
      </vt:variant>
      <vt:variant>
        <vt:i4>0</vt:i4>
      </vt:variant>
      <vt:variant>
        <vt:i4>5</vt:i4>
      </vt:variant>
      <vt:variant>
        <vt:lpwstr/>
      </vt:variant>
      <vt:variant>
        <vt:lpwstr>_Toc236928320</vt:lpwstr>
      </vt:variant>
      <vt:variant>
        <vt:i4>3080252</vt:i4>
      </vt:variant>
      <vt:variant>
        <vt:i4>6</vt:i4>
      </vt:variant>
      <vt:variant>
        <vt:i4>0</vt:i4>
      </vt:variant>
      <vt:variant>
        <vt:i4>5</vt:i4>
      </vt:variant>
      <vt:variant>
        <vt:lpwstr>https://www.agriculture.gov.au/</vt:lpwstr>
      </vt:variant>
      <vt:variant>
        <vt:lpwstr/>
      </vt:variant>
      <vt:variant>
        <vt:i4>3276914</vt:i4>
      </vt:variant>
      <vt:variant>
        <vt:i4>3</vt:i4>
      </vt:variant>
      <vt:variant>
        <vt:i4>0</vt:i4>
      </vt:variant>
      <vt:variant>
        <vt:i4>5</vt:i4>
      </vt:variant>
      <vt:variant>
        <vt:lpwstr>https://www.agriculture.gov.au/publications</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Bioenergy Feedstock Strategy</dc:title>
  <dc:subject/>
  <dc:creator>Department of Agriculture, Fisheries and Forestry</dc:creator>
  <cp:keywords/>
  <cp:revision>17</cp:revision>
  <cp:lastPrinted>2022-12-03T00:20:00Z</cp:lastPrinted>
  <dcterms:created xsi:type="dcterms:W3CDTF">2026-08-15T17:40:00Z</dcterms:created>
  <dcterms:modified xsi:type="dcterms:W3CDTF">2026-08-17T05:54:00Z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ClassificationContentMarkingHeaderShapeIds">
    <vt:lpwstr>7c45417f,34ae65c4,1a5c24cc,4ece2170,385c5c59</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6bf0d454,54e7a9b7,6751b498,7308b4c6,cb3873a</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933d8be6-3c40-4052-87a2-9c2adcba8759_Enabled">
    <vt:lpwstr>true</vt:lpwstr>
  </property>
  <property fmtid="{D5CDD505-2E9C-101B-9397-08002B2CF9AE}" pid="10" name="MSIP_Label_933d8be6-3c40-4052-87a2-9c2adcba8759_SetDate">
    <vt:lpwstr>2024-07-12T06:01:47Z</vt:lpwstr>
  </property>
  <property fmtid="{D5CDD505-2E9C-101B-9397-08002B2CF9AE}" pid="11" name="MSIP_Label_933d8be6-3c40-4052-87a2-9c2adcba8759_Method">
    <vt:lpwstr>Privileged</vt:lpwstr>
  </property>
  <property fmtid="{D5CDD505-2E9C-101B-9397-08002B2CF9AE}" pid="12" name="MSIP_Label_933d8be6-3c40-4052-87a2-9c2adcba8759_Name">
    <vt:lpwstr>OFFICIAL</vt:lpwstr>
  </property>
  <property fmtid="{D5CDD505-2E9C-101B-9397-08002B2CF9AE}" pid="13" name="MSIP_Label_933d8be6-3c40-4052-87a2-9c2adcba8759_SiteId">
    <vt:lpwstr>2be67eb7-400c-4b3f-a5a1-1258c0da0696</vt:lpwstr>
  </property>
  <property fmtid="{D5CDD505-2E9C-101B-9397-08002B2CF9AE}" pid="14" name="MSIP_Label_933d8be6-3c40-4052-87a2-9c2adcba8759_ActionId">
    <vt:lpwstr>e74c9178-68c6-4a47-9773-e2c06ec2c86e</vt:lpwstr>
  </property>
  <property fmtid="{D5CDD505-2E9C-101B-9397-08002B2CF9AE}" pid="15" name="MSIP_Label_933d8be6-3c40-4052-87a2-9c2adcba8759_ContentBits">
    <vt:lpwstr>3</vt:lpwstr>
  </property>
  <property fmtid="{D5CDD505-2E9C-101B-9397-08002B2CF9AE}" pid="16" name="MediaServiceImageTags">
    <vt:lpwstr/>
  </property>
  <property fmtid="{D5CDD505-2E9C-101B-9397-08002B2CF9AE}" pid="17" name="docLang">
    <vt:lpwstr>en</vt:lpwstr>
  </property>
</Properties>
</file>