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E2" w:rsidRDefault="001342E2" w:rsidP="00731667">
      <w:pPr>
        <w:pStyle w:val="disclaimer"/>
        <w:spacing w:after="227"/>
        <w:rPr>
          <w:rStyle w:val="TextBold"/>
        </w:rPr>
      </w:pPr>
    </w:p>
    <w:p w:rsidR="001342E2" w:rsidRDefault="001342E2" w:rsidP="00731667">
      <w:pPr>
        <w:pStyle w:val="disclaimer"/>
        <w:spacing w:after="227"/>
        <w:rPr>
          <w:rStyle w:val="TextBold"/>
        </w:rPr>
      </w:pPr>
      <w:r>
        <w:rPr>
          <w:b/>
          <w:bCs/>
          <w:noProof/>
          <w:lang w:val="en-AU" w:eastAsia="en-AU"/>
        </w:rPr>
        <w:drawing>
          <wp:inline distT="0" distB="0" distL="0" distR="0">
            <wp:extent cx="3007360" cy="5942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4-26 at 1.59.57 pm.png"/>
                    <pic:cNvPicPr/>
                  </pic:nvPicPr>
                  <pic:blipFill>
                    <a:blip r:embed="rId7">
                      <a:extLst>
                        <a:ext uri="{28A0092B-C50C-407E-A947-70E740481C1C}">
                          <a14:useLocalDpi xmlns:a14="http://schemas.microsoft.com/office/drawing/2010/main" val="0"/>
                        </a:ext>
                      </a:extLst>
                    </a:blip>
                    <a:stretch>
                      <a:fillRect/>
                    </a:stretch>
                  </pic:blipFill>
                  <pic:spPr>
                    <a:xfrm>
                      <a:off x="0" y="0"/>
                      <a:ext cx="3055713" cy="603779"/>
                    </a:xfrm>
                    <a:prstGeom prst="rect">
                      <a:avLst/>
                    </a:prstGeom>
                  </pic:spPr>
                </pic:pic>
              </a:graphicData>
            </a:graphic>
          </wp:inline>
        </w:drawing>
      </w:r>
    </w:p>
    <w:p w:rsidR="001342E2" w:rsidRDefault="001342E2" w:rsidP="001342E2">
      <w:pPr>
        <w:pStyle w:val="Covertitle"/>
      </w:pPr>
    </w:p>
    <w:p w:rsidR="001342E2" w:rsidRDefault="001342E2" w:rsidP="001342E2">
      <w:pPr>
        <w:pStyle w:val="01HEADING1"/>
        <w:ind w:left="0" w:firstLine="0"/>
      </w:pPr>
      <w:bookmarkStart w:id="0" w:name="_Toc512516382"/>
      <w:r>
        <w:t>National Clea</w:t>
      </w:r>
      <w:bookmarkStart w:id="1" w:name="_GoBack"/>
      <w:bookmarkEnd w:id="1"/>
      <w:r>
        <w:t>n Air Agreement—</w:t>
      </w:r>
      <w:r>
        <w:rPr>
          <w:rStyle w:val="ITALICS"/>
        </w:rPr>
        <w:t xml:space="preserve"> </w:t>
      </w:r>
      <w:r w:rsidR="009F453F">
        <w:rPr>
          <w:rStyle w:val="ITALICS"/>
        </w:rPr>
        <w:br/>
      </w:r>
      <w:r>
        <w:t>Work Plan</w:t>
      </w:r>
      <w:bookmarkEnd w:id="0"/>
    </w:p>
    <w:p w:rsidR="001342E2" w:rsidRDefault="001342E2" w:rsidP="001342E2">
      <w:pPr>
        <w:pStyle w:val="05BODYTEXT"/>
      </w:pPr>
      <w:r>
        <w:t>The National Clean Air Agreement provides for a rolling program of activities, as specified in the work plan, to respond to air quality priorities.</w:t>
      </w:r>
    </w:p>
    <w:p w:rsidR="001342E2" w:rsidRDefault="001342E2" w:rsidP="001342E2">
      <w:pPr>
        <w:pStyle w:val="05BODYTEXT"/>
      </w:pPr>
      <w:r>
        <w:t xml:space="preserve">The work plan will be formally reviewed by Environment Ministers every two years, to ensure that actions under the Agreement remain relevant and to maintain accountability for delivery. This does not preclude an action being completed or implemented ahead of this timeframe, nor priorities being identified for potential inclusion in the work plan in the interim. The agreed work plan, including updates, will be made publicly available. </w:t>
      </w:r>
    </w:p>
    <w:p w:rsidR="001342E2" w:rsidRDefault="001342E2" w:rsidP="001342E2">
      <w:pPr>
        <w:pStyle w:val="02HEADING2"/>
      </w:pPr>
      <w:bookmarkStart w:id="2" w:name="_Toc512516383"/>
      <w:r>
        <w:t>Work plan – 2018 to 2020</w:t>
      </w:r>
      <w:bookmarkEnd w:id="2"/>
    </w:p>
    <w:p w:rsidR="001342E2" w:rsidRDefault="001342E2" w:rsidP="001342E2">
      <w:pPr>
        <w:pStyle w:val="05BODYTEXT"/>
        <w:rPr>
          <w:rStyle w:val="ITALICS"/>
        </w:rPr>
      </w:pPr>
      <w:r>
        <w:t>The 2018-2020 work plan updates the 2015-2017 work plan by removing those actions that have been completed and updating ongoing actions. It continues to cover a range of long-standing air quality priorities, as well as supporting delivery of a number of new initiatives and scoping projects regarding</w:t>
      </w:r>
      <w:r>
        <w:rPr>
          <w:rStyle w:val="ITALICS"/>
        </w:rPr>
        <w:t xml:space="preserve"> </w:t>
      </w:r>
      <w:r>
        <w:t>air quality issues.</w:t>
      </w:r>
      <w:r>
        <w:rPr>
          <w:rStyle w:val="ITALICS"/>
        </w:rPr>
        <w:t xml:space="preserve"> </w:t>
      </w: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F731DF" w:rsidRDefault="00F731DF" w:rsidP="001342E2">
      <w:pPr>
        <w:pStyle w:val="05BODYTEXT"/>
        <w:rPr>
          <w:rStyle w:val="ITALICS"/>
        </w:rPr>
      </w:pPr>
    </w:p>
    <w:p w:rsidR="007C24BC" w:rsidRDefault="007C24BC" w:rsidP="001342E2">
      <w:pPr>
        <w:pStyle w:val="Subhead2"/>
        <w:spacing w:after="170"/>
        <w:ind w:left="0" w:firstLine="0"/>
        <w:sectPr w:rsidR="007C24BC" w:rsidSect="00CE7DD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302" w:gutter="0"/>
          <w:cols w:space="708"/>
          <w:docGrid w:linePitch="360"/>
        </w:sectPr>
      </w:pPr>
    </w:p>
    <w:p w:rsidR="00CE7DD1" w:rsidRDefault="00CE7DD1" w:rsidP="00CE7DD1">
      <w:pPr>
        <w:pStyle w:val="Subhead2"/>
        <w:spacing w:before="0" w:after="170"/>
        <w:ind w:left="0" w:firstLine="0"/>
      </w:pPr>
      <w:r>
        <w:lastRenderedPageBreak/>
        <w:t>Work Plan 2018-2020</w:t>
      </w:r>
    </w:p>
    <w:tbl>
      <w:tblPr>
        <w:tblW w:w="14459" w:type="dxa"/>
        <w:tblInd w:w="-8" w:type="dxa"/>
        <w:tblLayout w:type="fixed"/>
        <w:tblCellMar>
          <w:left w:w="0" w:type="dxa"/>
          <w:right w:w="0" w:type="dxa"/>
        </w:tblCellMar>
        <w:tblLook w:val="0000" w:firstRow="0" w:lastRow="0" w:firstColumn="0" w:lastColumn="0" w:noHBand="0" w:noVBand="0"/>
      </w:tblPr>
      <w:tblGrid>
        <w:gridCol w:w="1672"/>
        <w:gridCol w:w="3998"/>
        <w:gridCol w:w="1276"/>
        <w:gridCol w:w="7513"/>
      </w:tblGrid>
      <w:tr w:rsidR="00CE7DD1" w:rsidTr="007E6E69">
        <w:trPr>
          <w:trHeight w:val="60"/>
          <w:tblHeader/>
        </w:trPr>
        <w:tc>
          <w:tcPr>
            <w:tcW w:w="1672" w:type="dxa"/>
            <w:tcBorders>
              <w:top w:val="single" w:sz="4" w:space="0" w:color="13508F"/>
              <w:left w:val="single" w:sz="6" w:space="0" w:color="000000"/>
              <w:bottom w:val="single" w:sz="4" w:space="0" w:color="13508F"/>
              <w:right w:val="single" w:sz="6" w:space="0" w:color="000000"/>
            </w:tcBorders>
            <w:shd w:val="solid" w:color="134F8E" w:fill="auto"/>
            <w:tcMar>
              <w:top w:w="113" w:type="dxa"/>
              <w:left w:w="113" w:type="dxa"/>
              <w:bottom w:w="113" w:type="dxa"/>
              <w:right w:w="113" w:type="dxa"/>
            </w:tcMar>
          </w:tcPr>
          <w:p w:rsidR="00CE7DD1" w:rsidRPr="007C24BC" w:rsidRDefault="00CE7DD1" w:rsidP="007E6E69">
            <w:pPr>
              <w:pStyle w:val="07TABLEHEADERROW"/>
              <w:spacing w:after="0" w:line="240" w:lineRule="auto"/>
              <w:rPr>
                <w:color w:val="FFFFFF" w:themeColor="background1"/>
              </w:rPr>
            </w:pPr>
            <w:r w:rsidRPr="007C24BC">
              <w:rPr>
                <w:color w:val="FFFFFF" w:themeColor="background1"/>
              </w:rPr>
              <w:t>Approach</w:t>
            </w:r>
          </w:p>
        </w:tc>
        <w:tc>
          <w:tcPr>
            <w:tcW w:w="3998" w:type="dxa"/>
            <w:tcBorders>
              <w:top w:val="single" w:sz="4" w:space="0" w:color="13508F"/>
              <w:left w:val="single" w:sz="6" w:space="0" w:color="000000"/>
              <w:bottom w:val="single" w:sz="4" w:space="0" w:color="13508F"/>
              <w:right w:val="single" w:sz="6" w:space="0" w:color="000000"/>
            </w:tcBorders>
            <w:shd w:val="solid" w:color="134F8E" w:fill="auto"/>
            <w:tcMar>
              <w:top w:w="113" w:type="dxa"/>
              <w:left w:w="113" w:type="dxa"/>
              <w:bottom w:w="113" w:type="dxa"/>
              <w:right w:w="113" w:type="dxa"/>
            </w:tcMar>
          </w:tcPr>
          <w:p w:rsidR="00CE7DD1" w:rsidRPr="007C24BC" w:rsidRDefault="00CE7DD1" w:rsidP="007E6E69">
            <w:pPr>
              <w:pStyle w:val="07TABLEHEADERROW"/>
              <w:spacing w:after="0" w:line="240" w:lineRule="auto"/>
              <w:rPr>
                <w:color w:val="FFFFFF" w:themeColor="background1"/>
              </w:rPr>
            </w:pPr>
            <w:r w:rsidRPr="007C24BC">
              <w:rPr>
                <w:color w:val="FFFFFF" w:themeColor="background1"/>
              </w:rPr>
              <w:t>Priority areas</w:t>
            </w:r>
          </w:p>
        </w:tc>
        <w:tc>
          <w:tcPr>
            <w:tcW w:w="1276" w:type="dxa"/>
            <w:tcBorders>
              <w:top w:val="single" w:sz="4" w:space="0" w:color="13508F"/>
              <w:left w:val="single" w:sz="6" w:space="0" w:color="000000"/>
              <w:bottom w:val="single" w:sz="4" w:space="0" w:color="13508F"/>
              <w:right w:val="single" w:sz="6" w:space="0" w:color="000000"/>
            </w:tcBorders>
            <w:shd w:val="solid" w:color="134F8E" w:fill="auto"/>
            <w:tcMar>
              <w:top w:w="113" w:type="dxa"/>
              <w:left w:w="113" w:type="dxa"/>
              <w:bottom w:w="113" w:type="dxa"/>
              <w:right w:w="113" w:type="dxa"/>
            </w:tcMar>
          </w:tcPr>
          <w:p w:rsidR="00CE7DD1" w:rsidRPr="007C24BC" w:rsidRDefault="00CE7DD1" w:rsidP="007E6E69">
            <w:pPr>
              <w:pStyle w:val="07TABLEHEADERROW"/>
              <w:spacing w:after="0" w:line="240" w:lineRule="auto"/>
              <w:rPr>
                <w:color w:val="FFFFFF" w:themeColor="background1"/>
              </w:rPr>
            </w:pPr>
            <w:r w:rsidRPr="007C24BC">
              <w:rPr>
                <w:color w:val="FFFFFF" w:themeColor="background1"/>
              </w:rPr>
              <w:t xml:space="preserve">Lead </w:t>
            </w:r>
          </w:p>
        </w:tc>
        <w:tc>
          <w:tcPr>
            <w:tcW w:w="7513" w:type="dxa"/>
            <w:tcBorders>
              <w:top w:val="single" w:sz="4" w:space="0" w:color="13508F"/>
              <w:left w:val="single" w:sz="6" w:space="0" w:color="000000"/>
              <w:bottom w:val="single" w:sz="4" w:space="0" w:color="13508F"/>
              <w:right w:val="single" w:sz="6" w:space="0" w:color="000000"/>
            </w:tcBorders>
            <w:shd w:val="solid" w:color="134F8E" w:fill="auto"/>
            <w:tcMar>
              <w:top w:w="113" w:type="dxa"/>
              <w:left w:w="113" w:type="dxa"/>
              <w:bottom w:w="113" w:type="dxa"/>
              <w:right w:w="113" w:type="dxa"/>
            </w:tcMar>
          </w:tcPr>
          <w:p w:rsidR="00CE7DD1" w:rsidRPr="007C24BC" w:rsidRDefault="00CE7DD1" w:rsidP="007E6E69">
            <w:pPr>
              <w:pStyle w:val="07TABLEHEADERROW"/>
              <w:spacing w:after="0" w:line="240" w:lineRule="auto"/>
              <w:rPr>
                <w:color w:val="FFFFFF" w:themeColor="background1"/>
              </w:rPr>
            </w:pPr>
            <w:r w:rsidRPr="007C24BC">
              <w:rPr>
                <w:color w:val="FFFFFF" w:themeColor="background1"/>
              </w:rPr>
              <w:t>Action/Timeframe</w:t>
            </w:r>
          </w:p>
        </w:tc>
      </w:tr>
      <w:tr w:rsidR="00CE7DD1" w:rsidTr="007E6E69">
        <w:trPr>
          <w:trHeight w:val="60"/>
        </w:trPr>
        <w:tc>
          <w:tcPr>
            <w:tcW w:w="1672" w:type="dxa"/>
            <w:vMerge w:val="restart"/>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Standards</w:t>
            </w: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Review latest scientific evidence of health impacts in relation to annual average PM</w:t>
            </w:r>
            <w:r>
              <w:rPr>
                <w:vertAlign w:val="subscript"/>
              </w:rPr>
              <w:t>10</w:t>
            </w:r>
            <w:r>
              <w:t xml:space="preserve"> standards in the National Environment Protection (Ambient Air Quality) Measure</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 xml:space="preserve">NSW and VIC </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Commence review of latest scientific evidence of health impacts following update of the World Health Organization’s current (2005) ambient air quality standard guidelines expected in 2019.</w:t>
            </w:r>
          </w:p>
        </w:tc>
      </w:tr>
      <w:tr w:rsidR="00CE7DD1" w:rsidTr="007E6E69">
        <w:trPr>
          <w:trHeight w:val="60"/>
        </w:trPr>
        <w:tc>
          <w:tcPr>
            <w:tcW w:w="1672" w:type="dxa"/>
            <w:vMerge/>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NoParagraphStyle"/>
              <w:spacing w:line="240" w:lineRule="auto"/>
              <w:textAlignment w:val="auto"/>
              <w:rPr>
                <w:rFonts w:cstheme="minorBidi"/>
                <w:color w:val="auto"/>
              </w:rPr>
            </w:pP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Complete review of National Environment Protection (Ambient Air Quality) Measure sulfur dioxide, nitrogen dioxide and ozone standards</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VIC</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Present proposed standards to the National Environment Protection Council for consideration, with a view to strengthening the standards by the end of 2019.</w:t>
            </w:r>
          </w:p>
        </w:tc>
      </w:tr>
      <w:tr w:rsidR="00CE7DD1" w:rsidTr="007E6E69">
        <w:trPr>
          <w:trHeight w:val="60"/>
        </w:trPr>
        <w:tc>
          <w:tcPr>
            <w:tcW w:w="1672" w:type="dxa"/>
            <w:vMerge/>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NoParagraphStyle"/>
              <w:spacing w:line="240" w:lineRule="auto"/>
              <w:textAlignment w:val="auto"/>
              <w:rPr>
                <w:rFonts w:cstheme="minorBidi"/>
                <w:color w:val="auto"/>
              </w:rPr>
            </w:pP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 xml:space="preserve">Review legislative instruments made under the </w:t>
            </w:r>
            <w:r>
              <w:rPr>
                <w:rStyle w:val="ITALIC"/>
              </w:rPr>
              <w:t>Fuel Quality Standards Act 2000</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proofErr w:type="spellStart"/>
            <w:r>
              <w:t>Cth</w:t>
            </w:r>
            <w:proofErr w:type="spellEnd"/>
            <w:r>
              <w:t xml:space="preserve"> </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Assess options to improve fuel quality standards through regulation impact statement and public consultation processes during 2018. Outcomes due to be completed by 1 October 2019.</w:t>
            </w:r>
          </w:p>
        </w:tc>
      </w:tr>
      <w:tr w:rsidR="00CE7DD1" w:rsidTr="007E6E69">
        <w:trPr>
          <w:trHeight w:val="60"/>
        </w:trPr>
        <w:tc>
          <w:tcPr>
            <w:tcW w:w="1672" w:type="dxa"/>
            <w:vMerge/>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NoParagraphStyle"/>
              <w:spacing w:line="240" w:lineRule="auto"/>
              <w:textAlignment w:val="auto"/>
              <w:rPr>
                <w:rFonts w:cstheme="minorBidi"/>
                <w:color w:val="auto"/>
              </w:rPr>
            </w:pP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Review the need for the Air Toxics and Diesel Vehicle Emissions National Environment Protection Measures (NEPMs)</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proofErr w:type="spellStart"/>
            <w:r>
              <w:t>Cth</w:t>
            </w:r>
            <w:proofErr w:type="spellEnd"/>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 xml:space="preserve">Complete the review in 2018 through a survey of jurisdictional needs for the NEPMs. If this review concludes that the NEPMs should be varied or revoked, this significant body of work would proceed following amendments to the </w:t>
            </w:r>
            <w:r>
              <w:rPr>
                <w:rStyle w:val="ITALIC"/>
              </w:rPr>
              <w:t>National Environment Protection Council Act 1994</w:t>
            </w:r>
            <w:r>
              <w:t xml:space="preserve"> to streamline provisions governing NEPM review processes. </w:t>
            </w:r>
          </w:p>
        </w:tc>
      </w:tr>
      <w:tr w:rsidR="00CE7DD1" w:rsidTr="007E6E69">
        <w:trPr>
          <w:trHeight w:val="60"/>
        </w:trPr>
        <w:tc>
          <w:tcPr>
            <w:tcW w:w="1672" w:type="dxa"/>
            <w:vMerge w:val="restart"/>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Emission reduction measures</w:t>
            </w: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Reduce emissions from wood heaters</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All</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Jurisdictions to complete adoption of new wood heater emissions and efficiency standards in 2018 and to continue sharing best practice management approaches information.</w:t>
            </w:r>
          </w:p>
        </w:tc>
      </w:tr>
      <w:tr w:rsidR="00CE7DD1" w:rsidTr="007E6E69">
        <w:trPr>
          <w:trHeight w:val="60"/>
        </w:trPr>
        <w:tc>
          <w:tcPr>
            <w:tcW w:w="1672" w:type="dxa"/>
            <w:vMerge/>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NoParagraphStyle"/>
              <w:spacing w:line="240" w:lineRule="auto"/>
              <w:textAlignment w:val="auto"/>
              <w:rPr>
                <w:rFonts w:cstheme="minorBidi"/>
                <w:color w:val="auto"/>
              </w:rPr>
            </w:pP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Management of non-road diesel engine emissions</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proofErr w:type="spellStart"/>
            <w:r>
              <w:t>Cth</w:t>
            </w:r>
            <w:proofErr w:type="spellEnd"/>
            <w:r>
              <w:t xml:space="preserve"> and NSW </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Evaluate the potential for a national approach to manage non-road diesel engine emissions by the end of 2019.</w:t>
            </w:r>
          </w:p>
        </w:tc>
      </w:tr>
      <w:tr w:rsidR="00CE7DD1" w:rsidTr="007E6E69">
        <w:trPr>
          <w:trHeight w:val="60"/>
        </w:trPr>
        <w:tc>
          <w:tcPr>
            <w:tcW w:w="1672"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Partnerships and cooperation</w:t>
            </w: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Engage and explore opportunities with non-government stakeholders to positively influence air quality outcomes</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All</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Seek opportunities to engage with the non-government sector to identify effective non-regulatory approaches to manage air quality and influence</w:t>
            </w:r>
            <w:r>
              <w:rPr>
                <w:rStyle w:val="ITALICS"/>
              </w:rPr>
              <w:t xml:space="preserve"> </w:t>
            </w:r>
            <w:r>
              <w:t>better air quality outcomes (ongoing).</w:t>
            </w:r>
          </w:p>
        </w:tc>
      </w:tr>
      <w:tr w:rsidR="00CE7DD1" w:rsidTr="007E6E69">
        <w:trPr>
          <w:trHeight w:val="60"/>
        </w:trPr>
        <w:tc>
          <w:tcPr>
            <w:tcW w:w="1672"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Better knowledge, education and awareness</w:t>
            </w: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Improve access to reliable air quality information for researchers, policy makers and the community</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proofErr w:type="spellStart"/>
            <w:r>
              <w:t>Cth</w:t>
            </w:r>
            <w:proofErr w:type="spellEnd"/>
            <w:r>
              <w:t xml:space="preserve"> </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 xml:space="preserve">National Environmental Science Programme – Clean Air and Urban Landscapes Hub. A six-year funded </w:t>
            </w:r>
            <w:proofErr w:type="spellStart"/>
            <w:r>
              <w:t>programme</w:t>
            </w:r>
            <w:proofErr w:type="spellEnd"/>
            <w:r>
              <w:t xml:space="preserve"> with hubs commencing early 2015. </w:t>
            </w:r>
          </w:p>
        </w:tc>
      </w:tr>
      <w:tr w:rsidR="00CE7DD1" w:rsidTr="007E6E69">
        <w:trPr>
          <w:trHeight w:val="60"/>
        </w:trPr>
        <w:tc>
          <w:tcPr>
            <w:tcW w:w="1672"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NoParagraphStyle"/>
              <w:spacing w:line="240" w:lineRule="auto"/>
              <w:textAlignment w:val="auto"/>
              <w:rPr>
                <w:rFonts w:cstheme="minorBidi"/>
                <w:color w:val="auto"/>
              </w:rPr>
            </w:pPr>
          </w:p>
        </w:tc>
        <w:tc>
          <w:tcPr>
            <w:tcW w:w="3998"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National Pollutant Inventory reforms</w:t>
            </w:r>
          </w:p>
        </w:tc>
        <w:tc>
          <w:tcPr>
            <w:tcW w:w="1276"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proofErr w:type="spellStart"/>
            <w:r>
              <w:t>Cth</w:t>
            </w:r>
            <w:proofErr w:type="spellEnd"/>
            <w:r>
              <w:t xml:space="preserve"> </w:t>
            </w:r>
          </w:p>
        </w:tc>
        <w:tc>
          <w:tcPr>
            <w:tcW w:w="7513" w:type="dxa"/>
            <w:tcBorders>
              <w:top w:val="single" w:sz="4" w:space="0" w:color="13508F"/>
              <w:left w:val="single" w:sz="6" w:space="0" w:color="000000"/>
              <w:bottom w:val="single" w:sz="4" w:space="0" w:color="13508F"/>
              <w:right w:val="single" w:sz="6" w:space="0" w:color="000000"/>
            </w:tcBorders>
            <w:tcMar>
              <w:top w:w="113" w:type="dxa"/>
              <w:left w:w="113" w:type="dxa"/>
              <w:bottom w:w="113" w:type="dxa"/>
              <w:right w:w="113" w:type="dxa"/>
            </w:tcMar>
          </w:tcPr>
          <w:p w:rsidR="00CE7DD1" w:rsidRDefault="00CE7DD1" w:rsidP="007E6E69">
            <w:pPr>
              <w:pStyle w:val="08TABLETEXT"/>
              <w:spacing w:after="0" w:line="240" w:lineRule="auto"/>
            </w:pPr>
            <w:r>
              <w:t>Complete the review of the Inventory, in accordance with the Terms of Reference approved by the National Environment Protection Council in November 2016, for its consideration in late 2018.</w:t>
            </w:r>
            <w:r>
              <w:rPr>
                <w:rStyle w:val="FootnoteReference"/>
              </w:rPr>
              <w:footnoteReference w:id="1"/>
            </w:r>
            <w:r>
              <w:rPr>
                <w:rStyle w:val="ITALICS"/>
              </w:rPr>
              <w:t xml:space="preserve"> </w:t>
            </w:r>
            <w:r>
              <w:t>Commence implementation of review outcomes as agreed by the Council.</w:t>
            </w:r>
          </w:p>
        </w:tc>
      </w:tr>
    </w:tbl>
    <w:p w:rsidR="009F453F" w:rsidRDefault="009F453F">
      <w:pPr>
        <w:rPr>
          <w:rFonts w:ascii="Calibri" w:hAnsi="Calibri" w:cs="Calibri"/>
          <w:color w:val="000000"/>
          <w:sz w:val="18"/>
          <w:szCs w:val="18"/>
          <w:lang w:val="en-US"/>
        </w:rPr>
      </w:pPr>
    </w:p>
    <w:sectPr w:rsidR="009F453F" w:rsidSect="00CE7DD1">
      <w:footnotePr>
        <w:numRestart w:val="eachSect"/>
      </w:footnotePr>
      <w:pgSz w:w="16840" w:h="11900" w:orient="landscape"/>
      <w:pgMar w:top="474" w:right="1440" w:bottom="916" w:left="1440" w:header="708"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CA" w:rsidRDefault="00ED4FCA" w:rsidP="005A216B">
      <w:r>
        <w:separator/>
      </w:r>
    </w:p>
  </w:endnote>
  <w:endnote w:type="continuationSeparator" w:id="0">
    <w:p w:rsidR="00ED4FCA" w:rsidRDefault="00ED4FCA" w:rsidP="005A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5812310"/>
      <w:docPartObj>
        <w:docPartGallery w:val="Page Numbers (Bottom of Page)"/>
        <w:docPartUnique/>
      </w:docPartObj>
    </w:sdtPr>
    <w:sdtEndPr>
      <w:rPr>
        <w:rStyle w:val="PageNumber"/>
      </w:rPr>
    </w:sdtEndPr>
    <w:sdtContent>
      <w:p w:rsidR="00A772A4" w:rsidRDefault="00A772A4" w:rsidP="00E15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772A4" w:rsidRDefault="00A772A4" w:rsidP="00A772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4999655"/>
      <w:docPartObj>
        <w:docPartGallery w:val="Page Numbers (Bottom of Page)"/>
        <w:docPartUnique/>
      </w:docPartObj>
    </w:sdtPr>
    <w:sdtEndPr>
      <w:rPr>
        <w:rStyle w:val="PageNumber"/>
        <w:sz w:val="18"/>
        <w:szCs w:val="18"/>
      </w:rPr>
    </w:sdtEndPr>
    <w:sdtContent>
      <w:p w:rsidR="00A772A4" w:rsidRPr="00A772A4" w:rsidRDefault="00A772A4" w:rsidP="00E15D42">
        <w:pPr>
          <w:pStyle w:val="Footer"/>
          <w:framePr w:wrap="none" w:vAnchor="text" w:hAnchor="margin" w:xAlign="right" w:y="1"/>
          <w:rPr>
            <w:rStyle w:val="PageNumber"/>
            <w:sz w:val="18"/>
            <w:szCs w:val="18"/>
          </w:rPr>
        </w:pPr>
        <w:r w:rsidRPr="00A772A4">
          <w:rPr>
            <w:rStyle w:val="PageNumber"/>
            <w:sz w:val="18"/>
            <w:szCs w:val="18"/>
          </w:rPr>
          <w:fldChar w:fldCharType="begin"/>
        </w:r>
        <w:r w:rsidRPr="00A772A4">
          <w:rPr>
            <w:rStyle w:val="PageNumber"/>
            <w:sz w:val="18"/>
            <w:szCs w:val="18"/>
          </w:rPr>
          <w:instrText xml:space="preserve"> PAGE </w:instrText>
        </w:r>
        <w:r w:rsidRPr="00A772A4">
          <w:rPr>
            <w:rStyle w:val="PageNumber"/>
            <w:sz w:val="18"/>
            <w:szCs w:val="18"/>
          </w:rPr>
          <w:fldChar w:fldCharType="separate"/>
        </w:r>
        <w:r w:rsidR="00C425E1">
          <w:rPr>
            <w:rStyle w:val="PageNumber"/>
            <w:noProof/>
            <w:sz w:val="18"/>
            <w:szCs w:val="18"/>
          </w:rPr>
          <w:t>2</w:t>
        </w:r>
        <w:r w:rsidRPr="00A772A4">
          <w:rPr>
            <w:rStyle w:val="PageNumber"/>
            <w:sz w:val="18"/>
            <w:szCs w:val="18"/>
          </w:rPr>
          <w:fldChar w:fldCharType="end"/>
        </w:r>
      </w:p>
    </w:sdtContent>
  </w:sdt>
  <w:p w:rsidR="00A772A4" w:rsidRPr="00A772A4" w:rsidRDefault="00A772A4" w:rsidP="00A772A4">
    <w:pPr>
      <w:pStyle w:val="Footer"/>
      <w:ind w:right="360"/>
      <w:rPr>
        <w:rFonts w:ascii="Calibri" w:hAnsi="Calibri" w:cs="Calibri"/>
        <w:color w:val="13508F"/>
        <w:sz w:val="16"/>
        <w:szCs w:val="16"/>
        <w:lang w:val="en-GB"/>
      </w:rPr>
    </w:pPr>
    <w:r w:rsidRPr="00A772A4">
      <w:rPr>
        <w:rFonts w:ascii="Calibri" w:hAnsi="Calibri" w:cs="Calibri"/>
        <w:color w:val="13508F"/>
        <w:sz w:val="16"/>
        <w:szCs w:val="16"/>
        <w:lang w:val="en-GB"/>
      </w:rPr>
      <w:t xml:space="preserve">National Clean Air Agreement | Work Plan </w:t>
    </w:r>
  </w:p>
  <w:p w:rsidR="00A772A4" w:rsidRDefault="00A772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E1" w:rsidRDefault="00C42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CA" w:rsidRDefault="00ED4FCA" w:rsidP="005A216B">
      <w:r>
        <w:separator/>
      </w:r>
    </w:p>
  </w:footnote>
  <w:footnote w:type="continuationSeparator" w:id="0">
    <w:p w:rsidR="00ED4FCA" w:rsidRDefault="00ED4FCA" w:rsidP="005A216B">
      <w:r>
        <w:continuationSeparator/>
      </w:r>
    </w:p>
  </w:footnote>
  <w:footnote w:id="1">
    <w:p w:rsidR="00CE7DD1" w:rsidRPr="007C24BC" w:rsidRDefault="00CE7DD1" w:rsidP="00CE7DD1">
      <w:pPr>
        <w:pStyle w:val="10FOOTNOTE"/>
      </w:pPr>
      <w:r>
        <w:rPr>
          <w:rStyle w:val="FootnoteReference"/>
        </w:rPr>
        <w:footnoteRef/>
      </w:r>
      <w:r>
        <w:t xml:space="preserve"> Terms of Reference available at: </w:t>
      </w:r>
      <w:r>
        <w:rPr>
          <w:rStyle w:val="Hyperlink"/>
        </w:rPr>
        <w:t>http://www.npi.gov.au/resource/national-pollutant-inventory-review-2017-terms-reference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E1" w:rsidRDefault="00C42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16B" w:rsidRDefault="005A216B" w:rsidP="005A216B">
    <w:pPr>
      <w:pStyle w:val="Header"/>
      <w:tabs>
        <w:tab w:val="clear" w:pos="9026"/>
        <w:tab w:val="right" w:pos="9020"/>
      </w:tabs>
      <w:ind w:left="-4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E1" w:rsidRDefault="00C42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6B"/>
    <w:rsid w:val="0000579B"/>
    <w:rsid w:val="000164DF"/>
    <w:rsid w:val="001342E2"/>
    <w:rsid w:val="00213AD5"/>
    <w:rsid w:val="002178C7"/>
    <w:rsid w:val="00305CFD"/>
    <w:rsid w:val="004959DD"/>
    <w:rsid w:val="005A1EBC"/>
    <w:rsid w:val="005A216B"/>
    <w:rsid w:val="00731667"/>
    <w:rsid w:val="007C24BC"/>
    <w:rsid w:val="00883F32"/>
    <w:rsid w:val="009F453F"/>
    <w:rsid w:val="00A772A4"/>
    <w:rsid w:val="00C170E5"/>
    <w:rsid w:val="00C425E1"/>
    <w:rsid w:val="00CE7DD1"/>
    <w:rsid w:val="00ED4FCA"/>
    <w:rsid w:val="00F731DF"/>
    <w:rsid w:val="00FF2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27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16B"/>
    <w:pPr>
      <w:tabs>
        <w:tab w:val="center" w:pos="4513"/>
        <w:tab w:val="right" w:pos="9026"/>
      </w:tabs>
    </w:pPr>
  </w:style>
  <w:style w:type="character" w:customStyle="1" w:styleId="HeaderChar">
    <w:name w:val="Header Char"/>
    <w:basedOn w:val="DefaultParagraphFont"/>
    <w:link w:val="Header"/>
    <w:uiPriority w:val="99"/>
    <w:rsid w:val="005A216B"/>
  </w:style>
  <w:style w:type="paragraph" w:styleId="Footer">
    <w:name w:val="footer"/>
    <w:basedOn w:val="Normal"/>
    <w:link w:val="FooterChar"/>
    <w:uiPriority w:val="99"/>
    <w:unhideWhenUsed/>
    <w:rsid w:val="005A216B"/>
    <w:pPr>
      <w:tabs>
        <w:tab w:val="center" w:pos="4513"/>
        <w:tab w:val="right" w:pos="9026"/>
      </w:tabs>
    </w:pPr>
  </w:style>
  <w:style w:type="character" w:customStyle="1" w:styleId="FooterChar">
    <w:name w:val="Footer Char"/>
    <w:basedOn w:val="DefaultParagraphFont"/>
    <w:link w:val="Footer"/>
    <w:uiPriority w:val="99"/>
    <w:rsid w:val="005A216B"/>
  </w:style>
  <w:style w:type="paragraph" w:customStyle="1" w:styleId="NoParagraphStyle">
    <w:name w:val="[No Paragraph Style]"/>
    <w:rsid w:val="00731667"/>
    <w:pPr>
      <w:autoSpaceDE w:val="0"/>
      <w:autoSpaceDN w:val="0"/>
      <w:adjustRightInd w:val="0"/>
      <w:spacing w:line="288" w:lineRule="auto"/>
      <w:textAlignment w:val="center"/>
    </w:pPr>
    <w:rPr>
      <w:rFonts w:ascii="Times" w:hAnsi="Times" w:cs="Times"/>
      <w:color w:val="000000"/>
      <w:lang w:val="en-US"/>
    </w:rPr>
  </w:style>
  <w:style w:type="paragraph" w:customStyle="1" w:styleId="05BODYTEXT">
    <w:name w:val="05. BODY TEXT"/>
    <w:basedOn w:val="NoParagraphStyle"/>
    <w:uiPriority w:val="99"/>
    <w:rsid w:val="00731667"/>
    <w:pPr>
      <w:suppressAutoHyphens/>
      <w:spacing w:after="170" w:line="280" w:lineRule="atLeast"/>
    </w:pPr>
    <w:rPr>
      <w:rFonts w:ascii="Calibri" w:hAnsi="Calibri" w:cs="Calibri"/>
      <w:sz w:val="20"/>
      <w:szCs w:val="20"/>
    </w:rPr>
  </w:style>
  <w:style w:type="paragraph" w:customStyle="1" w:styleId="disclaimer">
    <w:name w:val="disclaimer"/>
    <w:basedOn w:val="05BODYTEXT"/>
    <w:uiPriority w:val="99"/>
    <w:rsid w:val="00731667"/>
    <w:pPr>
      <w:spacing w:line="240" w:lineRule="atLeast"/>
    </w:pPr>
    <w:rPr>
      <w:sz w:val="18"/>
      <w:szCs w:val="18"/>
    </w:rPr>
  </w:style>
  <w:style w:type="paragraph" w:customStyle="1" w:styleId="01HEADING1">
    <w:name w:val="01. HEADING 1"/>
    <w:basedOn w:val="NoParagraphStyle"/>
    <w:uiPriority w:val="99"/>
    <w:rsid w:val="00731667"/>
    <w:pPr>
      <w:suppressAutoHyphens/>
      <w:spacing w:before="567" w:after="283" w:line="620" w:lineRule="atLeast"/>
      <w:ind w:left="680" w:hanging="680"/>
    </w:pPr>
    <w:rPr>
      <w:rFonts w:ascii="Calibri" w:hAnsi="Calibri" w:cs="Calibri"/>
      <w:color w:val="13508F"/>
      <w:sz w:val="52"/>
      <w:szCs w:val="52"/>
    </w:rPr>
  </w:style>
  <w:style w:type="paragraph" w:customStyle="1" w:styleId="06aDOTPOINTS1">
    <w:name w:val="06a. DOT POINTS 1"/>
    <w:basedOn w:val="05BODYTEXT"/>
    <w:uiPriority w:val="99"/>
    <w:rsid w:val="00731667"/>
    <w:pPr>
      <w:spacing w:after="113"/>
      <w:ind w:left="283" w:hanging="283"/>
    </w:pPr>
  </w:style>
  <w:style w:type="paragraph" w:customStyle="1" w:styleId="02HEADING2">
    <w:name w:val="02. HEADING 2"/>
    <w:basedOn w:val="NoParagraphStyle"/>
    <w:uiPriority w:val="99"/>
    <w:rsid w:val="00731667"/>
    <w:pPr>
      <w:suppressAutoHyphens/>
      <w:spacing w:before="397" w:after="170" w:line="380" w:lineRule="atLeast"/>
      <w:ind w:left="680" w:hanging="680"/>
    </w:pPr>
    <w:rPr>
      <w:rFonts w:ascii="Calibri" w:hAnsi="Calibri" w:cs="Calibri"/>
      <w:b/>
      <w:bCs/>
      <w:color w:val="13508F"/>
      <w:sz w:val="32"/>
      <w:szCs w:val="32"/>
    </w:rPr>
  </w:style>
  <w:style w:type="paragraph" w:customStyle="1" w:styleId="08TABLEHEADING">
    <w:name w:val="08_TABLE HEADING"/>
    <w:basedOn w:val="NoParagraphStyle"/>
    <w:uiPriority w:val="99"/>
    <w:rsid w:val="00731667"/>
    <w:pPr>
      <w:keepNext/>
      <w:spacing w:after="113" w:line="280" w:lineRule="atLeast"/>
    </w:pPr>
    <w:rPr>
      <w:rFonts w:ascii="Calibri" w:hAnsi="Calibri" w:cs="Calibri"/>
      <w:b/>
      <w:bCs/>
      <w:sz w:val="20"/>
      <w:szCs w:val="20"/>
    </w:rPr>
  </w:style>
  <w:style w:type="paragraph" w:customStyle="1" w:styleId="03HEADING3">
    <w:name w:val="03. HEADING 3"/>
    <w:basedOn w:val="NoParagraphStyle"/>
    <w:uiPriority w:val="99"/>
    <w:rsid w:val="00731667"/>
    <w:pPr>
      <w:suppressAutoHyphens/>
      <w:spacing w:before="227" w:after="170" w:line="320" w:lineRule="atLeast"/>
    </w:pPr>
    <w:rPr>
      <w:rFonts w:ascii="Calibri" w:hAnsi="Calibri" w:cs="Calibri"/>
      <w:color w:val="13508F"/>
      <w:sz w:val="28"/>
      <w:szCs w:val="28"/>
      <w:lang w:val="en-GB"/>
    </w:rPr>
  </w:style>
  <w:style w:type="paragraph" w:customStyle="1" w:styleId="10FOOTNOTE">
    <w:name w:val="10. FOOTNOTE"/>
    <w:basedOn w:val="NoParagraphStyle"/>
    <w:uiPriority w:val="99"/>
    <w:rsid w:val="00731667"/>
    <w:pPr>
      <w:suppressAutoHyphens/>
      <w:spacing w:after="170" w:line="220" w:lineRule="atLeast"/>
      <w:ind w:left="227" w:hanging="227"/>
    </w:pPr>
    <w:rPr>
      <w:rFonts w:ascii="Calibri" w:hAnsi="Calibri" w:cs="Calibri"/>
      <w:sz w:val="16"/>
      <w:szCs w:val="16"/>
    </w:rPr>
  </w:style>
  <w:style w:type="paragraph" w:customStyle="1" w:styleId="08TABLETEXT">
    <w:name w:val="08_TABLE TEXT"/>
    <w:basedOn w:val="Normal"/>
    <w:uiPriority w:val="99"/>
    <w:rsid w:val="00731667"/>
    <w:pPr>
      <w:suppressAutoHyphens/>
      <w:autoSpaceDE w:val="0"/>
      <w:autoSpaceDN w:val="0"/>
      <w:adjustRightInd w:val="0"/>
      <w:spacing w:after="170" w:line="240" w:lineRule="atLeast"/>
      <w:textAlignment w:val="center"/>
    </w:pPr>
    <w:rPr>
      <w:rFonts w:ascii="Calibri" w:hAnsi="Calibri" w:cs="Calibri"/>
      <w:color w:val="000000"/>
      <w:sz w:val="18"/>
      <w:szCs w:val="18"/>
      <w:lang w:val="en-US"/>
    </w:rPr>
  </w:style>
  <w:style w:type="paragraph" w:customStyle="1" w:styleId="07TABLEHEADERROW">
    <w:name w:val="07_TABLE HEADER ROW"/>
    <w:basedOn w:val="Normal"/>
    <w:uiPriority w:val="99"/>
    <w:rsid w:val="00731667"/>
    <w:pPr>
      <w:suppressAutoHyphens/>
      <w:autoSpaceDE w:val="0"/>
      <w:autoSpaceDN w:val="0"/>
      <w:adjustRightInd w:val="0"/>
      <w:spacing w:after="170" w:line="240" w:lineRule="atLeast"/>
      <w:textAlignment w:val="center"/>
    </w:pPr>
    <w:rPr>
      <w:rFonts w:ascii="Calibri" w:hAnsi="Calibri" w:cs="Calibri"/>
      <w:b/>
      <w:bCs/>
      <w:color w:val="000000"/>
      <w:sz w:val="18"/>
      <w:szCs w:val="18"/>
      <w:lang w:val="en-US"/>
    </w:rPr>
  </w:style>
  <w:style w:type="character" w:customStyle="1" w:styleId="TextBold">
    <w:name w:val="Text Bold"/>
    <w:uiPriority w:val="99"/>
    <w:rsid w:val="00731667"/>
    <w:rPr>
      <w:b/>
      <w:bCs/>
    </w:rPr>
  </w:style>
  <w:style w:type="character" w:customStyle="1" w:styleId="TextItalic">
    <w:name w:val="Text Italic"/>
    <w:uiPriority w:val="99"/>
    <w:rsid w:val="00731667"/>
    <w:rPr>
      <w:i/>
      <w:iCs/>
    </w:rPr>
  </w:style>
  <w:style w:type="character" w:customStyle="1" w:styleId="nobreak">
    <w:name w:val="nobreak"/>
    <w:uiPriority w:val="99"/>
    <w:rsid w:val="00731667"/>
  </w:style>
  <w:style w:type="character" w:customStyle="1" w:styleId="ITALICS">
    <w:name w:val="ITALICS"/>
    <w:uiPriority w:val="99"/>
    <w:rsid w:val="00731667"/>
    <w:rPr>
      <w:rFonts w:ascii="Calibri" w:hAnsi="Calibri" w:cs="Calibri"/>
      <w:position w:val="0"/>
      <w:lang w:val="en-US"/>
    </w:rPr>
  </w:style>
  <w:style w:type="character" w:styleId="FootnoteReference">
    <w:name w:val="footnote reference"/>
    <w:basedOn w:val="DefaultParagraphFont"/>
    <w:uiPriority w:val="99"/>
    <w:rsid w:val="00731667"/>
    <w:rPr>
      <w:w w:val="100"/>
      <w:vertAlign w:val="superscript"/>
    </w:rPr>
  </w:style>
  <w:style w:type="character" w:customStyle="1" w:styleId="ITALIC">
    <w:name w:val="ITALIC"/>
    <w:uiPriority w:val="99"/>
    <w:rsid w:val="00731667"/>
    <w:rPr>
      <w:i/>
      <w:iCs/>
    </w:rPr>
  </w:style>
  <w:style w:type="character" w:customStyle="1" w:styleId="A8">
    <w:name w:val="A8"/>
    <w:uiPriority w:val="99"/>
    <w:rsid w:val="00731667"/>
    <w:rPr>
      <w:rFonts w:ascii="Calibri" w:hAnsi="Calibri" w:cs="Calibri"/>
      <w:color w:val="000000"/>
      <w:w w:val="100"/>
    </w:rPr>
  </w:style>
  <w:style w:type="character" w:customStyle="1" w:styleId="A11">
    <w:name w:val="A11"/>
    <w:uiPriority w:val="99"/>
    <w:rsid w:val="00731667"/>
    <w:rPr>
      <w:rFonts w:ascii="Calibri" w:hAnsi="Calibri" w:cs="Calibri"/>
      <w:color w:val="211D1E"/>
      <w:w w:val="100"/>
      <w:sz w:val="11"/>
      <w:szCs w:val="11"/>
    </w:rPr>
  </w:style>
  <w:style w:type="character" w:styleId="Hyperlink">
    <w:name w:val="Hyperlink"/>
    <w:basedOn w:val="DefaultParagraphFont"/>
    <w:uiPriority w:val="99"/>
    <w:rsid w:val="00731667"/>
    <w:rPr>
      <w:color w:val="13508F"/>
      <w:w w:val="100"/>
      <w:u w:val="none" w:color="0000FA"/>
    </w:rPr>
  </w:style>
  <w:style w:type="character" w:customStyle="1" w:styleId="BOLD">
    <w:name w:val="BOLD"/>
    <w:uiPriority w:val="99"/>
    <w:rsid w:val="00731667"/>
    <w:rPr>
      <w:b/>
      <w:bCs/>
    </w:rPr>
  </w:style>
  <w:style w:type="paragraph" w:customStyle="1" w:styleId="Covertitle">
    <w:name w:val="Cover title"/>
    <w:basedOn w:val="NoParagraphStyle"/>
    <w:uiPriority w:val="99"/>
    <w:rsid w:val="001342E2"/>
    <w:pPr>
      <w:suppressAutoHyphens/>
      <w:spacing w:line="660" w:lineRule="atLeast"/>
    </w:pPr>
    <w:rPr>
      <w:rFonts w:ascii="Calibri" w:hAnsi="Calibri" w:cs="Calibri"/>
      <w:color w:val="13508F"/>
      <w:sz w:val="58"/>
      <w:szCs w:val="58"/>
      <w:lang w:val="en-GB"/>
    </w:rPr>
  </w:style>
  <w:style w:type="paragraph" w:customStyle="1" w:styleId="Coverdate">
    <w:name w:val="Cover date"/>
    <w:basedOn w:val="NoParagraphStyle"/>
    <w:uiPriority w:val="99"/>
    <w:rsid w:val="001342E2"/>
    <w:pPr>
      <w:suppressAutoHyphens/>
      <w:spacing w:before="340"/>
    </w:pPr>
    <w:rPr>
      <w:rFonts w:ascii="Calibri" w:hAnsi="Calibri" w:cs="Calibri"/>
      <w:sz w:val="28"/>
      <w:szCs w:val="28"/>
      <w:lang w:val="en-GB"/>
    </w:rPr>
  </w:style>
  <w:style w:type="paragraph" w:customStyle="1" w:styleId="Subhead2">
    <w:name w:val="Subhead 2"/>
    <w:basedOn w:val="NoParagraphStyle"/>
    <w:uiPriority w:val="99"/>
    <w:rsid w:val="001342E2"/>
    <w:pPr>
      <w:suppressAutoHyphens/>
      <w:spacing w:before="397" w:line="380" w:lineRule="atLeast"/>
      <w:ind w:left="567" w:hanging="567"/>
    </w:pPr>
    <w:rPr>
      <w:rFonts w:ascii="Calibri" w:hAnsi="Calibri" w:cs="Calibri"/>
      <w:b/>
      <w:bCs/>
      <w:color w:val="13508F"/>
      <w:sz w:val="32"/>
      <w:szCs w:val="32"/>
    </w:rPr>
  </w:style>
  <w:style w:type="character" w:customStyle="1" w:styleId="Heading1Char">
    <w:name w:val="Heading 1 Char"/>
    <w:basedOn w:val="DefaultParagraphFont"/>
    <w:link w:val="Heading1"/>
    <w:uiPriority w:val="9"/>
    <w:rsid w:val="00FF27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270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FF2705"/>
    <w:pPr>
      <w:tabs>
        <w:tab w:val="left" w:pos="567"/>
        <w:tab w:val="left" w:pos="1276"/>
        <w:tab w:val="right" w:leader="dot" w:pos="9010"/>
      </w:tabs>
      <w:spacing w:before="120"/>
      <w:ind w:left="1276" w:hanging="1276"/>
    </w:pPr>
    <w:rPr>
      <w:rFonts w:cstheme="minorHAnsi"/>
      <w:b/>
      <w:bCs/>
      <w:i/>
      <w:iCs/>
    </w:rPr>
  </w:style>
  <w:style w:type="paragraph" w:styleId="TOC2">
    <w:name w:val="toc 2"/>
    <w:basedOn w:val="Normal"/>
    <w:next w:val="Normal"/>
    <w:autoRedefine/>
    <w:uiPriority w:val="39"/>
    <w:unhideWhenUsed/>
    <w:rsid w:val="00FF2705"/>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FF2705"/>
    <w:pPr>
      <w:ind w:left="480"/>
    </w:pPr>
    <w:rPr>
      <w:rFonts w:cstheme="minorHAnsi"/>
      <w:sz w:val="20"/>
      <w:szCs w:val="20"/>
    </w:rPr>
  </w:style>
  <w:style w:type="paragraph" w:styleId="TOC4">
    <w:name w:val="toc 4"/>
    <w:basedOn w:val="Normal"/>
    <w:next w:val="Normal"/>
    <w:autoRedefine/>
    <w:uiPriority w:val="39"/>
    <w:semiHidden/>
    <w:unhideWhenUsed/>
    <w:rsid w:val="00FF2705"/>
    <w:pPr>
      <w:ind w:left="720"/>
    </w:pPr>
    <w:rPr>
      <w:rFonts w:cstheme="minorHAnsi"/>
      <w:sz w:val="20"/>
      <w:szCs w:val="20"/>
    </w:rPr>
  </w:style>
  <w:style w:type="paragraph" w:styleId="TOC5">
    <w:name w:val="toc 5"/>
    <w:basedOn w:val="Normal"/>
    <w:next w:val="Normal"/>
    <w:autoRedefine/>
    <w:uiPriority w:val="39"/>
    <w:semiHidden/>
    <w:unhideWhenUsed/>
    <w:rsid w:val="00FF2705"/>
    <w:pPr>
      <w:ind w:left="960"/>
    </w:pPr>
    <w:rPr>
      <w:rFonts w:cstheme="minorHAnsi"/>
      <w:sz w:val="20"/>
      <w:szCs w:val="20"/>
    </w:rPr>
  </w:style>
  <w:style w:type="paragraph" w:styleId="TOC6">
    <w:name w:val="toc 6"/>
    <w:basedOn w:val="Normal"/>
    <w:next w:val="Normal"/>
    <w:autoRedefine/>
    <w:uiPriority w:val="39"/>
    <w:semiHidden/>
    <w:unhideWhenUsed/>
    <w:rsid w:val="00FF2705"/>
    <w:pPr>
      <w:ind w:left="1200"/>
    </w:pPr>
    <w:rPr>
      <w:rFonts w:cstheme="minorHAnsi"/>
      <w:sz w:val="20"/>
      <w:szCs w:val="20"/>
    </w:rPr>
  </w:style>
  <w:style w:type="paragraph" w:styleId="TOC7">
    <w:name w:val="toc 7"/>
    <w:basedOn w:val="Normal"/>
    <w:next w:val="Normal"/>
    <w:autoRedefine/>
    <w:uiPriority w:val="39"/>
    <w:semiHidden/>
    <w:unhideWhenUsed/>
    <w:rsid w:val="00FF2705"/>
    <w:pPr>
      <w:ind w:left="1440"/>
    </w:pPr>
    <w:rPr>
      <w:rFonts w:cstheme="minorHAnsi"/>
      <w:sz w:val="20"/>
      <w:szCs w:val="20"/>
    </w:rPr>
  </w:style>
  <w:style w:type="paragraph" w:styleId="TOC8">
    <w:name w:val="toc 8"/>
    <w:basedOn w:val="Normal"/>
    <w:next w:val="Normal"/>
    <w:autoRedefine/>
    <w:uiPriority w:val="39"/>
    <w:semiHidden/>
    <w:unhideWhenUsed/>
    <w:rsid w:val="00FF2705"/>
    <w:pPr>
      <w:ind w:left="1680"/>
    </w:pPr>
    <w:rPr>
      <w:rFonts w:cstheme="minorHAnsi"/>
      <w:sz w:val="20"/>
      <w:szCs w:val="20"/>
    </w:rPr>
  </w:style>
  <w:style w:type="paragraph" w:styleId="TOC9">
    <w:name w:val="toc 9"/>
    <w:basedOn w:val="Normal"/>
    <w:next w:val="Normal"/>
    <w:autoRedefine/>
    <w:uiPriority w:val="39"/>
    <w:semiHidden/>
    <w:unhideWhenUsed/>
    <w:rsid w:val="00FF2705"/>
    <w:pPr>
      <w:ind w:left="1920"/>
    </w:pPr>
    <w:rPr>
      <w:rFonts w:cstheme="minorHAnsi"/>
      <w:sz w:val="20"/>
      <w:szCs w:val="20"/>
    </w:rPr>
  </w:style>
  <w:style w:type="paragraph" w:styleId="FootnoteText">
    <w:name w:val="footnote text"/>
    <w:basedOn w:val="Normal"/>
    <w:link w:val="FootnoteTextChar"/>
    <w:uiPriority w:val="99"/>
    <w:semiHidden/>
    <w:unhideWhenUsed/>
    <w:rsid w:val="005A1EBC"/>
    <w:rPr>
      <w:sz w:val="20"/>
      <w:szCs w:val="20"/>
    </w:rPr>
  </w:style>
  <w:style w:type="character" w:customStyle="1" w:styleId="FootnoteTextChar">
    <w:name w:val="Footnote Text Char"/>
    <w:basedOn w:val="DefaultParagraphFont"/>
    <w:link w:val="FootnoteText"/>
    <w:uiPriority w:val="99"/>
    <w:semiHidden/>
    <w:rsid w:val="005A1EBC"/>
    <w:rPr>
      <w:sz w:val="20"/>
      <w:szCs w:val="20"/>
    </w:rPr>
  </w:style>
  <w:style w:type="character" w:styleId="PageNumber">
    <w:name w:val="page number"/>
    <w:basedOn w:val="DefaultParagraphFont"/>
    <w:uiPriority w:val="99"/>
    <w:semiHidden/>
    <w:unhideWhenUsed/>
    <w:rsid w:val="00A7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88C3-1D10-4781-BFEA-C59EA939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FCEEAA69.dotm</Template>
  <TotalTime>0</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Clean Air Agreement - Work Plan </dc:title>
  <dc:subject/>
  <dc:creator/>
  <cp:keywords/>
  <dc:description/>
  <cp:lastModifiedBy/>
  <cp:revision>1</cp:revision>
  <dcterms:created xsi:type="dcterms:W3CDTF">2018-04-27T00:24:00Z</dcterms:created>
  <dcterms:modified xsi:type="dcterms:W3CDTF">2018-04-27T00:24:00Z</dcterms:modified>
</cp:coreProperties>
</file>