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D7" w:rsidRDefault="005C5598" w:rsidP="00751F37">
      <w:pPr>
        <w:rPr>
          <w:rStyle w:val="SubtleEmphasis"/>
          <w:rFonts w:ascii="Arial" w:hAnsi="Arial" w:cs="Arial"/>
          <w:i w:val="0"/>
          <w:sz w:val="32"/>
          <w:szCs w:val="32"/>
        </w:rPr>
      </w:pPr>
      <w:r>
        <w:rPr>
          <w:rFonts w:ascii="Arial" w:hAnsi="Arial" w:cs="Arial"/>
          <w:iCs/>
          <w:noProof/>
          <w:color w:val="243F60" w:themeColor="accent1" w:themeShade="7F"/>
          <w:sz w:val="32"/>
          <w:szCs w:val="32"/>
          <w:lang w:val="en-AU" w:eastAsia="en-AU" w:bidi="ar-SA"/>
        </w:rPr>
        <w:drawing>
          <wp:inline distT="0" distB="0" distL="0" distR="0">
            <wp:extent cx="1885950" cy="104611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1886359" cy="1046341"/>
                    </a:xfrm>
                    <a:prstGeom prst="rect">
                      <a:avLst/>
                    </a:prstGeom>
                    <a:noFill/>
                    <a:ln w="9525">
                      <a:noFill/>
                      <a:miter lim="800000"/>
                      <a:headEnd/>
                      <a:tailEnd/>
                    </a:ln>
                  </pic:spPr>
                </pic:pic>
              </a:graphicData>
            </a:graphic>
          </wp:inline>
        </w:drawing>
      </w:r>
    </w:p>
    <w:p w:rsidR="00365AD7" w:rsidRDefault="00365AD7" w:rsidP="00751F37">
      <w:pPr>
        <w:rPr>
          <w:rStyle w:val="SubtleEmphasis"/>
          <w:rFonts w:ascii="Arial" w:hAnsi="Arial" w:cs="Arial"/>
          <w:i w:val="0"/>
          <w:sz w:val="32"/>
          <w:szCs w:val="32"/>
        </w:rPr>
      </w:pPr>
    </w:p>
    <w:p w:rsidR="00365AD7" w:rsidRDefault="00365AD7" w:rsidP="00751F37">
      <w:pPr>
        <w:rPr>
          <w:rStyle w:val="SubtleEmphasis"/>
          <w:rFonts w:ascii="Arial" w:hAnsi="Arial" w:cs="Arial"/>
          <w:i w:val="0"/>
          <w:sz w:val="32"/>
          <w:szCs w:val="32"/>
        </w:rPr>
      </w:pPr>
    </w:p>
    <w:p w:rsidR="00365AD7" w:rsidRDefault="00365AD7" w:rsidP="00751F37">
      <w:pPr>
        <w:rPr>
          <w:rStyle w:val="SubtleEmphasis"/>
          <w:rFonts w:ascii="Arial" w:hAnsi="Arial" w:cs="Arial"/>
          <w:i w:val="0"/>
          <w:sz w:val="32"/>
          <w:szCs w:val="32"/>
        </w:rPr>
      </w:pPr>
    </w:p>
    <w:p w:rsidR="00365AD7" w:rsidRDefault="00365AD7" w:rsidP="00751F37">
      <w:pPr>
        <w:rPr>
          <w:rStyle w:val="SubtleEmphasis"/>
          <w:rFonts w:ascii="Arial" w:hAnsi="Arial" w:cs="Arial"/>
          <w:i w:val="0"/>
          <w:sz w:val="32"/>
          <w:szCs w:val="32"/>
        </w:rPr>
      </w:pPr>
    </w:p>
    <w:p w:rsidR="00CF2789" w:rsidRPr="006473DB" w:rsidRDefault="00CF2789" w:rsidP="00751F37">
      <w:pPr>
        <w:rPr>
          <w:rFonts w:ascii="Arial" w:hAnsi="Arial" w:cs="Arial"/>
          <w:iCs/>
          <w:color w:val="243F60" w:themeColor="accent1" w:themeShade="7F"/>
          <w:sz w:val="32"/>
          <w:szCs w:val="32"/>
        </w:rPr>
      </w:pPr>
    </w:p>
    <w:p w:rsidR="00CF2789" w:rsidRDefault="00C23755" w:rsidP="008D15E2">
      <w:pPr>
        <w:rPr>
          <w:b/>
        </w:rPr>
      </w:pPr>
      <w:r>
        <w:rPr>
          <w:b/>
          <w:noProof/>
          <w:lang w:val="en-AU" w:eastAsia="en-AU" w:bidi="ar-SA"/>
        </w:rPr>
        <w:pict>
          <v:shapetype id="_x0000_t202" coordsize="21600,21600" o:spt="202" path="m,l,21600r21600,l21600,xe">
            <v:stroke joinstyle="miter"/>
            <v:path gradientshapeok="t" o:connecttype="rect"/>
          </v:shapetype>
          <v:shape id="_x0000_s1036" type="#_x0000_t202" style="position:absolute;margin-left:7.35pt;margin-top:27.15pt;width:438.75pt;height:124pt;z-index:251667456" filled="f" stroked="f">
            <v:textbox style="mso-next-textbox:#_x0000_s1036">
              <w:txbxContent>
                <w:p w:rsidR="008350E3" w:rsidRPr="00C961B2" w:rsidRDefault="008350E3" w:rsidP="008350E3">
                  <w:pPr>
                    <w:rPr>
                      <w:b/>
                      <w:color w:val="FFFFFF" w:themeColor="background1"/>
                      <w:sz w:val="52"/>
                      <w:szCs w:val="52"/>
                    </w:rPr>
                  </w:pPr>
                  <w:r w:rsidRPr="00C961B2">
                    <w:rPr>
                      <w:b/>
                      <w:color w:val="FFFFFF" w:themeColor="background1"/>
                      <w:sz w:val="52"/>
                      <w:szCs w:val="52"/>
                    </w:rPr>
                    <w:t>National Clean Air Agreement</w:t>
                  </w:r>
                </w:p>
                <w:p w:rsidR="008350E3" w:rsidRPr="008D15E2" w:rsidRDefault="008350E3" w:rsidP="008350E3">
                  <w:pPr>
                    <w:rPr>
                      <w:b/>
                      <w:i/>
                      <w:color w:val="FFFFFF" w:themeColor="background1"/>
                      <w:sz w:val="28"/>
                      <w:szCs w:val="28"/>
                    </w:rPr>
                  </w:pPr>
                  <w:r w:rsidRPr="008D15E2">
                    <w:rPr>
                      <w:b/>
                      <w:i/>
                      <w:color w:val="FFFFFF" w:themeColor="background1"/>
                      <w:sz w:val="28"/>
                      <w:szCs w:val="28"/>
                    </w:rPr>
                    <w:t>Towards a clean air future for all Australians</w:t>
                  </w:r>
                </w:p>
                <w:p w:rsidR="008350E3" w:rsidRPr="00497878" w:rsidRDefault="008350E3" w:rsidP="008350E3">
                  <w:pPr>
                    <w:rPr>
                      <w:b/>
                      <w:color w:val="FFFFFF" w:themeColor="background1"/>
                      <w:sz w:val="52"/>
                      <w:szCs w:val="52"/>
                    </w:rPr>
                  </w:pPr>
                  <w:r>
                    <w:rPr>
                      <w:b/>
                      <w:color w:val="FFFFFF" w:themeColor="background1"/>
                      <w:sz w:val="32"/>
                      <w:szCs w:val="32"/>
                    </w:rPr>
                    <w:t>December</w:t>
                  </w:r>
                  <w:r w:rsidRPr="00497878">
                    <w:rPr>
                      <w:b/>
                      <w:color w:val="FFFFFF" w:themeColor="background1"/>
                      <w:sz w:val="32"/>
                      <w:szCs w:val="32"/>
                    </w:rPr>
                    <w:t xml:space="preserve"> 2015</w:t>
                  </w:r>
                </w:p>
              </w:txbxContent>
            </v:textbox>
          </v:shape>
        </w:pict>
      </w:r>
      <w:r>
        <w:rPr>
          <w:b/>
          <w:noProof/>
          <w:lang w:val="en-AU" w:eastAsia="en-AU" w:bidi="ar-SA"/>
        </w:rPr>
        <w:pict>
          <v:shape id="_x0000_s1035" type="#_x0000_t202" style="position:absolute;margin-left:2.85pt;margin-top:49.55pt;width:438.75pt;height:124pt;z-index:251666432" filled="f" stroked="f">
            <v:textbox style="mso-next-textbox:#_x0000_s1035">
              <w:txbxContent>
                <w:p w:rsidR="00CE03F4" w:rsidRPr="00C961B2" w:rsidRDefault="00CE03F4" w:rsidP="006802E4">
                  <w:pPr>
                    <w:rPr>
                      <w:b/>
                      <w:color w:val="FFFFFF" w:themeColor="background1"/>
                      <w:sz w:val="52"/>
                      <w:szCs w:val="52"/>
                    </w:rPr>
                  </w:pPr>
                  <w:r w:rsidRPr="00C961B2">
                    <w:rPr>
                      <w:b/>
                      <w:color w:val="FFFFFF" w:themeColor="background1"/>
                      <w:sz w:val="52"/>
                      <w:szCs w:val="52"/>
                    </w:rPr>
                    <w:t>                            </w:t>
                  </w:r>
                </w:p>
                <w:p w:rsidR="00CE03F4" w:rsidRPr="008D15E2" w:rsidRDefault="00CE03F4" w:rsidP="006802E4">
                  <w:pPr>
                    <w:rPr>
                      <w:b/>
                      <w:i/>
                      <w:color w:val="FFFFFF" w:themeColor="background1"/>
                      <w:sz w:val="28"/>
                      <w:szCs w:val="28"/>
                    </w:rPr>
                  </w:pPr>
                  <w:r w:rsidRPr="008D15E2">
                    <w:rPr>
                      <w:b/>
                      <w:i/>
                      <w:color w:val="FFFFFF" w:themeColor="background1"/>
                      <w:sz w:val="28"/>
                      <w:szCs w:val="28"/>
                    </w:rPr>
                    <w:t>                                              </w:t>
                  </w:r>
                </w:p>
                <w:p w:rsidR="00CE03F4" w:rsidRPr="00497878" w:rsidRDefault="00C57391" w:rsidP="006802E4">
                  <w:pPr>
                    <w:rPr>
                      <w:b/>
                      <w:color w:val="FFFFFF" w:themeColor="background1"/>
                      <w:sz w:val="52"/>
                      <w:szCs w:val="52"/>
                    </w:rPr>
                  </w:pPr>
                  <w:r>
                    <w:rPr>
                      <w:b/>
                      <w:color w:val="FFFFFF" w:themeColor="background1"/>
                      <w:sz w:val="32"/>
                      <w:szCs w:val="32"/>
                    </w:rPr>
                    <w:t>        </w:t>
                  </w:r>
                  <w:r w:rsidR="00CE03F4" w:rsidRPr="00497878">
                    <w:rPr>
                      <w:b/>
                      <w:color w:val="FFFFFF" w:themeColor="background1"/>
                      <w:sz w:val="32"/>
                      <w:szCs w:val="32"/>
                    </w:rPr>
                    <w:t>     </w:t>
                  </w:r>
                </w:p>
              </w:txbxContent>
            </v:textbox>
          </v:shape>
        </w:pict>
      </w:r>
      <w:r w:rsidR="006802E4" w:rsidRPr="006802E4">
        <w:rPr>
          <w:b/>
          <w:noProof/>
          <w:lang w:val="en-AU" w:eastAsia="en-AU" w:bidi="ar-SA"/>
        </w:rPr>
        <w:drawing>
          <wp:inline distT="0" distB="0" distL="0" distR="0">
            <wp:extent cx="5469255" cy="2094770"/>
            <wp:effectExtent l="19050" t="0" r="0" b="0"/>
            <wp:docPr id="39"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a:hlinkClick r:id="rId8"/>
                    </pic:cNvPr>
                    <pic:cNvPicPr>
                      <a:picLocks noChangeAspect="1" noChangeArrowheads="1"/>
                    </pic:cNvPicPr>
                  </pic:nvPicPr>
                  <pic:blipFill>
                    <a:blip r:embed="rId9" cstate="print"/>
                    <a:srcRect/>
                    <a:stretch>
                      <a:fillRect/>
                    </a:stretch>
                  </pic:blipFill>
                  <pic:spPr bwMode="auto">
                    <a:xfrm>
                      <a:off x="0" y="0"/>
                      <a:ext cx="5472638" cy="2096066"/>
                    </a:xfrm>
                    <a:prstGeom prst="rect">
                      <a:avLst/>
                    </a:prstGeom>
                    <a:noFill/>
                    <a:ln w="9525">
                      <a:noFill/>
                      <a:miter lim="800000"/>
                      <a:headEnd/>
                      <a:tailEnd/>
                    </a:ln>
                  </pic:spPr>
                </pic:pic>
              </a:graphicData>
            </a:graphic>
          </wp:inline>
        </w:drawing>
      </w:r>
    </w:p>
    <w:p w:rsidR="00CF2789" w:rsidRDefault="00CF2789" w:rsidP="00AA19FA">
      <w:pPr>
        <w:jc w:val="center"/>
        <w:rPr>
          <w:b/>
        </w:rPr>
      </w:pPr>
    </w:p>
    <w:p w:rsidR="006473DB" w:rsidRDefault="006473DB" w:rsidP="00AA19FA">
      <w:pPr>
        <w:jc w:val="center"/>
        <w:rPr>
          <w:b/>
        </w:rPr>
        <w:sectPr w:rsidR="006473DB" w:rsidSect="00FA4CF0">
          <w:head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Default="00157328" w:rsidP="00157328">
      <w:pPr>
        <w:rPr>
          <w:rFonts w:ascii="Verdana" w:eastAsia="Times New Roman" w:hAnsi="Verdana" w:cs="Times New Roman"/>
          <w:color w:val="000000"/>
          <w:sz w:val="19"/>
          <w:szCs w:val="19"/>
          <w:lang w:val="en-AU" w:eastAsia="en-AU" w:bidi="ar-SA"/>
        </w:rPr>
      </w:pPr>
    </w:p>
    <w:p w:rsidR="00157328" w:rsidRPr="00157328" w:rsidRDefault="00157328" w:rsidP="00157328">
      <w:pPr>
        <w:rPr>
          <w:rFonts w:ascii="Verdana" w:eastAsia="Times New Roman" w:hAnsi="Verdana" w:cs="Times New Roman"/>
          <w:color w:val="000000"/>
          <w:sz w:val="19"/>
          <w:szCs w:val="19"/>
          <w:lang w:val="en-AU" w:eastAsia="en-AU" w:bidi="ar-SA"/>
        </w:rPr>
      </w:pPr>
      <w:r w:rsidRPr="00157328">
        <w:rPr>
          <w:rFonts w:ascii="Verdana" w:eastAsia="Times New Roman" w:hAnsi="Verdana" w:cs="Times New Roman"/>
          <w:color w:val="000000"/>
          <w:sz w:val="19"/>
          <w:szCs w:val="19"/>
          <w:lang w:val="en-AU" w:eastAsia="en-AU" w:bidi="ar-SA"/>
        </w:rPr>
        <w:t xml:space="preserve">© Copyright Commonwealth of Australia, </w:t>
      </w:r>
      <w:r>
        <w:rPr>
          <w:rFonts w:ascii="Verdana" w:eastAsia="Times New Roman" w:hAnsi="Verdana" w:cs="Times New Roman"/>
          <w:color w:val="000000"/>
          <w:sz w:val="19"/>
          <w:szCs w:val="19"/>
          <w:lang w:val="en-AU" w:eastAsia="en-AU" w:bidi="ar-SA"/>
        </w:rPr>
        <w:t>2015</w:t>
      </w:r>
      <w:r w:rsidRPr="00157328">
        <w:rPr>
          <w:rFonts w:ascii="Verdana" w:eastAsia="Times New Roman" w:hAnsi="Verdana" w:cs="Times New Roman"/>
          <w:color w:val="000000"/>
          <w:sz w:val="19"/>
          <w:szCs w:val="19"/>
          <w:lang w:val="en-AU" w:eastAsia="en-AU" w:bidi="ar-SA"/>
        </w:rPr>
        <w:t>.</w:t>
      </w:r>
    </w:p>
    <w:p w:rsidR="00157328" w:rsidRPr="00157328" w:rsidRDefault="00157328" w:rsidP="00157328">
      <w:pPr>
        <w:spacing w:before="0" w:after="0" w:line="240" w:lineRule="auto"/>
        <w:rPr>
          <w:rFonts w:ascii="Verdana" w:eastAsia="Times New Roman" w:hAnsi="Verdana" w:cs="Times New Roman"/>
          <w:color w:val="000000"/>
          <w:sz w:val="19"/>
          <w:szCs w:val="19"/>
          <w:lang w:val="en-AU" w:eastAsia="en-AU" w:bidi="ar-SA"/>
        </w:rPr>
      </w:pPr>
      <w:r>
        <w:rPr>
          <w:rFonts w:ascii="Verdana" w:eastAsia="Times New Roman" w:hAnsi="Verdana" w:cs="Times New Roman"/>
          <w:noProof/>
          <w:color w:val="000000"/>
          <w:sz w:val="19"/>
          <w:szCs w:val="19"/>
          <w:lang w:val="en-AU" w:eastAsia="en-AU" w:bidi="ar-SA"/>
        </w:rPr>
        <w:drawing>
          <wp:inline distT="0" distB="0" distL="0" distR="0">
            <wp:extent cx="1809750" cy="457200"/>
            <wp:effectExtent l="19050" t="0" r="0" b="0"/>
            <wp:docPr id="3"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r w:rsidRPr="00157328">
        <w:rPr>
          <w:rFonts w:ascii="Verdana" w:eastAsia="Times New Roman" w:hAnsi="Verdana" w:cs="Times New Roman"/>
          <w:color w:val="000000"/>
          <w:sz w:val="19"/>
          <w:szCs w:val="19"/>
          <w:lang w:val="en-AU" w:eastAsia="en-AU" w:bidi="ar-SA"/>
        </w:rPr>
        <w:br/>
      </w:r>
      <w:r>
        <w:rPr>
          <w:rFonts w:ascii="Verdana" w:eastAsia="Times New Roman" w:hAnsi="Verdana" w:cs="Times New Roman"/>
          <w:color w:val="000000"/>
          <w:sz w:val="19"/>
          <w:szCs w:val="19"/>
          <w:lang w:val="en-AU" w:eastAsia="en-AU" w:bidi="ar-SA"/>
        </w:rPr>
        <w:t xml:space="preserve">The National Clean Air Agreement </w:t>
      </w:r>
      <w:r w:rsidRPr="00157328">
        <w:rPr>
          <w:rFonts w:ascii="Verdana" w:eastAsia="Times New Roman" w:hAnsi="Verdana" w:cs="Times New Roman"/>
          <w:color w:val="000000"/>
          <w:sz w:val="19"/>
          <w:szCs w:val="19"/>
          <w:lang w:val="en-AU" w:eastAsia="en-AU" w:bidi="ar-SA"/>
        </w:rPr>
        <w:t xml:space="preserve">is licensed by the Commonwealth of Australia for use under a Creative Commons Attribution 4.0 Australia licence with the exception of the Coat of Arms of the Commonwealth of Australia, the logo of the agency responsible for publishing the report, content supplied by third parties, and any images depicting people. For licence conditions see: </w:t>
      </w:r>
      <w:hyperlink r:id="rId15" w:history="1">
        <w:r w:rsidRPr="00157328">
          <w:rPr>
            <w:rFonts w:ascii="Verdana" w:eastAsia="Times New Roman" w:hAnsi="Verdana" w:cs="Times New Roman"/>
            <w:color w:val="3966BF"/>
            <w:sz w:val="19"/>
            <w:szCs w:val="19"/>
            <w:lang w:val="en-AU" w:eastAsia="en-AU" w:bidi="ar-SA"/>
          </w:rPr>
          <w:t>https://creativecommons.org/licenses/by/4.0/</w:t>
        </w:r>
      </w:hyperlink>
      <w:r w:rsidRPr="00157328">
        <w:rPr>
          <w:rFonts w:ascii="Verdana" w:eastAsia="Times New Roman" w:hAnsi="Verdana" w:cs="Times New Roman"/>
          <w:color w:val="000000"/>
          <w:sz w:val="19"/>
          <w:szCs w:val="19"/>
          <w:lang w:val="en-AU" w:eastAsia="en-AU" w:bidi="ar-SA"/>
        </w:rPr>
        <w:t xml:space="preserve"> </w:t>
      </w:r>
    </w:p>
    <w:p w:rsidR="00157328" w:rsidRPr="00157328" w:rsidRDefault="00157328" w:rsidP="00157328">
      <w:pPr>
        <w:spacing w:before="0" w:after="0" w:line="240" w:lineRule="auto"/>
        <w:rPr>
          <w:rFonts w:ascii="Verdana" w:eastAsia="Times New Roman" w:hAnsi="Verdana" w:cs="Times New Roman"/>
          <w:color w:val="000000"/>
          <w:sz w:val="19"/>
          <w:szCs w:val="19"/>
          <w:lang w:val="en-AU" w:eastAsia="en-AU" w:bidi="ar-SA"/>
        </w:rPr>
      </w:pPr>
      <w:r w:rsidRPr="00157328">
        <w:rPr>
          <w:rFonts w:ascii="Verdana" w:eastAsia="Times New Roman" w:hAnsi="Verdana" w:cs="Times New Roman"/>
          <w:color w:val="000000"/>
          <w:sz w:val="19"/>
          <w:szCs w:val="19"/>
          <w:lang w:val="en-AU" w:eastAsia="en-AU" w:bidi="ar-SA"/>
        </w:rPr>
        <w:t>This report should be attributed as ‘</w:t>
      </w:r>
      <w:r>
        <w:rPr>
          <w:rFonts w:ascii="Verdana" w:eastAsia="Times New Roman" w:hAnsi="Verdana" w:cs="Times New Roman"/>
          <w:color w:val="000000"/>
          <w:sz w:val="19"/>
          <w:szCs w:val="19"/>
          <w:lang w:val="en-AU" w:eastAsia="en-AU" w:bidi="ar-SA"/>
        </w:rPr>
        <w:t>National Clean Air Agreement,</w:t>
      </w:r>
      <w:r w:rsidRPr="00157328">
        <w:rPr>
          <w:rFonts w:ascii="Verdana" w:eastAsia="Times New Roman" w:hAnsi="Verdana" w:cs="Times New Roman"/>
          <w:color w:val="000000"/>
          <w:sz w:val="19"/>
          <w:szCs w:val="19"/>
          <w:lang w:val="en-AU" w:eastAsia="en-AU" w:bidi="ar-SA"/>
        </w:rPr>
        <w:t xml:space="preserve"> Commonwealth of Australia </w:t>
      </w:r>
      <w:r>
        <w:rPr>
          <w:rFonts w:ascii="Verdana" w:eastAsia="Times New Roman" w:hAnsi="Verdana" w:cs="Times New Roman"/>
          <w:color w:val="000000"/>
          <w:sz w:val="19"/>
          <w:szCs w:val="19"/>
          <w:lang w:val="en-AU" w:eastAsia="en-AU" w:bidi="ar-SA"/>
        </w:rPr>
        <w:t>2015</w:t>
      </w:r>
      <w:r w:rsidRPr="00157328">
        <w:rPr>
          <w:rFonts w:ascii="Verdana" w:eastAsia="Times New Roman" w:hAnsi="Verdana" w:cs="Times New Roman"/>
          <w:color w:val="000000"/>
          <w:sz w:val="19"/>
          <w:szCs w:val="19"/>
          <w:lang w:val="en-AU" w:eastAsia="en-AU" w:bidi="ar-SA"/>
        </w:rPr>
        <w:t>’.</w:t>
      </w:r>
    </w:p>
    <w:p w:rsidR="00157328" w:rsidRDefault="00157328" w:rsidP="00890C35">
      <w:pPr>
        <w:rPr>
          <w:rFonts w:ascii="Verdana" w:eastAsia="Times New Roman" w:hAnsi="Verdana" w:cs="Times New Roman"/>
          <w:color w:val="000000"/>
          <w:sz w:val="19"/>
          <w:szCs w:val="19"/>
          <w:lang w:val="en-AU" w:eastAsia="en-AU" w:bidi="ar-SA"/>
        </w:rPr>
      </w:pPr>
    </w:p>
    <w:p w:rsidR="00890C35" w:rsidRPr="0084519E" w:rsidRDefault="00685993" w:rsidP="00890C35">
      <w:pPr>
        <w:rPr>
          <w:b/>
          <w:color w:val="548DD4" w:themeColor="text2" w:themeTint="99"/>
          <w:sz w:val="48"/>
          <w:szCs w:val="48"/>
        </w:rPr>
      </w:pPr>
      <w:r w:rsidRPr="0084519E">
        <w:rPr>
          <w:b/>
          <w:color w:val="548DD4" w:themeColor="text2" w:themeTint="99"/>
          <w:sz w:val="48"/>
          <w:szCs w:val="48"/>
        </w:rPr>
        <w:lastRenderedPageBreak/>
        <w:t>Contents</w:t>
      </w:r>
    </w:p>
    <w:p w:rsidR="00152D1E" w:rsidRDefault="00C23755">
      <w:pPr>
        <w:pStyle w:val="TOC1"/>
        <w:rPr>
          <w:b w:val="0"/>
          <w:sz w:val="22"/>
          <w:szCs w:val="22"/>
          <w:lang w:val="en-AU" w:eastAsia="en-AU" w:bidi="ar-SA"/>
        </w:rPr>
      </w:pPr>
      <w:r w:rsidRPr="00C23755">
        <w:fldChar w:fldCharType="begin"/>
      </w:r>
      <w:r w:rsidR="001D0D2B">
        <w:instrText xml:space="preserve"> TOC \o "1-3" \h \z \u </w:instrText>
      </w:r>
      <w:r w:rsidRPr="00C23755">
        <w:fldChar w:fldCharType="separate"/>
      </w:r>
      <w:hyperlink w:anchor="_Toc423602477" w:history="1">
        <w:r w:rsidR="00152D1E" w:rsidRPr="00402D72">
          <w:rPr>
            <w:rStyle w:val="Hyperlink"/>
          </w:rPr>
          <w:t>FOREWORD</w:t>
        </w:r>
        <w:r w:rsidR="00152D1E">
          <w:rPr>
            <w:webHidden/>
          </w:rPr>
          <w:tab/>
        </w:r>
        <w:r>
          <w:rPr>
            <w:webHidden/>
          </w:rPr>
          <w:fldChar w:fldCharType="begin"/>
        </w:r>
        <w:r w:rsidR="00152D1E">
          <w:rPr>
            <w:webHidden/>
          </w:rPr>
          <w:instrText xml:space="preserve"> PAGEREF _Toc423602477 \h </w:instrText>
        </w:r>
        <w:r>
          <w:rPr>
            <w:webHidden/>
          </w:rPr>
        </w:r>
        <w:r>
          <w:rPr>
            <w:webHidden/>
          </w:rPr>
          <w:fldChar w:fldCharType="separate"/>
        </w:r>
        <w:r w:rsidR="00BB62DA">
          <w:rPr>
            <w:webHidden/>
          </w:rPr>
          <w:t>3</w:t>
        </w:r>
        <w:r>
          <w:rPr>
            <w:webHidden/>
          </w:rPr>
          <w:fldChar w:fldCharType="end"/>
        </w:r>
      </w:hyperlink>
    </w:p>
    <w:p w:rsidR="00152D1E" w:rsidRDefault="00C23755">
      <w:pPr>
        <w:pStyle w:val="TOC1"/>
        <w:rPr>
          <w:b w:val="0"/>
          <w:sz w:val="22"/>
          <w:szCs w:val="22"/>
          <w:lang w:val="en-AU" w:eastAsia="en-AU" w:bidi="ar-SA"/>
        </w:rPr>
      </w:pPr>
      <w:hyperlink w:anchor="_Toc423602478" w:history="1">
        <w:r w:rsidR="00152D1E" w:rsidRPr="00402D72">
          <w:rPr>
            <w:rStyle w:val="Hyperlink"/>
          </w:rPr>
          <w:t>PART ONE - CONTEXT</w:t>
        </w:r>
        <w:r w:rsidR="00152D1E">
          <w:rPr>
            <w:webHidden/>
          </w:rPr>
          <w:tab/>
        </w:r>
        <w:r>
          <w:rPr>
            <w:webHidden/>
          </w:rPr>
          <w:fldChar w:fldCharType="begin"/>
        </w:r>
        <w:r w:rsidR="00152D1E">
          <w:rPr>
            <w:webHidden/>
          </w:rPr>
          <w:instrText xml:space="preserve"> PAGEREF _Toc423602478 \h </w:instrText>
        </w:r>
        <w:r>
          <w:rPr>
            <w:webHidden/>
          </w:rPr>
        </w:r>
        <w:r>
          <w:rPr>
            <w:webHidden/>
          </w:rPr>
          <w:fldChar w:fldCharType="separate"/>
        </w:r>
        <w:r w:rsidR="00BB62DA">
          <w:rPr>
            <w:webHidden/>
          </w:rPr>
          <w:t>5</w:t>
        </w:r>
        <w:r>
          <w:rPr>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79" w:history="1">
        <w:r w:rsidR="00152D1E" w:rsidRPr="00402D72">
          <w:rPr>
            <w:rStyle w:val="Hyperlink"/>
            <w:noProof/>
          </w:rPr>
          <w:t>Introduction</w:t>
        </w:r>
        <w:r w:rsidR="00152D1E">
          <w:rPr>
            <w:noProof/>
            <w:webHidden/>
          </w:rPr>
          <w:tab/>
        </w:r>
        <w:r>
          <w:rPr>
            <w:noProof/>
            <w:webHidden/>
          </w:rPr>
          <w:fldChar w:fldCharType="begin"/>
        </w:r>
        <w:r w:rsidR="00152D1E">
          <w:rPr>
            <w:noProof/>
            <w:webHidden/>
          </w:rPr>
          <w:instrText xml:space="preserve"> PAGEREF _Toc423602479 \h </w:instrText>
        </w:r>
        <w:r>
          <w:rPr>
            <w:noProof/>
            <w:webHidden/>
          </w:rPr>
        </w:r>
        <w:r>
          <w:rPr>
            <w:noProof/>
            <w:webHidden/>
          </w:rPr>
          <w:fldChar w:fldCharType="separate"/>
        </w:r>
        <w:r w:rsidR="00BB62DA">
          <w:rPr>
            <w:noProof/>
            <w:webHidden/>
          </w:rPr>
          <w:t>5</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0" w:history="1">
        <w:r w:rsidR="00152D1E" w:rsidRPr="00402D72">
          <w:rPr>
            <w:rStyle w:val="Hyperlink"/>
            <w:noProof/>
          </w:rPr>
          <w:t>Development of the National Clean Air Agreement</w:t>
        </w:r>
        <w:r w:rsidR="00152D1E">
          <w:rPr>
            <w:noProof/>
            <w:webHidden/>
          </w:rPr>
          <w:tab/>
        </w:r>
        <w:r>
          <w:rPr>
            <w:noProof/>
            <w:webHidden/>
          </w:rPr>
          <w:fldChar w:fldCharType="begin"/>
        </w:r>
        <w:r w:rsidR="00152D1E">
          <w:rPr>
            <w:noProof/>
            <w:webHidden/>
          </w:rPr>
          <w:instrText xml:space="preserve"> PAGEREF _Toc423602480 \h </w:instrText>
        </w:r>
        <w:r>
          <w:rPr>
            <w:noProof/>
            <w:webHidden/>
          </w:rPr>
        </w:r>
        <w:r>
          <w:rPr>
            <w:noProof/>
            <w:webHidden/>
          </w:rPr>
          <w:fldChar w:fldCharType="separate"/>
        </w:r>
        <w:r w:rsidR="00BB62DA">
          <w:rPr>
            <w:noProof/>
            <w:webHidden/>
          </w:rPr>
          <w:t>6</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1" w:history="1">
        <w:r w:rsidR="00152D1E" w:rsidRPr="00402D72">
          <w:rPr>
            <w:rStyle w:val="Hyperlink"/>
            <w:noProof/>
          </w:rPr>
          <w:t>Roles and responsibilities</w:t>
        </w:r>
        <w:r w:rsidR="00152D1E">
          <w:rPr>
            <w:noProof/>
            <w:webHidden/>
          </w:rPr>
          <w:tab/>
        </w:r>
        <w:r>
          <w:rPr>
            <w:noProof/>
            <w:webHidden/>
          </w:rPr>
          <w:fldChar w:fldCharType="begin"/>
        </w:r>
        <w:r w:rsidR="00152D1E">
          <w:rPr>
            <w:noProof/>
            <w:webHidden/>
          </w:rPr>
          <w:instrText xml:space="preserve"> PAGEREF _Toc423602481 \h </w:instrText>
        </w:r>
        <w:r>
          <w:rPr>
            <w:noProof/>
            <w:webHidden/>
          </w:rPr>
        </w:r>
        <w:r>
          <w:rPr>
            <w:noProof/>
            <w:webHidden/>
          </w:rPr>
          <w:fldChar w:fldCharType="separate"/>
        </w:r>
        <w:r w:rsidR="00BB62DA">
          <w:rPr>
            <w:noProof/>
            <w:webHidden/>
          </w:rPr>
          <w:t>7</w:t>
        </w:r>
        <w:r>
          <w:rPr>
            <w:noProof/>
            <w:webHidden/>
          </w:rPr>
          <w:fldChar w:fldCharType="end"/>
        </w:r>
      </w:hyperlink>
    </w:p>
    <w:p w:rsidR="00152D1E" w:rsidRDefault="00C23755">
      <w:pPr>
        <w:pStyle w:val="TOC1"/>
        <w:rPr>
          <w:b w:val="0"/>
          <w:sz w:val="22"/>
          <w:szCs w:val="22"/>
          <w:lang w:val="en-AU" w:eastAsia="en-AU" w:bidi="ar-SA"/>
        </w:rPr>
      </w:pPr>
      <w:hyperlink w:anchor="_Toc423602482" w:history="1">
        <w:r w:rsidR="00152D1E" w:rsidRPr="00402D72">
          <w:rPr>
            <w:rStyle w:val="Hyperlink"/>
          </w:rPr>
          <w:t>PART TWO - POLICY FRAMEWORK</w:t>
        </w:r>
        <w:r w:rsidR="00152D1E">
          <w:rPr>
            <w:webHidden/>
          </w:rPr>
          <w:tab/>
        </w:r>
        <w:r>
          <w:rPr>
            <w:webHidden/>
          </w:rPr>
          <w:fldChar w:fldCharType="begin"/>
        </w:r>
        <w:r w:rsidR="00152D1E">
          <w:rPr>
            <w:webHidden/>
          </w:rPr>
          <w:instrText xml:space="preserve"> PAGEREF _Toc423602482 \h </w:instrText>
        </w:r>
        <w:r>
          <w:rPr>
            <w:webHidden/>
          </w:rPr>
        </w:r>
        <w:r>
          <w:rPr>
            <w:webHidden/>
          </w:rPr>
          <w:fldChar w:fldCharType="separate"/>
        </w:r>
        <w:r w:rsidR="00BB62DA">
          <w:rPr>
            <w:webHidden/>
          </w:rPr>
          <w:t>9</w:t>
        </w:r>
        <w:r>
          <w:rPr>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3" w:history="1">
        <w:r w:rsidR="00152D1E" w:rsidRPr="00402D72">
          <w:rPr>
            <w:rStyle w:val="Hyperlink"/>
            <w:noProof/>
          </w:rPr>
          <w:t>Desired outcomes</w:t>
        </w:r>
        <w:r w:rsidR="00152D1E">
          <w:rPr>
            <w:noProof/>
            <w:webHidden/>
          </w:rPr>
          <w:tab/>
        </w:r>
        <w:r>
          <w:rPr>
            <w:noProof/>
            <w:webHidden/>
          </w:rPr>
          <w:fldChar w:fldCharType="begin"/>
        </w:r>
        <w:r w:rsidR="00152D1E">
          <w:rPr>
            <w:noProof/>
            <w:webHidden/>
          </w:rPr>
          <w:instrText xml:space="preserve"> PAGEREF _Toc423602483 \h </w:instrText>
        </w:r>
        <w:r>
          <w:rPr>
            <w:noProof/>
            <w:webHidden/>
          </w:rPr>
        </w:r>
        <w:r>
          <w:rPr>
            <w:noProof/>
            <w:webHidden/>
          </w:rPr>
          <w:fldChar w:fldCharType="separate"/>
        </w:r>
        <w:r w:rsidR="00BB62DA">
          <w:rPr>
            <w:noProof/>
            <w:webHidden/>
          </w:rPr>
          <w:t>9</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4" w:history="1">
        <w:r w:rsidR="00152D1E" w:rsidRPr="00402D72">
          <w:rPr>
            <w:rStyle w:val="Hyperlink"/>
            <w:noProof/>
          </w:rPr>
          <w:t>Objectives</w:t>
        </w:r>
        <w:r w:rsidR="00152D1E">
          <w:rPr>
            <w:noProof/>
            <w:webHidden/>
          </w:rPr>
          <w:tab/>
        </w:r>
        <w:r>
          <w:rPr>
            <w:noProof/>
            <w:webHidden/>
          </w:rPr>
          <w:fldChar w:fldCharType="begin"/>
        </w:r>
        <w:r w:rsidR="00152D1E">
          <w:rPr>
            <w:noProof/>
            <w:webHidden/>
          </w:rPr>
          <w:instrText xml:space="preserve"> PAGEREF _Toc423602484 \h </w:instrText>
        </w:r>
        <w:r>
          <w:rPr>
            <w:noProof/>
            <w:webHidden/>
          </w:rPr>
        </w:r>
        <w:r>
          <w:rPr>
            <w:noProof/>
            <w:webHidden/>
          </w:rPr>
          <w:fldChar w:fldCharType="separate"/>
        </w:r>
        <w:r w:rsidR="00BB62DA">
          <w:rPr>
            <w:noProof/>
            <w:webHidden/>
          </w:rPr>
          <w:t>9</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5" w:history="1">
        <w:r w:rsidR="00152D1E" w:rsidRPr="00402D72">
          <w:rPr>
            <w:rStyle w:val="Hyperlink"/>
            <w:noProof/>
          </w:rPr>
          <w:t>Principles</w:t>
        </w:r>
        <w:r w:rsidR="00152D1E">
          <w:rPr>
            <w:noProof/>
            <w:webHidden/>
          </w:rPr>
          <w:tab/>
        </w:r>
        <w:r>
          <w:rPr>
            <w:noProof/>
            <w:webHidden/>
          </w:rPr>
          <w:fldChar w:fldCharType="begin"/>
        </w:r>
        <w:r w:rsidR="00152D1E">
          <w:rPr>
            <w:noProof/>
            <w:webHidden/>
          </w:rPr>
          <w:instrText xml:space="preserve"> PAGEREF _Toc423602485 \h </w:instrText>
        </w:r>
        <w:r>
          <w:rPr>
            <w:noProof/>
            <w:webHidden/>
          </w:rPr>
        </w:r>
        <w:r>
          <w:rPr>
            <w:noProof/>
            <w:webHidden/>
          </w:rPr>
          <w:fldChar w:fldCharType="separate"/>
        </w:r>
        <w:r w:rsidR="00BB62DA">
          <w:rPr>
            <w:noProof/>
            <w:webHidden/>
          </w:rPr>
          <w:t>9</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6" w:history="1">
        <w:r w:rsidR="00152D1E" w:rsidRPr="00402D72">
          <w:rPr>
            <w:rStyle w:val="Hyperlink"/>
            <w:noProof/>
          </w:rPr>
          <w:t>Strategic approaches</w:t>
        </w:r>
        <w:r w:rsidR="00152D1E">
          <w:rPr>
            <w:noProof/>
            <w:webHidden/>
          </w:rPr>
          <w:tab/>
        </w:r>
        <w:r>
          <w:rPr>
            <w:noProof/>
            <w:webHidden/>
          </w:rPr>
          <w:fldChar w:fldCharType="begin"/>
        </w:r>
        <w:r w:rsidR="00152D1E">
          <w:rPr>
            <w:noProof/>
            <w:webHidden/>
          </w:rPr>
          <w:instrText xml:space="preserve"> PAGEREF _Toc423602486 \h </w:instrText>
        </w:r>
        <w:r>
          <w:rPr>
            <w:noProof/>
            <w:webHidden/>
          </w:rPr>
        </w:r>
        <w:r>
          <w:rPr>
            <w:noProof/>
            <w:webHidden/>
          </w:rPr>
          <w:fldChar w:fldCharType="separate"/>
        </w:r>
        <w:r w:rsidR="00BB62DA">
          <w:rPr>
            <w:noProof/>
            <w:webHidden/>
          </w:rPr>
          <w:t>10</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7" w:history="1">
        <w:r w:rsidR="00152D1E" w:rsidRPr="00402D72">
          <w:rPr>
            <w:rStyle w:val="Hyperlink"/>
            <w:noProof/>
          </w:rPr>
          <w:t>Priority setting process</w:t>
        </w:r>
        <w:r w:rsidR="00152D1E">
          <w:rPr>
            <w:noProof/>
            <w:webHidden/>
          </w:rPr>
          <w:tab/>
        </w:r>
        <w:r>
          <w:rPr>
            <w:noProof/>
            <w:webHidden/>
          </w:rPr>
          <w:fldChar w:fldCharType="begin"/>
        </w:r>
        <w:r w:rsidR="00152D1E">
          <w:rPr>
            <w:noProof/>
            <w:webHidden/>
          </w:rPr>
          <w:instrText xml:space="preserve"> PAGEREF _Toc423602487 \h </w:instrText>
        </w:r>
        <w:r>
          <w:rPr>
            <w:noProof/>
            <w:webHidden/>
          </w:rPr>
        </w:r>
        <w:r>
          <w:rPr>
            <w:noProof/>
            <w:webHidden/>
          </w:rPr>
          <w:fldChar w:fldCharType="separate"/>
        </w:r>
        <w:r w:rsidR="00BB62DA">
          <w:rPr>
            <w:noProof/>
            <w:webHidden/>
          </w:rPr>
          <w:t>11</w:t>
        </w:r>
        <w:r>
          <w:rPr>
            <w:noProof/>
            <w:webHidden/>
          </w:rPr>
          <w:fldChar w:fldCharType="end"/>
        </w:r>
      </w:hyperlink>
    </w:p>
    <w:p w:rsidR="00152D1E" w:rsidRDefault="00C23755">
      <w:pPr>
        <w:pStyle w:val="TOC2"/>
        <w:tabs>
          <w:tab w:val="right" w:leader="dot" w:pos="9202"/>
        </w:tabs>
        <w:rPr>
          <w:noProof/>
          <w:sz w:val="22"/>
          <w:szCs w:val="22"/>
          <w:lang w:val="en-AU" w:eastAsia="en-AU" w:bidi="ar-SA"/>
        </w:rPr>
      </w:pPr>
      <w:hyperlink w:anchor="_Toc423602488" w:history="1">
        <w:r w:rsidR="00152D1E" w:rsidRPr="00402D72">
          <w:rPr>
            <w:rStyle w:val="Hyperlink"/>
            <w:noProof/>
          </w:rPr>
          <w:t>Implementation</w:t>
        </w:r>
        <w:r w:rsidR="00152D1E">
          <w:rPr>
            <w:noProof/>
            <w:webHidden/>
          </w:rPr>
          <w:tab/>
        </w:r>
        <w:r>
          <w:rPr>
            <w:noProof/>
            <w:webHidden/>
          </w:rPr>
          <w:fldChar w:fldCharType="begin"/>
        </w:r>
        <w:r w:rsidR="00152D1E">
          <w:rPr>
            <w:noProof/>
            <w:webHidden/>
          </w:rPr>
          <w:instrText xml:space="preserve"> PAGEREF _Toc423602488 \h </w:instrText>
        </w:r>
        <w:r>
          <w:rPr>
            <w:noProof/>
            <w:webHidden/>
          </w:rPr>
        </w:r>
        <w:r>
          <w:rPr>
            <w:noProof/>
            <w:webHidden/>
          </w:rPr>
          <w:fldChar w:fldCharType="separate"/>
        </w:r>
        <w:r w:rsidR="00BB62DA">
          <w:rPr>
            <w:noProof/>
            <w:webHidden/>
          </w:rPr>
          <w:t>11</w:t>
        </w:r>
        <w:r>
          <w:rPr>
            <w:noProof/>
            <w:webHidden/>
          </w:rPr>
          <w:fldChar w:fldCharType="end"/>
        </w:r>
      </w:hyperlink>
    </w:p>
    <w:p w:rsidR="006D65C7" w:rsidRPr="00890C35" w:rsidRDefault="00C23755" w:rsidP="006D65C7">
      <w:r>
        <w:fldChar w:fldCharType="end"/>
      </w:r>
      <w:r w:rsidR="0084519E">
        <w:br/>
      </w:r>
    </w:p>
    <w:p w:rsidR="000475AE" w:rsidRPr="00890C35" w:rsidRDefault="000475AE" w:rsidP="000475AE"/>
    <w:p w:rsidR="00830F52" w:rsidRPr="00890C35" w:rsidRDefault="00830F52" w:rsidP="00890C35">
      <w:pPr>
        <w:sectPr w:rsidR="00830F52" w:rsidRPr="00890C35" w:rsidSect="00FA4CF0">
          <w:pgSz w:w="11906" w:h="16838"/>
          <w:pgMar w:top="1418" w:right="1276" w:bottom="567" w:left="1418" w:header="425" w:footer="425" w:gutter="0"/>
          <w:pgNumType w:start="1"/>
          <w:cols w:space="708"/>
          <w:titlePg/>
          <w:docGrid w:linePitch="360"/>
        </w:sectPr>
      </w:pPr>
    </w:p>
    <w:p w:rsidR="000B2BD3" w:rsidRDefault="009C061D" w:rsidP="0072221C">
      <w:pPr>
        <w:pStyle w:val="Heading1"/>
        <w:spacing w:after="360"/>
      </w:pPr>
      <w:bookmarkStart w:id="0" w:name="_Toc422142086"/>
      <w:bookmarkStart w:id="1" w:name="_Toc423602477"/>
      <w:r w:rsidRPr="00685ED8">
        <w:lastRenderedPageBreak/>
        <w:t>FOREWORD</w:t>
      </w:r>
      <w:bookmarkEnd w:id="0"/>
      <w:bookmarkEnd w:id="1"/>
    </w:p>
    <w:p w:rsidR="005F5A43" w:rsidRDefault="009C061D" w:rsidP="007B03E2">
      <w:pPr>
        <w:spacing w:before="120" w:after="120"/>
        <w:rPr>
          <w:szCs w:val="24"/>
        </w:rPr>
      </w:pPr>
      <w:r w:rsidRPr="009D275D">
        <w:rPr>
          <w:szCs w:val="24"/>
        </w:rPr>
        <w:t xml:space="preserve">On 15 </w:t>
      </w:r>
      <w:r w:rsidR="00C57391">
        <w:rPr>
          <w:szCs w:val="24"/>
        </w:rPr>
        <w:t>December</w:t>
      </w:r>
      <w:r w:rsidRPr="009D275D">
        <w:rPr>
          <w:szCs w:val="24"/>
        </w:rPr>
        <w:t xml:space="preserve"> 2015, Australia’s Environment Ministers </w:t>
      </w:r>
      <w:r w:rsidR="000F2FEC">
        <w:rPr>
          <w:szCs w:val="24"/>
        </w:rPr>
        <w:t>established</w:t>
      </w:r>
      <w:r w:rsidRPr="009D275D">
        <w:rPr>
          <w:szCs w:val="24"/>
        </w:rPr>
        <w:t xml:space="preserve"> the National Clean Air Agreement</w:t>
      </w:r>
      <w:r w:rsidR="00DB2AB8" w:rsidRPr="009D275D">
        <w:rPr>
          <w:szCs w:val="24"/>
        </w:rPr>
        <w:t xml:space="preserve"> </w:t>
      </w:r>
      <w:r w:rsidRPr="009D275D">
        <w:rPr>
          <w:szCs w:val="24"/>
        </w:rPr>
        <w:t xml:space="preserve">to </w:t>
      </w:r>
      <w:r w:rsidR="003C6319">
        <w:rPr>
          <w:szCs w:val="24"/>
        </w:rPr>
        <w:t xml:space="preserve">address the impacts of air pollution on human and environmental health and to </w:t>
      </w:r>
      <w:r w:rsidR="005F5A43">
        <w:rPr>
          <w:szCs w:val="24"/>
        </w:rPr>
        <w:t>ensure that the community continues to enjoy clean air</w:t>
      </w:r>
      <w:r w:rsidR="003C6319">
        <w:rPr>
          <w:szCs w:val="24"/>
        </w:rPr>
        <w:t>.</w:t>
      </w:r>
      <w:r w:rsidR="005F5A43">
        <w:rPr>
          <w:szCs w:val="24"/>
        </w:rPr>
        <w:t xml:space="preserve"> </w:t>
      </w:r>
    </w:p>
    <w:p w:rsidR="005F5A43" w:rsidRDefault="005F5A43" w:rsidP="007B03E2">
      <w:pPr>
        <w:spacing w:before="120" w:after="120"/>
        <w:rPr>
          <w:szCs w:val="24"/>
        </w:rPr>
      </w:pPr>
      <w:r>
        <w:rPr>
          <w:szCs w:val="24"/>
        </w:rPr>
        <w:t xml:space="preserve">Australia’s air quality remains very good by world standards. Australian governments have, over a number of years, successfully implemented measures to reduce air pollution which </w:t>
      </w:r>
      <w:r w:rsidR="003C6319">
        <w:rPr>
          <w:szCs w:val="24"/>
        </w:rPr>
        <w:t xml:space="preserve">have </w:t>
      </w:r>
      <w:r>
        <w:rPr>
          <w:szCs w:val="24"/>
        </w:rPr>
        <w:t xml:space="preserve">significantly improved Australia’s overall air quality </w:t>
      </w:r>
      <w:r w:rsidR="003C6319">
        <w:rPr>
          <w:szCs w:val="24"/>
        </w:rPr>
        <w:t>and resulted in</w:t>
      </w:r>
      <w:r>
        <w:rPr>
          <w:szCs w:val="24"/>
        </w:rPr>
        <w:t xml:space="preserve"> positive environmental and health </w:t>
      </w:r>
      <w:r w:rsidR="000F2FEC">
        <w:rPr>
          <w:szCs w:val="24"/>
        </w:rPr>
        <w:t>outcomes</w:t>
      </w:r>
      <w:r>
        <w:rPr>
          <w:szCs w:val="24"/>
        </w:rPr>
        <w:t>.</w:t>
      </w:r>
      <w:r w:rsidR="003C6319">
        <w:rPr>
          <w:szCs w:val="24"/>
        </w:rPr>
        <w:t xml:space="preserve"> But there is more that can be done.</w:t>
      </w:r>
    </w:p>
    <w:p w:rsidR="00D74404" w:rsidRDefault="005F5A43" w:rsidP="007B03E2">
      <w:pPr>
        <w:spacing w:before="120" w:after="120"/>
        <w:rPr>
          <w:szCs w:val="24"/>
        </w:rPr>
      </w:pPr>
      <w:r>
        <w:rPr>
          <w:szCs w:val="24"/>
        </w:rPr>
        <w:t xml:space="preserve">We want to maintain this good performance </w:t>
      </w:r>
      <w:r w:rsidR="00B009C7">
        <w:rPr>
          <w:szCs w:val="24"/>
        </w:rPr>
        <w:t>while addressing areas of concern</w:t>
      </w:r>
      <w:r w:rsidR="00532DAB">
        <w:rPr>
          <w:szCs w:val="24"/>
        </w:rPr>
        <w:t xml:space="preserve">. </w:t>
      </w:r>
      <w:r w:rsidR="00B73B99">
        <w:rPr>
          <w:szCs w:val="24"/>
        </w:rPr>
        <w:t xml:space="preserve">Peak levels of airborne pollutants such as particulate matter and ground-level ozone still frequently exceed air quality standards. </w:t>
      </w:r>
      <w:r w:rsidR="000F2FEC">
        <w:rPr>
          <w:szCs w:val="24"/>
        </w:rPr>
        <w:t>T</w:t>
      </w:r>
      <w:r w:rsidR="00B73B99">
        <w:rPr>
          <w:szCs w:val="24"/>
        </w:rPr>
        <w:t xml:space="preserve">here are </w:t>
      </w:r>
      <w:r w:rsidR="000F2FEC">
        <w:rPr>
          <w:szCs w:val="24"/>
        </w:rPr>
        <w:t xml:space="preserve">also </w:t>
      </w:r>
      <w:r w:rsidR="00B73B99">
        <w:rPr>
          <w:szCs w:val="24"/>
        </w:rPr>
        <w:t xml:space="preserve">specific areas of concern to local communities, including emissions of sulfur dioxide and particulate matter from a range of sources. </w:t>
      </w:r>
      <w:r w:rsidR="000F2FEC">
        <w:rPr>
          <w:szCs w:val="24"/>
        </w:rPr>
        <w:t>T</w:t>
      </w:r>
      <w:r w:rsidR="00B73B99">
        <w:rPr>
          <w:szCs w:val="24"/>
        </w:rPr>
        <w:t>here are multiple drive</w:t>
      </w:r>
      <w:r w:rsidR="007D7FF0">
        <w:rPr>
          <w:szCs w:val="24"/>
        </w:rPr>
        <w:t>r</w:t>
      </w:r>
      <w:r w:rsidR="00B73B99">
        <w:rPr>
          <w:szCs w:val="24"/>
        </w:rPr>
        <w:t>s such as p</w:t>
      </w:r>
      <w:r w:rsidR="005643B6">
        <w:rPr>
          <w:szCs w:val="24"/>
        </w:rPr>
        <w:t>opulation growth</w:t>
      </w:r>
      <w:r w:rsidR="003C6319">
        <w:rPr>
          <w:szCs w:val="24"/>
        </w:rPr>
        <w:t>,</w:t>
      </w:r>
      <w:r w:rsidR="005643B6">
        <w:rPr>
          <w:szCs w:val="24"/>
        </w:rPr>
        <w:t xml:space="preserve"> </w:t>
      </w:r>
      <w:r w:rsidR="00B73B99">
        <w:rPr>
          <w:szCs w:val="24"/>
        </w:rPr>
        <w:t>transport and e</w:t>
      </w:r>
      <w:r w:rsidR="007D7FF0">
        <w:rPr>
          <w:szCs w:val="24"/>
        </w:rPr>
        <w:t>nergy demand</w:t>
      </w:r>
      <w:r w:rsidR="005643B6">
        <w:rPr>
          <w:szCs w:val="24"/>
        </w:rPr>
        <w:t>s</w:t>
      </w:r>
      <w:r w:rsidR="00B73B99">
        <w:rPr>
          <w:szCs w:val="24"/>
        </w:rPr>
        <w:t xml:space="preserve"> that run the risk of accelerating air pollution </w:t>
      </w:r>
      <w:r w:rsidR="007D7FF0">
        <w:rPr>
          <w:szCs w:val="24"/>
        </w:rPr>
        <w:t xml:space="preserve">and its impacts on </w:t>
      </w:r>
      <w:r w:rsidR="000F2FEC">
        <w:rPr>
          <w:szCs w:val="24"/>
        </w:rPr>
        <w:t xml:space="preserve">Australia’s </w:t>
      </w:r>
      <w:r w:rsidR="007D7FF0">
        <w:rPr>
          <w:szCs w:val="24"/>
        </w:rPr>
        <w:t xml:space="preserve">air quality in </w:t>
      </w:r>
      <w:r w:rsidR="000F2FEC">
        <w:rPr>
          <w:szCs w:val="24"/>
        </w:rPr>
        <w:t>the future</w:t>
      </w:r>
      <w:r w:rsidR="007D7FF0">
        <w:rPr>
          <w:szCs w:val="24"/>
        </w:rPr>
        <w:t xml:space="preserve">. </w:t>
      </w:r>
    </w:p>
    <w:p w:rsidR="00D74404" w:rsidRDefault="009D09AC" w:rsidP="00D74404">
      <w:pPr>
        <w:pStyle w:val="ListBullet"/>
        <w:numPr>
          <w:ilvl w:val="0"/>
          <w:numId w:val="0"/>
        </w:numPr>
      </w:pPr>
      <w:r>
        <w:t>G</w:t>
      </w:r>
      <w:r w:rsidR="00D74404">
        <w:t xml:space="preserve">overnments, businesses and the community need to be active to ensure a clean air future. </w:t>
      </w:r>
      <w:r>
        <w:t xml:space="preserve">It is critical that governments and businesses take action to continue to improve our air quality </w:t>
      </w:r>
      <w:r w:rsidR="00973390">
        <w:t>and</w:t>
      </w:r>
      <w:r>
        <w:t xml:space="preserve"> ensure our management of air quality continues to meet community expectations. </w:t>
      </w:r>
    </w:p>
    <w:p w:rsidR="009D09AC" w:rsidRDefault="009D09AC" w:rsidP="00D74404">
      <w:pPr>
        <w:pStyle w:val="ListBullet"/>
        <w:numPr>
          <w:ilvl w:val="0"/>
          <w:numId w:val="0"/>
        </w:numPr>
      </w:pPr>
      <w:r>
        <w:t xml:space="preserve">In April 2014 Commonwealth Environment Minister Greg Hunt proposed that all Australian Environment Ministers work together to develop a National Clean Air Agreement to address the challenges regarding our air quality and to chart a course to cleaner air in the future. </w:t>
      </w:r>
      <w:r w:rsidR="000D6A6C">
        <w:t>Engagement with business and the community</w:t>
      </w:r>
      <w:r>
        <w:t xml:space="preserve"> </w:t>
      </w:r>
      <w:r w:rsidR="00973390">
        <w:t xml:space="preserve">has </w:t>
      </w:r>
      <w:r w:rsidR="000D6A6C">
        <w:t>confirmed support for the development of the Agreement and highlighted ongoing concern about air quality in Australia</w:t>
      </w:r>
      <w:r w:rsidR="00973390">
        <w:t>,</w:t>
      </w:r>
      <w:r w:rsidR="00566421">
        <w:t xml:space="preserve"> </w:t>
      </w:r>
      <w:r w:rsidR="000D6A6C">
        <w:t>its impacts on communities</w:t>
      </w:r>
      <w:r w:rsidR="00D625B7">
        <w:t xml:space="preserve"> and </w:t>
      </w:r>
      <w:r w:rsidR="00973390">
        <w:t>the</w:t>
      </w:r>
      <w:r w:rsidR="00D625B7">
        <w:t xml:space="preserve"> need to take action</w:t>
      </w:r>
      <w:r w:rsidR="000D6A6C">
        <w:t>.</w:t>
      </w:r>
    </w:p>
    <w:p w:rsidR="005F5A43" w:rsidRDefault="00B009C7" w:rsidP="00BC0DFC">
      <w:pPr>
        <w:spacing w:before="120" w:after="120"/>
        <w:rPr>
          <w:szCs w:val="24"/>
        </w:rPr>
      </w:pPr>
      <w:r>
        <w:rPr>
          <w:szCs w:val="24"/>
        </w:rPr>
        <w:t xml:space="preserve">The Agreement </w:t>
      </w:r>
      <w:r w:rsidR="00D625B7" w:rsidRPr="009D275D">
        <w:rPr>
          <w:szCs w:val="24"/>
        </w:rPr>
        <w:t xml:space="preserve">strengthens Australia’s existing air quality management arrangements and will assist </w:t>
      </w:r>
      <w:r w:rsidR="000F2FEC">
        <w:rPr>
          <w:szCs w:val="24"/>
        </w:rPr>
        <w:t>in developing</w:t>
      </w:r>
      <w:r w:rsidR="00D625B7" w:rsidRPr="009D275D">
        <w:rPr>
          <w:szCs w:val="24"/>
        </w:rPr>
        <w:t xml:space="preserve"> practical, effective and efficient policy settings to ensure Australia is well positioned to respond to current</w:t>
      </w:r>
      <w:r w:rsidR="00D625B7">
        <w:rPr>
          <w:szCs w:val="24"/>
        </w:rPr>
        <w:t xml:space="preserve"> and emerging air quality priorities</w:t>
      </w:r>
      <w:r w:rsidR="00D625B7" w:rsidRPr="009D275D">
        <w:rPr>
          <w:szCs w:val="24"/>
        </w:rPr>
        <w:t xml:space="preserve">. </w:t>
      </w:r>
      <w:r w:rsidR="007D7FF0">
        <w:rPr>
          <w:szCs w:val="24"/>
        </w:rPr>
        <w:t>It incorporate</w:t>
      </w:r>
      <w:r w:rsidR="000F2FEC">
        <w:rPr>
          <w:szCs w:val="24"/>
        </w:rPr>
        <w:t>s</w:t>
      </w:r>
      <w:r w:rsidR="007D7FF0">
        <w:rPr>
          <w:szCs w:val="24"/>
        </w:rPr>
        <w:t xml:space="preserve"> a range of existing, new and complementary measures to improve </w:t>
      </w:r>
      <w:r w:rsidR="00532DAB">
        <w:rPr>
          <w:szCs w:val="24"/>
        </w:rPr>
        <w:t>our</w:t>
      </w:r>
      <w:r w:rsidR="007D7FF0">
        <w:rPr>
          <w:szCs w:val="24"/>
        </w:rPr>
        <w:t xml:space="preserve"> air quality. </w:t>
      </w:r>
    </w:p>
    <w:p w:rsidR="00AC3E9F" w:rsidRPr="00AC3E9F" w:rsidRDefault="00AC3E9F" w:rsidP="00BC0DFC">
      <w:pPr>
        <w:spacing w:before="120" w:after="120"/>
        <w:rPr>
          <w:i/>
          <w:szCs w:val="24"/>
        </w:rPr>
      </w:pPr>
      <w:r w:rsidRPr="00AC3E9F">
        <w:rPr>
          <w:i/>
          <w:szCs w:val="24"/>
        </w:rPr>
        <w:t>Strategic approaches</w:t>
      </w:r>
    </w:p>
    <w:p w:rsidR="007D7FF0" w:rsidRDefault="007D7FF0" w:rsidP="00BC0DFC">
      <w:pPr>
        <w:spacing w:before="120" w:after="120"/>
        <w:rPr>
          <w:szCs w:val="24"/>
        </w:rPr>
      </w:pPr>
      <w:r>
        <w:rPr>
          <w:szCs w:val="24"/>
        </w:rPr>
        <w:t>The Agreement provides scope for a wide range of actions to be formulated over time across four strategic approaches:</w:t>
      </w:r>
    </w:p>
    <w:p w:rsidR="007D7FF0" w:rsidRPr="00016476" w:rsidRDefault="007D7FF0" w:rsidP="00016476">
      <w:pPr>
        <w:pStyle w:val="ListParagraph"/>
        <w:numPr>
          <w:ilvl w:val="0"/>
          <w:numId w:val="23"/>
        </w:numPr>
        <w:spacing w:before="120" w:after="120"/>
        <w:ind w:left="567" w:hanging="207"/>
        <w:rPr>
          <w:szCs w:val="24"/>
        </w:rPr>
      </w:pPr>
      <w:r w:rsidRPr="00016476">
        <w:rPr>
          <w:b/>
          <w:szCs w:val="24"/>
        </w:rPr>
        <w:t>Standards</w:t>
      </w:r>
      <w:r w:rsidRPr="00016476">
        <w:rPr>
          <w:szCs w:val="24"/>
        </w:rPr>
        <w:t xml:space="preserve"> </w:t>
      </w:r>
      <w:r w:rsidR="00532DAB" w:rsidRPr="00016476">
        <w:rPr>
          <w:szCs w:val="24"/>
        </w:rPr>
        <w:t>ensure a consistent approach to monitor</w:t>
      </w:r>
      <w:r w:rsidR="00973390">
        <w:rPr>
          <w:szCs w:val="24"/>
        </w:rPr>
        <w:t>ing</w:t>
      </w:r>
      <w:r w:rsidR="00532DAB" w:rsidRPr="00016476">
        <w:rPr>
          <w:szCs w:val="24"/>
        </w:rPr>
        <w:t xml:space="preserve"> and </w:t>
      </w:r>
      <w:r w:rsidR="004D0E09" w:rsidRPr="00016476">
        <w:rPr>
          <w:szCs w:val="24"/>
        </w:rPr>
        <w:t>report</w:t>
      </w:r>
      <w:r w:rsidR="00973390">
        <w:rPr>
          <w:szCs w:val="24"/>
        </w:rPr>
        <w:t>ing</w:t>
      </w:r>
      <w:r w:rsidR="00532DAB" w:rsidRPr="00016476">
        <w:rPr>
          <w:szCs w:val="24"/>
        </w:rPr>
        <w:t xml:space="preserve"> air quality, reduc</w:t>
      </w:r>
      <w:r w:rsidR="00973390">
        <w:rPr>
          <w:szCs w:val="24"/>
        </w:rPr>
        <w:t>ing</w:t>
      </w:r>
      <w:r w:rsidR="00532DAB" w:rsidRPr="00016476">
        <w:rPr>
          <w:szCs w:val="24"/>
        </w:rPr>
        <w:t xml:space="preserve"> air pollution and limit</w:t>
      </w:r>
      <w:r w:rsidR="00973390">
        <w:rPr>
          <w:szCs w:val="24"/>
        </w:rPr>
        <w:t>ing</w:t>
      </w:r>
      <w:r w:rsidR="00532DAB" w:rsidRPr="00016476">
        <w:rPr>
          <w:szCs w:val="24"/>
        </w:rPr>
        <w:t xml:space="preserve"> emissions from certain sources. </w:t>
      </w:r>
      <w:r w:rsidR="00CB4744" w:rsidRPr="00016476">
        <w:rPr>
          <w:szCs w:val="24"/>
        </w:rPr>
        <w:t xml:space="preserve">The Agreement’s initial work plan established by Ministers includes </w:t>
      </w:r>
      <w:r w:rsidR="004D0E09" w:rsidRPr="00016476">
        <w:rPr>
          <w:szCs w:val="24"/>
        </w:rPr>
        <w:t>implementing</w:t>
      </w:r>
      <w:r w:rsidR="00CB4744" w:rsidRPr="00016476">
        <w:rPr>
          <w:szCs w:val="24"/>
        </w:rPr>
        <w:t xml:space="preserve"> strengthened reporting standards for particulate matter; work towards strengthening the reporting standards for sulfur dioxide, nitrogen dioxide and ozone; and a review of the </w:t>
      </w:r>
      <w:r w:rsidR="00CB4744" w:rsidRPr="00016476">
        <w:rPr>
          <w:i/>
          <w:szCs w:val="24"/>
        </w:rPr>
        <w:t>Fuel Quality Standards Act 2000</w:t>
      </w:r>
      <w:r w:rsidR="00CB4744" w:rsidRPr="00016476">
        <w:rPr>
          <w:szCs w:val="24"/>
        </w:rPr>
        <w:t xml:space="preserve">. </w:t>
      </w:r>
    </w:p>
    <w:p w:rsidR="00CB4744" w:rsidRPr="00016476" w:rsidRDefault="004D0E09" w:rsidP="00016476">
      <w:pPr>
        <w:pStyle w:val="ListParagraph"/>
        <w:numPr>
          <w:ilvl w:val="0"/>
          <w:numId w:val="23"/>
        </w:numPr>
        <w:spacing w:before="120" w:after="120"/>
        <w:ind w:left="567" w:hanging="207"/>
        <w:rPr>
          <w:szCs w:val="24"/>
        </w:rPr>
      </w:pPr>
      <w:r w:rsidRPr="00016476">
        <w:rPr>
          <w:b/>
          <w:szCs w:val="24"/>
        </w:rPr>
        <w:lastRenderedPageBreak/>
        <w:t xml:space="preserve">Emissions reduction measures </w:t>
      </w:r>
      <w:r w:rsidR="00016476">
        <w:rPr>
          <w:szCs w:val="24"/>
        </w:rPr>
        <w:t xml:space="preserve">are </w:t>
      </w:r>
      <w:r w:rsidRPr="00016476">
        <w:rPr>
          <w:szCs w:val="24"/>
        </w:rPr>
        <w:t>targeted towards reducing air pollution and/or population exposure to air pollution, with associated health outcomes.</w:t>
      </w:r>
      <w:r w:rsidRPr="00016476">
        <w:rPr>
          <w:b/>
          <w:szCs w:val="24"/>
        </w:rPr>
        <w:t xml:space="preserve"> </w:t>
      </w:r>
      <w:r w:rsidRPr="00016476">
        <w:rPr>
          <w:szCs w:val="24"/>
        </w:rPr>
        <w:t xml:space="preserve">The Agreement’s initial work plan includes implementing decisions taken by Ministers to </w:t>
      </w:r>
      <w:r w:rsidR="00F3772C" w:rsidRPr="00016476">
        <w:rPr>
          <w:szCs w:val="24"/>
        </w:rPr>
        <w:t xml:space="preserve">establish emission standards for non-road spark ignition engines and equipment (such as garden equipment and outboard engines) and </w:t>
      </w:r>
      <w:r w:rsidRPr="00016476">
        <w:rPr>
          <w:szCs w:val="24"/>
        </w:rPr>
        <w:t xml:space="preserve">reduce emissions from wood heaters. </w:t>
      </w:r>
      <w:r w:rsidR="00F3772C" w:rsidRPr="00016476">
        <w:rPr>
          <w:szCs w:val="24"/>
        </w:rPr>
        <w:t xml:space="preserve">The potential for a national approach to manage non-road diesel </w:t>
      </w:r>
      <w:r w:rsidR="0038091F">
        <w:rPr>
          <w:szCs w:val="24"/>
        </w:rPr>
        <w:t xml:space="preserve">and marine </w:t>
      </w:r>
      <w:r w:rsidR="00F3772C" w:rsidRPr="00016476">
        <w:rPr>
          <w:szCs w:val="24"/>
        </w:rPr>
        <w:t>engine emissions will be evaluated under the Agreement’s priority setting process.</w:t>
      </w:r>
    </w:p>
    <w:p w:rsidR="00F3772C" w:rsidRPr="00016476" w:rsidRDefault="00F3772C" w:rsidP="00016476">
      <w:pPr>
        <w:pStyle w:val="ListParagraph"/>
        <w:numPr>
          <w:ilvl w:val="0"/>
          <w:numId w:val="23"/>
        </w:numPr>
        <w:spacing w:before="120" w:after="120"/>
        <w:ind w:left="567" w:hanging="207"/>
        <w:rPr>
          <w:szCs w:val="24"/>
        </w:rPr>
      </w:pPr>
      <w:r w:rsidRPr="00016476">
        <w:rPr>
          <w:b/>
          <w:szCs w:val="24"/>
        </w:rPr>
        <w:t xml:space="preserve">Partnerships and cooperation </w:t>
      </w:r>
      <w:r w:rsidRPr="00016476">
        <w:rPr>
          <w:szCs w:val="24"/>
        </w:rPr>
        <w:t xml:space="preserve">activities will complement government action to address air quality issues by fostering partnership opportunities aimed at promoting and sustaining improved air quality outcomes. The Agreement’s initial work plan </w:t>
      </w:r>
      <w:r w:rsidR="00E77E4E" w:rsidRPr="00016476">
        <w:rPr>
          <w:szCs w:val="24"/>
        </w:rPr>
        <w:t>establishes an ongoing approach to engage with the non-government sector to seek out non-regulatory measures to managing air quality and to examine ways to better integrate air quality management in new infrastructure develo</w:t>
      </w:r>
      <w:r w:rsidR="00016476">
        <w:rPr>
          <w:szCs w:val="24"/>
        </w:rPr>
        <w:t xml:space="preserve">pments and upgrades. A </w:t>
      </w:r>
      <w:r w:rsidR="00E77E4E" w:rsidRPr="00016476">
        <w:rPr>
          <w:szCs w:val="24"/>
        </w:rPr>
        <w:t xml:space="preserve">Clean Air Champions initiative </w:t>
      </w:r>
      <w:r w:rsidR="00016476">
        <w:rPr>
          <w:szCs w:val="24"/>
        </w:rPr>
        <w:t>has also been established to help</w:t>
      </w:r>
      <w:r w:rsidR="00E77E4E" w:rsidRPr="00016476">
        <w:rPr>
          <w:szCs w:val="24"/>
        </w:rPr>
        <w:t xml:space="preserve"> raise awareness and engage industry and the community on clean air issues.</w:t>
      </w:r>
    </w:p>
    <w:p w:rsidR="00E77E4E" w:rsidRPr="00016476" w:rsidRDefault="00E77E4E" w:rsidP="00016476">
      <w:pPr>
        <w:pStyle w:val="ListParagraph"/>
        <w:numPr>
          <w:ilvl w:val="0"/>
          <w:numId w:val="23"/>
        </w:numPr>
        <w:spacing w:before="120" w:after="120"/>
        <w:ind w:left="567" w:hanging="207"/>
        <w:rPr>
          <w:szCs w:val="24"/>
        </w:rPr>
      </w:pPr>
      <w:r w:rsidRPr="00016476">
        <w:rPr>
          <w:b/>
          <w:szCs w:val="24"/>
        </w:rPr>
        <w:t>Better knowledge, education and awareness</w:t>
      </w:r>
      <w:r w:rsidRPr="00016476">
        <w:rPr>
          <w:szCs w:val="24"/>
        </w:rPr>
        <w:t xml:space="preserve"> are essential requirements to inform policy decisions and to help empower communities and individuals to better deal with air pollution. </w:t>
      </w:r>
      <w:r w:rsidR="002B4363" w:rsidRPr="00016476">
        <w:rPr>
          <w:szCs w:val="24"/>
        </w:rPr>
        <w:t xml:space="preserve">Knowledge, improved through information sharing and research, is critical to plug existing data gaps, identify future trends and help focus efforts in managing air quality, and explore innovative measures to address air pollution. The Agreement’s initial work plan </w:t>
      </w:r>
      <w:r w:rsidR="00016476">
        <w:rPr>
          <w:szCs w:val="24"/>
        </w:rPr>
        <w:t xml:space="preserve">also </w:t>
      </w:r>
      <w:r w:rsidR="00B1595F" w:rsidRPr="00016476">
        <w:rPr>
          <w:szCs w:val="24"/>
        </w:rPr>
        <w:t xml:space="preserve">includes </w:t>
      </w:r>
      <w:r w:rsidR="002B4363" w:rsidRPr="00016476">
        <w:rPr>
          <w:szCs w:val="24"/>
        </w:rPr>
        <w:t xml:space="preserve">a two-year plan for reforms to improve the National Pollutant Inventory. </w:t>
      </w:r>
    </w:p>
    <w:p w:rsidR="00AC3E9F" w:rsidRPr="00AC3E9F" w:rsidRDefault="00AC3E9F" w:rsidP="00BC0DFC">
      <w:pPr>
        <w:spacing w:before="120" w:after="120"/>
        <w:rPr>
          <w:i/>
          <w:szCs w:val="24"/>
        </w:rPr>
      </w:pPr>
      <w:r w:rsidRPr="00AC3E9F">
        <w:rPr>
          <w:i/>
          <w:szCs w:val="24"/>
        </w:rPr>
        <w:t>Complementary measures</w:t>
      </w:r>
    </w:p>
    <w:p w:rsidR="002B4363" w:rsidRDefault="00B1595F" w:rsidP="00BC0DFC">
      <w:pPr>
        <w:spacing w:before="120" w:after="120"/>
        <w:rPr>
          <w:szCs w:val="24"/>
        </w:rPr>
      </w:pPr>
      <w:r>
        <w:rPr>
          <w:szCs w:val="24"/>
        </w:rPr>
        <w:t>The Agreement complements other Commonwealth, state and territory and local government measures, including in relation to climate action, science and research endeavours and environmental information monitoring and reporting</w:t>
      </w:r>
      <w:r w:rsidR="006B34E5">
        <w:rPr>
          <w:szCs w:val="24"/>
        </w:rPr>
        <w:t>:</w:t>
      </w:r>
      <w:r>
        <w:rPr>
          <w:szCs w:val="24"/>
        </w:rPr>
        <w:t xml:space="preserve"> </w:t>
      </w:r>
    </w:p>
    <w:p w:rsidR="006B34E5" w:rsidRDefault="006B34E5" w:rsidP="006B34E5">
      <w:pPr>
        <w:pStyle w:val="ListBullet"/>
      </w:pPr>
      <w:r>
        <w:t xml:space="preserve">The Commonwealth Government has established a National Environmental Science Programme which includes $8.88 million in funding for a </w:t>
      </w:r>
      <w:r w:rsidR="00464E80">
        <w:t>C</w:t>
      </w:r>
      <w:r w:rsidR="00566421">
        <w:t>l</w:t>
      </w:r>
      <w:r>
        <w:t xml:space="preserve">ean </w:t>
      </w:r>
      <w:r w:rsidR="00464E80">
        <w:t>A</w:t>
      </w:r>
      <w:r>
        <w:t xml:space="preserve">ir and </w:t>
      </w:r>
      <w:r w:rsidR="00464E80">
        <w:t>U</w:t>
      </w:r>
      <w:r>
        <w:t xml:space="preserve">rban </w:t>
      </w:r>
      <w:r w:rsidR="00464E80">
        <w:t>L</w:t>
      </w:r>
      <w:r>
        <w:t xml:space="preserve">andscapes </w:t>
      </w:r>
      <w:r w:rsidR="00464E80">
        <w:t xml:space="preserve">research </w:t>
      </w:r>
      <w:r>
        <w:t>hub to support environmental quality in urban areas.</w:t>
      </w:r>
    </w:p>
    <w:p w:rsidR="006B34E5" w:rsidRDefault="006B34E5" w:rsidP="006B34E5">
      <w:pPr>
        <w:pStyle w:val="ListBullet"/>
      </w:pPr>
      <w:r>
        <w:t>The Commonwealth Government</w:t>
      </w:r>
      <w:r w:rsidR="00AC3E9F">
        <w:t xml:space="preserve"> has provided $2.55 billion to establish the Emissions Reduction Fund to help achieve Australia’s 2020 emissions reduction target. Actions to reduce carbon dioxide emissions will also help to reduce other airborne pollutants.</w:t>
      </w:r>
    </w:p>
    <w:p w:rsidR="006B34E5" w:rsidRPr="00F3772C" w:rsidRDefault="00AC3E9F" w:rsidP="00AC3E9F">
      <w:pPr>
        <w:pStyle w:val="ListBullet"/>
      </w:pPr>
      <w:r>
        <w:t xml:space="preserve">The Bureau of Meteorology’s proposed National Air Quality Data Service is aimed at improving access to information and reporting on air quality. </w:t>
      </w:r>
    </w:p>
    <w:p w:rsidR="00E01D2B" w:rsidRDefault="00BF265F" w:rsidP="007B03E2">
      <w:pPr>
        <w:spacing w:before="120" w:after="120"/>
        <w:rPr>
          <w:szCs w:val="24"/>
        </w:rPr>
        <w:sectPr w:rsidR="00E01D2B" w:rsidSect="00E01D2B">
          <w:headerReference w:type="first" r:id="rId16"/>
          <w:footerReference w:type="first" r:id="rId17"/>
          <w:pgSz w:w="11906" w:h="16838"/>
          <w:pgMar w:top="1418" w:right="1276" w:bottom="567" w:left="1418" w:header="425" w:footer="425" w:gutter="0"/>
          <w:pgNumType w:start="3"/>
          <w:cols w:space="708"/>
          <w:titlePg/>
          <w:docGrid w:linePitch="360"/>
        </w:sectPr>
      </w:pPr>
      <w:r w:rsidRPr="009D275D">
        <w:rPr>
          <w:szCs w:val="24"/>
        </w:rPr>
        <w:t xml:space="preserve">The National Clean Air </w:t>
      </w:r>
      <w:r w:rsidR="00BA6BCB" w:rsidRPr="009D275D">
        <w:rPr>
          <w:szCs w:val="24"/>
        </w:rPr>
        <w:t xml:space="preserve">Agreement is </w:t>
      </w:r>
      <w:r w:rsidR="00994177">
        <w:rPr>
          <w:szCs w:val="24"/>
        </w:rPr>
        <w:t>in two parts</w:t>
      </w:r>
      <w:r w:rsidRPr="009D275D">
        <w:rPr>
          <w:szCs w:val="24"/>
        </w:rPr>
        <w:t>.</w:t>
      </w:r>
      <w:r w:rsidR="00B009C7">
        <w:rPr>
          <w:szCs w:val="24"/>
        </w:rPr>
        <w:t xml:space="preserve"> </w:t>
      </w:r>
      <w:r w:rsidR="00830F52" w:rsidRPr="009D275D">
        <w:rPr>
          <w:szCs w:val="24"/>
        </w:rPr>
        <w:t xml:space="preserve">Part One provides </w:t>
      </w:r>
      <w:r w:rsidR="00994177">
        <w:rPr>
          <w:szCs w:val="24"/>
        </w:rPr>
        <w:t xml:space="preserve">the context for the Agreement </w:t>
      </w:r>
      <w:r w:rsidR="00830F52" w:rsidRPr="009D275D">
        <w:rPr>
          <w:szCs w:val="24"/>
        </w:rPr>
        <w:t xml:space="preserve">and </w:t>
      </w:r>
      <w:r w:rsidR="0040073D" w:rsidRPr="009D275D">
        <w:rPr>
          <w:szCs w:val="24"/>
        </w:rPr>
        <w:t>outlines</w:t>
      </w:r>
      <w:r w:rsidR="00994177">
        <w:rPr>
          <w:szCs w:val="24"/>
        </w:rPr>
        <w:t xml:space="preserve"> </w:t>
      </w:r>
      <w:r w:rsidR="00830F52" w:rsidRPr="009D275D">
        <w:rPr>
          <w:szCs w:val="24"/>
        </w:rPr>
        <w:t xml:space="preserve">roles and responsibilities of governments. </w:t>
      </w:r>
      <w:r w:rsidR="00994177">
        <w:rPr>
          <w:szCs w:val="24"/>
        </w:rPr>
        <w:t xml:space="preserve">Part Two presents the policy framework, </w:t>
      </w:r>
      <w:r w:rsidR="009F324F">
        <w:rPr>
          <w:szCs w:val="24"/>
        </w:rPr>
        <w:t>including the</w:t>
      </w:r>
      <w:r w:rsidR="00994177" w:rsidRPr="00685993">
        <w:rPr>
          <w:szCs w:val="24"/>
        </w:rPr>
        <w:t xml:space="preserve"> outcomes</w:t>
      </w:r>
      <w:r w:rsidR="00994177">
        <w:rPr>
          <w:szCs w:val="24"/>
        </w:rPr>
        <w:t>,</w:t>
      </w:r>
      <w:r w:rsidR="00994177" w:rsidRPr="00685993">
        <w:rPr>
          <w:szCs w:val="24"/>
        </w:rPr>
        <w:t xml:space="preserve"> </w:t>
      </w:r>
      <w:r w:rsidR="00685993" w:rsidRPr="00685993">
        <w:rPr>
          <w:szCs w:val="24"/>
        </w:rPr>
        <w:t xml:space="preserve">objectives, principles, and strategic approaches of the Agreement. It </w:t>
      </w:r>
      <w:r w:rsidR="007E12C6">
        <w:rPr>
          <w:szCs w:val="24"/>
        </w:rPr>
        <w:t xml:space="preserve">also </w:t>
      </w:r>
      <w:r w:rsidR="009F324F">
        <w:rPr>
          <w:szCs w:val="24"/>
        </w:rPr>
        <w:t xml:space="preserve">sets out the </w:t>
      </w:r>
      <w:r w:rsidR="00685993" w:rsidRPr="00685993">
        <w:rPr>
          <w:szCs w:val="24"/>
        </w:rPr>
        <w:t xml:space="preserve">priority setting </w:t>
      </w:r>
      <w:r w:rsidR="009F324F">
        <w:rPr>
          <w:szCs w:val="24"/>
        </w:rPr>
        <w:t>process to assist governments to</w:t>
      </w:r>
      <w:r w:rsidR="00685993" w:rsidRPr="00685993">
        <w:rPr>
          <w:szCs w:val="24"/>
        </w:rPr>
        <w:t xml:space="preserve"> deliver coordinated </w:t>
      </w:r>
      <w:r w:rsidR="009F324F">
        <w:rPr>
          <w:szCs w:val="24"/>
        </w:rPr>
        <w:t xml:space="preserve">and </w:t>
      </w:r>
      <w:r w:rsidR="00685993" w:rsidRPr="00685993">
        <w:rPr>
          <w:szCs w:val="24"/>
        </w:rPr>
        <w:t>practical</w:t>
      </w:r>
      <w:r w:rsidR="009F324F">
        <w:rPr>
          <w:szCs w:val="24"/>
        </w:rPr>
        <w:t xml:space="preserve"> responses to air quality priorities</w:t>
      </w:r>
      <w:r w:rsidR="00685993" w:rsidRPr="00685993">
        <w:rPr>
          <w:szCs w:val="24"/>
        </w:rPr>
        <w:t xml:space="preserve">. </w:t>
      </w:r>
    </w:p>
    <w:p w:rsidR="000B2BD3" w:rsidRDefault="00923803" w:rsidP="0072221C">
      <w:pPr>
        <w:pStyle w:val="Heading1"/>
        <w:spacing w:after="360"/>
      </w:pPr>
      <w:bookmarkStart w:id="2" w:name="_Toc420316172"/>
      <w:bookmarkStart w:id="3" w:name="_Toc422142087"/>
      <w:bookmarkStart w:id="4" w:name="_Toc423602478"/>
      <w:r w:rsidRPr="0072221C">
        <w:lastRenderedPageBreak/>
        <w:t>PART ONE - CONTEXT</w:t>
      </w:r>
      <w:bookmarkEnd w:id="2"/>
      <w:bookmarkEnd w:id="3"/>
      <w:bookmarkEnd w:id="4"/>
    </w:p>
    <w:p w:rsidR="000B2BD3" w:rsidRPr="00A0660B" w:rsidRDefault="00A0660B">
      <w:pPr>
        <w:pStyle w:val="Heading2"/>
      </w:pPr>
      <w:bookmarkStart w:id="5" w:name="_Toc420316173"/>
      <w:bookmarkStart w:id="6" w:name="_Toc422142088"/>
      <w:bookmarkStart w:id="7" w:name="_Toc423602479"/>
      <w:r>
        <w:rPr>
          <w:caps w:val="0"/>
        </w:rPr>
        <w:t>I</w:t>
      </w:r>
      <w:r w:rsidRPr="00A0660B">
        <w:rPr>
          <w:caps w:val="0"/>
        </w:rPr>
        <w:t>ntroduction</w:t>
      </w:r>
      <w:bookmarkEnd w:id="5"/>
      <w:bookmarkEnd w:id="6"/>
      <w:bookmarkEnd w:id="7"/>
    </w:p>
    <w:p w:rsidR="00A630D2" w:rsidRPr="009D275D" w:rsidRDefault="00D65116" w:rsidP="007B03E2">
      <w:pPr>
        <w:spacing w:before="120" w:after="120"/>
        <w:rPr>
          <w:szCs w:val="24"/>
        </w:rPr>
      </w:pPr>
      <w:r w:rsidRPr="009D275D">
        <w:rPr>
          <w:szCs w:val="24"/>
        </w:rPr>
        <w:t xml:space="preserve">It is well recognised that Australia’s </w:t>
      </w:r>
      <w:r w:rsidR="00E9090A" w:rsidRPr="009D275D">
        <w:rPr>
          <w:szCs w:val="24"/>
        </w:rPr>
        <w:t xml:space="preserve">current </w:t>
      </w:r>
      <w:r w:rsidRPr="009D275D">
        <w:rPr>
          <w:szCs w:val="24"/>
        </w:rPr>
        <w:t>air quality remains very good by world standards. Australian governments have</w:t>
      </w:r>
      <w:r w:rsidR="003750DB" w:rsidRPr="009D275D">
        <w:rPr>
          <w:szCs w:val="24"/>
        </w:rPr>
        <w:t>,</w:t>
      </w:r>
      <w:r w:rsidRPr="009D275D">
        <w:rPr>
          <w:szCs w:val="24"/>
        </w:rPr>
        <w:t xml:space="preserve"> over a number of years</w:t>
      </w:r>
      <w:r w:rsidR="003750DB" w:rsidRPr="009D275D">
        <w:rPr>
          <w:szCs w:val="24"/>
        </w:rPr>
        <w:t>,</w:t>
      </w:r>
      <w:r w:rsidRPr="009D275D">
        <w:rPr>
          <w:szCs w:val="24"/>
        </w:rPr>
        <w:t xml:space="preserve"> successfully implemented measures </w:t>
      </w:r>
      <w:r w:rsidR="006D7B2A" w:rsidRPr="009D275D">
        <w:rPr>
          <w:szCs w:val="24"/>
        </w:rPr>
        <w:t xml:space="preserve">to </w:t>
      </w:r>
      <w:r w:rsidRPr="009D275D">
        <w:rPr>
          <w:szCs w:val="24"/>
        </w:rPr>
        <w:t xml:space="preserve">reduce </w:t>
      </w:r>
      <w:r w:rsidR="006D7B2A" w:rsidRPr="009D275D">
        <w:rPr>
          <w:szCs w:val="24"/>
        </w:rPr>
        <w:t>air pollution w</w:t>
      </w:r>
      <w:r w:rsidRPr="009D275D">
        <w:rPr>
          <w:szCs w:val="24"/>
        </w:rPr>
        <w:t xml:space="preserve">hich have significantly improved Australia’s </w:t>
      </w:r>
      <w:r w:rsidR="00930EEB" w:rsidRPr="009D275D">
        <w:rPr>
          <w:szCs w:val="24"/>
        </w:rPr>
        <w:t xml:space="preserve">overall </w:t>
      </w:r>
      <w:r w:rsidRPr="009D275D">
        <w:rPr>
          <w:szCs w:val="24"/>
        </w:rPr>
        <w:t xml:space="preserve">air quality with positive environmental and health impacts. </w:t>
      </w:r>
    </w:p>
    <w:p w:rsidR="001B2CA6" w:rsidRPr="009D275D" w:rsidRDefault="007D59EA" w:rsidP="007B03E2">
      <w:pPr>
        <w:spacing w:before="120" w:after="120"/>
        <w:rPr>
          <w:szCs w:val="24"/>
        </w:rPr>
      </w:pPr>
      <w:r>
        <w:rPr>
          <w:szCs w:val="24"/>
        </w:rPr>
        <w:t>We want to maintain this good performance, while addressing</w:t>
      </w:r>
      <w:r w:rsidR="003750DB" w:rsidRPr="009D275D">
        <w:rPr>
          <w:szCs w:val="24"/>
        </w:rPr>
        <w:t xml:space="preserve"> areas of concern</w:t>
      </w:r>
      <w:r>
        <w:rPr>
          <w:szCs w:val="24"/>
        </w:rPr>
        <w:t>.</w:t>
      </w:r>
      <w:r w:rsidRPr="009D275D">
        <w:rPr>
          <w:szCs w:val="24"/>
        </w:rPr>
        <w:t xml:space="preserve"> </w:t>
      </w:r>
      <w:r>
        <w:rPr>
          <w:szCs w:val="24"/>
        </w:rPr>
        <w:t>P</w:t>
      </w:r>
      <w:r w:rsidR="00A2117C" w:rsidRPr="009D275D">
        <w:rPr>
          <w:szCs w:val="24"/>
        </w:rPr>
        <w:t xml:space="preserve">eak </w:t>
      </w:r>
      <w:r w:rsidR="003750DB" w:rsidRPr="009D275D">
        <w:rPr>
          <w:szCs w:val="24"/>
        </w:rPr>
        <w:t>level</w:t>
      </w:r>
      <w:r w:rsidR="00E9090A" w:rsidRPr="009D275D">
        <w:rPr>
          <w:szCs w:val="24"/>
        </w:rPr>
        <w:t>s</w:t>
      </w:r>
      <w:r w:rsidR="003750DB" w:rsidRPr="009D275D">
        <w:rPr>
          <w:szCs w:val="24"/>
        </w:rPr>
        <w:t xml:space="preserve"> of airborne pollutants </w:t>
      </w:r>
      <w:r w:rsidR="00F9355E" w:rsidRPr="009D275D">
        <w:rPr>
          <w:szCs w:val="24"/>
        </w:rPr>
        <w:t xml:space="preserve">such as ground level ozone and particulate matter (PM) </w:t>
      </w:r>
      <w:r w:rsidR="00685993" w:rsidRPr="00685993">
        <w:rPr>
          <w:szCs w:val="24"/>
        </w:rPr>
        <w:t>frequently approach or exceed national air quality standards in some Australian cities (ozone) or nearly all regions (PM)</w:t>
      </w:r>
      <w:r w:rsidR="00685993" w:rsidRPr="00685993">
        <w:rPr>
          <w:rStyle w:val="FootnoteReference"/>
          <w:szCs w:val="24"/>
        </w:rPr>
        <w:footnoteReference w:id="1"/>
      </w:r>
      <w:r w:rsidR="00685993" w:rsidRPr="00685993">
        <w:rPr>
          <w:szCs w:val="24"/>
        </w:rPr>
        <w:t xml:space="preserve">. Furthermore, there are specific areas of concern to local communities, including emissions of sulfur dioxide and PM, from a range of sources (for example, industrial activity, heating). </w:t>
      </w:r>
    </w:p>
    <w:p w:rsidR="00781D98" w:rsidRPr="009D275D" w:rsidRDefault="00685993" w:rsidP="007B03E2">
      <w:pPr>
        <w:spacing w:before="120" w:after="120"/>
        <w:rPr>
          <w:szCs w:val="24"/>
        </w:rPr>
      </w:pPr>
      <w:r w:rsidRPr="00685993">
        <w:rPr>
          <w:szCs w:val="24"/>
        </w:rPr>
        <w:t>Air quality issues may be limited to a particular region due to local air pollution sources, or may be more widespread and experienced across one or mo</w:t>
      </w:r>
      <w:r w:rsidR="00F36B3F">
        <w:rPr>
          <w:szCs w:val="24"/>
        </w:rPr>
        <w:t>re jurisdictions, due to</w:t>
      </w:r>
      <w:r w:rsidRPr="00685993">
        <w:rPr>
          <w:szCs w:val="24"/>
        </w:rPr>
        <w:t xml:space="preserve"> common air pollutant sources (such as vehicle emissions) or due to the trans-boundary movement of airborne pollutants. </w:t>
      </w:r>
    </w:p>
    <w:p w:rsidR="003750DB" w:rsidRPr="009D275D" w:rsidRDefault="00685993" w:rsidP="007B03E2">
      <w:pPr>
        <w:spacing w:before="120" w:after="120"/>
        <w:rPr>
          <w:szCs w:val="24"/>
        </w:rPr>
      </w:pPr>
      <w:r w:rsidRPr="00685993">
        <w:rPr>
          <w:szCs w:val="24"/>
        </w:rPr>
        <w:t>Regardless of the source of air pollution, it continues to be a major human health concern, given the known respiratory and cardiovascular effects</w:t>
      </w:r>
      <w:r w:rsidRPr="00685993">
        <w:rPr>
          <w:rStyle w:val="FootnoteReference"/>
          <w:szCs w:val="24"/>
        </w:rPr>
        <w:footnoteReference w:id="2"/>
      </w:r>
      <w:r w:rsidRPr="00685993">
        <w:rPr>
          <w:szCs w:val="24"/>
        </w:rPr>
        <w:t xml:space="preserve"> and recently recognised carcinogenic properties of air pollutants</w:t>
      </w:r>
      <w:r w:rsidRPr="00685993">
        <w:rPr>
          <w:rStyle w:val="FootnoteReference"/>
          <w:szCs w:val="24"/>
        </w:rPr>
        <w:footnoteReference w:id="3"/>
      </w:r>
      <w:r w:rsidRPr="00685993">
        <w:rPr>
          <w:szCs w:val="24"/>
        </w:rPr>
        <w:t xml:space="preserve">. Sensitive individuals (children, the elderly and those with existing respiratory and/or cardiovascular disease) are particularly susceptible to air pollution. Other concerns of air pollution include environmental impacts, economic costs, and impacts on our </w:t>
      </w:r>
      <w:r w:rsidR="003E570A">
        <w:rPr>
          <w:szCs w:val="24"/>
        </w:rPr>
        <w:t>quality</w:t>
      </w:r>
      <w:r w:rsidR="003E570A" w:rsidRPr="00685993">
        <w:rPr>
          <w:szCs w:val="24"/>
        </w:rPr>
        <w:t xml:space="preserve"> </w:t>
      </w:r>
      <w:r w:rsidRPr="00685993">
        <w:rPr>
          <w:szCs w:val="24"/>
        </w:rPr>
        <w:t>of life</w:t>
      </w:r>
      <w:r w:rsidR="003E570A">
        <w:rPr>
          <w:szCs w:val="24"/>
        </w:rPr>
        <w:t>, especially in our cities and towns</w:t>
      </w:r>
      <w:r w:rsidRPr="00685993">
        <w:rPr>
          <w:szCs w:val="24"/>
        </w:rPr>
        <w:t xml:space="preserve">. </w:t>
      </w:r>
    </w:p>
    <w:p w:rsidR="00BF177F" w:rsidRPr="009D275D" w:rsidRDefault="00685993" w:rsidP="007B03E2">
      <w:pPr>
        <w:spacing w:before="120" w:after="120"/>
        <w:rPr>
          <w:szCs w:val="24"/>
        </w:rPr>
      </w:pPr>
      <w:r w:rsidRPr="00685993">
        <w:rPr>
          <w:szCs w:val="24"/>
        </w:rPr>
        <w:t>Looking to the future, there are multiple drivers that run the risk of accelerating air pollution and the impacts of air quality in Australia, including:</w:t>
      </w:r>
    </w:p>
    <w:p w:rsidR="001C40FB" w:rsidRDefault="00685993" w:rsidP="007B03E2">
      <w:pPr>
        <w:pStyle w:val="ListBullet"/>
        <w:spacing w:before="120" w:after="120"/>
        <w:rPr>
          <w:szCs w:val="24"/>
        </w:rPr>
      </w:pPr>
      <w:r w:rsidRPr="00685993">
        <w:rPr>
          <w:b/>
          <w:szCs w:val="24"/>
        </w:rPr>
        <w:t>Population Growth and Ageing</w:t>
      </w:r>
      <w:r w:rsidRPr="00685993">
        <w:rPr>
          <w:szCs w:val="24"/>
        </w:rPr>
        <w:t xml:space="preserve">: Australia’s </w:t>
      </w:r>
      <w:r w:rsidR="00286DBD">
        <w:rPr>
          <w:szCs w:val="24"/>
        </w:rPr>
        <w:t xml:space="preserve">average annual rate of growth in the population is projected to be 1.3 per cent. This would see Australia’s population rise to 39.7 million people by 2054-55, up from 23.9 million people today. </w:t>
      </w:r>
      <w:r w:rsidR="001C40FB">
        <w:rPr>
          <w:szCs w:val="24"/>
        </w:rPr>
        <w:t xml:space="preserve">In 2054-55, life expectancy at birth is projected to be 95.1 years for men and 96.6 years for women, compared with 91.5 and 93.6 years today. </w:t>
      </w:r>
      <w:r w:rsidR="002F7BDF">
        <w:rPr>
          <w:szCs w:val="24"/>
        </w:rPr>
        <w:t>The number of Australians aged 65 and over is projected to more than double by 2054-55</w:t>
      </w:r>
      <w:r w:rsidR="002F7BDF">
        <w:rPr>
          <w:rStyle w:val="FootnoteReference"/>
          <w:szCs w:val="24"/>
        </w:rPr>
        <w:footnoteReference w:id="4"/>
      </w:r>
      <w:r w:rsidR="002F7BDF">
        <w:rPr>
          <w:szCs w:val="24"/>
        </w:rPr>
        <w:t xml:space="preserve">. </w:t>
      </w:r>
    </w:p>
    <w:p w:rsidR="000F3F1D" w:rsidRPr="009D275D" w:rsidRDefault="000F3F1D" w:rsidP="002F7BDF">
      <w:pPr>
        <w:pStyle w:val="ListBullet"/>
        <w:numPr>
          <w:ilvl w:val="0"/>
          <w:numId w:val="0"/>
        </w:numPr>
        <w:spacing w:before="120" w:after="120"/>
        <w:ind w:left="369"/>
        <w:rPr>
          <w:szCs w:val="24"/>
        </w:rPr>
      </w:pPr>
    </w:p>
    <w:p w:rsidR="008F5AC4" w:rsidRPr="009D275D" w:rsidRDefault="000F3F1D" w:rsidP="007B03E2">
      <w:pPr>
        <w:pStyle w:val="ListBullet"/>
        <w:spacing w:before="120" w:after="120"/>
        <w:rPr>
          <w:szCs w:val="24"/>
          <w:u w:val="single"/>
        </w:rPr>
      </w:pPr>
      <w:proofErr w:type="spellStart"/>
      <w:r w:rsidRPr="009D275D">
        <w:rPr>
          <w:b/>
          <w:szCs w:val="24"/>
        </w:rPr>
        <w:lastRenderedPageBreak/>
        <w:t>Urbanisation</w:t>
      </w:r>
      <w:proofErr w:type="spellEnd"/>
      <w:r w:rsidRPr="009D275D">
        <w:rPr>
          <w:szCs w:val="24"/>
        </w:rPr>
        <w:t>:</w:t>
      </w:r>
      <w:r w:rsidR="000B2BD3">
        <w:rPr>
          <w:szCs w:val="24"/>
        </w:rPr>
        <w:t xml:space="preserve"> </w:t>
      </w:r>
      <w:r w:rsidR="003005D7" w:rsidRPr="009D275D">
        <w:rPr>
          <w:szCs w:val="24"/>
        </w:rPr>
        <w:t>B</w:t>
      </w:r>
      <w:r w:rsidR="006117BC" w:rsidRPr="009D275D">
        <w:rPr>
          <w:szCs w:val="24"/>
        </w:rPr>
        <w:t>y 2061, an estima</w:t>
      </w:r>
      <w:r w:rsidR="00F9355E" w:rsidRPr="009D275D">
        <w:rPr>
          <w:szCs w:val="24"/>
        </w:rPr>
        <w:t>ted 74 per cent of Australians</w:t>
      </w:r>
      <w:r w:rsidR="006C7383" w:rsidRPr="009D275D">
        <w:rPr>
          <w:szCs w:val="24"/>
        </w:rPr>
        <w:t>, compared to 66 per cent in 2012,</w:t>
      </w:r>
      <w:r w:rsidR="00F9355E" w:rsidRPr="009D275D">
        <w:rPr>
          <w:szCs w:val="24"/>
        </w:rPr>
        <w:t xml:space="preserve"> </w:t>
      </w:r>
      <w:r w:rsidR="006117BC" w:rsidRPr="009D275D">
        <w:rPr>
          <w:szCs w:val="24"/>
        </w:rPr>
        <w:t>are expected to live in a capital city</w:t>
      </w:r>
      <w:r w:rsidR="00E33957">
        <w:rPr>
          <w:rStyle w:val="FootnoteReference"/>
          <w:szCs w:val="24"/>
        </w:rPr>
        <w:footnoteReference w:id="5"/>
      </w:r>
      <w:r w:rsidR="006C7383" w:rsidRPr="009D275D">
        <w:rPr>
          <w:szCs w:val="24"/>
        </w:rPr>
        <w:t xml:space="preserve"> -</w:t>
      </w:r>
      <w:r w:rsidR="00685993" w:rsidRPr="00685993">
        <w:rPr>
          <w:szCs w:val="24"/>
        </w:rPr>
        <w:t xml:space="preserve"> areas where people are more likely to be exposed to many sources of pollution.</w:t>
      </w:r>
    </w:p>
    <w:p w:rsidR="008F5AC4" w:rsidRPr="009D275D" w:rsidRDefault="00685993" w:rsidP="007B03E2">
      <w:pPr>
        <w:pStyle w:val="ListBullet"/>
        <w:spacing w:before="120" w:after="120"/>
        <w:rPr>
          <w:szCs w:val="24"/>
        </w:rPr>
      </w:pPr>
      <w:r w:rsidRPr="00685993">
        <w:rPr>
          <w:b/>
          <w:szCs w:val="24"/>
        </w:rPr>
        <w:t>Increased Transport and Energy Demands</w:t>
      </w:r>
      <w:r w:rsidRPr="00685993">
        <w:rPr>
          <w:szCs w:val="24"/>
        </w:rPr>
        <w:t>: Over 70 per cent of all domestic travel occurs via roads. By 2030, road and rail freight are expected to grow by 80 and 90 per cent, respectively. National public transport is projected to grow by 30 per cent to 2030. The Australian transport sector is expected to rely heavily on oil over the next 20 years</w:t>
      </w:r>
      <w:r w:rsidR="00682AFE" w:rsidRPr="009D275D">
        <w:rPr>
          <w:rStyle w:val="FootnoteReference"/>
          <w:szCs w:val="24"/>
        </w:rPr>
        <w:footnoteReference w:id="6"/>
      </w:r>
      <w:r w:rsidR="00E47707" w:rsidRPr="009D275D">
        <w:rPr>
          <w:szCs w:val="24"/>
        </w:rPr>
        <w:t xml:space="preserve">. </w:t>
      </w:r>
    </w:p>
    <w:p w:rsidR="00D65116" w:rsidRPr="009D275D" w:rsidRDefault="004731CE" w:rsidP="007B03E2">
      <w:pPr>
        <w:spacing w:before="120" w:after="120"/>
        <w:rPr>
          <w:szCs w:val="24"/>
        </w:rPr>
      </w:pPr>
      <w:r>
        <w:rPr>
          <w:szCs w:val="24"/>
        </w:rPr>
        <w:t>Such</w:t>
      </w:r>
      <w:r w:rsidR="00AA2B3F" w:rsidRPr="009D275D">
        <w:rPr>
          <w:szCs w:val="24"/>
        </w:rPr>
        <w:t xml:space="preserve"> challenges </w:t>
      </w:r>
      <w:r w:rsidR="00E9090A" w:rsidRPr="009D275D">
        <w:rPr>
          <w:szCs w:val="24"/>
        </w:rPr>
        <w:t xml:space="preserve">could erode the successes </w:t>
      </w:r>
      <w:r w:rsidR="00AA2B3F" w:rsidRPr="009D275D">
        <w:rPr>
          <w:szCs w:val="24"/>
        </w:rPr>
        <w:t xml:space="preserve">in air quality </w:t>
      </w:r>
      <w:r w:rsidR="00E9090A" w:rsidRPr="009D275D">
        <w:rPr>
          <w:szCs w:val="24"/>
        </w:rPr>
        <w:t>achieved to date</w:t>
      </w:r>
      <w:r w:rsidR="00AA2B3F" w:rsidRPr="009D275D">
        <w:rPr>
          <w:szCs w:val="24"/>
        </w:rPr>
        <w:t xml:space="preserve"> and lead to poorer air quality </w:t>
      </w:r>
      <w:r>
        <w:rPr>
          <w:szCs w:val="24"/>
        </w:rPr>
        <w:t>outcomes for current and future generations</w:t>
      </w:r>
      <w:r w:rsidR="00E9090A" w:rsidRPr="009D275D">
        <w:rPr>
          <w:szCs w:val="24"/>
        </w:rPr>
        <w:t>.</w:t>
      </w:r>
      <w:r>
        <w:rPr>
          <w:szCs w:val="24"/>
        </w:rPr>
        <w:t xml:space="preserve"> Given the evidence at hand and the challenges impacting </w:t>
      </w:r>
      <w:r w:rsidR="00810632">
        <w:rPr>
          <w:szCs w:val="24"/>
        </w:rPr>
        <w:t xml:space="preserve">on </w:t>
      </w:r>
      <w:r>
        <w:rPr>
          <w:szCs w:val="24"/>
        </w:rPr>
        <w:t xml:space="preserve">our air quality, Environment Ministers have recognised it is </w:t>
      </w:r>
      <w:r w:rsidR="00810632">
        <w:rPr>
          <w:szCs w:val="24"/>
        </w:rPr>
        <w:t>timely</w:t>
      </w:r>
      <w:r>
        <w:rPr>
          <w:szCs w:val="24"/>
        </w:rPr>
        <w:t xml:space="preserve"> to </w:t>
      </w:r>
      <w:r w:rsidR="00810632">
        <w:rPr>
          <w:szCs w:val="24"/>
        </w:rPr>
        <w:t>map out a path for a clean air future for Australia</w:t>
      </w:r>
      <w:r>
        <w:rPr>
          <w:szCs w:val="24"/>
        </w:rPr>
        <w:t>.</w:t>
      </w:r>
      <w:r w:rsidR="00685993" w:rsidRPr="00685993">
        <w:rPr>
          <w:szCs w:val="24"/>
        </w:rPr>
        <w:t xml:space="preserve"> </w:t>
      </w:r>
    </w:p>
    <w:p w:rsidR="00894480" w:rsidRPr="00A0660B" w:rsidRDefault="0084519E" w:rsidP="00A0660B">
      <w:pPr>
        <w:pStyle w:val="Heading2"/>
      </w:pPr>
      <w:bookmarkStart w:id="8" w:name="_Toc420316174"/>
      <w:bookmarkStart w:id="9" w:name="_Toc422142089"/>
      <w:bookmarkStart w:id="10" w:name="_Toc423602480"/>
      <w:r>
        <w:rPr>
          <w:caps w:val="0"/>
        </w:rPr>
        <w:t>D</w:t>
      </w:r>
      <w:r w:rsidRPr="00A0660B">
        <w:rPr>
          <w:caps w:val="0"/>
        </w:rPr>
        <w:t xml:space="preserve">evelopment of the </w:t>
      </w:r>
      <w:r>
        <w:rPr>
          <w:caps w:val="0"/>
        </w:rPr>
        <w:t>N</w:t>
      </w:r>
      <w:r w:rsidRPr="00A0660B">
        <w:rPr>
          <w:caps w:val="0"/>
        </w:rPr>
        <w:t xml:space="preserve">ational </w:t>
      </w:r>
      <w:r>
        <w:rPr>
          <w:caps w:val="0"/>
        </w:rPr>
        <w:t>C</w:t>
      </w:r>
      <w:r w:rsidRPr="00A0660B">
        <w:rPr>
          <w:caps w:val="0"/>
        </w:rPr>
        <w:t xml:space="preserve">lean </w:t>
      </w:r>
      <w:r>
        <w:rPr>
          <w:caps w:val="0"/>
        </w:rPr>
        <w:t>A</w:t>
      </w:r>
      <w:r w:rsidRPr="00A0660B">
        <w:rPr>
          <w:caps w:val="0"/>
        </w:rPr>
        <w:t xml:space="preserve">ir </w:t>
      </w:r>
      <w:r>
        <w:rPr>
          <w:caps w:val="0"/>
        </w:rPr>
        <w:t>A</w:t>
      </w:r>
      <w:r w:rsidRPr="00A0660B">
        <w:rPr>
          <w:caps w:val="0"/>
        </w:rPr>
        <w:t>greement</w:t>
      </w:r>
      <w:bookmarkEnd w:id="8"/>
      <w:bookmarkEnd w:id="9"/>
      <w:bookmarkEnd w:id="10"/>
    </w:p>
    <w:p w:rsidR="008C0379" w:rsidRPr="009D275D" w:rsidRDefault="008C0379" w:rsidP="007B03E2">
      <w:pPr>
        <w:spacing w:before="120" w:after="120"/>
        <w:rPr>
          <w:szCs w:val="24"/>
        </w:rPr>
      </w:pPr>
      <w:r w:rsidRPr="009D275D">
        <w:rPr>
          <w:szCs w:val="24"/>
        </w:rPr>
        <w:t xml:space="preserve">In April 2014, the Commonwealth Minister for the Environment, Greg Hunt, </w:t>
      </w:r>
      <w:r w:rsidR="004731CE">
        <w:rPr>
          <w:szCs w:val="24"/>
        </w:rPr>
        <w:t>secured the agreement of Australia’s</w:t>
      </w:r>
      <w:r w:rsidRPr="009D275D">
        <w:rPr>
          <w:szCs w:val="24"/>
        </w:rPr>
        <w:t xml:space="preserve"> Environment Ministers </w:t>
      </w:r>
      <w:r w:rsidR="004731CE">
        <w:rPr>
          <w:szCs w:val="24"/>
        </w:rPr>
        <w:t xml:space="preserve">to </w:t>
      </w:r>
      <w:r w:rsidRPr="009D275D">
        <w:rPr>
          <w:szCs w:val="24"/>
        </w:rPr>
        <w:t xml:space="preserve">work together to develop a National Clean Air Agreement to address the challenges regarding Australia’s air quality and to chart a course to cleaner air in the future. </w:t>
      </w:r>
    </w:p>
    <w:p w:rsidR="00C06772" w:rsidRPr="009D275D" w:rsidRDefault="006C7383" w:rsidP="007B03E2">
      <w:pPr>
        <w:spacing w:before="120" w:after="120"/>
        <w:rPr>
          <w:szCs w:val="24"/>
        </w:rPr>
      </w:pPr>
      <w:r w:rsidRPr="009D275D">
        <w:rPr>
          <w:szCs w:val="24"/>
        </w:rPr>
        <w:t>Government, industry and community representatives</w:t>
      </w:r>
      <w:r w:rsidR="00C06772" w:rsidRPr="009D275D">
        <w:rPr>
          <w:szCs w:val="24"/>
        </w:rPr>
        <w:t xml:space="preserve"> were engaged in the </w:t>
      </w:r>
      <w:r w:rsidR="0051064D" w:rsidRPr="009D275D">
        <w:rPr>
          <w:szCs w:val="24"/>
        </w:rPr>
        <w:t>development of</w:t>
      </w:r>
      <w:r w:rsidR="00C06772" w:rsidRPr="009D275D">
        <w:rPr>
          <w:szCs w:val="24"/>
        </w:rPr>
        <w:t xml:space="preserve"> the Agreement through consultation on a discussion paper, </w:t>
      </w:r>
      <w:r w:rsidR="00C06772" w:rsidRPr="009D275D">
        <w:rPr>
          <w:i/>
          <w:szCs w:val="24"/>
        </w:rPr>
        <w:t>Working towards a National Clean Air Agreement</w:t>
      </w:r>
      <w:r w:rsidR="00C06772" w:rsidRPr="009D275D">
        <w:rPr>
          <w:szCs w:val="24"/>
        </w:rPr>
        <w:t xml:space="preserve">, released on 27 February 2015. </w:t>
      </w:r>
      <w:r w:rsidR="00810632">
        <w:rPr>
          <w:szCs w:val="24"/>
        </w:rPr>
        <w:t xml:space="preserve">Over 300 submissions were received. </w:t>
      </w:r>
      <w:r w:rsidR="00C06772" w:rsidRPr="009D275D">
        <w:rPr>
          <w:szCs w:val="24"/>
        </w:rPr>
        <w:t xml:space="preserve">Feedback was specifically sought on proposed elements of the Agreement, key air quality priorities for possible action under the Agreement, and potential partnership opportunities to </w:t>
      </w:r>
      <w:r w:rsidRPr="009D275D">
        <w:rPr>
          <w:szCs w:val="24"/>
        </w:rPr>
        <w:t xml:space="preserve">support </w:t>
      </w:r>
      <w:r w:rsidR="0040073D" w:rsidRPr="009D275D">
        <w:rPr>
          <w:szCs w:val="24"/>
        </w:rPr>
        <w:t>improved</w:t>
      </w:r>
      <w:r w:rsidR="00C06772" w:rsidRPr="009D275D">
        <w:rPr>
          <w:szCs w:val="24"/>
        </w:rPr>
        <w:t xml:space="preserve"> air quality outcomes.</w:t>
      </w:r>
    </w:p>
    <w:p w:rsidR="0051064D" w:rsidRPr="009D275D" w:rsidRDefault="0051064D" w:rsidP="007B03E2">
      <w:pPr>
        <w:spacing w:before="120" w:after="120"/>
        <w:rPr>
          <w:szCs w:val="24"/>
        </w:rPr>
      </w:pPr>
      <w:r w:rsidRPr="009D275D">
        <w:rPr>
          <w:szCs w:val="24"/>
        </w:rPr>
        <w:t xml:space="preserve">On </w:t>
      </w:r>
      <w:r w:rsidR="00685993" w:rsidRPr="00685993">
        <w:rPr>
          <w:szCs w:val="24"/>
        </w:rPr>
        <w:t xml:space="preserve">15 </w:t>
      </w:r>
      <w:r w:rsidR="00C57391">
        <w:rPr>
          <w:szCs w:val="24"/>
        </w:rPr>
        <w:t>December</w:t>
      </w:r>
      <w:r w:rsidR="00685993" w:rsidRPr="00685993">
        <w:rPr>
          <w:szCs w:val="24"/>
        </w:rPr>
        <w:t xml:space="preserve"> 2015, Environment Ministers established the National Clean Air Agreement to build on existing air quality arrangements and ensure a continued</w:t>
      </w:r>
      <w:r w:rsidR="00685993" w:rsidRPr="00685993">
        <w:rPr>
          <w:i/>
          <w:szCs w:val="24"/>
        </w:rPr>
        <w:t xml:space="preserve"> </w:t>
      </w:r>
      <w:r w:rsidR="004731CE">
        <w:rPr>
          <w:szCs w:val="24"/>
        </w:rPr>
        <w:t xml:space="preserve">and strengthened </w:t>
      </w:r>
      <w:r w:rsidR="00685993" w:rsidRPr="00685993">
        <w:rPr>
          <w:szCs w:val="24"/>
        </w:rPr>
        <w:t xml:space="preserve">approach to air quality management in Australia. </w:t>
      </w:r>
      <w:r w:rsidR="004731CE">
        <w:rPr>
          <w:szCs w:val="24"/>
        </w:rPr>
        <w:t>The Agreement establishes a basis</w:t>
      </w:r>
      <w:r w:rsidR="00685993" w:rsidRPr="00685993">
        <w:rPr>
          <w:szCs w:val="24"/>
        </w:rPr>
        <w:t xml:space="preserve"> on which to set priorities for action now and into the future, and provides a means to develop practical, cost-effective and outcome-focused </w:t>
      </w:r>
      <w:r w:rsidR="004731CE">
        <w:rPr>
          <w:szCs w:val="24"/>
        </w:rPr>
        <w:t>measures to address</w:t>
      </w:r>
      <w:r w:rsidR="00685993" w:rsidRPr="00685993">
        <w:rPr>
          <w:szCs w:val="24"/>
        </w:rPr>
        <w:t xml:space="preserve"> these priorities.</w:t>
      </w:r>
    </w:p>
    <w:p w:rsidR="0069076D" w:rsidRPr="009D275D" w:rsidRDefault="00685993" w:rsidP="007B03E2">
      <w:pPr>
        <w:spacing w:before="120" w:after="120"/>
        <w:rPr>
          <w:szCs w:val="24"/>
        </w:rPr>
      </w:pPr>
      <w:r w:rsidRPr="00685993">
        <w:rPr>
          <w:szCs w:val="24"/>
        </w:rPr>
        <w:t xml:space="preserve">The Agreement recognises that not only governments, but </w:t>
      </w:r>
      <w:r w:rsidR="00810632">
        <w:rPr>
          <w:szCs w:val="24"/>
        </w:rPr>
        <w:t>business</w:t>
      </w:r>
      <w:r w:rsidR="00810632" w:rsidRPr="00685993">
        <w:rPr>
          <w:szCs w:val="24"/>
        </w:rPr>
        <w:t xml:space="preserve"> </w:t>
      </w:r>
      <w:r w:rsidRPr="00685993">
        <w:rPr>
          <w:szCs w:val="24"/>
        </w:rPr>
        <w:t xml:space="preserve">and the community need to be active to ensure a clean air future. A key focus of the Agreement is to encourage the development of partnerships with the </w:t>
      </w:r>
      <w:r w:rsidR="00810632">
        <w:rPr>
          <w:szCs w:val="24"/>
        </w:rPr>
        <w:t xml:space="preserve">business </w:t>
      </w:r>
      <w:r w:rsidR="007E12C6">
        <w:rPr>
          <w:szCs w:val="24"/>
        </w:rPr>
        <w:t xml:space="preserve">and </w:t>
      </w:r>
      <w:r w:rsidRPr="00685993">
        <w:rPr>
          <w:szCs w:val="24"/>
        </w:rPr>
        <w:t>non-government sector</w:t>
      </w:r>
      <w:r w:rsidR="007E12C6">
        <w:rPr>
          <w:szCs w:val="24"/>
        </w:rPr>
        <w:t>s</w:t>
      </w:r>
      <w:r w:rsidRPr="00685993">
        <w:rPr>
          <w:szCs w:val="24"/>
        </w:rPr>
        <w:t xml:space="preserve"> to achieve and sustain improved air quality outcomes. The Agreement also recognises the continuing need for robust, reliable data and information to support decision making and to satisfy public needs, and seeks to focus efforts to improve this essential resource.</w:t>
      </w:r>
    </w:p>
    <w:p w:rsidR="0072221C" w:rsidRPr="009D275D" w:rsidRDefault="00810632" w:rsidP="007B03E2">
      <w:pPr>
        <w:spacing w:before="120" w:after="120"/>
        <w:rPr>
          <w:szCs w:val="24"/>
        </w:rPr>
      </w:pPr>
      <w:r>
        <w:rPr>
          <w:szCs w:val="24"/>
        </w:rPr>
        <w:t>Priority a</w:t>
      </w:r>
      <w:r w:rsidR="00685993" w:rsidRPr="00685993">
        <w:rPr>
          <w:szCs w:val="24"/>
        </w:rPr>
        <w:t xml:space="preserve">ctions will be reflected in the Agreement’s work plan. The work plan will also </w:t>
      </w:r>
      <w:r>
        <w:rPr>
          <w:szCs w:val="24"/>
        </w:rPr>
        <w:t>set out</w:t>
      </w:r>
      <w:r w:rsidRPr="00685993">
        <w:rPr>
          <w:szCs w:val="24"/>
        </w:rPr>
        <w:t xml:space="preserve"> </w:t>
      </w:r>
      <w:r w:rsidR="00685993" w:rsidRPr="00685993">
        <w:rPr>
          <w:szCs w:val="24"/>
        </w:rPr>
        <w:t>roles and responsibilities and timeframes for implementing agreed actions. The work plan will be reviewed</w:t>
      </w:r>
      <w:r>
        <w:rPr>
          <w:szCs w:val="24"/>
        </w:rPr>
        <w:t xml:space="preserve"> every two years</w:t>
      </w:r>
      <w:r w:rsidR="00685993" w:rsidRPr="00685993">
        <w:rPr>
          <w:szCs w:val="24"/>
        </w:rPr>
        <w:t xml:space="preserve"> to maintain </w:t>
      </w:r>
      <w:r w:rsidR="00A27846">
        <w:rPr>
          <w:szCs w:val="24"/>
        </w:rPr>
        <w:t xml:space="preserve">accountability and ensure its </w:t>
      </w:r>
      <w:r w:rsidR="00685993" w:rsidRPr="00685993">
        <w:rPr>
          <w:szCs w:val="24"/>
        </w:rPr>
        <w:t>continued relevance.</w:t>
      </w:r>
    </w:p>
    <w:p w:rsidR="00426E4D" w:rsidRPr="00A0660B" w:rsidRDefault="0084519E" w:rsidP="00A0660B">
      <w:pPr>
        <w:pStyle w:val="Heading2"/>
      </w:pPr>
      <w:bookmarkStart w:id="11" w:name="_Toc420316175"/>
      <w:bookmarkStart w:id="12" w:name="_Toc422142090"/>
      <w:bookmarkStart w:id="13" w:name="_Toc423602481"/>
      <w:r>
        <w:rPr>
          <w:caps w:val="0"/>
        </w:rPr>
        <w:lastRenderedPageBreak/>
        <w:t>R</w:t>
      </w:r>
      <w:r w:rsidRPr="00A0660B">
        <w:rPr>
          <w:caps w:val="0"/>
        </w:rPr>
        <w:t>oles and responsibilities</w:t>
      </w:r>
      <w:bookmarkEnd w:id="11"/>
      <w:bookmarkEnd w:id="12"/>
      <w:bookmarkEnd w:id="13"/>
    </w:p>
    <w:p w:rsidR="005C3E78" w:rsidRDefault="005C3E78" w:rsidP="007B03E2">
      <w:pPr>
        <w:spacing w:before="120" w:after="120"/>
      </w:pPr>
      <w:r>
        <w:t xml:space="preserve">Given the varied sources of air pollution and its movement in Australia, tailored responses from governments and across different sectors are often necessary. This is consistent with the primary responsibility that </w:t>
      </w:r>
      <w:r w:rsidR="00097D83">
        <w:t>s</w:t>
      </w:r>
      <w:r>
        <w:t xml:space="preserve">tate, </w:t>
      </w:r>
      <w:r w:rsidR="00097D83">
        <w:t>t</w:t>
      </w:r>
      <w:r>
        <w:t xml:space="preserve">erritory and local governments have regarding environmental management, including air quality. </w:t>
      </w:r>
      <w:r w:rsidR="006C3F9C">
        <w:t>However, all levels of government play a role in managing air quality in Australia.</w:t>
      </w:r>
    </w:p>
    <w:p w:rsidR="00673B5B" w:rsidRDefault="006C3F9C" w:rsidP="007B03E2">
      <w:pPr>
        <w:spacing w:before="120" w:after="120"/>
      </w:pPr>
      <w:r>
        <w:t>G</w:t>
      </w:r>
      <w:r w:rsidR="00673B5B">
        <w:t xml:space="preserve">overnments have recognised that there are circumstances where collaboration across jurisdictions can lead to better outcomes. The Intergovernmental Agreement on the Environment (1992) was made between the Commonwealth, State and Territory governments and representatives of Local Government in Australia to provide a basis for cooperative approaches to the management of environmental issues, including air quality. The IGAE led to the establishment of the </w:t>
      </w:r>
      <w:r w:rsidR="00673B5B" w:rsidRPr="00673B5B">
        <w:rPr>
          <w:i/>
        </w:rPr>
        <w:t>National Environment Protection Council Act 1994</w:t>
      </w:r>
      <w:r w:rsidR="00673B5B">
        <w:t xml:space="preserve">, which allowed for the making of National Environment Protection Measures, a special set of national objectives designed to assist in protecting or managing particular aspects of the environment. </w:t>
      </w:r>
    </w:p>
    <w:p w:rsidR="00C67BDA" w:rsidRDefault="0099361B" w:rsidP="007B03E2">
      <w:pPr>
        <w:spacing w:before="120" w:after="120"/>
      </w:pPr>
      <w:r>
        <w:t xml:space="preserve">The key existing air quality management framework in Australia is the National Environment Protection (Ambient Air Quality) Measure. </w:t>
      </w:r>
      <w:r w:rsidR="00351438">
        <w:t xml:space="preserve">Since 1998, the </w:t>
      </w:r>
      <w:r>
        <w:t xml:space="preserve">Measure </w:t>
      </w:r>
      <w:r w:rsidR="00351438">
        <w:t xml:space="preserve">has </w:t>
      </w:r>
      <w:r>
        <w:t xml:space="preserve">established a common national goal to aim for </w:t>
      </w:r>
      <w:r w:rsidR="00810632">
        <w:t xml:space="preserve">in order </w:t>
      </w:r>
      <w:r>
        <w:t xml:space="preserve">to best protect human health and well being from the adverse impacts of air pollution. By establishing </w:t>
      </w:r>
      <w:r w:rsidR="00351438">
        <w:t xml:space="preserve">and updating </w:t>
      </w:r>
      <w:r>
        <w:t xml:space="preserve">health-based standards for six common air pollutants, as well as mandatory monitoring and reporting requirements, the </w:t>
      </w:r>
      <w:r w:rsidR="00351438">
        <w:t>Measure</w:t>
      </w:r>
      <w:r>
        <w:t xml:space="preserve"> helps to assess Australia’s overall air quality</w:t>
      </w:r>
      <w:r w:rsidR="00B518BD">
        <w:t>, identify issues</w:t>
      </w:r>
      <w:r>
        <w:t xml:space="preserve"> and drive policy development towards managing </w:t>
      </w:r>
      <w:r w:rsidR="00B518BD">
        <w:t>these</w:t>
      </w:r>
      <w:r>
        <w:t xml:space="preserve"> issues. </w:t>
      </w:r>
      <w:r w:rsidR="00B518BD">
        <w:t xml:space="preserve">The Measure is implemented by </w:t>
      </w:r>
      <w:r w:rsidR="00097D83">
        <w:t>s</w:t>
      </w:r>
      <w:r w:rsidR="00B518BD">
        <w:t xml:space="preserve">tate and </w:t>
      </w:r>
      <w:r w:rsidR="00097D83">
        <w:t>t</w:t>
      </w:r>
      <w:r w:rsidR="00B518BD">
        <w:t xml:space="preserve">erritory governments through legislation, statutory instruments, policies and </w:t>
      </w:r>
      <w:proofErr w:type="spellStart"/>
      <w:r w:rsidR="00B518BD">
        <w:t>programmes</w:t>
      </w:r>
      <w:proofErr w:type="spellEnd"/>
      <w:r w:rsidR="00B518BD">
        <w:t xml:space="preserve"> in their own jurisdictions towards meeting the goal of the Measure. </w:t>
      </w:r>
    </w:p>
    <w:p w:rsidR="00351438" w:rsidRPr="000B2BD3" w:rsidRDefault="00354133" w:rsidP="007B03E2">
      <w:pPr>
        <w:spacing w:before="120" w:after="120"/>
      </w:pPr>
      <w:r w:rsidRPr="000B2BD3">
        <w:t xml:space="preserve">Local government </w:t>
      </w:r>
      <w:r w:rsidR="00A27846">
        <w:t xml:space="preserve">also </w:t>
      </w:r>
      <w:r w:rsidRPr="000B2BD3">
        <w:t xml:space="preserve">plays an important role in providing </w:t>
      </w:r>
      <w:r w:rsidR="00A27846">
        <w:t xml:space="preserve">responses to </w:t>
      </w:r>
      <w:r w:rsidR="00974714" w:rsidRPr="000B2BD3">
        <w:t xml:space="preserve">air quality issues, including </w:t>
      </w:r>
      <w:r w:rsidR="00351438" w:rsidRPr="000B2BD3">
        <w:t>management</w:t>
      </w:r>
      <w:r w:rsidR="00974714" w:rsidRPr="000B2BD3">
        <w:t xml:space="preserve"> </w:t>
      </w:r>
      <w:r w:rsidR="00CC4396" w:rsidRPr="000B2BD3">
        <w:t xml:space="preserve">of local </w:t>
      </w:r>
      <w:r w:rsidR="00974714" w:rsidRPr="000B2BD3">
        <w:t xml:space="preserve">air pollution events and delivering education and awareness </w:t>
      </w:r>
      <w:proofErr w:type="spellStart"/>
      <w:r w:rsidR="00974714" w:rsidRPr="000B2BD3">
        <w:t>programmes</w:t>
      </w:r>
      <w:proofErr w:type="spellEnd"/>
      <w:r w:rsidR="00974714" w:rsidRPr="000B2BD3">
        <w:t>.</w:t>
      </w:r>
    </w:p>
    <w:p w:rsidR="00474372" w:rsidRDefault="00810632" w:rsidP="007B03E2">
      <w:pPr>
        <w:spacing w:before="120" w:after="120"/>
      </w:pPr>
      <w:r>
        <w:t>In some specific areas t</w:t>
      </w:r>
      <w:r w:rsidR="00351438" w:rsidRPr="000B2BD3">
        <w:t xml:space="preserve">he Commonwealth also </w:t>
      </w:r>
      <w:r w:rsidRPr="000B2BD3">
        <w:t>take</w:t>
      </w:r>
      <w:r>
        <w:t>s</w:t>
      </w:r>
      <w:r w:rsidRPr="000B2BD3">
        <w:t xml:space="preserve"> </w:t>
      </w:r>
      <w:r w:rsidR="00351438" w:rsidRPr="000B2BD3">
        <w:t>a lead role to</w:t>
      </w:r>
      <w:r w:rsidR="00351438">
        <w:t xml:space="preserve"> address air quality issues. For example, the Commonwealth contributes to air quality management through setting standards for fuel quality (</w:t>
      </w:r>
      <w:r w:rsidR="00351438" w:rsidRPr="00B15192">
        <w:rPr>
          <w:i/>
        </w:rPr>
        <w:t>Fuel Quality Standards Act 2000</w:t>
      </w:r>
      <w:r w:rsidR="00351438">
        <w:t>) and road vehicle emission standards for new vehicles (</w:t>
      </w:r>
      <w:r w:rsidR="00351438" w:rsidRPr="00B15192">
        <w:rPr>
          <w:i/>
        </w:rPr>
        <w:t>Motor Vehicle Standards Act 1</w:t>
      </w:r>
      <w:r w:rsidR="00351438">
        <w:rPr>
          <w:i/>
        </w:rPr>
        <w:t>989</w:t>
      </w:r>
      <w:r w:rsidR="00351438">
        <w:t>). The Commonwealth also implements measures to meet Australia’s obligations under international conventions (for</w:t>
      </w:r>
      <w:r w:rsidR="00A921CF">
        <w:t xml:space="preserve"> example, shipping, aviation). </w:t>
      </w:r>
    </w:p>
    <w:p w:rsidR="00A921CF" w:rsidRDefault="00474372" w:rsidP="007B03E2">
      <w:pPr>
        <w:spacing w:before="120" w:after="120"/>
      </w:pPr>
      <w:r>
        <w:t xml:space="preserve">The Agreement recognises </w:t>
      </w:r>
      <w:r w:rsidR="00A921CF">
        <w:t xml:space="preserve">the different roles and responsibilities of governments </w:t>
      </w:r>
      <w:r>
        <w:t xml:space="preserve">and will seek to </w:t>
      </w:r>
      <w:r w:rsidR="00C90AA7">
        <w:t>support the management of</w:t>
      </w:r>
      <w:r>
        <w:t xml:space="preserve"> air quality</w:t>
      </w:r>
      <w:r w:rsidR="00A921CF">
        <w:t xml:space="preserve"> issues</w:t>
      </w:r>
      <w:r>
        <w:t xml:space="preserve"> through existing arrangements where </w:t>
      </w:r>
      <w:r w:rsidR="00D3314B">
        <w:t>appropriate</w:t>
      </w:r>
      <w:r>
        <w:t xml:space="preserve">. </w:t>
      </w:r>
      <w:r w:rsidR="00A921CF">
        <w:t>In addition, t</w:t>
      </w:r>
      <w:r>
        <w:t xml:space="preserve">he Agreement will foster continued coordinated effort between governments </w:t>
      </w:r>
      <w:r w:rsidR="00145345">
        <w:t>to ensure practical, efficient and effective responses to air quality issues prioritised under the Agreement</w:t>
      </w:r>
      <w:r>
        <w:t xml:space="preserve">. </w:t>
      </w:r>
      <w:r w:rsidR="006C3F9C">
        <w:t>The Agreement</w:t>
      </w:r>
      <w:r w:rsidR="006C3F9C" w:rsidRPr="006C3F9C">
        <w:t xml:space="preserve"> </w:t>
      </w:r>
      <w:r w:rsidR="00B24E06">
        <w:t xml:space="preserve">also </w:t>
      </w:r>
      <w:r w:rsidR="006C3F9C">
        <w:t xml:space="preserve">retains flexibility for individual governments </w:t>
      </w:r>
      <w:r w:rsidR="00B24E06">
        <w:t>to act independently to manage local air quality issue</w:t>
      </w:r>
      <w:r w:rsidR="00894E8B">
        <w:t>s</w:t>
      </w:r>
      <w:r w:rsidR="00B24E06">
        <w:t xml:space="preserve"> and priorities in accordance with local circumstances</w:t>
      </w:r>
      <w:r w:rsidR="006C3F9C">
        <w:t>.</w:t>
      </w:r>
    </w:p>
    <w:p w:rsidR="00084BD2" w:rsidRDefault="00474372" w:rsidP="007B03E2">
      <w:pPr>
        <w:spacing w:before="120" w:after="120"/>
      </w:pPr>
      <w:r>
        <w:lastRenderedPageBreak/>
        <w:t xml:space="preserve">The Agreement </w:t>
      </w:r>
      <w:r w:rsidR="00A921CF">
        <w:t>further</w:t>
      </w:r>
      <w:r>
        <w:t xml:space="preserve"> seeks to foster partnership opportunities with </w:t>
      </w:r>
      <w:r w:rsidR="006C3F9C">
        <w:t xml:space="preserve">business and </w:t>
      </w:r>
      <w:r w:rsidR="00810632">
        <w:t xml:space="preserve">the </w:t>
      </w:r>
      <w:r w:rsidR="006C3F9C">
        <w:t xml:space="preserve">community </w:t>
      </w:r>
      <w:r>
        <w:t xml:space="preserve">towards </w:t>
      </w:r>
      <w:r w:rsidR="00B24E06">
        <w:t xml:space="preserve">enhancing </w:t>
      </w:r>
      <w:r>
        <w:t xml:space="preserve">air quality outcomes, including </w:t>
      </w:r>
      <w:r w:rsidR="00000650">
        <w:t>by</w:t>
      </w:r>
      <w:r w:rsidR="006C3F9C">
        <w:t xml:space="preserve"> </w:t>
      </w:r>
      <w:r w:rsidR="00000650">
        <w:t xml:space="preserve">reducing </w:t>
      </w:r>
      <w:r w:rsidR="00802E9F">
        <w:t xml:space="preserve">air pollution, </w:t>
      </w:r>
      <w:r w:rsidR="00000650">
        <w:t xml:space="preserve">reducing </w:t>
      </w:r>
      <w:r w:rsidR="00802E9F">
        <w:t xml:space="preserve">exposure and </w:t>
      </w:r>
      <w:r w:rsidR="00000650">
        <w:t xml:space="preserve">raising </w:t>
      </w:r>
      <w:r w:rsidR="00802E9F">
        <w:t>awareness.</w:t>
      </w:r>
      <w:r w:rsidR="00A921CF">
        <w:t xml:space="preserve"> </w:t>
      </w:r>
    </w:p>
    <w:p w:rsidR="00923803" w:rsidRDefault="00923803" w:rsidP="00B518BD">
      <w:pPr>
        <w:spacing w:after="0"/>
        <w:sectPr w:rsidR="00923803" w:rsidSect="0069100A">
          <w:pgSz w:w="11906" w:h="16838"/>
          <w:pgMar w:top="1418" w:right="1276" w:bottom="567" w:left="1418" w:header="425" w:footer="425" w:gutter="0"/>
          <w:cols w:space="708"/>
          <w:titlePg/>
          <w:docGrid w:linePitch="360"/>
        </w:sectPr>
      </w:pPr>
    </w:p>
    <w:p w:rsidR="000B2BD3" w:rsidRDefault="00923803" w:rsidP="0072221C">
      <w:pPr>
        <w:pStyle w:val="Heading1"/>
        <w:spacing w:after="360"/>
      </w:pPr>
      <w:bookmarkStart w:id="14" w:name="_Toc420316176"/>
      <w:bookmarkStart w:id="15" w:name="_Toc422142091"/>
      <w:bookmarkStart w:id="16" w:name="_Toc423602482"/>
      <w:r w:rsidRPr="0072221C">
        <w:lastRenderedPageBreak/>
        <w:t xml:space="preserve">PART TWO - </w:t>
      </w:r>
      <w:bookmarkEnd w:id="14"/>
      <w:r w:rsidRPr="0072221C">
        <w:t>POLICY FRAMEWORK</w:t>
      </w:r>
      <w:bookmarkEnd w:id="15"/>
      <w:bookmarkEnd w:id="16"/>
      <w:r w:rsidRPr="0072221C">
        <w:t xml:space="preserve">                                                                                                                                                                                                                                                                                                                                                                          </w:t>
      </w:r>
    </w:p>
    <w:p w:rsidR="00FC6CCC" w:rsidRPr="00A0660B" w:rsidRDefault="0084519E" w:rsidP="00A0660B">
      <w:pPr>
        <w:pStyle w:val="Heading2"/>
      </w:pPr>
      <w:bookmarkStart w:id="17" w:name="_Toc422142092"/>
      <w:bookmarkStart w:id="18" w:name="_Toc423602483"/>
      <w:bookmarkStart w:id="19" w:name="_Toc420316177"/>
      <w:r>
        <w:rPr>
          <w:caps w:val="0"/>
        </w:rPr>
        <w:t>D</w:t>
      </w:r>
      <w:r w:rsidRPr="00A0660B">
        <w:rPr>
          <w:caps w:val="0"/>
        </w:rPr>
        <w:t>esired outcomes</w:t>
      </w:r>
      <w:bookmarkEnd w:id="17"/>
      <w:bookmarkEnd w:id="18"/>
      <w:r w:rsidRPr="00A0660B">
        <w:rPr>
          <w:caps w:val="0"/>
        </w:rPr>
        <w:t xml:space="preserve"> </w:t>
      </w:r>
    </w:p>
    <w:p w:rsidR="00FC6CCC" w:rsidRPr="00D91FC5" w:rsidRDefault="00D77147" w:rsidP="007B03E2">
      <w:pPr>
        <w:pStyle w:val="ListBullet"/>
        <w:numPr>
          <w:ilvl w:val="0"/>
          <w:numId w:val="0"/>
        </w:numPr>
        <w:spacing w:before="120" w:after="120"/>
      </w:pPr>
      <w:r w:rsidRPr="00D91FC5">
        <w:t xml:space="preserve">In setting out a means to identify and </w:t>
      </w:r>
      <w:proofErr w:type="spellStart"/>
      <w:r w:rsidRPr="00D91FC5">
        <w:t>prioritise</w:t>
      </w:r>
      <w:proofErr w:type="spellEnd"/>
      <w:r w:rsidRPr="00D91FC5">
        <w:t xml:space="preserve"> air quality issues for action, the Agreement seeks to </w:t>
      </w:r>
      <w:r w:rsidR="00C40DAE">
        <w:t xml:space="preserve">strengthen </w:t>
      </w:r>
      <w:r w:rsidRPr="00D91FC5">
        <w:t>management of</w:t>
      </w:r>
      <w:r w:rsidR="00435C7D">
        <w:t xml:space="preserve"> air quality</w:t>
      </w:r>
      <w:r w:rsidRPr="00D91FC5">
        <w:t xml:space="preserve"> to reduce air pollution and exposure in Australia</w:t>
      </w:r>
      <w:r w:rsidR="00D91FC5">
        <w:t xml:space="preserve"> </w:t>
      </w:r>
      <w:r w:rsidR="00D91FC5" w:rsidRPr="00894E8B">
        <w:t>and help deliver better air quality information</w:t>
      </w:r>
      <w:r w:rsidRPr="00894E8B">
        <w:t>.</w:t>
      </w:r>
      <w:r w:rsidRPr="00D91FC5">
        <w:t xml:space="preserve"> </w:t>
      </w:r>
      <w:r w:rsidR="00435C7D">
        <w:t>The</w:t>
      </w:r>
      <w:r w:rsidR="00FC6CCC" w:rsidRPr="00D91FC5">
        <w:t xml:space="preserve"> </w:t>
      </w:r>
      <w:r w:rsidR="00435C7D">
        <w:t>Agreement is underpinned by three overarching desired outcomes:</w:t>
      </w:r>
    </w:p>
    <w:p w:rsidR="00D91FC5" w:rsidRPr="00D91FC5" w:rsidRDefault="00C9399F" w:rsidP="007B03E2">
      <w:pPr>
        <w:pStyle w:val="ListBullet"/>
        <w:numPr>
          <w:ilvl w:val="0"/>
          <w:numId w:val="15"/>
        </w:numPr>
        <w:spacing w:before="120" w:after="120"/>
      </w:pPr>
      <w:r>
        <w:t>Human and environmental health outcomes are improved</w:t>
      </w:r>
      <w:r w:rsidR="001F7D20">
        <w:t xml:space="preserve"> </w:t>
      </w:r>
      <w:r w:rsidR="00D930D7" w:rsidRPr="00D91FC5">
        <w:t xml:space="preserve">through actions implemented </w:t>
      </w:r>
    </w:p>
    <w:p w:rsidR="00C40DAE" w:rsidRDefault="00C40DAE" w:rsidP="007B03E2">
      <w:pPr>
        <w:pStyle w:val="ListBullet"/>
        <w:numPr>
          <w:ilvl w:val="0"/>
          <w:numId w:val="15"/>
        </w:numPr>
        <w:spacing w:before="120" w:after="120"/>
      </w:pPr>
      <w:r>
        <w:t>Communities are empowered to better deal with air pollution through greater awareness of air quality issues and access to reliable information</w:t>
      </w:r>
    </w:p>
    <w:p w:rsidR="00894E8B" w:rsidRDefault="00C40DAE" w:rsidP="007B03E2">
      <w:pPr>
        <w:pStyle w:val="ListBullet"/>
        <w:numPr>
          <w:ilvl w:val="0"/>
          <w:numId w:val="15"/>
        </w:numPr>
        <w:spacing w:before="120" w:after="120"/>
      </w:pPr>
      <w:r>
        <w:t>Air quality policy development</w:t>
      </w:r>
      <w:r w:rsidR="00C9399F">
        <w:t xml:space="preserve"> and implementation is underpinned</w:t>
      </w:r>
      <w:r>
        <w:t xml:space="preserve"> by up-to-date and robust information and evidence</w:t>
      </w:r>
      <w:r w:rsidR="00894E8B">
        <w:t>.</w:t>
      </w:r>
    </w:p>
    <w:p w:rsidR="00C26803" w:rsidRPr="0084519E" w:rsidRDefault="0084519E" w:rsidP="0072221C">
      <w:pPr>
        <w:pStyle w:val="Heading2"/>
        <w:spacing w:after="200"/>
        <w:rPr>
          <w:caps w:val="0"/>
        </w:rPr>
      </w:pPr>
      <w:bookmarkStart w:id="20" w:name="_Toc422142093"/>
      <w:bookmarkStart w:id="21" w:name="_Toc423602484"/>
      <w:r>
        <w:rPr>
          <w:caps w:val="0"/>
        </w:rPr>
        <w:t>O</w:t>
      </w:r>
      <w:r w:rsidR="0069100A" w:rsidRPr="0084519E">
        <w:rPr>
          <w:caps w:val="0"/>
        </w:rPr>
        <w:t>bjectives</w:t>
      </w:r>
      <w:bookmarkEnd w:id="19"/>
      <w:bookmarkEnd w:id="20"/>
      <w:bookmarkEnd w:id="21"/>
    </w:p>
    <w:p w:rsidR="003309EE" w:rsidRDefault="00B5147D" w:rsidP="007B03E2">
      <w:pPr>
        <w:spacing w:before="120" w:after="120"/>
      </w:pPr>
      <w:r>
        <w:t>The Agreement will support improvements in air quality through two key objectives:</w:t>
      </w:r>
    </w:p>
    <w:p w:rsidR="003309EE" w:rsidRDefault="001E3F9B" w:rsidP="007B03E2">
      <w:pPr>
        <w:pStyle w:val="ListBullet"/>
        <w:spacing w:before="120" w:after="120"/>
      </w:pPr>
      <w:r>
        <w:t>p</w:t>
      </w:r>
      <w:r w:rsidR="00063996">
        <w:t xml:space="preserve">rovide a framework to identify </w:t>
      </w:r>
      <w:r w:rsidR="00063996" w:rsidRPr="00894E8B">
        <w:t xml:space="preserve">and </w:t>
      </w:r>
      <w:proofErr w:type="spellStart"/>
      <w:r w:rsidR="00063996" w:rsidRPr="00894E8B">
        <w:t>prioritise</w:t>
      </w:r>
      <w:proofErr w:type="spellEnd"/>
      <w:r w:rsidR="003309EE" w:rsidRPr="00894E8B">
        <w:t xml:space="preserve"> </w:t>
      </w:r>
      <w:r w:rsidR="002B3763">
        <w:t>specific air quality issues where concentrated effort is needed</w:t>
      </w:r>
      <w:r w:rsidR="00063996">
        <w:t xml:space="preserve"> </w:t>
      </w:r>
      <w:r w:rsidR="00CE1CC1">
        <w:t>that</w:t>
      </w:r>
      <w:r w:rsidR="00063996">
        <w:t xml:space="preserve"> will </w:t>
      </w:r>
      <w:r w:rsidR="00063996" w:rsidRPr="00894E8B">
        <w:t xml:space="preserve">optimise </w:t>
      </w:r>
      <w:r w:rsidR="00063996">
        <w:t>health, environmental and economic outcomes</w:t>
      </w:r>
      <w:r w:rsidR="00000650">
        <w:t xml:space="preserve"> for Australians</w:t>
      </w:r>
    </w:p>
    <w:p w:rsidR="00C67BDA" w:rsidRDefault="002B3763" w:rsidP="007B03E2">
      <w:pPr>
        <w:pStyle w:val="ListBullet"/>
        <w:spacing w:before="120" w:after="120"/>
      </w:pPr>
      <w:proofErr w:type="spellStart"/>
      <w:proofErr w:type="gramStart"/>
      <w:r>
        <w:t>formalise</w:t>
      </w:r>
      <w:proofErr w:type="spellEnd"/>
      <w:proofErr w:type="gramEnd"/>
      <w:r>
        <w:t xml:space="preserve"> cooperative management of air quality at the national, state and local levels to help develop effective and efficient policy settings t</w:t>
      </w:r>
      <w:r w:rsidR="00CE1CC1">
        <w:t>hat</w:t>
      </w:r>
      <w:r w:rsidR="00C75138">
        <w:t xml:space="preserve"> </w:t>
      </w:r>
      <w:r>
        <w:t xml:space="preserve">enable </w:t>
      </w:r>
      <w:r w:rsidR="00C75138">
        <w:t>swift and informed</w:t>
      </w:r>
      <w:r w:rsidR="00CE1CC1">
        <w:t xml:space="preserve">  </w:t>
      </w:r>
      <w:r>
        <w:t xml:space="preserve">responses to current and emerging air quality priorities. </w:t>
      </w:r>
    </w:p>
    <w:p w:rsidR="00685ED8" w:rsidRDefault="00B5147D" w:rsidP="007B03E2">
      <w:pPr>
        <w:pStyle w:val="ListBullet"/>
        <w:numPr>
          <w:ilvl w:val="0"/>
          <w:numId w:val="0"/>
        </w:numPr>
        <w:spacing w:before="120" w:after="120"/>
      </w:pPr>
      <w:r>
        <w:t>The Agreement will enable the Commonwealth, state and territory governments to maintain responsiveness to Australia’s air quality challenges over time by serving as a framework for identifying the most important issues and developing practical, cost-effective</w:t>
      </w:r>
      <w:r w:rsidR="00C82EE4">
        <w:t xml:space="preserve"> and outcome-focused solutions to these priorities. </w:t>
      </w:r>
    </w:p>
    <w:p w:rsidR="007B03E2" w:rsidRDefault="00C82EE4" w:rsidP="0072221C">
      <w:pPr>
        <w:pStyle w:val="ListBullet"/>
        <w:numPr>
          <w:ilvl w:val="0"/>
          <w:numId w:val="0"/>
        </w:numPr>
        <w:spacing w:before="120" w:after="120"/>
      </w:pPr>
      <w:r>
        <w:t>The Agreement provides the flexibility to facilitate targeted cooperation between juri</w:t>
      </w:r>
      <w:r w:rsidR="00F33417">
        <w:t>sdictions where it is needed to</w:t>
      </w:r>
      <w:r>
        <w:t xml:space="preserve"> provide effective and efficient policy responses (whether a nation-wide focus or limited to a few jurisdictions), but otherwise enable state, territory and local governments to act independently in accordance with local needs and priorities.</w:t>
      </w:r>
    </w:p>
    <w:p w:rsidR="00B72C1D" w:rsidRPr="0084519E" w:rsidRDefault="0084519E" w:rsidP="0072221C">
      <w:pPr>
        <w:pStyle w:val="Heading2"/>
        <w:spacing w:after="200"/>
        <w:rPr>
          <w:caps w:val="0"/>
        </w:rPr>
      </w:pPr>
      <w:bookmarkStart w:id="22" w:name="_Toc420316178"/>
      <w:bookmarkStart w:id="23" w:name="_Toc422142094"/>
      <w:bookmarkStart w:id="24" w:name="_Toc423602485"/>
      <w:r>
        <w:rPr>
          <w:caps w:val="0"/>
        </w:rPr>
        <w:t>P</w:t>
      </w:r>
      <w:r w:rsidR="0069100A" w:rsidRPr="0084519E">
        <w:rPr>
          <w:caps w:val="0"/>
        </w:rPr>
        <w:t>rinciples</w:t>
      </w:r>
      <w:bookmarkEnd w:id="22"/>
      <w:bookmarkEnd w:id="23"/>
      <w:bookmarkEnd w:id="24"/>
    </w:p>
    <w:p w:rsidR="00B72C1D" w:rsidRDefault="002C52A6" w:rsidP="007B03E2">
      <w:pPr>
        <w:spacing w:before="120" w:after="120"/>
      </w:pPr>
      <w:r>
        <w:t>T</w:t>
      </w:r>
      <w:r w:rsidR="00B72C1D">
        <w:t xml:space="preserve">he following </w:t>
      </w:r>
      <w:r w:rsidR="009461D6">
        <w:t xml:space="preserve">key </w:t>
      </w:r>
      <w:r w:rsidR="00B72C1D">
        <w:t xml:space="preserve">principles </w:t>
      </w:r>
      <w:r w:rsidR="00C82EE4">
        <w:t xml:space="preserve">will </w:t>
      </w:r>
      <w:r w:rsidR="00435C7D">
        <w:t>guide</w:t>
      </w:r>
      <w:r w:rsidR="00C82EE4">
        <w:t xml:space="preserve"> </w:t>
      </w:r>
      <w:proofErr w:type="spellStart"/>
      <w:r w:rsidR="00C82EE4">
        <w:t>prioritisation</w:t>
      </w:r>
      <w:proofErr w:type="spellEnd"/>
      <w:r w:rsidR="00C82EE4">
        <w:t xml:space="preserve"> and decision-making under the Agreement</w:t>
      </w:r>
      <w:r w:rsidR="009461D6">
        <w:t>:</w:t>
      </w:r>
    </w:p>
    <w:p w:rsidR="005D2A25" w:rsidRPr="008A776B" w:rsidRDefault="004E5E63" w:rsidP="007B03E2">
      <w:pPr>
        <w:pStyle w:val="ListBullet"/>
        <w:spacing w:before="120" w:after="120"/>
        <w:rPr>
          <w:b/>
        </w:rPr>
      </w:pPr>
      <w:r>
        <w:t>a</w:t>
      </w:r>
      <w:r w:rsidR="00F01935">
        <w:t xml:space="preserve">ctions will </w:t>
      </w:r>
      <w:r w:rsidR="005D2A25">
        <w:t xml:space="preserve">focus on addressing </w:t>
      </w:r>
      <w:r w:rsidR="00000650">
        <w:t xml:space="preserve">the most significant </w:t>
      </w:r>
      <w:r w:rsidR="005D2A25">
        <w:t xml:space="preserve">current and emerging air quality </w:t>
      </w:r>
      <w:r w:rsidR="005D2A25" w:rsidRPr="008A776B">
        <w:t>i</w:t>
      </w:r>
      <w:r w:rsidR="002C52A6" w:rsidRPr="008A776B">
        <w:t xml:space="preserve">ssues </w:t>
      </w:r>
      <w:r w:rsidR="00E66648" w:rsidRPr="008A776B">
        <w:t xml:space="preserve">to protect the health of Australians and the environment </w:t>
      </w:r>
    </w:p>
    <w:p w:rsidR="000F4B90" w:rsidRDefault="004E5E63" w:rsidP="007B03E2">
      <w:pPr>
        <w:pStyle w:val="ListBullet"/>
        <w:spacing w:before="120" w:after="120"/>
      </w:pPr>
      <w:r>
        <w:lastRenderedPageBreak/>
        <w:t>p</w:t>
      </w:r>
      <w:r w:rsidR="00610A03">
        <w:t xml:space="preserve">olicy decisions on new measures, whether regulatory or non-regulatory, will take account of </w:t>
      </w:r>
      <w:r w:rsidR="005D2A25" w:rsidRPr="008A776B">
        <w:t>human health</w:t>
      </w:r>
      <w:r w:rsidR="005D2A25">
        <w:t xml:space="preserve">, environmental, and </w:t>
      </w:r>
      <w:r w:rsidR="00610A03">
        <w:t>economic considerations</w:t>
      </w:r>
    </w:p>
    <w:p w:rsidR="000F4B90" w:rsidRDefault="000F4B90" w:rsidP="007B03E2">
      <w:pPr>
        <w:pStyle w:val="ListBullet"/>
        <w:spacing w:before="120" w:after="120"/>
      </w:pPr>
      <w:r>
        <w:t>r</w:t>
      </w:r>
      <w:r w:rsidR="00B72C1D">
        <w:t xml:space="preserve">esponses to air quality issues </w:t>
      </w:r>
      <w:r w:rsidR="00610A03">
        <w:t>will apply</w:t>
      </w:r>
      <w:r w:rsidR="002C0A9B">
        <w:t xml:space="preserve"> </w:t>
      </w:r>
      <w:r w:rsidR="00B72C1D">
        <w:t>best practice approaches, consider the latest evidence available and identify the most appropriate level of government to take the lead</w:t>
      </w:r>
    </w:p>
    <w:p w:rsidR="000F4B90" w:rsidRDefault="000F4B90" w:rsidP="007B03E2">
      <w:pPr>
        <w:pStyle w:val="ListBullet"/>
        <w:spacing w:before="120" w:after="120"/>
      </w:pPr>
      <w:r>
        <w:t>p</w:t>
      </w:r>
      <w:r w:rsidR="00B72C1D">
        <w:t xml:space="preserve">olicy decisions are relevant, timely, consider available resources, and allow for effective consultation and </w:t>
      </w:r>
      <w:r w:rsidR="00B72C1D" w:rsidRPr="008A776B">
        <w:t>appropriate</w:t>
      </w:r>
      <w:r w:rsidR="00B72C1D">
        <w:t xml:space="preserve"> lead-in times</w:t>
      </w:r>
      <w:r w:rsidR="00435C7D">
        <w:t>,</w:t>
      </w:r>
      <w:r w:rsidR="00F33417">
        <w:t xml:space="preserve"> balancing the interests of the community as well as businesses in this regard</w:t>
      </w:r>
    </w:p>
    <w:p w:rsidR="00E0333B" w:rsidRDefault="000F4B90" w:rsidP="007B03E2">
      <w:pPr>
        <w:pStyle w:val="ListBullet"/>
        <w:spacing w:before="120" w:after="120"/>
      </w:pPr>
      <w:r>
        <w:t>a</w:t>
      </w:r>
      <w:r w:rsidR="00B72C1D">
        <w:t xml:space="preserve">ir quality management measures delivered are </w:t>
      </w:r>
      <w:r w:rsidR="00000650">
        <w:t>proportionate</w:t>
      </w:r>
      <w:r w:rsidR="00B72C1D">
        <w:t>, efficient and effective, and avoid creating cumulative or overlapping regulatory burdens</w:t>
      </w:r>
    </w:p>
    <w:p w:rsidR="00E0333B" w:rsidRDefault="00E0333B" w:rsidP="007B03E2">
      <w:pPr>
        <w:pStyle w:val="ListBullet"/>
        <w:spacing w:before="120" w:after="120"/>
      </w:pPr>
      <w:r>
        <w:t>a</w:t>
      </w:r>
      <w:r w:rsidR="00B72C1D" w:rsidRPr="007A581C">
        <w:t>ctivities are consistent with Austra</w:t>
      </w:r>
      <w:r>
        <w:t>lia’s international obligations</w:t>
      </w:r>
    </w:p>
    <w:p w:rsidR="00B72C1D" w:rsidRDefault="00E0333B" w:rsidP="007B03E2">
      <w:pPr>
        <w:pStyle w:val="ListBullet"/>
        <w:spacing w:before="120" w:after="120"/>
      </w:pPr>
      <w:proofErr w:type="gramStart"/>
      <w:r>
        <w:t>t</w:t>
      </w:r>
      <w:r w:rsidR="00B72C1D">
        <w:t>he</w:t>
      </w:r>
      <w:proofErr w:type="gramEnd"/>
      <w:r w:rsidR="00B72C1D">
        <w:t xml:space="preserve"> Agreement and endorsed work </w:t>
      </w:r>
      <w:r w:rsidR="00B72C1D" w:rsidRPr="003F16BA">
        <w:t xml:space="preserve">plan </w:t>
      </w:r>
      <w:r>
        <w:t xml:space="preserve">are </w:t>
      </w:r>
      <w:r w:rsidR="00B72C1D">
        <w:t>periodically reviewed to maintain a focus on achievement of desired outcomes and to ensure its continuing relevance.</w:t>
      </w:r>
    </w:p>
    <w:p w:rsidR="00B72C1D" w:rsidRPr="0084519E" w:rsidRDefault="0084519E" w:rsidP="0072221C">
      <w:pPr>
        <w:pStyle w:val="Heading2"/>
        <w:spacing w:after="200"/>
        <w:rPr>
          <w:caps w:val="0"/>
        </w:rPr>
      </w:pPr>
      <w:bookmarkStart w:id="25" w:name="_Toc422142095"/>
      <w:bookmarkStart w:id="26" w:name="_Toc423602486"/>
      <w:bookmarkStart w:id="27" w:name="_Toc420316179"/>
      <w:r>
        <w:rPr>
          <w:caps w:val="0"/>
        </w:rPr>
        <w:t>S</w:t>
      </w:r>
      <w:r w:rsidR="0069100A" w:rsidRPr="0084519E">
        <w:rPr>
          <w:caps w:val="0"/>
        </w:rPr>
        <w:t>trategic approaches</w:t>
      </w:r>
      <w:bookmarkEnd w:id="25"/>
      <w:bookmarkEnd w:id="26"/>
      <w:r w:rsidR="00B72C1D" w:rsidRPr="0084519E">
        <w:rPr>
          <w:caps w:val="0"/>
        </w:rPr>
        <w:t xml:space="preserve"> </w:t>
      </w:r>
      <w:bookmarkEnd w:id="27"/>
    </w:p>
    <w:p w:rsidR="003B2DE0" w:rsidRDefault="003B2DE0" w:rsidP="003B2DE0">
      <w:r>
        <w:t xml:space="preserve">Environment Ministers consider that governments, </w:t>
      </w:r>
      <w:r w:rsidR="00000650">
        <w:t xml:space="preserve">business </w:t>
      </w:r>
      <w:r>
        <w:t xml:space="preserve">and the community have a role to play in </w:t>
      </w:r>
      <w:proofErr w:type="spellStart"/>
      <w:r>
        <w:t>realising</w:t>
      </w:r>
      <w:proofErr w:type="spellEnd"/>
      <w:r>
        <w:t xml:space="preserve"> desired outcomes. </w:t>
      </w:r>
    </w:p>
    <w:p w:rsidR="008A776B" w:rsidRDefault="003B2DE0" w:rsidP="008A776B">
      <w:r>
        <w:t xml:space="preserve">The Agreement therefore provides scope for a wide range of actions to be formulated over time across four strategic approaches:  </w:t>
      </w:r>
    </w:p>
    <w:p w:rsidR="009811D9" w:rsidRDefault="0044499B" w:rsidP="007B03E2">
      <w:pPr>
        <w:pStyle w:val="ListParagraph"/>
        <w:numPr>
          <w:ilvl w:val="0"/>
          <w:numId w:val="21"/>
        </w:numPr>
        <w:spacing w:before="120" w:after="120"/>
        <w:ind w:left="714" w:hanging="357"/>
        <w:contextualSpacing w:val="0"/>
      </w:pPr>
      <w:r w:rsidRPr="00F50C2F">
        <w:rPr>
          <w:b/>
        </w:rPr>
        <w:t>Standards</w:t>
      </w:r>
      <w:r>
        <w:t xml:space="preserve"> </w:t>
      </w:r>
      <w:r w:rsidR="002A78F1">
        <w:t>ensure a consistent approach</w:t>
      </w:r>
      <w:r w:rsidR="00F50C2F">
        <w:t xml:space="preserve"> </w:t>
      </w:r>
      <w:r w:rsidR="002A78F1" w:rsidRPr="0044499B">
        <w:t>to</w:t>
      </w:r>
      <w:r w:rsidR="006B0565">
        <w:t>:</w:t>
      </w:r>
      <w:r w:rsidR="002A78F1" w:rsidRPr="0044499B">
        <w:t xml:space="preserve"> monitor</w:t>
      </w:r>
      <w:r w:rsidR="002A78F1">
        <w:t>ing and reporting of</w:t>
      </w:r>
      <w:r w:rsidR="002A78F1" w:rsidRPr="0044499B">
        <w:t xml:space="preserve"> air quality</w:t>
      </w:r>
      <w:r w:rsidR="00000650">
        <w:t>;</w:t>
      </w:r>
      <w:r w:rsidR="002A78F1" w:rsidRPr="0044499B" w:rsidDel="002A78F1">
        <w:t xml:space="preserve"> </w:t>
      </w:r>
      <w:r w:rsidR="002A78F1">
        <w:t xml:space="preserve">and </w:t>
      </w:r>
      <w:r w:rsidRPr="0044499B">
        <w:t xml:space="preserve">to reduce air pollution and limit emissions from certain sources. </w:t>
      </w:r>
      <w:r w:rsidR="00B72C1D" w:rsidRPr="0044499B">
        <w:t xml:space="preserve">Governments will consider the </w:t>
      </w:r>
      <w:r w:rsidRPr="0044499B">
        <w:t>need for, and enhancement of, existing standards as well as the need for any new standards for air quality management</w:t>
      </w:r>
      <w:r>
        <w:t>.</w:t>
      </w:r>
    </w:p>
    <w:p w:rsidR="009811D9" w:rsidRPr="0044499B" w:rsidRDefault="0044499B" w:rsidP="007B03E2">
      <w:pPr>
        <w:pStyle w:val="ListParagraph"/>
        <w:numPr>
          <w:ilvl w:val="0"/>
          <w:numId w:val="21"/>
        </w:numPr>
        <w:spacing w:before="120" w:after="120"/>
        <w:ind w:left="714" w:hanging="357"/>
        <w:contextualSpacing w:val="0"/>
      </w:pPr>
      <w:r w:rsidRPr="009811D9">
        <w:rPr>
          <w:b/>
        </w:rPr>
        <w:t>Emission reduction measures</w:t>
      </w:r>
      <w:r>
        <w:t xml:space="preserve"> </w:t>
      </w:r>
      <w:r w:rsidR="00E90BB2">
        <w:t>are targeted towards</w:t>
      </w:r>
      <w:r w:rsidRPr="0044499B">
        <w:t xml:space="preserve"> reduc</w:t>
      </w:r>
      <w:r w:rsidR="00E90BB2">
        <w:t>ing</w:t>
      </w:r>
      <w:r w:rsidRPr="0044499B">
        <w:t xml:space="preserve"> </w:t>
      </w:r>
      <w:r w:rsidR="00000650">
        <w:t xml:space="preserve">air pollution and/or </w:t>
      </w:r>
      <w:r w:rsidRPr="0044499B">
        <w:t>population exposure to air pollution, with associated health outcomes</w:t>
      </w:r>
      <w:r>
        <w:t xml:space="preserve">. Governments will consider options to manage or reduce emissions </w:t>
      </w:r>
      <w:r w:rsidR="00E90BB2">
        <w:t>from priority sources</w:t>
      </w:r>
      <w:r w:rsidRPr="0044499B">
        <w:t xml:space="preserve">. </w:t>
      </w:r>
    </w:p>
    <w:p w:rsidR="00B72C1D" w:rsidRDefault="00B72C1D" w:rsidP="007B03E2">
      <w:pPr>
        <w:pStyle w:val="ListParagraph"/>
        <w:numPr>
          <w:ilvl w:val="0"/>
          <w:numId w:val="21"/>
        </w:numPr>
        <w:spacing w:before="120" w:after="120"/>
        <w:ind w:left="714" w:hanging="357"/>
        <w:contextualSpacing w:val="0"/>
      </w:pPr>
      <w:r w:rsidRPr="009811D9">
        <w:rPr>
          <w:b/>
        </w:rPr>
        <w:t>Cooperation</w:t>
      </w:r>
      <w:r w:rsidRPr="009811D9">
        <w:rPr>
          <w:rStyle w:val="Heading3Char"/>
          <w:b/>
        </w:rPr>
        <w:t xml:space="preserve"> </w:t>
      </w:r>
      <w:r w:rsidRPr="009811D9">
        <w:rPr>
          <w:b/>
        </w:rPr>
        <w:t>and partnerships</w:t>
      </w:r>
      <w:r w:rsidRPr="0044499B">
        <w:rPr>
          <w:b/>
        </w:rPr>
        <w:t xml:space="preserve"> </w:t>
      </w:r>
      <w:r w:rsidR="0044499B" w:rsidRPr="0044499B">
        <w:t>have the capacity to complement government action to address air quality issues.</w:t>
      </w:r>
      <w:r w:rsidR="0044499B">
        <w:t xml:space="preserve"> Governments will </w:t>
      </w:r>
      <w:r w:rsidR="00E90BB2" w:rsidRPr="00F50C2F">
        <w:t>seek</w:t>
      </w:r>
      <w:r w:rsidR="00E55119" w:rsidRPr="00F50C2F">
        <w:t xml:space="preserve"> to</w:t>
      </w:r>
      <w:r w:rsidR="0044499B">
        <w:t xml:space="preserve"> engage with </w:t>
      </w:r>
      <w:r w:rsidR="007478C1">
        <w:t xml:space="preserve">business and </w:t>
      </w:r>
      <w:r w:rsidR="00E90BB2">
        <w:t xml:space="preserve">the </w:t>
      </w:r>
      <w:r w:rsidR="007478C1">
        <w:t>community</w:t>
      </w:r>
      <w:r w:rsidR="0044499B">
        <w:t xml:space="preserve"> to identify and foster partnership opportunities aimed at promoting and </w:t>
      </w:r>
      <w:r w:rsidR="00E90BB2">
        <w:t>sustaining</w:t>
      </w:r>
      <w:r w:rsidR="00B23871">
        <w:t xml:space="preserve"> </w:t>
      </w:r>
      <w:r w:rsidR="007478C1">
        <w:t>improved</w:t>
      </w:r>
      <w:r w:rsidR="00B23871">
        <w:t xml:space="preserve"> air quality outcomes.</w:t>
      </w:r>
    </w:p>
    <w:p w:rsidR="00FD2372" w:rsidRDefault="00FD2372" w:rsidP="007B03E2">
      <w:pPr>
        <w:pStyle w:val="ListParagraph"/>
        <w:numPr>
          <w:ilvl w:val="0"/>
          <w:numId w:val="21"/>
        </w:numPr>
        <w:spacing w:before="120" w:after="120"/>
        <w:ind w:left="714" w:hanging="357"/>
        <w:contextualSpacing w:val="0"/>
      </w:pPr>
      <w:r>
        <w:rPr>
          <w:b/>
        </w:rPr>
        <w:t>Better k</w:t>
      </w:r>
      <w:r w:rsidRPr="00E55119">
        <w:rPr>
          <w:b/>
        </w:rPr>
        <w:t>nowledge, education and awareness</w:t>
      </w:r>
      <w:r w:rsidRPr="00C266FA">
        <w:rPr>
          <w:b/>
        </w:rPr>
        <w:t xml:space="preserve"> </w:t>
      </w:r>
      <w:r w:rsidRPr="00C266FA">
        <w:t xml:space="preserve">are essential requirements to inform policy decisions and to help empower communities and individuals to better deal with air pollution. Knowledge, </w:t>
      </w:r>
      <w:r>
        <w:t>improved</w:t>
      </w:r>
      <w:r w:rsidRPr="00C266FA">
        <w:t xml:space="preserve"> through information sharing and research, is critical to plug existing data gaps, identify future trends to help focus efforts in managing air quality, and explore innovative measures to address </w:t>
      </w:r>
      <w:r>
        <w:t>air pollution</w:t>
      </w:r>
      <w:r w:rsidRPr="00C266FA">
        <w:t>. Governments will promote a focus on approaches to enhance the information</w:t>
      </w:r>
      <w:r>
        <w:t xml:space="preserve"> and </w:t>
      </w:r>
      <w:r w:rsidRPr="00C266FA">
        <w:t>evidence base as well as explore avenues to ensure the public has the best available air quality information</w:t>
      </w:r>
      <w:r>
        <w:t>.</w:t>
      </w:r>
    </w:p>
    <w:p w:rsidR="00435C7D" w:rsidRDefault="00AD7CC3" w:rsidP="005D43E3">
      <w:pPr>
        <w:spacing w:beforeLines="120" w:afterLines="120"/>
      </w:pPr>
      <w:r>
        <w:lastRenderedPageBreak/>
        <w:t>The Agreement will also complement other Commonwealth, state and territory and local government measures, including in relation to climate action, science and research endeavours and environmental information</w:t>
      </w:r>
      <w:r w:rsidR="008F3705">
        <w:t xml:space="preserve"> monitoring and reporting.</w:t>
      </w:r>
      <w:bookmarkStart w:id="28" w:name="_Toc420316180"/>
      <w:bookmarkStart w:id="29" w:name="_Toc422142096"/>
    </w:p>
    <w:p w:rsidR="002F5C32" w:rsidRPr="0084519E" w:rsidRDefault="0084519E" w:rsidP="0072221C">
      <w:pPr>
        <w:pStyle w:val="Heading2"/>
        <w:spacing w:after="200"/>
        <w:rPr>
          <w:caps w:val="0"/>
        </w:rPr>
      </w:pPr>
      <w:bookmarkStart w:id="30" w:name="_Toc423602487"/>
      <w:r>
        <w:rPr>
          <w:caps w:val="0"/>
        </w:rPr>
        <w:t>P</w:t>
      </w:r>
      <w:r w:rsidR="002F5C32" w:rsidRPr="0084519E">
        <w:rPr>
          <w:caps w:val="0"/>
        </w:rPr>
        <w:t>riority setting process</w:t>
      </w:r>
      <w:bookmarkEnd w:id="30"/>
    </w:p>
    <w:bookmarkEnd w:id="28"/>
    <w:bookmarkEnd w:id="29"/>
    <w:p w:rsidR="00162B59" w:rsidRDefault="009F41C4" w:rsidP="007B03E2">
      <w:pPr>
        <w:pStyle w:val="ListBullet"/>
        <w:numPr>
          <w:ilvl w:val="0"/>
          <w:numId w:val="0"/>
        </w:numPr>
        <w:spacing w:before="120" w:after="120"/>
      </w:pPr>
      <w:r w:rsidRPr="00E23BA0">
        <w:rPr>
          <w:rFonts w:cs="Arial"/>
        </w:rPr>
        <w:t>The</w:t>
      </w:r>
      <w:r w:rsidRPr="00E23BA0">
        <w:t xml:space="preserve"> a</w:t>
      </w:r>
      <w:r>
        <w:t xml:space="preserve">bove elements of the Agreement provide the framework through which air quality issues will be evaluated </w:t>
      </w:r>
      <w:r w:rsidR="00E23BA0">
        <w:t xml:space="preserve">as part of a rigorous and evidence-based process </w:t>
      </w:r>
      <w:r>
        <w:t xml:space="preserve">and, </w:t>
      </w:r>
      <w:r w:rsidR="00000650">
        <w:t>where justified</w:t>
      </w:r>
      <w:r>
        <w:t xml:space="preserve">, prioritised for action under the Agreement. </w:t>
      </w:r>
    </w:p>
    <w:p w:rsidR="009F41C4" w:rsidRDefault="009F41C4" w:rsidP="007B03E2">
      <w:pPr>
        <w:pStyle w:val="ListBullet"/>
        <w:numPr>
          <w:ilvl w:val="0"/>
          <w:numId w:val="0"/>
        </w:numPr>
        <w:spacing w:before="120" w:after="120"/>
      </w:pPr>
      <w:r>
        <w:t>As new and emerging air quality issues are raised with gov</w:t>
      </w:r>
      <w:r w:rsidR="00AE34E8">
        <w:t>ernments, the framework</w:t>
      </w:r>
      <w:r>
        <w:t xml:space="preserve"> will guide their consideration for inclusion in the Agreement’s work plan and identify the most appropriate level of government to lead the response.</w:t>
      </w:r>
    </w:p>
    <w:p w:rsidR="00162B59" w:rsidRDefault="009F41C4" w:rsidP="007B03E2">
      <w:pPr>
        <w:pStyle w:val="ListBullet"/>
        <w:numPr>
          <w:ilvl w:val="0"/>
          <w:numId w:val="0"/>
        </w:numPr>
        <w:spacing w:before="120" w:after="120"/>
      </w:pPr>
      <w:r>
        <w:t xml:space="preserve">In practice, governments would achieve this by drawing on information and evidence such as inventory and </w:t>
      </w:r>
      <w:proofErr w:type="spellStart"/>
      <w:r>
        <w:t>modelling</w:t>
      </w:r>
      <w:proofErr w:type="spellEnd"/>
      <w:r>
        <w:t xml:space="preserve"> data, and other research and studies to better understand the nature, scale, and impact of the problem; identifying the extent to which measures are already in place to manage the issue raised and; where necessary, examine the efficiency and efficacy of potential new measures, having regard to relative priorities, available resources and roles and responsibilities</w:t>
      </w:r>
      <w:r w:rsidR="00824770">
        <w:t xml:space="preserve">. This would be done </w:t>
      </w:r>
      <w:r>
        <w:t xml:space="preserve">in line with the principles underpinning the Agreement. </w:t>
      </w:r>
    </w:p>
    <w:p w:rsidR="009F41C4" w:rsidRDefault="00AE34E8" w:rsidP="007B03E2">
      <w:pPr>
        <w:pStyle w:val="ListBullet"/>
        <w:numPr>
          <w:ilvl w:val="0"/>
          <w:numId w:val="0"/>
        </w:numPr>
        <w:spacing w:before="120" w:after="120"/>
      </w:pPr>
      <w:r>
        <w:t>Engagement</w:t>
      </w:r>
      <w:r w:rsidR="00E23BA0">
        <w:t xml:space="preserve"> with relevant experts in the health and research sectors and with </w:t>
      </w:r>
      <w:r w:rsidR="00824770">
        <w:t>business</w:t>
      </w:r>
      <w:r>
        <w:t xml:space="preserve">, non-government organisations and the </w:t>
      </w:r>
      <w:r w:rsidR="00824770">
        <w:t xml:space="preserve">community </w:t>
      </w:r>
      <w:r>
        <w:t>will also</w:t>
      </w:r>
      <w:r w:rsidR="00E23BA0">
        <w:t xml:space="preserve"> </w:t>
      </w:r>
      <w:r>
        <w:t>inform this process</w:t>
      </w:r>
      <w:r w:rsidR="00E23BA0">
        <w:t xml:space="preserve">. </w:t>
      </w:r>
    </w:p>
    <w:p w:rsidR="00CC4396" w:rsidRDefault="00B725DD" w:rsidP="007B03E2">
      <w:pPr>
        <w:pStyle w:val="ListBullet"/>
        <w:numPr>
          <w:ilvl w:val="0"/>
          <w:numId w:val="0"/>
        </w:numPr>
        <w:spacing w:before="120" w:after="120"/>
      </w:pPr>
      <w:r>
        <w:t>A</w:t>
      </w:r>
      <w:r w:rsidR="00CC4396">
        <w:t xml:space="preserve"> </w:t>
      </w:r>
      <w:r w:rsidR="00AE34E8">
        <w:t xml:space="preserve">high level </w:t>
      </w:r>
      <w:r w:rsidR="00CC4396">
        <w:t>overview of the priority setting process is provided in Figure 1.</w:t>
      </w:r>
    </w:p>
    <w:p w:rsidR="00E23BA0" w:rsidRPr="0084519E" w:rsidRDefault="0084519E" w:rsidP="0072221C">
      <w:pPr>
        <w:pStyle w:val="Heading2"/>
        <w:spacing w:after="200"/>
        <w:rPr>
          <w:caps w:val="0"/>
        </w:rPr>
      </w:pPr>
      <w:bookmarkStart w:id="31" w:name="_Toc422142097"/>
      <w:bookmarkStart w:id="32" w:name="_Toc423602488"/>
      <w:r>
        <w:rPr>
          <w:caps w:val="0"/>
        </w:rPr>
        <w:t>I</w:t>
      </w:r>
      <w:r w:rsidR="0069100A" w:rsidRPr="0084519E">
        <w:rPr>
          <w:caps w:val="0"/>
        </w:rPr>
        <w:t>mplementation</w:t>
      </w:r>
      <w:bookmarkEnd w:id="31"/>
      <w:bookmarkEnd w:id="32"/>
      <w:r w:rsidR="0069100A" w:rsidRPr="0084519E">
        <w:rPr>
          <w:caps w:val="0"/>
        </w:rPr>
        <w:t xml:space="preserve"> </w:t>
      </w:r>
    </w:p>
    <w:p w:rsidR="00E23BA0" w:rsidRDefault="00E23BA0" w:rsidP="007B03E2">
      <w:pPr>
        <w:pStyle w:val="ListBullet"/>
        <w:numPr>
          <w:ilvl w:val="0"/>
          <w:numId w:val="0"/>
        </w:numPr>
        <w:spacing w:before="120" w:after="120"/>
        <w:rPr>
          <w:rFonts w:cs="Arial"/>
        </w:rPr>
      </w:pPr>
      <w:r>
        <w:rPr>
          <w:rFonts w:cs="Arial"/>
        </w:rPr>
        <w:t xml:space="preserve">The National Clean Air Agreement will be implemented through </w:t>
      </w:r>
      <w:r w:rsidRPr="00F50C2F">
        <w:rPr>
          <w:rFonts w:cs="Arial"/>
        </w:rPr>
        <w:t>individual and collective action by the Commonwealth and state, territory and local</w:t>
      </w:r>
      <w:r>
        <w:rPr>
          <w:rFonts w:cs="Arial"/>
        </w:rPr>
        <w:t xml:space="preserve"> governments and, where applicable, through partnerships forged with </w:t>
      </w:r>
      <w:r w:rsidR="00824770">
        <w:rPr>
          <w:rFonts w:cs="Arial"/>
        </w:rPr>
        <w:t xml:space="preserve">business </w:t>
      </w:r>
      <w:r>
        <w:rPr>
          <w:rFonts w:cs="Arial"/>
        </w:rPr>
        <w:t>and community organisations.</w:t>
      </w:r>
    </w:p>
    <w:p w:rsidR="00E23BA0" w:rsidRDefault="00E23BA0" w:rsidP="007B03E2">
      <w:pPr>
        <w:pStyle w:val="ListBullet"/>
        <w:numPr>
          <w:ilvl w:val="0"/>
          <w:numId w:val="0"/>
        </w:numPr>
        <w:spacing w:before="120" w:after="120"/>
        <w:rPr>
          <w:rFonts w:cs="Arial"/>
        </w:rPr>
      </w:pPr>
      <w:r>
        <w:rPr>
          <w:rFonts w:cs="Arial"/>
        </w:rPr>
        <w:t xml:space="preserve">The measures adopted and roles and responsibilities for their implementation will be determined by Environment Ministers, drawing on a rigorous </w:t>
      </w:r>
      <w:r w:rsidR="00824770">
        <w:rPr>
          <w:rFonts w:cs="Arial"/>
        </w:rPr>
        <w:t>evidence-</w:t>
      </w:r>
      <w:r>
        <w:rPr>
          <w:rFonts w:cs="Arial"/>
        </w:rPr>
        <w:t xml:space="preserve">based process to identify priorities, and reflected in the work plan. </w:t>
      </w:r>
    </w:p>
    <w:p w:rsidR="00162B59" w:rsidRDefault="00162B59" w:rsidP="007B03E2">
      <w:pPr>
        <w:pStyle w:val="ListBullet"/>
        <w:numPr>
          <w:ilvl w:val="0"/>
          <w:numId w:val="0"/>
        </w:numPr>
        <w:spacing w:before="120" w:after="120"/>
      </w:pPr>
    </w:p>
    <w:p w:rsidR="001E2B38" w:rsidRDefault="001E2B38" w:rsidP="003E5D99">
      <w:pPr>
        <w:pStyle w:val="ListBullet"/>
        <w:numPr>
          <w:ilvl w:val="0"/>
          <w:numId w:val="0"/>
        </w:numPr>
        <w:sectPr w:rsidR="001E2B38" w:rsidSect="007B03E2">
          <w:pgSz w:w="11906" w:h="16838"/>
          <w:pgMar w:top="1418" w:right="1276" w:bottom="567" w:left="1418" w:header="425" w:footer="425" w:gutter="0"/>
          <w:cols w:space="708"/>
          <w:titlePg/>
          <w:docGrid w:linePitch="360"/>
        </w:sectPr>
      </w:pPr>
    </w:p>
    <w:p w:rsidR="001E2B38" w:rsidRDefault="001E2B38" w:rsidP="001E2B38">
      <w:pPr>
        <w:pStyle w:val="Caption"/>
        <w:keepNext/>
        <w:rPr>
          <w:sz w:val="24"/>
          <w:szCs w:val="24"/>
        </w:rPr>
      </w:pPr>
      <w:proofErr w:type="gramStart"/>
      <w:r w:rsidRPr="00E01D2B">
        <w:rPr>
          <w:sz w:val="24"/>
          <w:szCs w:val="24"/>
        </w:rPr>
        <w:lastRenderedPageBreak/>
        <w:t xml:space="preserve">Figure </w:t>
      </w:r>
      <w:r w:rsidR="00C23755" w:rsidRPr="00E01D2B">
        <w:rPr>
          <w:sz w:val="24"/>
          <w:szCs w:val="24"/>
        </w:rPr>
        <w:fldChar w:fldCharType="begin"/>
      </w:r>
      <w:r w:rsidRPr="00E01D2B">
        <w:rPr>
          <w:sz w:val="24"/>
          <w:szCs w:val="24"/>
        </w:rPr>
        <w:instrText xml:space="preserve"> SEQ Figure \* ARABIC </w:instrText>
      </w:r>
      <w:r w:rsidR="00C23755" w:rsidRPr="00E01D2B">
        <w:rPr>
          <w:sz w:val="24"/>
          <w:szCs w:val="24"/>
        </w:rPr>
        <w:fldChar w:fldCharType="separate"/>
      </w:r>
      <w:r w:rsidR="00BB62DA">
        <w:rPr>
          <w:noProof/>
          <w:sz w:val="24"/>
          <w:szCs w:val="24"/>
        </w:rPr>
        <w:t>1</w:t>
      </w:r>
      <w:r w:rsidR="00C23755" w:rsidRPr="00E01D2B">
        <w:rPr>
          <w:sz w:val="24"/>
          <w:szCs w:val="24"/>
        </w:rPr>
        <w:fldChar w:fldCharType="end"/>
      </w:r>
      <w:r w:rsidRPr="00E01D2B">
        <w:rPr>
          <w:sz w:val="24"/>
          <w:szCs w:val="24"/>
        </w:rPr>
        <w:t>.</w:t>
      </w:r>
      <w:proofErr w:type="gramEnd"/>
      <w:r w:rsidRPr="00E01D2B">
        <w:rPr>
          <w:sz w:val="24"/>
          <w:szCs w:val="24"/>
        </w:rPr>
        <w:t xml:space="preserve"> </w:t>
      </w:r>
      <w:r>
        <w:rPr>
          <w:sz w:val="24"/>
          <w:szCs w:val="24"/>
        </w:rPr>
        <w:t xml:space="preserve">Overview of </w:t>
      </w:r>
      <w:r w:rsidRPr="00E01D2B">
        <w:rPr>
          <w:sz w:val="24"/>
          <w:szCs w:val="24"/>
        </w:rPr>
        <w:t>National Clean Air Agreement Priority Setting Process</w:t>
      </w:r>
    </w:p>
    <w:p w:rsidR="001E2B38" w:rsidRDefault="006D4DB3" w:rsidP="006D4DB3">
      <w:pPr>
        <w:pStyle w:val="ListBullet"/>
        <w:numPr>
          <w:ilvl w:val="0"/>
          <w:numId w:val="0"/>
        </w:numPr>
        <w:tabs>
          <w:tab w:val="left" w:pos="9520"/>
        </w:tabs>
      </w:pPr>
      <w:r>
        <w:tab/>
      </w:r>
    </w:p>
    <w:p w:rsidR="001027A8" w:rsidRDefault="00C23755" w:rsidP="003E5D99">
      <w:pPr>
        <w:pStyle w:val="ListBullet"/>
        <w:numPr>
          <w:ilvl w:val="0"/>
          <w:numId w:val="0"/>
        </w:numPr>
      </w:pPr>
      <w:r>
        <w:rPr>
          <w:noProof/>
          <w:lang w:val="en-AU" w:eastAsia="en-AU" w:bidi="ar-SA"/>
        </w:rPr>
        <w:pict>
          <v:roundrect id="_x0000_s1034" style="position:absolute;margin-left:228.65pt;margin-top:213.55pt;width:96pt;height:69.85pt;z-index:251665408" arcsize="10923f" fillcolor="#fde9d9 [665]" strokecolor="#fbd4b4 [1305]">
            <v:textbox style="mso-next-textbox:#_x0000_s1034">
              <w:txbxContent>
                <w:p w:rsidR="00CE03F4" w:rsidRPr="006D4DB3" w:rsidRDefault="00CE03F4" w:rsidP="006D4DB3">
                  <w:pPr>
                    <w:spacing w:before="0" w:after="0"/>
                    <w:rPr>
                      <w:color w:val="548DD4" w:themeColor="text2" w:themeTint="99"/>
                      <w:sz w:val="20"/>
                    </w:rPr>
                  </w:pPr>
                  <w:r w:rsidRPr="006D4DB3">
                    <w:rPr>
                      <w:color w:val="548DD4" w:themeColor="text2" w:themeTint="99"/>
                      <w:sz w:val="20"/>
                    </w:rPr>
                    <w:t>Not prioritised - may be addressed through other arrangements</w:t>
                  </w:r>
                </w:p>
                <w:p w:rsidR="00CE03F4" w:rsidRDefault="00CE03F4" w:rsidP="006D4DB3">
                  <w:pPr>
                    <w:spacing w:before="0" w:after="0"/>
                  </w:pPr>
                </w:p>
              </w:txbxContent>
            </v:textbox>
          </v:roundrect>
        </w:pict>
      </w:r>
      <w:r>
        <w:rPr>
          <w:noProof/>
          <w:lang w:val="en-AU" w:eastAsia="en-AU" w:bidi="ar-SA"/>
        </w:rPr>
        <w:pict>
          <v:roundrect id="_x0000_s1031" style="position:absolute;margin-left:558.65pt;margin-top:156.55pt;width:74pt;height:51pt;z-index:251662336" arcsize="10923f" fillcolor="#eaf1dd [662]" strokecolor="#c2d69b [1942]">
            <v:textbox style="mso-next-textbox:#_x0000_s1031">
              <w:txbxContent>
                <w:p w:rsidR="00CE03F4" w:rsidRPr="00050386" w:rsidRDefault="00CE03F4" w:rsidP="006D4DB3">
                  <w:pPr>
                    <w:spacing w:before="0" w:after="0"/>
                    <w:jc w:val="center"/>
                    <w:rPr>
                      <w:color w:val="4F81BD" w:themeColor="accent1"/>
                      <w:sz w:val="18"/>
                      <w:szCs w:val="18"/>
                    </w:rPr>
                  </w:pPr>
                  <w:r>
                    <w:rPr>
                      <w:color w:val="4F81BD" w:themeColor="accent1"/>
                      <w:sz w:val="18"/>
                      <w:szCs w:val="18"/>
                    </w:rPr>
                    <w:t>Considered by Ministers</w:t>
                  </w:r>
                </w:p>
              </w:txbxContent>
            </v:textbox>
          </v:roundrect>
        </w:pict>
      </w:r>
      <w:r w:rsidRPr="00C23755">
        <w:rPr>
          <w:b/>
          <w:noProof/>
          <w:lang w:eastAsia="en-AU"/>
        </w:rPr>
        <w:pict>
          <v:roundrect id="_x0000_s1027" style="position:absolute;margin-left:228.65pt;margin-top:156.55pt;width:97pt;height:51pt;z-index:251658240" arcsize="10923f" fillcolor="#eaf1dd [662]" strokecolor="#d6e3bc [1302]">
            <v:textbox style="mso-next-textbox:#_x0000_s1027">
              <w:txbxContent>
                <w:p w:rsidR="00CE03F4" w:rsidRPr="002407AA" w:rsidRDefault="00CE03F4" w:rsidP="00890C35">
                  <w:pPr>
                    <w:jc w:val="center"/>
                    <w:rPr>
                      <w:color w:val="548DD4" w:themeColor="text2" w:themeTint="99"/>
                      <w:sz w:val="18"/>
                      <w:szCs w:val="18"/>
                    </w:rPr>
                  </w:pPr>
                  <w:r w:rsidRPr="002407AA">
                    <w:rPr>
                      <w:color w:val="548DD4" w:themeColor="text2" w:themeTint="99"/>
                      <w:sz w:val="18"/>
                      <w:szCs w:val="18"/>
                    </w:rPr>
                    <w:t>Consider feasibility and benefits</w:t>
                  </w:r>
                </w:p>
                <w:p w:rsidR="00CE03F4" w:rsidRDefault="00CE03F4"/>
              </w:txbxContent>
            </v:textbox>
          </v:roundrect>
        </w:pict>
      </w:r>
      <w:r>
        <w:rPr>
          <w:noProof/>
          <w:lang w:val="en-AU" w:eastAsia="en-AU" w:bidi="ar-SA"/>
        </w:rPr>
        <w:pict>
          <v:roundrect id="_x0000_s1026" style="position:absolute;margin-left:.9pt;margin-top:155.05pt;width:105.5pt;height:55pt;z-index:251656191" arcsize="10923f" fillcolor="#eaf1dd [662]" strokecolor="#c2d69b [1942]">
            <v:textbox style="mso-next-textbox:#_x0000_s1026">
              <w:txbxContent>
                <w:p w:rsidR="00CE03F4" w:rsidRDefault="00CE03F4" w:rsidP="008D1E77">
                  <w:pPr>
                    <w:spacing w:before="0" w:after="0"/>
                    <w:rPr>
                      <w:color w:val="4F81BD" w:themeColor="accent1"/>
                      <w:sz w:val="18"/>
                      <w:szCs w:val="18"/>
                    </w:rPr>
                  </w:pPr>
                  <w:r>
                    <w:rPr>
                      <w:color w:val="4F81BD" w:themeColor="accent1"/>
                      <w:sz w:val="18"/>
                      <w:szCs w:val="18"/>
                    </w:rPr>
                    <w:t xml:space="preserve">Concern brought to government attention </w:t>
                  </w:r>
                </w:p>
                <w:p w:rsidR="00CE03F4" w:rsidRPr="00050386" w:rsidRDefault="00CE03F4" w:rsidP="008D1E77">
                  <w:pPr>
                    <w:spacing w:before="0" w:after="0"/>
                    <w:rPr>
                      <w:color w:val="4F81BD" w:themeColor="accent1"/>
                      <w:sz w:val="18"/>
                      <w:szCs w:val="18"/>
                    </w:rPr>
                  </w:pPr>
                  <w:r>
                    <w:rPr>
                      <w:color w:val="4F81BD" w:themeColor="accent1"/>
                      <w:sz w:val="18"/>
                      <w:szCs w:val="18"/>
                    </w:rPr>
                    <w:t>(</w:t>
                  </w:r>
                  <w:proofErr w:type="gramStart"/>
                  <w:r>
                    <w:rPr>
                      <w:color w:val="4F81BD" w:themeColor="accent1"/>
                      <w:sz w:val="18"/>
                      <w:szCs w:val="18"/>
                    </w:rPr>
                    <w:t>various</w:t>
                  </w:r>
                  <w:proofErr w:type="gramEnd"/>
                  <w:r>
                    <w:rPr>
                      <w:color w:val="4F81BD" w:themeColor="accent1"/>
                      <w:sz w:val="18"/>
                      <w:szCs w:val="18"/>
                    </w:rPr>
                    <w:t xml:space="preserve"> means).</w:t>
                  </w:r>
                </w:p>
              </w:txbxContent>
            </v:textbox>
          </v:roundrect>
        </w:pict>
      </w:r>
      <w:r w:rsidRPr="00C23755">
        <w:rPr>
          <w:b/>
          <w:noProof/>
          <w:lang w:val="en-AU" w:eastAsia="en-AU" w:bidi="ar-SA"/>
        </w:rPr>
        <w:pict>
          <v:roundrect id="_x0000_s1028" style="position:absolute;margin-left:111.4pt;margin-top:155.05pt;width:112.25pt;height:52.5pt;z-index:251659264" arcsize="10923f" fillcolor="#eaf1dd [662]" strokecolor="#c2d69b [1942]">
            <v:textbox style="mso-next-textbox:#_x0000_s1028">
              <w:txbxContent>
                <w:p w:rsidR="00CE03F4" w:rsidRPr="00050386" w:rsidRDefault="00CE03F4" w:rsidP="008D1E77">
                  <w:pPr>
                    <w:spacing w:before="0" w:after="0"/>
                    <w:rPr>
                      <w:color w:val="4F81BD" w:themeColor="accent1"/>
                      <w:sz w:val="18"/>
                      <w:szCs w:val="18"/>
                    </w:rPr>
                  </w:pPr>
                  <w:r>
                    <w:rPr>
                      <w:color w:val="4F81BD" w:themeColor="accent1"/>
                      <w:sz w:val="18"/>
                      <w:szCs w:val="18"/>
                    </w:rPr>
                    <w:t xml:space="preserve">Examine nature, scale, </w:t>
                  </w:r>
                  <w:proofErr w:type="gramStart"/>
                  <w:r>
                    <w:rPr>
                      <w:color w:val="4F81BD" w:themeColor="accent1"/>
                      <w:sz w:val="18"/>
                      <w:szCs w:val="18"/>
                    </w:rPr>
                    <w:t>impact</w:t>
                  </w:r>
                  <w:proofErr w:type="gramEnd"/>
                  <w:r>
                    <w:rPr>
                      <w:color w:val="4F81BD" w:themeColor="accent1"/>
                      <w:sz w:val="18"/>
                      <w:szCs w:val="18"/>
                    </w:rPr>
                    <w:t>. Consider current management.</w:t>
                  </w:r>
                </w:p>
              </w:txbxContent>
            </v:textbox>
          </v:roundrect>
        </w:pict>
      </w:r>
      <w:r>
        <w:rPr>
          <w:noProof/>
          <w:lang w:val="en-AU" w:eastAsia="en-AU" w:bidi="ar-SA"/>
        </w:rPr>
        <w:pict>
          <v:roundrect id="_x0000_s1029" style="position:absolute;margin-left:331.4pt;margin-top:156.55pt;width:103.25pt;height:51pt;z-index:251660288" arcsize="10923f" fillcolor="#eaf1dd [662]" strokecolor="#c2d69b [1942]">
            <v:textbox style="mso-next-textbox:#_x0000_s1029">
              <w:txbxContent>
                <w:p w:rsidR="00CE03F4" w:rsidRPr="00050386" w:rsidRDefault="00CE03F4" w:rsidP="008D1E77">
                  <w:pPr>
                    <w:spacing w:before="0" w:after="0"/>
                    <w:jc w:val="center"/>
                    <w:rPr>
                      <w:color w:val="4F81BD" w:themeColor="accent1"/>
                      <w:sz w:val="18"/>
                      <w:szCs w:val="18"/>
                    </w:rPr>
                  </w:pPr>
                  <w:r>
                    <w:rPr>
                      <w:color w:val="4F81BD" w:themeColor="accent1"/>
                      <w:sz w:val="18"/>
                      <w:szCs w:val="18"/>
                    </w:rPr>
                    <w:t>Ministers agree priorities and roles and responsibilities.</w:t>
                  </w:r>
                </w:p>
              </w:txbxContent>
            </v:textbox>
          </v:roundrect>
        </w:pict>
      </w:r>
      <w:r>
        <w:rPr>
          <w:noProof/>
          <w:lang w:val="en-AU" w:eastAsia="en-AU" w:bidi="ar-SA"/>
        </w:rPr>
        <w:pict>
          <v:roundrect id="_x0000_s1030" style="position:absolute;margin-left:439.65pt;margin-top:156.55pt;width:114pt;height:51pt;z-index:251661312" arcsize="10923f" fillcolor="#eaf1dd [662]" strokecolor="#c2d69b [1942]">
            <v:textbox style="mso-next-textbox:#_x0000_s1030">
              <w:txbxContent>
                <w:p w:rsidR="00CE03F4" w:rsidRPr="00050386" w:rsidRDefault="00CE03F4" w:rsidP="008D1E77">
                  <w:pPr>
                    <w:spacing w:before="0" w:after="0"/>
                    <w:rPr>
                      <w:color w:val="4F81BD" w:themeColor="accent1"/>
                      <w:sz w:val="18"/>
                      <w:szCs w:val="18"/>
                    </w:rPr>
                  </w:pPr>
                  <w:r>
                    <w:rPr>
                      <w:color w:val="4F81BD" w:themeColor="accent1"/>
                      <w:sz w:val="18"/>
                      <w:szCs w:val="18"/>
                    </w:rPr>
                    <w:t xml:space="preserve">Options assessed, including costs and benefits as appropriate. </w:t>
                  </w:r>
                </w:p>
              </w:txbxContent>
            </v:textbox>
          </v:roundrect>
        </w:pict>
      </w:r>
      <w:r>
        <w:rPr>
          <w:noProof/>
          <w:lang w:val="en-AU" w:eastAsia="en-AU" w:bidi="ar-SA"/>
        </w:rPr>
        <w:pict>
          <v:roundrect id="_x0000_s1033" style="position:absolute;margin-left:638.4pt;margin-top:213.55pt;width:105pt;height:51pt;z-index:251664384" arcsize="10923f" fillcolor="#eaf1dd [662]" strokecolor="#c2d69b [1942]">
            <v:textbox style="mso-next-textbox:#_x0000_s1033">
              <w:txbxContent>
                <w:p w:rsidR="00CE03F4" w:rsidRPr="00050386" w:rsidRDefault="00CE03F4" w:rsidP="006D4DB3">
                  <w:pPr>
                    <w:spacing w:before="0" w:after="0"/>
                    <w:jc w:val="center"/>
                    <w:rPr>
                      <w:color w:val="4F81BD" w:themeColor="accent1"/>
                      <w:sz w:val="18"/>
                      <w:szCs w:val="18"/>
                    </w:rPr>
                  </w:pPr>
                  <w:proofErr w:type="gramStart"/>
                  <w:r>
                    <w:rPr>
                      <w:color w:val="4F81BD" w:themeColor="accent1"/>
                      <w:sz w:val="18"/>
                      <w:szCs w:val="18"/>
                    </w:rPr>
                    <w:t>Formal review by Ministers every two years.</w:t>
                  </w:r>
                  <w:proofErr w:type="gramEnd"/>
                </w:p>
              </w:txbxContent>
            </v:textbox>
          </v:roundrect>
        </w:pict>
      </w:r>
      <w:r>
        <w:rPr>
          <w:noProof/>
          <w:lang w:val="en-AU" w:eastAsia="en-AU" w:bidi="ar-SA"/>
        </w:rPr>
        <w:pict>
          <v:roundrect id="_x0000_s1032" style="position:absolute;margin-left:638.4pt;margin-top:155.05pt;width:105pt;height:51pt;z-index:251663360" arcsize="10923f" fillcolor="#eaf1dd [662]" strokecolor="#c2d69b [1942]">
            <v:textbox style="mso-next-textbox:#_x0000_s1032">
              <w:txbxContent>
                <w:p w:rsidR="00CE03F4" w:rsidRPr="00050386" w:rsidRDefault="00CE03F4" w:rsidP="00096490">
                  <w:pPr>
                    <w:rPr>
                      <w:color w:val="4F81BD" w:themeColor="accent1"/>
                      <w:sz w:val="18"/>
                      <w:szCs w:val="18"/>
                    </w:rPr>
                  </w:pPr>
                  <w:r>
                    <w:rPr>
                      <w:color w:val="4F81BD" w:themeColor="accent1"/>
                      <w:sz w:val="18"/>
                      <w:szCs w:val="18"/>
                    </w:rPr>
                    <w:t>Decisions reported and implementation phase.</w:t>
                  </w:r>
                </w:p>
              </w:txbxContent>
            </v:textbox>
          </v:roundrect>
        </w:pict>
      </w:r>
      <w:r w:rsidR="001E2B38">
        <w:rPr>
          <w:noProof/>
          <w:lang w:val="en-AU" w:eastAsia="en-AU" w:bidi="ar-SA"/>
        </w:rPr>
        <w:drawing>
          <wp:inline distT="0" distB="0" distL="0" distR="0">
            <wp:extent cx="9458325" cy="3200400"/>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027A8" w:rsidRPr="001027A8" w:rsidRDefault="001027A8" w:rsidP="001027A8">
      <w:pPr>
        <w:tabs>
          <w:tab w:val="left" w:pos="1860"/>
        </w:tabs>
      </w:pPr>
      <w:r>
        <w:tab/>
      </w:r>
    </w:p>
    <w:p w:rsidR="001027A8" w:rsidRDefault="001027A8" w:rsidP="001027A8"/>
    <w:p w:rsidR="001027A8" w:rsidRPr="001027A8" w:rsidRDefault="001027A8" w:rsidP="001027A8">
      <w:pPr>
        <w:tabs>
          <w:tab w:val="left" w:pos="10120"/>
        </w:tabs>
      </w:pPr>
      <w:r>
        <w:tab/>
      </w:r>
    </w:p>
    <w:p w:rsidR="00B85288" w:rsidRDefault="00B85288" w:rsidP="00996F2C">
      <w:pPr>
        <w:rPr>
          <w:rFonts w:ascii="Verdana" w:hAnsi="Verdana"/>
          <w:color w:val="24211C"/>
          <w:sz w:val="16"/>
          <w:szCs w:val="16"/>
        </w:rPr>
      </w:pPr>
    </w:p>
    <w:sectPr w:rsidR="00B85288" w:rsidSect="00996F2C">
      <w:headerReference w:type="first" r:id="rId23"/>
      <w:pgSz w:w="16838" w:h="11906" w:orient="landscape"/>
      <w:pgMar w:top="0" w:right="1418" w:bottom="993" w:left="567"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26" w:rsidRDefault="00775726" w:rsidP="00A60185">
      <w:pPr>
        <w:spacing w:after="0" w:line="240" w:lineRule="auto"/>
      </w:pPr>
      <w:r>
        <w:separator/>
      </w:r>
    </w:p>
  </w:endnote>
  <w:endnote w:type="continuationSeparator" w:id="0">
    <w:p w:rsidR="00775726" w:rsidRDefault="00775726"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0978"/>
      <w:docPartObj>
        <w:docPartGallery w:val="Page Numbers (Bottom of Page)"/>
        <w:docPartUnique/>
      </w:docPartObj>
    </w:sdtPr>
    <w:sdtContent>
      <w:p w:rsidR="00CE03F4" w:rsidRDefault="00C23755" w:rsidP="0069100A">
        <w:pPr>
          <w:pStyle w:val="Footer"/>
          <w:jc w:val="right"/>
        </w:pPr>
        <w:fldSimple w:instr=" PAGE   \* MERGEFORMAT ">
          <w:r w:rsidR="005D43E3">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F4" w:rsidRDefault="00CE03F4">
    <w:pPr>
      <w:pStyle w:val="Footer"/>
      <w:jc w:val="right"/>
    </w:pPr>
  </w:p>
  <w:p w:rsidR="00CE03F4" w:rsidRDefault="00CE03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4973"/>
      <w:docPartObj>
        <w:docPartGallery w:val="Page Numbers (Bottom of Page)"/>
        <w:docPartUnique/>
      </w:docPartObj>
    </w:sdtPr>
    <w:sdtContent>
      <w:p w:rsidR="00CE03F4" w:rsidRDefault="00C23755">
        <w:pPr>
          <w:pStyle w:val="Footer"/>
          <w:jc w:val="right"/>
        </w:pPr>
        <w:fldSimple w:instr=" PAGE   \* MERGEFORMAT ">
          <w:r w:rsidR="005D43E3">
            <w:rPr>
              <w:noProof/>
            </w:rPr>
            <w:t>12</w:t>
          </w:r>
        </w:fldSimple>
      </w:p>
    </w:sdtContent>
  </w:sdt>
  <w:p w:rsidR="00CE03F4" w:rsidRDefault="00CE0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26" w:rsidRDefault="00775726" w:rsidP="00A60185">
      <w:pPr>
        <w:spacing w:after="0" w:line="240" w:lineRule="auto"/>
      </w:pPr>
      <w:r>
        <w:separator/>
      </w:r>
    </w:p>
  </w:footnote>
  <w:footnote w:type="continuationSeparator" w:id="0">
    <w:p w:rsidR="00775726" w:rsidRDefault="00775726" w:rsidP="00A60185">
      <w:pPr>
        <w:spacing w:after="0" w:line="240" w:lineRule="auto"/>
      </w:pPr>
      <w:r>
        <w:continuationSeparator/>
      </w:r>
    </w:p>
  </w:footnote>
  <w:footnote w:id="1">
    <w:p w:rsidR="00CE03F4" w:rsidRPr="007B03E2" w:rsidRDefault="00CE03F4" w:rsidP="00E00FFF">
      <w:pPr>
        <w:pStyle w:val="FootnoteText"/>
        <w:spacing w:before="0"/>
        <w:rPr>
          <w:sz w:val="18"/>
          <w:szCs w:val="18"/>
        </w:rPr>
      </w:pPr>
      <w:r w:rsidRPr="007B03E2">
        <w:rPr>
          <w:rStyle w:val="FootnoteReference"/>
          <w:sz w:val="18"/>
          <w:szCs w:val="18"/>
        </w:rPr>
        <w:footnoteRef/>
      </w:r>
      <w:r w:rsidRPr="007B03E2">
        <w:rPr>
          <w:sz w:val="18"/>
          <w:szCs w:val="18"/>
        </w:rPr>
        <w:t xml:space="preserve"> State of the Air in Australia: 1999-2008. (2010) Australian Government, Canberra. </w:t>
      </w:r>
    </w:p>
  </w:footnote>
  <w:footnote w:id="2">
    <w:p w:rsidR="00CE03F4" w:rsidRPr="007B03E2" w:rsidRDefault="00CE03F4" w:rsidP="00E00FFF">
      <w:pPr>
        <w:pStyle w:val="FootnoteText"/>
        <w:spacing w:before="0"/>
        <w:rPr>
          <w:sz w:val="18"/>
          <w:szCs w:val="18"/>
          <w:lang w:val="en-AU"/>
        </w:rPr>
      </w:pPr>
      <w:r w:rsidRPr="007B03E2">
        <w:rPr>
          <w:rStyle w:val="FootnoteReference"/>
          <w:sz w:val="18"/>
          <w:szCs w:val="18"/>
        </w:rPr>
        <w:footnoteRef/>
      </w:r>
      <w:r w:rsidRPr="007B03E2">
        <w:rPr>
          <w:sz w:val="18"/>
          <w:szCs w:val="18"/>
        </w:rPr>
        <w:t xml:space="preserve"> </w:t>
      </w:r>
      <w:r w:rsidRPr="007B03E2">
        <w:rPr>
          <w:sz w:val="18"/>
          <w:szCs w:val="18"/>
          <w:lang w:val="en-AU"/>
        </w:rPr>
        <w:t xml:space="preserve">Review of evidence on health aspects of air pollution – REVIHAAP project. </w:t>
      </w:r>
      <w:proofErr w:type="gramStart"/>
      <w:r w:rsidRPr="007B03E2">
        <w:rPr>
          <w:sz w:val="18"/>
          <w:szCs w:val="18"/>
          <w:lang w:val="en-AU"/>
        </w:rPr>
        <w:t>(2013) World Health Organization.</w:t>
      </w:r>
      <w:proofErr w:type="gramEnd"/>
    </w:p>
  </w:footnote>
  <w:footnote w:id="3">
    <w:p w:rsidR="00CE03F4" w:rsidRPr="007B03E2" w:rsidRDefault="00CE03F4" w:rsidP="00E00FFF">
      <w:pPr>
        <w:pStyle w:val="FootnoteText"/>
        <w:spacing w:before="0"/>
        <w:rPr>
          <w:sz w:val="18"/>
          <w:szCs w:val="18"/>
          <w:lang w:val="en-AU"/>
        </w:rPr>
      </w:pPr>
      <w:r w:rsidRPr="00445E46">
        <w:rPr>
          <w:rStyle w:val="FootnoteReference"/>
          <w:sz w:val="18"/>
          <w:szCs w:val="18"/>
        </w:rPr>
        <w:footnoteRef/>
      </w:r>
      <w:r>
        <w:rPr>
          <w:sz w:val="18"/>
          <w:szCs w:val="18"/>
          <w:lang w:val="en-AU"/>
        </w:rPr>
        <w:t xml:space="preserve"> </w:t>
      </w:r>
      <w:proofErr w:type="gramStart"/>
      <w:r w:rsidRPr="007B03E2">
        <w:rPr>
          <w:sz w:val="18"/>
          <w:szCs w:val="18"/>
          <w:lang w:val="en-AU"/>
        </w:rPr>
        <w:t>Outdoor air pollution a leading environmental cause of cancer deaths.</w:t>
      </w:r>
      <w:proofErr w:type="gramEnd"/>
      <w:r w:rsidRPr="007B03E2">
        <w:rPr>
          <w:sz w:val="18"/>
          <w:szCs w:val="18"/>
          <w:lang w:val="en-AU"/>
        </w:rPr>
        <w:t xml:space="preserve"> </w:t>
      </w:r>
      <w:proofErr w:type="gramStart"/>
      <w:r w:rsidRPr="007B03E2">
        <w:rPr>
          <w:sz w:val="18"/>
          <w:szCs w:val="18"/>
          <w:lang w:val="en-AU"/>
        </w:rPr>
        <w:t>(2013) Press Release No. 221, International Agency for Research on Cancer.</w:t>
      </w:r>
      <w:proofErr w:type="gramEnd"/>
    </w:p>
  </w:footnote>
  <w:footnote w:id="4">
    <w:p w:rsidR="00CE03F4" w:rsidRDefault="00CE03F4">
      <w:pPr>
        <w:pStyle w:val="FootnoteText"/>
        <w:spacing w:before="0"/>
        <w:rPr>
          <w:lang w:val="en-AU"/>
        </w:rPr>
      </w:pPr>
      <w:r w:rsidRPr="00445E46">
        <w:rPr>
          <w:rStyle w:val="FootnoteReference"/>
          <w:sz w:val="18"/>
          <w:szCs w:val="18"/>
        </w:rPr>
        <w:footnoteRef/>
      </w:r>
      <w:r>
        <w:t xml:space="preserve"> </w:t>
      </w:r>
      <w:proofErr w:type="gramStart"/>
      <w:r w:rsidRPr="002F7BDF">
        <w:rPr>
          <w:sz w:val="18"/>
          <w:szCs w:val="18"/>
          <w:lang w:val="en-AU"/>
        </w:rPr>
        <w:t>2015 Intergenerational Report Australia in 2055.</w:t>
      </w:r>
      <w:proofErr w:type="gramEnd"/>
      <w:r w:rsidRPr="002F7BDF">
        <w:rPr>
          <w:sz w:val="18"/>
          <w:szCs w:val="18"/>
          <w:lang w:val="en-AU"/>
        </w:rPr>
        <w:t xml:space="preserve"> </w:t>
      </w:r>
      <w:proofErr w:type="gramStart"/>
      <w:r w:rsidRPr="002F7BDF">
        <w:rPr>
          <w:sz w:val="18"/>
          <w:szCs w:val="18"/>
          <w:lang w:val="en-AU"/>
        </w:rPr>
        <w:t>The Commonwealth of Australia.</w:t>
      </w:r>
      <w:proofErr w:type="gramEnd"/>
    </w:p>
  </w:footnote>
  <w:footnote w:id="5">
    <w:p w:rsidR="00CE03F4" w:rsidRPr="001E3FD4" w:rsidRDefault="00CE03F4" w:rsidP="001E3FD4">
      <w:pPr>
        <w:pStyle w:val="FootnoteText"/>
        <w:spacing w:before="0"/>
        <w:rPr>
          <w:sz w:val="18"/>
          <w:szCs w:val="18"/>
          <w:lang w:val="en-AU"/>
        </w:rPr>
      </w:pPr>
      <w:r w:rsidRPr="001E3FD4">
        <w:rPr>
          <w:rStyle w:val="FootnoteReference"/>
          <w:sz w:val="18"/>
          <w:szCs w:val="18"/>
        </w:rPr>
        <w:footnoteRef/>
      </w:r>
      <w:r>
        <w:rPr>
          <w:sz w:val="18"/>
          <w:szCs w:val="18"/>
        </w:rPr>
        <w:t xml:space="preserve"> </w:t>
      </w:r>
      <w:proofErr w:type="gramStart"/>
      <w:r w:rsidRPr="001E3FD4">
        <w:rPr>
          <w:sz w:val="18"/>
          <w:szCs w:val="18"/>
        </w:rPr>
        <w:t>Based on Australian Bureau of Statistics data.</w:t>
      </w:r>
      <w:proofErr w:type="gramEnd"/>
      <w:r w:rsidRPr="001E3FD4">
        <w:rPr>
          <w:sz w:val="18"/>
          <w:szCs w:val="18"/>
        </w:rPr>
        <w:t xml:space="preserve"> </w:t>
      </w:r>
      <w:proofErr w:type="gramStart"/>
      <w:r w:rsidRPr="001E3FD4">
        <w:rPr>
          <w:sz w:val="18"/>
          <w:szCs w:val="18"/>
        </w:rPr>
        <w:t>ABS cat.</w:t>
      </w:r>
      <w:proofErr w:type="gramEnd"/>
      <w:r w:rsidRPr="001E3FD4">
        <w:rPr>
          <w:sz w:val="18"/>
          <w:szCs w:val="18"/>
        </w:rPr>
        <w:t xml:space="preserve"> No. 3222.0</w:t>
      </w:r>
    </w:p>
  </w:footnote>
  <w:footnote w:id="6">
    <w:p w:rsidR="00CE03F4" w:rsidRPr="007B03E2" w:rsidRDefault="00CE03F4" w:rsidP="001E3FD4">
      <w:pPr>
        <w:pStyle w:val="FootnoteText"/>
        <w:spacing w:before="0"/>
        <w:rPr>
          <w:sz w:val="18"/>
          <w:szCs w:val="18"/>
          <w:lang w:val="en-AU"/>
        </w:rPr>
      </w:pPr>
      <w:r w:rsidRPr="007B03E2">
        <w:rPr>
          <w:rStyle w:val="FootnoteReference"/>
          <w:sz w:val="18"/>
          <w:szCs w:val="18"/>
        </w:rPr>
        <w:footnoteRef/>
      </w:r>
      <w:r w:rsidRPr="007B03E2">
        <w:rPr>
          <w:sz w:val="18"/>
          <w:szCs w:val="18"/>
        </w:rPr>
        <w:t xml:space="preserve"> </w:t>
      </w:r>
      <w:r w:rsidRPr="007B03E2">
        <w:rPr>
          <w:sz w:val="18"/>
          <w:szCs w:val="18"/>
          <w:lang w:val="en-AU"/>
        </w:rPr>
        <w:t>Transport Security Outlook to 2025. Department of Infrastructure and Regional Development 2014 Australian Government, Canberra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F4" w:rsidRDefault="00C23755" w:rsidP="00E45765">
    <w:pPr>
      <w:pStyle w:val="Classification"/>
    </w:pPr>
    <w:r>
      <w:fldChar w:fldCharType="begin"/>
    </w:r>
    <w:r w:rsidR="00CE03F4">
      <w:instrText xml:space="preserve"> DOCPROPERTY SecurityClassification \* MERGEFORMAT </w:instrText>
    </w:r>
    <w:r>
      <w:fldChar w:fldCharType="separate"/>
    </w:r>
    <w:r w:rsidR="00BB62DA">
      <w:rPr>
        <w:b/>
        <w:bC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D7" w:rsidRPr="00035CD7" w:rsidRDefault="00035CD7" w:rsidP="00035CD7">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F4" w:rsidRDefault="00CE03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F4" w:rsidRDefault="00CE03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BAA3B4"/>
    <w:lvl w:ilvl="0">
      <w:start w:val="1"/>
      <w:numFmt w:val="decimal"/>
      <w:lvlText w:val="%1."/>
      <w:lvlJc w:val="left"/>
      <w:pPr>
        <w:tabs>
          <w:tab w:val="num" w:pos="360"/>
        </w:tabs>
        <w:ind w:left="360" w:hanging="360"/>
      </w:pPr>
    </w:lvl>
  </w:abstractNum>
  <w:abstractNum w:abstractNumId="1">
    <w:nsid w:val="FFFFFF89"/>
    <w:multiLevelType w:val="singleLevel"/>
    <w:tmpl w:val="E7A6506A"/>
    <w:lvl w:ilvl="0">
      <w:start w:val="1"/>
      <w:numFmt w:val="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368"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06F4B4B"/>
    <w:multiLevelType w:val="hybridMultilevel"/>
    <w:tmpl w:val="3C04F8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5319BC"/>
    <w:multiLevelType w:val="hybridMultilevel"/>
    <w:tmpl w:val="F38CDDE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4109F5"/>
    <w:multiLevelType w:val="hybridMultilevel"/>
    <w:tmpl w:val="457CFD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745BC2"/>
    <w:multiLevelType w:val="multilevel"/>
    <w:tmpl w:val="E5E89F92"/>
    <w:numStyleLink w:val="BulletList"/>
  </w:abstractNum>
  <w:abstractNum w:abstractNumId="7">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92941"/>
    <w:multiLevelType w:val="hybridMultilevel"/>
    <w:tmpl w:val="B970B6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6E36FDE"/>
    <w:multiLevelType w:val="hybridMultilevel"/>
    <w:tmpl w:val="A776D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7233CA5"/>
    <w:multiLevelType w:val="hybridMultilevel"/>
    <w:tmpl w:val="9BD25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5456429"/>
    <w:multiLevelType w:val="multilevel"/>
    <w:tmpl w:val="E898CC72"/>
    <w:numStyleLink w:val="KeyPoints"/>
  </w:abstractNum>
  <w:abstractNum w:abstractNumId="13">
    <w:nsid w:val="67F31BA7"/>
    <w:multiLevelType w:val="hybridMultilevel"/>
    <w:tmpl w:val="8410BB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1C972A1"/>
    <w:multiLevelType w:val="hybridMultilevel"/>
    <w:tmpl w:val="5176A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8B1670"/>
    <w:multiLevelType w:val="hybridMultilevel"/>
    <w:tmpl w:val="ED903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2"/>
  </w:num>
  <w:num w:numId="3">
    <w:abstractNumId w:val="9"/>
  </w:num>
  <w:num w:numId="4">
    <w:abstractNumId w:val="7"/>
  </w:num>
  <w:num w:numId="5">
    <w:abstractNumId w:val="12"/>
  </w:num>
  <w:num w:numId="6">
    <w:abstractNumId w:val="6"/>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6"/>
  </w:num>
  <w:num w:numId="12">
    <w:abstractNumId w:val="6"/>
  </w:num>
  <w:num w:numId="13">
    <w:abstractNumId w:val="13"/>
  </w:num>
  <w:num w:numId="14">
    <w:abstractNumId w:val="10"/>
  </w:num>
  <w:num w:numId="15">
    <w:abstractNumId w:val="14"/>
  </w:num>
  <w:num w:numId="16">
    <w:abstractNumId w:val="3"/>
  </w:num>
  <w:num w:numId="17">
    <w:abstractNumId w:val="15"/>
  </w:num>
  <w:num w:numId="18">
    <w:abstractNumId w:val="6"/>
  </w:num>
  <w:num w:numId="19">
    <w:abstractNumId w:val="0"/>
  </w:num>
  <w:num w:numId="20">
    <w:abstractNumId w:val="11"/>
  </w:num>
  <w:num w:numId="21">
    <w:abstractNumId w:val="8"/>
  </w:num>
  <w:num w:numId="22">
    <w:abstractNumId w:val="6"/>
  </w:num>
  <w:num w:numId="23">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132D32"/>
    <w:rsid w:val="00000650"/>
    <w:rsid w:val="00003620"/>
    <w:rsid w:val="00004AEE"/>
    <w:rsid w:val="00005CAA"/>
    <w:rsid w:val="00007E0E"/>
    <w:rsid w:val="00010210"/>
    <w:rsid w:val="000122BB"/>
    <w:rsid w:val="00012BF1"/>
    <w:rsid w:val="00012D66"/>
    <w:rsid w:val="00015ADA"/>
    <w:rsid w:val="00016476"/>
    <w:rsid w:val="00016A57"/>
    <w:rsid w:val="00020C99"/>
    <w:rsid w:val="0002707B"/>
    <w:rsid w:val="000348C1"/>
    <w:rsid w:val="00035CD7"/>
    <w:rsid w:val="00045134"/>
    <w:rsid w:val="000475AE"/>
    <w:rsid w:val="00050386"/>
    <w:rsid w:val="0005148E"/>
    <w:rsid w:val="00051BFE"/>
    <w:rsid w:val="00063911"/>
    <w:rsid w:val="00063996"/>
    <w:rsid w:val="00070947"/>
    <w:rsid w:val="000709FB"/>
    <w:rsid w:val="00072C5A"/>
    <w:rsid w:val="00074596"/>
    <w:rsid w:val="00074FED"/>
    <w:rsid w:val="000759E5"/>
    <w:rsid w:val="000772E9"/>
    <w:rsid w:val="00084653"/>
    <w:rsid w:val="00084AC6"/>
    <w:rsid w:val="00084BD2"/>
    <w:rsid w:val="00091608"/>
    <w:rsid w:val="0009333C"/>
    <w:rsid w:val="0009647C"/>
    <w:rsid w:val="00096490"/>
    <w:rsid w:val="0009704F"/>
    <w:rsid w:val="00097D83"/>
    <w:rsid w:val="000A0F11"/>
    <w:rsid w:val="000A125A"/>
    <w:rsid w:val="000A57CD"/>
    <w:rsid w:val="000B086D"/>
    <w:rsid w:val="000B2BD3"/>
    <w:rsid w:val="000B3758"/>
    <w:rsid w:val="000B7425"/>
    <w:rsid w:val="000B7681"/>
    <w:rsid w:val="000B7B42"/>
    <w:rsid w:val="000C02B7"/>
    <w:rsid w:val="000C5100"/>
    <w:rsid w:val="000C5342"/>
    <w:rsid w:val="000C706A"/>
    <w:rsid w:val="000C7C3C"/>
    <w:rsid w:val="000D2887"/>
    <w:rsid w:val="000D6A6C"/>
    <w:rsid w:val="000D6D63"/>
    <w:rsid w:val="000E0081"/>
    <w:rsid w:val="000E07CF"/>
    <w:rsid w:val="000E31C1"/>
    <w:rsid w:val="000E541A"/>
    <w:rsid w:val="000F0B62"/>
    <w:rsid w:val="000F2CF2"/>
    <w:rsid w:val="000F2FEC"/>
    <w:rsid w:val="000F3F1D"/>
    <w:rsid w:val="000F465E"/>
    <w:rsid w:val="000F46AF"/>
    <w:rsid w:val="000F4B90"/>
    <w:rsid w:val="00100BEF"/>
    <w:rsid w:val="001027A8"/>
    <w:rsid w:val="0010683E"/>
    <w:rsid w:val="00106C71"/>
    <w:rsid w:val="00111326"/>
    <w:rsid w:val="0011498E"/>
    <w:rsid w:val="00117A45"/>
    <w:rsid w:val="001207A7"/>
    <w:rsid w:val="001224AE"/>
    <w:rsid w:val="00132AEE"/>
    <w:rsid w:val="00132D32"/>
    <w:rsid w:val="001337D4"/>
    <w:rsid w:val="00133F68"/>
    <w:rsid w:val="00141651"/>
    <w:rsid w:val="0014316F"/>
    <w:rsid w:val="00145345"/>
    <w:rsid w:val="00145DAB"/>
    <w:rsid w:val="00147C12"/>
    <w:rsid w:val="001527A1"/>
    <w:rsid w:val="00152D1E"/>
    <w:rsid w:val="001530DC"/>
    <w:rsid w:val="00154989"/>
    <w:rsid w:val="00155A9F"/>
    <w:rsid w:val="00157328"/>
    <w:rsid w:val="00157BD6"/>
    <w:rsid w:val="00157D84"/>
    <w:rsid w:val="00160262"/>
    <w:rsid w:val="0016174A"/>
    <w:rsid w:val="00162B59"/>
    <w:rsid w:val="00164832"/>
    <w:rsid w:val="0016780A"/>
    <w:rsid w:val="001713FA"/>
    <w:rsid w:val="00173EBF"/>
    <w:rsid w:val="00175ED3"/>
    <w:rsid w:val="00177257"/>
    <w:rsid w:val="00183009"/>
    <w:rsid w:val="001842A2"/>
    <w:rsid w:val="00187FA8"/>
    <w:rsid w:val="0019272D"/>
    <w:rsid w:val="00192F5E"/>
    <w:rsid w:val="00197772"/>
    <w:rsid w:val="001A279A"/>
    <w:rsid w:val="001A51C8"/>
    <w:rsid w:val="001A5D74"/>
    <w:rsid w:val="001B2CA6"/>
    <w:rsid w:val="001B4CA8"/>
    <w:rsid w:val="001B5EA1"/>
    <w:rsid w:val="001C40FB"/>
    <w:rsid w:val="001C4F3D"/>
    <w:rsid w:val="001C6410"/>
    <w:rsid w:val="001D0CDC"/>
    <w:rsid w:val="001D0D2B"/>
    <w:rsid w:val="001D1D82"/>
    <w:rsid w:val="001D4A69"/>
    <w:rsid w:val="001D5AD9"/>
    <w:rsid w:val="001E1182"/>
    <w:rsid w:val="001E2B38"/>
    <w:rsid w:val="001E2C26"/>
    <w:rsid w:val="001E38CF"/>
    <w:rsid w:val="001E3F9B"/>
    <w:rsid w:val="001E3FD4"/>
    <w:rsid w:val="001E6477"/>
    <w:rsid w:val="001F21E4"/>
    <w:rsid w:val="001F6BF3"/>
    <w:rsid w:val="001F7D20"/>
    <w:rsid w:val="00201171"/>
    <w:rsid w:val="00202C90"/>
    <w:rsid w:val="00203285"/>
    <w:rsid w:val="00210DD5"/>
    <w:rsid w:val="00213DE8"/>
    <w:rsid w:val="0021470C"/>
    <w:rsid w:val="00216118"/>
    <w:rsid w:val="002209AB"/>
    <w:rsid w:val="00224FAA"/>
    <w:rsid w:val="002251E3"/>
    <w:rsid w:val="002254F9"/>
    <w:rsid w:val="00227A95"/>
    <w:rsid w:val="002316BD"/>
    <w:rsid w:val="002407AA"/>
    <w:rsid w:val="0024381B"/>
    <w:rsid w:val="002463D3"/>
    <w:rsid w:val="00246EB1"/>
    <w:rsid w:val="002473FC"/>
    <w:rsid w:val="00250059"/>
    <w:rsid w:val="00252E3C"/>
    <w:rsid w:val="00262198"/>
    <w:rsid w:val="00265087"/>
    <w:rsid w:val="00267B7D"/>
    <w:rsid w:val="00272A13"/>
    <w:rsid w:val="002742D5"/>
    <w:rsid w:val="002743F3"/>
    <w:rsid w:val="0027686E"/>
    <w:rsid w:val="00285F1B"/>
    <w:rsid w:val="00286DBD"/>
    <w:rsid w:val="00292B81"/>
    <w:rsid w:val="00296A46"/>
    <w:rsid w:val="002A2803"/>
    <w:rsid w:val="002A78F1"/>
    <w:rsid w:val="002B0BA4"/>
    <w:rsid w:val="002B18AE"/>
    <w:rsid w:val="002B3763"/>
    <w:rsid w:val="002B4363"/>
    <w:rsid w:val="002C0A9B"/>
    <w:rsid w:val="002C1C93"/>
    <w:rsid w:val="002C5066"/>
    <w:rsid w:val="002C52A6"/>
    <w:rsid w:val="002C5813"/>
    <w:rsid w:val="002D0BC9"/>
    <w:rsid w:val="002D25DF"/>
    <w:rsid w:val="002D2971"/>
    <w:rsid w:val="002D29D1"/>
    <w:rsid w:val="002D4AAC"/>
    <w:rsid w:val="002E74B2"/>
    <w:rsid w:val="002F045A"/>
    <w:rsid w:val="002F5C32"/>
    <w:rsid w:val="002F5CDA"/>
    <w:rsid w:val="002F69CC"/>
    <w:rsid w:val="002F7BDF"/>
    <w:rsid w:val="0030039D"/>
    <w:rsid w:val="003005D7"/>
    <w:rsid w:val="00300E95"/>
    <w:rsid w:val="0030326F"/>
    <w:rsid w:val="00310701"/>
    <w:rsid w:val="00315980"/>
    <w:rsid w:val="00316F7F"/>
    <w:rsid w:val="00320DF4"/>
    <w:rsid w:val="003218E8"/>
    <w:rsid w:val="00325E34"/>
    <w:rsid w:val="00327736"/>
    <w:rsid w:val="003309EE"/>
    <w:rsid w:val="00330DCE"/>
    <w:rsid w:val="00331E11"/>
    <w:rsid w:val="00331F70"/>
    <w:rsid w:val="003323A4"/>
    <w:rsid w:val="00334761"/>
    <w:rsid w:val="003379EB"/>
    <w:rsid w:val="00337EBC"/>
    <w:rsid w:val="00341DCD"/>
    <w:rsid w:val="00342306"/>
    <w:rsid w:val="0034563E"/>
    <w:rsid w:val="00351438"/>
    <w:rsid w:val="003518D6"/>
    <w:rsid w:val="003526DE"/>
    <w:rsid w:val="00354133"/>
    <w:rsid w:val="003544B8"/>
    <w:rsid w:val="0035460C"/>
    <w:rsid w:val="00355693"/>
    <w:rsid w:val="003556BD"/>
    <w:rsid w:val="00365147"/>
    <w:rsid w:val="00365AD7"/>
    <w:rsid w:val="00366B3B"/>
    <w:rsid w:val="0037016E"/>
    <w:rsid w:val="0037203E"/>
    <w:rsid w:val="00372908"/>
    <w:rsid w:val="003750DB"/>
    <w:rsid w:val="00377750"/>
    <w:rsid w:val="0038091F"/>
    <w:rsid w:val="00382D7A"/>
    <w:rsid w:val="00383020"/>
    <w:rsid w:val="00390422"/>
    <w:rsid w:val="0039431F"/>
    <w:rsid w:val="00394D7E"/>
    <w:rsid w:val="003975FD"/>
    <w:rsid w:val="003A12A0"/>
    <w:rsid w:val="003A1D7E"/>
    <w:rsid w:val="003A2085"/>
    <w:rsid w:val="003A471A"/>
    <w:rsid w:val="003A5D32"/>
    <w:rsid w:val="003B057D"/>
    <w:rsid w:val="003B1BA8"/>
    <w:rsid w:val="003B2DE0"/>
    <w:rsid w:val="003B334B"/>
    <w:rsid w:val="003B41E7"/>
    <w:rsid w:val="003B60CC"/>
    <w:rsid w:val="003B60DD"/>
    <w:rsid w:val="003C1B25"/>
    <w:rsid w:val="003C2443"/>
    <w:rsid w:val="003C50FC"/>
    <w:rsid w:val="003C5BCE"/>
    <w:rsid w:val="003C5DA3"/>
    <w:rsid w:val="003C6319"/>
    <w:rsid w:val="003D0158"/>
    <w:rsid w:val="003D4BCD"/>
    <w:rsid w:val="003D6661"/>
    <w:rsid w:val="003D6C2B"/>
    <w:rsid w:val="003E01D8"/>
    <w:rsid w:val="003E2100"/>
    <w:rsid w:val="003E570A"/>
    <w:rsid w:val="003E5D99"/>
    <w:rsid w:val="003F16BA"/>
    <w:rsid w:val="003F1DD1"/>
    <w:rsid w:val="003F6F5B"/>
    <w:rsid w:val="0040073D"/>
    <w:rsid w:val="0040342D"/>
    <w:rsid w:val="0040564E"/>
    <w:rsid w:val="0041192D"/>
    <w:rsid w:val="00413904"/>
    <w:rsid w:val="00413CE1"/>
    <w:rsid w:val="00413EE1"/>
    <w:rsid w:val="00415BD7"/>
    <w:rsid w:val="00416347"/>
    <w:rsid w:val="0042128E"/>
    <w:rsid w:val="0042132F"/>
    <w:rsid w:val="004241DE"/>
    <w:rsid w:val="00426E4D"/>
    <w:rsid w:val="00432B60"/>
    <w:rsid w:val="00433DD9"/>
    <w:rsid w:val="004351B3"/>
    <w:rsid w:val="00435C7D"/>
    <w:rsid w:val="00440698"/>
    <w:rsid w:val="0044499B"/>
    <w:rsid w:val="00444EA9"/>
    <w:rsid w:val="00445E46"/>
    <w:rsid w:val="0044604F"/>
    <w:rsid w:val="00450009"/>
    <w:rsid w:val="004540E2"/>
    <w:rsid w:val="00454454"/>
    <w:rsid w:val="0045665F"/>
    <w:rsid w:val="00461360"/>
    <w:rsid w:val="004614DD"/>
    <w:rsid w:val="00461DEF"/>
    <w:rsid w:val="004641DC"/>
    <w:rsid w:val="00464E80"/>
    <w:rsid w:val="00467924"/>
    <w:rsid w:val="004712A5"/>
    <w:rsid w:val="0047266F"/>
    <w:rsid w:val="004731CE"/>
    <w:rsid w:val="00474372"/>
    <w:rsid w:val="00476D6B"/>
    <w:rsid w:val="00484208"/>
    <w:rsid w:val="004877BD"/>
    <w:rsid w:val="0049217D"/>
    <w:rsid w:val="00492C16"/>
    <w:rsid w:val="00495A46"/>
    <w:rsid w:val="004A0678"/>
    <w:rsid w:val="004A068B"/>
    <w:rsid w:val="004A48A3"/>
    <w:rsid w:val="004B0D92"/>
    <w:rsid w:val="004B0EC0"/>
    <w:rsid w:val="004B66F1"/>
    <w:rsid w:val="004B7CB7"/>
    <w:rsid w:val="004C3EA0"/>
    <w:rsid w:val="004C5DB4"/>
    <w:rsid w:val="004D0E09"/>
    <w:rsid w:val="004D356D"/>
    <w:rsid w:val="004D4F60"/>
    <w:rsid w:val="004E5E63"/>
    <w:rsid w:val="004E6663"/>
    <w:rsid w:val="004F33E5"/>
    <w:rsid w:val="004F7169"/>
    <w:rsid w:val="0050010F"/>
    <w:rsid w:val="00500D66"/>
    <w:rsid w:val="00510534"/>
    <w:rsid w:val="0051064D"/>
    <w:rsid w:val="00514C8E"/>
    <w:rsid w:val="005158F5"/>
    <w:rsid w:val="00531DBF"/>
    <w:rsid w:val="00532DAB"/>
    <w:rsid w:val="00535064"/>
    <w:rsid w:val="005423DC"/>
    <w:rsid w:val="00545759"/>
    <w:rsid w:val="00545BE0"/>
    <w:rsid w:val="00546930"/>
    <w:rsid w:val="00554C6A"/>
    <w:rsid w:val="00556DB6"/>
    <w:rsid w:val="005609D5"/>
    <w:rsid w:val="0056294B"/>
    <w:rsid w:val="00562E85"/>
    <w:rsid w:val="0056332F"/>
    <w:rsid w:val="005643B6"/>
    <w:rsid w:val="00566421"/>
    <w:rsid w:val="005719B3"/>
    <w:rsid w:val="0057295E"/>
    <w:rsid w:val="0057685B"/>
    <w:rsid w:val="00581C39"/>
    <w:rsid w:val="00582AF9"/>
    <w:rsid w:val="005839D4"/>
    <w:rsid w:val="005865CD"/>
    <w:rsid w:val="005903B6"/>
    <w:rsid w:val="00591812"/>
    <w:rsid w:val="005A0247"/>
    <w:rsid w:val="005A126E"/>
    <w:rsid w:val="005A20A3"/>
    <w:rsid w:val="005A28B6"/>
    <w:rsid w:val="005A452F"/>
    <w:rsid w:val="005A765F"/>
    <w:rsid w:val="005B140D"/>
    <w:rsid w:val="005B43C4"/>
    <w:rsid w:val="005B738F"/>
    <w:rsid w:val="005B7F78"/>
    <w:rsid w:val="005C1FEA"/>
    <w:rsid w:val="005C3495"/>
    <w:rsid w:val="005C3E78"/>
    <w:rsid w:val="005C4129"/>
    <w:rsid w:val="005C5598"/>
    <w:rsid w:val="005D15AF"/>
    <w:rsid w:val="005D1797"/>
    <w:rsid w:val="005D2A25"/>
    <w:rsid w:val="005D3E7B"/>
    <w:rsid w:val="005D43E3"/>
    <w:rsid w:val="005E3946"/>
    <w:rsid w:val="005E3DFC"/>
    <w:rsid w:val="005E5942"/>
    <w:rsid w:val="005E598C"/>
    <w:rsid w:val="005E60AF"/>
    <w:rsid w:val="005F1DEA"/>
    <w:rsid w:val="005F5A43"/>
    <w:rsid w:val="005F66B2"/>
    <w:rsid w:val="00603E03"/>
    <w:rsid w:val="00607FC9"/>
    <w:rsid w:val="006108D0"/>
    <w:rsid w:val="00610A03"/>
    <w:rsid w:val="006117BC"/>
    <w:rsid w:val="00616189"/>
    <w:rsid w:val="00622FE1"/>
    <w:rsid w:val="0062521C"/>
    <w:rsid w:val="00625FBA"/>
    <w:rsid w:val="00626DA2"/>
    <w:rsid w:val="00630A2B"/>
    <w:rsid w:val="00632DC7"/>
    <w:rsid w:val="006357FB"/>
    <w:rsid w:val="006406FC"/>
    <w:rsid w:val="00640E57"/>
    <w:rsid w:val="00646122"/>
    <w:rsid w:val="006473DB"/>
    <w:rsid w:val="00653E16"/>
    <w:rsid w:val="00657220"/>
    <w:rsid w:val="00657362"/>
    <w:rsid w:val="0066104B"/>
    <w:rsid w:val="006655EE"/>
    <w:rsid w:val="00667C10"/>
    <w:rsid w:val="00667EF4"/>
    <w:rsid w:val="00670A9F"/>
    <w:rsid w:val="00673B5B"/>
    <w:rsid w:val="00676FCA"/>
    <w:rsid w:val="00677177"/>
    <w:rsid w:val="006802E4"/>
    <w:rsid w:val="00681EC0"/>
    <w:rsid w:val="00682AFE"/>
    <w:rsid w:val="00685993"/>
    <w:rsid w:val="00685ED8"/>
    <w:rsid w:val="0068612E"/>
    <w:rsid w:val="00686949"/>
    <w:rsid w:val="00687C92"/>
    <w:rsid w:val="0069076D"/>
    <w:rsid w:val="0069100A"/>
    <w:rsid w:val="0069534E"/>
    <w:rsid w:val="0069669C"/>
    <w:rsid w:val="00696C7F"/>
    <w:rsid w:val="006A111D"/>
    <w:rsid w:val="006A1200"/>
    <w:rsid w:val="006A30C5"/>
    <w:rsid w:val="006A4F4E"/>
    <w:rsid w:val="006A5D38"/>
    <w:rsid w:val="006A6C23"/>
    <w:rsid w:val="006B0565"/>
    <w:rsid w:val="006B14DB"/>
    <w:rsid w:val="006B21C4"/>
    <w:rsid w:val="006B2E1E"/>
    <w:rsid w:val="006B34E5"/>
    <w:rsid w:val="006B4617"/>
    <w:rsid w:val="006B57F5"/>
    <w:rsid w:val="006B6EFC"/>
    <w:rsid w:val="006C2376"/>
    <w:rsid w:val="006C3DDB"/>
    <w:rsid w:val="006C3F9C"/>
    <w:rsid w:val="006C4A1A"/>
    <w:rsid w:val="006C7383"/>
    <w:rsid w:val="006D0393"/>
    <w:rsid w:val="006D1A83"/>
    <w:rsid w:val="006D2AAE"/>
    <w:rsid w:val="006D4DB3"/>
    <w:rsid w:val="006D589E"/>
    <w:rsid w:val="006D65C7"/>
    <w:rsid w:val="006D7B2A"/>
    <w:rsid w:val="006E1CFE"/>
    <w:rsid w:val="006E2443"/>
    <w:rsid w:val="006E4D4A"/>
    <w:rsid w:val="006F10C4"/>
    <w:rsid w:val="006F40E9"/>
    <w:rsid w:val="006F54CF"/>
    <w:rsid w:val="006F5603"/>
    <w:rsid w:val="006F7B87"/>
    <w:rsid w:val="00701400"/>
    <w:rsid w:val="007037CF"/>
    <w:rsid w:val="00706114"/>
    <w:rsid w:val="007149C0"/>
    <w:rsid w:val="007167C0"/>
    <w:rsid w:val="00717A0F"/>
    <w:rsid w:val="00720481"/>
    <w:rsid w:val="0072221C"/>
    <w:rsid w:val="007241F3"/>
    <w:rsid w:val="00733193"/>
    <w:rsid w:val="00744DDA"/>
    <w:rsid w:val="00745E03"/>
    <w:rsid w:val="007478C1"/>
    <w:rsid w:val="00751F37"/>
    <w:rsid w:val="00756F5B"/>
    <w:rsid w:val="0075732A"/>
    <w:rsid w:val="007600F8"/>
    <w:rsid w:val="00760262"/>
    <w:rsid w:val="00761205"/>
    <w:rsid w:val="0076310C"/>
    <w:rsid w:val="0076744F"/>
    <w:rsid w:val="00767BCE"/>
    <w:rsid w:val="00767EFC"/>
    <w:rsid w:val="007707DE"/>
    <w:rsid w:val="00770B5D"/>
    <w:rsid w:val="007752F1"/>
    <w:rsid w:val="00775726"/>
    <w:rsid w:val="00776768"/>
    <w:rsid w:val="0078187A"/>
    <w:rsid w:val="00781D98"/>
    <w:rsid w:val="0079308E"/>
    <w:rsid w:val="00794ED8"/>
    <w:rsid w:val="00796CC6"/>
    <w:rsid w:val="007A0C37"/>
    <w:rsid w:val="007A2573"/>
    <w:rsid w:val="007B03E2"/>
    <w:rsid w:val="007B106C"/>
    <w:rsid w:val="007B1A4E"/>
    <w:rsid w:val="007B3D05"/>
    <w:rsid w:val="007B5503"/>
    <w:rsid w:val="007C0347"/>
    <w:rsid w:val="007C1384"/>
    <w:rsid w:val="007C179C"/>
    <w:rsid w:val="007C272A"/>
    <w:rsid w:val="007C6BB3"/>
    <w:rsid w:val="007D14B4"/>
    <w:rsid w:val="007D3AD7"/>
    <w:rsid w:val="007D59EA"/>
    <w:rsid w:val="007D5AC4"/>
    <w:rsid w:val="007D7FF0"/>
    <w:rsid w:val="007E12C6"/>
    <w:rsid w:val="007E24F6"/>
    <w:rsid w:val="007E7A69"/>
    <w:rsid w:val="007F3A19"/>
    <w:rsid w:val="00800F64"/>
    <w:rsid w:val="00801050"/>
    <w:rsid w:val="00802E9F"/>
    <w:rsid w:val="00802F0B"/>
    <w:rsid w:val="00810632"/>
    <w:rsid w:val="00810A67"/>
    <w:rsid w:val="008158EE"/>
    <w:rsid w:val="008164AB"/>
    <w:rsid w:val="00816B8B"/>
    <w:rsid w:val="00824770"/>
    <w:rsid w:val="0082478F"/>
    <w:rsid w:val="008304CE"/>
    <w:rsid w:val="00830F52"/>
    <w:rsid w:val="0083370F"/>
    <w:rsid w:val="00833CF7"/>
    <w:rsid w:val="00834CDE"/>
    <w:rsid w:val="008350B1"/>
    <w:rsid w:val="008350E3"/>
    <w:rsid w:val="00840F63"/>
    <w:rsid w:val="00841269"/>
    <w:rsid w:val="0084212D"/>
    <w:rsid w:val="0084235F"/>
    <w:rsid w:val="00842464"/>
    <w:rsid w:val="0084519E"/>
    <w:rsid w:val="00845601"/>
    <w:rsid w:val="008526BC"/>
    <w:rsid w:val="00855C5C"/>
    <w:rsid w:val="008626DD"/>
    <w:rsid w:val="0086350F"/>
    <w:rsid w:val="00863A8D"/>
    <w:rsid w:val="00866F4F"/>
    <w:rsid w:val="008757BD"/>
    <w:rsid w:val="0088519F"/>
    <w:rsid w:val="0088720D"/>
    <w:rsid w:val="00887C7D"/>
    <w:rsid w:val="00890C35"/>
    <w:rsid w:val="00891076"/>
    <w:rsid w:val="00894480"/>
    <w:rsid w:val="00894804"/>
    <w:rsid w:val="00894E8B"/>
    <w:rsid w:val="008966D4"/>
    <w:rsid w:val="00896D5B"/>
    <w:rsid w:val="008A3C96"/>
    <w:rsid w:val="008A776B"/>
    <w:rsid w:val="008A7B30"/>
    <w:rsid w:val="008B4019"/>
    <w:rsid w:val="008B65C9"/>
    <w:rsid w:val="008B765D"/>
    <w:rsid w:val="008B7CBB"/>
    <w:rsid w:val="008C0379"/>
    <w:rsid w:val="008C2D4A"/>
    <w:rsid w:val="008C4CE2"/>
    <w:rsid w:val="008D15E2"/>
    <w:rsid w:val="008D1E77"/>
    <w:rsid w:val="008D3900"/>
    <w:rsid w:val="008D5BBA"/>
    <w:rsid w:val="008D6E1D"/>
    <w:rsid w:val="008D7DFA"/>
    <w:rsid w:val="008E7442"/>
    <w:rsid w:val="008F3705"/>
    <w:rsid w:val="008F39B4"/>
    <w:rsid w:val="008F4162"/>
    <w:rsid w:val="008F5AC4"/>
    <w:rsid w:val="00902404"/>
    <w:rsid w:val="00903E02"/>
    <w:rsid w:val="00905D8F"/>
    <w:rsid w:val="0091082D"/>
    <w:rsid w:val="00911111"/>
    <w:rsid w:val="00912FB5"/>
    <w:rsid w:val="00913175"/>
    <w:rsid w:val="00916EDB"/>
    <w:rsid w:val="00920861"/>
    <w:rsid w:val="00920B6A"/>
    <w:rsid w:val="00920C08"/>
    <w:rsid w:val="00922B13"/>
    <w:rsid w:val="00923803"/>
    <w:rsid w:val="009242EF"/>
    <w:rsid w:val="00925162"/>
    <w:rsid w:val="00926B3A"/>
    <w:rsid w:val="00930EEB"/>
    <w:rsid w:val="00931F89"/>
    <w:rsid w:val="00932291"/>
    <w:rsid w:val="00932861"/>
    <w:rsid w:val="00934035"/>
    <w:rsid w:val="0093408E"/>
    <w:rsid w:val="009455E9"/>
    <w:rsid w:val="009461D6"/>
    <w:rsid w:val="00952082"/>
    <w:rsid w:val="00952DDF"/>
    <w:rsid w:val="0095436A"/>
    <w:rsid w:val="009556DC"/>
    <w:rsid w:val="00955DE7"/>
    <w:rsid w:val="009610A3"/>
    <w:rsid w:val="009626A2"/>
    <w:rsid w:val="00963B6A"/>
    <w:rsid w:val="00970950"/>
    <w:rsid w:val="0097121B"/>
    <w:rsid w:val="00973390"/>
    <w:rsid w:val="00974714"/>
    <w:rsid w:val="0097515C"/>
    <w:rsid w:val="009811D9"/>
    <w:rsid w:val="009812D4"/>
    <w:rsid w:val="009920D8"/>
    <w:rsid w:val="0099361B"/>
    <w:rsid w:val="00994177"/>
    <w:rsid w:val="009952F5"/>
    <w:rsid w:val="009957F0"/>
    <w:rsid w:val="00996BD8"/>
    <w:rsid w:val="00996DC4"/>
    <w:rsid w:val="00996F2C"/>
    <w:rsid w:val="009A1674"/>
    <w:rsid w:val="009B38BE"/>
    <w:rsid w:val="009B6F0B"/>
    <w:rsid w:val="009C061D"/>
    <w:rsid w:val="009C0DB2"/>
    <w:rsid w:val="009C3D0F"/>
    <w:rsid w:val="009C519E"/>
    <w:rsid w:val="009C65AF"/>
    <w:rsid w:val="009D09AC"/>
    <w:rsid w:val="009D275D"/>
    <w:rsid w:val="009D3839"/>
    <w:rsid w:val="009E0096"/>
    <w:rsid w:val="009E0743"/>
    <w:rsid w:val="009E1B19"/>
    <w:rsid w:val="009F324F"/>
    <w:rsid w:val="009F35E2"/>
    <w:rsid w:val="009F41C4"/>
    <w:rsid w:val="009F420C"/>
    <w:rsid w:val="009F6557"/>
    <w:rsid w:val="009F65F9"/>
    <w:rsid w:val="009F68BA"/>
    <w:rsid w:val="00A06277"/>
    <w:rsid w:val="00A0660B"/>
    <w:rsid w:val="00A073AE"/>
    <w:rsid w:val="00A079DC"/>
    <w:rsid w:val="00A101DC"/>
    <w:rsid w:val="00A111C2"/>
    <w:rsid w:val="00A2117C"/>
    <w:rsid w:val="00A2379A"/>
    <w:rsid w:val="00A274E4"/>
    <w:rsid w:val="00A27846"/>
    <w:rsid w:val="00A27865"/>
    <w:rsid w:val="00A338E7"/>
    <w:rsid w:val="00A35CAA"/>
    <w:rsid w:val="00A36E7F"/>
    <w:rsid w:val="00A41465"/>
    <w:rsid w:val="00A41E65"/>
    <w:rsid w:val="00A43E0A"/>
    <w:rsid w:val="00A530C7"/>
    <w:rsid w:val="00A53B92"/>
    <w:rsid w:val="00A53C70"/>
    <w:rsid w:val="00A55F5B"/>
    <w:rsid w:val="00A5777D"/>
    <w:rsid w:val="00A60185"/>
    <w:rsid w:val="00A607D1"/>
    <w:rsid w:val="00A630D2"/>
    <w:rsid w:val="00A631D3"/>
    <w:rsid w:val="00A63B62"/>
    <w:rsid w:val="00A661EA"/>
    <w:rsid w:val="00A721EE"/>
    <w:rsid w:val="00A7670E"/>
    <w:rsid w:val="00A817D1"/>
    <w:rsid w:val="00A830E5"/>
    <w:rsid w:val="00A87135"/>
    <w:rsid w:val="00A9030A"/>
    <w:rsid w:val="00A921CF"/>
    <w:rsid w:val="00A93280"/>
    <w:rsid w:val="00A951EA"/>
    <w:rsid w:val="00A963CF"/>
    <w:rsid w:val="00AA19FA"/>
    <w:rsid w:val="00AA2548"/>
    <w:rsid w:val="00AA2B3F"/>
    <w:rsid w:val="00AA4F24"/>
    <w:rsid w:val="00AA58C4"/>
    <w:rsid w:val="00AA6D31"/>
    <w:rsid w:val="00AA7003"/>
    <w:rsid w:val="00AB07EB"/>
    <w:rsid w:val="00AB11C8"/>
    <w:rsid w:val="00AB1839"/>
    <w:rsid w:val="00AB6773"/>
    <w:rsid w:val="00AC08A8"/>
    <w:rsid w:val="00AC1285"/>
    <w:rsid w:val="00AC3E9F"/>
    <w:rsid w:val="00AC487D"/>
    <w:rsid w:val="00AD0A88"/>
    <w:rsid w:val="00AD0BE4"/>
    <w:rsid w:val="00AD22DD"/>
    <w:rsid w:val="00AD4022"/>
    <w:rsid w:val="00AD56C8"/>
    <w:rsid w:val="00AD58F2"/>
    <w:rsid w:val="00AD7CC3"/>
    <w:rsid w:val="00AE34E8"/>
    <w:rsid w:val="00B009C7"/>
    <w:rsid w:val="00B009F9"/>
    <w:rsid w:val="00B0512A"/>
    <w:rsid w:val="00B0529F"/>
    <w:rsid w:val="00B1418B"/>
    <w:rsid w:val="00B15192"/>
    <w:rsid w:val="00B1595F"/>
    <w:rsid w:val="00B21195"/>
    <w:rsid w:val="00B23871"/>
    <w:rsid w:val="00B24B22"/>
    <w:rsid w:val="00B24E06"/>
    <w:rsid w:val="00B25310"/>
    <w:rsid w:val="00B27386"/>
    <w:rsid w:val="00B32F8F"/>
    <w:rsid w:val="00B3492A"/>
    <w:rsid w:val="00B36A2F"/>
    <w:rsid w:val="00B4482A"/>
    <w:rsid w:val="00B5147D"/>
    <w:rsid w:val="00B518BD"/>
    <w:rsid w:val="00B54DE9"/>
    <w:rsid w:val="00B553EC"/>
    <w:rsid w:val="00B55E3F"/>
    <w:rsid w:val="00B56267"/>
    <w:rsid w:val="00B6275E"/>
    <w:rsid w:val="00B6281F"/>
    <w:rsid w:val="00B63C1E"/>
    <w:rsid w:val="00B725DD"/>
    <w:rsid w:val="00B72C1D"/>
    <w:rsid w:val="00B73B99"/>
    <w:rsid w:val="00B7438D"/>
    <w:rsid w:val="00B76B34"/>
    <w:rsid w:val="00B84683"/>
    <w:rsid w:val="00B85288"/>
    <w:rsid w:val="00B85A65"/>
    <w:rsid w:val="00B8603E"/>
    <w:rsid w:val="00B86DE5"/>
    <w:rsid w:val="00B90AC6"/>
    <w:rsid w:val="00B9301A"/>
    <w:rsid w:val="00B93DD0"/>
    <w:rsid w:val="00B953F6"/>
    <w:rsid w:val="00B9670A"/>
    <w:rsid w:val="00B97732"/>
    <w:rsid w:val="00BA10EA"/>
    <w:rsid w:val="00BA4472"/>
    <w:rsid w:val="00BA56F1"/>
    <w:rsid w:val="00BA65A8"/>
    <w:rsid w:val="00BA6BCB"/>
    <w:rsid w:val="00BA6D19"/>
    <w:rsid w:val="00BA7461"/>
    <w:rsid w:val="00BA7DA9"/>
    <w:rsid w:val="00BB23FD"/>
    <w:rsid w:val="00BB2E68"/>
    <w:rsid w:val="00BB62DA"/>
    <w:rsid w:val="00BC0B0F"/>
    <w:rsid w:val="00BC0D0D"/>
    <w:rsid w:val="00BC0DFC"/>
    <w:rsid w:val="00BC11CC"/>
    <w:rsid w:val="00BC3F28"/>
    <w:rsid w:val="00BC4215"/>
    <w:rsid w:val="00BD1A6F"/>
    <w:rsid w:val="00BD4AB6"/>
    <w:rsid w:val="00BD7332"/>
    <w:rsid w:val="00BE035C"/>
    <w:rsid w:val="00BE15D2"/>
    <w:rsid w:val="00BE64DB"/>
    <w:rsid w:val="00BE6D3C"/>
    <w:rsid w:val="00BE7852"/>
    <w:rsid w:val="00BF177F"/>
    <w:rsid w:val="00BF265F"/>
    <w:rsid w:val="00BF7CEE"/>
    <w:rsid w:val="00BF7DA8"/>
    <w:rsid w:val="00C0102A"/>
    <w:rsid w:val="00C03880"/>
    <w:rsid w:val="00C042F0"/>
    <w:rsid w:val="00C05FE8"/>
    <w:rsid w:val="00C06772"/>
    <w:rsid w:val="00C1108E"/>
    <w:rsid w:val="00C135CF"/>
    <w:rsid w:val="00C1476E"/>
    <w:rsid w:val="00C15368"/>
    <w:rsid w:val="00C16B7A"/>
    <w:rsid w:val="00C16BC8"/>
    <w:rsid w:val="00C20BBB"/>
    <w:rsid w:val="00C20C3E"/>
    <w:rsid w:val="00C21E54"/>
    <w:rsid w:val="00C22876"/>
    <w:rsid w:val="00C23755"/>
    <w:rsid w:val="00C266FA"/>
    <w:rsid w:val="00C26803"/>
    <w:rsid w:val="00C2683F"/>
    <w:rsid w:val="00C3184D"/>
    <w:rsid w:val="00C40DAE"/>
    <w:rsid w:val="00C4648D"/>
    <w:rsid w:val="00C4714E"/>
    <w:rsid w:val="00C51CCA"/>
    <w:rsid w:val="00C5504F"/>
    <w:rsid w:val="00C56121"/>
    <w:rsid w:val="00C57391"/>
    <w:rsid w:val="00C57B55"/>
    <w:rsid w:val="00C621E7"/>
    <w:rsid w:val="00C63376"/>
    <w:rsid w:val="00C66DBA"/>
    <w:rsid w:val="00C67BDA"/>
    <w:rsid w:val="00C74078"/>
    <w:rsid w:val="00C74F97"/>
    <w:rsid w:val="00C75138"/>
    <w:rsid w:val="00C75A70"/>
    <w:rsid w:val="00C8276E"/>
    <w:rsid w:val="00C82EE4"/>
    <w:rsid w:val="00C842AC"/>
    <w:rsid w:val="00C90AA7"/>
    <w:rsid w:val="00C90C88"/>
    <w:rsid w:val="00C923F7"/>
    <w:rsid w:val="00C9399F"/>
    <w:rsid w:val="00C96688"/>
    <w:rsid w:val="00C97049"/>
    <w:rsid w:val="00C97658"/>
    <w:rsid w:val="00CA0723"/>
    <w:rsid w:val="00CA12D8"/>
    <w:rsid w:val="00CA13EE"/>
    <w:rsid w:val="00CA5964"/>
    <w:rsid w:val="00CB1690"/>
    <w:rsid w:val="00CB2CC6"/>
    <w:rsid w:val="00CB398E"/>
    <w:rsid w:val="00CB4744"/>
    <w:rsid w:val="00CB7B7E"/>
    <w:rsid w:val="00CC4365"/>
    <w:rsid w:val="00CC4396"/>
    <w:rsid w:val="00CC542A"/>
    <w:rsid w:val="00CD11B0"/>
    <w:rsid w:val="00CD397C"/>
    <w:rsid w:val="00CE03F4"/>
    <w:rsid w:val="00CE1CC1"/>
    <w:rsid w:val="00CE2F05"/>
    <w:rsid w:val="00CE3105"/>
    <w:rsid w:val="00CE4330"/>
    <w:rsid w:val="00CE71C2"/>
    <w:rsid w:val="00CF019A"/>
    <w:rsid w:val="00CF2789"/>
    <w:rsid w:val="00CF34E9"/>
    <w:rsid w:val="00CF42D5"/>
    <w:rsid w:val="00CF4EDA"/>
    <w:rsid w:val="00CF61DB"/>
    <w:rsid w:val="00D021CB"/>
    <w:rsid w:val="00D033F5"/>
    <w:rsid w:val="00D049CE"/>
    <w:rsid w:val="00D10F1A"/>
    <w:rsid w:val="00D116F8"/>
    <w:rsid w:val="00D11867"/>
    <w:rsid w:val="00D12049"/>
    <w:rsid w:val="00D164A5"/>
    <w:rsid w:val="00D17596"/>
    <w:rsid w:val="00D175BC"/>
    <w:rsid w:val="00D21D54"/>
    <w:rsid w:val="00D22640"/>
    <w:rsid w:val="00D26D3A"/>
    <w:rsid w:val="00D32A23"/>
    <w:rsid w:val="00D32C83"/>
    <w:rsid w:val="00D3314B"/>
    <w:rsid w:val="00D434B9"/>
    <w:rsid w:val="00D43944"/>
    <w:rsid w:val="00D45EE3"/>
    <w:rsid w:val="00D50618"/>
    <w:rsid w:val="00D509E9"/>
    <w:rsid w:val="00D53B1C"/>
    <w:rsid w:val="00D5497C"/>
    <w:rsid w:val="00D57E13"/>
    <w:rsid w:val="00D6199B"/>
    <w:rsid w:val="00D625B7"/>
    <w:rsid w:val="00D65116"/>
    <w:rsid w:val="00D70087"/>
    <w:rsid w:val="00D74404"/>
    <w:rsid w:val="00D767A6"/>
    <w:rsid w:val="00D77147"/>
    <w:rsid w:val="00D80FBC"/>
    <w:rsid w:val="00D81936"/>
    <w:rsid w:val="00D84007"/>
    <w:rsid w:val="00D87AF1"/>
    <w:rsid w:val="00D91FC5"/>
    <w:rsid w:val="00D930D7"/>
    <w:rsid w:val="00D94B1D"/>
    <w:rsid w:val="00DA1879"/>
    <w:rsid w:val="00DA1B12"/>
    <w:rsid w:val="00DA54C9"/>
    <w:rsid w:val="00DA64B4"/>
    <w:rsid w:val="00DA6739"/>
    <w:rsid w:val="00DA6CAE"/>
    <w:rsid w:val="00DB1A9E"/>
    <w:rsid w:val="00DB2AB8"/>
    <w:rsid w:val="00DB2C01"/>
    <w:rsid w:val="00DB31D6"/>
    <w:rsid w:val="00DB3395"/>
    <w:rsid w:val="00DB3D47"/>
    <w:rsid w:val="00DB4005"/>
    <w:rsid w:val="00DC10D1"/>
    <w:rsid w:val="00DC34EB"/>
    <w:rsid w:val="00DC7314"/>
    <w:rsid w:val="00DD0370"/>
    <w:rsid w:val="00DD5EBF"/>
    <w:rsid w:val="00DE2311"/>
    <w:rsid w:val="00DE289B"/>
    <w:rsid w:val="00DF1E5B"/>
    <w:rsid w:val="00DF2275"/>
    <w:rsid w:val="00DF3204"/>
    <w:rsid w:val="00DF3F5E"/>
    <w:rsid w:val="00DF5653"/>
    <w:rsid w:val="00DF60CA"/>
    <w:rsid w:val="00DF6FA3"/>
    <w:rsid w:val="00E00FFF"/>
    <w:rsid w:val="00E01A91"/>
    <w:rsid w:val="00E01D2B"/>
    <w:rsid w:val="00E0333B"/>
    <w:rsid w:val="00E051E1"/>
    <w:rsid w:val="00E0596E"/>
    <w:rsid w:val="00E06F66"/>
    <w:rsid w:val="00E1123A"/>
    <w:rsid w:val="00E15BF7"/>
    <w:rsid w:val="00E23BA0"/>
    <w:rsid w:val="00E33957"/>
    <w:rsid w:val="00E33ABD"/>
    <w:rsid w:val="00E3546E"/>
    <w:rsid w:val="00E356E5"/>
    <w:rsid w:val="00E36DB3"/>
    <w:rsid w:val="00E36F81"/>
    <w:rsid w:val="00E44709"/>
    <w:rsid w:val="00E45765"/>
    <w:rsid w:val="00E47707"/>
    <w:rsid w:val="00E5098C"/>
    <w:rsid w:val="00E531F5"/>
    <w:rsid w:val="00E549B6"/>
    <w:rsid w:val="00E54B27"/>
    <w:rsid w:val="00E55119"/>
    <w:rsid w:val="00E5527B"/>
    <w:rsid w:val="00E57132"/>
    <w:rsid w:val="00E60213"/>
    <w:rsid w:val="00E64135"/>
    <w:rsid w:val="00E661B2"/>
    <w:rsid w:val="00E66648"/>
    <w:rsid w:val="00E71B34"/>
    <w:rsid w:val="00E74671"/>
    <w:rsid w:val="00E74B9F"/>
    <w:rsid w:val="00E74D29"/>
    <w:rsid w:val="00E77E4E"/>
    <w:rsid w:val="00E83C74"/>
    <w:rsid w:val="00E83CEE"/>
    <w:rsid w:val="00E9090A"/>
    <w:rsid w:val="00E90BB2"/>
    <w:rsid w:val="00E91F18"/>
    <w:rsid w:val="00E9226D"/>
    <w:rsid w:val="00E94DA6"/>
    <w:rsid w:val="00EA37DB"/>
    <w:rsid w:val="00EA416C"/>
    <w:rsid w:val="00EA5941"/>
    <w:rsid w:val="00EB0E08"/>
    <w:rsid w:val="00EB60CE"/>
    <w:rsid w:val="00EB7D53"/>
    <w:rsid w:val="00EC3014"/>
    <w:rsid w:val="00EC4A03"/>
    <w:rsid w:val="00EC4C48"/>
    <w:rsid w:val="00EC6089"/>
    <w:rsid w:val="00ED2B40"/>
    <w:rsid w:val="00ED3DE6"/>
    <w:rsid w:val="00ED57F6"/>
    <w:rsid w:val="00EE3146"/>
    <w:rsid w:val="00EF1507"/>
    <w:rsid w:val="00EF2BC3"/>
    <w:rsid w:val="00EF50BB"/>
    <w:rsid w:val="00EF53FF"/>
    <w:rsid w:val="00F00192"/>
    <w:rsid w:val="00F01935"/>
    <w:rsid w:val="00F01DF6"/>
    <w:rsid w:val="00F0340D"/>
    <w:rsid w:val="00F059A6"/>
    <w:rsid w:val="00F20154"/>
    <w:rsid w:val="00F2227F"/>
    <w:rsid w:val="00F23756"/>
    <w:rsid w:val="00F2523A"/>
    <w:rsid w:val="00F25CD4"/>
    <w:rsid w:val="00F25FFA"/>
    <w:rsid w:val="00F262F7"/>
    <w:rsid w:val="00F310D2"/>
    <w:rsid w:val="00F33417"/>
    <w:rsid w:val="00F36B3F"/>
    <w:rsid w:val="00F36F3D"/>
    <w:rsid w:val="00F3772C"/>
    <w:rsid w:val="00F40279"/>
    <w:rsid w:val="00F42CB2"/>
    <w:rsid w:val="00F42F47"/>
    <w:rsid w:val="00F4717F"/>
    <w:rsid w:val="00F477BD"/>
    <w:rsid w:val="00F50BA4"/>
    <w:rsid w:val="00F50C2F"/>
    <w:rsid w:val="00F53491"/>
    <w:rsid w:val="00F55451"/>
    <w:rsid w:val="00F57F81"/>
    <w:rsid w:val="00F606B8"/>
    <w:rsid w:val="00F65A1C"/>
    <w:rsid w:val="00F66F50"/>
    <w:rsid w:val="00F72806"/>
    <w:rsid w:val="00F7469B"/>
    <w:rsid w:val="00F8018D"/>
    <w:rsid w:val="00F81918"/>
    <w:rsid w:val="00F825CB"/>
    <w:rsid w:val="00F82734"/>
    <w:rsid w:val="00F82FF8"/>
    <w:rsid w:val="00F8330D"/>
    <w:rsid w:val="00F84305"/>
    <w:rsid w:val="00F8485C"/>
    <w:rsid w:val="00F84B68"/>
    <w:rsid w:val="00F87149"/>
    <w:rsid w:val="00F87FFE"/>
    <w:rsid w:val="00F9000D"/>
    <w:rsid w:val="00F9355E"/>
    <w:rsid w:val="00F954C9"/>
    <w:rsid w:val="00FA4CF0"/>
    <w:rsid w:val="00FA57BD"/>
    <w:rsid w:val="00FA61AA"/>
    <w:rsid w:val="00FA69A4"/>
    <w:rsid w:val="00FB1279"/>
    <w:rsid w:val="00FB1495"/>
    <w:rsid w:val="00FC66D2"/>
    <w:rsid w:val="00FC6CCC"/>
    <w:rsid w:val="00FD0470"/>
    <w:rsid w:val="00FD1694"/>
    <w:rsid w:val="00FD2372"/>
    <w:rsid w:val="00FD31D2"/>
    <w:rsid w:val="00FD7636"/>
    <w:rsid w:val="00FE3229"/>
    <w:rsid w:val="00FE3D37"/>
    <w:rsid w:val="00FE74C3"/>
    <w:rsid w:val="00FF0C1F"/>
    <w:rsid w:val="00FF12F4"/>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5D"/>
    <w:rPr>
      <w:sz w:val="24"/>
      <w:szCs w:val="20"/>
    </w:rPr>
  </w:style>
  <w:style w:type="paragraph" w:styleId="Heading1">
    <w:name w:val="heading 1"/>
    <w:basedOn w:val="Normal"/>
    <w:next w:val="Normal"/>
    <w:link w:val="Heading1Char"/>
    <w:uiPriority w:val="9"/>
    <w:qFormat/>
    <w:rsid w:val="009C0DB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36"/>
      <w:szCs w:val="22"/>
    </w:rPr>
  </w:style>
  <w:style w:type="paragraph" w:styleId="Heading2">
    <w:name w:val="heading 2"/>
    <w:basedOn w:val="Normal"/>
    <w:next w:val="Normal"/>
    <w:link w:val="Heading2Char"/>
    <w:uiPriority w:val="9"/>
    <w:unhideWhenUsed/>
    <w:qFormat/>
    <w:rsid w:val="000348C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348C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0348C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348C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348C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348C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348C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48C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lang w:eastAsia="en-AU"/>
    </w:rPr>
  </w:style>
  <w:style w:type="character" w:customStyle="1" w:styleId="Heading1Char">
    <w:name w:val="Heading 1 Char"/>
    <w:basedOn w:val="DefaultParagraphFont"/>
    <w:link w:val="Heading1"/>
    <w:uiPriority w:val="9"/>
    <w:rsid w:val="009C0DB2"/>
    <w:rPr>
      <w:b/>
      <w:bCs/>
      <w:caps/>
      <w:color w:val="FFFFFF" w:themeColor="background1"/>
      <w:spacing w:val="15"/>
      <w:sz w:val="36"/>
      <w:shd w:val="clear" w:color="auto" w:fill="4F81BD" w:themeFill="accent1"/>
    </w:rPr>
  </w:style>
  <w:style w:type="character" w:customStyle="1" w:styleId="Heading2Char">
    <w:name w:val="Heading 2 Char"/>
    <w:basedOn w:val="DefaultParagraphFont"/>
    <w:link w:val="Heading2"/>
    <w:uiPriority w:val="9"/>
    <w:rsid w:val="000348C1"/>
    <w:rPr>
      <w:caps/>
      <w:spacing w:val="15"/>
      <w:shd w:val="clear" w:color="auto" w:fill="DBE5F1" w:themeFill="accent1" w:themeFillTint="33"/>
    </w:rPr>
  </w:style>
  <w:style w:type="character" w:customStyle="1" w:styleId="Heading3Char">
    <w:name w:val="Heading 3 Char"/>
    <w:basedOn w:val="DefaultParagraphFont"/>
    <w:link w:val="Heading3"/>
    <w:uiPriority w:val="9"/>
    <w:rsid w:val="000348C1"/>
    <w:rPr>
      <w:caps/>
      <w:color w:val="243F60" w:themeColor="accent1" w:themeShade="7F"/>
      <w:spacing w:val="15"/>
    </w:rPr>
  </w:style>
  <w:style w:type="character" w:customStyle="1" w:styleId="Heading4Char">
    <w:name w:val="Heading 4 Char"/>
    <w:basedOn w:val="DefaultParagraphFont"/>
    <w:link w:val="Heading4"/>
    <w:uiPriority w:val="9"/>
    <w:rsid w:val="000348C1"/>
    <w:rPr>
      <w:caps/>
      <w:color w:val="365F91" w:themeColor="accent1" w:themeShade="BF"/>
      <w:spacing w:val="10"/>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0348C1"/>
    <w:pPr>
      <w:ind w:left="720"/>
      <w:contextualSpacing/>
    </w:pPr>
  </w:style>
  <w:style w:type="character" w:styleId="BookTitle">
    <w:name w:val="Book Title"/>
    <w:uiPriority w:val="33"/>
    <w:qFormat/>
    <w:rsid w:val="000348C1"/>
    <w:rPr>
      <w:b/>
      <w:bCs/>
      <w:i/>
      <w:iCs/>
      <w:spacing w:val="9"/>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F825CB"/>
    <w:rPr>
      <w:sz w:val="16"/>
      <w:szCs w:val="16"/>
    </w:rPr>
  </w:style>
  <w:style w:type="paragraph" w:styleId="CommentText">
    <w:name w:val="annotation text"/>
    <w:basedOn w:val="Normal"/>
    <w:link w:val="CommentTextChar"/>
    <w:uiPriority w:val="99"/>
    <w:semiHidden/>
    <w:unhideWhenUsed/>
    <w:rsid w:val="00F825CB"/>
    <w:pPr>
      <w:spacing w:line="240" w:lineRule="auto"/>
    </w:pPr>
  </w:style>
  <w:style w:type="character" w:customStyle="1" w:styleId="CommentTextChar">
    <w:name w:val="Comment Text Char"/>
    <w:basedOn w:val="DefaultParagraphFont"/>
    <w:link w:val="CommentText"/>
    <w:uiPriority w:val="99"/>
    <w:semiHidden/>
    <w:rsid w:val="00F825CB"/>
    <w:rPr>
      <w:lang w:eastAsia="en-US"/>
    </w:rPr>
  </w:style>
  <w:style w:type="paragraph" w:styleId="CommentSubject">
    <w:name w:val="annotation subject"/>
    <w:basedOn w:val="CommentText"/>
    <w:next w:val="CommentText"/>
    <w:link w:val="CommentSubjectChar"/>
    <w:uiPriority w:val="99"/>
    <w:semiHidden/>
    <w:unhideWhenUsed/>
    <w:rsid w:val="00F825CB"/>
    <w:rPr>
      <w:b/>
      <w:bCs/>
    </w:rPr>
  </w:style>
  <w:style w:type="character" w:customStyle="1" w:styleId="CommentSubjectChar">
    <w:name w:val="Comment Subject Char"/>
    <w:basedOn w:val="CommentTextChar"/>
    <w:link w:val="CommentSubject"/>
    <w:uiPriority w:val="99"/>
    <w:semiHidden/>
    <w:rsid w:val="00F825CB"/>
    <w:rPr>
      <w:b/>
      <w:bCs/>
    </w:rPr>
  </w:style>
  <w:style w:type="paragraph" w:styleId="TOC1">
    <w:name w:val="toc 1"/>
    <w:basedOn w:val="Normal"/>
    <w:next w:val="Normal"/>
    <w:autoRedefine/>
    <w:uiPriority w:val="39"/>
    <w:unhideWhenUsed/>
    <w:rsid w:val="0084519E"/>
    <w:pPr>
      <w:tabs>
        <w:tab w:val="right" w:leader="dot" w:pos="9202"/>
      </w:tabs>
      <w:spacing w:after="100"/>
    </w:pPr>
    <w:rPr>
      <w:b/>
      <w:noProof/>
    </w:rPr>
  </w:style>
  <w:style w:type="paragraph" w:styleId="TOC2">
    <w:name w:val="toc 2"/>
    <w:basedOn w:val="Normal"/>
    <w:next w:val="Normal"/>
    <w:autoRedefine/>
    <w:uiPriority w:val="39"/>
    <w:unhideWhenUsed/>
    <w:rsid w:val="009957F0"/>
    <w:pPr>
      <w:spacing w:after="100"/>
      <w:ind w:left="220"/>
    </w:pPr>
  </w:style>
  <w:style w:type="character" w:styleId="Hyperlink">
    <w:name w:val="Hyperlink"/>
    <w:basedOn w:val="DefaultParagraphFont"/>
    <w:uiPriority w:val="99"/>
    <w:unhideWhenUsed/>
    <w:rsid w:val="009957F0"/>
    <w:rPr>
      <w:color w:val="0000FF" w:themeColor="hyperlink"/>
      <w:u w:val="single"/>
    </w:rPr>
  </w:style>
  <w:style w:type="table" w:customStyle="1" w:styleId="LightList-Accent11">
    <w:name w:val="Light List - Accent 11"/>
    <w:basedOn w:val="TableNormal"/>
    <w:uiPriority w:val="61"/>
    <w:rsid w:val="0084212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1B2CA6"/>
    <w:pPr>
      <w:spacing w:after="0" w:line="240" w:lineRule="auto"/>
    </w:pPr>
  </w:style>
  <w:style w:type="character" w:customStyle="1" w:styleId="FootnoteTextChar">
    <w:name w:val="Footnote Text Char"/>
    <w:basedOn w:val="DefaultParagraphFont"/>
    <w:link w:val="FootnoteText"/>
    <w:uiPriority w:val="99"/>
    <w:semiHidden/>
    <w:rsid w:val="001B2CA6"/>
    <w:rPr>
      <w:lang w:eastAsia="en-US"/>
    </w:rPr>
  </w:style>
  <w:style w:type="character" w:styleId="FootnoteReference">
    <w:name w:val="footnote reference"/>
    <w:basedOn w:val="DefaultParagraphFont"/>
    <w:uiPriority w:val="99"/>
    <w:semiHidden/>
    <w:unhideWhenUsed/>
    <w:rsid w:val="001B2CA6"/>
    <w:rPr>
      <w:vertAlign w:val="superscript"/>
    </w:rPr>
  </w:style>
  <w:style w:type="paragraph" w:styleId="TOC3">
    <w:name w:val="toc 3"/>
    <w:basedOn w:val="Normal"/>
    <w:next w:val="Normal"/>
    <w:autoRedefine/>
    <w:uiPriority w:val="39"/>
    <w:unhideWhenUsed/>
    <w:rsid w:val="00AA19FA"/>
    <w:pPr>
      <w:spacing w:after="100"/>
      <w:ind w:left="440"/>
    </w:pPr>
  </w:style>
  <w:style w:type="character" w:customStyle="1" w:styleId="Heading5Char">
    <w:name w:val="Heading 5 Char"/>
    <w:basedOn w:val="DefaultParagraphFont"/>
    <w:link w:val="Heading5"/>
    <w:uiPriority w:val="9"/>
    <w:semiHidden/>
    <w:rsid w:val="000348C1"/>
    <w:rPr>
      <w:caps/>
      <w:color w:val="365F91" w:themeColor="accent1" w:themeShade="BF"/>
      <w:spacing w:val="10"/>
    </w:rPr>
  </w:style>
  <w:style w:type="character" w:customStyle="1" w:styleId="Heading6Char">
    <w:name w:val="Heading 6 Char"/>
    <w:basedOn w:val="DefaultParagraphFont"/>
    <w:link w:val="Heading6"/>
    <w:uiPriority w:val="9"/>
    <w:semiHidden/>
    <w:rsid w:val="000348C1"/>
    <w:rPr>
      <w:caps/>
      <w:color w:val="365F91" w:themeColor="accent1" w:themeShade="BF"/>
      <w:spacing w:val="10"/>
    </w:rPr>
  </w:style>
  <w:style w:type="character" w:customStyle="1" w:styleId="Heading7Char">
    <w:name w:val="Heading 7 Char"/>
    <w:basedOn w:val="DefaultParagraphFont"/>
    <w:link w:val="Heading7"/>
    <w:uiPriority w:val="9"/>
    <w:semiHidden/>
    <w:rsid w:val="000348C1"/>
    <w:rPr>
      <w:caps/>
      <w:color w:val="365F91" w:themeColor="accent1" w:themeShade="BF"/>
      <w:spacing w:val="10"/>
    </w:rPr>
  </w:style>
  <w:style w:type="character" w:customStyle="1" w:styleId="Heading8Char">
    <w:name w:val="Heading 8 Char"/>
    <w:basedOn w:val="DefaultParagraphFont"/>
    <w:link w:val="Heading8"/>
    <w:uiPriority w:val="9"/>
    <w:semiHidden/>
    <w:rsid w:val="000348C1"/>
    <w:rPr>
      <w:caps/>
      <w:spacing w:val="10"/>
      <w:sz w:val="18"/>
      <w:szCs w:val="18"/>
    </w:rPr>
  </w:style>
  <w:style w:type="character" w:customStyle="1" w:styleId="Heading9Char">
    <w:name w:val="Heading 9 Char"/>
    <w:basedOn w:val="DefaultParagraphFont"/>
    <w:link w:val="Heading9"/>
    <w:uiPriority w:val="9"/>
    <w:semiHidden/>
    <w:rsid w:val="000348C1"/>
    <w:rPr>
      <w:i/>
      <w:caps/>
      <w:spacing w:val="10"/>
      <w:sz w:val="18"/>
      <w:szCs w:val="18"/>
    </w:rPr>
  </w:style>
  <w:style w:type="paragraph" w:styleId="Caption">
    <w:name w:val="caption"/>
    <w:basedOn w:val="Normal"/>
    <w:next w:val="Normal"/>
    <w:uiPriority w:val="35"/>
    <w:unhideWhenUsed/>
    <w:qFormat/>
    <w:rsid w:val="000348C1"/>
    <w:rPr>
      <w:b/>
      <w:bCs/>
      <w:color w:val="365F91" w:themeColor="accent1" w:themeShade="BF"/>
      <w:sz w:val="16"/>
      <w:szCs w:val="16"/>
    </w:rPr>
  </w:style>
  <w:style w:type="paragraph" w:styleId="Title">
    <w:name w:val="Title"/>
    <w:basedOn w:val="Normal"/>
    <w:next w:val="Normal"/>
    <w:link w:val="TitleChar"/>
    <w:uiPriority w:val="10"/>
    <w:qFormat/>
    <w:rsid w:val="000348C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348C1"/>
    <w:rPr>
      <w:caps/>
      <w:color w:val="4F81BD" w:themeColor="accent1"/>
      <w:spacing w:val="10"/>
      <w:kern w:val="28"/>
      <w:sz w:val="52"/>
      <w:szCs w:val="52"/>
    </w:rPr>
  </w:style>
  <w:style w:type="paragraph" w:styleId="Subtitle">
    <w:name w:val="Subtitle"/>
    <w:basedOn w:val="Normal"/>
    <w:next w:val="Normal"/>
    <w:link w:val="SubtitleChar"/>
    <w:uiPriority w:val="11"/>
    <w:qFormat/>
    <w:rsid w:val="000348C1"/>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0348C1"/>
    <w:rPr>
      <w:caps/>
      <w:color w:val="595959" w:themeColor="text1" w:themeTint="A6"/>
      <w:spacing w:val="10"/>
      <w:sz w:val="24"/>
      <w:szCs w:val="24"/>
    </w:rPr>
  </w:style>
  <w:style w:type="character" w:styleId="Strong">
    <w:name w:val="Strong"/>
    <w:uiPriority w:val="22"/>
    <w:qFormat/>
    <w:rsid w:val="000348C1"/>
    <w:rPr>
      <w:b/>
      <w:bCs/>
    </w:rPr>
  </w:style>
  <w:style w:type="character" w:styleId="Emphasis">
    <w:name w:val="Emphasis"/>
    <w:uiPriority w:val="20"/>
    <w:qFormat/>
    <w:rsid w:val="000348C1"/>
    <w:rPr>
      <w:caps/>
      <w:color w:val="243F60" w:themeColor="accent1" w:themeShade="7F"/>
      <w:spacing w:val="5"/>
    </w:rPr>
  </w:style>
  <w:style w:type="paragraph" w:styleId="NoSpacing">
    <w:name w:val="No Spacing"/>
    <w:basedOn w:val="Normal"/>
    <w:link w:val="NoSpacingChar"/>
    <w:uiPriority w:val="1"/>
    <w:qFormat/>
    <w:rsid w:val="000348C1"/>
    <w:pPr>
      <w:spacing w:before="0" w:after="0" w:line="240" w:lineRule="auto"/>
    </w:pPr>
  </w:style>
  <w:style w:type="paragraph" w:styleId="Quote">
    <w:name w:val="Quote"/>
    <w:basedOn w:val="Normal"/>
    <w:next w:val="Normal"/>
    <w:link w:val="QuoteChar"/>
    <w:uiPriority w:val="29"/>
    <w:qFormat/>
    <w:rsid w:val="000348C1"/>
    <w:rPr>
      <w:i/>
      <w:iCs/>
    </w:rPr>
  </w:style>
  <w:style w:type="character" w:customStyle="1" w:styleId="QuoteChar">
    <w:name w:val="Quote Char"/>
    <w:basedOn w:val="DefaultParagraphFont"/>
    <w:link w:val="Quote"/>
    <w:uiPriority w:val="29"/>
    <w:rsid w:val="000348C1"/>
    <w:rPr>
      <w:i/>
      <w:iCs/>
      <w:sz w:val="20"/>
      <w:szCs w:val="20"/>
    </w:rPr>
  </w:style>
  <w:style w:type="paragraph" w:styleId="IntenseQuote">
    <w:name w:val="Intense Quote"/>
    <w:basedOn w:val="Normal"/>
    <w:next w:val="Normal"/>
    <w:link w:val="IntenseQuoteChar"/>
    <w:uiPriority w:val="30"/>
    <w:qFormat/>
    <w:rsid w:val="000348C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348C1"/>
    <w:rPr>
      <w:i/>
      <w:iCs/>
      <w:color w:val="4F81BD" w:themeColor="accent1"/>
      <w:sz w:val="20"/>
      <w:szCs w:val="20"/>
    </w:rPr>
  </w:style>
  <w:style w:type="character" w:styleId="SubtleEmphasis">
    <w:name w:val="Subtle Emphasis"/>
    <w:uiPriority w:val="19"/>
    <w:qFormat/>
    <w:rsid w:val="000348C1"/>
    <w:rPr>
      <w:i/>
      <w:iCs/>
      <w:color w:val="243F60" w:themeColor="accent1" w:themeShade="7F"/>
    </w:rPr>
  </w:style>
  <w:style w:type="character" w:styleId="IntenseEmphasis">
    <w:name w:val="Intense Emphasis"/>
    <w:uiPriority w:val="21"/>
    <w:qFormat/>
    <w:rsid w:val="000348C1"/>
    <w:rPr>
      <w:b/>
      <w:bCs/>
      <w:caps/>
      <w:color w:val="243F60" w:themeColor="accent1" w:themeShade="7F"/>
      <w:spacing w:val="10"/>
    </w:rPr>
  </w:style>
  <w:style w:type="character" w:styleId="SubtleReference">
    <w:name w:val="Subtle Reference"/>
    <w:uiPriority w:val="31"/>
    <w:qFormat/>
    <w:rsid w:val="000348C1"/>
    <w:rPr>
      <w:b/>
      <w:bCs/>
      <w:color w:val="4F81BD" w:themeColor="accent1"/>
    </w:rPr>
  </w:style>
  <w:style w:type="character" w:styleId="IntenseReference">
    <w:name w:val="Intense Reference"/>
    <w:uiPriority w:val="32"/>
    <w:qFormat/>
    <w:rsid w:val="000348C1"/>
    <w:rPr>
      <w:b/>
      <w:bCs/>
      <w:i/>
      <w:iCs/>
      <w:caps/>
      <w:color w:val="4F81BD" w:themeColor="accent1"/>
    </w:rPr>
  </w:style>
  <w:style w:type="paragraph" w:styleId="TOCHeading">
    <w:name w:val="TOC Heading"/>
    <w:basedOn w:val="Heading1"/>
    <w:next w:val="Normal"/>
    <w:uiPriority w:val="39"/>
    <w:semiHidden/>
    <w:unhideWhenUsed/>
    <w:qFormat/>
    <w:rsid w:val="000348C1"/>
    <w:pPr>
      <w:outlineLvl w:val="9"/>
    </w:pPr>
  </w:style>
  <w:style w:type="character" w:customStyle="1" w:styleId="NoSpacingChar">
    <w:name w:val="No Spacing Char"/>
    <w:basedOn w:val="DefaultParagraphFont"/>
    <w:link w:val="NoSpacing"/>
    <w:uiPriority w:val="1"/>
    <w:rsid w:val="000348C1"/>
    <w:rPr>
      <w:sz w:val="20"/>
      <w:szCs w:val="20"/>
    </w:rPr>
  </w:style>
  <w:style w:type="paragraph" w:styleId="TableofFigures">
    <w:name w:val="table of figures"/>
    <w:basedOn w:val="Normal"/>
    <w:next w:val="Normal"/>
    <w:uiPriority w:val="99"/>
    <w:unhideWhenUsed/>
    <w:rsid w:val="00E01D2B"/>
    <w:pPr>
      <w:spacing w:after="0"/>
    </w:pPr>
  </w:style>
</w:styles>
</file>

<file path=word/webSettings.xml><?xml version="1.0" encoding="utf-8"?>
<w:webSettings xmlns:r="http://schemas.openxmlformats.org/officeDocument/2006/relationships" xmlns:w="http://schemas.openxmlformats.org/wordprocessingml/2006/main">
  <w:divs>
    <w:div w:id="650212648">
      <w:bodyDiv w:val="1"/>
      <w:marLeft w:val="0"/>
      <w:marRight w:val="0"/>
      <w:marTop w:val="0"/>
      <w:marBottom w:val="0"/>
      <w:divBdr>
        <w:top w:val="none" w:sz="0" w:space="0" w:color="auto"/>
        <w:left w:val="none" w:sz="0" w:space="0" w:color="auto"/>
        <w:bottom w:val="none" w:sz="0" w:space="0" w:color="auto"/>
        <w:right w:val="none" w:sz="0" w:space="0" w:color="auto"/>
      </w:divBdr>
      <w:divsChild>
        <w:div w:id="1324699154">
          <w:marLeft w:val="0"/>
          <w:marRight w:val="0"/>
          <w:marTop w:val="0"/>
          <w:marBottom w:val="0"/>
          <w:divBdr>
            <w:top w:val="none" w:sz="0" w:space="0" w:color="auto"/>
            <w:left w:val="none" w:sz="0" w:space="0" w:color="auto"/>
            <w:bottom w:val="none" w:sz="0" w:space="0" w:color="auto"/>
            <w:right w:val="none" w:sz="0" w:space="0" w:color="auto"/>
          </w:divBdr>
          <w:divsChild>
            <w:div w:id="661473237">
              <w:marLeft w:val="0"/>
              <w:marRight w:val="0"/>
              <w:marTop w:val="0"/>
              <w:marBottom w:val="0"/>
              <w:divBdr>
                <w:top w:val="none" w:sz="0" w:space="0" w:color="auto"/>
                <w:left w:val="none" w:sz="0" w:space="0" w:color="auto"/>
                <w:bottom w:val="none" w:sz="0" w:space="0" w:color="auto"/>
                <w:right w:val="none" w:sz="0" w:space="0" w:color="auto"/>
              </w:divBdr>
              <w:divsChild>
                <w:div w:id="1690833031">
                  <w:marLeft w:val="0"/>
                  <w:marRight w:val="0"/>
                  <w:marTop w:val="0"/>
                  <w:marBottom w:val="0"/>
                  <w:divBdr>
                    <w:top w:val="none" w:sz="0" w:space="0" w:color="auto"/>
                    <w:left w:val="none" w:sz="0" w:space="0" w:color="auto"/>
                    <w:bottom w:val="none" w:sz="0" w:space="0" w:color="auto"/>
                    <w:right w:val="none" w:sz="0" w:space="0" w:color="auto"/>
                  </w:divBdr>
                  <w:divsChild>
                    <w:div w:id="1191720943">
                      <w:marLeft w:val="2325"/>
                      <w:marRight w:val="0"/>
                      <w:marTop w:val="0"/>
                      <w:marBottom w:val="0"/>
                      <w:divBdr>
                        <w:top w:val="none" w:sz="0" w:space="0" w:color="auto"/>
                        <w:left w:val="none" w:sz="0" w:space="0" w:color="auto"/>
                        <w:bottom w:val="none" w:sz="0" w:space="0" w:color="auto"/>
                        <w:right w:val="none" w:sz="0" w:space="0" w:color="auto"/>
                      </w:divBdr>
                      <w:divsChild>
                        <w:div w:id="137262043">
                          <w:marLeft w:val="0"/>
                          <w:marRight w:val="0"/>
                          <w:marTop w:val="0"/>
                          <w:marBottom w:val="0"/>
                          <w:divBdr>
                            <w:top w:val="none" w:sz="0" w:space="0" w:color="auto"/>
                            <w:left w:val="none" w:sz="0" w:space="0" w:color="auto"/>
                            <w:bottom w:val="none" w:sz="0" w:space="0" w:color="auto"/>
                            <w:right w:val="none" w:sz="0" w:space="0" w:color="auto"/>
                          </w:divBdr>
                          <w:divsChild>
                            <w:div w:id="1725517076">
                              <w:marLeft w:val="0"/>
                              <w:marRight w:val="0"/>
                              <w:marTop w:val="0"/>
                              <w:marBottom w:val="0"/>
                              <w:divBdr>
                                <w:top w:val="none" w:sz="0" w:space="0" w:color="auto"/>
                                <w:left w:val="none" w:sz="0" w:space="0" w:color="auto"/>
                                <w:bottom w:val="none" w:sz="0" w:space="0" w:color="auto"/>
                                <w:right w:val="none" w:sz="0" w:space="0" w:color="auto"/>
                              </w:divBdr>
                              <w:divsChild>
                                <w:div w:id="1215002091">
                                  <w:marLeft w:val="1"/>
                                  <w:marRight w:val="1"/>
                                  <w:marTop w:val="0"/>
                                  <w:marBottom w:val="0"/>
                                  <w:divBdr>
                                    <w:top w:val="none" w:sz="0" w:space="0" w:color="auto"/>
                                    <w:left w:val="none" w:sz="0" w:space="0" w:color="auto"/>
                                    <w:bottom w:val="none" w:sz="0" w:space="0" w:color="auto"/>
                                    <w:right w:val="none" w:sz="0" w:space="0" w:color="auto"/>
                                  </w:divBdr>
                                  <w:divsChild>
                                    <w:div w:id="97214162">
                                      <w:marLeft w:val="0"/>
                                      <w:marRight w:val="0"/>
                                      <w:marTop w:val="0"/>
                                      <w:marBottom w:val="0"/>
                                      <w:divBdr>
                                        <w:top w:val="none" w:sz="0" w:space="0" w:color="auto"/>
                                        <w:left w:val="none" w:sz="0" w:space="0" w:color="auto"/>
                                        <w:bottom w:val="none" w:sz="0" w:space="0" w:color="auto"/>
                                        <w:right w:val="none" w:sz="0" w:space="0" w:color="auto"/>
                                      </w:divBdr>
                                      <w:divsChild>
                                        <w:div w:id="1315336563">
                                          <w:marLeft w:val="0"/>
                                          <w:marRight w:val="0"/>
                                          <w:marTop w:val="0"/>
                                          <w:marBottom w:val="0"/>
                                          <w:divBdr>
                                            <w:top w:val="none" w:sz="0" w:space="0" w:color="auto"/>
                                            <w:left w:val="none" w:sz="0" w:space="0" w:color="auto"/>
                                            <w:bottom w:val="none" w:sz="0" w:space="0" w:color="auto"/>
                                            <w:right w:val="none" w:sz="0" w:space="0" w:color="auto"/>
                                          </w:divBdr>
                                          <w:divsChild>
                                            <w:div w:id="1507407027">
                                              <w:marLeft w:val="0"/>
                                              <w:marRight w:val="0"/>
                                              <w:marTop w:val="0"/>
                                              <w:marBottom w:val="0"/>
                                              <w:divBdr>
                                                <w:top w:val="none" w:sz="0" w:space="0" w:color="auto"/>
                                                <w:left w:val="none" w:sz="0" w:space="0" w:color="auto"/>
                                                <w:bottom w:val="none" w:sz="0" w:space="0" w:color="auto"/>
                                                <w:right w:val="none" w:sz="0" w:space="0" w:color="auto"/>
                                              </w:divBdr>
                                              <w:divsChild>
                                                <w:div w:id="1477140599">
                                                  <w:marLeft w:val="0"/>
                                                  <w:marRight w:val="0"/>
                                                  <w:marTop w:val="0"/>
                                                  <w:marBottom w:val="0"/>
                                                  <w:divBdr>
                                                    <w:top w:val="none" w:sz="0" w:space="0" w:color="auto"/>
                                                    <w:left w:val="none" w:sz="0" w:space="0" w:color="auto"/>
                                                    <w:bottom w:val="none" w:sz="0" w:space="0" w:color="auto"/>
                                                    <w:right w:val="none" w:sz="0" w:space="0" w:color="auto"/>
                                                  </w:divBdr>
                                                  <w:divsChild>
                                                    <w:div w:id="1037007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7282093">
                                                          <w:marLeft w:val="0"/>
                                                          <w:marRight w:val="0"/>
                                                          <w:marTop w:val="0"/>
                                                          <w:marBottom w:val="0"/>
                                                          <w:divBdr>
                                                            <w:top w:val="none" w:sz="0" w:space="0" w:color="auto"/>
                                                            <w:left w:val="none" w:sz="0" w:space="0" w:color="auto"/>
                                                            <w:bottom w:val="none" w:sz="0" w:space="0" w:color="auto"/>
                                                            <w:right w:val="none" w:sz="0" w:space="0" w:color="auto"/>
                                                          </w:divBdr>
                                                        </w:div>
                                                        <w:div w:id="1486438405">
                                                          <w:marLeft w:val="0"/>
                                                          <w:marRight w:val="0"/>
                                                          <w:marTop w:val="0"/>
                                                          <w:marBottom w:val="0"/>
                                                          <w:divBdr>
                                                            <w:top w:val="none" w:sz="0" w:space="0" w:color="auto"/>
                                                            <w:left w:val="none" w:sz="0" w:space="0" w:color="auto"/>
                                                            <w:bottom w:val="none" w:sz="0" w:space="0" w:color="auto"/>
                                                            <w:right w:val="none" w:sz="0" w:space="0" w:color="auto"/>
                                                          </w:divBdr>
                                                        </w:div>
                                                        <w:div w:id="277569588">
                                                          <w:marLeft w:val="0"/>
                                                          <w:marRight w:val="0"/>
                                                          <w:marTop w:val="0"/>
                                                          <w:marBottom w:val="0"/>
                                                          <w:divBdr>
                                                            <w:top w:val="none" w:sz="0" w:space="0" w:color="auto"/>
                                                            <w:left w:val="none" w:sz="0" w:space="0" w:color="auto"/>
                                                            <w:bottom w:val="none" w:sz="0" w:space="0" w:color="auto"/>
                                                            <w:right w:val="none" w:sz="0" w:space="0" w:color="auto"/>
                                                          </w:divBdr>
                                                        </w:div>
                                                        <w:div w:id="12211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580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55.187.2.91/netpub/server.np?find&amp;catalog=catalog&amp;template=detail.np&amp;field=itemid&amp;op=matches&amp;value=2859&amp;site=evil-main" TargetMode="External"/><Relationship Id="rId13" Type="http://schemas.openxmlformats.org/officeDocument/2006/relationships/footer" Target="footer2.xml"/><Relationship Id="rId18"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13E4D-84FD-4204-BEE1-D0021FDA7025}" type="doc">
      <dgm:prSet loTypeId="urn:microsoft.com/office/officeart/2005/8/layout/hChevron3" loCatId="process" qsTypeId="urn:microsoft.com/office/officeart/2005/8/quickstyle/simple1" qsCatId="simple" csTypeId="urn:microsoft.com/office/officeart/2005/8/colors/accent1_2" csCatId="accent1" phldr="1"/>
      <dgm:spPr/>
      <dgm:t>
        <a:bodyPr/>
        <a:lstStyle/>
        <a:p>
          <a:endParaRPr lang="en-AU"/>
        </a:p>
      </dgm:t>
    </dgm:pt>
    <dgm:pt modelId="{774E1B10-D56A-454C-8130-FBA3E9BB2DA3}">
      <dgm:prSet phldrT="[Text]" custT="1"/>
      <dgm:spPr/>
      <dgm:t>
        <a:bodyPr/>
        <a:lstStyle/>
        <a:p>
          <a:r>
            <a:rPr lang="en-AU" sz="1000"/>
            <a:t>Is there an air quality problem?</a:t>
          </a:r>
        </a:p>
      </dgm:t>
    </dgm:pt>
    <dgm:pt modelId="{BB5A4097-7DE3-4227-B7EE-B7E69DB69DC7}" type="parTrans" cxnId="{6CC35F6E-5DC4-4DD3-9C54-DF3BFE769F0E}">
      <dgm:prSet/>
      <dgm:spPr/>
      <dgm:t>
        <a:bodyPr/>
        <a:lstStyle/>
        <a:p>
          <a:endParaRPr lang="en-AU"/>
        </a:p>
      </dgm:t>
    </dgm:pt>
    <dgm:pt modelId="{29AF8231-2690-4033-AEFB-BEC0726FB224}" type="sibTrans" cxnId="{6CC35F6E-5DC4-4DD3-9C54-DF3BFE769F0E}">
      <dgm:prSet/>
      <dgm:spPr/>
      <dgm:t>
        <a:bodyPr/>
        <a:lstStyle/>
        <a:p>
          <a:endParaRPr lang="en-AU"/>
        </a:p>
      </dgm:t>
    </dgm:pt>
    <dgm:pt modelId="{C6B6034F-509E-4F89-A39C-20C663AC8F36}">
      <dgm:prSet phldrT="[Text]" custT="1"/>
      <dgm:spPr/>
      <dgm:t>
        <a:bodyPr/>
        <a:lstStyle/>
        <a:p>
          <a:r>
            <a:rPr lang="en-AU" sz="1000"/>
            <a:t>Characterise the problem</a:t>
          </a:r>
        </a:p>
      </dgm:t>
    </dgm:pt>
    <dgm:pt modelId="{69E2D5B1-19E7-4D16-8351-2BD0A3301715}" type="parTrans" cxnId="{EDBFF0F5-2084-4F7F-89D0-D17001452909}">
      <dgm:prSet/>
      <dgm:spPr/>
      <dgm:t>
        <a:bodyPr/>
        <a:lstStyle/>
        <a:p>
          <a:endParaRPr lang="en-AU"/>
        </a:p>
      </dgm:t>
    </dgm:pt>
    <dgm:pt modelId="{15AC77A1-1927-45B1-95B6-BACE4E8F9E01}" type="sibTrans" cxnId="{EDBFF0F5-2084-4F7F-89D0-D17001452909}">
      <dgm:prSet/>
      <dgm:spPr/>
      <dgm:t>
        <a:bodyPr/>
        <a:lstStyle/>
        <a:p>
          <a:endParaRPr lang="en-AU"/>
        </a:p>
      </dgm:t>
    </dgm:pt>
    <dgm:pt modelId="{08DD8CB3-71C4-4048-B23C-99EEE90C24AE}">
      <dgm:prSet phldrT="[Text]" custT="1"/>
      <dgm:spPr/>
      <dgm:t>
        <a:bodyPr/>
        <a:lstStyle/>
        <a:p>
          <a:r>
            <a:rPr lang="en-AU" sz="1000"/>
            <a:t>National coordination required?</a:t>
          </a:r>
        </a:p>
      </dgm:t>
    </dgm:pt>
    <dgm:pt modelId="{C5106B9C-6147-4DB6-81B7-EEA695FFF17C}" type="parTrans" cxnId="{564E1326-D148-4A8F-BC77-2138FCB78CED}">
      <dgm:prSet/>
      <dgm:spPr/>
      <dgm:t>
        <a:bodyPr/>
        <a:lstStyle/>
        <a:p>
          <a:endParaRPr lang="en-AU"/>
        </a:p>
      </dgm:t>
    </dgm:pt>
    <dgm:pt modelId="{38A7A603-629D-4B77-9D62-FD852233FBE9}" type="sibTrans" cxnId="{564E1326-D148-4A8F-BC77-2138FCB78CED}">
      <dgm:prSet/>
      <dgm:spPr/>
      <dgm:t>
        <a:bodyPr/>
        <a:lstStyle/>
        <a:p>
          <a:endParaRPr lang="en-AU"/>
        </a:p>
      </dgm:t>
    </dgm:pt>
    <dgm:pt modelId="{A397EE49-BF53-4838-BB24-FF293CF44EDA}">
      <dgm:prSet custT="1"/>
      <dgm:spPr/>
      <dgm:t>
        <a:bodyPr/>
        <a:lstStyle/>
        <a:p>
          <a:r>
            <a:rPr lang="en-AU" sz="1000"/>
            <a:t>Priority setting. Roles and responsibilities.</a:t>
          </a:r>
        </a:p>
      </dgm:t>
    </dgm:pt>
    <dgm:pt modelId="{55D0120A-622D-4C4E-B3B4-220EED9EB3D6}" type="parTrans" cxnId="{DA932F12-AE54-4703-B712-06C1798E9DAD}">
      <dgm:prSet/>
      <dgm:spPr/>
      <dgm:t>
        <a:bodyPr/>
        <a:lstStyle/>
        <a:p>
          <a:endParaRPr lang="en-AU"/>
        </a:p>
      </dgm:t>
    </dgm:pt>
    <dgm:pt modelId="{750FAF80-D3F7-48DB-A5B1-D43C77C9F263}" type="sibTrans" cxnId="{DA932F12-AE54-4703-B712-06C1798E9DAD}">
      <dgm:prSet/>
      <dgm:spPr/>
      <dgm:t>
        <a:bodyPr/>
        <a:lstStyle/>
        <a:p>
          <a:endParaRPr lang="en-AU"/>
        </a:p>
      </dgm:t>
    </dgm:pt>
    <dgm:pt modelId="{F6132467-FE29-4AD8-A9EC-CE3D5001A649}">
      <dgm:prSet custT="1"/>
      <dgm:spPr/>
      <dgm:t>
        <a:bodyPr/>
        <a:lstStyle/>
        <a:p>
          <a:r>
            <a:rPr lang="en-AU" sz="1000"/>
            <a:t>Agreement Work Plan - options to manage</a:t>
          </a:r>
        </a:p>
      </dgm:t>
    </dgm:pt>
    <dgm:pt modelId="{998158F9-E9F6-4AC5-97D8-9ADEE252A02D}" type="parTrans" cxnId="{664EFF2B-A83A-4366-AF3D-C224339D60A3}">
      <dgm:prSet/>
      <dgm:spPr/>
      <dgm:t>
        <a:bodyPr/>
        <a:lstStyle/>
        <a:p>
          <a:endParaRPr lang="en-AU"/>
        </a:p>
      </dgm:t>
    </dgm:pt>
    <dgm:pt modelId="{499F611B-6088-4EF6-AFEE-360508EB0CD0}" type="sibTrans" cxnId="{664EFF2B-A83A-4366-AF3D-C224339D60A3}">
      <dgm:prSet/>
      <dgm:spPr/>
      <dgm:t>
        <a:bodyPr/>
        <a:lstStyle/>
        <a:p>
          <a:endParaRPr lang="en-AU"/>
        </a:p>
      </dgm:t>
    </dgm:pt>
    <dgm:pt modelId="{B20EC60C-E976-4DFA-B2ED-A888CEB4726A}">
      <dgm:prSet custT="1"/>
      <dgm:spPr/>
      <dgm:t>
        <a:bodyPr/>
        <a:lstStyle/>
        <a:p>
          <a:r>
            <a:rPr lang="en-AU" sz="1000"/>
            <a:t>Decisions taken. Implement option/s.</a:t>
          </a:r>
        </a:p>
      </dgm:t>
    </dgm:pt>
    <dgm:pt modelId="{9B01CD86-64E5-43F7-8DD1-0C33C1BCF793}" type="parTrans" cxnId="{91A132C3-DE17-4ABC-894A-0B6051E95F62}">
      <dgm:prSet/>
      <dgm:spPr/>
      <dgm:t>
        <a:bodyPr/>
        <a:lstStyle/>
        <a:p>
          <a:endParaRPr lang="en-AU"/>
        </a:p>
      </dgm:t>
    </dgm:pt>
    <dgm:pt modelId="{483F4ED2-9CD7-46A3-BF79-B77BFBAA2809}" type="sibTrans" cxnId="{91A132C3-DE17-4ABC-894A-0B6051E95F62}">
      <dgm:prSet/>
      <dgm:spPr/>
      <dgm:t>
        <a:bodyPr/>
        <a:lstStyle/>
        <a:p>
          <a:endParaRPr lang="en-AU"/>
        </a:p>
      </dgm:t>
    </dgm:pt>
    <dgm:pt modelId="{D064A5F9-1E5A-4F2F-B006-69A06BCF1A94}">
      <dgm:prSet custT="1"/>
      <dgm:spPr/>
      <dgm:t>
        <a:bodyPr/>
        <a:lstStyle/>
        <a:p>
          <a:r>
            <a:rPr lang="en-AU" sz="1000"/>
            <a:t>Review of work plan and measures implemented.</a:t>
          </a:r>
        </a:p>
      </dgm:t>
    </dgm:pt>
    <dgm:pt modelId="{C920A84D-5CE8-4213-9DBC-CD926A127941}" type="parTrans" cxnId="{C48994C6-FB72-4A8F-9DCE-9C8E1876F5AA}">
      <dgm:prSet/>
      <dgm:spPr/>
      <dgm:t>
        <a:bodyPr/>
        <a:lstStyle/>
        <a:p>
          <a:endParaRPr lang="en-AU"/>
        </a:p>
      </dgm:t>
    </dgm:pt>
    <dgm:pt modelId="{43896810-05BC-4F3B-8EC2-3E6F4A8A1CFD}" type="sibTrans" cxnId="{C48994C6-FB72-4A8F-9DCE-9C8E1876F5AA}">
      <dgm:prSet/>
      <dgm:spPr/>
      <dgm:t>
        <a:bodyPr/>
        <a:lstStyle/>
        <a:p>
          <a:endParaRPr lang="en-AU"/>
        </a:p>
      </dgm:t>
    </dgm:pt>
    <dgm:pt modelId="{55D4D990-2B24-42C1-B5FA-2DFADCDF6488}" type="pres">
      <dgm:prSet presAssocID="{95713E4D-84FD-4204-BEE1-D0021FDA7025}" presName="Name0" presStyleCnt="0">
        <dgm:presLayoutVars>
          <dgm:dir/>
          <dgm:resizeHandles val="exact"/>
        </dgm:presLayoutVars>
      </dgm:prSet>
      <dgm:spPr/>
      <dgm:t>
        <a:bodyPr/>
        <a:lstStyle/>
        <a:p>
          <a:endParaRPr lang="en-AU"/>
        </a:p>
      </dgm:t>
    </dgm:pt>
    <dgm:pt modelId="{C2CEF63E-D66E-48D3-A654-46F1D1AB669C}" type="pres">
      <dgm:prSet presAssocID="{774E1B10-D56A-454C-8130-FBA3E9BB2DA3}" presName="parTxOnly" presStyleLbl="node1" presStyleIdx="0" presStyleCnt="7">
        <dgm:presLayoutVars>
          <dgm:bulletEnabled val="1"/>
        </dgm:presLayoutVars>
      </dgm:prSet>
      <dgm:spPr/>
      <dgm:t>
        <a:bodyPr/>
        <a:lstStyle/>
        <a:p>
          <a:endParaRPr lang="en-AU"/>
        </a:p>
      </dgm:t>
    </dgm:pt>
    <dgm:pt modelId="{5D87C188-BD7A-4FBA-85E5-689A67B96660}" type="pres">
      <dgm:prSet presAssocID="{29AF8231-2690-4033-AEFB-BEC0726FB224}" presName="parSpace" presStyleCnt="0"/>
      <dgm:spPr/>
    </dgm:pt>
    <dgm:pt modelId="{5A067EE8-1CFE-49D6-8EF4-6A02A406171B}" type="pres">
      <dgm:prSet presAssocID="{C6B6034F-509E-4F89-A39C-20C663AC8F36}" presName="parTxOnly" presStyleLbl="node1" presStyleIdx="1" presStyleCnt="7">
        <dgm:presLayoutVars>
          <dgm:bulletEnabled val="1"/>
        </dgm:presLayoutVars>
      </dgm:prSet>
      <dgm:spPr/>
      <dgm:t>
        <a:bodyPr/>
        <a:lstStyle/>
        <a:p>
          <a:endParaRPr lang="en-AU"/>
        </a:p>
      </dgm:t>
    </dgm:pt>
    <dgm:pt modelId="{6963209F-092A-4297-81AC-568F1AA5848D}" type="pres">
      <dgm:prSet presAssocID="{15AC77A1-1927-45B1-95B6-BACE4E8F9E01}" presName="parSpace" presStyleCnt="0"/>
      <dgm:spPr/>
    </dgm:pt>
    <dgm:pt modelId="{9E402997-28D6-4E7A-B27B-6627D9157507}" type="pres">
      <dgm:prSet presAssocID="{08DD8CB3-71C4-4048-B23C-99EEE90C24AE}" presName="parTxOnly" presStyleLbl="node1" presStyleIdx="2" presStyleCnt="7">
        <dgm:presLayoutVars>
          <dgm:bulletEnabled val="1"/>
        </dgm:presLayoutVars>
      </dgm:prSet>
      <dgm:spPr/>
      <dgm:t>
        <a:bodyPr/>
        <a:lstStyle/>
        <a:p>
          <a:endParaRPr lang="en-AU"/>
        </a:p>
      </dgm:t>
    </dgm:pt>
    <dgm:pt modelId="{7A4D10F4-E86D-4AC2-930D-A0012BF2E0FC}" type="pres">
      <dgm:prSet presAssocID="{38A7A603-629D-4B77-9D62-FD852233FBE9}" presName="parSpace" presStyleCnt="0"/>
      <dgm:spPr/>
    </dgm:pt>
    <dgm:pt modelId="{2F9831DB-E322-43DA-B335-BFCEDB415ED6}" type="pres">
      <dgm:prSet presAssocID="{A397EE49-BF53-4838-BB24-FF293CF44EDA}" presName="parTxOnly" presStyleLbl="node1" presStyleIdx="3" presStyleCnt="7" custLinFactNeighborX="-8764" custLinFactNeighborY="1461">
        <dgm:presLayoutVars>
          <dgm:bulletEnabled val="1"/>
        </dgm:presLayoutVars>
      </dgm:prSet>
      <dgm:spPr/>
      <dgm:t>
        <a:bodyPr/>
        <a:lstStyle/>
        <a:p>
          <a:endParaRPr lang="en-AU"/>
        </a:p>
      </dgm:t>
    </dgm:pt>
    <dgm:pt modelId="{DC7F7004-1305-421F-9FE0-6414A192E099}" type="pres">
      <dgm:prSet presAssocID="{750FAF80-D3F7-48DB-A5B1-D43C77C9F263}" presName="parSpace" presStyleCnt="0"/>
      <dgm:spPr/>
    </dgm:pt>
    <dgm:pt modelId="{9ED26EE7-3D4E-4E1E-BCCB-C875B73721D6}" type="pres">
      <dgm:prSet presAssocID="{F6132467-FE29-4AD8-A9EC-CE3D5001A649}" presName="parTxOnly" presStyleLbl="node1" presStyleIdx="4" presStyleCnt="7">
        <dgm:presLayoutVars>
          <dgm:bulletEnabled val="1"/>
        </dgm:presLayoutVars>
      </dgm:prSet>
      <dgm:spPr/>
      <dgm:t>
        <a:bodyPr/>
        <a:lstStyle/>
        <a:p>
          <a:endParaRPr lang="en-AU"/>
        </a:p>
      </dgm:t>
    </dgm:pt>
    <dgm:pt modelId="{24E7222E-6B8F-49EE-9220-FC3A3BCDE9AF}" type="pres">
      <dgm:prSet presAssocID="{499F611B-6088-4EF6-AFEE-360508EB0CD0}" presName="parSpace" presStyleCnt="0"/>
      <dgm:spPr/>
    </dgm:pt>
    <dgm:pt modelId="{A79600DA-40AC-4473-BB17-E34574DA458D}" type="pres">
      <dgm:prSet presAssocID="{B20EC60C-E976-4DFA-B2ED-A888CEB4726A}" presName="parTxOnly" presStyleLbl="node1" presStyleIdx="5" presStyleCnt="7">
        <dgm:presLayoutVars>
          <dgm:bulletEnabled val="1"/>
        </dgm:presLayoutVars>
      </dgm:prSet>
      <dgm:spPr/>
      <dgm:t>
        <a:bodyPr/>
        <a:lstStyle/>
        <a:p>
          <a:endParaRPr lang="en-AU"/>
        </a:p>
      </dgm:t>
    </dgm:pt>
    <dgm:pt modelId="{DB69B6D1-AFDC-492D-B4CD-23D3524B670B}" type="pres">
      <dgm:prSet presAssocID="{483F4ED2-9CD7-46A3-BF79-B77BFBAA2809}" presName="parSpace" presStyleCnt="0"/>
      <dgm:spPr/>
    </dgm:pt>
    <dgm:pt modelId="{8257FE55-E5D7-4558-ACFF-CA1BE6AE5269}" type="pres">
      <dgm:prSet presAssocID="{D064A5F9-1E5A-4F2F-B006-69A06BCF1A94}" presName="parTxOnly" presStyleLbl="node1" presStyleIdx="6" presStyleCnt="7">
        <dgm:presLayoutVars>
          <dgm:bulletEnabled val="1"/>
        </dgm:presLayoutVars>
      </dgm:prSet>
      <dgm:spPr/>
      <dgm:t>
        <a:bodyPr/>
        <a:lstStyle/>
        <a:p>
          <a:endParaRPr lang="en-AU"/>
        </a:p>
      </dgm:t>
    </dgm:pt>
  </dgm:ptLst>
  <dgm:cxnLst>
    <dgm:cxn modelId="{8AE86545-F8F7-498E-A2A2-9F7D7F472CE1}" type="presOf" srcId="{95713E4D-84FD-4204-BEE1-D0021FDA7025}" destId="{55D4D990-2B24-42C1-B5FA-2DFADCDF6488}" srcOrd="0" destOrd="0" presId="urn:microsoft.com/office/officeart/2005/8/layout/hChevron3"/>
    <dgm:cxn modelId="{53DEB836-D6F5-4BFF-A844-02ED28B97B58}" type="presOf" srcId="{F6132467-FE29-4AD8-A9EC-CE3D5001A649}" destId="{9ED26EE7-3D4E-4E1E-BCCB-C875B73721D6}" srcOrd="0" destOrd="0" presId="urn:microsoft.com/office/officeart/2005/8/layout/hChevron3"/>
    <dgm:cxn modelId="{CD82D530-2E52-4319-949B-AEE6343A6D6A}" type="presOf" srcId="{08DD8CB3-71C4-4048-B23C-99EEE90C24AE}" destId="{9E402997-28D6-4E7A-B27B-6627D9157507}" srcOrd="0" destOrd="0" presId="urn:microsoft.com/office/officeart/2005/8/layout/hChevron3"/>
    <dgm:cxn modelId="{91A132C3-DE17-4ABC-894A-0B6051E95F62}" srcId="{95713E4D-84FD-4204-BEE1-D0021FDA7025}" destId="{B20EC60C-E976-4DFA-B2ED-A888CEB4726A}" srcOrd="5" destOrd="0" parTransId="{9B01CD86-64E5-43F7-8DD1-0C33C1BCF793}" sibTransId="{483F4ED2-9CD7-46A3-BF79-B77BFBAA2809}"/>
    <dgm:cxn modelId="{664EFF2B-A83A-4366-AF3D-C224339D60A3}" srcId="{95713E4D-84FD-4204-BEE1-D0021FDA7025}" destId="{F6132467-FE29-4AD8-A9EC-CE3D5001A649}" srcOrd="4" destOrd="0" parTransId="{998158F9-E9F6-4AC5-97D8-9ADEE252A02D}" sibTransId="{499F611B-6088-4EF6-AFEE-360508EB0CD0}"/>
    <dgm:cxn modelId="{564E1326-D148-4A8F-BC77-2138FCB78CED}" srcId="{95713E4D-84FD-4204-BEE1-D0021FDA7025}" destId="{08DD8CB3-71C4-4048-B23C-99EEE90C24AE}" srcOrd="2" destOrd="0" parTransId="{C5106B9C-6147-4DB6-81B7-EEA695FFF17C}" sibTransId="{38A7A603-629D-4B77-9D62-FD852233FBE9}"/>
    <dgm:cxn modelId="{E0DFEB73-A145-41F4-95CF-79EB48380EE2}" type="presOf" srcId="{C6B6034F-509E-4F89-A39C-20C663AC8F36}" destId="{5A067EE8-1CFE-49D6-8EF4-6A02A406171B}" srcOrd="0" destOrd="0" presId="urn:microsoft.com/office/officeart/2005/8/layout/hChevron3"/>
    <dgm:cxn modelId="{5535B4FA-70DF-4DA2-BB65-29EAACEA61F1}" type="presOf" srcId="{D064A5F9-1E5A-4F2F-B006-69A06BCF1A94}" destId="{8257FE55-E5D7-4558-ACFF-CA1BE6AE5269}" srcOrd="0" destOrd="0" presId="urn:microsoft.com/office/officeart/2005/8/layout/hChevron3"/>
    <dgm:cxn modelId="{DA932F12-AE54-4703-B712-06C1798E9DAD}" srcId="{95713E4D-84FD-4204-BEE1-D0021FDA7025}" destId="{A397EE49-BF53-4838-BB24-FF293CF44EDA}" srcOrd="3" destOrd="0" parTransId="{55D0120A-622D-4C4E-B3B4-220EED9EB3D6}" sibTransId="{750FAF80-D3F7-48DB-A5B1-D43C77C9F263}"/>
    <dgm:cxn modelId="{C48994C6-FB72-4A8F-9DCE-9C8E1876F5AA}" srcId="{95713E4D-84FD-4204-BEE1-D0021FDA7025}" destId="{D064A5F9-1E5A-4F2F-B006-69A06BCF1A94}" srcOrd="6" destOrd="0" parTransId="{C920A84D-5CE8-4213-9DBC-CD926A127941}" sibTransId="{43896810-05BC-4F3B-8EC2-3E6F4A8A1CFD}"/>
    <dgm:cxn modelId="{6CC35F6E-5DC4-4DD3-9C54-DF3BFE769F0E}" srcId="{95713E4D-84FD-4204-BEE1-D0021FDA7025}" destId="{774E1B10-D56A-454C-8130-FBA3E9BB2DA3}" srcOrd="0" destOrd="0" parTransId="{BB5A4097-7DE3-4227-B7EE-B7E69DB69DC7}" sibTransId="{29AF8231-2690-4033-AEFB-BEC0726FB224}"/>
    <dgm:cxn modelId="{0598A784-9AD3-463C-946E-7D486A949B69}" type="presOf" srcId="{B20EC60C-E976-4DFA-B2ED-A888CEB4726A}" destId="{A79600DA-40AC-4473-BB17-E34574DA458D}" srcOrd="0" destOrd="0" presId="urn:microsoft.com/office/officeart/2005/8/layout/hChevron3"/>
    <dgm:cxn modelId="{7FC4DAA0-EDFE-4F77-82F4-852CC28AEDF1}" type="presOf" srcId="{A397EE49-BF53-4838-BB24-FF293CF44EDA}" destId="{2F9831DB-E322-43DA-B335-BFCEDB415ED6}" srcOrd="0" destOrd="0" presId="urn:microsoft.com/office/officeart/2005/8/layout/hChevron3"/>
    <dgm:cxn modelId="{EDBFF0F5-2084-4F7F-89D0-D17001452909}" srcId="{95713E4D-84FD-4204-BEE1-D0021FDA7025}" destId="{C6B6034F-509E-4F89-A39C-20C663AC8F36}" srcOrd="1" destOrd="0" parTransId="{69E2D5B1-19E7-4D16-8351-2BD0A3301715}" sibTransId="{15AC77A1-1927-45B1-95B6-BACE4E8F9E01}"/>
    <dgm:cxn modelId="{D97FAB73-EAB2-4F1D-A1CA-E3E2C76552FA}" type="presOf" srcId="{774E1B10-D56A-454C-8130-FBA3E9BB2DA3}" destId="{C2CEF63E-D66E-48D3-A654-46F1D1AB669C}" srcOrd="0" destOrd="0" presId="urn:microsoft.com/office/officeart/2005/8/layout/hChevron3"/>
    <dgm:cxn modelId="{972CA97D-C475-4546-9053-65581F6CFB56}" type="presParOf" srcId="{55D4D990-2B24-42C1-B5FA-2DFADCDF6488}" destId="{C2CEF63E-D66E-48D3-A654-46F1D1AB669C}" srcOrd="0" destOrd="0" presId="urn:microsoft.com/office/officeart/2005/8/layout/hChevron3"/>
    <dgm:cxn modelId="{BEE00E97-3F6F-4C1A-AEE1-2DC228B191E0}" type="presParOf" srcId="{55D4D990-2B24-42C1-B5FA-2DFADCDF6488}" destId="{5D87C188-BD7A-4FBA-85E5-689A67B96660}" srcOrd="1" destOrd="0" presId="urn:microsoft.com/office/officeart/2005/8/layout/hChevron3"/>
    <dgm:cxn modelId="{B6B0D9B6-944C-4C3E-8760-FDAFB4EB53D4}" type="presParOf" srcId="{55D4D990-2B24-42C1-B5FA-2DFADCDF6488}" destId="{5A067EE8-1CFE-49D6-8EF4-6A02A406171B}" srcOrd="2" destOrd="0" presId="urn:microsoft.com/office/officeart/2005/8/layout/hChevron3"/>
    <dgm:cxn modelId="{0FCC84FD-5E62-4AFA-9AC8-2AD7D3800C4B}" type="presParOf" srcId="{55D4D990-2B24-42C1-B5FA-2DFADCDF6488}" destId="{6963209F-092A-4297-81AC-568F1AA5848D}" srcOrd="3" destOrd="0" presId="urn:microsoft.com/office/officeart/2005/8/layout/hChevron3"/>
    <dgm:cxn modelId="{1F6E14F7-DF24-43D9-BD77-27B03B8301AA}" type="presParOf" srcId="{55D4D990-2B24-42C1-B5FA-2DFADCDF6488}" destId="{9E402997-28D6-4E7A-B27B-6627D9157507}" srcOrd="4" destOrd="0" presId="urn:microsoft.com/office/officeart/2005/8/layout/hChevron3"/>
    <dgm:cxn modelId="{CC252ECF-A924-449A-A3AE-170E007539CE}" type="presParOf" srcId="{55D4D990-2B24-42C1-B5FA-2DFADCDF6488}" destId="{7A4D10F4-E86D-4AC2-930D-A0012BF2E0FC}" srcOrd="5" destOrd="0" presId="urn:microsoft.com/office/officeart/2005/8/layout/hChevron3"/>
    <dgm:cxn modelId="{17F1930F-2D28-4AB3-91BD-E8CE73F9CF26}" type="presParOf" srcId="{55D4D990-2B24-42C1-B5FA-2DFADCDF6488}" destId="{2F9831DB-E322-43DA-B335-BFCEDB415ED6}" srcOrd="6" destOrd="0" presId="urn:microsoft.com/office/officeart/2005/8/layout/hChevron3"/>
    <dgm:cxn modelId="{F99D8C36-8277-43A8-A407-4F6C55E8D0A2}" type="presParOf" srcId="{55D4D990-2B24-42C1-B5FA-2DFADCDF6488}" destId="{DC7F7004-1305-421F-9FE0-6414A192E099}" srcOrd="7" destOrd="0" presId="urn:microsoft.com/office/officeart/2005/8/layout/hChevron3"/>
    <dgm:cxn modelId="{628B4C01-719D-4F77-9692-B3F1AFF53810}" type="presParOf" srcId="{55D4D990-2B24-42C1-B5FA-2DFADCDF6488}" destId="{9ED26EE7-3D4E-4E1E-BCCB-C875B73721D6}" srcOrd="8" destOrd="0" presId="urn:microsoft.com/office/officeart/2005/8/layout/hChevron3"/>
    <dgm:cxn modelId="{3C151775-B06F-4C58-8A7D-4B14F5B4E9DF}" type="presParOf" srcId="{55D4D990-2B24-42C1-B5FA-2DFADCDF6488}" destId="{24E7222E-6B8F-49EE-9220-FC3A3BCDE9AF}" srcOrd="9" destOrd="0" presId="urn:microsoft.com/office/officeart/2005/8/layout/hChevron3"/>
    <dgm:cxn modelId="{B2BEF3E1-2101-4A06-BC3A-78853610F3CB}" type="presParOf" srcId="{55D4D990-2B24-42C1-B5FA-2DFADCDF6488}" destId="{A79600DA-40AC-4473-BB17-E34574DA458D}" srcOrd="10" destOrd="0" presId="urn:microsoft.com/office/officeart/2005/8/layout/hChevron3"/>
    <dgm:cxn modelId="{4D5EBC49-6A5D-4CCE-985C-419F47EFED65}" type="presParOf" srcId="{55D4D990-2B24-42C1-B5FA-2DFADCDF6488}" destId="{DB69B6D1-AFDC-492D-B4CD-23D3524B670B}" srcOrd="11" destOrd="0" presId="urn:microsoft.com/office/officeart/2005/8/layout/hChevron3"/>
    <dgm:cxn modelId="{0F2CD73F-410D-4ABB-B399-81785E4DEB76}" type="presParOf" srcId="{55D4D990-2B24-42C1-B5FA-2DFADCDF6488}" destId="{8257FE55-E5D7-4558-ACFF-CA1BE6AE5269}" srcOrd="12" destOrd="0" presId="urn:microsoft.com/office/officeart/2005/8/layout/hChevron3"/>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CEF63E-D66E-48D3-A654-46F1D1AB669C}">
      <dsp:nvSpPr>
        <dsp:cNvPr id="0" name=""/>
        <dsp:cNvSpPr/>
      </dsp:nvSpPr>
      <dsp:spPr>
        <a:xfrm>
          <a:off x="1385" y="1274146"/>
          <a:ext cx="1630267" cy="65210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lvl="0" algn="ctr" defTabSz="444500">
            <a:lnSpc>
              <a:spcPct val="90000"/>
            </a:lnSpc>
            <a:spcBef>
              <a:spcPct val="0"/>
            </a:spcBef>
            <a:spcAft>
              <a:spcPct val="35000"/>
            </a:spcAft>
          </a:pPr>
          <a:r>
            <a:rPr lang="en-AU" sz="1000" kern="1200"/>
            <a:t>Is there an air quality problem?</a:t>
          </a:r>
        </a:p>
      </dsp:txBody>
      <dsp:txXfrm>
        <a:off x="1385" y="1274146"/>
        <a:ext cx="1630267" cy="652107"/>
      </dsp:txXfrm>
    </dsp:sp>
    <dsp:sp modelId="{5A067EE8-1CFE-49D6-8EF4-6A02A406171B}">
      <dsp:nvSpPr>
        <dsp:cNvPr id="0" name=""/>
        <dsp:cNvSpPr/>
      </dsp:nvSpPr>
      <dsp:spPr>
        <a:xfrm>
          <a:off x="1305599" y="1274146"/>
          <a:ext cx="1630267" cy="652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AU" sz="1000" kern="1200"/>
            <a:t>Characterise the problem</a:t>
          </a:r>
        </a:p>
      </dsp:txBody>
      <dsp:txXfrm>
        <a:off x="1305599" y="1274146"/>
        <a:ext cx="1630267" cy="652107"/>
      </dsp:txXfrm>
    </dsp:sp>
    <dsp:sp modelId="{9E402997-28D6-4E7A-B27B-6627D9157507}">
      <dsp:nvSpPr>
        <dsp:cNvPr id="0" name=""/>
        <dsp:cNvSpPr/>
      </dsp:nvSpPr>
      <dsp:spPr>
        <a:xfrm>
          <a:off x="2609814" y="1274146"/>
          <a:ext cx="1630267" cy="652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AU" sz="1000" kern="1200"/>
            <a:t>National coordination required?</a:t>
          </a:r>
        </a:p>
      </dsp:txBody>
      <dsp:txXfrm>
        <a:off x="2609814" y="1274146"/>
        <a:ext cx="1630267" cy="652107"/>
      </dsp:txXfrm>
    </dsp:sp>
    <dsp:sp modelId="{2F9831DB-E322-43DA-B335-BFCEDB415ED6}">
      <dsp:nvSpPr>
        <dsp:cNvPr id="0" name=""/>
        <dsp:cNvSpPr/>
      </dsp:nvSpPr>
      <dsp:spPr>
        <a:xfrm>
          <a:off x="3885453" y="1283673"/>
          <a:ext cx="1630267" cy="652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AU" sz="1000" kern="1200"/>
            <a:t>Priority setting. Roles and responsibilities.</a:t>
          </a:r>
        </a:p>
      </dsp:txBody>
      <dsp:txXfrm>
        <a:off x="3885453" y="1283673"/>
        <a:ext cx="1630267" cy="652107"/>
      </dsp:txXfrm>
    </dsp:sp>
    <dsp:sp modelId="{9ED26EE7-3D4E-4E1E-BCCB-C875B73721D6}">
      <dsp:nvSpPr>
        <dsp:cNvPr id="0" name=""/>
        <dsp:cNvSpPr/>
      </dsp:nvSpPr>
      <dsp:spPr>
        <a:xfrm>
          <a:off x="5218242" y="1274146"/>
          <a:ext cx="1630267" cy="652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AU" sz="1000" kern="1200"/>
            <a:t>Agreement Work Plan - options to manage</a:t>
          </a:r>
        </a:p>
      </dsp:txBody>
      <dsp:txXfrm>
        <a:off x="5218242" y="1274146"/>
        <a:ext cx="1630267" cy="652107"/>
      </dsp:txXfrm>
    </dsp:sp>
    <dsp:sp modelId="{A79600DA-40AC-4473-BB17-E34574DA458D}">
      <dsp:nvSpPr>
        <dsp:cNvPr id="0" name=""/>
        <dsp:cNvSpPr/>
      </dsp:nvSpPr>
      <dsp:spPr>
        <a:xfrm>
          <a:off x="6522457" y="1274146"/>
          <a:ext cx="1630267" cy="652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AU" sz="1000" kern="1200"/>
            <a:t>Decisions taken. Implement option/s.</a:t>
          </a:r>
        </a:p>
      </dsp:txBody>
      <dsp:txXfrm>
        <a:off x="6522457" y="1274146"/>
        <a:ext cx="1630267" cy="652107"/>
      </dsp:txXfrm>
    </dsp:sp>
    <dsp:sp modelId="{8257FE55-E5D7-4558-ACFF-CA1BE6AE5269}">
      <dsp:nvSpPr>
        <dsp:cNvPr id="0" name=""/>
        <dsp:cNvSpPr/>
      </dsp:nvSpPr>
      <dsp:spPr>
        <a:xfrm>
          <a:off x="7826671" y="1274146"/>
          <a:ext cx="1630267" cy="6521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AU" sz="1000" kern="1200"/>
            <a:t>Review of work plan and measures implemented.</a:t>
          </a:r>
        </a:p>
      </dsp:txBody>
      <dsp:txXfrm>
        <a:off x="7826671" y="1274146"/>
        <a:ext cx="1630267" cy="65210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Company>DEWHA</Company>
  <LinksUpToDate>false</LinksUpToDate>
  <CharactersWithSpaces>23400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Clean Air Agreement</dc:title>
  <dc:creator>Australian Government Department of the Environment</dc:creator>
  <cp:lastModifiedBy>a01081</cp:lastModifiedBy>
  <cp:revision>2</cp:revision>
  <dcterms:created xsi:type="dcterms:W3CDTF">2015-12-15T06:05:00Z</dcterms:created>
  <dcterms:modified xsi:type="dcterms:W3CDTF">2015-12-15T06:05:00Z</dcterms:modified>
</cp:coreProperties>
</file>