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32E" w:rsidRPr="00226E9E" w:rsidRDefault="00E23046" w:rsidP="00E23046">
      <w:pPr>
        <w:pStyle w:val="Heading4"/>
        <w:ind w:left="-284"/>
        <w:jc w:val="right"/>
        <w:rPr>
          <w:sz w:val="22"/>
        </w:rPr>
      </w:pPr>
      <w:r w:rsidRPr="00E23046">
        <w:rPr>
          <w:noProof/>
          <w:sz w:val="22"/>
          <w:lang w:eastAsia="en-AU"/>
        </w:rPr>
        <w:drawing>
          <wp:anchor distT="0" distB="0" distL="114300" distR="114300" simplePos="0" relativeHeight="251659264" behindDoc="0" locked="0" layoutInCell="1" allowOverlap="1">
            <wp:simplePos x="0" y="0"/>
            <wp:positionH relativeFrom="column">
              <wp:posOffset>-44617</wp:posOffset>
            </wp:positionH>
            <wp:positionV relativeFrom="paragraph">
              <wp:posOffset>-111604</wp:posOffset>
            </wp:positionV>
            <wp:extent cx="3005011" cy="655607"/>
            <wp:effectExtent l="19050" t="0" r="4889" b="0"/>
            <wp:wrapNone/>
            <wp:docPr id="5"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7" cstate="print"/>
                    <a:stretch>
                      <a:fillRect/>
                    </a:stretch>
                  </pic:blipFill>
                  <pic:spPr>
                    <a:xfrm>
                      <a:off x="0" y="0"/>
                      <a:ext cx="3005011" cy="655607"/>
                    </a:xfrm>
                    <a:prstGeom prst="rect">
                      <a:avLst/>
                    </a:prstGeom>
                  </pic:spPr>
                </pic:pic>
              </a:graphicData>
            </a:graphic>
          </wp:anchor>
        </w:drawing>
      </w:r>
      <w:r w:rsidR="00F31066">
        <w:rPr>
          <w:sz w:val="22"/>
        </w:rPr>
        <w:t xml:space="preserve">  </w:t>
      </w:r>
      <w:r>
        <w:rPr>
          <w:sz w:val="22"/>
        </w:rPr>
        <w:tab/>
      </w:r>
      <w:r>
        <w:rPr>
          <w:sz w:val="22"/>
        </w:rPr>
        <w:tab/>
      </w:r>
      <w:r>
        <w:rPr>
          <w:sz w:val="22"/>
        </w:rPr>
        <w:tab/>
      </w:r>
      <w:r>
        <w:rPr>
          <w:sz w:val="22"/>
        </w:rPr>
        <w:tab/>
      </w:r>
      <w:r>
        <w:rPr>
          <w:sz w:val="22"/>
        </w:rPr>
        <w:tab/>
      </w:r>
      <w:r>
        <w:rPr>
          <w:sz w:val="22"/>
        </w:rPr>
        <w:tab/>
      </w:r>
      <w:r>
        <w:rPr>
          <w:sz w:val="22"/>
        </w:rPr>
        <w:tab/>
      </w:r>
      <w:r>
        <w:rPr>
          <w:noProof/>
          <w:lang w:eastAsia="en-AU"/>
        </w:rPr>
        <w:drawing>
          <wp:inline distT="0" distB="0" distL="0" distR="0">
            <wp:extent cx="2542995" cy="530122"/>
            <wp:effectExtent l="19050" t="0" r="0" b="0"/>
            <wp:docPr id="16" name="Picture 1" descr="http://ishare.env.sa.gov.au/Business/Community-Engagement/SiteAssets/SitePages/Branding%20guidelines%20and%20templates/DEWNR_150_RGB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hare.env.sa.gov.au/Business/Community-Engagement/SiteAssets/SitePages/Branding%20guidelines%20and%20templates/DEWNR_150_RGB_Horiz.jpg"/>
                    <pic:cNvPicPr>
                      <a:picLocks noChangeAspect="1" noChangeArrowheads="1"/>
                    </pic:cNvPicPr>
                  </pic:nvPicPr>
                  <pic:blipFill>
                    <a:blip r:embed="rId8" r:link="rId9" cstate="print"/>
                    <a:srcRect/>
                    <a:stretch>
                      <a:fillRect/>
                    </a:stretch>
                  </pic:blipFill>
                  <pic:spPr bwMode="auto">
                    <a:xfrm>
                      <a:off x="0" y="0"/>
                      <a:ext cx="2560180" cy="533704"/>
                    </a:xfrm>
                    <a:prstGeom prst="rect">
                      <a:avLst/>
                    </a:prstGeom>
                    <a:noFill/>
                    <a:ln w="9525">
                      <a:noFill/>
                      <a:miter lim="800000"/>
                      <a:headEnd/>
                      <a:tailEnd/>
                    </a:ln>
                  </pic:spPr>
                </pic:pic>
              </a:graphicData>
            </a:graphic>
          </wp:inline>
        </w:drawing>
      </w:r>
    </w:p>
    <w:p w:rsidR="00E23046" w:rsidRDefault="00E23046" w:rsidP="00BE53CF">
      <w:pPr>
        <w:pStyle w:val="ReportTitle"/>
        <w:spacing w:after="0"/>
        <w:rPr>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p>
    <w:p w:rsidR="00E23046" w:rsidRDefault="00E23046" w:rsidP="006B4AD4">
      <w:pPr>
        <w:pStyle w:val="ReportTitle"/>
        <w:spacing w:after="0"/>
        <w:rPr>
          <w:sz w:val="40"/>
          <w:szCs w:val="40"/>
        </w:rPr>
      </w:pPr>
    </w:p>
    <w:p w:rsidR="00E23046" w:rsidRDefault="00E23046" w:rsidP="003E2FEA">
      <w:pPr>
        <w:pStyle w:val="ReportTitle"/>
        <w:spacing w:after="0"/>
        <w:ind w:left="142"/>
        <w:rPr>
          <w:sz w:val="40"/>
          <w:szCs w:val="40"/>
        </w:rPr>
      </w:pPr>
    </w:p>
    <w:p w:rsidR="004C4A24" w:rsidRPr="006B4AD4" w:rsidRDefault="0035132E" w:rsidP="003E2FEA">
      <w:pPr>
        <w:pStyle w:val="ReportTitle"/>
        <w:spacing w:after="0"/>
        <w:ind w:left="142"/>
        <w:rPr>
          <w:sz w:val="44"/>
          <w:szCs w:val="44"/>
        </w:rPr>
      </w:pPr>
      <w:bookmarkStart w:id="0" w:name="OLE_LINK6"/>
      <w:bookmarkStart w:id="1" w:name="OLE_LINK7"/>
      <w:r w:rsidRPr="006B4AD4">
        <w:rPr>
          <w:sz w:val="44"/>
          <w:szCs w:val="44"/>
        </w:rPr>
        <w:t xml:space="preserve">National Recovery Plan for the </w:t>
      </w:r>
    </w:p>
    <w:p w:rsidR="0035132E" w:rsidRPr="007B2531" w:rsidRDefault="0035132E" w:rsidP="003E2FEA">
      <w:pPr>
        <w:pStyle w:val="ReportTitle"/>
        <w:spacing w:after="0"/>
        <w:ind w:left="142"/>
        <w:rPr>
          <w:i/>
          <w:sz w:val="40"/>
          <w:szCs w:val="40"/>
        </w:rPr>
      </w:pPr>
      <w:r w:rsidRPr="006B4AD4">
        <w:rPr>
          <w:sz w:val="44"/>
          <w:szCs w:val="44"/>
        </w:rPr>
        <w:t>Plains</w:t>
      </w:r>
      <w:r w:rsidR="004C4A24" w:rsidRPr="006B4AD4">
        <w:rPr>
          <w:sz w:val="44"/>
          <w:szCs w:val="44"/>
        </w:rPr>
        <w:t>-</w:t>
      </w:r>
      <w:r w:rsidRPr="006B4AD4">
        <w:rPr>
          <w:sz w:val="44"/>
          <w:szCs w:val="44"/>
        </w:rPr>
        <w:t xml:space="preserve">wanderer </w:t>
      </w:r>
      <w:r w:rsidRPr="006B4AD4">
        <w:rPr>
          <w:i/>
          <w:sz w:val="44"/>
          <w:szCs w:val="44"/>
        </w:rPr>
        <w:t xml:space="preserve">(Pedionomus torquatus) </w:t>
      </w:r>
    </w:p>
    <w:bookmarkEnd w:id="0"/>
    <w:bookmarkEnd w:id="1"/>
    <w:p w:rsidR="0035132E" w:rsidRPr="00226E9E" w:rsidRDefault="0035132E" w:rsidP="003E2FEA">
      <w:pPr>
        <w:pStyle w:val="Reportsubtitle"/>
        <w:ind w:left="1361"/>
        <w:rPr>
          <w:sz w:val="22"/>
        </w:rPr>
      </w:pPr>
    </w:p>
    <w:p w:rsidR="0035132E" w:rsidRPr="00226E9E" w:rsidRDefault="0035132E" w:rsidP="003E2FEA">
      <w:pPr>
        <w:pStyle w:val="Reportsubtitle"/>
        <w:ind w:left="1361"/>
        <w:rPr>
          <w:sz w:val="22"/>
        </w:rPr>
      </w:pPr>
    </w:p>
    <w:p w:rsidR="0035132E" w:rsidRPr="00226E9E" w:rsidRDefault="0035132E" w:rsidP="006B4AD4">
      <w:pPr>
        <w:pStyle w:val="Reportsubtitle"/>
        <w:ind w:left="-142" w:hanging="1219"/>
        <w:rPr>
          <w:sz w:val="22"/>
        </w:rPr>
      </w:pPr>
      <w:r w:rsidRPr="00226E9E">
        <w:rPr>
          <w:noProof/>
          <w:sz w:val="22"/>
          <w:lang w:eastAsia="en-AU"/>
        </w:rPr>
        <w:drawing>
          <wp:inline distT="0" distB="0" distL="0" distR="0">
            <wp:extent cx="7452803" cy="4600263"/>
            <wp:effectExtent l="19050" t="19050" r="14797" b="9837"/>
            <wp:docPr id="7" name="Picture 2" descr="Image of a male plains-wanderer protecting multiple chicks in suitable grassland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7166\AppData\Local\Microsoft\Windows\Temporary Internet Files\Content.Outlook\BNL6JS2Z\Male Pw and chicks.JPG"/>
                    <pic:cNvPicPr>
                      <a:picLocks noChangeAspect="1" noChangeArrowheads="1"/>
                    </pic:cNvPicPr>
                  </pic:nvPicPr>
                  <pic:blipFill>
                    <a:blip r:embed="rId10" cstate="print"/>
                    <a:srcRect t="8382"/>
                    <a:stretch>
                      <a:fillRect/>
                    </a:stretch>
                  </pic:blipFill>
                  <pic:spPr bwMode="auto">
                    <a:xfrm>
                      <a:off x="0" y="0"/>
                      <a:ext cx="7452803" cy="4600263"/>
                    </a:xfrm>
                    <a:prstGeom prst="rect">
                      <a:avLst/>
                    </a:prstGeom>
                    <a:noFill/>
                    <a:ln w="9525">
                      <a:solidFill>
                        <a:schemeClr val="accent6">
                          <a:lumMod val="75000"/>
                        </a:schemeClr>
                      </a:solidFill>
                      <a:miter lim="800000"/>
                      <a:headEnd/>
                      <a:tailEnd/>
                    </a:ln>
                  </pic:spPr>
                </pic:pic>
              </a:graphicData>
            </a:graphic>
          </wp:inline>
        </w:drawing>
      </w:r>
    </w:p>
    <w:p w:rsidR="0035132E" w:rsidRDefault="0035132E" w:rsidP="003E2FEA">
      <w:pPr>
        <w:pStyle w:val="Reportsubtitle"/>
        <w:ind w:left="142" w:right="-569"/>
        <w:rPr>
          <w:sz w:val="22"/>
        </w:rPr>
      </w:pPr>
      <w:r w:rsidRPr="00226E9E">
        <w:rPr>
          <w:sz w:val="22"/>
        </w:rPr>
        <w:t xml:space="preserve">   </w:t>
      </w:r>
    </w:p>
    <w:p w:rsidR="006B4AD4" w:rsidRDefault="006B4AD4" w:rsidP="003E2FEA">
      <w:pPr>
        <w:pStyle w:val="Reportsubtitle"/>
        <w:ind w:left="142" w:right="-569"/>
        <w:rPr>
          <w:sz w:val="22"/>
        </w:rPr>
      </w:pPr>
    </w:p>
    <w:p w:rsidR="006B4AD4" w:rsidRPr="006B4AD4" w:rsidRDefault="00C01010" w:rsidP="003E2FEA">
      <w:pPr>
        <w:pStyle w:val="Reportsubtitle"/>
        <w:ind w:left="142" w:right="-569"/>
        <w:rPr>
          <w:color w:val="808080" w:themeColor="background1" w:themeShade="80"/>
          <w:szCs w:val="32"/>
        </w:rPr>
        <w:sectPr w:rsidR="006B4AD4" w:rsidRPr="006B4AD4" w:rsidSect="005E2592">
          <w:headerReference w:type="even" r:id="rId11"/>
          <w:headerReference w:type="default" r:id="rId12"/>
          <w:footerReference w:type="even" r:id="rId13"/>
          <w:footerReference w:type="default" r:id="rId14"/>
          <w:headerReference w:type="first" r:id="rId15"/>
          <w:footerReference w:type="first" r:id="rId16"/>
          <w:pgSz w:w="11906" w:h="16838" w:code="9"/>
          <w:pgMar w:top="1389" w:right="1276" w:bottom="567" w:left="1418" w:header="425" w:footer="425" w:gutter="0"/>
          <w:pgNumType w:start="1"/>
          <w:cols w:space="708"/>
          <w:titlePg/>
          <w:docGrid w:linePitch="360"/>
        </w:sectPr>
      </w:pPr>
      <w:r>
        <w:rPr>
          <w:color w:val="808080" w:themeColor="background1" w:themeShade="80"/>
          <w:szCs w:val="32"/>
        </w:rPr>
        <w:t>June</w:t>
      </w:r>
      <w:r w:rsidR="00204645">
        <w:rPr>
          <w:color w:val="808080" w:themeColor="background1" w:themeShade="80"/>
          <w:szCs w:val="32"/>
        </w:rPr>
        <w:t xml:space="preserve"> </w:t>
      </w:r>
      <w:r w:rsidR="006B4AD4">
        <w:rPr>
          <w:color w:val="808080" w:themeColor="background1" w:themeShade="80"/>
          <w:szCs w:val="32"/>
        </w:rPr>
        <w:t>2016</w:t>
      </w:r>
    </w:p>
    <w:p w:rsidR="004D69BD" w:rsidRDefault="003A7A9B" w:rsidP="003A7A9B">
      <w:pPr>
        <w:tabs>
          <w:tab w:val="left" w:pos="5355"/>
        </w:tabs>
        <w:spacing w:after="0"/>
        <w:rPr>
          <w:rFonts w:eastAsia="Times New Roman" w:cs="Arial"/>
          <w:color w:val="000000"/>
          <w:szCs w:val="20"/>
          <w:lang w:eastAsia="en-AU"/>
        </w:rPr>
      </w:pPr>
      <w:bookmarkStart w:id="2" w:name="_Toc390850780"/>
      <w:r>
        <w:rPr>
          <w:rFonts w:eastAsia="Times New Roman" w:cs="Arial"/>
          <w:color w:val="000000"/>
          <w:szCs w:val="20"/>
          <w:lang w:eastAsia="en-AU"/>
        </w:rPr>
        <w:lastRenderedPageBreak/>
        <w:tab/>
      </w:r>
    </w:p>
    <w:p w:rsidR="004D69BD" w:rsidRDefault="004D69BD" w:rsidP="003E2FEA">
      <w:pPr>
        <w:spacing w:after="0"/>
        <w:rPr>
          <w:rFonts w:eastAsia="Times New Roman" w:cs="Arial"/>
          <w:color w:val="000000"/>
          <w:szCs w:val="20"/>
          <w:lang w:eastAsia="en-AU"/>
        </w:rPr>
      </w:pPr>
    </w:p>
    <w:p w:rsidR="007C20F9" w:rsidRPr="004D69BD" w:rsidRDefault="007C20F9" w:rsidP="003E2FEA">
      <w:pPr>
        <w:spacing w:after="0"/>
        <w:rPr>
          <w:rFonts w:eastAsia="Times New Roman" w:cs="Arial"/>
          <w:color w:val="000000"/>
          <w:szCs w:val="20"/>
          <w:lang w:eastAsia="en-AU"/>
        </w:rPr>
      </w:pPr>
      <w:r w:rsidRPr="004D69BD">
        <w:rPr>
          <w:rFonts w:eastAsia="Times New Roman" w:cs="Arial"/>
          <w:color w:val="000000"/>
          <w:szCs w:val="20"/>
          <w:lang w:eastAsia="en-AU"/>
        </w:rPr>
        <w:t>© Copyright Commonwealth of Australia, 2016.</w:t>
      </w:r>
    </w:p>
    <w:p w:rsidR="004D69BD" w:rsidRPr="004D69BD" w:rsidRDefault="007C20F9" w:rsidP="003E2FEA">
      <w:pPr>
        <w:spacing w:before="240" w:after="0"/>
        <w:rPr>
          <w:rFonts w:eastAsia="Times New Roman" w:cs="Arial"/>
          <w:color w:val="000000"/>
          <w:szCs w:val="20"/>
          <w:lang w:eastAsia="en-AU"/>
        </w:rPr>
      </w:pPr>
      <w:r w:rsidRPr="004D69BD">
        <w:rPr>
          <w:rFonts w:eastAsia="Times New Roman" w:cs="Arial"/>
          <w:noProof/>
          <w:color w:val="000000"/>
          <w:szCs w:val="20"/>
          <w:lang w:eastAsia="en-AU"/>
        </w:rPr>
        <w:drawing>
          <wp:inline distT="0" distB="0" distL="0" distR="0">
            <wp:extent cx="1812925" cy="461010"/>
            <wp:effectExtent l="19050" t="0" r="0" b="0"/>
            <wp:docPr id="1"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7" cstate="print"/>
                    <a:srcRect/>
                    <a:stretch>
                      <a:fillRect/>
                    </a:stretch>
                  </pic:blipFill>
                  <pic:spPr bwMode="auto">
                    <a:xfrm>
                      <a:off x="0" y="0"/>
                      <a:ext cx="1812925" cy="461010"/>
                    </a:xfrm>
                    <a:prstGeom prst="rect">
                      <a:avLst/>
                    </a:prstGeom>
                    <a:noFill/>
                    <a:ln w="9525">
                      <a:noFill/>
                      <a:miter lim="800000"/>
                      <a:headEnd/>
                      <a:tailEnd/>
                    </a:ln>
                  </pic:spPr>
                </pic:pic>
              </a:graphicData>
            </a:graphic>
          </wp:inline>
        </w:drawing>
      </w:r>
    </w:p>
    <w:p w:rsidR="007C20F9" w:rsidRPr="004D69BD" w:rsidRDefault="007C20F9" w:rsidP="003E2FEA">
      <w:pPr>
        <w:rPr>
          <w:rFonts w:eastAsia="Times New Roman" w:cs="Arial"/>
          <w:color w:val="000000"/>
          <w:szCs w:val="20"/>
          <w:lang w:eastAsia="en-AU"/>
        </w:rPr>
      </w:pPr>
      <w:r w:rsidRPr="004D69BD">
        <w:rPr>
          <w:rFonts w:eastAsia="Times New Roman" w:cs="Arial"/>
          <w:color w:val="000000"/>
          <w:szCs w:val="20"/>
          <w:lang w:eastAsia="en-AU"/>
        </w:rPr>
        <w:br/>
        <w:t xml:space="preserve">The National Recovery Plan for the Plains-wanderer </w:t>
      </w:r>
      <w:r w:rsidRPr="004D69BD">
        <w:rPr>
          <w:rFonts w:eastAsia="Times New Roman" w:cs="Arial"/>
          <w:i/>
          <w:color w:val="000000"/>
          <w:szCs w:val="20"/>
          <w:lang w:eastAsia="en-AU"/>
        </w:rPr>
        <w:t>(Pedionomus torquatus)</w:t>
      </w:r>
      <w:r w:rsidRPr="004D69BD">
        <w:rPr>
          <w:rFonts w:eastAsia="Times New Roman" w:cs="Arial"/>
          <w:color w:val="000000"/>
          <w:szCs w:val="20"/>
          <w:lang w:eastAsia="en-AU"/>
        </w:rPr>
        <w:t xml:space="preserve"> is licensed by the Commonwealth of Australia for use under a Creative Commons Attribution 4.0 licence with the exception of the Coat of Arms of the Commonwealth of Australia, the logo of the agency responsible for publishing the report, content supplied by third parties, and any images depicting people. For licence conditions see: </w:t>
      </w:r>
      <w:hyperlink r:id="rId18" w:history="1">
        <w:r w:rsidRPr="004D69BD">
          <w:rPr>
            <w:rFonts w:eastAsia="Times New Roman" w:cs="Arial"/>
            <w:color w:val="3966BF"/>
            <w:szCs w:val="20"/>
            <w:lang w:eastAsia="en-AU"/>
          </w:rPr>
          <w:t>https://creativecommons.org/licenses/by/4.0/</w:t>
        </w:r>
      </w:hyperlink>
      <w:r w:rsidR="004D69BD" w:rsidRPr="004D69BD">
        <w:rPr>
          <w:rFonts w:eastAsia="Times New Roman" w:cs="Arial"/>
          <w:color w:val="000000"/>
          <w:szCs w:val="20"/>
          <w:lang w:eastAsia="en-AU"/>
        </w:rPr>
        <w:t>.</w:t>
      </w:r>
      <w:r w:rsidRPr="004D69BD">
        <w:rPr>
          <w:rFonts w:eastAsia="Times New Roman" w:cs="Arial"/>
          <w:color w:val="000000"/>
          <w:szCs w:val="20"/>
          <w:lang w:eastAsia="en-AU"/>
        </w:rPr>
        <w:t xml:space="preserve"> </w:t>
      </w:r>
    </w:p>
    <w:p w:rsidR="007C20F9" w:rsidRPr="004D69BD" w:rsidRDefault="007C20F9" w:rsidP="003E2FEA">
      <w:pPr>
        <w:rPr>
          <w:rFonts w:eastAsia="Times New Roman" w:cs="Arial"/>
          <w:color w:val="000000"/>
          <w:szCs w:val="20"/>
          <w:lang w:eastAsia="en-AU"/>
        </w:rPr>
      </w:pPr>
      <w:r w:rsidRPr="004D69BD">
        <w:rPr>
          <w:rFonts w:eastAsia="Times New Roman" w:cs="Arial"/>
          <w:color w:val="000000"/>
          <w:szCs w:val="20"/>
          <w:lang w:eastAsia="en-AU"/>
        </w:rPr>
        <w:t>This report should be attributed as ‘</w:t>
      </w:r>
      <w:r w:rsidR="004D69BD" w:rsidRPr="004D69BD">
        <w:rPr>
          <w:rFonts w:eastAsia="Times New Roman" w:cs="Arial"/>
          <w:color w:val="000000"/>
          <w:szCs w:val="20"/>
          <w:lang w:eastAsia="en-AU"/>
        </w:rPr>
        <w:t xml:space="preserve">National Recovery Plan for the Plains-wanderer </w:t>
      </w:r>
      <w:r w:rsidR="004D69BD">
        <w:rPr>
          <w:rFonts w:eastAsia="Times New Roman" w:cs="Arial"/>
          <w:i/>
          <w:color w:val="000000"/>
          <w:szCs w:val="20"/>
          <w:lang w:eastAsia="en-AU"/>
        </w:rPr>
        <w:t>(Pedionomus </w:t>
      </w:r>
      <w:r w:rsidR="004D69BD" w:rsidRPr="004D69BD">
        <w:rPr>
          <w:rFonts w:eastAsia="Times New Roman" w:cs="Arial"/>
          <w:i/>
          <w:color w:val="000000"/>
          <w:szCs w:val="20"/>
          <w:lang w:eastAsia="en-AU"/>
        </w:rPr>
        <w:t>torquatus)</w:t>
      </w:r>
      <w:r w:rsidRPr="004D69BD">
        <w:rPr>
          <w:rFonts w:eastAsia="Times New Roman" w:cs="Arial"/>
          <w:color w:val="000000"/>
          <w:szCs w:val="20"/>
          <w:lang w:eastAsia="en-AU"/>
        </w:rPr>
        <w:t xml:space="preserve">, Commonwealth of Australia </w:t>
      </w:r>
      <w:r w:rsidR="004D69BD" w:rsidRPr="004D69BD">
        <w:rPr>
          <w:rFonts w:eastAsia="Times New Roman" w:cs="Arial"/>
          <w:color w:val="000000"/>
          <w:szCs w:val="20"/>
          <w:lang w:eastAsia="en-AU"/>
        </w:rPr>
        <w:t>2016</w:t>
      </w:r>
      <w:r w:rsidRPr="004D69BD">
        <w:rPr>
          <w:rFonts w:eastAsia="Times New Roman" w:cs="Arial"/>
          <w:color w:val="000000"/>
          <w:szCs w:val="20"/>
          <w:lang w:eastAsia="en-AU"/>
        </w:rPr>
        <w:t>’.</w:t>
      </w:r>
    </w:p>
    <w:p w:rsidR="007C20F9" w:rsidRPr="004D69BD" w:rsidRDefault="007C20F9" w:rsidP="003E2FEA">
      <w:pPr>
        <w:spacing w:after="100"/>
        <w:rPr>
          <w:rFonts w:eastAsia="Times New Roman" w:cs="Arial"/>
          <w:color w:val="000000"/>
          <w:szCs w:val="20"/>
          <w:lang w:eastAsia="en-AU"/>
        </w:rPr>
      </w:pPr>
      <w:r w:rsidRPr="004D69BD">
        <w:rPr>
          <w:rFonts w:eastAsia="Times New Roman" w:cs="Arial"/>
          <w:color w:val="000000"/>
          <w:szCs w:val="20"/>
          <w:lang w:eastAsia="en-AU"/>
        </w:rPr>
        <w:t>The Commonwealth of Australia has made all reasonable efforts to identify content supplied by third parties using the following format ‘© Copyright, [</w:t>
      </w:r>
      <w:r w:rsidRPr="004D69BD">
        <w:rPr>
          <w:rFonts w:eastAsia="Times New Roman" w:cs="Arial"/>
          <w:i/>
          <w:iCs/>
          <w:color w:val="000000"/>
          <w:szCs w:val="20"/>
          <w:lang w:eastAsia="en-AU"/>
        </w:rPr>
        <w:t>name of third party</w:t>
      </w:r>
      <w:r w:rsidRPr="004D69BD">
        <w:rPr>
          <w:rFonts w:eastAsia="Times New Roman" w:cs="Arial"/>
          <w:color w:val="000000"/>
          <w:szCs w:val="20"/>
          <w:lang w:eastAsia="en-AU"/>
        </w:rPr>
        <w:t>] ’.</w:t>
      </w:r>
    </w:p>
    <w:bookmarkEnd w:id="2"/>
    <w:p w:rsidR="0035132E" w:rsidRPr="004D69BD" w:rsidRDefault="0035132E" w:rsidP="003E2FEA">
      <w:pPr>
        <w:rPr>
          <w:rFonts w:cs="Arial"/>
          <w:szCs w:val="20"/>
        </w:rPr>
      </w:pPr>
    </w:p>
    <w:p w:rsidR="004D69BD" w:rsidRDefault="004D69BD" w:rsidP="003E2FEA">
      <w:pPr>
        <w:rPr>
          <w:rFonts w:cs="Arial"/>
          <w:b/>
          <w:szCs w:val="20"/>
        </w:rPr>
      </w:pPr>
    </w:p>
    <w:p w:rsidR="004D69BD" w:rsidRDefault="004D69BD" w:rsidP="003E2FEA">
      <w:pPr>
        <w:rPr>
          <w:rFonts w:cs="Arial"/>
          <w:b/>
          <w:szCs w:val="20"/>
        </w:rPr>
      </w:pPr>
    </w:p>
    <w:p w:rsidR="0035132E" w:rsidRPr="004D69BD" w:rsidRDefault="0035132E" w:rsidP="003E2FEA">
      <w:pPr>
        <w:rPr>
          <w:rFonts w:cs="Arial"/>
          <w:b/>
          <w:szCs w:val="20"/>
        </w:rPr>
      </w:pPr>
      <w:r w:rsidRPr="004D69BD">
        <w:rPr>
          <w:rFonts w:cs="Arial"/>
          <w:b/>
          <w:szCs w:val="20"/>
        </w:rPr>
        <w:t xml:space="preserve">Disclaimer </w:t>
      </w:r>
    </w:p>
    <w:p w:rsidR="007C20F9" w:rsidRPr="004D69BD" w:rsidRDefault="007C20F9" w:rsidP="003E2FEA">
      <w:pPr>
        <w:pStyle w:val="NormalWeb"/>
        <w:shd w:val="clear" w:color="auto" w:fill="FFFFFF"/>
        <w:spacing w:line="276" w:lineRule="auto"/>
        <w:textAlignment w:val="top"/>
        <w:rPr>
          <w:rFonts w:ascii="Arial" w:hAnsi="Arial" w:cs="Arial"/>
          <w:color w:val="000000"/>
          <w:sz w:val="20"/>
          <w:szCs w:val="20"/>
        </w:rPr>
      </w:pPr>
      <w:bookmarkStart w:id="3" w:name="_Toc390850782"/>
      <w:r w:rsidRPr="004D69BD">
        <w:rPr>
          <w:rFonts w:ascii="Arial" w:hAnsi="Arial" w:cs="Arial"/>
          <w:color w:val="000000"/>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bookmarkEnd w:id="3"/>
    <w:p w:rsidR="0035132E" w:rsidRPr="004D69BD" w:rsidRDefault="0035132E" w:rsidP="003E2FEA">
      <w:pPr>
        <w:rPr>
          <w:rFonts w:cs="Arial"/>
          <w:szCs w:val="20"/>
        </w:rPr>
      </w:pPr>
    </w:p>
    <w:p w:rsidR="004D69BD" w:rsidRDefault="004D69BD" w:rsidP="003E2FEA">
      <w:pPr>
        <w:rPr>
          <w:rStyle w:val="TextBold"/>
          <w:rFonts w:ascii="Arial" w:hAnsi="Arial" w:cs="Arial"/>
          <w:b/>
          <w:szCs w:val="20"/>
        </w:rPr>
      </w:pPr>
      <w:bookmarkStart w:id="4" w:name="_Toc390850783"/>
    </w:p>
    <w:p w:rsidR="004D69BD" w:rsidRDefault="004D69BD" w:rsidP="003E2FEA">
      <w:pPr>
        <w:rPr>
          <w:rStyle w:val="TextBold"/>
          <w:rFonts w:ascii="Arial" w:hAnsi="Arial" w:cs="Arial"/>
          <w:b/>
          <w:szCs w:val="20"/>
        </w:rPr>
      </w:pPr>
    </w:p>
    <w:p w:rsidR="0035132E" w:rsidRPr="004D69BD" w:rsidRDefault="003B20C9" w:rsidP="003B20C9">
      <w:pPr>
        <w:autoSpaceDE w:val="0"/>
        <w:rPr>
          <w:rStyle w:val="TextBold"/>
          <w:rFonts w:ascii="Arial" w:hAnsi="Arial" w:cs="Arial"/>
          <w:b/>
          <w:szCs w:val="20"/>
        </w:rPr>
      </w:pPr>
      <w:r>
        <w:rPr>
          <w:rStyle w:val="TextBold"/>
          <w:rFonts w:ascii="ZWAdobeF" w:hAnsi="ZWAdobeF" w:cs="ZWAdobeF"/>
          <w:sz w:val="2"/>
          <w:szCs w:val="2"/>
        </w:rPr>
        <w:t>14T</w:t>
      </w:r>
      <w:r w:rsidR="0035132E" w:rsidRPr="004D69BD">
        <w:rPr>
          <w:rStyle w:val="TextBold"/>
          <w:rFonts w:ascii="Arial" w:hAnsi="Arial" w:cs="Arial"/>
          <w:b/>
          <w:szCs w:val="20"/>
        </w:rPr>
        <w:t>Image credits</w:t>
      </w:r>
      <w:bookmarkEnd w:id="4"/>
      <w:r w:rsidR="0035132E" w:rsidRPr="004D69BD">
        <w:rPr>
          <w:rStyle w:val="TextBold"/>
          <w:rFonts w:ascii="Arial" w:hAnsi="Arial" w:cs="Arial"/>
          <w:b/>
          <w:szCs w:val="20"/>
        </w:rPr>
        <w:t xml:space="preserve"> </w:t>
      </w:r>
    </w:p>
    <w:p w:rsidR="0035132E" w:rsidRPr="004D69BD" w:rsidRDefault="004D69BD" w:rsidP="003E2FEA">
      <w:pPr>
        <w:spacing w:after="0"/>
        <w:rPr>
          <w:rFonts w:cs="Arial"/>
          <w:szCs w:val="20"/>
        </w:rPr>
      </w:pPr>
      <w:r>
        <w:rPr>
          <w:rFonts w:cs="Arial"/>
          <w:szCs w:val="20"/>
        </w:rPr>
        <w:t xml:space="preserve">Front </w:t>
      </w:r>
      <w:r w:rsidR="0035132E" w:rsidRPr="004D69BD">
        <w:rPr>
          <w:rFonts w:cs="Arial"/>
          <w:szCs w:val="20"/>
        </w:rPr>
        <w:t xml:space="preserve">Cover: </w:t>
      </w:r>
    </w:p>
    <w:p w:rsidR="0035132E" w:rsidRPr="004D69BD" w:rsidRDefault="0035132E" w:rsidP="003E2FEA">
      <w:pPr>
        <w:spacing w:after="0"/>
        <w:rPr>
          <w:rFonts w:cs="Arial"/>
          <w:szCs w:val="20"/>
        </w:rPr>
      </w:pPr>
      <w:proofErr w:type="gramStart"/>
      <w:r w:rsidRPr="004D69BD">
        <w:rPr>
          <w:rFonts w:cs="Arial"/>
          <w:szCs w:val="20"/>
        </w:rPr>
        <w:t>Male plains-wanderer with chicks in grassland</w:t>
      </w:r>
      <w:r w:rsidR="004D69BD">
        <w:rPr>
          <w:rFonts w:cs="Arial"/>
          <w:szCs w:val="20"/>
        </w:rPr>
        <w:t xml:space="preserve"> habitat</w:t>
      </w:r>
      <w:r w:rsidRPr="004D69BD">
        <w:rPr>
          <w:rFonts w:cs="Arial"/>
          <w:szCs w:val="20"/>
        </w:rPr>
        <w:t xml:space="preserve"> </w:t>
      </w:r>
      <w:r w:rsidR="004D69BD" w:rsidRPr="004D69BD">
        <w:rPr>
          <w:szCs w:val="20"/>
        </w:rPr>
        <w:t xml:space="preserve">(© Copyright, </w:t>
      </w:r>
      <w:r w:rsidRPr="004D69BD">
        <w:rPr>
          <w:rFonts w:cs="Arial"/>
          <w:szCs w:val="20"/>
        </w:rPr>
        <w:t>David Parker</w:t>
      </w:r>
      <w:r w:rsidR="004D69BD" w:rsidRPr="004D69BD">
        <w:rPr>
          <w:rFonts w:cs="Arial"/>
          <w:szCs w:val="20"/>
        </w:rPr>
        <w:t>)</w:t>
      </w:r>
      <w:r w:rsidR="004D69BD">
        <w:rPr>
          <w:rFonts w:cs="Arial"/>
          <w:szCs w:val="20"/>
        </w:rPr>
        <w:t>.</w:t>
      </w:r>
      <w:proofErr w:type="gramEnd"/>
    </w:p>
    <w:p w:rsidR="004D69BD" w:rsidRDefault="004D69BD" w:rsidP="003E2FEA">
      <w:pPr>
        <w:spacing w:after="0"/>
        <w:rPr>
          <w:rFonts w:cs="Arial"/>
          <w:szCs w:val="20"/>
        </w:rPr>
      </w:pPr>
    </w:p>
    <w:p w:rsidR="0035132E" w:rsidRPr="004D69BD" w:rsidRDefault="0035132E" w:rsidP="003E2FEA">
      <w:pPr>
        <w:spacing w:after="0"/>
        <w:rPr>
          <w:rFonts w:cs="Arial"/>
          <w:szCs w:val="20"/>
        </w:rPr>
      </w:pPr>
      <w:r w:rsidRPr="004D69BD">
        <w:rPr>
          <w:rFonts w:cs="Arial"/>
          <w:szCs w:val="20"/>
        </w:rPr>
        <w:t>Page 7:</w:t>
      </w:r>
    </w:p>
    <w:p w:rsidR="0035132E" w:rsidRPr="004D69BD" w:rsidRDefault="0035132E" w:rsidP="003E2FEA">
      <w:pPr>
        <w:spacing w:after="0"/>
        <w:rPr>
          <w:rFonts w:cs="Arial"/>
          <w:szCs w:val="20"/>
        </w:rPr>
      </w:pPr>
      <w:proofErr w:type="gramStart"/>
      <w:r w:rsidRPr="004D69BD">
        <w:rPr>
          <w:rFonts w:cs="Arial"/>
          <w:szCs w:val="20"/>
        </w:rPr>
        <w:t>Male and female plains-wanderers in grassland habitat</w:t>
      </w:r>
      <w:r w:rsidR="004D69BD">
        <w:rPr>
          <w:rFonts w:cs="Arial"/>
          <w:szCs w:val="20"/>
        </w:rPr>
        <w:t xml:space="preserve"> </w:t>
      </w:r>
      <w:r w:rsidR="004D69BD" w:rsidRPr="004D69BD">
        <w:rPr>
          <w:szCs w:val="20"/>
        </w:rPr>
        <w:t xml:space="preserve">(© Copyright, </w:t>
      </w:r>
      <w:r w:rsidRPr="004D69BD">
        <w:rPr>
          <w:rFonts w:cs="Arial"/>
          <w:szCs w:val="20"/>
        </w:rPr>
        <w:t>David Baker-Gabb</w:t>
      </w:r>
      <w:r w:rsidR="004D69BD">
        <w:rPr>
          <w:rFonts w:cs="Arial"/>
          <w:szCs w:val="20"/>
        </w:rPr>
        <w:t>).</w:t>
      </w:r>
      <w:proofErr w:type="gramEnd"/>
    </w:p>
    <w:p w:rsidR="000D6D58" w:rsidRPr="004D69BD" w:rsidRDefault="000D6D58" w:rsidP="003E2FEA">
      <w:pPr>
        <w:rPr>
          <w:rFonts w:cs="Arial"/>
          <w:szCs w:val="20"/>
        </w:rPr>
      </w:pPr>
    </w:p>
    <w:p w:rsidR="000D6D58" w:rsidRPr="004D69BD" w:rsidRDefault="000D6D58" w:rsidP="003B20C9">
      <w:pPr>
        <w:autoSpaceDE w:val="0"/>
        <w:rPr>
          <w:rFonts w:cs="Arial"/>
          <w:szCs w:val="20"/>
        </w:rPr>
      </w:pPr>
      <w:r w:rsidRPr="004D69BD">
        <w:rPr>
          <w:rFonts w:cs="Arial"/>
          <w:szCs w:val="20"/>
        </w:rPr>
        <w:t xml:space="preserve">The Species Profile and Threats Database pages linked to this recovery plan is obtainable from: </w:t>
      </w:r>
      <w:r w:rsidRPr="004D69BD">
        <w:rPr>
          <w:rFonts w:cs="Arial"/>
          <w:szCs w:val="20"/>
        </w:rPr>
        <w:br/>
      </w:r>
      <w:hyperlink r:id="rId19" w:history="1">
        <w:r w:rsidR="003B20C9">
          <w:rPr>
            <w:rFonts w:ascii="ZWAdobeF" w:hAnsi="ZWAdobeF" w:cs="ZWAdobeF"/>
            <w:sz w:val="2"/>
            <w:szCs w:val="2"/>
          </w:rPr>
          <w:t>7TU</w:t>
        </w:r>
        <w:r w:rsidRPr="004D69BD">
          <w:rPr>
            <w:rStyle w:val="Hyperlink"/>
            <w:rFonts w:cs="Arial"/>
            <w:szCs w:val="20"/>
          </w:rPr>
          <w:t>http://www.environment.gov.au/cgi-bin/sprat/public/sprat.pl</w:t>
        </w:r>
        <w:r w:rsidR="003B20C9">
          <w:rPr>
            <w:rStyle w:val="Hyperlink"/>
            <w:rFonts w:ascii="ZWAdobeF" w:hAnsi="ZWAdobeF" w:cs="ZWAdobeF"/>
            <w:color w:val="auto"/>
            <w:sz w:val="2"/>
            <w:szCs w:val="2"/>
            <w:u w:val="none"/>
          </w:rPr>
          <w:t>U7T</w:t>
        </w:r>
      </w:hyperlink>
    </w:p>
    <w:p w:rsidR="0035132E" w:rsidRPr="004D69BD" w:rsidRDefault="0035132E" w:rsidP="003E2FEA">
      <w:pPr>
        <w:rPr>
          <w:rFonts w:cs="Arial"/>
          <w:szCs w:val="20"/>
        </w:rPr>
      </w:pPr>
      <w:r w:rsidRPr="004D69BD">
        <w:rPr>
          <w:rFonts w:cs="Arial"/>
          <w:szCs w:val="20"/>
        </w:rPr>
        <w:br w:type="page"/>
      </w:r>
    </w:p>
    <w:bookmarkStart w:id="5" w:name="_Toc256000000" w:displacedByCustomXml="next"/>
    <w:sdt>
      <w:sdtPr>
        <w:rPr>
          <w:b w:val="0"/>
          <w:bCs/>
          <w:caps/>
          <w:highlight w:val="yellow"/>
        </w:rPr>
        <w:id w:val="9750151"/>
        <w:docPartObj>
          <w:docPartGallery w:val="Table of Contents"/>
          <w:docPartUnique/>
        </w:docPartObj>
      </w:sdtPr>
      <w:sdtEndPr>
        <w:rPr>
          <w:bCs w:val="0"/>
          <w:caps w:val="0"/>
          <w:sz w:val="22"/>
        </w:rPr>
      </w:sdtEndPr>
      <w:sdtContent>
        <w:bookmarkEnd w:id="5" w:displacedByCustomXml="prev"/>
        <w:bookmarkStart w:id="6" w:name="_Toc445297882" w:displacedByCustomXml="prev"/>
        <w:p w:rsidR="00894242" w:rsidRDefault="00142921">
          <w:pPr>
            <w:pStyle w:val="TOC1"/>
            <w:rPr>
              <w:rFonts w:asciiTheme="minorHAnsi" w:eastAsiaTheme="minorEastAsia" w:hAnsiTheme="minorHAnsi" w:cstheme="minorBidi"/>
              <w:b w:val="0"/>
              <w:noProof/>
              <w:sz w:val="22"/>
              <w:lang w:eastAsia="en-AU"/>
            </w:rPr>
          </w:pPr>
          <w:r w:rsidRPr="00142921">
            <w:rPr>
              <w:rStyle w:val="Heading1Char"/>
              <w:b w:val="0"/>
            </w:rPr>
            <w:t>Table of contents</w:t>
          </w:r>
          <w:bookmarkEnd w:id="6"/>
          <w:r w:rsidRPr="00142921">
            <w:rPr>
              <w:rStyle w:val="Heading1Char"/>
              <w:b w:val="0"/>
            </w:rPr>
            <w:t xml:space="preserve"> </w:t>
          </w:r>
          <w:r w:rsidR="009512A9" w:rsidRPr="009512A9">
            <w:rPr>
              <w:color w:val="548DD4" w:themeColor="text2" w:themeTint="99"/>
              <w:highlight w:val="yellow"/>
            </w:rPr>
            <w:fldChar w:fldCharType="begin"/>
          </w:r>
          <w:r w:rsidR="0035132E" w:rsidRPr="00226E9E">
            <w:rPr>
              <w:highlight w:val="yellow"/>
            </w:rPr>
            <w:instrText xml:space="preserve"> TOC \o "1-3" \h \z \u </w:instrText>
          </w:r>
          <w:r w:rsidR="009512A9" w:rsidRPr="009512A9">
            <w:rPr>
              <w:color w:val="548DD4" w:themeColor="text2" w:themeTint="99"/>
              <w:highlight w:val="yellow"/>
            </w:rPr>
            <w:fldChar w:fldCharType="separate"/>
          </w:r>
        </w:p>
        <w:p w:rsidR="00142921" w:rsidRDefault="009512A9" w:rsidP="00142921">
          <w:pPr>
            <w:pStyle w:val="TOC1"/>
            <w:rPr>
              <w:rFonts w:asciiTheme="minorHAnsi" w:eastAsiaTheme="minorEastAsia" w:hAnsiTheme="minorHAnsi" w:cstheme="minorBidi"/>
              <w:noProof/>
              <w:sz w:val="22"/>
              <w:lang w:eastAsia="en-AU"/>
            </w:rPr>
          </w:pPr>
          <w:hyperlink w:anchor="_Toc445307792" w:history="1">
            <w:r w:rsidR="00894242" w:rsidRPr="003C0990">
              <w:rPr>
                <w:rStyle w:val="Hyperlink"/>
                <w:noProof/>
              </w:rPr>
              <w:t xml:space="preserve">1 </w:t>
            </w:r>
            <w:r w:rsidR="00894242">
              <w:rPr>
                <w:rFonts w:asciiTheme="minorHAnsi" w:eastAsiaTheme="minorEastAsia" w:hAnsiTheme="minorHAnsi" w:cstheme="minorBidi"/>
                <w:b w:val="0"/>
                <w:noProof/>
                <w:sz w:val="22"/>
                <w:lang w:eastAsia="en-AU"/>
              </w:rPr>
              <w:tab/>
            </w:r>
            <w:r w:rsidR="00894242" w:rsidRPr="003C0990">
              <w:rPr>
                <w:rStyle w:val="Hyperlink"/>
                <w:noProof/>
              </w:rPr>
              <w:t>Summary</w:t>
            </w:r>
            <w:r w:rsidR="00894242">
              <w:rPr>
                <w:noProof/>
                <w:webHidden/>
              </w:rPr>
              <w:tab/>
            </w:r>
            <w:r>
              <w:rPr>
                <w:noProof/>
                <w:webHidden/>
              </w:rPr>
              <w:fldChar w:fldCharType="begin"/>
            </w:r>
            <w:r w:rsidR="00894242">
              <w:rPr>
                <w:noProof/>
                <w:webHidden/>
              </w:rPr>
              <w:instrText xml:space="preserve"> PAGEREF _Toc445307792 \h </w:instrText>
            </w:r>
            <w:r>
              <w:rPr>
                <w:noProof/>
                <w:webHidden/>
              </w:rPr>
            </w:r>
            <w:r>
              <w:rPr>
                <w:noProof/>
                <w:webHidden/>
              </w:rPr>
              <w:fldChar w:fldCharType="separate"/>
            </w:r>
            <w:r w:rsidR="00204645">
              <w:rPr>
                <w:noProof/>
                <w:webHidden/>
              </w:rPr>
              <w:t>5</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799" w:history="1">
            <w:r w:rsidR="00894242" w:rsidRPr="003C0990">
              <w:rPr>
                <w:rStyle w:val="Hyperlink"/>
                <w:noProof/>
              </w:rPr>
              <w:t>2</w:t>
            </w:r>
            <w:r w:rsidR="00894242">
              <w:rPr>
                <w:rFonts w:asciiTheme="minorHAnsi" w:eastAsiaTheme="minorEastAsia" w:hAnsiTheme="minorHAnsi" w:cstheme="minorBidi"/>
                <w:b w:val="0"/>
                <w:noProof/>
                <w:sz w:val="22"/>
                <w:lang w:eastAsia="en-AU"/>
              </w:rPr>
              <w:tab/>
            </w:r>
            <w:r w:rsidR="00894242" w:rsidRPr="003C0990">
              <w:rPr>
                <w:rStyle w:val="Hyperlink"/>
                <w:noProof/>
              </w:rPr>
              <w:t>Introduction</w:t>
            </w:r>
            <w:r w:rsidR="00894242">
              <w:rPr>
                <w:noProof/>
                <w:webHidden/>
              </w:rPr>
              <w:tab/>
            </w:r>
            <w:r>
              <w:rPr>
                <w:noProof/>
                <w:webHidden/>
              </w:rPr>
              <w:fldChar w:fldCharType="begin"/>
            </w:r>
            <w:r w:rsidR="00894242">
              <w:rPr>
                <w:noProof/>
                <w:webHidden/>
              </w:rPr>
              <w:instrText xml:space="preserve"> PAGEREF _Toc445307799 \h </w:instrText>
            </w:r>
            <w:r>
              <w:rPr>
                <w:noProof/>
                <w:webHidden/>
              </w:rPr>
            </w:r>
            <w:r>
              <w:rPr>
                <w:noProof/>
                <w:webHidden/>
              </w:rPr>
              <w:fldChar w:fldCharType="separate"/>
            </w:r>
            <w:r w:rsidR="00204645">
              <w:rPr>
                <w:noProof/>
                <w:webHidden/>
              </w:rPr>
              <w:t>8</w:t>
            </w:r>
            <w:r>
              <w:rPr>
                <w:noProof/>
                <w:webHidden/>
              </w:rPr>
              <w:fldChar w:fldCharType="end"/>
            </w:r>
          </w:hyperlink>
        </w:p>
        <w:p w:rsidR="00894242" w:rsidRDefault="009512A9">
          <w:pPr>
            <w:pStyle w:val="TOC2"/>
            <w:rPr>
              <w:rFonts w:asciiTheme="minorHAnsi" w:eastAsiaTheme="minorEastAsia" w:hAnsiTheme="minorHAnsi" w:cstheme="minorBidi"/>
              <w:noProof/>
              <w:sz w:val="22"/>
              <w:lang w:eastAsia="en-AU"/>
            </w:rPr>
          </w:pPr>
          <w:hyperlink w:anchor="_Toc445307800" w:history="1">
            <w:r w:rsidR="00894242" w:rsidRPr="003C0990">
              <w:rPr>
                <w:rStyle w:val="Hyperlink"/>
                <w:noProof/>
              </w:rPr>
              <w:t>2.1</w:t>
            </w:r>
            <w:r w:rsidR="00894242">
              <w:rPr>
                <w:rFonts w:asciiTheme="minorHAnsi" w:eastAsiaTheme="minorEastAsia" w:hAnsiTheme="minorHAnsi" w:cstheme="minorBidi"/>
                <w:noProof/>
                <w:sz w:val="22"/>
                <w:lang w:eastAsia="en-AU"/>
              </w:rPr>
              <w:tab/>
            </w:r>
            <w:r w:rsidR="00894242" w:rsidRPr="003C0990">
              <w:rPr>
                <w:rStyle w:val="Hyperlink"/>
                <w:noProof/>
              </w:rPr>
              <w:t>Conservation status</w:t>
            </w:r>
            <w:r w:rsidR="00894242">
              <w:rPr>
                <w:noProof/>
                <w:webHidden/>
              </w:rPr>
              <w:tab/>
            </w:r>
            <w:r>
              <w:rPr>
                <w:noProof/>
                <w:webHidden/>
              </w:rPr>
              <w:fldChar w:fldCharType="begin"/>
            </w:r>
            <w:r w:rsidR="00894242">
              <w:rPr>
                <w:noProof/>
                <w:webHidden/>
              </w:rPr>
              <w:instrText xml:space="preserve"> PAGEREF _Toc445307800 \h </w:instrText>
            </w:r>
            <w:r>
              <w:rPr>
                <w:noProof/>
                <w:webHidden/>
              </w:rPr>
            </w:r>
            <w:r>
              <w:rPr>
                <w:noProof/>
                <w:webHidden/>
              </w:rPr>
              <w:fldChar w:fldCharType="separate"/>
            </w:r>
            <w:r w:rsidR="00204645">
              <w:rPr>
                <w:noProof/>
                <w:webHidden/>
              </w:rPr>
              <w:t>9</w:t>
            </w:r>
            <w:r>
              <w:rPr>
                <w:noProof/>
                <w:webHidden/>
              </w:rPr>
              <w:fldChar w:fldCharType="end"/>
            </w:r>
          </w:hyperlink>
        </w:p>
        <w:p w:rsidR="00894242" w:rsidRDefault="009512A9">
          <w:pPr>
            <w:pStyle w:val="TOC2"/>
            <w:rPr>
              <w:rFonts w:asciiTheme="minorHAnsi" w:eastAsiaTheme="minorEastAsia" w:hAnsiTheme="minorHAnsi" w:cstheme="minorBidi"/>
              <w:noProof/>
              <w:sz w:val="22"/>
              <w:lang w:eastAsia="en-AU"/>
            </w:rPr>
          </w:pPr>
          <w:hyperlink w:anchor="_Toc445307801" w:history="1">
            <w:r w:rsidR="00894242" w:rsidRPr="003C0990">
              <w:rPr>
                <w:rStyle w:val="Hyperlink"/>
                <w:noProof/>
              </w:rPr>
              <w:t>2.2</w:t>
            </w:r>
            <w:r w:rsidR="00894242">
              <w:rPr>
                <w:rFonts w:asciiTheme="minorHAnsi" w:eastAsiaTheme="minorEastAsia" w:hAnsiTheme="minorHAnsi" w:cstheme="minorBidi"/>
                <w:noProof/>
                <w:sz w:val="22"/>
                <w:lang w:eastAsia="en-AU"/>
              </w:rPr>
              <w:tab/>
            </w:r>
            <w:r w:rsidR="00894242" w:rsidRPr="003C0990">
              <w:rPr>
                <w:rStyle w:val="Hyperlink"/>
                <w:noProof/>
              </w:rPr>
              <w:t>Plains-wanderer Recovery Team</w:t>
            </w:r>
            <w:r w:rsidR="00894242">
              <w:rPr>
                <w:noProof/>
                <w:webHidden/>
              </w:rPr>
              <w:tab/>
            </w:r>
            <w:r>
              <w:rPr>
                <w:noProof/>
                <w:webHidden/>
              </w:rPr>
              <w:fldChar w:fldCharType="begin"/>
            </w:r>
            <w:r w:rsidR="00894242">
              <w:rPr>
                <w:noProof/>
                <w:webHidden/>
              </w:rPr>
              <w:instrText xml:space="preserve"> PAGEREF _Toc445307801 \h </w:instrText>
            </w:r>
            <w:r>
              <w:rPr>
                <w:noProof/>
                <w:webHidden/>
              </w:rPr>
            </w:r>
            <w:r>
              <w:rPr>
                <w:noProof/>
                <w:webHidden/>
              </w:rPr>
              <w:fldChar w:fldCharType="separate"/>
            </w:r>
            <w:r w:rsidR="00204645">
              <w:rPr>
                <w:noProof/>
                <w:webHidden/>
              </w:rPr>
              <w:t>9</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802" w:history="1">
            <w:r w:rsidR="00894242" w:rsidRPr="003C0990">
              <w:rPr>
                <w:rStyle w:val="Hyperlink"/>
                <w:noProof/>
              </w:rPr>
              <w:t>3</w:t>
            </w:r>
            <w:r w:rsidR="00894242">
              <w:rPr>
                <w:rFonts w:asciiTheme="minorHAnsi" w:eastAsiaTheme="minorEastAsia" w:hAnsiTheme="minorHAnsi" w:cstheme="minorBidi"/>
                <w:b w:val="0"/>
                <w:noProof/>
                <w:sz w:val="22"/>
                <w:lang w:eastAsia="en-AU"/>
              </w:rPr>
              <w:tab/>
            </w:r>
            <w:r w:rsidR="00894242" w:rsidRPr="003C0990">
              <w:rPr>
                <w:rStyle w:val="Hyperlink"/>
                <w:noProof/>
              </w:rPr>
              <w:t>Background</w:t>
            </w:r>
            <w:r w:rsidR="00894242">
              <w:rPr>
                <w:noProof/>
                <w:webHidden/>
              </w:rPr>
              <w:tab/>
            </w:r>
            <w:r>
              <w:rPr>
                <w:noProof/>
                <w:webHidden/>
              </w:rPr>
              <w:fldChar w:fldCharType="begin"/>
            </w:r>
            <w:r w:rsidR="00894242">
              <w:rPr>
                <w:noProof/>
                <w:webHidden/>
              </w:rPr>
              <w:instrText xml:space="preserve"> PAGEREF _Toc445307802 \h </w:instrText>
            </w:r>
            <w:r>
              <w:rPr>
                <w:noProof/>
                <w:webHidden/>
              </w:rPr>
            </w:r>
            <w:r>
              <w:rPr>
                <w:noProof/>
                <w:webHidden/>
              </w:rPr>
              <w:fldChar w:fldCharType="separate"/>
            </w:r>
            <w:r w:rsidR="00204645">
              <w:rPr>
                <w:noProof/>
                <w:webHidden/>
              </w:rPr>
              <w:t>10</w:t>
            </w:r>
            <w:r>
              <w:rPr>
                <w:noProof/>
                <w:webHidden/>
              </w:rPr>
              <w:fldChar w:fldCharType="end"/>
            </w:r>
          </w:hyperlink>
        </w:p>
        <w:p w:rsidR="00894242" w:rsidRDefault="009512A9">
          <w:pPr>
            <w:pStyle w:val="TOC2"/>
            <w:rPr>
              <w:rFonts w:asciiTheme="minorHAnsi" w:eastAsiaTheme="minorEastAsia" w:hAnsiTheme="minorHAnsi" w:cstheme="minorBidi"/>
              <w:noProof/>
              <w:sz w:val="22"/>
              <w:lang w:eastAsia="en-AU"/>
            </w:rPr>
          </w:pPr>
          <w:hyperlink w:anchor="_Toc445307803" w:history="1">
            <w:r w:rsidR="00894242" w:rsidRPr="003C0990">
              <w:rPr>
                <w:rStyle w:val="Hyperlink"/>
                <w:noProof/>
              </w:rPr>
              <w:t xml:space="preserve">3.1 </w:t>
            </w:r>
            <w:r w:rsidR="00894242">
              <w:rPr>
                <w:rFonts w:asciiTheme="minorHAnsi" w:eastAsiaTheme="minorEastAsia" w:hAnsiTheme="minorHAnsi" w:cstheme="minorBidi"/>
                <w:noProof/>
                <w:sz w:val="22"/>
                <w:lang w:eastAsia="en-AU"/>
              </w:rPr>
              <w:tab/>
            </w:r>
            <w:r w:rsidR="00894242" w:rsidRPr="003C0990">
              <w:rPr>
                <w:rStyle w:val="Hyperlink"/>
                <w:noProof/>
              </w:rPr>
              <w:t>Species description</w:t>
            </w:r>
            <w:r w:rsidR="00894242">
              <w:rPr>
                <w:noProof/>
                <w:webHidden/>
              </w:rPr>
              <w:tab/>
            </w:r>
            <w:r>
              <w:rPr>
                <w:noProof/>
                <w:webHidden/>
              </w:rPr>
              <w:fldChar w:fldCharType="begin"/>
            </w:r>
            <w:r w:rsidR="00894242">
              <w:rPr>
                <w:noProof/>
                <w:webHidden/>
              </w:rPr>
              <w:instrText xml:space="preserve"> PAGEREF _Toc445307803 \h </w:instrText>
            </w:r>
            <w:r>
              <w:rPr>
                <w:noProof/>
                <w:webHidden/>
              </w:rPr>
            </w:r>
            <w:r>
              <w:rPr>
                <w:noProof/>
                <w:webHidden/>
              </w:rPr>
              <w:fldChar w:fldCharType="separate"/>
            </w:r>
            <w:r w:rsidR="00204645">
              <w:rPr>
                <w:noProof/>
                <w:webHidden/>
              </w:rPr>
              <w:t>10</w:t>
            </w:r>
            <w:r>
              <w:rPr>
                <w:noProof/>
                <w:webHidden/>
              </w:rPr>
              <w:fldChar w:fldCharType="end"/>
            </w:r>
          </w:hyperlink>
        </w:p>
        <w:p w:rsidR="00894242" w:rsidRDefault="009512A9">
          <w:pPr>
            <w:pStyle w:val="TOC2"/>
            <w:rPr>
              <w:rFonts w:asciiTheme="minorHAnsi" w:eastAsiaTheme="minorEastAsia" w:hAnsiTheme="minorHAnsi" w:cstheme="minorBidi"/>
              <w:noProof/>
              <w:sz w:val="22"/>
              <w:lang w:eastAsia="en-AU"/>
            </w:rPr>
          </w:pPr>
          <w:hyperlink w:anchor="_Toc445307804" w:history="1">
            <w:r w:rsidR="00894242" w:rsidRPr="003C0990">
              <w:rPr>
                <w:rStyle w:val="Hyperlink"/>
                <w:noProof/>
              </w:rPr>
              <w:t>3.2</w:t>
            </w:r>
            <w:r w:rsidR="00894242">
              <w:rPr>
                <w:rFonts w:asciiTheme="minorHAnsi" w:eastAsiaTheme="minorEastAsia" w:hAnsiTheme="minorHAnsi" w:cstheme="minorBidi"/>
                <w:noProof/>
                <w:sz w:val="22"/>
                <w:lang w:eastAsia="en-AU"/>
              </w:rPr>
              <w:tab/>
            </w:r>
            <w:r w:rsidR="00894242" w:rsidRPr="003C0990">
              <w:rPr>
                <w:rStyle w:val="Hyperlink"/>
                <w:noProof/>
              </w:rPr>
              <w:t>Distribution</w:t>
            </w:r>
            <w:r w:rsidR="00894242">
              <w:rPr>
                <w:noProof/>
                <w:webHidden/>
              </w:rPr>
              <w:tab/>
            </w:r>
            <w:r>
              <w:rPr>
                <w:noProof/>
                <w:webHidden/>
              </w:rPr>
              <w:fldChar w:fldCharType="begin"/>
            </w:r>
            <w:r w:rsidR="00894242">
              <w:rPr>
                <w:noProof/>
                <w:webHidden/>
              </w:rPr>
              <w:instrText xml:space="preserve"> PAGEREF _Toc445307804 \h </w:instrText>
            </w:r>
            <w:r>
              <w:rPr>
                <w:noProof/>
                <w:webHidden/>
              </w:rPr>
            </w:r>
            <w:r>
              <w:rPr>
                <w:noProof/>
                <w:webHidden/>
              </w:rPr>
              <w:fldChar w:fldCharType="separate"/>
            </w:r>
            <w:r w:rsidR="00204645">
              <w:rPr>
                <w:noProof/>
                <w:webHidden/>
              </w:rPr>
              <w:t>10</w:t>
            </w:r>
            <w:r>
              <w:rPr>
                <w:noProof/>
                <w:webHidden/>
              </w:rPr>
              <w:fldChar w:fldCharType="end"/>
            </w:r>
          </w:hyperlink>
        </w:p>
        <w:p w:rsidR="00894242" w:rsidRDefault="009512A9">
          <w:pPr>
            <w:pStyle w:val="TOC2"/>
            <w:rPr>
              <w:rFonts w:asciiTheme="minorHAnsi" w:eastAsiaTheme="minorEastAsia" w:hAnsiTheme="minorHAnsi" w:cstheme="minorBidi"/>
              <w:noProof/>
              <w:sz w:val="22"/>
              <w:lang w:eastAsia="en-AU"/>
            </w:rPr>
          </w:pPr>
          <w:hyperlink w:anchor="_Toc445307805" w:history="1">
            <w:r w:rsidR="00894242" w:rsidRPr="003C0990">
              <w:rPr>
                <w:rStyle w:val="Hyperlink"/>
                <w:noProof/>
              </w:rPr>
              <w:t>3.3</w:t>
            </w:r>
            <w:r w:rsidR="00894242">
              <w:rPr>
                <w:rFonts w:asciiTheme="minorHAnsi" w:eastAsiaTheme="minorEastAsia" w:hAnsiTheme="minorHAnsi" w:cstheme="minorBidi"/>
                <w:noProof/>
                <w:sz w:val="22"/>
                <w:lang w:eastAsia="en-AU"/>
              </w:rPr>
              <w:tab/>
            </w:r>
            <w:r w:rsidR="00894242" w:rsidRPr="003C0990">
              <w:rPr>
                <w:rStyle w:val="Hyperlink"/>
                <w:noProof/>
              </w:rPr>
              <w:t>Population trends</w:t>
            </w:r>
            <w:r w:rsidR="00894242">
              <w:rPr>
                <w:noProof/>
                <w:webHidden/>
              </w:rPr>
              <w:tab/>
            </w:r>
            <w:r>
              <w:rPr>
                <w:noProof/>
                <w:webHidden/>
              </w:rPr>
              <w:fldChar w:fldCharType="begin"/>
            </w:r>
            <w:r w:rsidR="00894242">
              <w:rPr>
                <w:noProof/>
                <w:webHidden/>
              </w:rPr>
              <w:instrText xml:space="preserve"> PAGEREF _Toc445307805 \h </w:instrText>
            </w:r>
            <w:r>
              <w:rPr>
                <w:noProof/>
                <w:webHidden/>
              </w:rPr>
            </w:r>
            <w:r>
              <w:rPr>
                <w:noProof/>
                <w:webHidden/>
              </w:rPr>
              <w:fldChar w:fldCharType="separate"/>
            </w:r>
            <w:r w:rsidR="00204645">
              <w:rPr>
                <w:noProof/>
                <w:webHidden/>
              </w:rPr>
              <w:t>11</w:t>
            </w:r>
            <w:r>
              <w:rPr>
                <w:noProof/>
                <w:webHidden/>
              </w:rPr>
              <w:fldChar w:fldCharType="end"/>
            </w:r>
          </w:hyperlink>
        </w:p>
        <w:p w:rsidR="00142921" w:rsidRDefault="009512A9" w:rsidP="00142921">
          <w:pPr>
            <w:pStyle w:val="TOC2"/>
            <w:rPr>
              <w:rFonts w:asciiTheme="minorHAnsi" w:eastAsiaTheme="minorEastAsia" w:hAnsiTheme="minorHAnsi" w:cstheme="minorBidi"/>
              <w:noProof/>
              <w:sz w:val="22"/>
              <w:lang w:eastAsia="en-AU"/>
            </w:rPr>
          </w:pPr>
          <w:hyperlink w:anchor="_Toc445307806" w:history="1">
            <w:r w:rsidR="00894242" w:rsidRPr="003C0990">
              <w:rPr>
                <w:rStyle w:val="Hyperlink"/>
                <w:noProof/>
              </w:rPr>
              <w:t>3.4</w:t>
            </w:r>
            <w:r w:rsidR="00894242">
              <w:rPr>
                <w:rFonts w:asciiTheme="minorHAnsi" w:eastAsiaTheme="minorEastAsia" w:hAnsiTheme="minorHAnsi" w:cstheme="minorBidi"/>
                <w:noProof/>
                <w:sz w:val="22"/>
                <w:lang w:eastAsia="en-AU"/>
              </w:rPr>
              <w:tab/>
            </w:r>
            <w:r w:rsidR="00894242" w:rsidRPr="003C0990">
              <w:rPr>
                <w:rStyle w:val="Hyperlink"/>
                <w:noProof/>
              </w:rPr>
              <w:t>Biology and ecology</w:t>
            </w:r>
            <w:r w:rsidR="00894242">
              <w:rPr>
                <w:noProof/>
                <w:webHidden/>
              </w:rPr>
              <w:tab/>
            </w:r>
            <w:r>
              <w:rPr>
                <w:noProof/>
                <w:webHidden/>
              </w:rPr>
              <w:fldChar w:fldCharType="begin"/>
            </w:r>
            <w:r w:rsidR="00894242">
              <w:rPr>
                <w:noProof/>
                <w:webHidden/>
              </w:rPr>
              <w:instrText xml:space="preserve"> PAGEREF _Toc445307806 \h </w:instrText>
            </w:r>
            <w:r>
              <w:rPr>
                <w:noProof/>
                <w:webHidden/>
              </w:rPr>
            </w:r>
            <w:r>
              <w:rPr>
                <w:noProof/>
                <w:webHidden/>
              </w:rPr>
              <w:fldChar w:fldCharType="separate"/>
            </w:r>
            <w:r w:rsidR="00204645">
              <w:rPr>
                <w:noProof/>
                <w:webHidden/>
              </w:rPr>
              <w:t>12</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813" w:history="1">
            <w:r w:rsidR="00894242" w:rsidRPr="003C0990">
              <w:rPr>
                <w:rStyle w:val="Hyperlink"/>
                <w:noProof/>
              </w:rPr>
              <w:t>4</w:t>
            </w:r>
            <w:r w:rsidR="00894242">
              <w:rPr>
                <w:rFonts w:asciiTheme="minorHAnsi" w:eastAsiaTheme="minorEastAsia" w:hAnsiTheme="minorHAnsi" w:cstheme="minorBidi"/>
                <w:b w:val="0"/>
                <w:noProof/>
                <w:sz w:val="22"/>
                <w:lang w:eastAsia="en-AU"/>
              </w:rPr>
              <w:tab/>
            </w:r>
            <w:r w:rsidR="00894242" w:rsidRPr="003C0990">
              <w:rPr>
                <w:rStyle w:val="Hyperlink"/>
                <w:noProof/>
              </w:rPr>
              <w:t>Threats</w:t>
            </w:r>
            <w:r w:rsidR="00894242">
              <w:rPr>
                <w:noProof/>
                <w:webHidden/>
              </w:rPr>
              <w:tab/>
            </w:r>
            <w:r>
              <w:rPr>
                <w:noProof/>
                <w:webHidden/>
              </w:rPr>
              <w:fldChar w:fldCharType="begin"/>
            </w:r>
            <w:r w:rsidR="00894242">
              <w:rPr>
                <w:noProof/>
                <w:webHidden/>
              </w:rPr>
              <w:instrText xml:space="preserve"> PAGEREF _Toc445307813 \h </w:instrText>
            </w:r>
            <w:r>
              <w:rPr>
                <w:noProof/>
                <w:webHidden/>
              </w:rPr>
            </w:r>
            <w:r>
              <w:rPr>
                <w:noProof/>
                <w:webHidden/>
              </w:rPr>
              <w:fldChar w:fldCharType="separate"/>
            </w:r>
            <w:r w:rsidR="00204645">
              <w:rPr>
                <w:noProof/>
                <w:webHidden/>
              </w:rPr>
              <w:t>17</w:t>
            </w:r>
            <w:r>
              <w:rPr>
                <w:noProof/>
                <w:webHidden/>
              </w:rPr>
              <w:fldChar w:fldCharType="end"/>
            </w:r>
          </w:hyperlink>
        </w:p>
        <w:p w:rsidR="00894242" w:rsidRDefault="009512A9">
          <w:pPr>
            <w:pStyle w:val="TOC2"/>
            <w:rPr>
              <w:rFonts w:asciiTheme="minorHAnsi" w:eastAsiaTheme="minorEastAsia" w:hAnsiTheme="minorHAnsi" w:cstheme="minorBidi"/>
              <w:noProof/>
              <w:sz w:val="22"/>
              <w:lang w:eastAsia="en-AU"/>
            </w:rPr>
          </w:pPr>
          <w:hyperlink w:anchor="_Toc445307814" w:history="1">
            <w:r w:rsidR="00894242" w:rsidRPr="003C0990">
              <w:rPr>
                <w:rStyle w:val="Hyperlink"/>
                <w:noProof/>
              </w:rPr>
              <w:t>4.1 Historical causes of decline</w:t>
            </w:r>
            <w:r w:rsidR="00894242">
              <w:rPr>
                <w:noProof/>
                <w:webHidden/>
              </w:rPr>
              <w:tab/>
            </w:r>
            <w:r>
              <w:rPr>
                <w:noProof/>
                <w:webHidden/>
              </w:rPr>
              <w:fldChar w:fldCharType="begin"/>
            </w:r>
            <w:r w:rsidR="00894242">
              <w:rPr>
                <w:noProof/>
                <w:webHidden/>
              </w:rPr>
              <w:instrText xml:space="preserve"> PAGEREF _Toc445307814 \h </w:instrText>
            </w:r>
            <w:r>
              <w:rPr>
                <w:noProof/>
                <w:webHidden/>
              </w:rPr>
            </w:r>
            <w:r>
              <w:rPr>
                <w:noProof/>
                <w:webHidden/>
              </w:rPr>
              <w:fldChar w:fldCharType="separate"/>
            </w:r>
            <w:r w:rsidR="00204645">
              <w:rPr>
                <w:noProof/>
                <w:webHidden/>
              </w:rPr>
              <w:t>17</w:t>
            </w:r>
            <w:r>
              <w:rPr>
                <w:noProof/>
                <w:webHidden/>
              </w:rPr>
              <w:fldChar w:fldCharType="end"/>
            </w:r>
          </w:hyperlink>
        </w:p>
        <w:p w:rsidR="00894242" w:rsidRDefault="009512A9">
          <w:pPr>
            <w:pStyle w:val="TOC2"/>
            <w:rPr>
              <w:rFonts w:asciiTheme="minorHAnsi" w:eastAsiaTheme="minorEastAsia" w:hAnsiTheme="minorHAnsi" w:cstheme="minorBidi"/>
              <w:noProof/>
              <w:sz w:val="22"/>
              <w:lang w:eastAsia="en-AU"/>
            </w:rPr>
          </w:pPr>
          <w:hyperlink w:anchor="_Toc445307815" w:history="1">
            <w:r w:rsidR="00894242" w:rsidRPr="003C0990">
              <w:rPr>
                <w:rStyle w:val="Hyperlink"/>
                <w:noProof/>
              </w:rPr>
              <w:t>4.2 Current threatening processes</w:t>
            </w:r>
            <w:r w:rsidR="00894242">
              <w:rPr>
                <w:noProof/>
                <w:webHidden/>
              </w:rPr>
              <w:tab/>
            </w:r>
            <w:r>
              <w:rPr>
                <w:noProof/>
                <w:webHidden/>
              </w:rPr>
              <w:fldChar w:fldCharType="begin"/>
            </w:r>
            <w:r w:rsidR="00894242">
              <w:rPr>
                <w:noProof/>
                <w:webHidden/>
              </w:rPr>
              <w:instrText xml:space="preserve"> PAGEREF _Toc445307815 \h </w:instrText>
            </w:r>
            <w:r>
              <w:rPr>
                <w:noProof/>
                <w:webHidden/>
              </w:rPr>
            </w:r>
            <w:r>
              <w:rPr>
                <w:noProof/>
                <w:webHidden/>
              </w:rPr>
              <w:fldChar w:fldCharType="separate"/>
            </w:r>
            <w:r w:rsidR="00204645">
              <w:rPr>
                <w:noProof/>
                <w:webHidden/>
              </w:rPr>
              <w:t>17</w:t>
            </w:r>
            <w:r>
              <w:rPr>
                <w:noProof/>
                <w:webHidden/>
              </w:rPr>
              <w:fldChar w:fldCharType="end"/>
            </w:r>
          </w:hyperlink>
        </w:p>
        <w:p w:rsidR="00894242" w:rsidRDefault="009512A9">
          <w:pPr>
            <w:pStyle w:val="TOC3"/>
            <w:rPr>
              <w:rFonts w:asciiTheme="minorHAnsi" w:eastAsiaTheme="minorEastAsia" w:hAnsiTheme="minorHAnsi" w:cstheme="minorBidi"/>
              <w:i w:val="0"/>
              <w:noProof/>
              <w:sz w:val="22"/>
              <w:lang w:eastAsia="en-AU"/>
            </w:rPr>
          </w:pPr>
          <w:hyperlink w:anchor="_Toc445307816" w:history="1">
            <w:r w:rsidR="00894242" w:rsidRPr="003C0990">
              <w:rPr>
                <w:rStyle w:val="Hyperlink"/>
                <w:noProof/>
              </w:rPr>
              <w:t>4.2.1 Habitat loss</w:t>
            </w:r>
            <w:r w:rsidR="00894242">
              <w:rPr>
                <w:noProof/>
                <w:webHidden/>
              </w:rPr>
              <w:tab/>
            </w:r>
            <w:r>
              <w:rPr>
                <w:noProof/>
                <w:webHidden/>
              </w:rPr>
              <w:fldChar w:fldCharType="begin"/>
            </w:r>
            <w:r w:rsidR="00894242">
              <w:rPr>
                <w:noProof/>
                <w:webHidden/>
              </w:rPr>
              <w:instrText xml:space="preserve"> PAGEREF _Toc445307816 \h </w:instrText>
            </w:r>
            <w:r>
              <w:rPr>
                <w:noProof/>
                <w:webHidden/>
              </w:rPr>
            </w:r>
            <w:r>
              <w:rPr>
                <w:noProof/>
                <w:webHidden/>
              </w:rPr>
              <w:fldChar w:fldCharType="separate"/>
            </w:r>
            <w:r w:rsidR="00204645">
              <w:rPr>
                <w:noProof/>
                <w:webHidden/>
              </w:rPr>
              <w:t>17</w:t>
            </w:r>
            <w:r>
              <w:rPr>
                <w:noProof/>
                <w:webHidden/>
              </w:rPr>
              <w:fldChar w:fldCharType="end"/>
            </w:r>
          </w:hyperlink>
        </w:p>
        <w:p w:rsidR="00894242" w:rsidRDefault="009512A9">
          <w:pPr>
            <w:pStyle w:val="TOC3"/>
            <w:rPr>
              <w:rFonts w:asciiTheme="minorHAnsi" w:eastAsiaTheme="minorEastAsia" w:hAnsiTheme="minorHAnsi" w:cstheme="minorBidi"/>
              <w:i w:val="0"/>
              <w:noProof/>
              <w:sz w:val="22"/>
              <w:lang w:eastAsia="en-AU"/>
            </w:rPr>
          </w:pPr>
          <w:hyperlink w:anchor="_Toc445307817" w:history="1">
            <w:r w:rsidR="00894242" w:rsidRPr="003C0990">
              <w:rPr>
                <w:rStyle w:val="Hyperlink"/>
                <w:noProof/>
              </w:rPr>
              <w:t>4.2.2 Inappropriate grazing</w:t>
            </w:r>
            <w:r w:rsidR="00894242">
              <w:rPr>
                <w:noProof/>
                <w:webHidden/>
              </w:rPr>
              <w:tab/>
            </w:r>
            <w:r>
              <w:rPr>
                <w:noProof/>
                <w:webHidden/>
              </w:rPr>
              <w:fldChar w:fldCharType="begin"/>
            </w:r>
            <w:r w:rsidR="00894242">
              <w:rPr>
                <w:noProof/>
                <w:webHidden/>
              </w:rPr>
              <w:instrText xml:space="preserve"> PAGEREF _Toc445307817 \h </w:instrText>
            </w:r>
            <w:r>
              <w:rPr>
                <w:noProof/>
                <w:webHidden/>
              </w:rPr>
            </w:r>
            <w:r>
              <w:rPr>
                <w:noProof/>
                <w:webHidden/>
              </w:rPr>
              <w:fldChar w:fldCharType="separate"/>
            </w:r>
            <w:r w:rsidR="00204645">
              <w:rPr>
                <w:noProof/>
                <w:webHidden/>
              </w:rPr>
              <w:t>17</w:t>
            </w:r>
            <w:r>
              <w:rPr>
                <w:noProof/>
                <w:webHidden/>
              </w:rPr>
              <w:fldChar w:fldCharType="end"/>
            </w:r>
          </w:hyperlink>
        </w:p>
        <w:p w:rsidR="00894242" w:rsidRDefault="009512A9">
          <w:pPr>
            <w:pStyle w:val="TOC3"/>
            <w:rPr>
              <w:rFonts w:asciiTheme="minorHAnsi" w:eastAsiaTheme="minorEastAsia" w:hAnsiTheme="minorHAnsi" w:cstheme="minorBidi"/>
              <w:i w:val="0"/>
              <w:noProof/>
              <w:sz w:val="22"/>
              <w:lang w:eastAsia="en-AU"/>
            </w:rPr>
          </w:pPr>
          <w:hyperlink w:anchor="_Toc445307818" w:history="1">
            <w:r w:rsidR="00894242" w:rsidRPr="003C0990">
              <w:rPr>
                <w:rStyle w:val="Hyperlink"/>
                <w:noProof/>
              </w:rPr>
              <w:t>4.2.3 Small population</w:t>
            </w:r>
            <w:r w:rsidR="00894242">
              <w:rPr>
                <w:noProof/>
                <w:webHidden/>
              </w:rPr>
              <w:tab/>
            </w:r>
            <w:r>
              <w:rPr>
                <w:noProof/>
                <w:webHidden/>
              </w:rPr>
              <w:fldChar w:fldCharType="begin"/>
            </w:r>
            <w:r w:rsidR="00894242">
              <w:rPr>
                <w:noProof/>
                <w:webHidden/>
              </w:rPr>
              <w:instrText xml:space="preserve"> PAGEREF _Toc445307818 \h </w:instrText>
            </w:r>
            <w:r>
              <w:rPr>
                <w:noProof/>
                <w:webHidden/>
              </w:rPr>
            </w:r>
            <w:r>
              <w:rPr>
                <w:noProof/>
                <w:webHidden/>
              </w:rPr>
              <w:fldChar w:fldCharType="separate"/>
            </w:r>
            <w:r w:rsidR="00204645">
              <w:rPr>
                <w:noProof/>
                <w:webHidden/>
              </w:rPr>
              <w:t>18</w:t>
            </w:r>
            <w:r>
              <w:rPr>
                <w:noProof/>
                <w:webHidden/>
              </w:rPr>
              <w:fldChar w:fldCharType="end"/>
            </w:r>
          </w:hyperlink>
        </w:p>
        <w:p w:rsidR="00894242" w:rsidRDefault="009512A9">
          <w:pPr>
            <w:pStyle w:val="TOC3"/>
            <w:rPr>
              <w:rFonts w:asciiTheme="minorHAnsi" w:eastAsiaTheme="minorEastAsia" w:hAnsiTheme="minorHAnsi" w:cstheme="minorBidi"/>
              <w:i w:val="0"/>
              <w:noProof/>
              <w:sz w:val="22"/>
              <w:lang w:eastAsia="en-AU"/>
            </w:rPr>
          </w:pPr>
          <w:hyperlink w:anchor="_Toc445307819" w:history="1">
            <w:r w:rsidR="00894242" w:rsidRPr="003C0990">
              <w:rPr>
                <w:rStyle w:val="Hyperlink"/>
                <w:noProof/>
              </w:rPr>
              <w:t>4.2.4 Predation by feral species</w:t>
            </w:r>
            <w:r w:rsidR="00894242">
              <w:rPr>
                <w:noProof/>
                <w:webHidden/>
              </w:rPr>
              <w:tab/>
            </w:r>
            <w:r>
              <w:rPr>
                <w:noProof/>
                <w:webHidden/>
              </w:rPr>
              <w:fldChar w:fldCharType="begin"/>
            </w:r>
            <w:r w:rsidR="00894242">
              <w:rPr>
                <w:noProof/>
                <w:webHidden/>
              </w:rPr>
              <w:instrText xml:space="preserve"> PAGEREF _Toc445307819 \h </w:instrText>
            </w:r>
            <w:r>
              <w:rPr>
                <w:noProof/>
                <w:webHidden/>
              </w:rPr>
            </w:r>
            <w:r>
              <w:rPr>
                <w:noProof/>
                <w:webHidden/>
              </w:rPr>
              <w:fldChar w:fldCharType="separate"/>
            </w:r>
            <w:r w:rsidR="00204645">
              <w:rPr>
                <w:noProof/>
                <w:webHidden/>
              </w:rPr>
              <w:t>18</w:t>
            </w:r>
            <w:r>
              <w:rPr>
                <w:noProof/>
                <w:webHidden/>
              </w:rPr>
              <w:fldChar w:fldCharType="end"/>
            </w:r>
          </w:hyperlink>
        </w:p>
        <w:p w:rsidR="00894242" w:rsidRDefault="009512A9">
          <w:pPr>
            <w:pStyle w:val="TOC3"/>
            <w:rPr>
              <w:rFonts w:asciiTheme="minorHAnsi" w:eastAsiaTheme="minorEastAsia" w:hAnsiTheme="minorHAnsi" w:cstheme="minorBidi"/>
              <w:i w:val="0"/>
              <w:noProof/>
              <w:sz w:val="22"/>
              <w:lang w:eastAsia="en-AU"/>
            </w:rPr>
          </w:pPr>
          <w:hyperlink w:anchor="_Toc445307820" w:history="1">
            <w:r w:rsidR="00894242" w:rsidRPr="003C0990">
              <w:rPr>
                <w:rStyle w:val="Hyperlink"/>
                <w:noProof/>
              </w:rPr>
              <w:t>4.2.5 Pesticide use</w:t>
            </w:r>
            <w:r w:rsidR="00894242">
              <w:rPr>
                <w:noProof/>
                <w:webHidden/>
              </w:rPr>
              <w:tab/>
            </w:r>
            <w:r>
              <w:rPr>
                <w:noProof/>
                <w:webHidden/>
              </w:rPr>
              <w:fldChar w:fldCharType="begin"/>
            </w:r>
            <w:r w:rsidR="00894242">
              <w:rPr>
                <w:noProof/>
                <w:webHidden/>
              </w:rPr>
              <w:instrText xml:space="preserve"> PAGEREF _Toc445307820 \h </w:instrText>
            </w:r>
            <w:r>
              <w:rPr>
                <w:noProof/>
                <w:webHidden/>
              </w:rPr>
            </w:r>
            <w:r>
              <w:rPr>
                <w:noProof/>
                <w:webHidden/>
              </w:rPr>
              <w:fldChar w:fldCharType="separate"/>
            </w:r>
            <w:r w:rsidR="00204645">
              <w:rPr>
                <w:noProof/>
                <w:webHidden/>
              </w:rPr>
              <w:t>19</w:t>
            </w:r>
            <w:r>
              <w:rPr>
                <w:noProof/>
                <w:webHidden/>
              </w:rPr>
              <w:fldChar w:fldCharType="end"/>
            </w:r>
          </w:hyperlink>
        </w:p>
        <w:p w:rsidR="00894242" w:rsidRDefault="009512A9">
          <w:pPr>
            <w:pStyle w:val="TOC3"/>
            <w:rPr>
              <w:rFonts w:asciiTheme="minorHAnsi" w:eastAsiaTheme="minorEastAsia" w:hAnsiTheme="minorHAnsi" w:cstheme="minorBidi"/>
              <w:i w:val="0"/>
              <w:noProof/>
              <w:sz w:val="22"/>
              <w:lang w:eastAsia="en-AU"/>
            </w:rPr>
          </w:pPr>
          <w:hyperlink w:anchor="_Toc445307821" w:history="1">
            <w:r w:rsidR="00894242" w:rsidRPr="003C0990">
              <w:rPr>
                <w:rStyle w:val="Hyperlink"/>
                <w:noProof/>
              </w:rPr>
              <w:t>4.2.7 Planting and natural recruitment of trees in or near native grasslands.</w:t>
            </w:r>
            <w:r w:rsidR="00894242">
              <w:rPr>
                <w:noProof/>
                <w:webHidden/>
              </w:rPr>
              <w:tab/>
            </w:r>
            <w:r>
              <w:rPr>
                <w:noProof/>
                <w:webHidden/>
              </w:rPr>
              <w:fldChar w:fldCharType="begin"/>
            </w:r>
            <w:r w:rsidR="00894242">
              <w:rPr>
                <w:noProof/>
                <w:webHidden/>
              </w:rPr>
              <w:instrText xml:space="preserve"> PAGEREF _Toc445307821 \h </w:instrText>
            </w:r>
            <w:r>
              <w:rPr>
                <w:noProof/>
                <w:webHidden/>
              </w:rPr>
            </w:r>
            <w:r>
              <w:rPr>
                <w:noProof/>
                <w:webHidden/>
              </w:rPr>
              <w:fldChar w:fldCharType="separate"/>
            </w:r>
            <w:r w:rsidR="00204645">
              <w:rPr>
                <w:noProof/>
                <w:webHidden/>
              </w:rPr>
              <w:t>19</w:t>
            </w:r>
            <w:r>
              <w:rPr>
                <w:noProof/>
                <w:webHidden/>
              </w:rPr>
              <w:fldChar w:fldCharType="end"/>
            </w:r>
          </w:hyperlink>
        </w:p>
        <w:p w:rsidR="00894242" w:rsidRDefault="009512A9">
          <w:pPr>
            <w:pStyle w:val="TOC3"/>
            <w:rPr>
              <w:rFonts w:asciiTheme="minorHAnsi" w:eastAsiaTheme="minorEastAsia" w:hAnsiTheme="minorHAnsi" w:cstheme="minorBidi"/>
              <w:i w:val="0"/>
              <w:noProof/>
              <w:sz w:val="22"/>
              <w:lang w:eastAsia="en-AU"/>
            </w:rPr>
          </w:pPr>
          <w:hyperlink w:anchor="_Toc445307822" w:history="1">
            <w:r w:rsidR="00170185">
              <w:rPr>
                <w:rStyle w:val="Hyperlink"/>
                <w:noProof/>
              </w:rPr>
              <w:t>4.2.8</w:t>
            </w:r>
            <w:r w:rsidR="00894242" w:rsidRPr="003C0990">
              <w:rPr>
                <w:rStyle w:val="Hyperlink"/>
                <w:noProof/>
              </w:rPr>
              <w:t xml:space="preserve"> Other potential threatening processes</w:t>
            </w:r>
            <w:r w:rsidR="00894242">
              <w:rPr>
                <w:noProof/>
                <w:webHidden/>
              </w:rPr>
              <w:tab/>
            </w:r>
            <w:r>
              <w:rPr>
                <w:noProof/>
                <w:webHidden/>
              </w:rPr>
              <w:fldChar w:fldCharType="begin"/>
            </w:r>
            <w:r w:rsidR="00894242">
              <w:rPr>
                <w:noProof/>
                <w:webHidden/>
              </w:rPr>
              <w:instrText xml:space="preserve"> PAGEREF _Toc445307822 \h </w:instrText>
            </w:r>
            <w:r>
              <w:rPr>
                <w:noProof/>
                <w:webHidden/>
              </w:rPr>
            </w:r>
            <w:r>
              <w:rPr>
                <w:noProof/>
                <w:webHidden/>
              </w:rPr>
              <w:fldChar w:fldCharType="separate"/>
            </w:r>
            <w:r w:rsidR="00204645">
              <w:rPr>
                <w:noProof/>
                <w:webHidden/>
              </w:rPr>
              <w:t>20</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823" w:history="1">
            <w:r w:rsidR="00894242" w:rsidRPr="003C0990">
              <w:rPr>
                <w:rStyle w:val="Hyperlink"/>
                <w:noProof/>
              </w:rPr>
              <w:t>5</w:t>
            </w:r>
            <w:r w:rsidR="00894242">
              <w:rPr>
                <w:rFonts w:asciiTheme="minorHAnsi" w:eastAsiaTheme="minorEastAsia" w:hAnsiTheme="minorHAnsi" w:cstheme="minorBidi"/>
                <w:b w:val="0"/>
                <w:noProof/>
                <w:sz w:val="22"/>
                <w:lang w:eastAsia="en-AU"/>
              </w:rPr>
              <w:tab/>
            </w:r>
            <w:r w:rsidR="00894242" w:rsidRPr="003C0990">
              <w:rPr>
                <w:rStyle w:val="Hyperlink"/>
                <w:noProof/>
              </w:rPr>
              <w:t>Populations under particular pressure</w:t>
            </w:r>
            <w:r w:rsidR="00894242">
              <w:rPr>
                <w:noProof/>
                <w:webHidden/>
              </w:rPr>
              <w:tab/>
            </w:r>
            <w:r>
              <w:rPr>
                <w:noProof/>
                <w:webHidden/>
              </w:rPr>
              <w:fldChar w:fldCharType="begin"/>
            </w:r>
            <w:r w:rsidR="00894242">
              <w:rPr>
                <w:noProof/>
                <w:webHidden/>
              </w:rPr>
              <w:instrText xml:space="preserve"> PAGEREF _Toc445307823 \h </w:instrText>
            </w:r>
            <w:r>
              <w:rPr>
                <w:noProof/>
                <w:webHidden/>
              </w:rPr>
            </w:r>
            <w:r>
              <w:rPr>
                <w:noProof/>
                <w:webHidden/>
              </w:rPr>
              <w:fldChar w:fldCharType="separate"/>
            </w:r>
            <w:r w:rsidR="00204645">
              <w:rPr>
                <w:noProof/>
                <w:webHidden/>
              </w:rPr>
              <w:t>21</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824" w:history="1">
            <w:r w:rsidR="00894242" w:rsidRPr="003C0990">
              <w:rPr>
                <w:rStyle w:val="Hyperlink"/>
                <w:noProof/>
              </w:rPr>
              <w:t>6</w:t>
            </w:r>
            <w:r w:rsidR="00894242">
              <w:rPr>
                <w:rFonts w:asciiTheme="minorHAnsi" w:eastAsiaTheme="minorEastAsia" w:hAnsiTheme="minorHAnsi" w:cstheme="minorBidi"/>
                <w:b w:val="0"/>
                <w:noProof/>
                <w:sz w:val="22"/>
                <w:lang w:eastAsia="en-AU"/>
              </w:rPr>
              <w:tab/>
            </w:r>
            <w:r w:rsidR="00894242" w:rsidRPr="003C0990">
              <w:rPr>
                <w:rStyle w:val="Hyperlink"/>
                <w:noProof/>
              </w:rPr>
              <w:t>Objectives and strategies</w:t>
            </w:r>
            <w:r w:rsidR="00894242">
              <w:rPr>
                <w:noProof/>
                <w:webHidden/>
              </w:rPr>
              <w:tab/>
            </w:r>
            <w:r>
              <w:rPr>
                <w:noProof/>
                <w:webHidden/>
              </w:rPr>
              <w:fldChar w:fldCharType="begin"/>
            </w:r>
            <w:r w:rsidR="00894242">
              <w:rPr>
                <w:noProof/>
                <w:webHidden/>
              </w:rPr>
              <w:instrText xml:space="preserve"> PAGEREF _Toc445307824 \h </w:instrText>
            </w:r>
            <w:r>
              <w:rPr>
                <w:noProof/>
                <w:webHidden/>
              </w:rPr>
            </w:r>
            <w:r>
              <w:rPr>
                <w:noProof/>
                <w:webHidden/>
              </w:rPr>
              <w:fldChar w:fldCharType="separate"/>
            </w:r>
            <w:r w:rsidR="00204645">
              <w:rPr>
                <w:noProof/>
                <w:webHidden/>
              </w:rPr>
              <w:t>21</w:t>
            </w:r>
            <w:r>
              <w:rPr>
                <w:noProof/>
                <w:webHidden/>
              </w:rPr>
              <w:fldChar w:fldCharType="end"/>
            </w:r>
          </w:hyperlink>
        </w:p>
        <w:p w:rsidR="00142921" w:rsidRDefault="009512A9" w:rsidP="00142921">
          <w:pPr>
            <w:pStyle w:val="TOC1"/>
            <w:rPr>
              <w:rFonts w:asciiTheme="minorHAnsi" w:eastAsiaTheme="minorEastAsia" w:hAnsiTheme="minorHAnsi" w:cstheme="minorBidi"/>
              <w:noProof/>
              <w:sz w:val="22"/>
              <w:lang w:eastAsia="en-AU"/>
            </w:rPr>
          </w:pPr>
          <w:hyperlink w:anchor="_Toc445307825" w:history="1">
            <w:r w:rsidR="00894242" w:rsidRPr="003C0990">
              <w:rPr>
                <w:rStyle w:val="Hyperlink"/>
                <w:noProof/>
              </w:rPr>
              <w:t>7</w:t>
            </w:r>
            <w:r w:rsidR="00894242">
              <w:rPr>
                <w:rFonts w:asciiTheme="minorHAnsi" w:eastAsiaTheme="minorEastAsia" w:hAnsiTheme="minorHAnsi" w:cstheme="minorBidi"/>
                <w:b w:val="0"/>
                <w:noProof/>
                <w:sz w:val="22"/>
                <w:lang w:eastAsia="en-AU"/>
              </w:rPr>
              <w:tab/>
            </w:r>
            <w:r w:rsidR="00894242" w:rsidRPr="003C0990">
              <w:rPr>
                <w:rStyle w:val="Hyperlink"/>
                <w:noProof/>
              </w:rPr>
              <w:t>Actions to achieve specific objectives</w:t>
            </w:r>
            <w:r w:rsidR="00894242">
              <w:rPr>
                <w:noProof/>
                <w:webHidden/>
              </w:rPr>
              <w:tab/>
            </w:r>
            <w:r>
              <w:rPr>
                <w:noProof/>
                <w:webHidden/>
              </w:rPr>
              <w:fldChar w:fldCharType="begin"/>
            </w:r>
            <w:r w:rsidR="00894242">
              <w:rPr>
                <w:noProof/>
                <w:webHidden/>
              </w:rPr>
              <w:instrText xml:space="preserve"> PAGEREF _Toc445307825 \h </w:instrText>
            </w:r>
            <w:r>
              <w:rPr>
                <w:noProof/>
                <w:webHidden/>
              </w:rPr>
            </w:r>
            <w:r>
              <w:rPr>
                <w:noProof/>
                <w:webHidden/>
              </w:rPr>
              <w:fldChar w:fldCharType="separate"/>
            </w:r>
            <w:r w:rsidR="00204645">
              <w:rPr>
                <w:noProof/>
                <w:webHidden/>
              </w:rPr>
              <w:t>22</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832" w:history="1">
            <w:r w:rsidR="00894242" w:rsidRPr="003C0990">
              <w:rPr>
                <w:rStyle w:val="Hyperlink"/>
                <w:noProof/>
              </w:rPr>
              <w:t>8</w:t>
            </w:r>
            <w:r w:rsidR="00894242">
              <w:rPr>
                <w:rFonts w:asciiTheme="minorHAnsi" w:eastAsiaTheme="minorEastAsia" w:hAnsiTheme="minorHAnsi" w:cstheme="minorBidi"/>
                <w:b w:val="0"/>
                <w:noProof/>
                <w:sz w:val="22"/>
                <w:lang w:eastAsia="en-AU"/>
              </w:rPr>
              <w:tab/>
            </w:r>
            <w:r w:rsidR="00894242" w:rsidRPr="003C0990">
              <w:rPr>
                <w:rStyle w:val="Hyperlink"/>
                <w:noProof/>
              </w:rPr>
              <w:t>Duration and cost of recovery process</w:t>
            </w:r>
            <w:r w:rsidR="00894242">
              <w:rPr>
                <w:noProof/>
                <w:webHidden/>
              </w:rPr>
              <w:tab/>
            </w:r>
            <w:r>
              <w:rPr>
                <w:noProof/>
                <w:webHidden/>
              </w:rPr>
              <w:fldChar w:fldCharType="begin"/>
            </w:r>
            <w:r w:rsidR="00894242">
              <w:rPr>
                <w:noProof/>
                <w:webHidden/>
              </w:rPr>
              <w:instrText xml:space="preserve"> PAGEREF _Toc445307832 \h </w:instrText>
            </w:r>
            <w:r>
              <w:rPr>
                <w:noProof/>
                <w:webHidden/>
              </w:rPr>
            </w:r>
            <w:r>
              <w:rPr>
                <w:noProof/>
                <w:webHidden/>
              </w:rPr>
              <w:fldChar w:fldCharType="separate"/>
            </w:r>
            <w:r w:rsidR="00204645">
              <w:rPr>
                <w:noProof/>
                <w:webHidden/>
              </w:rPr>
              <w:t>31</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833" w:history="1">
            <w:r w:rsidR="00894242" w:rsidRPr="003C0990">
              <w:rPr>
                <w:rStyle w:val="Hyperlink"/>
                <w:noProof/>
              </w:rPr>
              <w:t>9</w:t>
            </w:r>
            <w:r w:rsidR="00894242">
              <w:rPr>
                <w:rFonts w:asciiTheme="minorHAnsi" w:eastAsiaTheme="minorEastAsia" w:hAnsiTheme="minorHAnsi" w:cstheme="minorBidi"/>
                <w:b w:val="0"/>
                <w:noProof/>
                <w:sz w:val="22"/>
                <w:lang w:eastAsia="en-AU"/>
              </w:rPr>
              <w:tab/>
            </w:r>
            <w:r w:rsidR="00894242" w:rsidRPr="003C0990">
              <w:rPr>
                <w:rStyle w:val="Hyperlink"/>
                <w:noProof/>
              </w:rPr>
              <w:t>Effects on other native species and biodiversity benefits</w:t>
            </w:r>
            <w:r w:rsidR="00894242">
              <w:rPr>
                <w:noProof/>
                <w:webHidden/>
              </w:rPr>
              <w:tab/>
            </w:r>
            <w:r>
              <w:rPr>
                <w:noProof/>
                <w:webHidden/>
              </w:rPr>
              <w:fldChar w:fldCharType="begin"/>
            </w:r>
            <w:r w:rsidR="00894242">
              <w:rPr>
                <w:noProof/>
                <w:webHidden/>
              </w:rPr>
              <w:instrText xml:space="preserve"> PAGEREF _Toc445307833 \h </w:instrText>
            </w:r>
            <w:r>
              <w:rPr>
                <w:noProof/>
                <w:webHidden/>
              </w:rPr>
            </w:r>
            <w:r>
              <w:rPr>
                <w:noProof/>
                <w:webHidden/>
              </w:rPr>
              <w:fldChar w:fldCharType="separate"/>
            </w:r>
            <w:r w:rsidR="00204645">
              <w:rPr>
                <w:noProof/>
                <w:webHidden/>
              </w:rPr>
              <w:t>32</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834" w:history="1">
            <w:r w:rsidR="00894242" w:rsidRPr="003C0990">
              <w:rPr>
                <w:rStyle w:val="Hyperlink"/>
                <w:noProof/>
              </w:rPr>
              <w:t>10</w:t>
            </w:r>
            <w:r w:rsidR="00894242">
              <w:rPr>
                <w:rFonts w:asciiTheme="minorHAnsi" w:eastAsiaTheme="minorEastAsia" w:hAnsiTheme="minorHAnsi" w:cstheme="minorBidi"/>
                <w:b w:val="0"/>
                <w:noProof/>
                <w:sz w:val="22"/>
                <w:lang w:eastAsia="en-AU"/>
              </w:rPr>
              <w:tab/>
            </w:r>
            <w:r w:rsidR="00894242" w:rsidRPr="003C0990">
              <w:rPr>
                <w:rStyle w:val="Hyperlink"/>
                <w:noProof/>
              </w:rPr>
              <w:t>Social and economic considerations</w:t>
            </w:r>
            <w:r w:rsidR="00894242">
              <w:rPr>
                <w:noProof/>
                <w:webHidden/>
              </w:rPr>
              <w:tab/>
            </w:r>
            <w:r>
              <w:rPr>
                <w:noProof/>
                <w:webHidden/>
              </w:rPr>
              <w:fldChar w:fldCharType="begin"/>
            </w:r>
            <w:r w:rsidR="00894242">
              <w:rPr>
                <w:noProof/>
                <w:webHidden/>
              </w:rPr>
              <w:instrText xml:space="preserve"> PAGEREF _Toc445307834 \h </w:instrText>
            </w:r>
            <w:r>
              <w:rPr>
                <w:noProof/>
                <w:webHidden/>
              </w:rPr>
            </w:r>
            <w:r>
              <w:rPr>
                <w:noProof/>
                <w:webHidden/>
              </w:rPr>
              <w:fldChar w:fldCharType="separate"/>
            </w:r>
            <w:r w:rsidR="00204645">
              <w:rPr>
                <w:noProof/>
                <w:webHidden/>
              </w:rPr>
              <w:t>32</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835" w:history="1">
            <w:r w:rsidR="00894242" w:rsidRPr="003C0990">
              <w:rPr>
                <w:rStyle w:val="Hyperlink"/>
                <w:noProof/>
              </w:rPr>
              <w:t>11</w:t>
            </w:r>
            <w:r w:rsidR="00894242">
              <w:rPr>
                <w:rFonts w:asciiTheme="minorHAnsi" w:eastAsiaTheme="minorEastAsia" w:hAnsiTheme="minorHAnsi" w:cstheme="minorBidi"/>
                <w:b w:val="0"/>
                <w:noProof/>
                <w:sz w:val="22"/>
                <w:lang w:eastAsia="en-AU"/>
              </w:rPr>
              <w:tab/>
            </w:r>
            <w:r w:rsidR="00894242" w:rsidRPr="003C0990">
              <w:rPr>
                <w:rStyle w:val="Hyperlink"/>
                <w:noProof/>
              </w:rPr>
              <w:t>Affected interests</w:t>
            </w:r>
            <w:r w:rsidR="00894242">
              <w:rPr>
                <w:noProof/>
                <w:webHidden/>
              </w:rPr>
              <w:tab/>
            </w:r>
            <w:r>
              <w:rPr>
                <w:noProof/>
                <w:webHidden/>
              </w:rPr>
              <w:fldChar w:fldCharType="begin"/>
            </w:r>
            <w:r w:rsidR="00894242">
              <w:rPr>
                <w:noProof/>
                <w:webHidden/>
              </w:rPr>
              <w:instrText xml:space="preserve"> PAGEREF _Toc445307835 \h </w:instrText>
            </w:r>
            <w:r>
              <w:rPr>
                <w:noProof/>
                <w:webHidden/>
              </w:rPr>
            </w:r>
            <w:r>
              <w:rPr>
                <w:noProof/>
                <w:webHidden/>
              </w:rPr>
              <w:fldChar w:fldCharType="separate"/>
            </w:r>
            <w:r w:rsidR="00204645">
              <w:rPr>
                <w:noProof/>
                <w:webHidden/>
              </w:rPr>
              <w:t>32</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836" w:history="1">
            <w:r w:rsidR="00894242" w:rsidRPr="003C0990">
              <w:rPr>
                <w:rStyle w:val="Hyperlink"/>
                <w:noProof/>
              </w:rPr>
              <w:t>12</w:t>
            </w:r>
            <w:r w:rsidR="00894242">
              <w:rPr>
                <w:rFonts w:asciiTheme="minorHAnsi" w:eastAsiaTheme="minorEastAsia" w:hAnsiTheme="minorHAnsi" w:cstheme="minorBidi"/>
                <w:b w:val="0"/>
                <w:noProof/>
                <w:sz w:val="22"/>
                <w:lang w:eastAsia="en-AU"/>
              </w:rPr>
              <w:tab/>
            </w:r>
            <w:r w:rsidR="00894242" w:rsidRPr="003C0990">
              <w:rPr>
                <w:rStyle w:val="Hyperlink"/>
                <w:noProof/>
              </w:rPr>
              <w:t>Consultation</w:t>
            </w:r>
            <w:r w:rsidR="00894242">
              <w:rPr>
                <w:noProof/>
                <w:webHidden/>
              </w:rPr>
              <w:tab/>
            </w:r>
            <w:r>
              <w:rPr>
                <w:noProof/>
                <w:webHidden/>
              </w:rPr>
              <w:fldChar w:fldCharType="begin"/>
            </w:r>
            <w:r w:rsidR="00894242">
              <w:rPr>
                <w:noProof/>
                <w:webHidden/>
              </w:rPr>
              <w:instrText xml:space="preserve"> PAGEREF _Toc445307836 \h </w:instrText>
            </w:r>
            <w:r>
              <w:rPr>
                <w:noProof/>
                <w:webHidden/>
              </w:rPr>
            </w:r>
            <w:r>
              <w:rPr>
                <w:noProof/>
                <w:webHidden/>
              </w:rPr>
              <w:fldChar w:fldCharType="separate"/>
            </w:r>
            <w:r w:rsidR="00204645">
              <w:rPr>
                <w:noProof/>
                <w:webHidden/>
              </w:rPr>
              <w:t>33</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837" w:history="1">
            <w:r w:rsidR="00894242" w:rsidRPr="003C0990">
              <w:rPr>
                <w:rStyle w:val="Hyperlink"/>
                <w:noProof/>
              </w:rPr>
              <w:t>13</w:t>
            </w:r>
            <w:r w:rsidR="00894242">
              <w:rPr>
                <w:rFonts w:asciiTheme="minorHAnsi" w:eastAsiaTheme="minorEastAsia" w:hAnsiTheme="minorHAnsi" w:cstheme="minorBidi"/>
                <w:b w:val="0"/>
                <w:noProof/>
                <w:sz w:val="22"/>
                <w:lang w:eastAsia="en-AU"/>
              </w:rPr>
              <w:tab/>
            </w:r>
            <w:r w:rsidR="00894242" w:rsidRPr="003C0990">
              <w:rPr>
                <w:rStyle w:val="Hyperlink"/>
                <w:noProof/>
              </w:rPr>
              <w:t>Organisations/persons involved in evaluating performance of the plan</w:t>
            </w:r>
            <w:r w:rsidR="00894242">
              <w:rPr>
                <w:noProof/>
                <w:webHidden/>
              </w:rPr>
              <w:tab/>
            </w:r>
            <w:r>
              <w:rPr>
                <w:noProof/>
                <w:webHidden/>
              </w:rPr>
              <w:fldChar w:fldCharType="begin"/>
            </w:r>
            <w:r w:rsidR="00894242">
              <w:rPr>
                <w:noProof/>
                <w:webHidden/>
              </w:rPr>
              <w:instrText xml:space="preserve"> PAGEREF _Toc445307837 \h </w:instrText>
            </w:r>
            <w:r>
              <w:rPr>
                <w:noProof/>
                <w:webHidden/>
              </w:rPr>
            </w:r>
            <w:r>
              <w:rPr>
                <w:noProof/>
                <w:webHidden/>
              </w:rPr>
              <w:fldChar w:fldCharType="separate"/>
            </w:r>
            <w:r w:rsidR="00204645">
              <w:rPr>
                <w:noProof/>
                <w:webHidden/>
              </w:rPr>
              <w:t>33</w:t>
            </w:r>
            <w:r>
              <w:rPr>
                <w:noProof/>
                <w:webHidden/>
              </w:rPr>
              <w:fldChar w:fldCharType="end"/>
            </w:r>
          </w:hyperlink>
        </w:p>
        <w:p w:rsidR="00894242" w:rsidRDefault="009512A9">
          <w:pPr>
            <w:pStyle w:val="TOC1"/>
            <w:rPr>
              <w:rFonts w:asciiTheme="minorHAnsi" w:eastAsiaTheme="minorEastAsia" w:hAnsiTheme="minorHAnsi" w:cstheme="minorBidi"/>
              <w:b w:val="0"/>
              <w:noProof/>
              <w:sz w:val="22"/>
              <w:lang w:eastAsia="en-AU"/>
            </w:rPr>
          </w:pPr>
          <w:hyperlink w:anchor="_Toc445307838" w:history="1">
            <w:r w:rsidR="00894242" w:rsidRPr="003C0990">
              <w:rPr>
                <w:rStyle w:val="Hyperlink"/>
                <w:noProof/>
              </w:rPr>
              <w:t>14</w:t>
            </w:r>
            <w:r w:rsidR="00894242">
              <w:rPr>
                <w:rFonts w:asciiTheme="minorHAnsi" w:eastAsiaTheme="minorEastAsia" w:hAnsiTheme="minorHAnsi" w:cstheme="minorBidi"/>
                <w:b w:val="0"/>
                <w:noProof/>
                <w:sz w:val="22"/>
                <w:lang w:eastAsia="en-AU"/>
              </w:rPr>
              <w:tab/>
            </w:r>
            <w:r w:rsidR="00894242" w:rsidRPr="003C0990">
              <w:rPr>
                <w:rStyle w:val="Hyperlink"/>
                <w:noProof/>
              </w:rPr>
              <w:t>References</w:t>
            </w:r>
            <w:r w:rsidR="00894242">
              <w:rPr>
                <w:noProof/>
                <w:webHidden/>
              </w:rPr>
              <w:tab/>
            </w:r>
            <w:r>
              <w:rPr>
                <w:noProof/>
                <w:webHidden/>
              </w:rPr>
              <w:fldChar w:fldCharType="begin"/>
            </w:r>
            <w:r w:rsidR="00894242">
              <w:rPr>
                <w:noProof/>
                <w:webHidden/>
              </w:rPr>
              <w:instrText xml:space="preserve"> PAGEREF _Toc445307838 \h </w:instrText>
            </w:r>
            <w:r>
              <w:rPr>
                <w:noProof/>
                <w:webHidden/>
              </w:rPr>
            </w:r>
            <w:r>
              <w:rPr>
                <w:noProof/>
                <w:webHidden/>
              </w:rPr>
              <w:fldChar w:fldCharType="separate"/>
            </w:r>
            <w:r w:rsidR="00204645">
              <w:rPr>
                <w:noProof/>
                <w:webHidden/>
              </w:rPr>
              <w:t>34</w:t>
            </w:r>
            <w:r>
              <w:rPr>
                <w:noProof/>
                <w:webHidden/>
              </w:rPr>
              <w:fldChar w:fldCharType="end"/>
            </w:r>
          </w:hyperlink>
        </w:p>
        <w:p w:rsidR="0018674C" w:rsidRPr="00226E9E" w:rsidRDefault="009512A9" w:rsidP="003E2FEA">
          <w:pPr>
            <w:rPr>
              <w:sz w:val="22"/>
              <w:highlight w:val="yellow"/>
            </w:rPr>
          </w:pPr>
          <w:r w:rsidRPr="00226E9E">
            <w:rPr>
              <w:sz w:val="22"/>
              <w:highlight w:val="yellow"/>
            </w:rPr>
            <w:fldChar w:fldCharType="end"/>
          </w:r>
        </w:p>
      </w:sdtContent>
    </w:sdt>
    <w:p w:rsidR="0035132E" w:rsidRPr="00CA4E1B" w:rsidRDefault="009200F0" w:rsidP="003E2FEA">
      <w:pPr>
        <w:pStyle w:val="Heading1"/>
      </w:pPr>
      <w:bookmarkStart w:id="7" w:name="_Toc256000001"/>
      <w:bookmarkStart w:id="8" w:name="_Toc393467595"/>
      <w:bookmarkStart w:id="9" w:name="_Toc396389743"/>
      <w:bookmarkStart w:id="10" w:name="_Toc396389829"/>
      <w:bookmarkStart w:id="11" w:name="_Toc396470594"/>
      <w:bookmarkStart w:id="12" w:name="_Toc399336333"/>
      <w:bookmarkStart w:id="13" w:name="_Toc399336672"/>
      <w:bookmarkStart w:id="14" w:name="_Toc399337061"/>
      <w:bookmarkStart w:id="15" w:name="_Toc399337211"/>
      <w:bookmarkStart w:id="16" w:name="_Toc399337293"/>
      <w:bookmarkStart w:id="17" w:name="_Toc399337387"/>
      <w:bookmarkStart w:id="18" w:name="_Toc399337491"/>
      <w:bookmarkStart w:id="19" w:name="_Toc408990218"/>
      <w:bookmarkStart w:id="20" w:name="_Toc409018671"/>
      <w:bookmarkStart w:id="21" w:name="_Toc409783604"/>
      <w:bookmarkStart w:id="22" w:name="_Toc414615088"/>
      <w:bookmarkStart w:id="23" w:name="_Toc417633435"/>
      <w:bookmarkStart w:id="24" w:name="_Toc421182261"/>
      <w:bookmarkStart w:id="25" w:name="_Toc445297883"/>
      <w:bookmarkStart w:id="26" w:name="_Toc445307790"/>
      <w:r>
        <w:t>F</w:t>
      </w:r>
      <w:r w:rsidR="0035132E" w:rsidRPr="00CA4E1B">
        <w:t>igures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3303C">
        <w:t xml:space="preserve"> </w:t>
      </w:r>
      <w:r w:rsidR="0094761E">
        <w:t>and tables</w:t>
      </w:r>
      <w:bookmarkEnd w:id="25"/>
      <w:bookmarkEnd w:id="26"/>
    </w:p>
    <w:p w:rsidR="00EF2420" w:rsidRDefault="009512A9" w:rsidP="003E2FEA">
      <w:pPr>
        <w:pStyle w:val="TableofFigures"/>
        <w:tabs>
          <w:tab w:val="right" w:leader="dot" w:pos="9202"/>
        </w:tabs>
        <w:rPr>
          <w:rFonts w:asciiTheme="minorHAnsi" w:eastAsiaTheme="minorEastAsia" w:hAnsiTheme="minorHAnsi" w:cstheme="minorBidi"/>
          <w:noProof/>
          <w:sz w:val="22"/>
          <w:lang w:eastAsia="en-AU"/>
        </w:rPr>
      </w:pPr>
      <w:r>
        <w:rPr>
          <w:sz w:val="22"/>
          <w:highlight w:val="yellow"/>
        </w:rPr>
        <w:fldChar w:fldCharType="begin"/>
      </w:r>
      <w:r w:rsidR="00EF2420">
        <w:rPr>
          <w:sz w:val="22"/>
          <w:highlight w:val="yellow"/>
        </w:rPr>
        <w:instrText xml:space="preserve"> TOC \t "Caption" \c </w:instrText>
      </w:r>
      <w:r>
        <w:rPr>
          <w:sz w:val="22"/>
          <w:highlight w:val="yellow"/>
        </w:rPr>
        <w:fldChar w:fldCharType="separate"/>
      </w:r>
      <w:r w:rsidR="00EF2420">
        <w:rPr>
          <w:noProof/>
        </w:rPr>
        <w:t>Figure 1: Plains-wanderer male (left) and female (right) in sparse grassland habitat.</w:t>
      </w:r>
      <w:r w:rsidR="00EF2420">
        <w:rPr>
          <w:noProof/>
        </w:rPr>
        <w:tab/>
      </w:r>
      <w:r>
        <w:rPr>
          <w:noProof/>
        </w:rPr>
        <w:fldChar w:fldCharType="begin"/>
      </w:r>
      <w:r w:rsidR="00EF2420">
        <w:rPr>
          <w:noProof/>
        </w:rPr>
        <w:instrText xml:space="preserve"> PAGEREF _Toc417633336 \h </w:instrText>
      </w:r>
      <w:r>
        <w:rPr>
          <w:noProof/>
        </w:rPr>
      </w:r>
      <w:r>
        <w:rPr>
          <w:noProof/>
        </w:rPr>
        <w:fldChar w:fldCharType="separate"/>
      </w:r>
      <w:r w:rsidR="00204645">
        <w:rPr>
          <w:noProof/>
        </w:rPr>
        <w:t>6</w:t>
      </w:r>
      <w:r>
        <w:rPr>
          <w:noProof/>
        </w:rPr>
        <w:fldChar w:fldCharType="end"/>
      </w:r>
    </w:p>
    <w:p w:rsidR="00EF2420" w:rsidRDefault="00EF2420" w:rsidP="003E2FEA">
      <w:pPr>
        <w:pStyle w:val="TableofFigures"/>
        <w:tabs>
          <w:tab w:val="right" w:leader="dot" w:pos="9202"/>
        </w:tabs>
        <w:rPr>
          <w:rFonts w:asciiTheme="minorHAnsi" w:eastAsiaTheme="minorEastAsia" w:hAnsiTheme="minorHAnsi" w:cstheme="minorBidi"/>
          <w:noProof/>
          <w:sz w:val="22"/>
          <w:lang w:eastAsia="en-AU"/>
        </w:rPr>
      </w:pPr>
      <w:r>
        <w:rPr>
          <w:noProof/>
        </w:rPr>
        <w:t>Table 1: International, national and state conservation status of the plains-wanderer.</w:t>
      </w:r>
      <w:r>
        <w:rPr>
          <w:noProof/>
        </w:rPr>
        <w:tab/>
      </w:r>
      <w:r w:rsidR="009512A9">
        <w:rPr>
          <w:noProof/>
        </w:rPr>
        <w:fldChar w:fldCharType="begin"/>
      </w:r>
      <w:r>
        <w:rPr>
          <w:noProof/>
        </w:rPr>
        <w:instrText xml:space="preserve"> PAGEREF _Toc417633337 \h </w:instrText>
      </w:r>
      <w:r w:rsidR="009512A9">
        <w:rPr>
          <w:noProof/>
        </w:rPr>
      </w:r>
      <w:r w:rsidR="009512A9">
        <w:rPr>
          <w:noProof/>
        </w:rPr>
        <w:fldChar w:fldCharType="separate"/>
      </w:r>
      <w:r w:rsidR="00204645">
        <w:rPr>
          <w:noProof/>
        </w:rPr>
        <w:t>9</w:t>
      </w:r>
      <w:r w:rsidR="009512A9">
        <w:rPr>
          <w:noProof/>
        </w:rPr>
        <w:fldChar w:fldCharType="end"/>
      </w:r>
    </w:p>
    <w:p w:rsidR="00EF2420" w:rsidRDefault="00EF2420" w:rsidP="003E2FEA">
      <w:pPr>
        <w:pStyle w:val="TableofFigures"/>
        <w:tabs>
          <w:tab w:val="right" w:leader="dot" w:pos="9202"/>
        </w:tabs>
        <w:rPr>
          <w:rFonts w:asciiTheme="minorHAnsi" w:eastAsiaTheme="minorEastAsia" w:hAnsiTheme="minorHAnsi" w:cstheme="minorBidi"/>
          <w:noProof/>
          <w:sz w:val="22"/>
          <w:lang w:eastAsia="en-AU"/>
        </w:rPr>
      </w:pPr>
      <w:r>
        <w:rPr>
          <w:noProof/>
        </w:rPr>
        <w:t>Table 2: Current distribution of plains-wanderer and key threats.</w:t>
      </w:r>
      <w:r>
        <w:rPr>
          <w:noProof/>
        </w:rPr>
        <w:tab/>
      </w:r>
      <w:r w:rsidR="009512A9">
        <w:rPr>
          <w:noProof/>
        </w:rPr>
        <w:fldChar w:fldCharType="begin"/>
      </w:r>
      <w:r>
        <w:rPr>
          <w:noProof/>
        </w:rPr>
        <w:instrText xml:space="preserve"> PAGEREF _Toc417633338 \h </w:instrText>
      </w:r>
      <w:r w:rsidR="009512A9">
        <w:rPr>
          <w:noProof/>
        </w:rPr>
      </w:r>
      <w:r w:rsidR="009512A9">
        <w:rPr>
          <w:noProof/>
        </w:rPr>
        <w:fldChar w:fldCharType="separate"/>
      </w:r>
      <w:r w:rsidR="00204645">
        <w:rPr>
          <w:noProof/>
        </w:rPr>
        <w:t>15</w:t>
      </w:r>
      <w:r w:rsidR="009512A9">
        <w:rPr>
          <w:noProof/>
        </w:rPr>
        <w:fldChar w:fldCharType="end"/>
      </w:r>
    </w:p>
    <w:p w:rsidR="00EF2420" w:rsidRDefault="00EF2420" w:rsidP="003E2FEA">
      <w:pPr>
        <w:pStyle w:val="TableofFigures"/>
        <w:tabs>
          <w:tab w:val="right" w:leader="dot" w:pos="9202"/>
        </w:tabs>
        <w:rPr>
          <w:rFonts w:asciiTheme="minorHAnsi" w:eastAsiaTheme="minorEastAsia" w:hAnsiTheme="minorHAnsi" w:cstheme="minorBidi"/>
          <w:noProof/>
          <w:sz w:val="22"/>
          <w:lang w:eastAsia="en-AU"/>
        </w:rPr>
      </w:pPr>
      <w:r>
        <w:rPr>
          <w:noProof/>
        </w:rPr>
        <w:t xml:space="preserve">Figure 2: Modelled distribution of the plains-wanderer </w:t>
      </w:r>
      <w:r w:rsidRPr="000E301D">
        <w:rPr>
          <w:i/>
          <w:noProof/>
        </w:rPr>
        <w:t>(Pedionomus torquatus)</w:t>
      </w:r>
      <w:r>
        <w:rPr>
          <w:noProof/>
        </w:rPr>
        <w:tab/>
      </w:r>
      <w:r w:rsidR="009512A9">
        <w:rPr>
          <w:noProof/>
        </w:rPr>
        <w:fldChar w:fldCharType="begin"/>
      </w:r>
      <w:r>
        <w:rPr>
          <w:noProof/>
        </w:rPr>
        <w:instrText xml:space="preserve"> PAGEREF _Toc417633339 \h </w:instrText>
      </w:r>
      <w:r w:rsidR="009512A9">
        <w:rPr>
          <w:noProof/>
        </w:rPr>
      </w:r>
      <w:r w:rsidR="009512A9">
        <w:rPr>
          <w:noProof/>
        </w:rPr>
        <w:fldChar w:fldCharType="separate"/>
      </w:r>
      <w:r w:rsidR="00204645">
        <w:rPr>
          <w:noProof/>
        </w:rPr>
        <w:t>16</w:t>
      </w:r>
      <w:r w:rsidR="009512A9">
        <w:rPr>
          <w:noProof/>
        </w:rPr>
        <w:fldChar w:fldCharType="end"/>
      </w:r>
    </w:p>
    <w:p w:rsidR="00EF2420" w:rsidRDefault="00EF2420" w:rsidP="003E2FEA">
      <w:pPr>
        <w:pStyle w:val="TableofFigures"/>
        <w:tabs>
          <w:tab w:val="right" w:leader="dot" w:pos="9202"/>
        </w:tabs>
        <w:rPr>
          <w:rFonts w:asciiTheme="minorHAnsi" w:eastAsiaTheme="minorEastAsia" w:hAnsiTheme="minorHAnsi" w:cstheme="minorBidi"/>
          <w:noProof/>
          <w:sz w:val="22"/>
          <w:lang w:eastAsia="en-AU"/>
        </w:rPr>
      </w:pPr>
      <w:r>
        <w:rPr>
          <w:noProof/>
        </w:rPr>
        <w:t>Table 3: Summary of high priority recovery actions and estimated costs .</w:t>
      </w:r>
      <w:r>
        <w:rPr>
          <w:noProof/>
        </w:rPr>
        <w:tab/>
      </w:r>
      <w:r w:rsidR="009512A9">
        <w:rPr>
          <w:noProof/>
        </w:rPr>
        <w:fldChar w:fldCharType="begin"/>
      </w:r>
      <w:r>
        <w:rPr>
          <w:noProof/>
        </w:rPr>
        <w:instrText xml:space="preserve"> PAGEREF _Toc417633340 \h </w:instrText>
      </w:r>
      <w:r w:rsidR="009512A9">
        <w:rPr>
          <w:noProof/>
        </w:rPr>
      </w:r>
      <w:r w:rsidR="009512A9">
        <w:rPr>
          <w:noProof/>
        </w:rPr>
        <w:fldChar w:fldCharType="separate"/>
      </w:r>
      <w:r w:rsidR="00204645">
        <w:rPr>
          <w:noProof/>
        </w:rPr>
        <w:t>31</w:t>
      </w:r>
      <w:r w:rsidR="009512A9">
        <w:rPr>
          <w:noProof/>
        </w:rPr>
        <w:fldChar w:fldCharType="end"/>
      </w:r>
    </w:p>
    <w:p w:rsidR="0035132E" w:rsidRPr="0035132E" w:rsidRDefault="009512A9" w:rsidP="003E2FEA">
      <w:pPr>
        <w:spacing w:after="0"/>
        <w:rPr>
          <w:szCs w:val="20"/>
          <w:highlight w:val="yellow"/>
        </w:rPr>
        <w:sectPr w:rsidR="0035132E" w:rsidRPr="0035132E" w:rsidSect="005E2592">
          <w:headerReference w:type="first" r:id="rId20"/>
          <w:footerReference w:type="first" r:id="rId21"/>
          <w:pgSz w:w="11906" w:h="16838" w:code="9"/>
          <w:pgMar w:top="1238" w:right="1276" w:bottom="567" w:left="1418" w:header="425" w:footer="170" w:gutter="0"/>
          <w:cols w:space="708"/>
          <w:titlePg/>
          <w:docGrid w:linePitch="360"/>
        </w:sectPr>
      </w:pPr>
      <w:r>
        <w:rPr>
          <w:sz w:val="22"/>
          <w:highlight w:val="yellow"/>
        </w:rPr>
        <w:fldChar w:fldCharType="end"/>
      </w:r>
    </w:p>
    <w:p w:rsidR="0035132E" w:rsidRPr="00AA028A" w:rsidRDefault="009200F0" w:rsidP="003E2FEA">
      <w:pPr>
        <w:pStyle w:val="Heading1"/>
        <w:rPr>
          <w:b/>
        </w:rPr>
      </w:pPr>
      <w:bookmarkStart w:id="27" w:name="_Toc445307791"/>
      <w:r w:rsidRPr="00AA028A">
        <w:rPr>
          <w:b/>
        </w:rPr>
        <w:t>Acronyms</w:t>
      </w:r>
      <w:bookmarkEnd w:id="27"/>
    </w:p>
    <w:tbl>
      <w:tblPr>
        <w:tblW w:w="0" w:type="auto"/>
        <w:tblBorders>
          <w:top w:val="single" w:sz="4" w:space="0" w:color="auto"/>
          <w:bottom w:val="single" w:sz="4" w:space="0" w:color="auto"/>
          <w:insideH w:val="single" w:sz="4" w:space="0" w:color="auto"/>
        </w:tblBorders>
        <w:tblLayout w:type="fixed"/>
        <w:tblCellMar>
          <w:top w:w="28" w:type="dxa"/>
          <w:bottom w:w="28" w:type="dxa"/>
        </w:tblCellMar>
        <w:tblLook w:val="0000"/>
      </w:tblPr>
      <w:tblGrid>
        <w:gridCol w:w="2093"/>
        <w:gridCol w:w="6946"/>
      </w:tblGrid>
      <w:tr w:rsidR="0018674C" w:rsidTr="00AA028A">
        <w:trPr>
          <w:trHeight w:val="103"/>
        </w:trPr>
        <w:tc>
          <w:tcPr>
            <w:tcW w:w="2093" w:type="dxa"/>
            <w:vAlign w:val="center"/>
          </w:tcPr>
          <w:p w:rsidR="0035132E" w:rsidRPr="00226E9E" w:rsidRDefault="0035132E" w:rsidP="00AA028A">
            <w:pPr>
              <w:spacing w:after="0" w:line="360" w:lineRule="auto"/>
              <w:rPr>
                <w:sz w:val="22"/>
              </w:rPr>
            </w:pPr>
            <w:r w:rsidRPr="00226E9E">
              <w:rPr>
                <w:sz w:val="22"/>
              </w:rPr>
              <w:t>BHA</w:t>
            </w:r>
          </w:p>
        </w:tc>
        <w:tc>
          <w:tcPr>
            <w:tcW w:w="6946" w:type="dxa"/>
            <w:vAlign w:val="center"/>
          </w:tcPr>
          <w:p w:rsidR="0035132E" w:rsidRPr="00226E9E" w:rsidRDefault="0035132E" w:rsidP="00AA028A">
            <w:pPr>
              <w:spacing w:after="0" w:line="360" w:lineRule="auto"/>
              <w:rPr>
                <w:sz w:val="22"/>
              </w:rPr>
            </w:pPr>
            <w:r w:rsidRPr="00226E9E">
              <w:rPr>
                <w:sz w:val="22"/>
              </w:rPr>
              <w:t>Bush Heritage Australia</w:t>
            </w:r>
          </w:p>
        </w:tc>
      </w:tr>
      <w:tr w:rsidR="0018674C" w:rsidTr="00AA028A">
        <w:trPr>
          <w:trHeight w:val="103"/>
        </w:trPr>
        <w:tc>
          <w:tcPr>
            <w:tcW w:w="2093" w:type="dxa"/>
            <w:vAlign w:val="center"/>
          </w:tcPr>
          <w:p w:rsidR="0035132E" w:rsidRPr="00226E9E" w:rsidRDefault="0035132E" w:rsidP="00AA028A">
            <w:pPr>
              <w:spacing w:after="0" w:line="360" w:lineRule="auto"/>
              <w:rPr>
                <w:sz w:val="22"/>
              </w:rPr>
            </w:pPr>
            <w:r w:rsidRPr="00226E9E">
              <w:rPr>
                <w:sz w:val="22"/>
              </w:rPr>
              <w:t>CFA</w:t>
            </w:r>
          </w:p>
        </w:tc>
        <w:tc>
          <w:tcPr>
            <w:tcW w:w="6946" w:type="dxa"/>
            <w:vAlign w:val="center"/>
          </w:tcPr>
          <w:p w:rsidR="0035132E" w:rsidRPr="00226E9E" w:rsidRDefault="0035132E" w:rsidP="00AA028A">
            <w:pPr>
              <w:spacing w:after="0" w:line="360" w:lineRule="auto"/>
              <w:rPr>
                <w:sz w:val="22"/>
              </w:rPr>
            </w:pPr>
            <w:r w:rsidRPr="00226E9E">
              <w:rPr>
                <w:sz w:val="22"/>
              </w:rPr>
              <w:t>Country Fire Authority (Vic)</w:t>
            </w:r>
          </w:p>
        </w:tc>
      </w:tr>
      <w:tr w:rsidR="0018674C" w:rsidTr="00AA028A">
        <w:trPr>
          <w:trHeight w:val="103"/>
        </w:trPr>
        <w:tc>
          <w:tcPr>
            <w:tcW w:w="2093" w:type="dxa"/>
            <w:vAlign w:val="center"/>
          </w:tcPr>
          <w:p w:rsidR="0035132E" w:rsidRPr="00226E9E" w:rsidRDefault="0035132E" w:rsidP="00AA028A">
            <w:pPr>
              <w:spacing w:after="0" w:line="360" w:lineRule="auto"/>
              <w:rPr>
                <w:sz w:val="22"/>
              </w:rPr>
            </w:pPr>
            <w:r w:rsidRPr="00226E9E">
              <w:rPr>
                <w:sz w:val="22"/>
              </w:rPr>
              <w:t>DotE</w:t>
            </w:r>
          </w:p>
        </w:tc>
        <w:tc>
          <w:tcPr>
            <w:tcW w:w="6946" w:type="dxa"/>
            <w:vAlign w:val="center"/>
          </w:tcPr>
          <w:p w:rsidR="0035132E" w:rsidRPr="00226E9E" w:rsidRDefault="0035132E" w:rsidP="00AA028A">
            <w:pPr>
              <w:spacing w:after="0" w:line="360" w:lineRule="auto"/>
              <w:rPr>
                <w:sz w:val="22"/>
              </w:rPr>
            </w:pPr>
            <w:r w:rsidRPr="00226E9E">
              <w:rPr>
                <w:sz w:val="22"/>
              </w:rPr>
              <w:t>Department of the Environment</w:t>
            </w:r>
          </w:p>
        </w:tc>
      </w:tr>
      <w:tr w:rsidR="0018674C" w:rsidTr="00AA028A">
        <w:trPr>
          <w:trHeight w:val="103"/>
        </w:trPr>
        <w:tc>
          <w:tcPr>
            <w:tcW w:w="2093" w:type="dxa"/>
            <w:vAlign w:val="center"/>
          </w:tcPr>
          <w:p w:rsidR="0035132E" w:rsidRPr="00226E9E" w:rsidRDefault="0035132E" w:rsidP="00AA028A">
            <w:pPr>
              <w:spacing w:after="0" w:line="360" w:lineRule="auto"/>
              <w:rPr>
                <w:sz w:val="22"/>
              </w:rPr>
            </w:pPr>
            <w:r w:rsidRPr="00226E9E">
              <w:rPr>
                <w:sz w:val="22"/>
              </w:rPr>
              <w:t>DELWP</w:t>
            </w:r>
          </w:p>
        </w:tc>
        <w:tc>
          <w:tcPr>
            <w:tcW w:w="6946" w:type="dxa"/>
            <w:vAlign w:val="center"/>
          </w:tcPr>
          <w:p w:rsidR="0035132E" w:rsidRPr="00226E9E" w:rsidRDefault="0035132E" w:rsidP="00AA028A">
            <w:pPr>
              <w:spacing w:after="0" w:line="360" w:lineRule="auto"/>
              <w:rPr>
                <w:sz w:val="22"/>
              </w:rPr>
            </w:pPr>
            <w:r w:rsidRPr="00226E9E">
              <w:rPr>
                <w:sz w:val="22"/>
              </w:rPr>
              <w:t>Department of Environment, Land, Water and Planning (Vic)</w:t>
            </w:r>
          </w:p>
        </w:tc>
      </w:tr>
      <w:tr w:rsidR="0018674C" w:rsidTr="00AA028A">
        <w:trPr>
          <w:trHeight w:val="103"/>
        </w:trPr>
        <w:tc>
          <w:tcPr>
            <w:tcW w:w="2093" w:type="dxa"/>
            <w:vAlign w:val="center"/>
          </w:tcPr>
          <w:p w:rsidR="0035132E" w:rsidRPr="00226E9E" w:rsidRDefault="0035132E" w:rsidP="00AA028A">
            <w:pPr>
              <w:spacing w:after="0" w:line="360" w:lineRule="auto"/>
              <w:rPr>
                <w:sz w:val="22"/>
              </w:rPr>
            </w:pPr>
            <w:r w:rsidRPr="00226E9E">
              <w:rPr>
                <w:sz w:val="22"/>
              </w:rPr>
              <w:t>DEWNR</w:t>
            </w:r>
          </w:p>
        </w:tc>
        <w:tc>
          <w:tcPr>
            <w:tcW w:w="6946" w:type="dxa"/>
            <w:vAlign w:val="center"/>
          </w:tcPr>
          <w:p w:rsidR="0035132E" w:rsidRPr="00226E9E" w:rsidRDefault="0035132E" w:rsidP="00AA028A">
            <w:pPr>
              <w:spacing w:after="0" w:line="360" w:lineRule="auto"/>
              <w:rPr>
                <w:sz w:val="22"/>
              </w:rPr>
            </w:pPr>
            <w:r w:rsidRPr="00226E9E">
              <w:rPr>
                <w:sz w:val="22"/>
              </w:rPr>
              <w:t>Department of Environment, Water and Natural Resources (SA)</w:t>
            </w:r>
          </w:p>
        </w:tc>
      </w:tr>
      <w:tr w:rsidR="0018674C" w:rsidTr="00AA028A">
        <w:trPr>
          <w:trHeight w:val="103"/>
        </w:trPr>
        <w:tc>
          <w:tcPr>
            <w:tcW w:w="2093" w:type="dxa"/>
            <w:vAlign w:val="center"/>
          </w:tcPr>
          <w:p w:rsidR="0035132E" w:rsidRPr="00226E9E" w:rsidRDefault="000B034C" w:rsidP="00AA028A">
            <w:pPr>
              <w:spacing w:after="0" w:line="360" w:lineRule="auto"/>
              <w:rPr>
                <w:sz w:val="22"/>
              </w:rPr>
            </w:pPr>
            <w:r>
              <w:rPr>
                <w:sz w:val="22"/>
              </w:rPr>
              <w:t>D</w:t>
            </w:r>
            <w:r w:rsidR="0035132E" w:rsidRPr="00226E9E">
              <w:rPr>
                <w:sz w:val="22"/>
              </w:rPr>
              <w:t>EHP</w:t>
            </w:r>
          </w:p>
        </w:tc>
        <w:tc>
          <w:tcPr>
            <w:tcW w:w="6946" w:type="dxa"/>
            <w:vAlign w:val="center"/>
          </w:tcPr>
          <w:p w:rsidR="0035132E" w:rsidRPr="00226E9E" w:rsidRDefault="0035132E" w:rsidP="00AA028A">
            <w:pPr>
              <w:spacing w:after="0" w:line="360" w:lineRule="auto"/>
              <w:rPr>
                <w:sz w:val="22"/>
              </w:rPr>
            </w:pPr>
            <w:r w:rsidRPr="00226E9E">
              <w:rPr>
                <w:sz w:val="22"/>
              </w:rPr>
              <w:t>Department of Environment and Heritage Protection (Qld)</w:t>
            </w:r>
          </w:p>
        </w:tc>
      </w:tr>
      <w:tr w:rsidR="0018674C" w:rsidTr="00AA028A">
        <w:trPr>
          <w:trHeight w:val="103"/>
        </w:trPr>
        <w:tc>
          <w:tcPr>
            <w:tcW w:w="2093" w:type="dxa"/>
            <w:vAlign w:val="center"/>
          </w:tcPr>
          <w:p w:rsidR="0035132E" w:rsidRPr="00226E9E" w:rsidRDefault="0035132E" w:rsidP="00AA028A">
            <w:pPr>
              <w:spacing w:after="0" w:line="360" w:lineRule="auto"/>
              <w:rPr>
                <w:sz w:val="22"/>
              </w:rPr>
            </w:pPr>
            <w:r w:rsidRPr="00226E9E">
              <w:rPr>
                <w:sz w:val="22"/>
              </w:rPr>
              <w:t xml:space="preserve">EPBC Act </w:t>
            </w:r>
          </w:p>
        </w:tc>
        <w:tc>
          <w:tcPr>
            <w:tcW w:w="6946" w:type="dxa"/>
            <w:vAlign w:val="center"/>
          </w:tcPr>
          <w:p w:rsidR="0035132E" w:rsidRPr="00226E9E" w:rsidRDefault="0035132E" w:rsidP="00AA028A">
            <w:pPr>
              <w:spacing w:after="0" w:line="360" w:lineRule="auto"/>
              <w:rPr>
                <w:sz w:val="22"/>
              </w:rPr>
            </w:pPr>
            <w:r w:rsidRPr="00226E9E">
              <w:rPr>
                <w:i/>
                <w:iCs/>
                <w:sz w:val="22"/>
              </w:rPr>
              <w:t xml:space="preserve">Environment Protection and Biodiversity Conservation Act 1999 </w:t>
            </w:r>
          </w:p>
        </w:tc>
      </w:tr>
      <w:tr w:rsidR="0018674C" w:rsidTr="00AA028A">
        <w:trPr>
          <w:trHeight w:val="103"/>
        </w:trPr>
        <w:tc>
          <w:tcPr>
            <w:tcW w:w="2093" w:type="dxa"/>
            <w:vAlign w:val="center"/>
          </w:tcPr>
          <w:p w:rsidR="0035132E" w:rsidRPr="00226E9E" w:rsidRDefault="0035132E" w:rsidP="00AA028A">
            <w:pPr>
              <w:spacing w:after="0" w:line="360" w:lineRule="auto"/>
              <w:rPr>
                <w:sz w:val="22"/>
              </w:rPr>
            </w:pPr>
            <w:r w:rsidRPr="00226E9E">
              <w:rPr>
                <w:sz w:val="22"/>
              </w:rPr>
              <w:t>GFNC</w:t>
            </w:r>
          </w:p>
        </w:tc>
        <w:tc>
          <w:tcPr>
            <w:tcW w:w="6946" w:type="dxa"/>
            <w:vAlign w:val="center"/>
          </w:tcPr>
          <w:p w:rsidR="0035132E" w:rsidRPr="00226E9E" w:rsidRDefault="0035132E" w:rsidP="00AA028A">
            <w:pPr>
              <w:spacing w:after="0" w:line="360" w:lineRule="auto"/>
              <w:rPr>
                <w:iCs/>
                <w:sz w:val="22"/>
              </w:rPr>
            </w:pPr>
            <w:r w:rsidRPr="00226E9E">
              <w:rPr>
                <w:iCs/>
                <w:sz w:val="22"/>
              </w:rPr>
              <w:t>Geelong Field Naturalists’ Club</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Pr>
                <w:sz w:val="22"/>
              </w:rPr>
              <w:t>GMV</w:t>
            </w:r>
          </w:p>
        </w:tc>
        <w:tc>
          <w:tcPr>
            <w:tcW w:w="6946" w:type="dxa"/>
            <w:vAlign w:val="center"/>
          </w:tcPr>
          <w:p w:rsidR="00C30AA2" w:rsidRPr="00226E9E" w:rsidRDefault="00C30AA2" w:rsidP="00AA028A">
            <w:pPr>
              <w:spacing w:after="0" w:line="360" w:lineRule="auto"/>
              <w:rPr>
                <w:iCs/>
                <w:sz w:val="22"/>
              </w:rPr>
            </w:pPr>
            <w:r>
              <w:rPr>
                <w:iCs/>
                <w:sz w:val="22"/>
              </w:rPr>
              <w:t>Game Management Victoria</w:t>
            </w:r>
          </w:p>
        </w:tc>
      </w:tr>
      <w:tr w:rsidR="0018674C" w:rsidTr="00AA028A">
        <w:trPr>
          <w:trHeight w:val="103"/>
        </w:trPr>
        <w:tc>
          <w:tcPr>
            <w:tcW w:w="2093" w:type="dxa"/>
            <w:vAlign w:val="center"/>
          </w:tcPr>
          <w:p w:rsidR="0035132E" w:rsidRPr="00226E9E" w:rsidRDefault="0035132E" w:rsidP="00AA028A">
            <w:pPr>
              <w:spacing w:after="0" w:line="360" w:lineRule="auto"/>
              <w:rPr>
                <w:sz w:val="22"/>
              </w:rPr>
            </w:pPr>
            <w:r w:rsidRPr="00226E9E">
              <w:rPr>
                <w:sz w:val="22"/>
              </w:rPr>
              <w:t>IBRA</w:t>
            </w:r>
          </w:p>
        </w:tc>
        <w:tc>
          <w:tcPr>
            <w:tcW w:w="6946" w:type="dxa"/>
            <w:vAlign w:val="center"/>
          </w:tcPr>
          <w:p w:rsidR="0035132E" w:rsidRPr="00226E9E" w:rsidRDefault="0035132E" w:rsidP="00AA028A">
            <w:pPr>
              <w:spacing w:after="0" w:line="360" w:lineRule="auto"/>
              <w:rPr>
                <w:i/>
                <w:iCs/>
                <w:sz w:val="22"/>
              </w:rPr>
            </w:pPr>
            <w:r w:rsidRPr="00226E9E">
              <w:rPr>
                <w:rFonts w:cs="Arial"/>
                <w:sz w:val="22"/>
              </w:rPr>
              <w:t>Interim Biogeographic Regionalisation for Australia</w:t>
            </w:r>
          </w:p>
        </w:tc>
      </w:tr>
      <w:tr w:rsidR="0018674C" w:rsidTr="00AA028A">
        <w:trPr>
          <w:trHeight w:val="103"/>
        </w:trPr>
        <w:tc>
          <w:tcPr>
            <w:tcW w:w="2093" w:type="dxa"/>
            <w:vAlign w:val="center"/>
          </w:tcPr>
          <w:p w:rsidR="0035132E" w:rsidRPr="00226E9E" w:rsidRDefault="0035132E" w:rsidP="00AA028A">
            <w:pPr>
              <w:spacing w:after="0" w:line="360" w:lineRule="auto"/>
              <w:rPr>
                <w:sz w:val="22"/>
              </w:rPr>
            </w:pPr>
            <w:r w:rsidRPr="00226E9E">
              <w:rPr>
                <w:sz w:val="22"/>
              </w:rPr>
              <w:t>IUCN</w:t>
            </w:r>
          </w:p>
        </w:tc>
        <w:tc>
          <w:tcPr>
            <w:tcW w:w="6946" w:type="dxa"/>
            <w:vAlign w:val="center"/>
          </w:tcPr>
          <w:p w:rsidR="0035132E" w:rsidRPr="00226E9E" w:rsidRDefault="0035132E" w:rsidP="00AA028A">
            <w:pPr>
              <w:spacing w:after="0" w:line="360" w:lineRule="auto"/>
              <w:rPr>
                <w:sz w:val="22"/>
              </w:rPr>
            </w:pPr>
            <w:r w:rsidRPr="00226E9E">
              <w:rPr>
                <w:sz w:val="22"/>
              </w:rPr>
              <w:t>International Union for Conservation of Nature</w:t>
            </w:r>
          </w:p>
        </w:tc>
      </w:tr>
      <w:tr w:rsidR="0018674C" w:rsidTr="00AA028A">
        <w:trPr>
          <w:trHeight w:val="103"/>
        </w:trPr>
        <w:tc>
          <w:tcPr>
            <w:tcW w:w="2093" w:type="dxa"/>
            <w:vAlign w:val="center"/>
          </w:tcPr>
          <w:p w:rsidR="0035132E" w:rsidRPr="00226E9E" w:rsidRDefault="0035132E" w:rsidP="00AA028A">
            <w:pPr>
              <w:spacing w:after="0" w:line="360" w:lineRule="auto"/>
              <w:rPr>
                <w:sz w:val="22"/>
              </w:rPr>
            </w:pPr>
            <w:r w:rsidRPr="00226E9E">
              <w:rPr>
                <w:sz w:val="22"/>
              </w:rPr>
              <w:t>IUCN CBSG</w:t>
            </w:r>
          </w:p>
        </w:tc>
        <w:tc>
          <w:tcPr>
            <w:tcW w:w="6946" w:type="dxa"/>
            <w:vAlign w:val="center"/>
          </w:tcPr>
          <w:p w:rsidR="0035132E" w:rsidRPr="00226E9E" w:rsidRDefault="0035132E" w:rsidP="00AA028A">
            <w:pPr>
              <w:spacing w:after="0" w:line="360" w:lineRule="auto"/>
              <w:rPr>
                <w:sz w:val="22"/>
              </w:rPr>
            </w:pPr>
            <w:r w:rsidRPr="00226E9E">
              <w:rPr>
                <w:sz w:val="22"/>
              </w:rPr>
              <w:t>IUCN Conservation Breeding Specialist Group</w:t>
            </w:r>
          </w:p>
        </w:tc>
      </w:tr>
      <w:tr w:rsidR="0018674C" w:rsidTr="00AA028A">
        <w:trPr>
          <w:trHeight w:val="103"/>
        </w:trPr>
        <w:tc>
          <w:tcPr>
            <w:tcW w:w="2093" w:type="dxa"/>
            <w:vAlign w:val="center"/>
          </w:tcPr>
          <w:p w:rsidR="0035132E" w:rsidRPr="00226E9E" w:rsidRDefault="0035132E" w:rsidP="00AA028A">
            <w:pPr>
              <w:spacing w:after="0" w:line="360" w:lineRule="auto"/>
              <w:rPr>
                <w:sz w:val="22"/>
              </w:rPr>
            </w:pPr>
            <w:r w:rsidRPr="00226E9E">
              <w:rPr>
                <w:sz w:val="22"/>
              </w:rPr>
              <w:t>MLLS</w:t>
            </w:r>
          </w:p>
        </w:tc>
        <w:tc>
          <w:tcPr>
            <w:tcW w:w="6946" w:type="dxa"/>
            <w:vAlign w:val="center"/>
          </w:tcPr>
          <w:p w:rsidR="0035132E" w:rsidRPr="00226E9E" w:rsidRDefault="0035132E" w:rsidP="00AA028A">
            <w:pPr>
              <w:spacing w:after="0" w:line="360" w:lineRule="auto"/>
              <w:rPr>
                <w:sz w:val="22"/>
              </w:rPr>
            </w:pPr>
            <w:r w:rsidRPr="00226E9E">
              <w:rPr>
                <w:sz w:val="22"/>
              </w:rPr>
              <w:t xml:space="preserve">Murray Local Land Services </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 xml:space="preserve">MNES </w:t>
            </w:r>
          </w:p>
        </w:tc>
        <w:tc>
          <w:tcPr>
            <w:tcW w:w="6946" w:type="dxa"/>
            <w:vAlign w:val="center"/>
          </w:tcPr>
          <w:p w:rsidR="00C30AA2" w:rsidRPr="00226E9E" w:rsidRDefault="00C30AA2" w:rsidP="00AA028A">
            <w:pPr>
              <w:spacing w:after="0" w:line="360" w:lineRule="auto"/>
              <w:rPr>
                <w:sz w:val="22"/>
              </w:rPr>
            </w:pPr>
            <w:r w:rsidRPr="00226E9E">
              <w:rPr>
                <w:sz w:val="22"/>
              </w:rPr>
              <w:t>Matter</w:t>
            </w:r>
            <w:r>
              <w:rPr>
                <w:sz w:val="22"/>
              </w:rPr>
              <w:t>s</w:t>
            </w:r>
            <w:r w:rsidRPr="00226E9E">
              <w:rPr>
                <w:sz w:val="22"/>
              </w:rPr>
              <w:t xml:space="preserve"> of National Environmental Significance </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NCCMA</w:t>
            </w:r>
          </w:p>
        </w:tc>
        <w:tc>
          <w:tcPr>
            <w:tcW w:w="6946" w:type="dxa"/>
            <w:vAlign w:val="center"/>
          </w:tcPr>
          <w:p w:rsidR="00C30AA2" w:rsidRPr="00226E9E" w:rsidRDefault="00C30AA2" w:rsidP="00AA028A">
            <w:pPr>
              <w:spacing w:after="0" w:line="360" w:lineRule="auto"/>
              <w:rPr>
                <w:sz w:val="22"/>
              </w:rPr>
            </w:pPr>
            <w:r w:rsidRPr="00226E9E">
              <w:rPr>
                <w:sz w:val="22"/>
              </w:rPr>
              <w:t>North Central Catchment Management Authority</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NCT</w:t>
            </w:r>
          </w:p>
        </w:tc>
        <w:tc>
          <w:tcPr>
            <w:tcW w:w="6946" w:type="dxa"/>
            <w:vAlign w:val="center"/>
          </w:tcPr>
          <w:p w:rsidR="00C30AA2" w:rsidRPr="00226E9E" w:rsidRDefault="00C30AA2" w:rsidP="00AA028A">
            <w:pPr>
              <w:spacing w:after="0" w:line="360" w:lineRule="auto"/>
              <w:rPr>
                <w:sz w:val="22"/>
              </w:rPr>
            </w:pPr>
            <w:r w:rsidRPr="00226E9E">
              <w:rPr>
                <w:sz w:val="22"/>
              </w:rPr>
              <w:t>Nature Conservation Trust of NSW</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 xml:space="preserve">NGO </w:t>
            </w:r>
          </w:p>
        </w:tc>
        <w:tc>
          <w:tcPr>
            <w:tcW w:w="6946" w:type="dxa"/>
            <w:vAlign w:val="center"/>
          </w:tcPr>
          <w:p w:rsidR="00C30AA2" w:rsidRPr="00226E9E" w:rsidRDefault="00C30AA2" w:rsidP="00AA028A">
            <w:pPr>
              <w:spacing w:after="0" w:line="360" w:lineRule="auto"/>
              <w:rPr>
                <w:sz w:val="22"/>
              </w:rPr>
            </w:pPr>
            <w:r w:rsidRPr="00226E9E">
              <w:rPr>
                <w:sz w:val="22"/>
              </w:rPr>
              <w:t xml:space="preserve">Non-government organisation </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Pr>
                <w:sz w:val="22"/>
              </w:rPr>
              <w:t>NPSR</w:t>
            </w:r>
          </w:p>
        </w:tc>
        <w:tc>
          <w:tcPr>
            <w:tcW w:w="6946" w:type="dxa"/>
            <w:vAlign w:val="center"/>
          </w:tcPr>
          <w:p w:rsidR="00C30AA2" w:rsidRPr="00226E9E" w:rsidRDefault="00C30AA2" w:rsidP="00AA028A">
            <w:pPr>
              <w:spacing w:after="0" w:line="360" w:lineRule="auto"/>
              <w:rPr>
                <w:sz w:val="22"/>
              </w:rPr>
            </w:pPr>
            <w:r>
              <w:rPr>
                <w:sz w:val="22"/>
              </w:rPr>
              <w:t>Department of National Parks, Sports and Racing (Qld)</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NTAG</w:t>
            </w:r>
          </w:p>
        </w:tc>
        <w:tc>
          <w:tcPr>
            <w:tcW w:w="6946" w:type="dxa"/>
            <w:vAlign w:val="center"/>
          </w:tcPr>
          <w:p w:rsidR="00C30AA2" w:rsidRPr="00226E9E" w:rsidRDefault="00C30AA2" w:rsidP="00AA028A">
            <w:pPr>
              <w:spacing w:after="0" w:line="360" w:lineRule="auto"/>
              <w:rPr>
                <w:sz w:val="22"/>
              </w:rPr>
            </w:pPr>
            <w:r w:rsidRPr="00226E9E">
              <w:rPr>
                <w:sz w:val="22"/>
              </w:rPr>
              <w:t>Northern Plains Grassland Technical Advisory Group</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OEH</w:t>
            </w:r>
          </w:p>
        </w:tc>
        <w:tc>
          <w:tcPr>
            <w:tcW w:w="6946" w:type="dxa"/>
            <w:vAlign w:val="center"/>
          </w:tcPr>
          <w:p w:rsidR="00C30AA2" w:rsidRPr="00226E9E" w:rsidRDefault="00C30AA2" w:rsidP="00AA028A">
            <w:pPr>
              <w:spacing w:after="0" w:line="360" w:lineRule="auto"/>
              <w:rPr>
                <w:sz w:val="22"/>
              </w:rPr>
            </w:pPr>
            <w:r w:rsidRPr="00226E9E">
              <w:rPr>
                <w:sz w:val="22"/>
              </w:rPr>
              <w:t>Office of Environment and Heritage (NSW)</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PV</w:t>
            </w:r>
          </w:p>
        </w:tc>
        <w:tc>
          <w:tcPr>
            <w:tcW w:w="6946" w:type="dxa"/>
            <w:vAlign w:val="center"/>
          </w:tcPr>
          <w:p w:rsidR="00C30AA2" w:rsidRPr="00226E9E" w:rsidRDefault="00C30AA2" w:rsidP="00AA028A">
            <w:pPr>
              <w:spacing w:after="0" w:line="360" w:lineRule="auto"/>
              <w:rPr>
                <w:sz w:val="22"/>
              </w:rPr>
            </w:pPr>
            <w:r w:rsidRPr="00226E9E">
              <w:rPr>
                <w:sz w:val="22"/>
              </w:rPr>
              <w:t>Parks Victoria</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PwRT</w:t>
            </w:r>
          </w:p>
        </w:tc>
        <w:tc>
          <w:tcPr>
            <w:tcW w:w="6946" w:type="dxa"/>
            <w:vAlign w:val="center"/>
          </w:tcPr>
          <w:p w:rsidR="00C30AA2" w:rsidRPr="00226E9E" w:rsidRDefault="00C30AA2" w:rsidP="00AA028A">
            <w:pPr>
              <w:spacing w:after="0" w:line="360" w:lineRule="auto"/>
              <w:rPr>
                <w:sz w:val="22"/>
              </w:rPr>
            </w:pPr>
            <w:r w:rsidRPr="00226E9E">
              <w:rPr>
                <w:sz w:val="22"/>
              </w:rPr>
              <w:t>Plains-wanderer Recovery Team</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RLLS</w:t>
            </w:r>
          </w:p>
        </w:tc>
        <w:tc>
          <w:tcPr>
            <w:tcW w:w="6946" w:type="dxa"/>
            <w:vAlign w:val="center"/>
          </w:tcPr>
          <w:p w:rsidR="00C30AA2" w:rsidRPr="00226E9E" w:rsidRDefault="00C30AA2" w:rsidP="00AA028A">
            <w:pPr>
              <w:spacing w:after="0" w:line="360" w:lineRule="auto"/>
              <w:rPr>
                <w:sz w:val="22"/>
              </w:rPr>
            </w:pPr>
            <w:r w:rsidRPr="00226E9E">
              <w:rPr>
                <w:sz w:val="22"/>
              </w:rPr>
              <w:t>Riverina Local Land Services</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RFS</w:t>
            </w:r>
          </w:p>
        </w:tc>
        <w:tc>
          <w:tcPr>
            <w:tcW w:w="6946" w:type="dxa"/>
            <w:vAlign w:val="center"/>
          </w:tcPr>
          <w:p w:rsidR="00C30AA2" w:rsidRPr="00226E9E" w:rsidRDefault="00C30AA2" w:rsidP="00AA028A">
            <w:pPr>
              <w:spacing w:after="0" w:line="360" w:lineRule="auto"/>
              <w:rPr>
                <w:sz w:val="22"/>
              </w:rPr>
            </w:pPr>
            <w:r w:rsidRPr="00226E9E">
              <w:rPr>
                <w:sz w:val="22"/>
              </w:rPr>
              <w:t>Rural Fire Service (NSW)</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TfN</w:t>
            </w:r>
          </w:p>
        </w:tc>
        <w:tc>
          <w:tcPr>
            <w:tcW w:w="6946" w:type="dxa"/>
            <w:vAlign w:val="center"/>
          </w:tcPr>
          <w:p w:rsidR="00C30AA2" w:rsidRPr="00226E9E" w:rsidRDefault="00C30AA2" w:rsidP="00AA028A">
            <w:pPr>
              <w:spacing w:after="0" w:line="360" w:lineRule="auto"/>
              <w:rPr>
                <w:sz w:val="22"/>
              </w:rPr>
            </w:pPr>
            <w:r w:rsidRPr="00226E9E">
              <w:rPr>
                <w:sz w:val="22"/>
              </w:rPr>
              <w:t>Trust for Nature Victoria</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TTNP</w:t>
            </w:r>
          </w:p>
        </w:tc>
        <w:tc>
          <w:tcPr>
            <w:tcW w:w="6946" w:type="dxa"/>
            <w:vAlign w:val="center"/>
          </w:tcPr>
          <w:p w:rsidR="00C30AA2" w:rsidRPr="00226E9E" w:rsidRDefault="00C30AA2" w:rsidP="00AA028A">
            <w:pPr>
              <w:spacing w:after="0" w:line="360" w:lineRule="auto"/>
              <w:rPr>
                <w:sz w:val="22"/>
              </w:rPr>
            </w:pPr>
            <w:r w:rsidRPr="00226E9E">
              <w:rPr>
                <w:sz w:val="22"/>
              </w:rPr>
              <w:t>Terrick Terrick National Park</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 xml:space="preserve">TSSC </w:t>
            </w:r>
          </w:p>
        </w:tc>
        <w:tc>
          <w:tcPr>
            <w:tcW w:w="6946" w:type="dxa"/>
            <w:vAlign w:val="center"/>
          </w:tcPr>
          <w:p w:rsidR="00C30AA2" w:rsidRPr="00226E9E" w:rsidRDefault="00C30AA2" w:rsidP="00AA028A">
            <w:pPr>
              <w:spacing w:after="0" w:line="360" w:lineRule="auto"/>
              <w:rPr>
                <w:sz w:val="22"/>
              </w:rPr>
            </w:pPr>
            <w:r w:rsidRPr="00226E9E">
              <w:rPr>
                <w:sz w:val="22"/>
              </w:rPr>
              <w:t xml:space="preserve">Threatened Species Scientific Committee </w:t>
            </w:r>
          </w:p>
        </w:tc>
      </w:tr>
      <w:tr w:rsidR="00C30AA2" w:rsidTr="00AA028A">
        <w:trPr>
          <w:trHeight w:val="103"/>
        </w:trPr>
        <w:tc>
          <w:tcPr>
            <w:tcW w:w="2093" w:type="dxa"/>
            <w:vAlign w:val="center"/>
          </w:tcPr>
          <w:p w:rsidR="00C30AA2" w:rsidRPr="00226E9E" w:rsidRDefault="00C30AA2" w:rsidP="00AA028A">
            <w:pPr>
              <w:spacing w:after="0" w:line="360" w:lineRule="auto"/>
              <w:rPr>
                <w:sz w:val="22"/>
              </w:rPr>
            </w:pPr>
            <w:r w:rsidRPr="00226E9E">
              <w:rPr>
                <w:sz w:val="22"/>
              </w:rPr>
              <w:t>ZAA</w:t>
            </w:r>
          </w:p>
        </w:tc>
        <w:tc>
          <w:tcPr>
            <w:tcW w:w="6946" w:type="dxa"/>
            <w:vAlign w:val="center"/>
          </w:tcPr>
          <w:p w:rsidR="00C30AA2" w:rsidRPr="00226E9E" w:rsidRDefault="00C30AA2" w:rsidP="00AA028A">
            <w:pPr>
              <w:spacing w:after="0" w:line="360" w:lineRule="auto"/>
              <w:rPr>
                <w:sz w:val="22"/>
              </w:rPr>
            </w:pPr>
            <w:r w:rsidRPr="00226E9E">
              <w:rPr>
                <w:sz w:val="22"/>
              </w:rPr>
              <w:t>Zoo and Aquarium Association</w:t>
            </w:r>
          </w:p>
        </w:tc>
      </w:tr>
    </w:tbl>
    <w:p w:rsidR="0035132E" w:rsidRPr="00226E9E" w:rsidRDefault="0035132E" w:rsidP="009200F0">
      <w:pPr>
        <w:spacing w:after="0"/>
        <w:rPr>
          <w:sz w:val="22"/>
        </w:rPr>
        <w:sectPr w:rsidR="0035132E" w:rsidRPr="00226E9E" w:rsidSect="005E2592">
          <w:pgSz w:w="11906" w:h="16838" w:code="9"/>
          <w:pgMar w:top="1134" w:right="1276" w:bottom="567" w:left="1418" w:header="425" w:footer="425" w:gutter="0"/>
          <w:cols w:space="708"/>
          <w:titlePg/>
          <w:docGrid w:linePitch="360"/>
        </w:sectPr>
      </w:pPr>
    </w:p>
    <w:p w:rsidR="0035132E" w:rsidRPr="00AA028A" w:rsidRDefault="0035132E" w:rsidP="003E2FEA">
      <w:pPr>
        <w:pStyle w:val="Heading1"/>
        <w:rPr>
          <w:b/>
        </w:rPr>
      </w:pPr>
      <w:bookmarkStart w:id="28" w:name="_Toc256000003"/>
      <w:bookmarkStart w:id="29" w:name="_Toc414615090"/>
      <w:bookmarkStart w:id="30" w:name="_Toc445307792"/>
      <w:r w:rsidRPr="00AA028A">
        <w:rPr>
          <w:b/>
        </w:rPr>
        <w:t xml:space="preserve">1 </w:t>
      </w:r>
      <w:r w:rsidRPr="00AA028A">
        <w:rPr>
          <w:b/>
        </w:rPr>
        <w:tab/>
        <w:t>S</w:t>
      </w:r>
      <w:bookmarkEnd w:id="28"/>
      <w:bookmarkEnd w:id="29"/>
      <w:r w:rsidR="00AA028A" w:rsidRPr="00AA028A">
        <w:rPr>
          <w:b/>
        </w:rPr>
        <w:t>ummary</w:t>
      </w:r>
      <w:bookmarkEnd w:id="30"/>
    </w:p>
    <w:p w:rsidR="0035132E" w:rsidRPr="009C6583" w:rsidRDefault="0035132E" w:rsidP="00AA028A">
      <w:pPr>
        <w:pStyle w:val="Heading2"/>
      </w:pPr>
      <w:bookmarkStart w:id="31" w:name="_Toc445307793"/>
      <w:r w:rsidRPr="009C6583">
        <w:t xml:space="preserve">Plains-wanderer </w:t>
      </w:r>
      <w:bookmarkStart w:id="32" w:name="OLE_LINK5"/>
      <w:r w:rsidRPr="009C6583">
        <w:t>(</w:t>
      </w:r>
      <w:r w:rsidRPr="009C6583">
        <w:rPr>
          <w:i/>
        </w:rPr>
        <w:t>Pedionomus torquatus</w:t>
      </w:r>
      <w:r w:rsidRPr="009C6583">
        <w:t>)</w:t>
      </w:r>
      <w:bookmarkEnd w:id="31"/>
      <w:bookmarkEnd w:id="32"/>
    </w:p>
    <w:p w:rsidR="0035132E" w:rsidRPr="00226E9E" w:rsidRDefault="0035132E" w:rsidP="003E2FEA">
      <w:pPr>
        <w:spacing w:after="120"/>
        <w:rPr>
          <w:b/>
          <w:sz w:val="22"/>
        </w:rPr>
      </w:pPr>
      <w:r w:rsidRPr="00226E9E">
        <w:rPr>
          <w:b/>
          <w:sz w:val="22"/>
        </w:rPr>
        <w:t>Family:</w:t>
      </w:r>
      <w:r>
        <w:rPr>
          <w:b/>
          <w:sz w:val="22"/>
        </w:rPr>
        <w:t xml:space="preserve"> </w:t>
      </w:r>
      <w:r w:rsidRPr="00226E9E">
        <w:rPr>
          <w:rFonts w:cs="Arial"/>
          <w:sz w:val="22"/>
        </w:rPr>
        <w:t>Pedionomidae</w:t>
      </w:r>
    </w:p>
    <w:p w:rsidR="0035132E" w:rsidRPr="00226E9E" w:rsidRDefault="0035132E" w:rsidP="003E2FEA">
      <w:pPr>
        <w:spacing w:after="60"/>
        <w:ind w:left="2880" w:hanging="2880"/>
        <w:rPr>
          <w:b/>
          <w:sz w:val="22"/>
        </w:rPr>
      </w:pPr>
      <w:r w:rsidRPr="00226E9E">
        <w:rPr>
          <w:b/>
          <w:sz w:val="22"/>
        </w:rPr>
        <w:t>Current status of taxon:</w:t>
      </w:r>
      <w:r w:rsidRPr="00226E9E">
        <w:rPr>
          <w:b/>
          <w:sz w:val="22"/>
        </w:rPr>
        <w:tab/>
      </w:r>
    </w:p>
    <w:p w:rsidR="0035132E" w:rsidRPr="00226E9E" w:rsidRDefault="0035132E" w:rsidP="003E2FEA">
      <w:pPr>
        <w:spacing w:after="60"/>
        <w:ind w:left="2880" w:hanging="2880"/>
        <w:rPr>
          <w:sz w:val="22"/>
        </w:rPr>
      </w:pPr>
      <w:r w:rsidRPr="00226E9E">
        <w:rPr>
          <w:i/>
          <w:sz w:val="22"/>
        </w:rPr>
        <w:t>Environment Protection and Biodiversity Conservation Act 1999</w:t>
      </w:r>
      <w:r w:rsidRPr="00226E9E">
        <w:rPr>
          <w:sz w:val="22"/>
        </w:rPr>
        <w:t xml:space="preserve">: </w:t>
      </w:r>
      <w:r w:rsidR="00877D57">
        <w:rPr>
          <w:sz w:val="22"/>
        </w:rPr>
        <w:t>Critically Endangered</w:t>
      </w:r>
    </w:p>
    <w:p w:rsidR="0035132E" w:rsidRPr="00226E9E" w:rsidRDefault="0035132E" w:rsidP="003E2FEA">
      <w:pPr>
        <w:spacing w:after="60"/>
        <w:ind w:left="2880" w:hanging="2880"/>
        <w:rPr>
          <w:rFonts w:cs="Arial"/>
          <w:sz w:val="22"/>
        </w:rPr>
      </w:pPr>
      <w:r w:rsidRPr="00226E9E">
        <w:rPr>
          <w:rFonts w:cs="Arial"/>
          <w:i/>
          <w:sz w:val="22"/>
        </w:rPr>
        <w:t xml:space="preserve">Threatened Species Conservation Act 1995 (New South Wales): </w:t>
      </w:r>
      <w:r w:rsidRPr="00226E9E">
        <w:rPr>
          <w:rFonts w:cs="Arial"/>
          <w:sz w:val="22"/>
        </w:rPr>
        <w:t>Endangered</w:t>
      </w:r>
    </w:p>
    <w:p w:rsidR="0035132E" w:rsidRPr="00EA30C9" w:rsidRDefault="0035132E" w:rsidP="003E2FEA">
      <w:pPr>
        <w:spacing w:after="60"/>
        <w:ind w:left="2880" w:hanging="2880"/>
        <w:rPr>
          <w:rFonts w:cs="Arial"/>
          <w:i/>
          <w:sz w:val="22"/>
        </w:rPr>
      </w:pPr>
      <w:r w:rsidRPr="00226E9E">
        <w:rPr>
          <w:rFonts w:cs="Arial"/>
          <w:i/>
          <w:sz w:val="22"/>
        </w:rPr>
        <w:t xml:space="preserve">Advisory List of Threatened Vertebrate Fauna in Victoria: </w:t>
      </w:r>
      <w:r w:rsidRPr="00226E9E">
        <w:rPr>
          <w:rFonts w:cs="Arial"/>
          <w:sz w:val="22"/>
        </w:rPr>
        <w:t>Critically Endangered</w:t>
      </w:r>
    </w:p>
    <w:p w:rsidR="0035132E" w:rsidRPr="00226E9E" w:rsidRDefault="0035132E" w:rsidP="003E2FEA">
      <w:pPr>
        <w:spacing w:after="60"/>
        <w:rPr>
          <w:rFonts w:cs="Arial"/>
          <w:sz w:val="22"/>
        </w:rPr>
      </w:pPr>
      <w:r w:rsidRPr="00226E9E">
        <w:rPr>
          <w:rFonts w:cs="Arial"/>
          <w:i/>
          <w:sz w:val="22"/>
        </w:rPr>
        <w:t xml:space="preserve">Flora and Fauna Guarantee Act 1988 (Victoria): </w:t>
      </w:r>
      <w:r w:rsidRPr="00226E9E">
        <w:rPr>
          <w:rFonts w:cs="Arial"/>
          <w:sz w:val="22"/>
        </w:rPr>
        <w:t>Threatened</w:t>
      </w:r>
    </w:p>
    <w:p w:rsidR="0035132E" w:rsidRPr="00226E9E" w:rsidRDefault="0035132E" w:rsidP="003E2FEA">
      <w:pPr>
        <w:spacing w:after="60"/>
        <w:rPr>
          <w:rFonts w:cs="Arial"/>
          <w:sz w:val="22"/>
        </w:rPr>
      </w:pPr>
      <w:r w:rsidRPr="00226E9E">
        <w:rPr>
          <w:rFonts w:cs="Arial"/>
          <w:i/>
          <w:sz w:val="22"/>
        </w:rPr>
        <w:t xml:space="preserve">Nature Conservation Act 1992 (Queensland): </w:t>
      </w:r>
      <w:r w:rsidRPr="00226E9E">
        <w:rPr>
          <w:rFonts w:cs="Arial"/>
          <w:sz w:val="22"/>
        </w:rPr>
        <w:t>Vulnerable</w:t>
      </w:r>
    </w:p>
    <w:p w:rsidR="0035132E" w:rsidRPr="00226E9E" w:rsidRDefault="0035132E" w:rsidP="003E2FEA">
      <w:pPr>
        <w:spacing w:after="60"/>
        <w:rPr>
          <w:sz w:val="22"/>
        </w:rPr>
      </w:pPr>
      <w:r w:rsidRPr="00226E9E">
        <w:rPr>
          <w:rFonts w:cs="Arial"/>
          <w:i/>
          <w:sz w:val="22"/>
        </w:rPr>
        <w:t xml:space="preserve">National Parks and Wildlife Act 1972 (South Australia): </w:t>
      </w:r>
      <w:r w:rsidRPr="00226E9E">
        <w:rPr>
          <w:rFonts w:cs="Arial"/>
          <w:sz w:val="22"/>
        </w:rPr>
        <w:t>Endangered</w:t>
      </w:r>
    </w:p>
    <w:p w:rsidR="0035132E" w:rsidRDefault="0035132E" w:rsidP="003E2FEA">
      <w:pPr>
        <w:spacing w:after="60"/>
        <w:rPr>
          <w:i/>
          <w:sz w:val="22"/>
        </w:rPr>
      </w:pPr>
      <w:r w:rsidRPr="00226E9E">
        <w:rPr>
          <w:i/>
          <w:sz w:val="22"/>
        </w:rPr>
        <w:t xml:space="preserve">IUCN Red List of Threatened Species: </w:t>
      </w:r>
      <w:r w:rsidRPr="00226E9E">
        <w:rPr>
          <w:sz w:val="22"/>
        </w:rPr>
        <w:t>Endangered</w:t>
      </w:r>
      <w:r w:rsidRPr="00226E9E">
        <w:rPr>
          <w:i/>
          <w:sz w:val="22"/>
        </w:rPr>
        <w:t xml:space="preserve">  </w:t>
      </w:r>
    </w:p>
    <w:p w:rsidR="0035132E" w:rsidRPr="00C67CFB" w:rsidRDefault="0035132E" w:rsidP="003E2FEA">
      <w:pPr>
        <w:spacing w:after="60"/>
        <w:rPr>
          <w:i/>
          <w:sz w:val="22"/>
        </w:rPr>
      </w:pPr>
    </w:p>
    <w:p w:rsidR="0035132E" w:rsidRPr="00CA4E1B" w:rsidRDefault="0035132E" w:rsidP="003E2FEA">
      <w:pPr>
        <w:rPr>
          <w:b/>
          <w:sz w:val="22"/>
        </w:rPr>
      </w:pPr>
      <w:r w:rsidRPr="00CA4E1B">
        <w:rPr>
          <w:b/>
          <w:sz w:val="22"/>
        </w:rPr>
        <w:t>Distribution and habitat:</w:t>
      </w:r>
      <w:r w:rsidRPr="00CA4E1B">
        <w:rPr>
          <w:b/>
          <w:sz w:val="22"/>
        </w:rPr>
        <w:tab/>
      </w:r>
    </w:p>
    <w:p w:rsidR="0035132E" w:rsidRPr="008638C2" w:rsidRDefault="0035132E" w:rsidP="003E2FEA">
      <w:pPr>
        <w:spacing w:after="120"/>
        <w:rPr>
          <w:sz w:val="22"/>
        </w:rPr>
      </w:pPr>
      <w:r w:rsidRPr="00226E9E">
        <w:rPr>
          <w:sz w:val="22"/>
        </w:rPr>
        <w:t xml:space="preserve">Plains-wanderers occur at scattered sites in New South Wales </w:t>
      </w:r>
      <w:r w:rsidR="00AD156E">
        <w:rPr>
          <w:sz w:val="22"/>
        </w:rPr>
        <w:t xml:space="preserve">(NSW) </w:t>
      </w:r>
      <w:r w:rsidRPr="00226E9E">
        <w:rPr>
          <w:sz w:val="22"/>
        </w:rPr>
        <w:t>and Victoria, which encompass the core sites for the species</w:t>
      </w:r>
      <w:r w:rsidR="002336BB">
        <w:rPr>
          <w:sz w:val="22"/>
        </w:rPr>
        <w:t>;</w:t>
      </w:r>
      <w:r w:rsidRPr="00226E9E">
        <w:rPr>
          <w:sz w:val="22"/>
        </w:rPr>
        <w:t xml:space="preserve"> and Queensland and South Australia, which appear to encompass more marginal habitat for the species. Plains-wanderers inhabit sparse, treeless, lowland native grasslands which usually occur on hard red-brown clay soils. Grassland structure is much more important than floristic composition with the species showing a strong preference for sites with approximately 50% bare ground and most vegetation less than 5 cm in height and some widely-spaced plants up to 30 cm. The plains-wanderer occasionally occurs in other types of habitat such as in stubble; amongst low cereal crops; and in low, sparse chenopod shrubland.</w:t>
      </w:r>
      <w:bookmarkStart w:id="33" w:name="_Toc393467329"/>
    </w:p>
    <w:p w:rsidR="0035132E" w:rsidRDefault="0035132E" w:rsidP="003E2FEA">
      <w:pPr>
        <w:spacing w:after="0"/>
        <w:rPr>
          <w:rFonts w:cs="Arial"/>
          <w:b/>
          <w:sz w:val="22"/>
        </w:rPr>
      </w:pPr>
      <w:bookmarkStart w:id="34" w:name="_Toc409018674"/>
    </w:p>
    <w:p w:rsidR="0035132E" w:rsidRPr="002336BB" w:rsidRDefault="0035132E" w:rsidP="00AA028A">
      <w:pPr>
        <w:pStyle w:val="Heading2"/>
      </w:pPr>
      <w:bookmarkStart w:id="35" w:name="_Toc445307794"/>
      <w:r w:rsidRPr="002336BB">
        <w:t>Habitat critical for survival:</w:t>
      </w:r>
      <w:bookmarkEnd w:id="35"/>
    </w:p>
    <w:p w:rsidR="0035132E" w:rsidRPr="00B65897" w:rsidRDefault="0035132E" w:rsidP="003E2FEA">
      <w:pPr>
        <w:rPr>
          <w:rFonts w:cs="Arial"/>
          <w:sz w:val="22"/>
        </w:rPr>
      </w:pPr>
      <w:r w:rsidRPr="00B65897">
        <w:rPr>
          <w:rFonts w:cs="Arial"/>
          <w:sz w:val="22"/>
        </w:rPr>
        <w:t>Habitat critical to the survival of the</w:t>
      </w:r>
      <w:r>
        <w:rPr>
          <w:rFonts w:cs="Arial"/>
          <w:sz w:val="22"/>
        </w:rPr>
        <w:t xml:space="preserve"> plains-wanderer includes</w:t>
      </w:r>
      <w:r w:rsidRPr="00B65897">
        <w:rPr>
          <w:rFonts w:cs="Arial"/>
          <w:sz w:val="22"/>
        </w:rPr>
        <w:t>:</w:t>
      </w:r>
    </w:p>
    <w:p w:rsidR="0035132E" w:rsidRPr="002336BB" w:rsidRDefault="0035132E" w:rsidP="000C4AB8">
      <w:pPr>
        <w:pStyle w:val="ListBullet"/>
        <w:rPr>
          <w:sz w:val="22"/>
        </w:rPr>
      </w:pPr>
      <w:r w:rsidRPr="002336BB">
        <w:rPr>
          <w:sz w:val="22"/>
        </w:rPr>
        <w:t>Any regio</w:t>
      </w:r>
      <w:r w:rsidR="000C4AB8">
        <w:rPr>
          <w:sz w:val="22"/>
        </w:rPr>
        <w:t>ns where the species is likely</w:t>
      </w:r>
      <w:r w:rsidRPr="002336BB">
        <w:rPr>
          <w:sz w:val="22"/>
        </w:rPr>
        <w:t xml:space="preserve"> to occur</w:t>
      </w:r>
      <w:r w:rsidR="00F80C17">
        <w:rPr>
          <w:sz w:val="22"/>
        </w:rPr>
        <w:t>;</w:t>
      </w:r>
      <w:r w:rsidR="00F80C17" w:rsidRPr="002336BB">
        <w:rPr>
          <w:sz w:val="22"/>
        </w:rPr>
        <w:t xml:space="preserve"> </w:t>
      </w:r>
      <w:r w:rsidRPr="002336BB">
        <w:rPr>
          <w:sz w:val="22"/>
        </w:rPr>
        <w:t xml:space="preserve">and  </w:t>
      </w:r>
    </w:p>
    <w:p w:rsidR="0035132E" w:rsidRDefault="0035132E" w:rsidP="003E2FEA">
      <w:pPr>
        <w:pStyle w:val="ListBullet"/>
        <w:spacing w:after="60"/>
        <w:rPr>
          <w:sz w:val="22"/>
        </w:rPr>
      </w:pPr>
      <w:r w:rsidRPr="002336BB">
        <w:rPr>
          <w:sz w:val="22"/>
        </w:rPr>
        <w:t>Any newly discov</w:t>
      </w:r>
      <w:r w:rsidR="000C4AB8">
        <w:rPr>
          <w:sz w:val="22"/>
        </w:rPr>
        <w:t>ered locations that extend the likely</w:t>
      </w:r>
      <w:r w:rsidRPr="002336BB">
        <w:rPr>
          <w:sz w:val="22"/>
        </w:rPr>
        <w:t xml:space="preserve"> range of the plains-wanderer.</w:t>
      </w:r>
    </w:p>
    <w:p w:rsidR="00D77A87" w:rsidRPr="002336BB" w:rsidRDefault="00D77A87" w:rsidP="003E2FEA">
      <w:pPr>
        <w:pStyle w:val="ListBullet"/>
        <w:numPr>
          <w:ilvl w:val="0"/>
          <w:numId w:val="0"/>
        </w:numPr>
        <w:spacing w:after="60"/>
        <w:rPr>
          <w:sz w:val="22"/>
        </w:rPr>
      </w:pPr>
    </w:p>
    <w:p w:rsidR="00D1406A" w:rsidRDefault="00D1406A">
      <w:pPr>
        <w:spacing w:after="0" w:line="240" w:lineRule="auto"/>
        <w:rPr>
          <w:b/>
          <w:sz w:val="22"/>
        </w:rPr>
      </w:pPr>
      <w:bookmarkStart w:id="36" w:name="_Toc393467330"/>
      <w:bookmarkStart w:id="37" w:name="_Toc409018675"/>
      <w:bookmarkEnd w:id="33"/>
      <w:bookmarkEnd w:id="34"/>
    </w:p>
    <w:p w:rsidR="0035132E" w:rsidRPr="00CA4E1B" w:rsidRDefault="0035132E" w:rsidP="00AA028A">
      <w:pPr>
        <w:pStyle w:val="Heading2"/>
      </w:pPr>
      <w:bookmarkStart w:id="38" w:name="_Toc445307795"/>
      <w:r w:rsidRPr="00CA4E1B">
        <w:t>Recovery plan objectives:</w:t>
      </w:r>
      <w:bookmarkEnd w:id="36"/>
      <w:bookmarkEnd w:id="37"/>
      <w:bookmarkEnd w:id="38"/>
    </w:p>
    <w:p w:rsidR="0035132E" w:rsidRPr="00226E9E" w:rsidRDefault="0035132E" w:rsidP="003E2FEA">
      <w:pPr>
        <w:rPr>
          <w:sz w:val="22"/>
        </w:rPr>
      </w:pPr>
      <w:r w:rsidRPr="00226E9E">
        <w:rPr>
          <w:sz w:val="22"/>
        </w:rPr>
        <w:t xml:space="preserve">The objectives of this recovery plan are to: </w:t>
      </w:r>
    </w:p>
    <w:p w:rsidR="0035132E" w:rsidRPr="00226E9E" w:rsidRDefault="0035132E" w:rsidP="000C4AB8">
      <w:pPr>
        <w:pStyle w:val="ListBullet"/>
        <w:rPr>
          <w:sz w:val="22"/>
        </w:rPr>
      </w:pPr>
      <w:r w:rsidRPr="00226E9E">
        <w:rPr>
          <w:sz w:val="22"/>
        </w:rPr>
        <w:t>Reverse the long-term population trend of decline and increase the numbers of plains-wanderers to a level where there is a viable, wild breeding population, even in poor breeding years; and to</w:t>
      </w:r>
    </w:p>
    <w:p w:rsidR="00F83A21" w:rsidRPr="00F83A21" w:rsidRDefault="00F83A21" w:rsidP="00F83A21">
      <w:pPr>
        <w:pStyle w:val="ListBullet"/>
        <w:spacing w:after="60"/>
        <w:rPr>
          <w:sz w:val="22"/>
        </w:rPr>
      </w:pPr>
      <w:r w:rsidRPr="00F83A21">
        <w:rPr>
          <w:sz w:val="22"/>
        </w:rPr>
        <w:t xml:space="preserve">Enhance the condition of habitat across the plains-wanderers’ range to maximise survival and reproductive success, and provide </w:t>
      </w:r>
      <w:proofErr w:type="spellStart"/>
      <w:r w:rsidRPr="00F83A21">
        <w:rPr>
          <w:sz w:val="22"/>
        </w:rPr>
        <w:t>refugia</w:t>
      </w:r>
      <w:proofErr w:type="spellEnd"/>
      <w:r w:rsidRPr="00F83A21">
        <w:rPr>
          <w:sz w:val="22"/>
        </w:rPr>
        <w:t xml:space="preserve"> during periods of extreme environmental fluctuation.</w:t>
      </w:r>
    </w:p>
    <w:p w:rsidR="0035132E" w:rsidRPr="00CA4E1B" w:rsidRDefault="0035132E" w:rsidP="00AA028A">
      <w:pPr>
        <w:pStyle w:val="Heading2"/>
      </w:pPr>
      <w:bookmarkStart w:id="39" w:name="_Toc393467332"/>
      <w:bookmarkStart w:id="40" w:name="_Toc409018676"/>
      <w:bookmarkStart w:id="41" w:name="_Toc445307796"/>
      <w:r w:rsidRPr="00CA4E1B">
        <w:t>Recovery strategies:</w:t>
      </w:r>
      <w:bookmarkEnd w:id="39"/>
      <w:bookmarkEnd w:id="40"/>
      <w:bookmarkEnd w:id="41"/>
    </w:p>
    <w:p w:rsidR="0035132E" w:rsidRPr="00226E9E" w:rsidRDefault="0035132E" w:rsidP="003E2FEA">
      <w:pPr>
        <w:pStyle w:val="Tabletext"/>
        <w:spacing w:after="60"/>
        <w:rPr>
          <w:sz w:val="22"/>
        </w:rPr>
      </w:pPr>
      <w:r w:rsidRPr="00226E9E">
        <w:rPr>
          <w:sz w:val="22"/>
        </w:rPr>
        <w:t xml:space="preserve">The strategies to achieve the </w:t>
      </w:r>
      <w:r w:rsidR="00B55F87">
        <w:rPr>
          <w:sz w:val="22"/>
        </w:rPr>
        <w:t xml:space="preserve">recovery </w:t>
      </w:r>
      <w:r w:rsidRPr="00226E9E">
        <w:rPr>
          <w:sz w:val="22"/>
        </w:rPr>
        <w:t>plan</w:t>
      </w:r>
      <w:r w:rsidR="00B55F87">
        <w:rPr>
          <w:sz w:val="22"/>
        </w:rPr>
        <w:t>’</w:t>
      </w:r>
      <w:r w:rsidRPr="00226E9E">
        <w:rPr>
          <w:sz w:val="22"/>
        </w:rPr>
        <w:t xml:space="preserve">s objectives are to: </w:t>
      </w:r>
    </w:p>
    <w:p w:rsidR="0035132E" w:rsidRPr="00226E9E" w:rsidRDefault="0035132E" w:rsidP="003E2FEA">
      <w:pPr>
        <w:pStyle w:val="ListBullet"/>
        <w:spacing w:after="60"/>
        <w:rPr>
          <w:sz w:val="22"/>
        </w:rPr>
      </w:pPr>
      <w:r w:rsidRPr="00226E9E">
        <w:rPr>
          <w:sz w:val="22"/>
        </w:rPr>
        <w:t xml:space="preserve">Develop and implement a </w:t>
      </w:r>
      <w:r>
        <w:rPr>
          <w:sz w:val="22"/>
        </w:rPr>
        <w:t xml:space="preserve">robust, targeted conservation breeding </w:t>
      </w:r>
      <w:r w:rsidRPr="00226E9E">
        <w:rPr>
          <w:sz w:val="22"/>
        </w:rPr>
        <w:t xml:space="preserve">strategy for </w:t>
      </w:r>
      <w:r w:rsidR="005B520E">
        <w:rPr>
          <w:sz w:val="22"/>
        </w:rPr>
        <w:t xml:space="preserve">the </w:t>
      </w:r>
      <w:r w:rsidRPr="00226E9E">
        <w:rPr>
          <w:sz w:val="22"/>
        </w:rPr>
        <w:t>plains-wanderer.</w:t>
      </w:r>
    </w:p>
    <w:p w:rsidR="0035132E" w:rsidRPr="00226E9E" w:rsidRDefault="0035132E" w:rsidP="003E2FEA">
      <w:pPr>
        <w:pStyle w:val="ListBullet"/>
        <w:spacing w:after="60"/>
        <w:rPr>
          <w:sz w:val="22"/>
        </w:rPr>
      </w:pPr>
      <w:r w:rsidRPr="00226E9E">
        <w:rPr>
          <w:sz w:val="22"/>
        </w:rPr>
        <w:t xml:space="preserve">Facilitate management of grazing </w:t>
      </w:r>
      <w:r w:rsidR="00C87880">
        <w:rPr>
          <w:sz w:val="22"/>
        </w:rPr>
        <w:t xml:space="preserve">regimes, </w:t>
      </w:r>
      <w:r w:rsidRPr="00226E9E">
        <w:rPr>
          <w:sz w:val="22"/>
        </w:rPr>
        <w:t>and</w:t>
      </w:r>
      <w:r w:rsidR="00C87880">
        <w:rPr>
          <w:sz w:val="22"/>
        </w:rPr>
        <w:t xml:space="preserve"> improve knowledge of appropriate</w:t>
      </w:r>
      <w:r w:rsidRPr="00226E9E">
        <w:rPr>
          <w:sz w:val="22"/>
        </w:rPr>
        <w:t xml:space="preserve"> burning regimes</w:t>
      </w:r>
      <w:r w:rsidR="00C87880">
        <w:rPr>
          <w:sz w:val="22"/>
        </w:rPr>
        <w:t>,</w:t>
      </w:r>
      <w:r w:rsidRPr="00226E9E">
        <w:rPr>
          <w:sz w:val="22"/>
        </w:rPr>
        <w:t xml:space="preserve"> to maintain suitable habitat for plains-wanderers.</w:t>
      </w:r>
    </w:p>
    <w:p w:rsidR="00412D78" w:rsidRDefault="00412D78" w:rsidP="003E2FEA">
      <w:pPr>
        <w:pStyle w:val="ListBullet"/>
        <w:spacing w:after="60"/>
        <w:rPr>
          <w:sz w:val="22"/>
        </w:rPr>
      </w:pPr>
      <w:r>
        <w:rPr>
          <w:sz w:val="22"/>
        </w:rPr>
        <w:t>Enhance protection, i</w:t>
      </w:r>
      <w:r w:rsidR="00743844">
        <w:rPr>
          <w:sz w:val="22"/>
        </w:rPr>
        <w:t>mprove the quality and increase the extent</w:t>
      </w:r>
      <w:r w:rsidRPr="00226E9E">
        <w:rPr>
          <w:sz w:val="22"/>
        </w:rPr>
        <w:t xml:space="preserve"> of habitat suitable for </w:t>
      </w:r>
      <w:r>
        <w:rPr>
          <w:sz w:val="22"/>
        </w:rPr>
        <w:t xml:space="preserve">the </w:t>
      </w:r>
      <w:r w:rsidRPr="00226E9E">
        <w:rPr>
          <w:sz w:val="22"/>
        </w:rPr>
        <w:t>plains-wanderer</w:t>
      </w:r>
      <w:r>
        <w:rPr>
          <w:sz w:val="22"/>
        </w:rPr>
        <w:t>.</w:t>
      </w:r>
    </w:p>
    <w:p w:rsidR="0035132E" w:rsidRPr="00412D78" w:rsidRDefault="0035132E" w:rsidP="00412D78">
      <w:pPr>
        <w:pStyle w:val="ListBullet"/>
        <w:spacing w:after="60"/>
        <w:rPr>
          <w:sz w:val="22"/>
        </w:rPr>
      </w:pPr>
      <w:r>
        <w:rPr>
          <w:sz w:val="22"/>
        </w:rPr>
        <w:t>Identify the key factors that have contributed to the significant recent declines in the numbers of plains-wanderers and develop mitigation measures to address these threats.</w:t>
      </w:r>
    </w:p>
    <w:p w:rsidR="0035132E" w:rsidRDefault="0035132E" w:rsidP="003E2FEA">
      <w:pPr>
        <w:pStyle w:val="ListBullet"/>
        <w:spacing w:after="60"/>
        <w:rPr>
          <w:sz w:val="22"/>
        </w:rPr>
      </w:pPr>
      <w:r w:rsidRPr="00226E9E">
        <w:rPr>
          <w:sz w:val="22"/>
        </w:rPr>
        <w:t xml:space="preserve">Improve understanding of the distribution and population trends of </w:t>
      </w:r>
      <w:r w:rsidR="00E87462">
        <w:rPr>
          <w:sz w:val="22"/>
        </w:rPr>
        <w:t xml:space="preserve">the </w:t>
      </w:r>
      <w:r w:rsidRPr="00226E9E">
        <w:rPr>
          <w:sz w:val="22"/>
        </w:rPr>
        <w:t>plains-wanderer.</w:t>
      </w:r>
    </w:p>
    <w:p w:rsidR="0035132E" w:rsidRPr="000A402A" w:rsidRDefault="0035132E" w:rsidP="003E2FEA">
      <w:pPr>
        <w:pStyle w:val="ListBullet"/>
        <w:spacing w:after="60"/>
        <w:rPr>
          <w:sz w:val="22"/>
        </w:rPr>
      </w:pPr>
      <w:r w:rsidRPr="00226E9E">
        <w:rPr>
          <w:sz w:val="22"/>
        </w:rPr>
        <w:t>Increase community participation in plains-wanderer conservation and management.</w:t>
      </w:r>
    </w:p>
    <w:p w:rsidR="0035132E" w:rsidRPr="00226E9E" w:rsidRDefault="0035132E" w:rsidP="003E2FEA">
      <w:pPr>
        <w:pStyle w:val="Tabletext"/>
        <w:spacing w:after="60"/>
        <w:ind w:left="360"/>
        <w:rPr>
          <w:sz w:val="22"/>
        </w:rPr>
      </w:pPr>
    </w:p>
    <w:p w:rsidR="0035132E" w:rsidRPr="00226E9E" w:rsidRDefault="0035132E" w:rsidP="003E2FEA">
      <w:pPr>
        <w:jc w:val="center"/>
        <w:rPr>
          <w:sz w:val="22"/>
        </w:rPr>
      </w:pPr>
      <w:r w:rsidRPr="00226E9E">
        <w:rPr>
          <w:noProof/>
          <w:sz w:val="22"/>
          <w:lang w:eastAsia="en-AU"/>
        </w:rPr>
        <w:drawing>
          <wp:inline distT="0" distB="0" distL="0" distR="0">
            <wp:extent cx="4327620" cy="2988000"/>
            <wp:effectExtent l="19050" t="19050" r="15780" b="21900"/>
            <wp:docPr id="6" name="Picture 1" descr="Image of a male and female plains-wanderer in sparse grassland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7166\AppData\Local\Microsoft\Windows\Temporary Internet Files\Content.Outlook\BNL6JS2Z\IMG_5597.JPG"/>
                    <pic:cNvPicPr>
                      <a:picLocks noChangeAspect="1" noChangeArrowheads="1"/>
                    </pic:cNvPicPr>
                  </pic:nvPicPr>
                  <pic:blipFill>
                    <a:blip r:embed="rId22" cstate="print"/>
                    <a:srcRect/>
                    <a:stretch>
                      <a:fillRect/>
                    </a:stretch>
                  </pic:blipFill>
                  <pic:spPr bwMode="auto">
                    <a:xfrm>
                      <a:off x="0" y="0"/>
                      <a:ext cx="4327620" cy="2988000"/>
                    </a:xfrm>
                    <a:prstGeom prst="rect">
                      <a:avLst/>
                    </a:prstGeom>
                    <a:noFill/>
                    <a:ln w="9525">
                      <a:solidFill>
                        <a:schemeClr val="accent6">
                          <a:lumMod val="75000"/>
                        </a:schemeClr>
                      </a:solidFill>
                      <a:miter lim="800000"/>
                      <a:headEnd/>
                      <a:tailEnd/>
                    </a:ln>
                  </pic:spPr>
                </pic:pic>
              </a:graphicData>
            </a:graphic>
          </wp:inline>
        </w:drawing>
      </w:r>
    </w:p>
    <w:p w:rsidR="0035132E" w:rsidRPr="00A26CAC" w:rsidRDefault="0035132E" w:rsidP="003E2FEA">
      <w:pPr>
        <w:pStyle w:val="Caption"/>
        <w:spacing w:after="240"/>
        <w:jc w:val="center"/>
        <w:rPr>
          <w:i/>
          <w:sz w:val="22"/>
          <w:szCs w:val="22"/>
        </w:rPr>
      </w:pPr>
      <w:r w:rsidRPr="00A26CAC">
        <w:rPr>
          <w:i/>
          <w:sz w:val="22"/>
          <w:szCs w:val="22"/>
        </w:rPr>
        <w:t xml:space="preserve">Figure </w:t>
      </w:r>
      <w:r w:rsidR="009512A9" w:rsidRPr="00A26CAC">
        <w:rPr>
          <w:i/>
          <w:sz w:val="22"/>
          <w:szCs w:val="22"/>
        </w:rPr>
        <w:fldChar w:fldCharType="begin"/>
      </w:r>
      <w:r w:rsidRPr="00A26CAC">
        <w:rPr>
          <w:i/>
          <w:sz w:val="22"/>
          <w:szCs w:val="22"/>
        </w:rPr>
        <w:instrText xml:space="preserve"> SEQ Figure \* ARABIC </w:instrText>
      </w:r>
      <w:r w:rsidR="009512A9" w:rsidRPr="00A26CAC">
        <w:rPr>
          <w:i/>
          <w:sz w:val="22"/>
          <w:szCs w:val="22"/>
        </w:rPr>
        <w:fldChar w:fldCharType="separate"/>
      </w:r>
      <w:r w:rsidR="00204645">
        <w:rPr>
          <w:i/>
          <w:noProof/>
          <w:sz w:val="22"/>
          <w:szCs w:val="22"/>
        </w:rPr>
        <w:t>1</w:t>
      </w:r>
      <w:r w:rsidR="009512A9" w:rsidRPr="00A26CAC">
        <w:rPr>
          <w:i/>
          <w:sz w:val="22"/>
          <w:szCs w:val="22"/>
        </w:rPr>
        <w:fldChar w:fldCharType="end"/>
      </w:r>
      <w:r w:rsidRPr="00A26CAC">
        <w:rPr>
          <w:i/>
          <w:sz w:val="22"/>
          <w:szCs w:val="22"/>
        </w:rPr>
        <w:t xml:space="preserve">: </w:t>
      </w:r>
      <w:r w:rsidRPr="00A26CAC">
        <w:rPr>
          <w:b w:val="0"/>
          <w:i/>
          <w:sz w:val="22"/>
          <w:szCs w:val="22"/>
        </w:rPr>
        <w:t>Plains-wanderer male (left) and female (right) in sparse grassland habi</w:t>
      </w:r>
      <w:bookmarkStart w:id="42" w:name="_Toc256000058"/>
      <w:bookmarkStart w:id="43" w:name="_Toc409690426"/>
      <w:bookmarkStart w:id="44" w:name="_Toc417633336"/>
      <w:bookmarkStart w:id="45" w:name="_Toc335118399"/>
      <w:bookmarkStart w:id="46" w:name="_Toc393467333"/>
      <w:r w:rsidRPr="00A26CAC">
        <w:rPr>
          <w:b w:val="0"/>
          <w:i/>
          <w:sz w:val="22"/>
          <w:szCs w:val="22"/>
        </w:rPr>
        <w:t>tat.</w:t>
      </w:r>
      <w:bookmarkEnd w:id="42"/>
      <w:bookmarkEnd w:id="43"/>
      <w:bookmarkEnd w:id="44"/>
    </w:p>
    <w:p w:rsidR="00D1406A" w:rsidRDefault="00D1406A">
      <w:pPr>
        <w:spacing w:after="0" w:line="240" w:lineRule="auto"/>
        <w:rPr>
          <w:b/>
          <w:sz w:val="22"/>
        </w:rPr>
      </w:pPr>
      <w:bookmarkStart w:id="47" w:name="_Toc409018677"/>
      <w:r>
        <w:rPr>
          <w:b/>
          <w:sz w:val="22"/>
        </w:rPr>
        <w:br w:type="page"/>
      </w:r>
    </w:p>
    <w:p w:rsidR="0035132E" w:rsidRPr="00CA4E1B" w:rsidRDefault="0035132E" w:rsidP="00AA028A">
      <w:pPr>
        <w:pStyle w:val="Heading2"/>
      </w:pPr>
      <w:bookmarkStart w:id="48" w:name="_Toc445307797"/>
      <w:r w:rsidRPr="00CA4E1B">
        <w:t>Criteria for success:</w:t>
      </w:r>
      <w:bookmarkEnd w:id="45"/>
      <w:bookmarkEnd w:id="46"/>
      <w:bookmarkEnd w:id="47"/>
      <w:bookmarkEnd w:id="48"/>
    </w:p>
    <w:p w:rsidR="0035132E" w:rsidRPr="00226E9E" w:rsidRDefault="0035132E" w:rsidP="003E2FEA">
      <w:pPr>
        <w:rPr>
          <w:b/>
          <w:sz w:val="22"/>
        </w:rPr>
      </w:pPr>
      <w:r w:rsidRPr="00226E9E">
        <w:rPr>
          <w:sz w:val="22"/>
        </w:rPr>
        <w:t>This recovery plan will be deemed successful if, within 10 years, all of the following have been achieved:</w:t>
      </w:r>
    </w:p>
    <w:p w:rsidR="0035132E" w:rsidRDefault="0035132E" w:rsidP="003E2FEA">
      <w:pPr>
        <w:pStyle w:val="ListBullet"/>
        <w:spacing w:after="60"/>
        <w:rPr>
          <w:sz w:val="22"/>
        </w:rPr>
      </w:pPr>
      <w:r>
        <w:rPr>
          <w:sz w:val="22"/>
        </w:rPr>
        <w:t xml:space="preserve">A successful conservation breeding program for </w:t>
      </w:r>
      <w:r w:rsidR="00E87462">
        <w:rPr>
          <w:sz w:val="22"/>
        </w:rPr>
        <w:t xml:space="preserve">the </w:t>
      </w:r>
      <w:r>
        <w:rPr>
          <w:sz w:val="22"/>
        </w:rPr>
        <w:t>plains-wanderer has been established.</w:t>
      </w:r>
    </w:p>
    <w:p w:rsidR="0035132E" w:rsidRPr="00226E9E" w:rsidRDefault="0035132E" w:rsidP="003E2FEA">
      <w:pPr>
        <w:pStyle w:val="ListBullet"/>
        <w:spacing w:after="60"/>
        <w:rPr>
          <w:sz w:val="22"/>
        </w:rPr>
      </w:pPr>
      <w:r>
        <w:rPr>
          <w:sz w:val="22"/>
        </w:rPr>
        <w:t>The number of</w:t>
      </w:r>
      <w:r w:rsidRPr="00226E9E">
        <w:rPr>
          <w:sz w:val="22"/>
        </w:rPr>
        <w:t xml:space="preserve"> plains-wanderers </w:t>
      </w:r>
      <w:r>
        <w:rPr>
          <w:sz w:val="22"/>
        </w:rPr>
        <w:t>has</w:t>
      </w:r>
      <w:r w:rsidRPr="00226E9E">
        <w:rPr>
          <w:sz w:val="22"/>
        </w:rPr>
        <w:t xml:space="preserve"> increased from the very low levels recorded </w:t>
      </w:r>
      <w:r>
        <w:rPr>
          <w:sz w:val="22"/>
        </w:rPr>
        <w:t xml:space="preserve">for the species </w:t>
      </w:r>
      <w:r w:rsidRPr="00226E9E">
        <w:rPr>
          <w:sz w:val="22"/>
        </w:rPr>
        <w:t>in 2011-14.</w:t>
      </w:r>
    </w:p>
    <w:p w:rsidR="0035132E" w:rsidRPr="00226E9E" w:rsidRDefault="0035132E" w:rsidP="003E2FEA">
      <w:pPr>
        <w:pStyle w:val="ListBullet"/>
        <w:spacing w:after="60"/>
        <w:rPr>
          <w:sz w:val="22"/>
        </w:rPr>
      </w:pPr>
      <w:r w:rsidRPr="00226E9E">
        <w:rPr>
          <w:sz w:val="22"/>
        </w:rPr>
        <w:t>The area of occupancy has increased from the level known in 2011-14.</w:t>
      </w:r>
    </w:p>
    <w:p w:rsidR="0035132E" w:rsidRPr="00226E9E" w:rsidRDefault="0035132E" w:rsidP="003E2FEA">
      <w:pPr>
        <w:pStyle w:val="ListBullet"/>
        <w:spacing w:after="60"/>
        <w:rPr>
          <w:sz w:val="22"/>
        </w:rPr>
      </w:pPr>
      <w:r w:rsidRPr="00226E9E">
        <w:rPr>
          <w:sz w:val="22"/>
        </w:rPr>
        <w:t xml:space="preserve">A long-term monitoring program for </w:t>
      </w:r>
      <w:r w:rsidR="00E87462">
        <w:rPr>
          <w:sz w:val="22"/>
        </w:rPr>
        <w:t xml:space="preserve">the </w:t>
      </w:r>
      <w:r w:rsidRPr="00226E9E">
        <w:rPr>
          <w:sz w:val="22"/>
        </w:rPr>
        <w:t>plains-wanderer</w:t>
      </w:r>
      <w:r w:rsidR="00B02287">
        <w:rPr>
          <w:sz w:val="22"/>
        </w:rPr>
        <w:t xml:space="preserve"> </w:t>
      </w:r>
      <w:r w:rsidR="00E5141B">
        <w:rPr>
          <w:sz w:val="22"/>
        </w:rPr>
        <w:t>and plains-wanderer habitat,</w:t>
      </w:r>
      <w:r w:rsidRPr="00226E9E">
        <w:rPr>
          <w:sz w:val="22"/>
        </w:rPr>
        <w:t xml:space="preserve"> has been implemented in the species’ two strongholds - the Riverina region of N</w:t>
      </w:r>
      <w:r w:rsidR="00147098">
        <w:rPr>
          <w:sz w:val="22"/>
        </w:rPr>
        <w:t xml:space="preserve">ew </w:t>
      </w:r>
      <w:r w:rsidRPr="00226E9E">
        <w:rPr>
          <w:sz w:val="22"/>
        </w:rPr>
        <w:t>S</w:t>
      </w:r>
      <w:r w:rsidR="00147098">
        <w:rPr>
          <w:sz w:val="22"/>
        </w:rPr>
        <w:t xml:space="preserve">outh </w:t>
      </w:r>
      <w:r w:rsidRPr="00226E9E">
        <w:rPr>
          <w:sz w:val="22"/>
        </w:rPr>
        <w:t>W</w:t>
      </w:r>
      <w:r w:rsidR="00147098">
        <w:rPr>
          <w:sz w:val="22"/>
        </w:rPr>
        <w:t>ales</w:t>
      </w:r>
      <w:r w:rsidRPr="00226E9E">
        <w:rPr>
          <w:sz w:val="22"/>
        </w:rPr>
        <w:t xml:space="preserve"> and the Northern Plains of Victoria</w:t>
      </w:r>
      <w:r w:rsidR="00D77A87">
        <w:rPr>
          <w:sz w:val="22"/>
        </w:rPr>
        <w:t>;</w:t>
      </w:r>
      <w:r w:rsidRPr="00226E9E">
        <w:rPr>
          <w:sz w:val="22"/>
        </w:rPr>
        <w:t xml:space="preserve"> and </w:t>
      </w:r>
      <w:r w:rsidR="009C6583">
        <w:rPr>
          <w:sz w:val="22"/>
        </w:rPr>
        <w:t xml:space="preserve">assessment of </w:t>
      </w:r>
      <w:r w:rsidRPr="00226E9E">
        <w:rPr>
          <w:sz w:val="22"/>
        </w:rPr>
        <w:t xml:space="preserve">population trends </w:t>
      </w:r>
      <w:r w:rsidR="009C6583">
        <w:rPr>
          <w:sz w:val="22"/>
        </w:rPr>
        <w:t>is indicative of a positive trajectory</w:t>
      </w:r>
      <w:r w:rsidRPr="00226E9E">
        <w:rPr>
          <w:sz w:val="22"/>
        </w:rPr>
        <w:t>.</w:t>
      </w:r>
    </w:p>
    <w:p w:rsidR="0035132E" w:rsidRPr="00226E9E" w:rsidRDefault="0035132E" w:rsidP="003E2FEA">
      <w:pPr>
        <w:pStyle w:val="ListBullet"/>
        <w:spacing w:after="60"/>
        <w:rPr>
          <w:sz w:val="22"/>
        </w:rPr>
      </w:pPr>
      <w:r w:rsidRPr="00226E9E">
        <w:rPr>
          <w:sz w:val="22"/>
        </w:rPr>
        <w:t>Monitoring has been conducted in other known plains-wanderer locations.</w:t>
      </w:r>
    </w:p>
    <w:p w:rsidR="0035132E" w:rsidRPr="00226E9E" w:rsidRDefault="0035132E" w:rsidP="003E2FEA">
      <w:pPr>
        <w:pStyle w:val="ListBullet"/>
        <w:spacing w:after="60"/>
        <w:rPr>
          <w:sz w:val="22"/>
        </w:rPr>
      </w:pPr>
      <w:r w:rsidRPr="00226E9E">
        <w:rPr>
          <w:sz w:val="22"/>
        </w:rPr>
        <w:t xml:space="preserve">Threats impacting upon the survival of </w:t>
      </w:r>
      <w:r w:rsidR="00E87462">
        <w:rPr>
          <w:sz w:val="22"/>
        </w:rPr>
        <w:t xml:space="preserve">the </w:t>
      </w:r>
      <w:r w:rsidRPr="00226E9E">
        <w:rPr>
          <w:sz w:val="22"/>
        </w:rPr>
        <w:t>plains-wanderer have been identified and assessed and appropriate management measures have been put in place.</w:t>
      </w:r>
    </w:p>
    <w:p w:rsidR="0035132E" w:rsidRPr="00226E9E" w:rsidRDefault="0035132E" w:rsidP="003E2FEA">
      <w:pPr>
        <w:pStyle w:val="ListBullet"/>
        <w:spacing w:after="60"/>
        <w:rPr>
          <w:sz w:val="22"/>
        </w:rPr>
      </w:pPr>
      <w:r w:rsidRPr="00226E9E">
        <w:rPr>
          <w:sz w:val="22"/>
        </w:rPr>
        <w:t>Habitat quality has improved across all key locations to the extent that reductions in exotic annual grass cover and increases in native grass cover have been observed.</w:t>
      </w:r>
    </w:p>
    <w:p w:rsidR="0035132E" w:rsidRPr="00226E9E" w:rsidRDefault="0035132E" w:rsidP="003E2FEA">
      <w:pPr>
        <w:pStyle w:val="ListBullet"/>
        <w:spacing w:after="60"/>
        <w:rPr>
          <w:sz w:val="22"/>
        </w:rPr>
      </w:pPr>
      <w:r w:rsidRPr="00226E9E">
        <w:rPr>
          <w:sz w:val="22"/>
        </w:rPr>
        <w:t>Fencing has been erected, in appropriate locations, to facilitate grazing management to soil type in key plains-wanderer habitats.</w:t>
      </w:r>
    </w:p>
    <w:p w:rsidR="0035132E" w:rsidRPr="00226E9E" w:rsidRDefault="0035132E" w:rsidP="003E2FEA">
      <w:pPr>
        <w:pStyle w:val="ListBullet"/>
        <w:spacing w:after="60"/>
        <w:rPr>
          <w:sz w:val="22"/>
        </w:rPr>
      </w:pPr>
      <w:r w:rsidRPr="00226E9E">
        <w:rPr>
          <w:sz w:val="22"/>
        </w:rPr>
        <w:t xml:space="preserve">Strategies have been developed and implemented to provide refugia </w:t>
      </w:r>
      <w:r>
        <w:rPr>
          <w:sz w:val="22"/>
        </w:rPr>
        <w:t xml:space="preserve">(i.e. designated areas where habitat structure is maintained within key parameters </w:t>
      </w:r>
      <w:r w:rsidRPr="00226E9E">
        <w:rPr>
          <w:sz w:val="22"/>
        </w:rPr>
        <w:t xml:space="preserve">for </w:t>
      </w:r>
      <w:r w:rsidR="00B5265B">
        <w:rPr>
          <w:sz w:val="22"/>
        </w:rPr>
        <w:t xml:space="preserve">the </w:t>
      </w:r>
      <w:r w:rsidRPr="00226E9E">
        <w:rPr>
          <w:sz w:val="22"/>
        </w:rPr>
        <w:t>plains-wanderer</w:t>
      </w:r>
      <w:r>
        <w:rPr>
          <w:sz w:val="22"/>
        </w:rPr>
        <w:t>)</w:t>
      </w:r>
      <w:r w:rsidRPr="00226E9E">
        <w:rPr>
          <w:sz w:val="22"/>
        </w:rPr>
        <w:t xml:space="preserve"> during periods of extreme environmental fluctuation.</w:t>
      </w:r>
    </w:p>
    <w:p w:rsidR="0035132E" w:rsidRPr="00226E9E" w:rsidRDefault="0035132E" w:rsidP="003E2FEA">
      <w:pPr>
        <w:pStyle w:val="ListBullet"/>
        <w:spacing w:after="60"/>
        <w:rPr>
          <w:sz w:val="22"/>
        </w:rPr>
      </w:pPr>
      <w:r w:rsidRPr="00226E9E">
        <w:rPr>
          <w:sz w:val="22"/>
        </w:rPr>
        <w:t xml:space="preserve">A population response model, </w:t>
      </w:r>
      <w:r w:rsidRPr="00C87946">
        <w:rPr>
          <w:sz w:val="22"/>
        </w:rPr>
        <w:t>that identifies a realistic recovery time frame and trajectory, informed by knowledge of species biology and threats</w:t>
      </w:r>
      <w:r w:rsidRPr="00226E9E">
        <w:rPr>
          <w:sz w:val="22"/>
        </w:rPr>
        <w:t xml:space="preserve">, has been developed and implemented for </w:t>
      </w:r>
      <w:r w:rsidR="00B5265B">
        <w:rPr>
          <w:sz w:val="22"/>
        </w:rPr>
        <w:t xml:space="preserve">the </w:t>
      </w:r>
      <w:r w:rsidRPr="00226E9E">
        <w:rPr>
          <w:sz w:val="22"/>
        </w:rPr>
        <w:t xml:space="preserve">plains-wanderer. </w:t>
      </w:r>
      <w:bookmarkStart w:id="49" w:name="_Toc335118400"/>
    </w:p>
    <w:p w:rsidR="0035132E" w:rsidRPr="00226E9E" w:rsidRDefault="0035132E" w:rsidP="003E2FEA">
      <w:pPr>
        <w:pStyle w:val="Tabletext"/>
        <w:spacing w:after="60"/>
        <w:ind w:left="360"/>
        <w:rPr>
          <w:sz w:val="22"/>
        </w:rPr>
      </w:pPr>
    </w:p>
    <w:p w:rsidR="0035132E" w:rsidRPr="00CA4E1B" w:rsidRDefault="0035132E" w:rsidP="00AA028A">
      <w:pPr>
        <w:pStyle w:val="Heading2"/>
      </w:pPr>
      <w:bookmarkStart w:id="50" w:name="_Toc393467334"/>
      <w:bookmarkStart w:id="51" w:name="_Toc409018678"/>
      <w:bookmarkStart w:id="52" w:name="_Toc445307798"/>
      <w:r w:rsidRPr="00CA4E1B">
        <w:t>Criteria for failure:</w:t>
      </w:r>
      <w:bookmarkEnd w:id="49"/>
      <w:bookmarkEnd w:id="50"/>
      <w:bookmarkEnd w:id="51"/>
      <w:bookmarkEnd w:id="52"/>
    </w:p>
    <w:p w:rsidR="0035132E" w:rsidRPr="00226E9E" w:rsidRDefault="0035132E" w:rsidP="003E2FEA">
      <w:pPr>
        <w:rPr>
          <w:sz w:val="22"/>
        </w:rPr>
      </w:pPr>
      <w:r w:rsidRPr="00226E9E">
        <w:rPr>
          <w:sz w:val="22"/>
        </w:rPr>
        <w:t>This recovery plan will be deemed to have failed if; within 10 years</w:t>
      </w:r>
      <w:r>
        <w:rPr>
          <w:sz w:val="22"/>
        </w:rPr>
        <w:t>,</w:t>
      </w:r>
      <w:r w:rsidRPr="00226E9E">
        <w:rPr>
          <w:sz w:val="22"/>
        </w:rPr>
        <w:t xml:space="preserve"> any of the following have occurred:</w:t>
      </w:r>
    </w:p>
    <w:p w:rsidR="0035132E" w:rsidRPr="00226E9E" w:rsidRDefault="0035132E" w:rsidP="003E2FEA">
      <w:pPr>
        <w:pStyle w:val="ListBullet"/>
        <w:spacing w:after="60"/>
        <w:rPr>
          <w:sz w:val="22"/>
        </w:rPr>
      </w:pPr>
      <w:r w:rsidRPr="00226E9E">
        <w:rPr>
          <w:sz w:val="22"/>
        </w:rPr>
        <w:t xml:space="preserve">Known populations of </w:t>
      </w:r>
      <w:r w:rsidR="00B5265B">
        <w:rPr>
          <w:sz w:val="22"/>
        </w:rPr>
        <w:t xml:space="preserve">the </w:t>
      </w:r>
      <w:r w:rsidRPr="00226E9E">
        <w:rPr>
          <w:sz w:val="22"/>
        </w:rPr>
        <w:t xml:space="preserve">plains-wanderer </w:t>
      </w:r>
      <w:r w:rsidR="008E5BF9">
        <w:rPr>
          <w:sz w:val="22"/>
        </w:rPr>
        <w:t xml:space="preserve">have </w:t>
      </w:r>
      <w:r>
        <w:rPr>
          <w:sz w:val="22"/>
        </w:rPr>
        <w:t>n</w:t>
      </w:r>
      <w:r w:rsidR="0053282E">
        <w:rPr>
          <w:sz w:val="22"/>
        </w:rPr>
        <w:t>o</w:t>
      </w:r>
      <w:r>
        <w:rPr>
          <w:sz w:val="22"/>
        </w:rPr>
        <w:t>t recover</w:t>
      </w:r>
      <w:r w:rsidR="008E5BF9">
        <w:rPr>
          <w:sz w:val="22"/>
        </w:rPr>
        <w:t>ed</w:t>
      </w:r>
      <w:r>
        <w:rPr>
          <w:sz w:val="22"/>
        </w:rPr>
        <w:t xml:space="preserve"> from the very low numbers, and limited area of occupancy, </w:t>
      </w:r>
      <w:r w:rsidRPr="00226E9E">
        <w:rPr>
          <w:sz w:val="22"/>
        </w:rPr>
        <w:t>recorded in 2011-14.</w:t>
      </w:r>
    </w:p>
    <w:p w:rsidR="0035132E" w:rsidRPr="00226E9E" w:rsidRDefault="0035132E" w:rsidP="003E2FEA">
      <w:pPr>
        <w:pStyle w:val="ListBullet"/>
        <w:spacing w:after="60"/>
        <w:rPr>
          <w:sz w:val="22"/>
        </w:rPr>
      </w:pPr>
      <w:r w:rsidRPr="00226E9E">
        <w:rPr>
          <w:sz w:val="22"/>
        </w:rPr>
        <w:t>Regular monitoring has not been conducted and population trends have not been assessed in the plains-wanderer’s two strongholds.</w:t>
      </w:r>
    </w:p>
    <w:p w:rsidR="0035132E" w:rsidRPr="00226E9E" w:rsidRDefault="0035132E" w:rsidP="003E2FEA">
      <w:pPr>
        <w:pStyle w:val="ListBullet"/>
        <w:spacing w:after="60"/>
        <w:rPr>
          <w:sz w:val="22"/>
        </w:rPr>
      </w:pPr>
      <w:r w:rsidRPr="00226E9E">
        <w:rPr>
          <w:sz w:val="22"/>
        </w:rPr>
        <w:t>Threats to survival have not been identified and appropriate mitigation measures have not been implemented.</w:t>
      </w:r>
    </w:p>
    <w:p w:rsidR="0035132E" w:rsidRPr="00226E9E" w:rsidRDefault="0035132E" w:rsidP="003E2FEA">
      <w:pPr>
        <w:pStyle w:val="ListBullet"/>
        <w:spacing w:after="60"/>
        <w:rPr>
          <w:sz w:val="22"/>
        </w:rPr>
      </w:pPr>
      <w:r w:rsidRPr="00226E9E">
        <w:rPr>
          <w:sz w:val="22"/>
        </w:rPr>
        <w:t xml:space="preserve">Habitat quality has </w:t>
      </w:r>
      <w:r>
        <w:rPr>
          <w:sz w:val="22"/>
        </w:rPr>
        <w:t>not improved</w:t>
      </w:r>
      <w:r w:rsidRPr="00226E9E">
        <w:rPr>
          <w:sz w:val="22"/>
        </w:rPr>
        <w:t xml:space="preserve"> in key locations</w:t>
      </w:r>
      <w:r w:rsidR="0053282E">
        <w:rPr>
          <w:sz w:val="22"/>
        </w:rPr>
        <w:t>,</w:t>
      </w:r>
      <w:r w:rsidRPr="00226E9E">
        <w:rPr>
          <w:sz w:val="22"/>
        </w:rPr>
        <w:t xml:space="preserve"> </w:t>
      </w:r>
      <w:r>
        <w:rPr>
          <w:sz w:val="22"/>
        </w:rPr>
        <w:t>resulting in the disappearance of plains-wanderers from these sites.</w:t>
      </w:r>
      <w:r w:rsidRPr="00226E9E">
        <w:rPr>
          <w:sz w:val="22"/>
        </w:rPr>
        <w:t xml:space="preserve"> </w:t>
      </w:r>
    </w:p>
    <w:p w:rsidR="0035132E" w:rsidRPr="00226E9E" w:rsidRDefault="0035132E" w:rsidP="003E2FEA">
      <w:pPr>
        <w:pStyle w:val="Tabletext"/>
        <w:spacing w:after="60"/>
        <w:ind w:left="360"/>
        <w:rPr>
          <w:sz w:val="22"/>
        </w:rPr>
      </w:pPr>
    </w:p>
    <w:p w:rsidR="00D1406A" w:rsidRDefault="00D1406A">
      <w:pPr>
        <w:spacing w:after="0" w:line="240" w:lineRule="auto"/>
        <w:rPr>
          <w:rFonts w:ascii="Times New Roman" w:hAnsi="Times New Roman" w:cs="Arial"/>
          <w:caps/>
          <w:color w:val="E36C0A" w:themeColor="accent6" w:themeShade="BF"/>
          <w:sz w:val="40"/>
          <w:szCs w:val="40"/>
        </w:rPr>
      </w:pPr>
      <w:bookmarkStart w:id="53" w:name="_Toc256000005"/>
      <w:bookmarkStart w:id="54" w:name="_Toc414615091"/>
      <w:r>
        <w:br w:type="page"/>
      </w:r>
    </w:p>
    <w:p w:rsidR="0035132E" w:rsidRPr="001E4F0B" w:rsidRDefault="0035132E" w:rsidP="003E2FEA">
      <w:pPr>
        <w:pStyle w:val="Heading1"/>
      </w:pPr>
      <w:bookmarkStart w:id="55" w:name="_Toc445307799"/>
      <w:r w:rsidRPr="001E4F0B">
        <w:t>2</w:t>
      </w:r>
      <w:r w:rsidRPr="001E4F0B">
        <w:tab/>
        <w:t>I</w:t>
      </w:r>
      <w:bookmarkEnd w:id="53"/>
      <w:bookmarkEnd w:id="54"/>
      <w:r w:rsidR="00AA028A">
        <w:t>ntroduction</w:t>
      </w:r>
      <w:bookmarkEnd w:id="55"/>
    </w:p>
    <w:p w:rsidR="0035132E" w:rsidRDefault="0035132E" w:rsidP="003E2FEA">
      <w:pPr>
        <w:rPr>
          <w:sz w:val="22"/>
        </w:rPr>
      </w:pPr>
      <w:r w:rsidRPr="00226E9E">
        <w:rPr>
          <w:sz w:val="22"/>
        </w:rPr>
        <w:t xml:space="preserve">This document constitutes </w:t>
      </w:r>
      <w:r w:rsidR="00B55F87">
        <w:rPr>
          <w:sz w:val="22"/>
        </w:rPr>
        <w:t xml:space="preserve">the </w:t>
      </w:r>
      <w:r w:rsidR="00B55F87" w:rsidRPr="00B55F87">
        <w:rPr>
          <w:sz w:val="22"/>
        </w:rPr>
        <w:t>Nation</w:t>
      </w:r>
      <w:r w:rsidR="004C4A24">
        <w:rPr>
          <w:sz w:val="22"/>
        </w:rPr>
        <w:t>al Recovery Plan for the Plains-</w:t>
      </w:r>
      <w:r w:rsidR="00B55F87" w:rsidRPr="00B55F87">
        <w:rPr>
          <w:sz w:val="22"/>
        </w:rPr>
        <w:t>wanderer (</w:t>
      </w:r>
      <w:r w:rsidR="00B55F87" w:rsidRPr="004C4A24">
        <w:rPr>
          <w:i/>
          <w:sz w:val="22"/>
        </w:rPr>
        <w:t>Pedionomus torquatus</w:t>
      </w:r>
      <w:r w:rsidR="00B55F87" w:rsidRPr="00B55F87">
        <w:rPr>
          <w:sz w:val="22"/>
        </w:rPr>
        <w:t>)</w:t>
      </w:r>
      <w:r w:rsidRPr="00226E9E">
        <w:rPr>
          <w:sz w:val="22"/>
        </w:rPr>
        <w:t>.</w:t>
      </w:r>
      <w:r w:rsidRPr="00226E9E">
        <w:rPr>
          <w:snapToGrid w:val="0"/>
          <w:sz w:val="22"/>
        </w:rPr>
        <w:t xml:space="preserve"> </w:t>
      </w:r>
      <w:r w:rsidRPr="00226E9E">
        <w:rPr>
          <w:sz w:val="22"/>
        </w:rPr>
        <w:t xml:space="preserve">The plan considers the conservation requirements of the species across its range and identifies the actions to be taken to ensure the species long-term viability in nature, and the parties that will undertake those actions. </w:t>
      </w:r>
    </w:p>
    <w:p w:rsidR="0035132E" w:rsidRDefault="00877D57" w:rsidP="003E2FEA">
      <w:pPr>
        <w:rPr>
          <w:rFonts w:cs="Arial"/>
          <w:color w:val="000000"/>
          <w:sz w:val="22"/>
        </w:rPr>
      </w:pPr>
      <w:bookmarkStart w:id="56" w:name="OLE_LINK3"/>
      <w:bookmarkStart w:id="57" w:name="OLE_LINK4"/>
      <w:r>
        <w:rPr>
          <w:sz w:val="22"/>
        </w:rPr>
        <w:t>T</w:t>
      </w:r>
      <w:r w:rsidR="0035132E">
        <w:rPr>
          <w:sz w:val="22"/>
        </w:rPr>
        <w:t xml:space="preserve">he plains-wanderer </w:t>
      </w:r>
      <w:r>
        <w:rPr>
          <w:sz w:val="22"/>
        </w:rPr>
        <w:t>has recently been upgraded to</w:t>
      </w:r>
      <w:r w:rsidR="0035132E">
        <w:rPr>
          <w:sz w:val="22"/>
        </w:rPr>
        <w:t xml:space="preserve"> </w:t>
      </w:r>
      <w:r w:rsidR="00D962B6">
        <w:rPr>
          <w:sz w:val="22"/>
        </w:rPr>
        <w:t>C</w:t>
      </w:r>
      <w:r w:rsidR="0035132E">
        <w:rPr>
          <w:sz w:val="22"/>
        </w:rPr>
        <w:t xml:space="preserve">ritically </w:t>
      </w:r>
      <w:r w:rsidR="00D962B6">
        <w:rPr>
          <w:sz w:val="22"/>
        </w:rPr>
        <w:t>E</w:t>
      </w:r>
      <w:r w:rsidR="0035132E">
        <w:rPr>
          <w:sz w:val="22"/>
        </w:rPr>
        <w:t xml:space="preserve">ndangered on the list of threatened species under the </w:t>
      </w:r>
      <w:r w:rsidR="0035132E" w:rsidRPr="00CB1FD6">
        <w:rPr>
          <w:i/>
          <w:sz w:val="22"/>
        </w:rPr>
        <w:t xml:space="preserve">Environment Protection and Biodiversity Conservation </w:t>
      </w:r>
      <w:r w:rsidR="00B56251">
        <w:rPr>
          <w:i/>
          <w:sz w:val="22"/>
        </w:rPr>
        <w:t xml:space="preserve">Act </w:t>
      </w:r>
      <w:r w:rsidR="0035132E" w:rsidRPr="00CB1FD6">
        <w:rPr>
          <w:i/>
          <w:sz w:val="22"/>
        </w:rPr>
        <w:t>1999</w:t>
      </w:r>
      <w:r w:rsidR="00AF7CC4">
        <w:rPr>
          <w:i/>
          <w:sz w:val="22"/>
        </w:rPr>
        <w:t xml:space="preserve"> </w:t>
      </w:r>
      <w:r w:rsidR="00AF7CC4" w:rsidRPr="00AF7CC4">
        <w:rPr>
          <w:sz w:val="22"/>
        </w:rPr>
        <w:t>(EPBC Act)</w:t>
      </w:r>
      <w:r w:rsidR="0035132E" w:rsidRPr="00AF7CC4">
        <w:rPr>
          <w:sz w:val="22"/>
        </w:rPr>
        <w:t>.</w:t>
      </w:r>
      <w:bookmarkEnd w:id="56"/>
      <w:bookmarkEnd w:id="57"/>
      <w:r w:rsidR="0035132E">
        <w:rPr>
          <w:i/>
          <w:sz w:val="22"/>
        </w:rPr>
        <w:t xml:space="preserve"> </w:t>
      </w:r>
      <w:r w:rsidR="0035132E">
        <w:rPr>
          <w:sz w:val="22"/>
        </w:rPr>
        <w:t xml:space="preserve">In recent years, significant declines in numbers of plains-wanderers have been recorded in the species core locations. </w:t>
      </w:r>
      <w:r w:rsidR="0035132E">
        <w:rPr>
          <w:rFonts w:cs="Arial"/>
          <w:color w:val="000000"/>
          <w:sz w:val="22"/>
        </w:rPr>
        <w:t>Monitoring across the New South Wales Riverina between 2010 and 2014 detected a decline in numbers of 84%</w:t>
      </w:r>
      <w:r w:rsidR="00CA13A8">
        <w:rPr>
          <w:rFonts w:cs="Arial"/>
          <w:color w:val="000000"/>
          <w:sz w:val="22"/>
        </w:rPr>
        <w:t>.</w:t>
      </w:r>
      <w:r w:rsidR="0035132E">
        <w:rPr>
          <w:rFonts w:cs="Arial"/>
          <w:color w:val="000000"/>
          <w:sz w:val="22"/>
        </w:rPr>
        <w:t xml:space="preserve"> </w:t>
      </w:r>
      <w:r w:rsidR="00CA13A8">
        <w:rPr>
          <w:rFonts w:cs="Arial"/>
          <w:color w:val="000000"/>
          <w:sz w:val="22"/>
        </w:rPr>
        <w:t>T</w:t>
      </w:r>
      <w:r w:rsidR="0035132E">
        <w:rPr>
          <w:rFonts w:cs="Arial"/>
          <w:color w:val="000000"/>
          <w:sz w:val="22"/>
        </w:rPr>
        <w:t>his decline was preceded by significant fluctuations in numbers across the region from 2001 onwards, with an overall decline of 93% across the region over the period from 2001 to 2014 (Wilson et al., 2014). Monitoring and annual surveys</w:t>
      </w:r>
      <w:r w:rsidR="00E5141B">
        <w:rPr>
          <w:rFonts w:cs="Arial"/>
          <w:color w:val="000000"/>
          <w:sz w:val="22"/>
        </w:rPr>
        <w:t>,</w:t>
      </w:r>
      <w:r w:rsidR="0035132E">
        <w:rPr>
          <w:rFonts w:cs="Arial"/>
          <w:color w:val="000000"/>
          <w:sz w:val="22"/>
        </w:rPr>
        <w:t xml:space="preserve"> </w:t>
      </w:r>
      <w:r w:rsidR="00E5141B">
        <w:rPr>
          <w:rFonts w:cs="Arial"/>
          <w:color w:val="000000"/>
          <w:sz w:val="22"/>
        </w:rPr>
        <w:t>which have been conducted across the Patho Plains of Victoria since 2009 (Antos, 2015),</w:t>
      </w:r>
      <w:r w:rsidR="0035132E">
        <w:rPr>
          <w:rFonts w:cs="Arial"/>
          <w:color w:val="000000"/>
          <w:sz w:val="22"/>
        </w:rPr>
        <w:t xml:space="preserve"> indicated a decline in numbers of approximately 95% </w:t>
      </w:r>
      <w:r w:rsidR="00E5141B">
        <w:rPr>
          <w:rFonts w:cs="Arial"/>
          <w:color w:val="000000"/>
          <w:sz w:val="22"/>
        </w:rPr>
        <w:t xml:space="preserve">between 2010 and 2014 </w:t>
      </w:r>
      <w:r w:rsidR="0035132E">
        <w:rPr>
          <w:rFonts w:cs="Arial"/>
          <w:color w:val="000000"/>
          <w:sz w:val="22"/>
        </w:rPr>
        <w:t>(Baker</w:t>
      </w:r>
      <w:r w:rsidR="0035132E">
        <w:rPr>
          <w:rFonts w:cs="Arial"/>
          <w:color w:val="000000"/>
          <w:sz w:val="22"/>
        </w:rPr>
        <w:noBreakHyphen/>
        <w:t>Gabb, 2014). The current number of plains-wanderers is estimated to be somewhere between 250 and 1000 birds, representing a record low for the species (Baker-Gabb, 2015; OEH, 2015).</w:t>
      </w:r>
    </w:p>
    <w:p w:rsidR="0035132E" w:rsidRPr="00CB1FD6" w:rsidRDefault="0035132E" w:rsidP="003E2FEA">
      <w:pPr>
        <w:rPr>
          <w:sz w:val="22"/>
        </w:rPr>
      </w:pPr>
      <w:r>
        <w:rPr>
          <w:sz w:val="22"/>
        </w:rPr>
        <w:t>Over longer timeframes the</w:t>
      </w:r>
      <w:r w:rsidRPr="00226E9E">
        <w:rPr>
          <w:sz w:val="22"/>
        </w:rPr>
        <w:t xml:space="preserve"> primary threats to the survival of the plains-wanderer</w:t>
      </w:r>
      <w:r>
        <w:rPr>
          <w:sz w:val="22"/>
        </w:rPr>
        <w:t xml:space="preserve"> have been identified as </w:t>
      </w:r>
      <w:r w:rsidRPr="00226E9E">
        <w:rPr>
          <w:sz w:val="22"/>
          <w:lang w:eastAsia="en-AU"/>
        </w:rPr>
        <w:t>habitat loss, primarily through the expansion of agriculture</w:t>
      </w:r>
      <w:r>
        <w:rPr>
          <w:sz w:val="22"/>
          <w:lang w:eastAsia="en-AU"/>
        </w:rPr>
        <w:t>,</w:t>
      </w:r>
      <w:r w:rsidRPr="00226E9E">
        <w:rPr>
          <w:sz w:val="22"/>
          <w:lang w:eastAsia="en-AU"/>
        </w:rPr>
        <w:t xml:space="preserve"> and inappropriate grazing regimes.</w:t>
      </w:r>
      <w:r>
        <w:rPr>
          <w:sz w:val="22"/>
          <w:lang w:eastAsia="en-AU"/>
        </w:rPr>
        <w:t xml:space="preserve"> However, </w:t>
      </w:r>
      <w:r w:rsidR="006A5938">
        <w:rPr>
          <w:sz w:val="22"/>
          <w:lang w:eastAsia="en-AU"/>
        </w:rPr>
        <w:t>while recent declines in Victorian populations</w:t>
      </w:r>
      <w:r w:rsidR="006A5938" w:rsidRPr="002A3845">
        <w:rPr>
          <w:sz w:val="22"/>
          <w:lang w:eastAsia="en-AU"/>
        </w:rPr>
        <w:t xml:space="preserve"> </w:t>
      </w:r>
      <w:r w:rsidR="006A5938">
        <w:rPr>
          <w:sz w:val="22"/>
          <w:lang w:eastAsia="en-AU"/>
        </w:rPr>
        <w:t>of plains-wanderers have been largely attributed to widespread flooding and inundation of habitat (Antos, 2015)</w:t>
      </w:r>
      <w:r w:rsidR="00CB7994">
        <w:rPr>
          <w:sz w:val="22"/>
          <w:lang w:eastAsia="en-AU"/>
        </w:rPr>
        <w:t>,</w:t>
      </w:r>
      <w:r w:rsidR="006A5938">
        <w:rPr>
          <w:sz w:val="22"/>
          <w:lang w:eastAsia="en-AU"/>
        </w:rPr>
        <w:t xml:space="preserve"> </w:t>
      </w:r>
      <w:r>
        <w:rPr>
          <w:sz w:val="22"/>
          <w:lang w:eastAsia="en-AU"/>
        </w:rPr>
        <w:t xml:space="preserve">there is uncertainty regarding the cause of the unprecedented </w:t>
      </w:r>
      <w:r w:rsidR="00CB7994">
        <w:rPr>
          <w:sz w:val="22"/>
          <w:lang w:eastAsia="en-AU"/>
        </w:rPr>
        <w:t xml:space="preserve">recent </w:t>
      </w:r>
      <w:r>
        <w:rPr>
          <w:sz w:val="22"/>
          <w:lang w:eastAsia="en-AU"/>
        </w:rPr>
        <w:t>declines in number</w:t>
      </w:r>
      <w:r w:rsidR="006A5938">
        <w:rPr>
          <w:sz w:val="22"/>
          <w:lang w:eastAsia="en-AU"/>
        </w:rPr>
        <w:t>s</w:t>
      </w:r>
      <w:r>
        <w:rPr>
          <w:sz w:val="22"/>
          <w:lang w:eastAsia="en-AU"/>
        </w:rPr>
        <w:t xml:space="preserve"> </w:t>
      </w:r>
      <w:r w:rsidR="006A5938">
        <w:rPr>
          <w:sz w:val="22"/>
          <w:lang w:eastAsia="en-AU"/>
        </w:rPr>
        <w:t>across the species entire range</w:t>
      </w:r>
      <w:r>
        <w:rPr>
          <w:sz w:val="22"/>
          <w:lang w:eastAsia="en-AU"/>
        </w:rPr>
        <w:t xml:space="preserve">. For this reason, one of the key focuses of this recovery plan is to identify the cause of recent declines, and mitigate any threats that have been found to be impacting upon the survival of the species. </w:t>
      </w:r>
    </w:p>
    <w:p w:rsidR="0035132E" w:rsidRPr="00D57BA5" w:rsidRDefault="0035132E" w:rsidP="003E2FEA">
      <w:bookmarkStart w:id="58" w:name="_Toc390850799"/>
      <w:r w:rsidRPr="00226E9E">
        <w:rPr>
          <w:sz w:val="22"/>
        </w:rPr>
        <w:t xml:space="preserve">The </w:t>
      </w:r>
      <w:r>
        <w:rPr>
          <w:sz w:val="22"/>
        </w:rPr>
        <w:t xml:space="preserve">overall </w:t>
      </w:r>
      <w:r w:rsidRPr="00226E9E">
        <w:rPr>
          <w:sz w:val="22"/>
        </w:rPr>
        <w:t>goal of this recovery plan is to achieve a viable, self-sustaining wild population capable of persisting through extended poor breeding seasons, and to put in place long-term management arrangements that ensure key plains-wanderer habitat is appropriately managed.</w:t>
      </w:r>
      <w:r>
        <w:rPr>
          <w:sz w:val="22"/>
          <w:lang w:eastAsia="en-AU"/>
        </w:rPr>
        <w:t xml:space="preserve"> To achieve this goal a range of strategies will be employed, including the development and</w:t>
      </w:r>
      <w:r w:rsidRPr="00226E9E">
        <w:rPr>
          <w:sz w:val="22"/>
        </w:rPr>
        <w:t xml:space="preserve"> implement</w:t>
      </w:r>
      <w:r>
        <w:rPr>
          <w:sz w:val="22"/>
        </w:rPr>
        <w:t>ation of</w:t>
      </w:r>
      <w:r w:rsidRPr="00226E9E">
        <w:rPr>
          <w:sz w:val="22"/>
        </w:rPr>
        <w:t xml:space="preserve"> a </w:t>
      </w:r>
      <w:r>
        <w:rPr>
          <w:sz w:val="22"/>
        </w:rPr>
        <w:t>robust, targeted conservation breeding program and projects to</w:t>
      </w:r>
      <w:r w:rsidRPr="00BB2FF8">
        <w:rPr>
          <w:sz w:val="22"/>
        </w:rPr>
        <w:t xml:space="preserve"> f</w:t>
      </w:r>
      <w:r w:rsidRPr="00226E9E">
        <w:rPr>
          <w:sz w:val="22"/>
        </w:rPr>
        <w:t>acilitate management of grazing and burning regimes to maintain suitable habitat</w:t>
      </w:r>
      <w:r>
        <w:rPr>
          <w:sz w:val="22"/>
        </w:rPr>
        <w:t>.</w:t>
      </w:r>
    </w:p>
    <w:p w:rsidR="0035132E" w:rsidRPr="00226E9E" w:rsidRDefault="0035132E" w:rsidP="003E2FEA">
      <w:pPr>
        <w:rPr>
          <w:sz w:val="22"/>
        </w:rPr>
      </w:pPr>
      <w:bookmarkStart w:id="59" w:name="_Toc390850803"/>
      <w:bookmarkEnd w:id="58"/>
      <w:r w:rsidRPr="00226E9E">
        <w:rPr>
          <w:sz w:val="22"/>
        </w:rPr>
        <w:t xml:space="preserve">An accompanying Species Profile and Threats Database (SPRAT) page provides background information on the biology, population status and threats to the plains-wanderer. The SPRAT page is available from: </w:t>
      </w:r>
    </w:p>
    <w:p w:rsidR="0035132E" w:rsidRPr="00226E9E" w:rsidRDefault="009512A9" w:rsidP="003B20C9">
      <w:pPr>
        <w:autoSpaceDE w:val="0"/>
        <w:rPr>
          <w:sz w:val="22"/>
        </w:rPr>
      </w:pPr>
      <w:hyperlink r:id="rId23" w:history="1">
        <w:r w:rsidR="003B20C9">
          <w:rPr>
            <w:rFonts w:ascii="ZWAdobeF" w:hAnsi="ZWAdobeF" w:cs="ZWAdobeF"/>
            <w:sz w:val="2"/>
            <w:szCs w:val="2"/>
          </w:rPr>
          <w:t>7TU</w:t>
        </w:r>
        <w:r w:rsidR="0035132E" w:rsidRPr="009155B2">
          <w:rPr>
            <w:rStyle w:val="Hyperlink"/>
            <w:b/>
            <w:sz w:val="22"/>
          </w:rPr>
          <w:t>http://www.environment.gov.au/cgi-bin/sprat/public/sprat.pl</w:t>
        </w:r>
        <w:r w:rsidR="003B20C9">
          <w:rPr>
            <w:rStyle w:val="Hyperlink"/>
            <w:rFonts w:ascii="ZWAdobeF" w:hAnsi="ZWAdobeF" w:cs="ZWAdobeF"/>
            <w:color w:val="auto"/>
            <w:sz w:val="2"/>
            <w:szCs w:val="2"/>
            <w:u w:val="none"/>
          </w:rPr>
          <w:t>U7T</w:t>
        </w:r>
      </w:hyperlink>
      <w:bookmarkEnd w:id="59"/>
    </w:p>
    <w:p w:rsidR="00AA028A" w:rsidRDefault="00AA028A">
      <w:pPr>
        <w:spacing w:after="0" w:line="240" w:lineRule="auto"/>
        <w:rPr>
          <w:rFonts w:cs="Arial"/>
          <w:color w:val="7F7F7F" w:themeColor="text1" w:themeTint="80"/>
          <w:sz w:val="32"/>
        </w:rPr>
      </w:pPr>
      <w:bookmarkStart w:id="60" w:name="_Toc256000008"/>
      <w:bookmarkStart w:id="61" w:name="_Toc414615093"/>
      <w:r>
        <w:br w:type="page"/>
      </w:r>
    </w:p>
    <w:p w:rsidR="0035132E" w:rsidRPr="00AA028A" w:rsidRDefault="0035132E" w:rsidP="00AA028A">
      <w:pPr>
        <w:pStyle w:val="Heading2"/>
      </w:pPr>
      <w:bookmarkStart w:id="62" w:name="_Toc445307800"/>
      <w:r w:rsidRPr="00AA028A">
        <w:t>2.</w:t>
      </w:r>
      <w:r w:rsidR="00A26CAC">
        <w:t>1</w:t>
      </w:r>
      <w:r w:rsidR="00B56251" w:rsidRPr="00AA028A">
        <w:tab/>
        <w:t>Conservation s</w:t>
      </w:r>
      <w:r w:rsidRPr="00AA028A">
        <w:t>tatus</w:t>
      </w:r>
      <w:bookmarkEnd w:id="60"/>
      <w:bookmarkEnd w:id="61"/>
      <w:bookmarkEnd w:id="62"/>
    </w:p>
    <w:p w:rsidR="0035132E" w:rsidRPr="00226E9E" w:rsidRDefault="0035132E" w:rsidP="003E2FEA">
      <w:pPr>
        <w:rPr>
          <w:sz w:val="22"/>
        </w:rPr>
      </w:pPr>
      <w:r w:rsidRPr="00226E9E">
        <w:rPr>
          <w:sz w:val="22"/>
        </w:rPr>
        <w:t xml:space="preserve">The plains-wanderer is listed as threatened under </w:t>
      </w:r>
      <w:r w:rsidR="00C73A51">
        <w:rPr>
          <w:sz w:val="22"/>
        </w:rPr>
        <w:t xml:space="preserve">the </w:t>
      </w:r>
      <w:r w:rsidRPr="00226E9E">
        <w:rPr>
          <w:sz w:val="22"/>
        </w:rPr>
        <w:t xml:space="preserve">EPBC Act as well as state and territory legislation across its range. </w:t>
      </w:r>
    </w:p>
    <w:p w:rsidR="0035132E" w:rsidRPr="00226E9E" w:rsidRDefault="0035132E" w:rsidP="003E2FEA">
      <w:pPr>
        <w:rPr>
          <w:sz w:val="22"/>
          <w:highlight w:val="yellow"/>
        </w:rPr>
      </w:pPr>
      <w:r w:rsidRPr="00226E9E">
        <w:rPr>
          <w:sz w:val="22"/>
        </w:rPr>
        <w:t xml:space="preserve">The plains-wanderer </w:t>
      </w:r>
      <w:r w:rsidRPr="00226E9E">
        <w:rPr>
          <w:i/>
          <w:sz w:val="22"/>
        </w:rPr>
        <w:t xml:space="preserve">(Pedionomus torquatus) </w:t>
      </w:r>
      <w:r w:rsidRPr="00226E9E">
        <w:rPr>
          <w:sz w:val="22"/>
        </w:rPr>
        <w:t xml:space="preserve">was transferred </w:t>
      </w:r>
      <w:r w:rsidRPr="00226E9E">
        <w:rPr>
          <w:rFonts w:eastAsia="Times New Roman" w:cs="Arial"/>
          <w:sz w:val="22"/>
        </w:rPr>
        <w:t xml:space="preserve">from the </w:t>
      </w:r>
      <w:r w:rsidRPr="00226E9E">
        <w:rPr>
          <w:rFonts w:eastAsia="Times New Roman" w:cs="Arial"/>
          <w:i/>
          <w:sz w:val="22"/>
        </w:rPr>
        <w:t>Endangered Species Protection Act 1992</w:t>
      </w:r>
      <w:r w:rsidRPr="00226E9E">
        <w:rPr>
          <w:rFonts w:eastAsia="Times New Roman" w:cs="Arial"/>
          <w:sz w:val="22"/>
        </w:rPr>
        <w:t xml:space="preserve"> to the vulnerable list of the EPBC Act when it came into force in July 2000.</w:t>
      </w:r>
      <w:r w:rsidRPr="00226E9E">
        <w:rPr>
          <w:sz w:val="22"/>
        </w:rPr>
        <w:t xml:space="preserve"> </w:t>
      </w:r>
    </w:p>
    <w:p w:rsidR="0035132E" w:rsidRPr="00226E9E" w:rsidRDefault="0035132E" w:rsidP="003E2FEA">
      <w:pPr>
        <w:spacing w:after="0"/>
        <w:rPr>
          <w:b/>
          <w:bCs/>
          <w:sz w:val="22"/>
        </w:rPr>
      </w:pPr>
    </w:p>
    <w:p w:rsidR="0035132E" w:rsidRPr="00226E9E" w:rsidRDefault="0035132E" w:rsidP="003E2FEA">
      <w:pPr>
        <w:pStyle w:val="Caption"/>
        <w:spacing w:after="240"/>
        <w:rPr>
          <w:sz w:val="22"/>
          <w:szCs w:val="22"/>
        </w:rPr>
      </w:pPr>
      <w:bookmarkStart w:id="63" w:name="_Toc409690427"/>
      <w:bookmarkStart w:id="64" w:name="_Toc417633337"/>
      <w:r w:rsidRPr="00A26CAC">
        <w:rPr>
          <w:i/>
          <w:sz w:val="22"/>
          <w:szCs w:val="22"/>
        </w:rPr>
        <w:t>Table 1:</w:t>
      </w:r>
      <w:r w:rsidRPr="00226E9E">
        <w:rPr>
          <w:sz w:val="22"/>
          <w:szCs w:val="22"/>
        </w:rPr>
        <w:t xml:space="preserve"> </w:t>
      </w:r>
      <w:r w:rsidRPr="00A26CAC">
        <w:rPr>
          <w:b w:val="0"/>
          <w:i/>
          <w:sz w:val="22"/>
          <w:szCs w:val="22"/>
        </w:rPr>
        <w:t>International, national and state conservation status of the plains-wanderer.</w:t>
      </w:r>
      <w:bookmarkEnd w:id="63"/>
      <w:bookmarkEnd w:id="64"/>
    </w:p>
    <w:tbl>
      <w:tblPr>
        <w:tblW w:w="4881" w:type="pct"/>
        <w:jc w:val="center"/>
        <w:tblBorders>
          <w:bottom w:val="single" w:sz="4" w:space="0" w:color="auto"/>
          <w:insideH w:val="single" w:sz="4" w:space="0" w:color="auto"/>
        </w:tblBorders>
        <w:tblLook w:val="0000"/>
      </w:tblPr>
      <w:tblGrid>
        <w:gridCol w:w="6496"/>
        <w:gridCol w:w="2708"/>
      </w:tblGrid>
      <w:tr w:rsidR="0018674C" w:rsidTr="00A26CAC">
        <w:trPr>
          <w:cantSplit/>
          <w:trHeight w:val="528"/>
          <w:jc w:val="center"/>
        </w:trPr>
        <w:tc>
          <w:tcPr>
            <w:tcW w:w="3529" w:type="pct"/>
            <w:tcBorders>
              <w:top w:val="nil"/>
              <w:bottom w:val="single" w:sz="4" w:space="0" w:color="auto"/>
            </w:tcBorders>
            <w:shd w:val="clear" w:color="auto" w:fill="17365D" w:themeFill="text2" w:themeFillShade="BF"/>
            <w:vAlign w:val="center"/>
          </w:tcPr>
          <w:p w:rsidR="0035132E" w:rsidRPr="00226E9E" w:rsidRDefault="0035132E" w:rsidP="003E2FEA">
            <w:pPr>
              <w:pStyle w:val="Tabletext"/>
              <w:rPr>
                <w:b/>
                <w:snapToGrid w:val="0"/>
                <w:sz w:val="22"/>
              </w:rPr>
            </w:pPr>
            <w:r w:rsidRPr="00226E9E">
              <w:rPr>
                <w:b/>
                <w:snapToGrid w:val="0"/>
                <w:sz w:val="22"/>
              </w:rPr>
              <w:t>Legislation</w:t>
            </w:r>
          </w:p>
        </w:tc>
        <w:tc>
          <w:tcPr>
            <w:tcW w:w="1471" w:type="pct"/>
            <w:tcBorders>
              <w:top w:val="nil"/>
              <w:bottom w:val="single" w:sz="4" w:space="0" w:color="auto"/>
            </w:tcBorders>
            <w:shd w:val="clear" w:color="auto" w:fill="17365D" w:themeFill="text2" w:themeFillShade="BF"/>
            <w:vAlign w:val="center"/>
          </w:tcPr>
          <w:p w:rsidR="0035132E" w:rsidRPr="00226E9E" w:rsidRDefault="0035132E" w:rsidP="003E2FEA">
            <w:pPr>
              <w:pStyle w:val="Tabletext"/>
              <w:rPr>
                <w:b/>
                <w:snapToGrid w:val="0"/>
                <w:sz w:val="22"/>
              </w:rPr>
            </w:pPr>
            <w:r w:rsidRPr="00226E9E">
              <w:rPr>
                <w:b/>
                <w:snapToGrid w:val="0"/>
                <w:sz w:val="22"/>
              </w:rPr>
              <w:t>Conservation Status</w:t>
            </w:r>
          </w:p>
        </w:tc>
      </w:tr>
      <w:tr w:rsidR="0018674C" w:rsidTr="00A26CAC">
        <w:trPr>
          <w:trHeight w:val="728"/>
          <w:jc w:val="center"/>
        </w:trPr>
        <w:tc>
          <w:tcPr>
            <w:tcW w:w="3529" w:type="pct"/>
            <w:tcBorders>
              <w:top w:val="single" w:sz="4" w:space="0" w:color="auto"/>
            </w:tcBorders>
            <w:shd w:val="clear" w:color="auto" w:fill="auto"/>
            <w:vAlign w:val="center"/>
          </w:tcPr>
          <w:p w:rsidR="0035132E" w:rsidRPr="00226E9E" w:rsidRDefault="0035132E" w:rsidP="003E2FEA">
            <w:pPr>
              <w:pStyle w:val="Tabletext"/>
              <w:rPr>
                <w:i/>
                <w:snapToGrid w:val="0"/>
                <w:sz w:val="22"/>
              </w:rPr>
            </w:pPr>
            <w:r w:rsidRPr="00226E9E">
              <w:rPr>
                <w:i/>
                <w:iCs/>
                <w:sz w:val="22"/>
              </w:rPr>
              <w:t>Environment Protection and Biodiversity Conservation Act 1999</w:t>
            </w:r>
            <w:r w:rsidRPr="00226E9E">
              <w:rPr>
                <w:sz w:val="22"/>
              </w:rPr>
              <w:t xml:space="preserve"> (EPBC Act)</w:t>
            </w:r>
          </w:p>
        </w:tc>
        <w:tc>
          <w:tcPr>
            <w:tcW w:w="1471" w:type="pct"/>
            <w:tcBorders>
              <w:top w:val="single" w:sz="4" w:space="0" w:color="auto"/>
            </w:tcBorders>
            <w:shd w:val="clear" w:color="auto" w:fill="auto"/>
            <w:vAlign w:val="center"/>
          </w:tcPr>
          <w:p w:rsidR="0035132E" w:rsidRPr="00226E9E" w:rsidRDefault="00877D57" w:rsidP="003E2FEA">
            <w:pPr>
              <w:pStyle w:val="Tabletext"/>
              <w:rPr>
                <w:snapToGrid w:val="0"/>
                <w:sz w:val="22"/>
                <w:vertAlign w:val="superscript"/>
              </w:rPr>
            </w:pPr>
            <w:r>
              <w:rPr>
                <w:snapToGrid w:val="0"/>
                <w:sz w:val="22"/>
              </w:rPr>
              <w:t>Critically Endangered</w:t>
            </w:r>
          </w:p>
        </w:tc>
      </w:tr>
      <w:tr w:rsidR="0018674C" w:rsidTr="00A26CAC">
        <w:trPr>
          <w:trHeight w:val="838"/>
          <w:jc w:val="center"/>
        </w:trPr>
        <w:tc>
          <w:tcPr>
            <w:tcW w:w="3529" w:type="pct"/>
            <w:tcBorders>
              <w:top w:val="single" w:sz="4" w:space="0" w:color="auto"/>
            </w:tcBorders>
            <w:shd w:val="clear" w:color="auto" w:fill="auto"/>
            <w:vAlign w:val="center"/>
          </w:tcPr>
          <w:p w:rsidR="0035132E" w:rsidRPr="00226E9E" w:rsidRDefault="0035132E" w:rsidP="003E2FEA">
            <w:pPr>
              <w:pStyle w:val="Tabletext"/>
              <w:rPr>
                <w:i/>
                <w:sz w:val="22"/>
              </w:rPr>
            </w:pPr>
            <w:r w:rsidRPr="00226E9E">
              <w:rPr>
                <w:i/>
                <w:sz w:val="22"/>
              </w:rPr>
              <w:t xml:space="preserve">Threatened Species Conservation Act 1995 </w:t>
            </w:r>
          </w:p>
          <w:p w:rsidR="0035132E" w:rsidRPr="00226E9E" w:rsidRDefault="0035132E" w:rsidP="003E2FEA">
            <w:pPr>
              <w:pStyle w:val="Tabletext"/>
              <w:rPr>
                <w:i/>
                <w:sz w:val="22"/>
              </w:rPr>
            </w:pPr>
            <w:r w:rsidRPr="00226E9E">
              <w:rPr>
                <w:i/>
                <w:sz w:val="22"/>
              </w:rPr>
              <w:t>(New South Wales)</w:t>
            </w:r>
          </w:p>
        </w:tc>
        <w:tc>
          <w:tcPr>
            <w:tcW w:w="1471" w:type="pct"/>
            <w:tcBorders>
              <w:top w:val="single" w:sz="4" w:space="0" w:color="auto"/>
            </w:tcBorders>
            <w:shd w:val="clear" w:color="auto" w:fill="auto"/>
            <w:vAlign w:val="center"/>
          </w:tcPr>
          <w:p w:rsidR="0035132E" w:rsidRPr="00226E9E" w:rsidRDefault="0035132E" w:rsidP="003E2FEA">
            <w:pPr>
              <w:pStyle w:val="Tabletext"/>
              <w:rPr>
                <w:sz w:val="22"/>
                <w:highlight w:val="yellow"/>
              </w:rPr>
            </w:pPr>
            <w:r w:rsidRPr="00226E9E">
              <w:rPr>
                <w:sz w:val="22"/>
              </w:rPr>
              <w:t>Endangered</w:t>
            </w:r>
            <w:r w:rsidRPr="00226E9E">
              <w:rPr>
                <w:sz w:val="22"/>
                <w:highlight w:val="yellow"/>
              </w:rPr>
              <w:t xml:space="preserve"> </w:t>
            </w:r>
          </w:p>
        </w:tc>
      </w:tr>
      <w:tr w:rsidR="0018674C" w:rsidTr="00A26CAC">
        <w:trPr>
          <w:trHeight w:val="552"/>
          <w:jc w:val="center"/>
        </w:trPr>
        <w:tc>
          <w:tcPr>
            <w:tcW w:w="3529" w:type="pct"/>
            <w:tcBorders>
              <w:top w:val="single" w:sz="4" w:space="0" w:color="auto"/>
            </w:tcBorders>
            <w:shd w:val="clear" w:color="auto" w:fill="auto"/>
            <w:vAlign w:val="center"/>
          </w:tcPr>
          <w:p w:rsidR="0035132E" w:rsidRPr="00226E9E" w:rsidRDefault="0035132E" w:rsidP="003E2FEA">
            <w:pPr>
              <w:pStyle w:val="Tabletext"/>
              <w:rPr>
                <w:i/>
                <w:sz w:val="22"/>
              </w:rPr>
            </w:pPr>
            <w:r w:rsidRPr="00226E9E">
              <w:rPr>
                <w:i/>
                <w:sz w:val="22"/>
              </w:rPr>
              <w:t>Nature Conservation Act 1992 (Queensland)</w:t>
            </w:r>
          </w:p>
        </w:tc>
        <w:tc>
          <w:tcPr>
            <w:tcW w:w="1471" w:type="pct"/>
            <w:tcBorders>
              <w:top w:val="single" w:sz="4" w:space="0" w:color="auto"/>
            </w:tcBorders>
            <w:shd w:val="clear" w:color="auto" w:fill="auto"/>
            <w:vAlign w:val="center"/>
          </w:tcPr>
          <w:p w:rsidR="0035132E" w:rsidRPr="00226E9E" w:rsidRDefault="0035132E" w:rsidP="003E2FEA">
            <w:pPr>
              <w:pStyle w:val="Tabletext"/>
              <w:rPr>
                <w:sz w:val="22"/>
                <w:highlight w:val="yellow"/>
              </w:rPr>
            </w:pPr>
            <w:r w:rsidRPr="00226E9E">
              <w:rPr>
                <w:sz w:val="22"/>
              </w:rPr>
              <w:t>Vulnerable</w:t>
            </w:r>
            <w:r w:rsidRPr="00226E9E">
              <w:rPr>
                <w:sz w:val="22"/>
                <w:highlight w:val="yellow"/>
              </w:rPr>
              <w:t xml:space="preserve"> </w:t>
            </w:r>
          </w:p>
        </w:tc>
      </w:tr>
      <w:tr w:rsidR="0018674C" w:rsidTr="00A26CAC">
        <w:trPr>
          <w:trHeight w:val="546"/>
          <w:jc w:val="center"/>
        </w:trPr>
        <w:tc>
          <w:tcPr>
            <w:tcW w:w="3529" w:type="pct"/>
            <w:tcBorders>
              <w:top w:val="single" w:sz="4" w:space="0" w:color="auto"/>
            </w:tcBorders>
            <w:shd w:val="clear" w:color="auto" w:fill="auto"/>
            <w:vAlign w:val="center"/>
          </w:tcPr>
          <w:p w:rsidR="0035132E" w:rsidRPr="00226E9E" w:rsidRDefault="0035132E" w:rsidP="003E2FEA">
            <w:pPr>
              <w:pStyle w:val="Tabletext"/>
              <w:rPr>
                <w:i/>
                <w:sz w:val="22"/>
              </w:rPr>
            </w:pPr>
            <w:r w:rsidRPr="00226E9E">
              <w:rPr>
                <w:i/>
                <w:sz w:val="22"/>
              </w:rPr>
              <w:t>National Parks and Wildlife Act 1972 (South Australia)</w:t>
            </w:r>
          </w:p>
        </w:tc>
        <w:tc>
          <w:tcPr>
            <w:tcW w:w="1471" w:type="pct"/>
            <w:tcBorders>
              <w:top w:val="single" w:sz="4" w:space="0" w:color="auto"/>
            </w:tcBorders>
            <w:shd w:val="clear" w:color="auto" w:fill="auto"/>
            <w:vAlign w:val="center"/>
          </w:tcPr>
          <w:p w:rsidR="0035132E" w:rsidRPr="00226E9E" w:rsidRDefault="0035132E" w:rsidP="003E2FEA">
            <w:pPr>
              <w:pStyle w:val="Tabletext"/>
              <w:rPr>
                <w:sz w:val="22"/>
              </w:rPr>
            </w:pPr>
            <w:r w:rsidRPr="00226E9E">
              <w:rPr>
                <w:sz w:val="22"/>
              </w:rPr>
              <w:t>Endangered</w:t>
            </w:r>
          </w:p>
        </w:tc>
      </w:tr>
      <w:tr w:rsidR="0018674C" w:rsidTr="00A26CAC">
        <w:trPr>
          <w:trHeight w:val="554"/>
          <w:jc w:val="center"/>
        </w:trPr>
        <w:tc>
          <w:tcPr>
            <w:tcW w:w="3529" w:type="pct"/>
            <w:tcBorders>
              <w:top w:val="single" w:sz="4" w:space="0" w:color="auto"/>
            </w:tcBorders>
            <w:shd w:val="clear" w:color="auto" w:fill="auto"/>
            <w:vAlign w:val="center"/>
          </w:tcPr>
          <w:p w:rsidR="0035132E" w:rsidRPr="00226E9E" w:rsidRDefault="0035132E" w:rsidP="003E2FEA">
            <w:pPr>
              <w:pStyle w:val="Tabletext"/>
              <w:rPr>
                <w:i/>
                <w:sz w:val="22"/>
              </w:rPr>
            </w:pPr>
            <w:r w:rsidRPr="00226E9E">
              <w:rPr>
                <w:i/>
                <w:sz w:val="22"/>
              </w:rPr>
              <w:t>Flora and Fauna Guarantee Act 1988 (Victoria)</w:t>
            </w:r>
          </w:p>
        </w:tc>
        <w:tc>
          <w:tcPr>
            <w:tcW w:w="1471" w:type="pct"/>
            <w:tcBorders>
              <w:top w:val="single" w:sz="4" w:space="0" w:color="auto"/>
            </w:tcBorders>
            <w:shd w:val="clear" w:color="auto" w:fill="auto"/>
            <w:vAlign w:val="center"/>
          </w:tcPr>
          <w:p w:rsidR="0035132E" w:rsidRPr="00226E9E" w:rsidRDefault="0035132E" w:rsidP="003E2FEA">
            <w:pPr>
              <w:pStyle w:val="Tabletext"/>
              <w:rPr>
                <w:sz w:val="22"/>
              </w:rPr>
            </w:pPr>
            <w:r w:rsidRPr="00226E9E">
              <w:rPr>
                <w:sz w:val="22"/>
              </w:rPr>
              <w:t>Threatened</w:t>
            </w:r>
          </w:p>
        </w:tc>
      </w:tr>
      <w:tr w:rsidR="0018674C" w:rsidTr="00A26CAC">
        <w:trPr>
          <w:trHeight w:val="562"/>
          <w:jc w:val="center"/>
        </w:trPr>
        <w:tc>
          <w:tcPr>
            <w:tcW w:w="3529" w:type="pct"/>
            <w:tcBorders>
              <w:top w:val="single" w:sz="4" w:space="0" w:color="auto"/>
            </w:tcBorders>
            <w:shd w:val="clear" w:color="auto" w:fill="auto"/>
            <w:vAlign w:val="center"/>
          </w:tcPr>
          <w:p w:rsidR="0035132E" w:rsidRPr="00226E9E" w:rsidRDefault="0035132E" w:rsidP="003E2FEA">
            <w:pPr>
              <w:pStyle w:val="Tabletext"/>
              <w:rPr>
                <w:i/>
                <w:sz w:val="22"/>
              </w:rPr>
            </w:pPr>
            <w:r w:rsidRPr="00226E9E">
              <w:rPr>
                <w:i/>
                <w:sz w:val="22"/>
              </w:rPr>
              <w:t>Advisory List of Threatened Vertebrate Fauna in Victoria (2013)</w:t>
            </w:r>
          </w:p>
        </w:tc>
        <w:tc>
          <w:tcPr>
            <w:tcW w:w="1471" w:type="pct"/>
            <w:tcBorders>
              <w:top w:val="single" w:sz="4" w:space="0" w:color="auto"/>
            </w:tcBorders>
            <w:shd w:val="clear" w:color="auto" w:fill="auto"/>
            <w:vAlign w:val="center"/>
          </w:tcPr>
          <w:p w:rsidR="0035132E" w:rsidRPr="00226E9E" w:rsidRDefault="0035132E" w:rsidP="003E2FEA">
            <w:pPr>
              <w:pStyle w:val="Tabletext"/>
              <w:rPr>
                <w:sz w:val="22"/>
              </w:rPr>
            </w:pPr>
            <w:r w:rsidRPr="00226E9E">
              <w:rPr>
                <w:sz w:val="22"/>
              </w:rPr>
              <w:t>Critically Endangered</w:t>
            </w:r>
          </w:p>
        </w:tc>
      </w:tr>
      <w:tr w:rsidR="0018674C" w:rsidTr="00A26CAC">
        <w:trPr>
          <w:trHeight w:val="551"/>
          <w:jc w:val="center"/>
        </w:trPr>
        <w:tc>
          <w:tcPr>
            <w:tcW w:w="3529" w:type="pct"/>
            <w:tcBorders>
              <w:top w:val="single" w:sz="4" w:space="0" w:color="auto"/>
            </w:tcBorders>
            <w:shd w:val="clear" w:color="auto" w:fill="auto"/>
            <w:vAlign w:val="center"/>
          </w:tcPr>
          <w:p w:rsidR="0035132E" w:rsidRPr="00226E9E" w:rsidRDefault="0035132E" w:rsidP="003E2FEA">
            <w:pPr>
              <w:pStyle w:val="Tabletext"/>
              <w:rPr>
                <w:i/>
                <w:sz w:val="22"/>
              </w:rPr>
            </w:pPr>
            <w:r w:rsidRPr="00226E9E">
              <w:rPr>
                <w:i/>
                <w:sz w:val="22"/>
              </w:rPr>
              <w:t>IUCN Red List of Threatened Species: (2013)</w:t>
            </w:r>
          </w:p>
        </w:tc>
        <w:tc>
          <w:tcPr>
            <w:tcW w:w="1471" w:type="pct"/>
            <w:tcBorders>
              <w:top w:val="single" w:sz="4" w:space="0" w:color="auto"/>
            </w:tcBorders>
            <w:shd w:val="clear" w:color="auto" w:fill="auto"/>
            <w:vAlign w:val="center"/>
          </w:tcPr>
          <w:p w:rsidR="0035132E" w:rsidRPr="00226E9E" w:rsidRDefault="0035132E" w:rsidP="003E2FEA">
            <w:pPr>
              <w:pStyle w:val="Tabletext"/>
              <w:rPr>
                <w:sz w:val="22"/>
              </w:rPr>
            </w:pPr>
            <w:r w:rsidRPr="00226E9E">
              <w:rPr>
                <w:sz w:val="22"/>
              </w:rPr>
              <w:t>Endangered</w:t>
            </w:r>
          </w:p>
        </w:tc>
      </w:tr>
    </w:tbl>
    <w:p w:rsidR="0035132E" w:rsidRDefault="0035132E" w:rsidP="003E2FEA">
      <w:pPr>
        <w:pStyle w:val="Heading2"/>
        <w:rPr>
          <w:sz w:val="22"/>
        </w:rPr>
      </w:pPr>
      <w:bookmarkStart w:id="65" w:name="_Toc369262173"/>
    </w:p>
    <w:p w:rsidR="0035132E" w:rsidRPr="00A26CAC" w:rsidRDefault="0035132E" w:rsidP="00A26CAC">
      <w:pPr>
        <w:pStyle w:val="Heading2"/>
      </w:pPr>
      <w:bookmarkStart w:id="66" w:name="_Toc256000010"/>
      <w:bookmarkStart w:id="67" w:name="_Toc414615094"/>
      <w:bookmarkStart w:id="68" w:name="_Toc445307801"/>
      <w:r w:rsidRPr="00A26CAC">
        <w:t>2.</w:t>
      </w:r>
      <w:r w:rsidR="00A26CAC">
        <w:t>2</w:t>
      </w:r>
      <w:r w:rsidRPr="00A26CAC">
        <w:tab/>
        <w:t xml:space="preserve">Plains-wanderer Recovery </w:t>
      </w:r>
      <w:bookmarkEnd w:id="65"/>
      <w:r w:rsidRPr="00A26CAC">
        <w:t>Team</w:t>
      </w:r>
      <w:bookmarkEnd w:id="66"/>
      <w:bookmarkEnd w:id="67"/>
      <w:bookmarkEnd w:id="68"/>
    </w:p>
    <w:p w:rsidR="00C73A51" w:rsidRDefault="0035132E" w:rsidP="003E2FEA">
      <w:pPr>
        <w:rPr>
          <w:sz w:val="22"/>
        </w:rPr>
      </w:pPr>
      <w:r w:rsidRPr="00226E9E">
        <w:rPr>
          <w:sz w:val="22"/>
        </w:rPr>
        <w:t>Recovery teams provide advice and assist</w:t>
      </w:r>
      <w:r w:rsidR="00C73A51">
        <w:rPr>
          <w:sz w:val="22"/>
        </w:rPr>
        <w:t>ance</w:t>
      </w:r>
      <w:r w:rsidRPr="00226E9E">
        <w:rPr>
          <w:sz w:val="22"/>
        </w:rPr>
        <w:t xml:space="preserve"> in coordinating actions described in recovery plans. They include representatives from organisations with a direct interest in the recovery of the species, including those involved in funding and those participating in actions that support the recovery of the species. </w:t>
      </w:r>
      <w:r w:rsidR="00384D86">
        <w:rPr>
          <w:sz w:val="22"/>
        </w:rPr>
        <w:t>Members are committed to the conservation of the species and the achievement of recovery objectives and implementation of recovery strategies.</w:t>
      </w:r>
    </w:p>
    <w:p w:rsidR="0035132E" w:rsidRPr="00226E9E" w:rsidRDefault="0035132E" w:rsidP="003E2FEA">
      <w:pPr>
        <w:rPr>
          <w:sz w:val="22"/>
        </w:rPr>
      </w:pPr>
      <w:r w:rsidRPr="00226E9E">
        <w:rPr>
          <w:sz w:val="22"/>
        </w:rPr>
        <w:t xml:space="preserve">The Plains-wanderer Recovery Team </w:t>
      </w:r>
      <w:r w:rsidRPr="00226E9E">
        <w:rPr>
          <w:rFonts w:cs="Arial"/>
          <w:sz w:val="22"/>
        </w:rPr>
        <w:t xml:space="preserve">(PwRT) </w:t>
      </w:r>
      <w:r w:rsidRPr="00226E9E">
        <w:rPr>
          <w:sz w:val="22"/>
        </w:rPr>
        <w:t>has the responsibility of prov</w:t>
      </w:r>
      <w:r w:rsidR="00384D86">
        <w:rPr>
          <w:sz w:val="22"/>
        </w:rPr>
        <w:t>iding advice</w:t>
      </w:r>
      <w:r w:rsidRPr="00226E9E">
        <w:rPr>
          <w:sz w:val="22"/>
        </w:rPr>
        <w:t xml:space="preserve"> and coordinating the implementation of the recovery actions outlined in this recovery plan. The membership of this recovery team </w:t>
      </w:r>
      <w:r w:rsidR="00C33BE6">
        <w:rPr>
          <w:sz w:val="22"/>
        </w:rPr>
        <w:t xml:space="preserve">may </w:t>
      </w:r>
      <w:r w:rsidRPr="00226E9E">
        <w:rPr>
          <w:sz w:val="22"/>
        </w:rPr>
        <w:t>include individuals with relevant expertise from</w:t>
      </w:r>
      <w:r w:rsidRPr="00226E9E">
        <w:rPr>
          <w:rFonts w:ascii="Times New Roman" w:hAnsi="Times New Roman"/>
          <w:sz w:val="22"/>
        </w:rPr>
        <w:t xml:space="preserve"> </w:t>
      </w:r>
      <w:r w:rsidRPr="00226E9E">
        <w:rPr>
          <w:sz w:val="22"/>
        </w:rPr>
        <w:t>the Department of the Environment (DotE), the Office of Environment and Heritage (NSW) (OEH),</w:t>
      </w:r>
      <w:r>
        <w:rPr>
          <w:sz w:val="22"/>
        </w:rPr>
        <w:t xml:space="preserve"> </w:t>
      </w:r>
      <w:r w:rsidRPr="00226E9E">
        <w:rPr>
          <w:sz w:val="22"/>
        </w:rPr>
        <w:t>the Department of Environment, Land, Water and Planning (Vic) (DELWP), the Department of Environment, Water and Natural Resources (SA) (DEWNR), the Department of Environment and Heritage Protection (Qld) (</w:t>
      </w:r>
      <w:r w:rsidR="00887DE7">
        <w:rPr>
          <w:sz w:val="22"/>
        </w:rPr>
        <w:t>D</w:t>
      </w:r>
      <w:r w:rsidRPr="00226E9E">
        <w:rPr>
          <w:sz w:val="22"/>
        </w:rPr>
        <w:t xml:space="preserve">EHP), Parks Victoria (PV), </w:t>
      </w:r>
      <w:r>
        <w:rPr>
          <w:sz w:val="22"/>
        </w:rPr>
        <w:t xml:space="preserve">Melbourne Zoo, </w:t>
      </w:r>
      <w:r w:rsidRPr="00226E9E">
        <w:rPr>
          <w:sz w:val="22"/>
        </w:rPr>
        <w:t>North Central Catchment Management Authority (NCCMA), Murray Local Land Services (MLLS), Riverina Local Land Services (RLLS), BirdLife Australia, Bush Heritage Australia</w:t>
      </w:r>
      <w:r>
        <w:rPr>
          <w:sz w:val="22"/>
        </w:rPr>
        <w:t xml:space="preserve"> (BHA)</w:t>
      </w:r>
      <w:r w:rsidRPr="00226E9E">
        <w:rPr>
          <w:sz w:val="22"/>
        </w:rPr>
        <w:t>, Trust for Nature Victoria, Country Fire Authority, independent researchers, community groups and landholders</w:t>
      </w:r>
      <w:r w:rsidR="00C33BE6">
        <w:rPr>
          <w:sz w:val="22"/>
        </w:rPr>
        <w:t xml:space="preserve">. Membership of the Recovery Team may </w:t>
      </w:r>
      <w:r w:rsidRPr="00226E9E">
        <w:rPr>
          <w:sz w:val="22"/>
        </w:rPr>
        <w:t>change over time.</w:t>
      </w:r>
    </w:p>
    <w:p w:rsidR="00D1406A" w:rsidRDefault="00D1406A">
      <w:pPr>
        <w:spacing w:after="0" w:line="240" w:lineRule="auto"/>
        <w:rPr>
          <w:rFonts w:ascii="Times New Roman" w:hAnsi="Times New Roman" w:cs="Arial"/>
          <w:caps/>
          <w:color w:val="E36C0A" w:themeColor="accent6" w:themeShade="BF"/>
          <w:sz w:val="40"/>
          <w:szCs w:val="40"/>
        </w:rPr>
      </w:pPr>
      <w:bookmarkStart w:id="69" w:name="_Toc256000012"/>
      <w:bookmarkStart w:id="70" w:name="_Toc414615095"/>
      <w:r>
        <w:br w:type="page"/>
      </w:r>
    </w:p>
    <w:p w:rsidR="0035132E" w:rsidRPr="001E4F0B" w:rsidRDefault="0035132E" w:rsidP="003E2FEA">
      <w:pPr>
        <w:pStyle w:val="Heading1"/>
      </w:pPr>
      <w:bookmarkStart w:id="71" w:name="_Toc445307802"/>
      <w:r w:rsidRPr="001E4F0B">
        <w:t>3</w:t>
      </w:r>
      <w:r w:rsidRPr="001E4F0B">
        <w:tab/>
        <w:t>B</w:t>
      </w:r>
      <w:bookmarkEnd w:id="69"/>
      <w:bookmarkEnd w:id="70"/>
      <w:r w:rsidR="00A26CAC">
        <w:t>ackground</w:t>
      </w:r>
      <w:bookmarkEnd w:id="71"/>
    </w:p>
    <w:p w:rsidR="0035132E" w:rsidRPr="00A26CAC" w:rsidRDefault="0035132E" w:rsidP="00A26CAC">
      <w:pPr>
        <w:pStyle w:val="Heading2"/>
        <w:rPr>
          <w:highlight w:val="yellow"/>
        </w:rPr>
      </w:pPr>
      <w:bookmarkStart w:id="72" w:name="_Toc256000013"/>
      <w:bookmarkStart w:id="73" w:name="_Toc414615096"/>
      <w:bookmarkStart w:id="74" w:name="_Toc445307803"/>
      <w:r w:rsidRPr="00A26CAC">
        <w:t xml:space="preserve">3.1 </w:t>
      </w:r>
      <w:r w:rsidRPr="00A26CAC">
        <w:tab/>
        <w:t>Species description</w:t>
      </w:r>
      <w:bookmarkEnd w:id="72"/>
      <w:bookmarkEnd w:id="73"/>
      <w:bookmarkEnd w:id="74"/>
    </w:p>
    <w:p w:rsidR="0035132E" w:rsidRDefault="0035132E" w:rsidP="003E2FEA">
      <w:pPr>
        <w:rPr>
          <w:sz w:val="22"/>
        </w:rPr>
      </w:pPr>
      <w:r w:rsidRPr="00226E9E">
        <w:rPr>
          <w:sz w:val="22"/>
        </w:rPr>
        <w:t>The plains-wanderer is a small, quail-like bird that, when fully grown, measures 15-19 cm in length, has a wing-span of 28-36 cm, and has a mass of 40-80 g</w:t>
      </w:r>
      <w:r w:rsidR="00C73A51">
        <w:rPr>
          <w:sz w:val="22"/>
        </w:rPr>
        <w:t>rams</w:t>
      </w:r>
      <w:r w:rsidRPr="00226E9E">
        <w:rPr>
          <w:sz w:val="22"/>
        </w:rPr>
        <w:t xml:space="preserve"> in males and 55-95 g</w:t>
      </w:r>
      <w:r w:rsidR="00C73A51">
        <w:rPr>
          <w:sz w:val="22"/>
        </w:rPr>
        <w:t xml:space="preserve">rams </w:t>
      </w:r>
      <w:r w:rsidRPr="00226E9E">
        <w:rPr>
          <w:sz w:val="22"/>
        </w:rPr>
        <w:t>in females (Marchant &amp; Higgins, 1993). In adult plumage, the sexes differ in appearance. The males are light brown or buff above and mostly buff to orange-buff below, they have white and blackish markings over the body, spots and streaks on the head and neck and a white unmarked belly. The females have a broad black collar around the neck, with white streaks and spots, and a broad rufous patch on the upper breast. The females are also more brightly coloured than the males, and tend to be more yellow on the bill, iris, legs and feet, especially during the breeding season when the bill and legs can become orange-yellow (Marchant &amp; Higgins, 1993). Juveniles resemble adult males, but they can be distinguished until 14 weeks of age by heavy dark-brown spotting (crescents) on their lower breast and flanks (Crome &amp; Rushton, 1975</w:t>
      </w:r>
      <w:r>
        <w:rPr>
          <w:sz w:val="22"/>
        </w:rPr>
        <w:t xml:space="preserve">). </w:t>
      </w:r>
    </w:p>
    <w:p w:rsidR="0035132E" w:rsidRPr="00A26CAC" w:rsidRDefault="0035132E" w:rsidP="00A26CAC">
      <w:pPr>
        <w:pStyle w:val="Heading2"/>
      </w:pPr>
      <w:bookmarkStart w:id="75" w:name="_Toc256000014"/>
      <w:bookmarkStart w:id="76" w:name="_Toc405460893"/>
      <w:bookmarkStart w:id="77" w:name="_Toc414615097"/>
      <w:bookmarkStart w:id="78" w:name="_Toc445307804"/>
      <w:r w:rsidRPr="00A26CAC">
        <w:t>3.2</w:t>
      </w:r>
      <w:r w:rsidRPr="00A26CAC">
        <w:tab/>
        <w:t>Distribution</w:t>
      </w:r>
      <w:bookmarkEnd w:id="75"/>
      <w:bookmarkEnd w:id="76"/>
      <w:bookmarkEnd w:id="77"/>
      <w:bookmarkEnd w:id="78"/>
    </w:p>
    <w:p w:rsidR="00C73A51" w:rsidRDefault="0035132E" w:rsidP="003E2FEA">
      <w:pPr>
        <w:rPr>
          <w:sz w:val="22"/>
        </w:rPr>
      </w:pPr>
      <w:r w:rsidRPr="00226E9E">
        <w:rPr>
          <w:sz w:val="22"/>
        </w:rPr>
        <w:t>The plains-wanderer is usually seen singly, especially during the non-breeding season, but may also occur in pairs and in small family groups of up to five birds (Baker-Gabb, 1987; Bennett, 1983; Harrington et al.</w:t>
      </w:r>
      <w:r w:rsidRPr="00226E9E">
        <w:rPr>
          <w:i/>
          <w:sz w:val="22"/>
        </w:rPr>
        <w:t xml:space="preserve">, </w:t>
      </w:r>
      <w:r w:rsidRPr="00226E9E">
        <w:rPr>
          <w:sz w:val="22"/>
        </w:rPr>
        <w:t>1988; Marchant &amp; Higgins, 1993). The plains-wanderer occurs at scattered sites in Queensland,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Victoria and S</w:t>
      </w:r>
      <w:r>
        <w:rPr>
          <w:sz w:val="22"/>
        </w:rPr>
        <w:t xml:space="preserve">outh </w:t>
      </w:r>
      <w:r w:rsidRPr="00226E9E">
        <w:rPr>
          <w:sz w:val="22"/>
        </w:rPr>
        <w:t>A</w:t>
      </w:r>
      <w:r>
        <w:rPr>
          <w:sz w:val="22"/>
        </w:rPr>
        <w:t>ustralia</w:t>
      </w:r>
      <w:r w:rsidRPr="00226E9E">
        <w:rPr>
          <w:sz w:val="22"/>
        </w:rPr>
        <w:t xml:space="preserve"> (Baker-Gabb, 1990a; Baker-Gabb et al.</w:t>
      </w:r>
      <w:r w:rsidRPr="00226E9E">
        <w:rPr>
          <w:i/>
          <w:sz w:val="22"/>
        </w:rPr>
        <w:t>,</w:t>
      </w:r>
      <w:r w:rsidRPr="00226E9E">
        <w:rPr>
          <w:sz w:val="22"/>
        </w:rPr>
        <w:t xml:space="preserve"> 1990; Barrett et al., 2003; Bennett, 1983). There have also been unconfirmed records of the species in the Northern Territory (Bennett, 1983; Blakers et al.</w:t>
      </w:r>
      <w:r>
        <w:rPr>
          <w:sz w:val="22"/>
        </w:rPr>
        <w:t>, 1</w:t>
      </w:r>
      <w:r w:rsidRPr="00226E9E">
        <w:rPr>
          <w:sz w:val="22"/>
        </w:rPr>
        <w:t>984). The primary 'stronghold' of the species is the Riverina region of south-western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xml:space="preserve"> (Baker-Gabb et al., 1990; Bennett, 1983) with the north-central region of Victoria providing a secondary stronghold. </w:t>
      </w:r>
      <w:r w:rsidR="00887DE7">
        <w:rPr>
          <w:sz w:val="22"/>
        </w:rPr>
        <w:t>Astrebla Downs</w:t>
      </w:r>
      <w:r w:rsidR="00F07F32">
        <w:rPr>
          <w:sz w:val="22"/>
        </w:rPr>
        <w:t xml:space="preserve"> National Park</w:t>
      </w:r>
      <w:r w:rsidR="00887DE7">
        <w:rPr>
          <w:sz w:val="22"/>
        </w:rPr>
        <w:t xml:space="preserve"> </w:t>
      </w:r>
      <w:r w:rsidR="00F07F32">
        <w:rPr>
          <w:sz w:val="22"/>
        </w:rPr>
        <w:t>and</w:t>
      </w:r>
      <w:r w:rsidR="00887DE7">
        <w:rPr>
          <w:sz w:val="22"/>
        </w:rPr>
        <w:t xml:space="preserve"> Diamantina </w:t>
      </w:r>
      <w:r w:rsidR="00F07F32">
        <w:rPr>
          <w:sz w:val="22"/>
        </w:rPr>
        <w:t xml:space="preserve">Lakes National Park represent </w:t>
      </w:r>
      <w:r w:rsidR="00887DE7">
        <w:rPr>
          <w:sz w:val="22"/>
        </w:rPr>
        <w:t>area</w:t>
      </w:r>
      <w:r w:rsidR="00F07F32">
        <w:rPr>
          <w:sz w:val="22"/>
        </w:rPr>
        <w:t>s</w:t>
      </w:r>
      <w:r w:rsidR="00887DE7">
        <w:rPr>
          <w:sz w:val="22"/>
        </w:rPr>
        <w:t xml:space="preserve"> of high im</w:t>
      </w:r>
      <w:r w:rsidR="00F07F32">
        <w:rPr>
          <w:sz w:val="22"/>
        </w:rPr>
        <w:t>portance for the species in Queensland</w:t>
      </w:r>
      <w:r w:rsidR="00874A8B">
        <w:rPr>
          <w:sz w:val="22"/>
        </w:rPr>
        <w:t>, with potential plains-wanderer habitat linking these Queensland Channel Country sites to the Riverina region of New South Wales</w:t>
      </w:r>
      <w:r w:rsidR="00F07F32">
        <w:rPr>
          <w:sz w:val="22"/>
        </w:rPr>
        <w:t>.</w:t>
      </w:r>
      <w:r w:rsidR="00887DE7">
        <w:rPr>
          <w:sz w:val="22"/>
        </w:rPr>
        <w:t xml:space="preserve"> </w:t>
      </w:r>
    </w:p>
    <w:p w:rsidR="00C73A51" w:rsidRDefault="0035132E" w:rsidP="003E2FEA">
      <w:pPr>
        <w:rPr>
          <w:sz w:val="22"/>
        </w:rPr>
      </w:pPr>
      <w:r w:rsidRPr="00226E9E">
        <w:rPr>
          <w:sz w:val="22"/>
        </w:rPr>
        <w:t>The distribution of the plains-wanderer was formerly more widespread; there are historical records from central, south-western and south-eastern Queensland; eastern, central and western New South Wales, mainly in the south; central and western Victoria; and south-eastern and inland South Australia (Bennett, 1983; Blakers et al., 1984; D'Ombrain, 1926; Llewellyn, 1975). The species is now mostly recorded from some smaller areas of critical habitat in south-western Queensland, south-western New South Wales, north-central Victoria, and north-eastern South Australia (Baker-Gabb, 1990a, 2002b; Baker-Gabb et al., 1990; Barrett et al., 2003; Bennett, 1983).</w:t>
      </w:r>
    </w:p>
    <w:p w:rsidR="0035132E" w:rsidRPr="00226E9E" w:rsidRDefault="0035132E" w:rsidP="003B20C9">
      <w:pPr>
        <w:autoSpaceDE w:val="0"/>
        <w:rPr>
          <w:sz w:val="22"/>
        </w:rPr>
      </w:pPr>
      <w:r w:rsidRPr="00226E9E">
        <w:rPr>
          <w:sz w:val="22"/>
        </w:rPr>
        <w:t>The extent of occurrence for the species is estimated to be 930 000 km</w:t>
      </w:r>
      <w:r w:rsidR="003B20C9">
        <w:rPr>
          <w:rFonts w:ascii="ZWAdobeF" w:hAnsi="ZWAdobeF" w:cs="ZWAdobeF"/>
          <w:sz w:val="2"/>
          <w:szCs w:val="2"/>
        </w:rPr>
        <w:t>P</w:t>
      </w:r>
      <w:r w:rsidRPr="00226E9E">
        <w:rPr>
          <w:sz w:val="22"/>
          <w:vertAlign w:val="superscript"/>
        </w:rPr>
        <w:t xml:space="preserve">2 </w:t>
      </w:r>
      <w:proofErr w:type="gramStart"/>
      <w:r w:rsidR="003B20C9">
        <w:rPr>
          <w:rFonts w:ascii="ZWAdobeF" w:hAnsi="ZWAdobeF" w:cs="ZWAdobeF"/>
          <w:sz w:val="2"/>
          <w:szCs w:val="2"/>
        </w:rPr>
        <w:t>P</w:t>
      </w:r>
      <w:r w:rsidRPr="00226E9E">
        <w:rPr>
          <w:sz w:val="22"/>
        </w:rPr>
        <w:t>(</w:t>
      </w:r>
      <w:proofErr w:type="gramEnd"/>
      <w:r w:rsidRPr="00226E9E">
        <w:rPr>
          <w:sz w:val="22"/>
        </w:rPr>
        <w:t xml:space="preserve">Garnett et al., 2011). The extent of occurrence is likely to be stable at present (Garnett et al., 2011), but it has declined markedly since European settlement. </w:t>
      </w:r>
      <w:r>
        <w:rPr>
          <w:sz w:val="22"/>
        </w:rPr>
        <w:t xml:space="preserve">Garnett et al. (2011) estimated the </w:t>
      </w:r>
      <w:r w:rsidRPr="00226E9E">
        <w:rPr>
          <w:sz w:val="22"/>
        </w:rPr>
        <w:t>area of occupancy to be 330 km</w:t>
      </w:r>
      <w:r w:rsidR="003B20C9">
        <w:rPr>
          <w:rFonts w:ascii="ZWAdobeF" w:hAnsi="ZWAdobeF" w:cs="ZWAdobeF"/>
          <w:sz w:val="2"/>
          <w:szCs w:val="2"/>
        </w:rPr>
        <w:t>P</w:t>
      </w:r>
      <w:r w:rsidRPr="00226E9E">
        <w:rPr>
          <w:sz w:val="22"/>
          <w:vertAlign w:val="superscript"/>
        </w:rPr>
        <w:t>2</w:t>
      </w:r>
      <w:r w:rsidR="003B20C9">
        <w:rPr>
          <w:rFonts w:ascii="ZWAdobeF" w:hAnsi="ZWAdobeF" w:cs="ZWAdobeF"/>
          <w:sz w:val="2"/>
          <w:szCs w:val="2"/>
        </w:rPr>
        <w:t>P</w:t>
      </w:r>
      <w:r>
        <w:rPr>
          <w:sz w:val="22"/>
        </w:rPr>
        <w:t>, with a continuing declining trend</w:t>
      </w:r>
      <w:r w:rsidRPr="00226E9E">
        <w:rPr>
          <w:sz w:val="22"/>
        </w:rPr>
        <w:t xml:space="preserve">. </w:t>
      </w:r>
    </w:p>
    <w:p w:rsidR="00A26CAC" w:rsidRDefault="00A26CAC">
      <w:pPr>
        <w:spacing w:after="0" w:line="240" w:lineRule="auto"/>
        <w:rPr>
          <w:rFonts w:cs="Arial"/>
          <w:color w:val="7F7F7F" w:themeColor="text1" w:themeTint="80"/>
          <w:sz w:val="32"/>
        </w:rPr>
      </w:pPr>
      <w:bookmarkStart w:id="79" w:name="_Toc256000015"/>
      <w:bookmarkStart w:id="80" w:name="_Toc414615098"/>
      <w:r>
        <w:br w:type="page"/>
      </w:r>
    </w:p>
    <w:p w:rsidR="0035132E" w:rsidRPr="00A26CAC" w:rsidRDefault="0035132E" w:rsidP="00A26CAC">
      <w:pPr>
        <w:pStyle w:val="Heading2"/>
        <w:rPr>
          <w:highlight w:val="yellow"/>
        </w:rPr>
      </w:pPr>
      <w:bookmarkStart w:id="81" w:name="_Toc445307805"/>
      <w:r w:rsidRPr="00A26CAC">
        <w:t>3.3</w:t>
      </w:r>
      <w:r w:rsidRPr="00A26CAC">
        <w:tab/>
        <w:t>Population trends</w:t>
      </w:r>
      <w:bookmarkEnd w:id="79"/>
      <w:bookmarkEnd w:id="80"/>
      <w:bookmarkEnd w:id="81"/>
    </w:p>
    <w:p w:rsidR="0035132E" w:rsidRPr="00226E9E" w:rsidRDefault="0035132E" w:rsidP="003E2FEA">
      <w:pPr>
        <w:rPr>
          <w:sz w:val="22"/>
        </w:rPr>
      </w:pPr>
      <w:r w:rsidRPr="00226E9E">
        <w:rPr>
          <w:sz w:val="22"/>
        </w:rPr>
        <w:t xml:space="preserve">The plains-wanderer was formerly much more common and widespread (Bennett, 1983; Blakers et al., 1984; D'Ombrain, 1926; Llewellyn, 1975), but its distribution and population size have declined markedly due to the loss and degradation of sparse, lowland native grasslands, which are its preferred habitat (Baker-Gabb, 2002b; Baker-Gabb et al., 1990; Bennett, 1983). The loss of habitat is ongoing (NPWS, 2001; Webster, 2000), and recent surveys (Parker &amp; Baker-Gabb, 2013; Radford et al., 2013) have shown that the species is likely to be more scarce now than it was in the 1990s. </w:t>
      </w:r>
    </w:p>
    <w:p w:rsidR="0035132E" w:rsidRPr="006A5938" w:rsidRDefault="0035132E" w:rsidP="006A5938">
      <w:r w:rsidRPr="00226E9E">
        <w:rPr>
          <w:sz w:val="22"/>
        </w:rPr>
        <w:t xml:space="preserve">Within the Patho Plains of Victoria the plains-wanderer population was estimated to have undergone a reduction in numbers of greater than 90% between 2010 and 2012 (Radford et al., 2013) and by 2014 </w:t>
      </w:r>
      <w:r w:rsidR="00B77F2A">
        <w:rPr>
          <w:sz w:val="22"/>
        </w:rPr>
        <w:t xml:space="preserve">the </w:t>
      </w:r>
      <w:r w:rsidRPr="00226E9E">
        <w:rPr>
          <w:sz w:val="22"/>
        </w:rPr>
        <w:t xml:space="preserve">population on ten private paddocks on the Patho Plains are estimated to have </w:t>
      </w:r>
      <w:r w:rsidR="00B77F2A">
        <w:rPr>
          <w:sz w:val="22"/>
        </w:rPr>
        <w:t>declined by</w:t>
      </w:r>
      <w:r w:rsidRPr="00226E9E">
        <w:rPr>
          <w:sz w:val="22"/>
        </w:rPr>
        <w:t xml:space="preserve"> approximately 95% </w:t>
      </w:r>
      <w:r w:rsidR="00B77F2A">
        <w:rPr>
          <w:sz w:val="22"/>
        </w:rPr>
        <w:t xml:space="preserve">since 2010 </w:t>
      </w:r>
      <w:r w:rsidRPr="00226E9E">
        <w:rPr>
          <w:sz w:val="22"/>
        </w:rPr>
        <w:t xml:space="preserve">(Baker-Gabb, 2014). Declines in numbers also appear to be similar for populations in Terrick Terrick National Park (Antos, 2014) and Avoca Plains (Baker-Gabb, 2012). </w:t>
      </w:r>
      <w:r w:rsidR="00961052">
        <w:rPr>
          <w:sz w:val="22"/>
        </w:rPr>
        <w:t xml:space="preserve">Following several surveys during which there were no </w:t>
      </w:r>
      <w:r w:rsidR="006A5938" w:rsidRPr="00226E9E">
        <w:rPr>
          <w:sz w:val="22"/>
        </w:rPr>
        <w:t>records of birds breeding on the Patho Plains or Avoca Plains (Baker-Gabb, 2014)</w:t>
      </w:r>
      <w:r w:rsidR="006A5938">
        <w:rPr>
          <w:sz w:val="22"/>
        </w:rPr>
        <w:t xml:space="preserve">, </w:t>
      </w:r>
      <w:r w:rsidR="00961052">
        <w:rPr>
          <w:sz w:val="22"/>
        </w:rPr>
        <w:t xml:space="preserve">a sub-adult pair was observed in late 2014, </w:t>
      </w:r>
      <w:r w:rsidR="006A5938">
        <w:rPr>
          <w:sz w:val="22"/>
        </w:rPr>
        <w:t xml:space="preserve">a male </w:t>
      </w:r>
      <w:r w:rsidR="00961052">
        <w:rPr>
          <w:sz w:val="22"/>
        </w:rPr>
        <w:t xml:space="preserve">with four chicks </w:t>
      </w:r>
      <w:r w:rsidR="006A5938">
        <w:rPr>
          <w:sz w:val="22"/>
        </w:rPr>
        <w:t xml:space="preserve">was observed </w:t>
      </w:r>
      <w:r w:rsidR="00961052">
        <w:rPr>
          <w:sz w:val="22"/>
        </w:rPr>
        <w:t xml:space="preserve">in early 2015 and a nest with eggs was recorded in late 2015, </w:t>
      </w:r>
      <w:r w:rsidR="006A5938">
        <w:rPr>
          <w:sz w:val="22"/>
        </w:rPr>
        <w:t xml:space="preserve">indicating that limited breeding has again been occurring </w:t>
      </w:r>
      <w:r w:rsidR="00961052">
        <w:rPr>
          <w:sz w:val="22"/>
        </w:rPr>
        <w:t xml:space="preserve">in these areas </w:t>
      </w:r>
      <w:r w:rsidR="006A5938">
        <w:rPr>
          <w:sz w:val="22"/>
        </w:rPr>
        <w:t>(Antos, 2015)</w:t>
      </w:r>
      <w:r w:rsidR="006A5938" w:rsidRPr="00226E9E">
        <w:rPr>
          <w:sz w:val="22"/>
        </w:rPr>
        <w:t>.</w:t>
      </w:r>
      <w:r w:rsidR="006A5938">
        <w:rPr>
          <w:sz w:val="22"/>
        </w:rPr>
        <w:t xml:space="preserve"> </w:t>
      </w:r>
      <w:r w:rsidRPr="00226E9E">
        <w:rPr>
          <w:sz w:val="22"/>
        </w:rPr>
        <w:t xml:space="preserve">Two possible hypotheses are proposed to explain </w:t>
      </w:r>
      <w:r w:rsidR="00CB7994" w:rsidRPr="00226E9E">
        <w:rPr>
          <w:sz w:val="22"/>
        </w:rPr>
        <w:t>th</w:t>
      </w:r>
      <w:r w:rsidR="00CB7994">
        <w:rPr>
          <w:sz w:val="22"/>
        </w:rPr>
        <w:t>e reduction in numbers in Victoria</w:t>
      </w:r>
      <w:r w:rsidRPr="00226E9E">
        <w:rPr>
          <w:sz w:val="22"/>
        </w:rPr>
        <w:t xml:space="preserve">; either the Victorian population has undergone a mass migration or it has experienced mass mortality (Radford et al., 2013). While there may be suitable habitat within inland Australia into which the Victorian plains-wanderer population could have migrated, there </w:t>
      </w:r>
      <w:r w:rsidR="008E59C4">
        <w:rPr>
          <w:sz w:val="22"/>
        </w:rPr>
        <w:t>is</w:t>
      </w:r>
      <w:r w:rsidRPr="00226E9E">
        <w:rPr>
          <w:sz w:val="22"/>
        </w:rPr>
        <w:t xml:space="preserve"> no evidence for this (</w:t>
      </w:r>
      <w:r w:rsidR="0079539F">
        <w:rPr>
          <w:sz w:val="22"/>
        </w:rPr>
        <w:t>Antos, 2013</w:t>
      </w:r>
      <w:r w:rsidR="00B850CB">
        <w:rPr>
          <w:sz w:val="22"/>
        </w:rPr>
        <w:t>b</w:t>
      </w:r>
      <w:r w:rsidR="0079539F">
        <w:rPr>
          <w:sz w:val="22"/>
        </w:rPr>
        <w:t xml:space="preserve">; </w:t>
      </w:r>
      <w:r w:rsidRPr="00226E9E">
        <w:rPr>
          <w:sz w:val="22"/>
        </w:rPr>
        <w:t xml:space="preserve">Radford et al., 2013). </w:t>
      </w:r>
    </w:p>
    <w:p w:rsidR="0035132E" w:rsidRPr="00226E9E" w:rsidRDefault="0035132E" w:rsidP="003E2FEA">
      <w:pPr>
        <w:rPr>
          <w:sz w:val="22"/>
        </w:rPr>
      </w:pPr>
      <w:r w:rsidRPr="00226E9E">
        <w:rPr>
          <w:sz w:val="22"/>
        </w:rPr>
        <w:t>Within the Riverina region of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xml:space="preserve"> the plains-wanderer population was estimated to have undergone a reduction in numbers of approximately 75% during the 2002 drought, after which time there was only minor, staged increases in numbers between 2004 to 2010 (Parker &amp; Baker-Gabb, 2013). Further population declines in the Riverina population of plains-wanderer subsequently occurred following the increased rainfalls experienced from late 2010 to 201</w:t>
      </w:r>
      <w:r w:rsidR="00360774">
        <w:rPr>
          <w:sz w:val="22"/>
        </w:rPr>
        <w:t>2</w:t>
      </w:r>
      <w:r w:rsidRPr="00226E9E">
        <w:rPr>
          <w:sz w:val="22"/>
        </w:rPr>
        <w:t xml:space="preserve"> (Parker &amp; Baker-Gabb, 2013).</w:t>
      </w:r>
      <w:r w:rsidRPr="00226E9E">
        <w:rPr>
          <w:rFonts w:cs="Calibri"/>
          <w:sz w:val="22"/>
        </w:rPr>
        <w:t xml:space="preserve"> Recent analysis of monitoring data collected between 2001 and 2014 indicates that there </w:t>
      </w:r>
      <w:r w:rsidR="00B77F2A">
        <w:rPr>
          <w:rFonts w:cs="Calibri"/>
          <w:sz w:val="22"/>
        </w:rPr>
        <w:t>was</w:t>
      </w:r>
      <w:r w:rsidRPr="00226E9E">
        <w:rPr>
          <w:rFonts w:cs="Calibri"/>
          <w:sz w:val="22"/>
        </w:rPr>
        <w:t xml:space="preserve"> an overall decline in numbers of 93% across sites </w:t>
      </w:r>
      <w:r w:rsidR="008E59C4">
        <w:rPr>
          <w:rFonts w:cs="Calibri"/>
          <w:sz w:val="22"/>
        </w:rPr>
        <w:t>in</w:t>
      </w:r>
      <w:r w:rsidRPr="00226E9E">
        <w:rPr>
          <w:rFonts w:cs="Calibri"/>
          <w:sz w:val="22"/>
        </w:rPr>
        <w:t xml:space="preserve"> the Riverina region over this time period (Wilson et al., 2014).</w:t>
      </w:r>
    </w:p>
    <w:p w:rsidR="0035132E" w:rsidRPr="00226E9E" w:rsidRDefault="0035132E" w:rsidP="003E2FEA">
      <w:pPr>
        <w:rPr>
          <w:sz w:val="22"/>
        </w:rPr>
      </w:pPr>
      <w:r w:rsidRPr="00226E9E">
        <w:rPr>
          <w:sz w:val="22"/>
        </w:rPr>
        <w:t>The size of the plains-wanderer population is likely to vary with seasonal conditions. Studies by Baker-Gabb et al (1990) indicated that the Riverina population of plains-wanderer could vary by up to 80% from year to year in times of drought. Previously, plains-wanderer populations have been shown to recover from population declines associated with drought conditions and localised overgrazing (Baker-Gabb et al.,</w:t>
      </w:r>
      <w:r w:rsidRPr="00226E9E">
        <w:rPr>
          <w:i/>
          <w:sz w:val="22"/>
        </w:rPr>
        <w:t xml:space="preserve"> </w:t>
      </w:r>
      <w:r w:rsidRPr="00226E9E">
        <w:rPr>
          <w:sz w:val="22"/>
        </w:rPr>
        <w:t>1990, Maher, 1997). However, Parker and Baker-Gabb (2013) noted that plains-wanderer numbers have now remained historic</w:t>
      </w:r>
      <w:r w:rsidR="00B77F2A">
        <w:rPr>
          <w:sz w:val="22"/>
        </w:rPr>
        <w:t>ally low for more than a decade</w:t>
      </w:r>
      <w:r w:rsidRPr="00226E9E">
        <w:rPr>
          <w:sz w:val="22"/>
        </w:rPr>
        <w:t>.</w:t>
      </w:r>
    </w:p>
    <w:p w:rsidR="00A26CAC" w:rsidRDefault="00A26CAC">
      <w:pPr>
        <w:spacing w:after="0" w:line="240" w:lineRule="auto"/>
        <w:rPr>
          <w:rFonts w:cs="Arial"/>
          <w:color w:val="7F7F7F" w:themeColor="text1" w:themeTint="80"/>
          <w:sz w:val="32"/>
        </w:rPr>
      </w:pPr>
      <w:bookmarkStart w:id="82" w:name="_Toc256000016"/>
      <w:bookmarkStart w:id="83" w:name="_Toc414615099"/>
      <w:r>
        <w:br w:type="page"/>
      </w:r>
    </w:p>
    <w:p w:rsidR="0035132E" w:rsidRPr="00A26CAC" w:rsidRDefault="0035132E" w:rsidP="00A26CAC">
      <w:pPr>
        <w:pStyle w:val="Heading2"/>
      </w:pPr>
      <w:bookmarkStart w:id="84" w:name="_Toc445307806"/>
      <w:r w:rsidRPr="00A26CAC">
        <w:t>3.4</w:t>
      </w:r>
      <w:r w:rsidRPr="00A26CAC">
        <w:tab/>
        <w:t>Biology and</w:t>
      </w:r>
      <w:r w:rsidR="00B56251" w:rsidRPr="00A26CAC">
        <w:t xml:space="preserve"> e</w:t>
      </w:r>
      <w:r w:rsidRPr="00A26CAC">
        <w:t>cology</w:t>
      </w:r>
      <w:bookmarkEnd w:id="82"/>
      <w:bookmarkEnd w:id="83"/>
      <w:bookmarkEnd w:id="84"/>
    </w:p>
    <w:p w:rsidR="0035132E" w:rsidRPr="00685A26" w:rsidRDefault="0035132E" w:rsidP="003E2FEA">
      <w:pPr>
        <w:pStyle w:val="Heading3"/>
        <w:rPr>
          <w:sz w:val="22"/>
        </w:rPr>
      </w:pPr>
      <w:bookmarkStart w:id="85" w:name="_Toc256000017"/>
      <w:bookmarkStart w:id="86" w:name="_Toc414615100"/>
      <w:bookmarkStart w:id="87" w:name="_Toc417633447"/>
      <w:bookmarkStart w:id="88" w:name="_Toc421182273"/>
      <w:bookmarkStart w:id="89" w:name="_Toc445307807"/>
      <w:r w:rsidRPr="00685A26">
        <w:rPr>
          <w:sz w:val="22"/>
        </w:rPr>
        <w:t>3.4.1</w:t>
      </w:r>
      <w:r w:rsidRPr="00685A26">
        <w:rPr>
          <w:sz w:val="22"/>
        </w:rPr>
        <w:tab/>
        <w:t>Longevity</w:t>
      </w:r>
      <w:bookmarkEnd w:id="85"/>
      <w:bookmarkEnd w:id="86"/>
      <w:bookmarkEnd w:id="87"/>
      <w:bookmarkEnd w:id="88"/>
      <w:bookmarkEnd w:id="89"/>
    </w:p>
    <w:p w:rsidR="0035132E" w:rsidRDefault="0035132E" w:rsidP="003E2FEA">
      <w:pPr>
        <w:rPr>
          <w:sz w:val="22"/>
        </w:rPr>
      </w:pPr>
      <w:r w:rsidRPr="00226E9E">
        <w:rPr>
          <w:sz w:val="22"/>
        </w:rPr>
        <w:t>The life expectancy of plains-wanderers in the wild is unknown (Baker-Gabb, 2002a), but in captivity they are capable of surviving for at least eight years (Baker-Gabb, 1993b).</w:t>
      </w:r>
    </w:p>
    <w:p w:rsidR="0035132E" w:rsidRPr="00685A26" w:rsidRDefault="0035132E" w:rsidP="003E2FEA">
      <w:pPr>
        <w:pStyle w:val="Heading3"/>
        <w:rPr>
          <w:sz w:val="22"/>
        </w:rPr>
      </w:pPr>
      <w:bookmarkStart w:id="90" w:name="_Toc256000018"/>
      <w:bookmarkStart w:id="91" w:name="_Toc414615101"/>
      <w:bookmarkStart w:id="92" w:name="_Toc417633448"/>
      <w:bookmarkStart w:id="93" w:name="_Toc421182274"/>
      <w:bookmarkStart w:id="94" w:name="_Toc445307808"/>
      <w:r w:rsidRPr="00685A26">
        <w:rPr>
          <w:sz w:val="22"/>
        </w:rPr>
        <w:t>3.4.2</w:t>
      </w:r>
      <w:r w:rsidRPr="00685A26">
        <w:rPr>
          <w:sz w:val="22"/>
        </w:rPr>
        <w:tab/>
        <w:t>Diet</w:t>
      </w:r>
      <w:bookmarkEnd w:id="90"/>
      <w:bookmarkEnd w:id="91"/>
      <w:bookmarkEnd w:id="92"/>
      <w:bookmarkEnd w:id="93"/>
      <w:bookmarkEnd w:id="94"/>
    </w:p>
    <w:p w:rsidR="0035132E" w:rsidRDefault="0035132E" w:rsidP="003E2FEA">
      <w:pPr>
        <w:rPr>
          <w:sz w:val="22"/>
        </w:rPr>
      </w:pPr>
      <w:r w:rsidRPr="00226E9E">
        <w:rPr>
          <w:sz w:val="22"/>
        </w:rPr>
        <w:t>The plains-wanderer feeds on a mixture of seeds</w:t>
      </w:r>
      <w:r w:rsidR="009961E8" w:rsidRPr="009961E8">
        <w:rPr>
          <w:sz w:val="22"/>
        </w:rPr>
        <w:t xml:space="preserve"> </w:t>
      </w:r>
      <w:r w:rsidR="009961E8" w:rsidRPr="00226E9E">
        <w:rPr>
          <w:sz w:val="22"/>
        </w:rPr>
        <w:t>and leaves</w:t>
      </w:r>
      <w:r w:rsidR="009961E8">
        <w:rPr>
          <w:sz w:val="22"/>
        </w:rPr>
        <w:t xml:space="preserve"> and</w:t>
      </w:r>
      <w:r w:rsidRPr="00226E9E">
        <w:rPr>
          <w:sz w:val="22"/>
        </w:rPr>
        <w:t xml:space="preserve"> invertebrates</w:t>
      </w:r>
      <w:r w:rsidR="009961E8">
        <w:rPr>
          <w:sz w:val="22"/>
        </w:rPr>
        <w:t>, with s</w:t>
      </w:r>
      <w:r w:rsidR="0093219E">
        <w:rPr>
          <w:rFonts w:cs="Arial"/>
          <w:sz w:val="22"/>
          <w:lang w:eastAsia="en-AU"/>
        </w:rPr>
        <w:t xml:space="preserve">eeds and leaves </w:t>
      </w:r>
      <w:r>
        <w:rPr>
          <w:rFonts w:cs="Arial"/>
          <w:sz w:val="22"/>
          <w:lang w:eastAsia="en-AU"/>
        </w:rPr>
        <w:t>account</w:t>
      </w:r>
      <w:r w:rsidR="009961E8">
        <w:rPr>
          <w:rFonts w:cs="Arial"/>
          <w:sz w:val="22"/>
          <w:lang w:eastAsia="en-AU"/>
        </w:rPr>
        <w:t>ing</w:t>
      </w:r>
      <w:r>
        <w:rPr>
          <w:rFonts w:cs="Arial"/>
          <w:sz w:val="22"/>
          <w:lang w:eastAsia="en-AU"/>
        </w:rPr>
        <w:t xml:space="preserve"> for </w:t>
      </w:r>
      <w:r w:rsidRPr="00BD3B0E">
        <w:rPr>
          <w:rFonts w:cs="Arial"/>
          <w:sz w:val="22"/>
          <w:lang w:eastAsia="en-AU"/>
        </w:rPr>
        <w:t>nearly 60% of the annual diet</w:t>
      </w:r>
      <w:r w:rsidR="009961E8">
        <w:rPr>
          <w:rFonts w:cs="Arial"/>
          <w:sz w:val="22"/>
          <w:lang w:eastAsia="en-AU"/>
        </w:rPr>
        <w:t xml:space="preserve">. </w:t>
      </w:r>
      <w:r w:rsidRPr="00226E9E">
        <w:rPr>
          <w:sz w:val="22"/>
        </w:rPr>
        <w:t xml:space="preserve">Seeds </w:t>
      </w:r>
      <w:r w:rsidR="0093219E">
        <w:rPr>
          <w:sz w:val="22"/>
        </w:rPr>
        <w:t xml:space="preserve">and leaves </w:t>
      </w:r>
      <w:r w:rsidRPr="00226E9E">
        <w:rPr>
          <w:sz w:val="22"/>
        </w:rPr>
        <w:t xml:space="preserve">are taken from grasses (including </w:t>
      </w:r>
      <w:r>
        <w:rPr>
          <w:sz w:val="22"/>
        </w:rPr>
        <w:t xml:space="preserve">native </w:t>
      </w:r>
      <w:r w:rsidRPr="00226E9E">
        <w:rPr>
          <w:sz w:val="22"/>
        </w:rPr>
        <w:t xml:space="preserve">species of </w:t>
      </w:r>
      <w:r w:rsidRPr="00265177">
        <w:rPr>
          <w:i/>
          <w:iCs/>
          <w:sz w:val="22"/>
        </w:rPr>
        <w:t>Austrostipa</w:t>
      </w:r>
      <w:r w:rsidRPr="00265177">
        <w:rPr>
          <w:sz w:val="22"/>
        </w:rPr>
        <w:t xml:space="preserve">, </w:t>
      </w:r>
      <w:r w:rsidRPr="00265177">
        <w:rPr>
          <w:i/>
          <w:iCs/>
          <w:sz w:val="22"/>
        </w:rPr>
        <w:t>Sporobolus</w:t>
      </w:r>
      <w:r w:rsidRPr="00265177">
        <w:rPr>
          <w:sz w:val="22"/>
        </w:rPr>
        <w:t xml:space="preserve">, </w:t>
      </w:r>
      <w:r w:rsidRPr="00265177">
        <w:rPr>
          <w:i/>
          <w:iCs/>
          <w:sz w:val="22"/>
        </w:rPr>
        <w:t>Panicum</w:t>
      </w:r>
      <w:r w:rsidRPr="00265177">
        <w:rPr>
          <w:sz w:val="22"/>
        </w:rPr>
        <w:t xml:space="preserve">, </w:t>
      </w:r>
      <w:r w:rsidRPr="00265177">
        <w:rPr>
          <w:i/>
          <w:iCs/>
          <w:sz w:val="22"/>
        </w:rPr>
        <w:t>Austrodanthonia</w:t>
      </w:r>
      <w:r w:rsidRPr="00265177">
        <w:rPr>
          <w:sz w:val="22"/>
        </w:rPr>
        <w:t xml:space="preserve">, and </w:t>
      </w:r>
      <w:r w:rsidRPr="00265177">
        <w:rPr>
          <w:i/>
          <w:iCs/>
          <w:sz w:val="22"/>
        </w:rPr>
        <w:t xml:space="preserve">Eragrostis </w:t>
      </w:r>
      <w:r w:rsidRPr="00265177">
        <w:rPr>
          <w:iCs/>
          <w:sz w:val="22"/>
        </w:rPr>
        <w:t xml:space="preserve">and occasionally exotic species of </w:t>
      </w:r>
      <w:r w:rsidRPr="00265177">
        <w:rPr>
          <w:i/>
          <w:iCs/>
          <w:sz w:val="22"/>
        </w:rPr>
        <w:t>Vulpia</w:t>
      </w:r>
      <w:r w:rsidRPr="00226E9E">
        <w:rPr>
          <w:sz w:val="22"/>
        </w:rPr>
        <w:t xml:space="preserve">), chenopods (including species of </w:t>
      </w:r>
      <w:r w:rsidRPr="00226E9E">
        <w:rPr>
          <w:i/>
          <w:iCs/>
          <w:sz w:val="22"/>
        </w:rPr>
        <w:t>Atriplex</w:t>
      </w:r>
      <w:r w:rsidRPr="00226E9E">
        <w:rPr>
          <w:sz w:val="22"/>
        </w:rPr>
        <w:t xml:space="preserve">, </w:t>
      </w:r>
      <w:r w:rsidRPr="00226E9E">
        <w:rPr>
          <w:i/>
          <w:iCs/>
          <w:sz w:val="22"/>
        </w:rPr>
        <w:t>Maireana</w:t>
      </w:r>
      <w:r w:rsidRPr="00226E9E">
        <w:rPr>
          <w:sz w:val="22"/>
        </w:rPr>
        <w:t xml:space="preserve">, </w:t>
      </w:r>
      <w:r w:rsidRPr="00226E9E">
        <w:rPr>
          <w:i/>
          <w:iCs/>
          <w:sz w:val="22"/>
        </w:rPr>
        <w:t>Chenopodium</w:t>
      </w:r>
      <w:r w:rsidRPr="00226E9E">
        <w:rPr>
          <w:sz w:val="22"/>
        </w:rPr>
        <w:t xml:space="preserve"> and </w:t>
      </w:r>
      <w:r w:rsidRPr="00226E9E">
        <w:rPr>
          <w:i/>
          <w:iCs/>
          <w:sz w:val="22"/>
        </w:rPr>
        <w:t>Sclerolaena</w:t>
      </w:r>
      <w:r w:rsidRPr="00226E9E">
        <w:rPr>
          <w:sz w:val="22"/>
        </w:rPr>
        <w:t xml:space="preserve">) and other plants (such as </w:t>
      </w:r>
      <w:r>
        <w:rPr>
          <w:sz w:val="22"/>
        </w:rPr>
        <w:t xml:space="preserve">native </w:t>
      </w:r>
      <w:r w:rsidRPr="00226E9E">
        <w:rPr>
          <w:sz w:val="22"/>
        </w:rPr>
        <w:t xml:space="preserve">species of </w:t>
      </w:r>
      <w:r w:rsidRPr="00226E9E">
        <w:rPr>
          <w:i/>
          <w:iCs/>
          <w:sz w:val="22"/>
        </w:rPr>
        <w:t>Asperula</w:t>
      </w:r>
      <w:r w:rsidRPr="00226E9E">
        <w:rPr>
          <w:sz w:val="22"/>
        </w:rPr>
        <w:t xml:space="preserve">, </w:t>
      </w:r>
      <w:r w:rsidRPr="00226E9E">
        <w:rPr>
          <w:i/>
          <w:iCs/>
          <w:sz w:val="22"/>
        </w:rPr>
        <w:t>Galium</w:t>
      </w:r>
      <w:r w:rsidRPr="00226E9E">
        <w:rPr>
          <w:sz w:val="22"/>
        </w:rPr>
        <w:t xml:space="preserve">, and </w:t>
      </w:r>
      <w:r w:rsidRPr="00265177">
        <w:rPr>
          <w:i/>
          <w:iCs/>
          <w:sz w:val="22"/>
        </w:rPr>
        <w:t xml:space="preserve">Euphorbia </w:t>
      </w:r>
      <w:r w:rsidRPr="00265177">
        <w:rPr>
          <w:iCs/>
          <w:sz w:val="22"/>
        </w:rPr>
        <w:t xml:space="preserve">and possibly exotic species of </w:t>
      </w:r>
      <w:r w:rsidRPr="00265177">
        <w:rPr>
          <w:i/>
          <w:iCs/>
          <w:sz w:val="22"/>
        </w:rPr>
        <w:t>Spergularia</w:t>
      </w:r>
      <w:r w:rsidRPr="00265177">
        <w:rPr>
          <w:sz w:val="22"/>
        </w:rPr>
        <w:t xml:space="preserve"> and </w:t>
      </w:r>
      <w:r w:rsidRPr="00265177">
        <w:rPr>
          <w:i/>
          <w:iCs/>
          <w:sz w:val="22"/>
        </w:rPr>
        <w:t>Carthamus</w:t>
      </w:r>
      <w:r w:rsidRPr="00226E9E">
        <w:rPr>
          <w:sz w:val="22"/>
        </w:rPr>
        <w:t xml:space="preserve">). </w:t>
      </w:r>
      <w:r w:rsidRPr="00BD3B0E">
        <w:rPr>
          <w:rFonts w:cs="Arial"/>
          <w:sz w:val="22"/>
          <w:lang w:eastAsia="en-AU"/>
        </w:rPr>
        <w:t>Native plants provide the majority of the seeds, while exotic species make only a minor contribution to the plains-wanderer’s diet (Baker-Gabb</w:t>
      </w:r>
      <w:r w:rsidR="00B73D92">
        <w:rPr>
          <w:rFonts w:cs="Arial"/>
          <w:sz w:val="22"/>
          <w:lang w:eastAsia="en-AU"/>
        </w:rPr>
        <w:t>,</w:t>
      </w:r>
      <w:r w:rsidRPr="00BD3B0E">
        <w:rPr>
          <w:rFonts w:cs="Arial"/>
          <w:sz w:val="22"/>
          <w:lang w:eastAsia="en-AU"/>
        </w:rPr>
        <w:t xml:space="preserve"> 1988). In</w:t>
      </w:r>
      <w:r>
        <w:rPr>
          <w:rFonts w:cs="Arial"/>
          <w:sz w:val="22"/>
          <w:lang w:eastAsia="en-AU"/>
        </w:rPr>
        <w:t>vertebrates</w:t>
      </w:r>
      <w:r w:rsidRPr="00BD3B0E">
        <w:rPr>
          <w:rFonts w:cs="Arial"/>
          <w:sz w:val="22"/>
          <w:lang w:eastAsia="en-AU"/>
        </w:rPr>
        <w:t xml:space="preserve"> </w:t>
      </w:r>
      <w:r>
        <w:rPr>
          <w:rFonts w:cs="Arial"/>
          <w:sz w:val="22"/>
          <w:lang w:eastAsia="en-AU"/>
        </w:rPr>
        <w:t>generally account for</w:t>
      </w:r>
      <w:r w:rsidRPr="00BD3B0E">
        <w:rPr>
          <w:rFonts w:cs="Arial"/>
          <w:sz w:val="22"/>
          <w:lang w:eastAsia="en-AU"/>
        </w:rPr>
        <w:t xml:space="preserve"> about 40% of the diet</w:t>
      </w:r>
      <w:r>
        <w:rPr>
          <w:rFonts w:cs="Arial"/>
          <w:sz w:val="22"/>
          <w:lang w:eastAsia="en-AU"/>
        </w:rPr>
        <w:t xml:space="preserve"> of plains-wanderers</w:t>
      </w:r>
      <w:r w:rsidRPr="00BD3B0E">
        <w:rPr>
          <w:rFonts w:cs="Arial"/>
          <w:sz w:val="22"/>
          <w:lang w:eastAsia="en-AU"/>
        </w:rPr>
        <w:t xml:space="preserve">, except in spring, when the proportion of </w:t>
      </w:r>
      <w:r>
        <w:rPr>
          <w:rFonts w:cs="Arial"/>
          <w:sz w:val="22"/>
          <w:lang w:eastAsia="en-AU"/>
        </w:rPr>
        <w:t>insects in their diet increases slightly</w:t>
      </w:r>
      <w:r w:rsidRPr="00BD3B0E">
        <w:rPr>
          <w:rFonts w:cs="Arial"/>
          <w:sz w:val="22"/>
          <w:lang w:eastAsia="en-AU"/>
        </w:rPr>
        <w:t xml:space="preserve"> (Baker-Gabb</w:t>
      </w:r>
      <w:r w:rsidR="00B73D92">
        <w:rPr>
          <w:rFonts w:cs="Arial"/>
          <w:sz w:val="22"/>
          <w:lang w:eastAsia="en-AU"/>
        </w:rPr>
        <w:t>,</w:t>
      </w:r>
      <w:r w:rsidRPr="00BD3B0E">
        <w:rPr>
          <w:rFonts w:cs="Arial"/>
          <w:sz w:val="22"/>
          <w:lang w:eastAsia="en-AU"/>
        </w:rPr>
        <w:t xml:space="preserve"> 1988). </w:t>
      </w:r>
      <w:r w:rsidRPr="00226E9E">
        <w:rPr>
          <w:sz w:val="22"/>
        </w:rPr>
        <w:t xml:space="preserve">The invertebrate food consists of insects (including beetles, ants, bugs, caterpillars and locusts) and spiders (Baker-Gabb, 1988; Bennett, 1983). </w:t>
      </w:r>
      <w:r w:rsidRPr="00C547B5">
        <w:rPr>
          <w:rFonts w:cs="Arial"/>
          <w:sz w:val="22"/>
          <w:lang w:eastAsia="en-AU"/>
        </w:rPr>
        <w:t xml:space="preserve">Ants and beetles are the most common insect groups eaten throughout the year, while sucking bugs and caterpillars are taken mainly in spring and autumn. </w:t>
      </w:r>
      <w:r w:rsidRPr="00226E9E">
        <w:rPr>
          <w:sz w:val="22"/>
        </w:rPr>
        <w:t>The plains-wanderer forages during the day and at dusk in areas of sparse grass (Baker-Gabb, 1988, 2002a).</w:t>
      </w:r>
    </w:p>
    <w:p w:rsidR="0035132E" w:rsidRPr="00685A26" w:rsidRDefault="0035132E" w:rsidP="003E2FEA">
      <w:pPr>
        <w:pStyle w:val="Heading3"/>
        <w:rPr>
          <w:sz w:val="22"/>
        </w:rPr>
      </w:pPr>
      <w:bookmarkStart w:id="95" w:name="_Toc256000019"/>
      <w:bookmarkStart w:id="96" w:name="_Toc414615102"/>
      <w:bookmarkStart w:id="97" w:name="_Toc417633449"/>
      <w:bookmarkStart w:id="98" w:name="_Toc421182275"/>
      <w:bookmarkStart w:id="99" w:name="_Toc445307809"/>
      <w:r w:rsidRPr="00685A26">
        <w:rPr>
          <w:sz w:val="22"/>
        </w:rPr>
        <w:t>3.4.3</w:t>
      </w:r>
      <w:r w:rsidRPr="00685A26">
        <w:rPr>
          <w:sz w:val="22"/>
        </w:rPr>
        <w:tab/>
        <w:t>Movement patterns and habitat use</w:t>
      </w:r>
      <w:bookmarkEnd w:id="95"/>
      <w:bookmarkEnd w:id="96"/>
      <w:bookmarkEnd w:id="97"/>
      <w:bookmarkEnd w:id="98"/>
      <w:bookmarkEnd w:id="99"/>
    </w:p>
    <w:p w:rsidR="0035132E" w:rsidRDefault="0035132E" w:rsidP="003E2FEA">
      <w:pPr>
        <w:rPr>
          <w:sz w:val="22"/>
        </w:rPr>
      </w:pPr>
      <w:r w:rsidRPr="00226E9E">
        <w:rPr>
          <w:sz w:val="22"/>
        </w:rPr>
        <w:t>The plains-wanderer is a sedentary species that may undertake some movements in response to changes in the suitability of habitat</w:t>
      </w:r>
      <w:r w:rsidR="00443513">
        <w:rPr>
          <w:sz w:val="22"/>
        </w:rPr>
        <w:t xml:space="preserve">, although </w:t>
      </w:r>
      <w:r w:rsidRPr="00226E9E">
        <w:rPr>
          <w:sz w:val="22"/>
        </w:rPr>
        <w:t xml:space="preserve">most birds that have been banded have been recaptured within 400 m of their original banding sites (Baker-Gabb, 2002a; Baker-Gabb et al., 1990; Harrington et al., 1988). </w:t>
      </w:r>
      <w:r w:rsidR="00443513">
        <w:rPr>
          <w:sz w:val="22"/>
        </w:rPr>
        <w:t>I</w:t>
      </w:r>
      <w:r w:rsidR="00443513" w:rsidRPr="00226E9E">
        <w:rPr>
          <w:sz w:val="22"/>
        </w:rPr>
        <w:t>n the Riverina region</w:t>
      </w:r>
      <w:r w:rsidR="00443513">
        <w:rPr>
          <w:sz w:val="22"/>
        </w:rPr>
        <w:t>,</w:t>
      </w:r>
      <w:r w:rsidR="00443513" w:rsidRPr="00226E9E">
        <w:rPr>
          <w:sz w:val="22"/>
        </w:rPr>
        <w:t xml:space="preserve"> </w:t>
      </w:r>
      <w:r w:rsidR="00443513">
        <w:rPr>
          <w:sz w:val="22"/>
        </w:rPr>
        <w:t>t</w:t>
      </w:r>
      <w:r w:rsidRPr="00226E9E">
        <w:rPr>
          <w:sz w:val="22"/>
        </w:rPr>
        <w:t xml:space="preserve">he home range of individual plains-wanderers vary in size from 7-21 ha (average size is 12 ha) in suitable habitat (Baker-Gabb et al., 1990). </w:t>
      </w:r>
      <w:r w:rsidR="00443513">
        <w:rPr>
          <w:sz w:val="22"/>
        </w:rPr>
        <w:t>As a</w:t>
      </w:r>
      <w:r w:rsidRPr="00226E9E">
        <w:rPr>
          <w:sz w:val="22"/>
        </w:rPr>
        <w:t xml:space="preserve">bout half </w:t>
      </w:r>
      <w:r w:rsidR="00443513">
        <w:rPr>
          <w:sz w:val="22"/>
        </w:rPr>
        <w:t xml:space="preserve">of a pairs’ home range </w:t>
      </w:r>
      <w:r w:rsidR="00EC23ED">
        <w:rPr>
          <w:sz w:val="22"/>
        </w:rPr>
        <w:t>overlaps, a pair requires about</w:t>
      </w:r>
      <w:r w:rsidR="00B73D92">
        <w:rPr>
          <w:sz w:val="22"/>
        </w:rPr>
        <w:t xml:space="preserve"> </w:t>
      </w:r>
      <w:r w:rsidR="00443513">
        <w:rPr>
          <w:sz w:val="22"/>
        </w:rPr>
        <w:t>18 hectares to breed</w:t>
      </w:r>
      <w:r w:rsidRPr="00226E9E">
        <w:rPr>
          <w:sz w:val="22"/>
        </w:rPr>
        <w:t>. Home ranges are almost certainly larger in more arid areas (Baker-Gabb, pers comm., 2006). The size of the home range also varies from year to year depending on seasonal conditions (Baker-Gabb, 2002a).</w:t>
      </w:r>
    </w:p>
    <w:p w:rsidR="0035132E" w:rsidRPr="00685A26" w:rsidRDefault="0035132E" w:rsidP="003E2FEA">
      <w:pPr>
        <w:pStyle w:val="Heading3"/>
        <w:rPr>
          <w:sz w:val="22"/>
        </w:rPr>
      </w:pPr>
      <w:bookmarkStart w:id="100" w:name="_Toc256000020"/>
      <w:bookmarkStart w:id="101" w:name="_Toc414615103"/>
      <w:bookmarkStart w:id="102" w:name="_Toc417633450"/>
      <w:bookmarkStart w:id="103" w:name="_Toc421182276"/>
      <w:bookmarkStart w:id="104" w:name="_Toc445307810"/>
      <w:r w:rsidRPr="00685A26">
        <w:rPr>
          <w:sz w:val="22"/>
        </w:rPr>
        <w:t>3.4.4</w:t>
      </w:r>
      <w:r w:rsidRPr="00685A26">
        <w:rPr>
          <w:sz w:val="22"/>
        </w:rPr>
        <w:tab/>
        <w:t>Breeding</w:t>
      </w:r>
      <w:bookmarkEnd w:id="100"/>
      <w:bookmarkEnd w:id="101"/>
      <w:bookmarkEnd w:id="102"/>
      <w:bookmarkEnd w:id="103"/>
      <w:bookmarkEnd w:id="104"/>
    </w:p>
    <w:p w:rsidR="0035132E" w:rsidRDefault="0035132E" w:rsidP="003E2FEA">
      <w:pPr>
        <w:rPr>
          <w:sz w:val="22"/>
        </w:rPr>
      </w:pPr>
      <w:r w:rsidRPr="00226E9E">
        <w:rPr>
          <w:sz w:val="22"/>
        </w:rPr>
        <w:t>Plains-wanderers breed in solitary pairs in a territory defended by the larger female, though they can be serially polyandrous. They are capable of breeding in their first year (Baker-Gabb et al., 1990). The nest is a hollow or 'scrape' that is scratched into the ground and lined with grass, with nests placed amongst native grasses and herbs, or rarely amongst crops (Harrington et al., 1988; Keartland, 1901; North, 1913-1914; Souter, 1938; Sutton, 1927). Clutch-size is usually four (Bennett, 1983; North, 1913-1914), but can range from two to five (Bennett, 1983). The male does most of the incubation during the 23 day incubation period and is also primarily responsible for attending the young (Baker-Gabb, 1990b; Baker-Gabb et al., 1990; Bennett, 1983; Ridley, 1986).  At this time the female may pair with and lay a clutch for a second male to incubate. Young birds gain independence at about two months (Baker-Gabb,</w:t>
      </w:r>
      <w:r>
        <w:rPr>
          <w:sz w:val="22"/>
        </w:rPr>
        <w:t xml:space="preserve"> 1990b). </w:t>
      </w:r>
    </w:p>
    <w:p w:rsidR="0035132E" w:rsidRPr="00226E9E" w:rsidRDefault="0035132E" w:rsidP="003E2FEA">
      <w:pPr>
        <w:rPr>
          <w:sz w:val="22"/>
        </w:rPr>
      </w:pPr>
      <w:r w:rsidRPr="00226E9E">
        <w:rPr>
          <w:sz w:val="22"/>
        </w:rPr>
        <w:t>Breeding success is often linked to environmental conditions</w:t>
      </w:r>
      <w:r w:rsidR="00443513">
        <w:rPr>
          <w:sz w:val="22"/>
        </w:rPr>
        <w:t>.</w:t>
      </w:r>
      <w:r w:rsidRPr="00226E9E">
        <w:rPr>
          <w:sz w:val="22"/>
        </w:rPr>
        <w:t xml:space="preserve"> </w:t>
      </w:r>
      <w:r w:rsidR="00443513">
        <w:rPr>
          <w:sz w:val="22"/>
        </w:rPr>
        <w:t>T</w:t>
      </w:r>
      <w:r w:rsidRPr="00226E9E">
        <w:rPr>
          <w:sz w:val="22"/>
        </w:rPr>
        <w:t>here may be n</w:t>
      </w:r>
      <w:r w:rsidR="00443513">
        <w:rPr>
          <w:sz w:val="22"/>
        </w:rPr>
        <w:t>o breeding during drought years</w:t>
      </w:r>
      <w:r w:rsidRPr="00226E9E">
        <w:rPr>
          <w:sz w:val="22"/>
        </w:rPr>
        <w:t xml:space="preserve"> and success can</w:t>
      </w:r>
      <w:r w:rsidR="00443513">
        <w:rPr>
          <w:sz w:val="22"/>
        </w:rPr>
        <w:t xml:space="preserve"> also</w:t>
      </w:r>
      <w:r w:rsidRPr="00226E9E">
        <w:rPr>
          <w:sz w:val="22"/>
        </w:rPr>
        <w:t xml:space="preserve"> be very low in years of heavy rainfall (Baker-Gabb et al., 1990; Harrington et al., 1988; Maher, 1997). However, if there is sufficient moderate rainfall during summer, females will often produce a second clutch (Baker-Gabb et al., 1990; Harrington et al., 1988). </w:t>
      </w:r>
    </w:p>
    <w:p w:rsidR="0035132E" w:rsidRPr="00685A26" w:rsidRDefault="0035132E" w:rsidP="003E2FEA">
      <w:pPr>
        <w:pStyle w:val="Heading3"/>
        <w:rPr>
          <w:sz w:val="22"/>
          <w:highlight w:val="yellow"/>
        </w:rPr>
      </w:pPr>
      <w:bookmarkStart w:id="105" w:name="_Toc256000021"/>
      <w:bookmarkStart w:id="106" w:name="_Toc414615104"/>
      <w:bookmarkStart w:id="107" w:name="_Toc417633451"/>
      <w:bookmarkStart w:id="108" w:name="_Toc421182277"/>
      <w:bookmarkStart w:id="109" w:name="_Toc445307811"/>
      <w:r w:rsidRPr="00685A26">
        <w:rPr>
          <w:sz w:val="22"/>
        </w:rPr>
        <w:t>3.4.5</w:t>
      </w:r>
      <w:r w:rsidRPr="00685A26">
        <w:rPr>
          <w:sz w:val="22"/>
        </w:rPr>
        <w:tab/>
        <w:t>Habitat</w:t>
      </w:r>
      <w:bookmarkEnd w:id="105"/>
      <w:bookmarkEnd w:id="106"/>
      <w:bookmarkEnd w:id="107"/>
      <w:bookmarkEnd w:id="108"/>
      <w:bookmarkEnd w:id="109"/>
    </w:p>
    <w:p w:rsidR="0035132E" w:rsidRDefault="0035132E" w:rsidP="003E2FEA">
      <w:pPr>
        <w:rPr>
          <w:sz w:val="22"/>
        </w:rPr>
      </w:pPr>
      <w:r w:rsidRPr="00226E9E">
        <w:rPr>
          <w:sz w:val="22"/>
        </w:rPr>
        <w:t xml:space="preserve">The plains-wanderer inhabits sparse, treeless, species-rich, lowland native grasslands with approximately 50% bare ground, 40% herbs and grasses and 10% fallen litter, with </w:t>
      </w:r>
      <w:r>
        <w:rPr>
          <w:sz w:val="22"/>
        </w:rPr>
        <w:t xml:space="preserve">grass tussocks spaced around 10-20 cm apart and </w:t>
      </w:r>
      <w:r w:rsidRPr="00226E9E">
        <w:rPr>
          <w:sz w:val="22"/>
        </w:rPr>
        <w:t>most vegetation less than 5 cm in height and some widely-spaced plants up to 30 cm high, which provide shelter and concealment from predators (Baker-Gabb, 1987, 1990b, 2002a; Garnett et al., 2011; Harrington et al., 1988). These grasslands usually occur on hard, red-brown clay soils that do not support dense pasture growth under most conditions. The structure of the grassland is more important than the species composition in determining its suitability for the plains-wanderer (Baker-Gabb, 1987, 1990b, 2002a; Harrington et al., 1988; Llewellyn, 1975), with the species known to actively avoid areas of dense grass or other vegetation (Baker-Gabb, 1988), and exhibit a strong preference for native grasslands with a sparse structure (Baker-Gabb et al., 1990). Analysis of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xml:space="preserve"> survey data collected between 2001 and 2014 indicated that grass height is a significant predictor of abundance for plains-wanderers, with abundance negatively correlated with increased grass height (Wilson et al., 2014). </w:t>
      </w:r>
    </w:p>
    <w:p w:rsidR="0035132E" w:rsidRPr="00C10060" w:rsidRDefault="0035132E" w:rsidP="003E2FEA">
      <w:pPr>
        <w:autoSpaceDE w:val="0"/>
        <w:autoSpaceDN w:val="0"/>
        <w:adjustRightInd w:val="0"/>
        <w:rPr>
          <w:rFonts w:cs="Arial"/>
          <w:lang w:eastAsia="en-AU"/>
        </w:rPr>
      </w:pPr>
      <w:r w:rsidRPr="00226E9E">
        <w:rPr>
          <w:sz w:val="22"/>
        </w:rPr>
        <w:t xml:space="preserve">Plains-wanderers do not require regular access to water bodies and instead fulfil their hydration requirements through the food they consume and via pecking dew and rain drops from leaves (Baker-Gabb, 1988). Lichens and numerous perennial plants, including yellow </w:t>
      </w:r>
      <w:r w:rsidRPr="00C10060">
        <w:rPr>
          <w:sz w:val="22"/>
        </w:rPr>
        <w:t xml:space="preserve">buttons </w:t>
      </w:r>
      <w:r w:rsidRPr="00C10060">
        <w:rPr>
          <w:i/>
          <w:sz w:val="22"/>
        </w:rPr>
        <w:t>(</w:t>
      </w:r>
      <w:r w:rsidRPr="00C10060">
        <w:rPr>
          <w:rFonts w:cs="Arial"/>
          <w:i/>
          <w:sz w:val="22"/>
        </w:rPr>
        <w:t>Chrysocephalum apiculatum and Chrysocephalum sp1)</w:t>
      </w:r>
      <w:proofErr w:type="gramStart"/>
      <w:r w:rsidRPr="00C10060">
        <w:rPr>
          <w:rFonts w:cs="Arial"/>
          <w:i/>
          <w:sz w:val="22"/>
        </w:rPr>
        <w:t>,</w:t>
      </w:r>
      <w:proofErr w:type="gramEnd"/>
      <w:r w:rsidRPr="00C10060">
        <w:rPr>
          <w:sz w:val="22"/>
        </w:rPr>
        <w:t xml:space="preserve"> have been recorded in areas with high-quality plains-wanderer habitat. </w:t>
      </w:r>
      <w:r w:rsidRPr="00C10060">
        <w:rPr>
          <w:rFonts w:cs="Arial"/>
          <w:sz w:val="22"/>
          <w:lang w:eastAsia="en-AU"/>
        </w:rPr>
        <w:t>Other frequently recorded plant species include ringed wallaby grass (</w:t>
      </w:r>
      <w:r w:rsidRPr="00C10060">
        <w:rPr>
          <w:rFonts w:cs="Arial"/>
          <w:i/>
          <w:iCs/>
          <w:sz w:val="22"/>
          <w:lang w:eastAsia="en-AU"/>
        </w:rPr>
        <w:t>Austrodanthonia caespitosa</w:t>
      </w:r>
      <w:r w:rsidRPr="00C10060">
        <w:rPr>
          <w:rFonts w:cs="Arial"/>
          <w:sz w:val="22"/>
          <w:lang w:eastAsia="en-AU"/>
        </w:rPr>
        <w:t>), pale beauty heads (</w:t>
      </w:r>
      <w:r w:rsidRPr="00C10060">
        <w:rPr>
          <w:rFonts w:cs="Arial"/>
          <w:i/>
          <w:iCs/>
          <w:sz w:val="22"/>
          <w:lang w:eastAsia="en-AU"/>
        </w:rPr>
        <w:t>Calocephalus sonderi</w:t>
      </w:r>
      <w:r w:rsidRPr="00C10060">
        <w:rPr>
          <w:rFonts w:cs="Arial"/>
          <w:sz w:val="22"/>
          <w:lang w:eastAsia="en-AU"/>
        </w:rPr>
        <w:t>), windmill grass (</w:t>
      </w:r>
      <w:r w:rsidRPr="00C10060">
        <w:rPr>
          <w:rFonts w:cs="Arial"/>
          <w:i/>
          <w:iCs/>
          <w:sz w:val="22"/>
          <w:lang w:eastAsia="en-AU"/>
        </w:rPr>
        <w:t>Chloris truncata</w:t>
      </w:r>
      <w:r w:rsidRPr="00C10060">
        <w:rPr>
          <w:rFonts w:cs="Arial"/>
          <w:sz w:val="22"/>
          <w:lang w:eastAsia="en-AU"/>
        </w:rPr>
        <w:t>), slender bluebush (</w:t>
      </w:r>
      <w:r w:rsidRPr="00C10060">
        <w:rPr>
          <w:rFonts w:cs="Arial"/>
          <w:i/>
          <w:iCs/>
          <w:sz w:val="22"/>
          <w:lang w:eastAsia="en-AU"/>
        </w:rPr>
        <w:t>Maireana pentagona</w:t>
      </w:r>
      <w:r w:rsidRPr="00C10060">
        <w:rPr>
          <w:rFonts w:cs="Arial"/>
          <w:sz w:val="22"/>
          <w:lang w:eastAsia="en-AU"/>
        </w:rPr>
        <w:t>), speargrass (</w:t>
      </w:r>
      <w:r w:rsidRPr="00C10060">
        <w:rPr>
          <w:rFonts w:cs="Arial"/>
          <w:i/>
          <w:iCs/>
          <w:sz w:val="22"/>
          <w:lang w:eastAsia="en-AU"/>
        </w:rPr>
        <w:t xml:space="preserve">Austrostipa ‘variablis’ </w:t>
      </w:r>
      <w:r w:rsidRPr="00C10060">
        <w:rPr>
          <w:rFonts w:cs="Arial"/>
          <w:sz w:val="22"/>
          <w:lang w:eastAsia="en-AU"/>
        </w:rPr>
        <w:t>complex), and barley grass (</w:t>
      </w:r>
      <w:r w:rsidRPr="00C10060">
        <w:rPr>
          <w:rFonts w:cs="Arial"/>
          <w:i/>
          <w:iCs/>
          <w:sz w:val="22"/>
          <w:lang w:eastAsia="en-AU"/>
        </w:rPr>
        <w:t>Hordeum</w:t>
      </w:r>
      <w:r w:rsidRPr="00C10060">
        <w:rPr>
          <w:rFonts w:cs="Arial"/>
          <w:sz w:val="22"/>
          <w:lang w:eastAsia="en-AU"/>
        </w:rPr>
        <w:t xml:space="preserve"> </w:t>
      </w:r>
      <w:r w:rsidRPr="00C10060">
        <w:rPr>
          <w:rFonts w:cs="Arial"/>
          <w:i/>
          <w:iCs/>
          <w:sz w:val="22"/>
          <w:lang w:eastAsia="en-AU"/>
        </w:rPr>
        <w:t>leporinum</w:t>
      </w:r>
      <w:r w:rsidRPr="00C10060">
        <w:rPr>
          <w:rFonts w:cs="Arial"/>
          <w:sz w:val="22"/>
          <w:lang w:eastAsia="en-AU"/>
        </w:rPr>
        <w:t>) (Baker-Gabb 1990b. Two species, fairy grass (</w:t>
      </w:r>
      <w:r w:rsidRPr="00C10060">
        <w:rPr>
          <w:rFonts w:cs="Arial"/>
          <w:i/>
          <w:iCs/>
          <w:sz w:val="22"/>
          <w:lang w:eastAsia="en-AU"/>
        </w:rPr>
        <w:t xml:space="preserve">Sporobolus caroli) </w:t>
      </w:r>
      <w:r w:rsidRPr="00C10060">
        <w:rPr>
          <w:rFonts w:cs="Arial"/>
          <w:sz w:val="22"/>
          <w:lang w:eastAsia="en-AU"/>
        </w:rPr>
        <w:t>and chariot wheels (</w:t>
      </w:r>
      <w:r w:rsidRPr="00C10060">
        <w:rPr>
          <w:rFonts w:cs="Arial"/>
          <w:i/>
          <w:iCs/>
          <w:sz w:val="22"/>
          <w:lang w:eastAsia="en-AU"/>
        </w:rPr>
        <w:t>Maireana cheelii</w:t>
      </w:r>
      <w:r w:rsidRPr="00C10060">
        <w:rPr>
          <w:rFonts w:cs="Arial"/>
          <w:sz w:val="22"/>
          <w:lang w:eastAsia="en-AU"/>
        </w:rPr>
        <w:t>)</w:t>
      </w:r>
      <w:r w:rsidR="00EF68F7">
        <w:rPr>
          <w:rFonts w:cs="Arial"/>
          <w:sz w:val="22"/>
          <w:lang w:eastAsia="en-AU"/>
        </w:rPr>
        <w:t>,</w:t>
      </w:r>
      <w:r w:rsidRPr="00C10060">
        <w:rPr>
          <w:rFonts w:cs="Arial"/>
          <w:sz w:val="22"/>
          <w:lang w:eastAsia="en-AU"/>
        </w:rPr>
        <w:t xml:space="preserve"> have bee</w:t>
      </w:r>
      <w:r>
        <w:rPr>
          <w:rFonts w:cs="Arial"/>
          <w:sz w:val="22"/>
          <w:lang w:eastAsia="en-AU"/>
        </w:rPr>
        <w:t>n demonstrated</w:t>
      </w:r>
      <w:r w:rsidRPr="00C10060">
        <w:rPr>
          <w:rFonts w:cs="Arial"/>
          <w:sz w:val="22"/>
          <w:lang w:eastAsia="en-AU"/>
        </w:rPr>
        <w:t xml:space="preserve"> </w:t>
      </w:r>
      <w:r>
        <w:rPr>
          <w:rFonts w:cs="Arial"/>
          <w:sz w:val="22"/>
          <w:lang w:eastAsia="en-AU"/>
        </w:rPr>
        <w:t>to occur</w:t>
      </w:r>
      <w:r w:rsidRPr="00C10060">
        <w:rPr>
          <w:rFonts w:cs="Arial"/>
          <w:sz w:val="22"/>
          <w:lang w:eastAsia="en-AU"/>
        </w:rPr>
        <w:t xml:space="preserve"> significantly more often in sparse grasslands than dense grasslands (Baker-Gabb 1987).</w:t>
      </w:r>
      <w:r>
        <w:rPr>
          <w:rFonts w:cs="Arial"/>
          <w:lang w:eastAsia="en-AU"/>
        </w:rPr>
        <w:t xml:space="preserve"> </w:t>
      </w:r>
      <w:r w:rsidRPr="00226E9E">
        <w:rPr>
          <w:sz w:val="22"/>
        </w:rPr>
        <w:t xml:space="preserve">The plains-wanderer occasionally occurs in other types of habitat: it has been recorded in cereal stubble, and amongst low crops of cereal grasses (Bennett, 1983; Llewellyn, 1975; Souter, 1938; Sutton, 1927), and in low, sparse chenopod shrublands (Harrington et al., 1988). </w:t>
      </w:r>
      <w:r>
        <w:rPr>
          <w:sz w:val="22"/>
        </w:rPr>
        <w:t>However, it is unknown as to whether plains-</w:t>
      </w:r>
      <w:r w:rsidR="00CD51B1">
        <w:rPr>
          <w:sz w:val="22"/>
        </w:rPr>
        <w:t>wanderers can</w:t>
      </w:r>
      <w:r>
        <w:rPr>
          <w:sz w:val="22"/>
        </w:rPr>
        <w:t xml:space="preserve"> persist in these ha</w:t>
      </w:r>
      <w:r w:rsidR="003B6CF1">
        <w:rPr>
          <w:sz w:val="22"/>
        </w:rPr>
        <w:t>bitats over extended timeframes</w:t>
      </w:r>
      <w:r>
        <w:rPr>
          <w:sz w:val="22"/>
        </w:rPr>
        <w:t>.</w:t>
      </w:r>
    </w:p>
    <w:p w:rsidR="0035132E" w:rsidRPr="00226E9E" w:rsidRDefault="0035132E" w:rsidP="003E2FEA">
      <w:pPr>
        <w:rPr>
          <w:sz w:val="22"/>
        </w:rPr>
      </w:pPr>
      <w:r w:rsidRPr="00226E9E">
        <w:rPr>
          <w:sz w:val="22"/>
        </w:rPr>
        <w:t xml:space="preserve">Surveys also indicate that plains-wanderers appear to avoid being in close proximity to living or dead trees, with no records of any birds within </w:t>
      </w:r>
      <w:r w:rsidR="004425E6" w:rsidRPr="007F04A3">
        <w:rPr>
          <w:sz w:val="22"/>
        </w:rPr>
        <w:t>3</w:t>
      </w:r>
      <w:r w:rsidRPr="007F04A3">
        <w:rPr>
          <w:sz w:val="22"/>
        </w:rPr>
        <w:t>00 m</w:t>
      </w:r>
      <w:r w:rsidRPr="00226E9E">
        <w:rPr>
          <w:sz w:val="22"/>
        </w:rPr>
        <w:t xml:space="preserve"> of trees of 10 m or greater in height across their strongholds in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xml:space="preserve"> and Victoria (Baker-Gabb, 2014). Plains-wanderer avoidance of trees and tall shrubs appears to be a defence strategy to limit the potential for attack by predatory birds that often perch in these trees</w:t>
      </w:r>
      <w:r w:rsidR="003B6CF1">
        <w:rPr>
          <w:sz w:val="22"/>
        </w:rPr>
        <w:t>. T</w:t>
      </w:r>
      <w:r w:rsidRPr="00226E9E">
        <w:rPr>
          <w:sz w:val="22"/>
        </w:rPr>
        <w:t xml:space="preserve">he distance plains-wanderers maintain from trees appears to depend on the height of </w:t>
      </w:r>
      <w:r w:rsidR="00CD51B1">
        <w:rPr>
          <w:sz w:val="22"/>
        </w:rPr>
        <w:t xml:space="preserve">the tree (Baker-Gabb, 2014). </w:t>
      </w:r>
    </w:p>
    <w:p w:rsidR="0035132E" w:rsidRDefault="0035132E" w:rsidP="003B20C9">
      <w:pPr>
        <w:autoSpaceDE w:val="0"/>
      </w:pPr>
      <w:r w:rsidRPr="00226E9E">
        <w:rPr>
          <w:sz w:val="22"/>
        </w:rPr>
        <w:t>Garnett et al (2011) estimated the extent of occurrence of</w:t>
      </w:r>
      <w:r>
        <w:rPr>
          <w:sz w:val="22"/>
        </w:rPr>
        <w:t xml:space="preserve"> plains-wanderers to be 930 000 </w:t>
      </w:r>
      <w:proofErr w:type="gramStart"/>
      <w:r w:rsidRPr="00226E9E">
        <w:rPr>
          <w:sz w:val="22"/>
        </w:rPr>
        <w:t>km</w:t>
      </w:r>
      <w:r w:rsidR="003B20C9">
        <w:rPr>
          <w:rFonts w:ascii="ZWAdobeF" w:hAnsi="ZWAdobeF" w:cs="ZWAdobeF"/>
          <w:sz w:val="2"/>
          <w:szCs w:val="2"/>
        </w:rPr>
        <w:t>P</w:t>
      </w:r>
      <w:r w:rsidRPr="00226E9E">
        <w:rPr>
          <w:sz w:val="22"/>
          <w:vertAlign w:val="superscript"/>
        </w:rPr>
        <w:t>2</w:t>
      </w:r>
      <w:r w:rsidR="003B20C9">
        <w:rPr>
          <w:rFonts w:ascii="ZWAdobeF" w:hAnsi="ZWAdobeF" w:cs="ZWAdobeF"/>
          <w:sz w:val="2"/>
          <w:szCs w:val="2"/>
        </w:rPr>
        <w:t>P</w:t>
      </w:r>
      <w:r w:rsidRPr="00226E9E">
        <w:rPr>
          <w:sz w:val="22"/>
        </w:rPr>
        <w:t>,</w:t>
      </w:r>
      <w:proofErr w:type="gramEnd"/>
      <w:r w:rsidRPr="00226E9E">
        <w:rPr>
          <w:sz w:val="22"/>
        </w:rPr>
        <w:t xml:space="preserve"> however the species’ actual area of occupan</w:t>
      </w:r>
      <w:r w:rsidR="004425E6">
        <w:rPr>
          <w:sz w:val="22"/>
        </w:rPr>
        <w:t>cy was estimated to be only 330 </w:t>
      </w:r>
      <w:r w:rsidRPr="00226E9E">
        <w:rPr>
          <w:sz w:val="22"/>
        </w:rPr>
        <w:t>km</w:t>
      </w:r>
      <w:r w:rsidR="003B20C9">
        <w:rPr>
          <w:rFonts w:ascii="ZWAdobeF" w:hAnsi="ZWAdobeF" w:cs="ZWAdobeF"/>
          <w:sz w:val="2"/>
          <w:szCs w:val="2"/>
        </w:rPr>
        <w:t>P</w:t>
      </w:r>
      <w:r w:rsidRPr="00226E9E">
        <w:rPr>
          <w:sz w:val="22"/>
          <w:vertAlign w:val="superscript"/>
        </w:rPr>
        <w:t>2</w:t>
      </w:r>
      <w:r w:rsidR="003B20C9">
        <w:rPr>
          <w:rFonts w:ascii="ZWAdobeF" w:hAnsi="ZWAdobeF" w:cs="ZWAdobeF"/>
          <w:sz w:val="2"/>
          <w:szCs w:val="2"/>
        </w:rPr>
        <w:t>P</w:t>
      </w:r>
      <w:r w:rsidRPr="00226E9E">
        <w:rPr>
          <w:sz w:val="22"/>
        </w:rPr>
        <w:t xml:space="preserve"> and decreasing. Given the historically low population size and the fragmented distribution of the plains-wanderer, all areas in which birds are found, and any suitable but currently unoccupied habitat within the species’ extent of occurrence, represent habitat critical to the survival of the species.</w:t>
      </w:r>
      <w:bookmarkStart w:id="110" w:name="_Toc409690428"/>
    </w:p>
    <w:p w:rsidR="00E83536" w:rsidRDefault="00E83536">
      <w:pPr>
        <w:spacing w:after="0" w:line="240" w:lineRule="auto"/>
        <w:rPr>
          <w:rFonts w:cs="Arial"/>
          <w:b/>
          <w:i/>
          <w:sz w:val="22"/>
        </w:rPr>
      </w:pPr>
      <w:bookmarkStart w:id="111" w:name="_Toc256000022"/>
      <w:bookmarkStart w:id="112" w:name="_Toc414615105"/>
      <w:bookmarkStart w:id="113" w:name="_Toc417633452"/>
      <w:bookmarkStart w:id="114" w:name="_Toc421182278"/>
      <w:bookmarkStart w:id="115" w:name="_Toc445307812"/>
      <w:r>
        <w:rPr>
          <w:sz w:val="22"/>
        </w:rPr>
        <w:br w:type="page"/>
      </w:r>
    </w:p>
    <w:p w:rsidR="0035132E" w:rsidRPr="00685A26" w:rsidRDefault="0035132E" w:rsidP="003E2FEA">
      <w:pPr>
        <w:pStyle w:val="Heading3"/>
        <w:rPr>
          <w:sz w:val="22"/>
        </w:rPr>
      </w:pPr>
      <w:r w:rsidRPr="00685A26">
        <w:rPr>
          <w:sz w:val="22"/>
        </w:rPr>
        <w:t>3.4.6</w:t>
      </w:r>
      <w:r w:rsidRPr="00685A26">
        <w:rPr>
          <w:sz w:val="22"/>
        </w:rPr>
        <w:tab/>
        <w:t>Habitat critical to survival</w:t>
      </w:r>
      <w:bookmarkEnd w:id="111"/>
      <w:bookmarkEnd w:id="112"/>
      <w:bookmarkEnd w:id="113"/>
      <w:bookmarkEnd w:id="114"/>
      <w:bookmarkEnd w:id="115"/>
    </w:p>
    <w:p w:rsidR="0035132E" w:rsidRPr="00B65897" w:rsidRDefault="0035132E" w:rsidP="003E2FEA">
      <w:pPr>
        <w:rPr>
          <w:rFonts w:cs="Arial"/>
          <w:sz w:val="22"/>
        </w:rPr>
      </w:pPr>
      <w:r w:rsidRPr="00B65897">
        <w:rPr>
          <w:rFonts w:cs="Arial"/>
          <w:sz w:val="22"/>
        </w:rPr>
        <w:t>Habitat critical to the survival of the</w:t>
      </w:r>
      <w:r>
        <w:rPr>
          <w:rFonts w:cs="Arial"/>
          <w:sz w:val="22"/>
        </w:rPr>
        <w:t xml:space="preserve"> plains-wanderer includes</w:t>
      </w:r>
      <w:r w:rsidRPr="00B65897">
        <w:rPr>
          <w:rFonts w:cs="Arial"/>
          <w:sz w:val="22"/>
        </w:rPr>
        <w:t>:</w:t>
      </w:r>
    </w:p>
    <w:p w:rsidR="0035132E" w:rsidRDefault="0035132E" w:rsidP="003E2FEA">
      <w:pPr>
        <w:pStyle w:val="ListBullet"/>
        <w:spacing w:after="0"/>
        <w:rPr>
          <w:rFonts w:cs="Arial"/>
          <w:sz w:val="22"/>
        </w:rPr>
      </w:pPr>
      <w:r w:rsidRPr="00B65897">
        <w:rPr>
          <w:rFonts w:cs="Arial"/>
          <w:sz w:val="22"/>
        </w:rPr>
        <w:t xml:space="preserve">Any </w:t>
      </w:r>
      <w:r>
        <w:rPr>
          <w:rFonts w:cs="Arial"/>
          <w:sz w:val="22"/>
        </w:rPr>
        <w:t xml:space="preserve">regions where the species is </w:t>
      </w:r>
      <w:r w:rsidR="0097369A">
        <w:rPr>
          <w:rFonts w:cs="Arial"/>
          <w:sz w:val="22"/>
        </w:rPr>
        <w:t>likely</w:t>
      </w:r>
      <w:r>
        <w:rPr>
          <w:rFonts w:cs="Arial"/>
          <w:sz w:val="22"/>
        </w:rPr>
        <w:t xml:space="preserve"> to occur</w:t>
      </w:r>
      <w:r w:rsidR="00C46C6D" w:rsidRPr="00C46C6D">
        <w:rPr>
          <w:rFonts w:cs="Arial"/>
          <w:sz w:val="22"/>
        </w:rPr>
        <w:t xml:space="preserve"> </w:t>
      </w:r>
      <w:r w:rsidR="00C46C6D">
        <w:rPr>
          <w:rFonts w:cs="Arial"/>
          <w:sz w:val="22"/>
        </w:rPr>
        <w:t>(as defined by the distribution map provided in Figure 2)</w:t>
      </w:r>
      <w:r w:rsidR="0097369A">
        <w:rPr>
          <w:rFonts w:cs="Arial"/>
          <w:sz w:val="22"/>
        </w:rPr>
        <w:t>;</w:t>
      </w:r>
      <w:r>
        <w:rPr>
          <w:rFonts w:cs="Arial"/>
          <w:sz w:val="22"/>
        </w:rPr>
        <w:t xml:space="preserve"> and</w:t>
      </w:r>
      <w:r w:rsidRPr="00B65897">
        <w:rPr>
          <w:rFonts w:cs="Arial"/>
          <w:sz w:val="22"/>
        </w:rPr>
        <w:t xml:space="preserve"> </w:t>
      </w:r>
      <w:r>
        <w:rPr>
          <w:rFonts w:cs="Arial"/>
          <w:sz w:val="22"/>
        </w:rPr>
        <w:t xml:space="preserve"> </w:t>
      </w:r>
    </w:p>
    <w:p w:rsidR="0035132E" w:rsidRPr="00B65897" w:rsidRDefault="0035132E" w:rsidP="003E2FEA">
      <w:pPr>
        <w:pStyle w:val="ListBullet"/>
        <w:numPr>
          <w:ilvl w:val="0"/>
          <w:numId w:val="0"/>
        </w:numPr>
        <w:spacing w:after="0"/>
        <w:ind w:left="369"/>
        <w:rPr>
          <w:rFonts w:cs="Arial"/>
          <w:sz w:val="22"/>
        </w:rPr>
      </w:pPr>
    </w:p>
    <w:p w:rsidR="0035132E" w:rsidRPr="00B65897" w:rsidRDefault="0035132E" w:rsidP="003E2FEA">
      <w:pPr>
        <w:pStyle w:val="ListBullet"/>
        <w:rPr>
          <w:rFonts w:cs="Arial"/>
          <w:sz w:val="22"/>
        </w:rPr>
      </w:pPr>
      <w:r w:rsidRPr="00B65897">
        <w:rPr>
          <w:rFonts w:cs="Arial"/>
          <w:sz w:val="22"/>
        </w:rPr>
        <w:t xml:space="preserve">Any newly discovered locations that extend the </w:t>
      </w:r>
      <w:r>
        <w:rPr>
          <w:rFonts w:cs="Arial"/>
          <w:sz w:val="22"/>
        </w:rPr>
        <w:t>likely range of the plains-wanderer.</w:t>
      </w:r>
    </w:p>
    <w:p w:rsidR="0035132E" w:rsidRDefault="0035132E" w:rsidP="003E2FEA">
      <w:pPr>
        <w:rPr>
          <w:rFonts w:cs="Arial"/>
          <w:color w:val="000000"/>
          <w:sz w:val="22"/>
          <w:lang w:eastAsia="en-AU"/>
        </w:rPr>
      </w:pPr>
      <w:r w:rsidRPr="00B65897">
        <w:rPr>
          <w:rFonts w:cs="Arial"/>
          <w:sz w:val="22"/>
        </w:rPr>
        <w:t xml:space="preserve">Key areas include </w:t>
      </w:r>
      <w:r w:rsidRPr="00B65897">
        <w:rPr>
          <w:rFonts w:cs="Arial"/>
          <w:color w:val="000000"/>
          <w:sz w:val="22"/>
          <w:lang w:eastAsia="en-AU"/>
        </w:rPr>
        <w:t>the</w:t>
      </w:r>
      <w:r>
        <w:rPr>
          <w:rFonts w:cs="Arial"/>
          <w:color w:val="000000"/>
          <w:sz w:val="22"/>
          <w:lang w:eastAsia="en-AU"/>
        </w:rPr>
        <w:t xml:space="preserve"> Riverina region of south-west New South Wales and the Northern Plains in north-central Victoria (Table 2; Figure 2).</w:t>
      </w:r>
    </w:p>
    <w:p w:rsidR="0035132E" w:rsidRDefault="0090711C" w:rsidP="003E2FEA">
      <w:r>
        <w:rPr>
          <w:rFonts w:cs="Arial"/>
          <w:color w:val="000000"/>
          <w:sz w:val="22"/>
          <w:lang w:eastAsia="en-AU"/>
        </w:rPr>
        <w:t>H</w:t>
      </w:r>
      <w:r w:rsidR="0035132E" w:rsidRPr="00B65897">
        <w:rPr>
          <w:rFonts w:cs="Arial"/>
          <w:color w:val="000000"/>
          <w:sz w:val="22"/>
          <w:lang w:eastAsia="en-AU"/>
        </w:rPr>
        <w:t xml:space="preserve">abitat </w:t>
      </w:r>
      <w:r>
        <w:rPr>
          <w:rFonts w:cs="Arial"/>
          <w:color w:val="000000"/>
          <w:sz w:val="22"/>
          <w:lang w:eastAsia="en-AU"/>
        </w:rPr>
        <w:t xml:space="preserve">critical to the survival of the species </w:t>
      </w:r>
      <w:r w:rsidR="0035132E" w:rsidRPr="00B65897">
        <w:rPr>
          <w:rFonts w:cs="Arial"/>
          <w:color w:val="000000"/>
          <w:sz w:val="22"/>
          <w:lang w:eastAsia="en-AU"/>
        </w:rPr>
        <w:t>occurs in a wide range of land ownership arrangements, including on private land</w:t>
      </w:r>
      <w:r w:rsidR="0035132E">
        <w:rPr>
          <w:rFonts w:cs="Arial"/>
          <w:color w:val="000000"/>
          <w:sz w:val="22"/>
          <w:lang w:eastAsia="en-AU"/>
        </w:rPr>
        <w:t xml:space="preserve"> and leaseholds</w:t>
      </w:r>
      <w:r w:rsidR="0035132E" w:rsidRPr="00B65897">
        <w:rPr>
          <w:rFonts w:cs="Arial"/>
          <w:color w:val="000000"/>
          <w:sz w:val="22"/>
          <w:lang w:eastAsia="en-AU"/>
        </w:rPr>
        <w:t>, travelling stock routes, National Parks</w:t>
      </w:r>
      <w:r w:rsidR="0035132E">
        <w:rPr>
          <w:rFonts w:cs="Arial"/>
          <w:color w:val="000000"/>
          <w:sz w:val="22"/>
          <w:lang w:eastAsia="en-AU"/>
        </w:rPr>
        <w:t xml:space="preserve"> and Nature Conservation Reserves and other conservation managed lands</w:t>
      </w:r>
      <w:r w:rsidR="0035132E" w:rsidRPr="00B65897">
        <w:rPr>
          <w:rFonts w:cs="Arial"/>
          <w:color w:val="000000"/>
          <w:sz w:val="22"/>
          <w:lang w:eastAsia="en-AU"/>
        </w:rPr>
        <w:t>. It is essential that the highest level of protection is provided to these areas and that enhancement and protection measures target these productive sites.</w:t>
      </w:r>
    </w:p>
    <w:p w:rsidR="0035132E" w:rsidRPr="00685A26" w:rsidRDefault="0035132E" w:rsidP="003E2FEA">
      <w:pPr>
        <w:sectPr w:rsidR="0035132E" w:rsidRPr="00685A26" w:rsidSect="005E2592">
          <w:pgSz w:w="11906" w:h="16838" w:code="9"/>
          <w:pgMar w:top="1134" w:right="1276" w:bottom="567" w:left="1418" w:header="425" w:footer="425" w:gutter="0"/>
          <w:cols w:space="708"/>
          <w:titlePg/>
          <w:docGrid w:linePitch="360"/>
        </w:sectPr>
      </w:pPr>
    </w:p>
    <w:p w:rsidR="0035132E" w:rsidRPr="00A26CAC" w:rsidRDefault="0035132E" w:rsidP="003E2FEA">
      <w:pPr>
        <w:pStyle w:val="Caption"/>
        <w:rPr>
          <w:b w:val="0"/>
          <w:i/>
          <w:sz w:val="22"/>
          <w:szCs w:val="22"/>
        </w:rPr>
      </w:pPr>
      <w:bookmarkStart w:id="116" w:name="_Toc417633338"/>
      <w:r w:rsidRPr="00A26CAC">
        <w:rPr>
          <w:i/>
          <w:sz w:val="22"/>
          <w:szCs w:val="22"/>
        </w:rPr>
        <w:t xml:space="preserve">Table 2: </w:t>
      </w:r>
      <w:r w:rsidRPr="00A26CAC">
        <w:rPr>
          <w:b w:val="0"/>
          <w:i/>
          <w:sz w:val="22"/>
          <w:szCs w:val="22"/>
        </w:rPr>
        <w:t>Current distribution of plains-wanderer and key threats.</w:t>
      </w:r>
      <w:bookmarkEnd w:id="110"/>
      <w:bookmarkEnd w:id="116"/>
    </w:p>
    <w:tbl>
      <w:tblPr>
        <w:tblW w:w="10007" w:type="dxa"/>
        <w:jc w:val="center"/>
        <w:tblInd w:w="-232" w:type="dxa"/>
        <w:tblBorders>
          <w:bottom w:val="single" w:sz="4" w:space="0" w:color="auto"/>
          <w:insideH w:val="single" w:sz="4" w:space="0" w:color="auto"/>
        </w:tblBorders>
        <w:tblLook w:val="04A0"/>
      </w:tblPr>
      <w:tblGrid>
        <w:gridCol w:w="1720"/>
        <w:gridCol w:w="4034"/>
        <w:gridCol w:w="1745"/>
        <w:gridCol w:w="2508"/>
      </w:tblGrid>
      <w:tr w:rsidR="0018674C" w:rsidTr="00A26CAC">
        <w:trPr>
          <w:trHeight w:val="329"/>
          <w:jc w:val="center"/>
        </w:trPr>
        <w:tc>
          <w:tcPr>
            <w:tcW w:w="1720" w:type="dxa"/>
            <w:tcBorders>
              <w:top w:val="nil"/>
            </w:tcBorders>
            <w:shd w:val="clear" w:color="auto" w:fill="17365D" w:themeFill="text2" w:themeFillShade="BF"/>
            <w:vAlign w:val="bottom"/>
          </w:tcPr>
          <w:p w:rsidR="0035132E" w:rsidRPr="00226E9E" w:rsidRDefault="0035132E" w:rsidP="003E2FEA">
            <w:pPr>
              <w:pStyle w:val="Tabletext"/>
              <w:spacing w:line="240" w:lineRule="auto"/>
              <w:rPr>
                <w:b/>
                <w:sz w:val="22"/>
              </w:rPr>
            </w:pPr>
            <w:r w:rsidRPr="00226E9E">
              <w:rPr>
                <w:b/>
                <w:sz w:val="22"/>
              </w:rPr>
              <w:t>State/Territory</w:t>
            </w:r>
          </w:p>
        </w:tc>
        <w:tc>
          <w:tcPr>
            <w:tcW w:w="4065" w:type="dxa"/>
            <w:tcBorders>
              <w:top w:val="nil"/>
            </w:tcBorders>
            <w:shd w:val="clear" w:color="auto" w:fill="17365D" w:themeFill="text2" w:themeFillShade="BF"/>
            <w:vAlign w:val="bottom"/>
          </w:tcPr>
          <w:p w:rsidR="0035132E" w:rsidRPr="00226E9E" w:rsidRDefault="0035132E" w:rsidP="003E2FEA">
            <w:pPr>
              <w:pStyle w:val="Tabletext"/>
              <w:spacing w:line="240" w:lineRule="auto"/>
              <w:rPr>
                <w:b/>
                <w:sz w:val="22"/>
              </w:rPr>
            </w:pPr>
            <w:r w:rsidRPr="00226E9E">
              <w:rPr>
                <w:b/>
                <w:sz w:val="22"/>
              </w:rPr>
              <w:t>Distribution</w:t>
            </w:r>
          </w:p>
        </w:tc>
        <w:tc>
          <w:tcPr>
            <w:tcW w:w="1701" w:type="dxa"/>
            <w:tcBorders>
              <w:top w:val="nil"/>
            </w:tcBorders>
            <w:shd w:val="clear" w:color="auto" w:fill="17365D" w:themeFill="text2" w:themeFillShade="BF"/>
            <w:vAlign w:val="bottom"/>
          </w:tcPr>
          <w:p w:rsidR="0035132E" w:rsidRPr="00226E9E" w:rsidRDefault="0035132E" w:rsidP="003E2FEA">
            <w:pPr>
              <w:pStyle w:val="Tabletext"/>
              <w:spacing w:line="240" w:lineRule="auto"/>
              <w:rPr>
                <w:b/>
                <w:sz w:val="22"/>
              </w:rPr>
            </w:pPr>
            <w:r w:rsidRPr="00226E9E">
              <w:rPr>
                <w:b/>
                <w:sz w:val="22"/>
              </w:rPr>
              <w:t>Tenure</w:t>
            </w:r>
          </w:p>
        </w:tc>
        <w:tc>
          <w:tcPr>
            <w:tcW w:w="2521" w:type="dxa"/>
            <w:tcBorders>
              <w:top w:val="nil"/>
            </w:tcBorders>
            <w:shd w:val="clear" w:color="auto" w:fill="17365D" w:themeFill="text2" w:themeFillShade="BF"/>
            <w:vAlign w:val="bottom"/>
          </w:tcPr>
          <w:p w:rsidR="0035132E" w:rsidRPr="00226E9E" w:rsidRDefault="0035132E" w:rsidP="003E2FEA">
            <w:pPr>
              <w:pStyle w:val="Tabletext"/>
              <w:spacing w:line="240" w:lineRule="auto"/>
              <w:rPr>
                <w:b/>
                <w:sz w:val="22"/>
              </w:rPr>
            </w:pPr>
            <w:r w:rsidRPr="00226E9E">
              <w:rPr>
                <w:b/>
                <w:sz w:val="22"/>
              </w:rPr>
              <w:t>Threats</w:t>
            </w:r>
          </w:p>
        </w:tc>
      </w:tr>
      <w:tr w:rsidR="0018674C" w:rsidTr="00A26CAC">
        <w:trPr>
          <w:trHeight w:val="3767"/>
          <w:jc w:val="center"/>
        </w:trPr>
        <w:tc>
          <w:tcPr>
            <w:tcW w:w="1720" w:type="dxa"/>
            <w:shd w:val="clear" w:color="auto" w:fill="auto"/>
            <w:vAlign w:val="center"/>
          </w:tcPr>
          <w:p w:rsidR="0035132E" w:rsidRPr="00226E9E" w:rsidRDefault="0035132E" w:rsidP="003E2FEA">
            <w:pPr>
              <w:pStyle w:val="Tabletext"/>
              <w:spacing w:line="240" w:lineRule="auto"/>
              <w:rPr>
                <w:sz w:val="22"/>
              </w:rPr>
            </w:pPr>
            <w:r w:rsidRPr="00226E9E">
              <w:rPr>
                <w:sz w:val="22"/>
              </w:rPr>
              <w:t>New South Wales</w:t>
            </w:r>
          </w:p>
        </w:tc>
        <w:tc>
          <w:tcPr>
            <w:tcW w:w="4065" w:type="dxa"/>
            <w:shd w:val="clear" w:color="auto" w:fill="auto"/>
            <w:vAlign w:val="center"/>
          </w:tcPr>
          <w:p w:rsidR="0035132E" w:rsidRPr="00226E9E" w:rsidRDefault="0035132E" w:rsidP="003E2FEA">
            <w:pPr>
              <w:pStyle w:val="Tabletext"/>
              <w:spacing w:after="240" w:line="240" w:lineRule="auto"/>
              <w:rPr>
                <w:sz w:val="22"/>
              </w:rPr>
            </w:pPr>
            <w:r w:rsidRPr="00226E9E">
              <w:rPr>
                <w:sz w:val="22"/>
              </w:rPr>
              <w:t>Riverina region of south-western NSW, in the area bounded by the Cobb Highway between Deniliquin and Willandra National Park to the west, Narrandera and Urana to the east, and Billabong Creek to the south. Known, scattered records from and to the south of Deniliquin.</w:t>
            </w:r>
          </w:p>
          <w:p w:rsidR="0035132E" w:rsidRPr="00226E9E" w:rsidRDefault="0035132E" w:rsidP="003E2FEA">
            <w:pPr>
              <w:pStyle w:val="Tabletext"/>
              <w:spacing w:after="240" w:line="240" w:lineRule="auto"/>
              <w:rPr>
                <w:sz w:val="22"/>
                <w:highlight w:val="yellow"/>
              </w:rPr>
            </w:pPr>
            <w:r w:rsidRPr="00226E9E">
              <w:rPr>
                <w:sz w:val="22"/>
              </w:rPr>
              <w:t>Occasional sighting in grasslands and other veg types in western NSW</w:t>
            </w:r>
            <w:r w:rsidR="00836E2B">
              <w:rPr>
                <w:sz w:val="22"/>
              </w:rPr>
              <w:t>.</w:t>
            </w:r>
          </w:p>
        </w:tc>
        <w:tc>
          <w:tcPr>
            <w:tcW w:w="1701" w:type="dxa"/>
            <w:shd w:val="clear" w:color="auto" w:fill="auto"/>
            <w:vAlign w:val="center"/>
          </w:tcPr>
          <w:p w:rsidR="0035132E" w:rsidRPr="00226E9E" w:rsidRDefault="0035132E" w:rsidP="003E2FEA">
            <w:pPr>
              <w:pStyle w:val="Tabletext"/>
              <w:spacing w:after="240" w:line="240" w:lineRule="auto"/>
              <w:rPr>
                <w:sz w:val="22"/>
              </w:rPr>
            </w:pPr>
            <w:r w:rsidRPr="00226E9E">
              <w:rPr>
                <w:sz w:val="22"/>
              </w:rPr>
              <w:t>National Parks</w:t>
            </w:r>
          </w:p>
          <w:p w:rsidR="0035132E" w:rsidRPr="00226E9E" w:rsidRDefault="0035132E" w:rsidP="003E2FEA">
            <w:pPr>
              <w:pStyle w:val="Tabletext"/>
              <w:spacing w:after="240" w:line="240" w:lineRule="auto"/>
              <w:rPr>
                <w:sz w:val="22"/>
              </w:rPr>
            </w:pPr>
            <w:r w:rsidRPr="00226E9E">
              <w:rPr>
                <w:sz w:val="22"/>
              </w:rPr>
              <w:t>Travelling stock routes</w:t>
            </w:r>
          </w:p>
          <w:p w:rsidR="0035132E" w:rsidRPr="00226E9E" w:rsidRDefault="0035132E" w:rsidP="003E2FEA">
            <w:pPr>
              <w:pStyle w:val="Tabletext"/>
              <w:spacing w:after="240" w:line="240" w:lineRule="auto"/>
              <w:rPr>
                <w:sz w:val="22"/>
              </w:rPr>
            </w:pPr>
            <w:r w:rsidRPr="00226E9E">
              <w:rPr>
                <w:sz w:val="22"/>
              </w:rPr>
              <w:t>Privately-owned lands</w:t>
            </w:r>
          </w:p>
          <w:p w:rsidR="0035132E" w:rsidRPr="00226E9E" w:rsidRDefault="0035132E" w:rsidP="003E2FEA">
            <w:pPr>
              <w:pStyle w:val="Tabletext"/>
              <w:spacing w:after="240" w:line="240" w:lineRule="auto"/>
              <w:rPr>
                <w:sz w:val="22"/>
              </w:rPr>
            </w:pPr>
            <w:r w:rsidRPr="00226E9E">
              <w:rPr>
                <w:sz w:val="22"/>
              </w:rPr>
              <w:t>Commonwealth Defence Land</w:t>
            </w:r>
          </w:p>
          <w:p w:rsidR="0035132E" w:rsidRPr="00226E9E" w:rsidRDefault="0035132E" w:rsidP="003E2FEA">
            <w:pPr>
              <w:pStyle w:val="Tabletext"/>
              <w:spacing w:after="240" w:line="240" w:lineRule="auto"/>
              <w:rPr>
                <w:sz w:val="22"/>
                <w:highlight w:val="yellow"/>
              </w:rPr>
            </w:pPr>
            <w:r w:rsidRPr="00226E9E">
              <w:rPr>
                <w:sz w:val="22"/>
              </w:rPr>
              <w:t>RailCorp land</w:t>
            </w:r>
          </w:p>
        </w:tc>
        <w:tc>
          <w:tcPr>
            <w:tcW w:w="2521" w:type="dxa"/>
            <w:shd w:val="clear" w:color="auto" w:fill="auto"/>
            <w:vAlign w:val="center"/>
          </w:tcPr>
          <w:p w:rsidR="0035132E" w:rsidRPr="00226E9E" w:rsidRDefault="0035132E" w:rsidP="003E2FEA">
            <w:pPr>
              <w:spacing w:before="240" w:after="240" w:line="240" w:lineRule="auto"/>
              <w:rPr>
                <w:sz w:val="22"/>
                <w:lang w:eastAsia="en-AU"/>
              </w:rPr>
            </w:pPr>
            <w:r w:rsidRPr="00226E9E">
              <w:rPr>
                <w:sz w:val="22"/>
                <w:lang w:eastAsia="en-AU"/>
              </w:rPr>
              <w:t xml:space="preserve">Small population </w:t>
            </w:r>
          </w:p>
          <w:p w:rsidR="0035132E" w:rsidRPr="00226E9E" w:rsidRDefault="0035132E" w:rsidP="003E2FEA">
            <w:pPr>
              <w:spacing w:after="240" w:line="240" w:lineRule="auto"/>
              <w:rPr>
                <w:sz w:val="22"/>
                <w:lang w:eastAsia="en-AU"/>
              </w:rPr>
            </w:pPr>
            <w:r w:rsidRPr="00226E9E">
              <w:rPr>
                <w:sz w:val="22"/>
                <w:lang w:eastAsia="en-AU"/>
              </w:rPr>
              <w:t>Inappropriate habitat management</w:t>
            </w:r>
          </w:p>
          <w:p w:rsidR="0035132E" w:rsidRPr="00226E9E" w:rsidRDefault="0035132E" w:rsidP="003E2FEA">
            <w:pPr>
              <w:spacing w:after="240" w:line="240" w:lineRule="auto"/>
              <w:rPr>
                <w:sz w:val="22"/>
                <w:lang w:eastAsia="en-AU"/>
              </w:rPr>
            </w:pPr>
            <w:r w:rsidRPr="00226E9E">
              <w:rPr>
                <w:sz w:val="22"/>
                <w:lang w:eastAsia="en-AU"/>
              </w:rPr>
              <w:t>Prolonged drought</w:t>
            </w:r>
          </w:p>
          <w:p w:rsidR="0035132E" w:rsidRPr="00226E9E" w:rsidRDefault="0035132E" w:rsidP="003E2FEA">
            <w:pPr>
              <w:spacing w:after="240" w:line="240" w:lineRule="auto"/>
              <w:rPr>
                <w:sz w:val="22"/>
                <w:lang w:eastAsia="en-AU"/>
              </w:rPr>
            </w:pPr>
            <w:r w:rsidRPr="00226E9E">
              <w:rPr>
                <w:sz w:val="22"/>
                <w:lang w:eastAsia="en-AU"/>
              </w:rPr>
              <w:t>Wildfire</w:t>
            </w:r>
          </w:p>
          <w:p w:rsidR="0035132E" w:rsidRPr="00226E9E" w:rsidRDefault="0035132E" w:rsidP="003E2FEA">
            <w:pPr>
              <w:spacing w:after="240" w:line="240" w:lineRule="auto"/>
              <w:rPr>
                <w:sz w:val="22"/>
                <w:lang w:eastAsia="en-AU"/>
              </w:rPr>
            </w:pPr>
            <w:r w:rsidRPr="00226E9E">
              <w:rPr>
                <w:sz w:val="22"/>
                <w:lang w:eastAsia="en-AU"/>
              </w:rPr>
              <w:t>Habitat loss</w:t>
            </w:r>
          </w:p>
          <w:p w:rsidR="0035132E" w:rsidRPr="00226E9E" w:rsidRDefault="0035132E" w:rsidP="003E2FEA">
            <w:pPr>
              <w:spacing w:after="240" w:line="240" w:lineRule="auto"/>
              <w:rPr>
                <w:sz w:val="22"/>
                <w:lang w:eastAsia="en-AU"/>
              </w:rPr>
            </w:pPr>
            <w:r w:rsidRPr="00226E9E">
              <w:rPr>
                <w:sz w:val="22"/>
                <w:lang w:eastAsia="en-AU"/>
              </w:rPr>
              <w:t xml:space="preserve">Feral predators </w:t>
            </w:r>
          </w:p>
          <w:p w:rsidR="0035132E" w:rsidRPr="00226E9E" w:rsidRDefault="0035132E" w:rsidP="003E2FEA">
            <w:pPr>
              <w:spacing w:after="240" w:line="240" w:lineRule="auto"/>
              <w:rPr>
                <w:sz w:val="22"/>
                <w:highlight w:val="yellow"/>
              </w:rPr>
            </w:pPr>
            <w:r w:rsidRPr="00226E9E">
              <w:rPr>
                <w:sz w:val="22"/>
                <w:lang w:eastAsia="en-AU"/>
              </w:rPr>
              <w:t>Pesticide use</w:t>
            </w:r>
          </w:p>
        </w:tc>
      </w:tr>
      <w:tr w:rsidR="0018674C" w:rsidTr="00A26CAC">
        <w:trPr>
          <w:trHeight w:val="4064"/>
          <w:jc w:val="center"/>
        </w:trPr>
        <w:tc>
          <w:tcPr>
            <w:tcW w:w="1720" w:type="dxa"/>
            <w:shd w:val="clear" w:color="auto" w:fill="auto"/>
            <w:vAlign w:val="center"/>
          </w:tcPr>
          <w:p w:rsidR="0035132E" w:rsidRPr="00226E9E" w:rsidRDefault="0035132E" w:rsidP="003E2FEA">
            <w:pPr>
              <w:pStyle w:val="Tabletext"/>
              <w:spacing w:after="240" w:line="240" w:lineRule="auto"/>
              <w:rPr>
                <w:sz w:val="22"/>
              </w:rPr>
            </w:pPr>
            <w:r w:rsidRPr="00226E9E">
              <w:rPr>
                <w:sz w:val="22"/>
              </w:rPr>
              <w:t>Victoria</w:t>
            </w:r>
          </w:p>
        </w:tc>
        <w:tc>
          <w:tcPr>
            <w:tcW w:w="4065" w:type="dxa"/>
            <w:shd w:val="clear" w:color="auto" w:fill="auto"/>
            <w:vAlign w:val="center"/>
          </w:tcPr>
          <w:p w:rsidR="0035132E" w:rsidRPr="00226E9E" w:rsidRDefault="0035132E" w:rsidP="003E2FEA">
            <w:pPr>
              <w:pStyle w:val="Tabletext"/>
              <w:spacing w:before="240" w:after="240" w:line="240" w:lineRule="auto"/>
              <w:rPr>
                <w:sz w:val="22"/>
              </w:rPr>
            </w:pPr>
            <w:r w:rsidRPr="00226E9E">
              <w:rPr>
                <w:sz w:val="22"/>
              </w:rPr>
              <w:t>Northern Plains in north-central Victoria, which surrounds Terrick Terrick National Park, Bael Bael Nature Conservation Reserve and Trust for Nature</w:t>
            </w:r>
            <w:r w:rsidR="008215C3">
              <w:rPr>
                <w:sz w:val="22"/>
              </w:rPr>
              <w:t>’</w:t>
            </w:r>
            <w:r w:rsidRPr="00226E9E">
              <w:rPr>
                <w:sz w:val="22"/>
              </w:rPr>
              <w:t>s Wanderers Plain, bounded by the Murray Valley Highway to the north, the Northern Highway to the east, Birchip in the west, and the wooded foothills to the south.</w:t>
            </w:r>
          </w:p>
          <w:p w:rsidR="0035132E" w:rsidRPr="00226E9E" w:rsidRDefault="0035132E" w:rsidP="003E2FEA">
            <w:pPr>
              <w:pStyle w:val="Tabletext"/>
              <w:spacing w:after="240" w:line="240" w:lineRule="auto"/>
              <w:rPr>
                <w:sz w:val="22"/>
              </w:rPr>
            </w:pPr>
            <w:r w:rsidRPr="00226E9E">
              <w:rPr>
                <w:sz w:val="22"/>
              </w:rPr>
              <w:t>Victorian Volcanic Plain</w:t>
            </w:r>
            <w:r w:rsidR="008215C3">
              <w:rPr>
                <w:sz w:val="22"/>
              </w:rPr>
              <w:t>.</w:t>
            </w:r>
          </w:p>
          <w:p w:rsidR="0035132E" w:rsidRPr="00226E9E" w:rsidRDefault="0035132E" w:rsidP="003E2FEA">
            <w:pPr>
              <w:pStyle w:val="Tabletext"/>
              <w:spacing w:after="240" w:line="240" w:lineRule="auto"/>
              <w:rPr>
                <w:sz w:val="22"/>
                <w:highlight w:val="yellow"/>
                <w:u w:val="single"/>
              </w:rPr>
            </w:pPr>
            <w:r w:rsidRPr="00226E9E">
              <w:rPr>
                <w:sz w:val="22"/>
              </w:rPr>
              <w:t>Western Grassland Reserve immediately west of Melbourne</w:t>
            </w:r>
            <w:r w:rsidR="008215C3">
              <w:rPr>
                <w:sz w:val="22"/>
              </w:rPr>
              <w:t>.</w:t>
            </w:r>
          </w:p>
        </w:tc>
        <w:tc>
          <w:tcPr>
            <w:tcW w:w="1701" w:type="dxa"/>
            <w:shd w:val="clear" w:color="auto" w:fill="auto"/>
            <w:vAlign w:val="center"/>
          </w:tcPr>
          <w:p w:rsidR="0035132E" w:rsidRPr="00226E9E" w:rsidRDefault="0035132E" w:rsidP="003E2FEA">
            <w:pPr>
              <w:pStyle w:val="Tabletext"/>
              <w:spacing w:before="240" w:after="240" w:line="240" w:lineRule="auto"/>
              <w:rPr>
                <w:sz w:val="22"/>
              </w:rPr>
            </w:pPr>
            <w:r w:rsidRPr="00226E9E">
              <w:rPr>
                <w:sz w:val="22"/>
              </w:rPr>
              <w:t>National Parks and Nature Conservation Reserves</w:t>
            </w:r>
          </w:p>
          <w:p w:rsidR="0035132E" w:rsidRPr="00226E9E" w:rsidRDefault="0035132E" w:rsidP="003E2FEA">
            <w:pPr>
              <w:pStyle w:val="Tabletext"/>
              <w:spacing w:after="240" w:line="240" w:lineRule="auto"/>
              <w:rPr>
                <w:sz w:val="22"/>
              </w:rPr>
            </w:pPr>
            <w:r w:rsidRPr="00226E9E">
              <w:rPr>
                <w:sz w:val="22"/>
              </w:rPr>
              <w:t>Trust for Nature managed lands</w:t>
            </w:r>
          </w:p>
          <w:p w:rsidR="0035132E" w:rsidRPr="00226E9E" w:rsidRDefault="0035132E" w:rsidP="003E2FEA">
            <w:pPr>
              <w:pStyle w:val="Tabletext"/>
              <w:spacing w:after="240" w:line="240" w:lineRule="auto"/>
              <w:rPr>
                <w:sz w:val="22"/>
                <w:highlight w:val="yellow"/>
              </w:rPr>
            </w:pPr>
            <w:r w:rsidRPr="00226E9E">
              <w:rPr>
                <w:sz w:val="22"/>
              </w:rPr>
              <w:t xml:space="preserve">Privately-owned lands </w:t>
            </w:r>
          </w:p>
        </w:tc>
        <w:tc>
          <w:tcPr>
            <w:tcW w:w="2521" w:type="dxa"/>
            <w:shd w:val="clear" w:color="auto" w:fill="auto"/>
            <w:vAlign w:val="center"/>
          </w:tcPr>
          <w:p w:rsidR="0035132E" w:rsidRPr="00226E9E" w:rsidRDefault="0035132E" w:rsidP="003E2FEA">
            <w:pPr>
              <w:spacing w:before="240" w:after="240" w:line="240" w:lineRule="auto"/>
              <w:rPr>
                <w:sz w:val="22"/>
                <w:lang w:eastAsia="en-AU"/>
              </w:rPr>
            </w:pPr>
            <w:r w:rsidRPr="00226E9E">
              <w:rPr>
                <w:sz w:val="22"/>
                <w:lang w:eastAsia="en-AU"/>
              </w:rPr>
              <w:t xml:space="preserve">Small population </w:t>
            </w:r>
          </w:p>
          <w:p w:rsidR="0035132E" w:rsidRPr="00226E9E" w:rsidRDefault="0035132E" w:rsidP="003E2FEA">
            <w:pPr>
              <w:spacing w:after="240" w:line="240" w:lineRule="auto"/>
              <w:rPr>
                <w:sz w:val="22"/>
                <w:lang w:eastAsia="en-AU"/>
              </w:rPr>
            </w:pPr>
            <w:r w:rsidRPr="00226E9E">
              <w:rPr>
                <w:sz w:val="22"/>
                <w:lang w:eastAsia="en-AU"/>
              </w:rPr>
              <w:t>Habitat loss</w:t>
            </w:r>
          </w:p>
          <w:p w:rsidR="0035132E" w:rsidRPr="00226E9E" w:rsidRDefault="0035132E" w:rsidP="003E2FEA">
            <w:pPr>
              <w:spacing w:after="240" w:line="240" w:lineRule="auto"/>
              <w:rPr>
                <w:sz w:val="22"/>
                <w:lang w:eastAsia="en-AU"/>
              </w:rPr>
            </w:pPr>
            <w:r w:rsidRPr="00226E9E">
              <w:rPr>
                <w:sz w:val="22"/>
                <w:lang w:eastAsia="en-AU"/>
              </w:rPr>
              <w:t>Inappropriate habitat management</w:t>
            </w:r>
          </w:p>
          <w:p w:rsidR="0035132E" w:rsidRPr="00226E9E" w:rsidRDefault="0035132E" w:rsidP="003E2FEA">
            <w:pPr>
              <w:spacing w:after="240" w:line="240" w:lineRule="auto"/>
              <w:rPr>
                <w:sz w:val="22"/>
                <w:lang w:eastAsia="en-AU"/>
              </w:rPr>
            </w:pPr>
            <w:r w:rsidRPr="00226E9E">
              <w:rPr>
                <w:sz w:val="22"/>
                <w:lang w:eastAsia="en-AU"/>
              </w:rPr>
              <w:t>Flooding</w:t>
            </w:r>
          </w:p>
          <w:p w:rsidR="0035132E" w:rsidRPr="00226E9E" w:rsidRDefault="0035132E" w:rsidP="003E2FEA">
            <w:pPr>
              <w:spacing w:after="240" w:line="240" w:lineRule="auto"/>
              <w:rPr>
                <w:sz w:val="22"/>
                <w:lang w:eastAsia="en-AU"/>
              </w:rPr>
            </w:pPr>
            <w:r w:rsidRPr="00226E9E">
              <w:rPr>
                <w:sz w:val="22"/>
                <w:lang w:eastAsia="en-AU"/>
              </w:rPr>
              <w:t>Quail hunting</w:t>
            </w:r>
          </w:p>
          <w:p w:rsidR="0035132E" w:rsidRPr="00226E9E" w:rsidRDefault="0035132E" w:rsidP="003E2FEA">
            <w:pPr>
              <w:spacing w:after="240" w:line="240" w:lineRule="auto"/>
              <w:rPr>
                <w:sz w:val="22"/>
                <w:lang w:eastAsia="en-AU"/>
              </w:rPr>
            </w:pPr>
            <w:r w:rsidRPr="00226E9E">
              <w:rPr>
                <w:sz w:val="22"/>
                <w:lang w:eastAsia="en-AU"/>
              </w:rPr>
              <w:t>Feral predators</w:t>
            </w:r>
          </w:p>
          <w:p w:rsidR="0035132E" w:rsidRPr="00226E9E" w:rsidRDefault="0035132E" w:rsidP="003E2FEA">
            <w:pPr>
              <w:spacing w:after="240" w:line="240" w:lineRule="auto"/>
              <w:rPr>
                <w:sz w:val="22"/>
                <w:lang w:eastAsia="en-AU"/>
              </w:rPr>
            </w:pPr>
            <w:r w:rsidRPr="00226E9E">
              <w:rPr>
                <w:sz w:val="22"/>
                <w:lang w:eastAsia="en-AU"/>
              </w:rPr>
              <w:t>Pesticide use</w:t>
            </w:r>
          </w:p>
        </w:tc>
      </w:tr>
      <w:tr w:rsidR="0018674C" w:rsidTr="00A26CAC">
        <w:trPr>
          <w:trHeight w:val="3062"/>
          <w:jc w:val="center"/>
        </w:trPr>
        <w:tc>
          <w:tcPr>
            <w:tcW w:w="1720" w:type="dxa"/>
            <w:shd w:val="clear" w:color="auto" w:fill="auto"/>
            <w:vAlign w:val="center"/>
          </w:tcPr>
          <w:p w:rsidR="0035132E" w:rsidRPr="00226E9E" w:rsidRDefault="0035132E" w:rsidP="003E2FEA">
            <w:pPr>
              <w:pStyle w:val="Tabletext"/>
              <w:spacing w:after="240" w:line="240" w:lineRule="auto"/>
              <w:rPr>
                <w:sz w:val="22"/>
              </w:rPr>
            </w:pPr>
            <w:r w:rsidRPr="00226E9E">
              <w:rPr>
                <w:sz w:val="22"/>
              </w:rPr>
              <w:t>Queensland</w:t>
            </w:r>
          </w:p>
        </w:tc>
        <w:tc>
          <w:tcPr>
            <w:tcW w:w="4065" w:type="dxa"/>
            <w:shd w:val="clear" w:color="auto" w:fill="auto"/>
            <w:vAlign w:val="center"/>
          </w:tcPr>
          <w:p w:rsidR="0035132E" w:rsidRPr="00226E9E" w:rsidRDefault="0035132E" w:rsidP="003E2FEA">
            <w:pPr>
              <w:pStyle w:val="Tabletext"/>
              <w:spacing w:before="240" w:after="240" w:line="240" w:lineRule="auto"/>
              <w:rPr>
                <w:sz w:val="22"/>
                <w:highlight w:val="yellow"/>
                <w:u w:val="single"/>
              </w:rPr>
            </w:pPr>
            <w:r w:rsidRPr="00226E9E">
              <w:rPr>
                <w:sz w:val="22"/>
              </w:rPr>
              <w:t>Channel country in the far west of the state, with records concentrated in the northern reaches of Astrebla Downs National Park, the southern reaches of Diamantina Lakes National Park, and on Sandringham Station, and with scattered records of the species in native grasslands extending east and south-west from this region.</w:t>
            </w:r>
          </w:p>
        </w:tc>
        <w:tc>
          <w:tcPr>
            <w:tcW w:w="1701" w:type="dxa"/>
            <w:shd w:val="clear" w:color="auto" w:fill="auto"/>
            <w:vAlign w:val="center"/>
          </w:tcPr>
          <w:p w:rsidR="0035132E" w:rsidRPr="00226E9E" w:rsidRDefault="0035132E" w:rsidP="003E2FEA">
            <w:pPr>
              <w:pStyle w:val="Tabletext"/>
              <w:spacing w:before="240" w:after="240" w:line="240" w:lineRule="auto"/>
              <w:rPr>
                <w:sz w:val="22"/>
              </w:rPr>
            </w:pPr>
            <w:r w:rsidRPr="00226E9E">
              <w:rPr>
                <w:sz w:val="22"/>
              </w:rPr>
              <w:t>National Parks</w:t>
            </w:r>
          </w:p>
          <w:p w:rsidR="0035132E" w:rsidRPr="00226E9E" w:rsidRDefault="0035132E" w:rsidP="003E2FEA">
            <w:pPr>
              <w:pStyle w:val="Tabletext"/>
              <w:spacing w:after="240" w:line="240" w:lineRule="auto"/>
              <w:rPr>
                <w:sz w:val="22"/>
              </w:rPr>
            </w:pPr>
            <w:r w:rsidRPr="00226E9E">
              <w:rPr>
                <w:sz w:val="22"/>
              </w:rPr>
              <w:t>Privately-owned lands</w:t>
            </w:r>
          </w:p>
          <w:p w:rsidR="0035132E" w:rsidRPr="00226E9E" w:rsidRDefault="0035132E" w:rsidP="003E2FEA">
            <w:pPr>
              <w:pStyle w:val="Tabletext"/>
              <w:spacing w:after="240" w:line="240" w:lineRule="auto"/>
              <w:rPr>
                <w:sz w:val="22"/>
                <w:highlight w:val="yellow"/>
              </w:rPr>
            </w:pPr>
            <w:r w:rsidRPr="00226E9E">
              <w:rPr>
                <w:sz w:val="22"/>
              </w:rPr>
              <w:t>Leasehold land</w:t>
            </w:r>
          </w:p>
        </w:tc>
        <w:tc>
          <w:tcPr>
            <w:tcW w:w="2521" w:type="dxa"/>
            <w:shd w:val="clear" w:color="auto" w:fill="auto"/>
            <w:vAlign w:val="center"/>
          </w:tcPr>
          <w:p w:rsidR="0035132E" w:rsidRPr="00226E9E" w:rsidRDefault="0035132E" w:rsidP="003E2FEA">
            <w:pPr>
              <w:pStyle w:val="Tabletext"/>
              <w:spacing w:before="240" w:after="240" w:line="240" w:lineRule="auto"/>
              <w:rPr>
                <w:sz w:val="22"/>
              </w:rPr>
            </w:pPr>
            <w:r w:rsidRPr="00226E9E">
              <w:rPr>
                <w:sz w:val="22"/>
                <w:lang w:eastAsia="en-AU"/>
              </w:rPr>
              <w:t xml:space="preserve">Small population </w:t>
            </w:r>
          </w:p>
          <w:p w:rsidR="0035132E" w:rsidRPr="00226E9E" w:rsidRDefault="0035132E" w:rsidP="003E2FEA">
            <w:pPr>
              <w:pStyle w:val="Tabletext"/>
              <w:spacing w:after="240" w:line="240" w:lineRule="auto"/>
              <w:rPr>
                <w:sz w:val="22"/>
                <w:lang w:eastAsia="en-AU"/>
              </w:rPr>
            </w:pPr>
            <w:r w:rsidRPr="00226E9E">
              <w:rPr>
                <w:sz w:val="22"/>
                <w:lang w:eastAsia="en-AU"/>
              </w:rPr>
              <w:t>Inappropriate habitat management</w:t>
            </w:r>
          </w:p>
          <w:p w:rsidR="0035132E" w:rsidRPr="00226E9E" w:rsidRDefault="0035132E" w:rsidP="003E2FEA">
            <w:pPr>
              <w:pStyle w:val="Tabletext"/>
              <w:spacing w:after="240" w:line="240" w:lineRule="auto"/>
              <w:rPr>
                <w:sz w:val="22"/>
                <w:lang w:eastAsia="en-AU"/>
              </w:rPr>
            </w:pPr>
            <w:r w:rsidRPr="00226E9E">
              <w:rPr>
                <w:sz w:val="22"/>
                <w:lang w:eastAsia="en-AU"/>
              </w:rPr>
              <w:t>Feral predators</w:t>
            </w:r>
          </w:p>
          <w:p w:rsidR="0035132E" w:rsidRPr="00226E9E" w:rsidRDefault="0035132E" w:rsidP="003E2FEA">
            <w:pPr>
              <w:pStyle w:val="Tabletext"/>
              <w:spacing w:after="240" w:line="240" w:lineRule="auto"/>
              <w:rPr>
                <w:sz w:val="22"/>
                <w:highlight w:val="yellow"/>
              </w:rPr>
            </w:pPr>
            <w:r w:rsidRPr="00226E9E">
              <w:rPr>
                <w:sz w:val="22"/>
                <w:lang w:eastAsia="en-AU"/>
              </w:rPr>
              <w:t>Lack of knowledge of distribution of key populations and habitat</w:t>
            </w:r>
          </w:p>
        </w:tc>
      </w:tr>
      <w:tr w:rsidR="0018674C" w:rsidTr="00A26CAC">
        <w:trPr>
          <w:trHeight w:val="268"/>
          <w:jc w:val="center"/>
        </w:trPr>
        <w:tc>
          <w:tcPr>
            <w:tcW w:w="1720" w:type="dxa"/>
            <w:shd w:val="clear" w:color="auto" w:fill="auto"/>
            <w:vAlign w:val="center"/>
          </w:tcPr>
          <w:p w:rsidR="0035132E" w:rsidRPr="00226E9E" w:rsidRDefault="0035132E" w:rsidP="003E2FEA">
            <w:pPr>
              <w:pStyle w:val="Tabletext"/>
              <w:spacing w:after="240" w:line="240" w:lineRule="auto"/>
              <w:rPr>
                <w:sz w:val="22"/>
              </w:rPr>
            </w:pPr>
            <w:r w:rsidRPr="00226E9E">
              <w:rPr>
                <w:sz w:val="22"/>
              </w:rPr>
              <w:t>South Australia</w:t>
            </w:r>
          </w:p>
        </w:tc>
        <w:tc>
          <w:tcPr>
            <w:tcW w:w="4065" w:type="dxa"/>
            <w:shd w:val="clear" w:color="auto" w:fill="auto"/>
            <w:vAlign w:val="center"/>
          </w:tcPr>
          <w:p w:rsidR="0035132E" w:rsidRPr="00226E9E" w:rsidRDefault="0035132E" w:rsidP="003E2FEA">
            <w:pPr>
              <w:pStyle w:val="Tabletext"/>
              <w:spacing w:before="240" w:after="240" w:line="240" w:lineRule="auto"/>
              <w:rPr>
                <w:sz w:val="22"/>
                <w:highlight w:val="yellow"/>
                <w:u w:val="single"/>
              </w:rPr>
            </w:pPr>
            <w:r w:rsidRPr="00226E9E">
              <w:rPr>
                <w:sz w:val="22"/>
              </w:rPr>
              <w:t>Willochra Plain north-east of Quorn, and in some adjacent areas of the southern Flinders Ranges, and north of the Barrier Highway (and west of Broken Hill) on Kalabity, Boolcoomatta, Bundera and Mulyungarie Stations, also irregularly occurs in the arid regions of northern South Australia.</w:t>
            </w:r>
          </w:p>
        </w:tc>
        <w:tc>
          <w:tcPr>
            <w:tcW w:w="1701" w:type="dxa"/>
            <w:shd w:val="clear" w:color="auto" w:fill="auto"/>
            <w:vAlign w:val="center"/>
          </w:tcPr>
          <w:p w:rsidR="0035132E" w:rsidRPr="00226E9E" w:rsidRDefault="0035132E" w:rsidP="003E2FEA">
            <w:pPr>
              <w:pStyle w:val="Tabletext"/>
              <w:spacing w:after="240" w:line="240" w:lineRule="auto"/>
              <w:rPr>
                <w:sz w:val="22"/>
                <w:highlight w:val="yellow"/>
              </w:rPr>
            </w:pPr>
            <w:r w:rsidRPr="00226E9E">
              <w:rPr>
                <w:sz w:val="22"/>
              </w:rPr>
              <w:t xml:space="preserve">Bush Heritage Australia  managed </w:t>
            </w:r>
            <w:r>
              <w:rPr>
                <w:sz w:val="22"/>
              </w:rPr>
              <w:t xml:space="preserve"> </w:t>
            </w:r>
            <w:r w:rsidRPr="00226E9E">
              <w:rPr>
                <w:sz w:val="22"/>
              </w:rPr>
              <w:t>land</w:t>
            </w:r>
          </w:p>
          <w:p w:rsidR="0035132E" w:rsidRPr="00226E9E" w:rsidRDefault="0035132E" w:rsidP="003E2FEA">
            <w:pPr>
              <w:pStyle w:val="Tabletext"/>
              <w:spacing w:after="240" w:line="240" w:lineRule="auto"/>
              <w:rPr>
                <w:sz w:val="22"/>
                <w:highlight w:val="yellow"/>
              </w:rPr>
            </w:pPr>
            <w:r w:rsidRPr="00226E9E">
              <w:rPr>
                <w:sz w:val="22"/>
              </w:rPr>
              <w:t>Privately-owned lands</w:t>
            </w:r>
          </w:p>
        </w:tc>
        <w:tc>
          <w:tcPr>
            <w:tcW w:w="2521" w:type="dxa"/>
            <w:shd w:val="clear" w:color="auto" w:fill="auto"/>
            <w:vAlign w:val="center"/>
          </w:tcPr>
          <w:p w:rsidR="0035132E" w:rsidRPr="00226E9E" w:rsidRDefault="0035132E" w:rsidP="003E2FEA">
            <w:pPr>
              <w:pStyle w:val="Tabletext"/>
              <w:spacing w:before="240" w:after="240" w:line="240" w:lineRule="auto"/>
              <w:rPr>
                <w:sz w:val="22"/>
              </w:rPr>
            </w:pPr>
            <w:r w:rsidRPr="00226E9E">
              <w:rPr>
                <w:sz w:val="22"/>
                <w:lang w:eastAsia="en-AU"/>
              </w:rPr>
              <w:t xml:space="preserve">Small population </w:t>
            </w:r>
          </w:p>
          <w:p w:rsidR="0035132E" w:rsidRPr="00226E9E" w:rsidRDefault="0035132E" w:rsidP="003E2FEA">
            <w:pPr>
              <w:pStyle w:val="Tabletext"/>
              <w:spacing w:after="240" w:line="240" w:lineRule="auto"/>
              <w:rPr>
                <w:sz w:val="22"/>
                <w:lang w:eastAsia="en-AU"/>
              </w:rPr>
            </w:pPr>
            <w:r w:rsidRPr="00226E9E">
              <w:rPr>
                <w:sz w:val="22"/>
                <w:lang w:eastAsia="en-AU"/>
              </w:rPr>
              <w:t xml:space="preserve">Inappropriate habitat management </w:t>
            </w:r>
          </w:p>
          <w:p w:rsidR="0035132E" w:rsidRPr="00226E9E" w:rsidRDefault="0035132E" w:rsidP="003E2FEA">
            <w:pPr>
              <w:pStyle w:val="Tabletext"/>
              <w:spacing w:after="240" w:line="240" w:lineRule="auto"/>
              <w:rPr>
                <w:sz w:val="22"/>
                <w:lang w:eastAsia="en-AU"/>
              </w:rPr>
            </w:pPr>
            <w:r w:rsidRPr="00226E9E">
              <w:rPr>
                <w:sz w:val="22"/>
                <w:lang w:eastAsia="en-AU"/>
              </w:rPr>
              <w:t>Feral predators</w:t>
            </w:r>
          </w:p>
          <w:p w:rsidR="0035132E" w:rsidRPr="00226E9E" w:rsidRDefault="0035132E" w:rsidP="003E2FEA">
            <w:pPr>
              <w:pStyle w:val="Tabletext"/>
              <w:spacing w:after="240" w:line="240" w:lineRule="auto"/>
              <w:rPr>
                <w:rFonts w:cs="Arial"/>
                <w:b/>
                <w:sz w:val="22"/>
                <w:lang w:eastAsia="en-AU"/>
              </w:rPr>
            </w:pPr>
            <w:r w:rsidRPr="00226E9E">
              <w:rPr>
                <w:sz w:val="22"/>
                <w:lang w:eastAsia="en-AU"/>
              </w:rPr>
              <w:t>Lack of knowledge of distribution of key populations and habitat</w:t>
            </w:r>
          </w:p>
        </w:tc>
      </w:tr>
    </w:tbl>
    <w:p w:rsidR="0035132E" w:rsidRPr="00226E9E" w:rsidRDefault="0035132E" w:rsidP="003E2FEA">
      <w:pPr>
        <w:spacing w:after="240"/>
        <w:rPr>
          <w:sz w:val="22"/>
        </w:rPr>
        <w:sectPr w:rsidR="0035132E" w:rsidRPr="00226E9E" w:rsidSect="005E2592">
          <w:pgSz w:w="11906" w:h="16838" w:code="9"/>
          <w:pgMar w:top="1134" w:right="1276" w:bottom="567" w:left="1418" w:header="425" w:footer="425" w:gutter="0"/>
          <w:cols w:space="708"/>
          <w:titlePg/>
          <w:docGrid w:linePitch="360"/>
        </w:sectPr>
      </w:pPr>
    </w:p>
    <w:p w:rsidR="0035132E" w:rsidRPr="00226E9E" w:rsidRDefault="00204645" w:rsidP="003E2FEA">
      <w:pPr>
        <w:pStyle w:val="Subhead2"/>
        <w:spacing w:line="276" w:lineRule="auto"/>
        <w:ind w:left="-284"/>
        <w:jc w:val="center"/>
      </w:pPr>
      <w:r>
        <w:rPr>
          <w:noProof/>
          <w:lang w:val="en-AU" w:eastAsia="en-AU"/>
        </w:rPr>
        <w:drawing>
          <wp:inline distT="0" distB="0" distL="0" distR="0">
            <wp:extent cx="5849620" cy="8264294"/>
            <wp:effectExtent l="19050" t="0" r="0" b="0"/>
            <wp:docPr id="3" name="Picture 1" descr="Map showing the distribution of the plains-wanderer across its range. The species' 'likely to occur' distribution is centred around the strongholds of the New South Wales Riverina and the Northern Plains of Victoria, with small patches also found in isolated areas of Queensland and South Australia. The species 'may occur' distribution covers a much larger area of predemoninantly semi-arid areas of the four range states. Ecological communites overlapping with the species distribution are also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7166\AppData\Local\Microsoft\Windows\Temporary Internet Files\Content.Outlook\MSN9QI2L\Recovery Plan_Pedionomus_torquatus_906_version3.jpg"/>
                    <pic:cNvPicPr>
                      <a:picLocks noChangeAspect="1" noChangeArrowheads="1"/>
                    </pic:cNvPicPr>
                  </pic:nvPicPr>
                  <pic:blipFill>
                    <a:blip r:embed="rId24" cstate="print"/>
                    <a:srcRect/>
                    <a:stretch>
                      <a:fillRect/>
                    </a:stretch>
                  </pic:blipFill>
                  <pic:spPr bwMode="auto">
                    <a:xfrm>
                      <a:off x="0" y="0"/>
                      <a:ext cx="5849620" cy="8264294"/>
                    </a:xfrm>
                    <a:prstGeom prst="rect">
                      <a:avLst/>
                    </a:prstGeom>
                    <a:noFill/>
                    <a:ln w="9525">
                      <a:noFill/>
                      <a:miter lim="800000"/>
                      <a:headEnd/>
                      <a:tailEnd/>
                    </a:ln>
                  </pic:spPr>
                </pic:pic>
              </a:graphicData>
            </a:graphic>
          </wp:inline>
        </w:drawing>
      </w:r>
    </w:p>
    <w:p w:rsidR="0035132E" w:rsidRPr="00A26CAC" w:rsidRDefault="0035132E" w:rsidP="003E2FEA">
      <w:pPr>
        <w:pStyle w:val="Caption"/>
        <w:jc w:val="center"/>
        <w:rPr>
          <w:b w:val="0"/>
          <w:i/>
          <w:sz w:val="22"/>
          <w:szCs w:val="22"/>
        </w:rPr>
      </w:pPr>
      <w:bookmarkStart w:id="117" w:name="_Toc417633339"/>
      <w:r w:rsidRPr="00A26CAC">
        <w:rPr>
          <w:i/>
          <w:sz w:val="22"/>
          <w:szCs w:val="22"/>
        </w:rPr>
        <w:t xml:space="preserve">Figure 2: </w:t>
      </w:r>
      <w:r w:rsidRPr="00A26CAC">
        <w:rPr>
          <w:b w:val="0"/>
          <w:i/>
          <w:sz w:val="22"/>
          <w:szCs w:val="22"/>
        </w:rPr>
        <w:t>Modelled distribution of the plains-wanderer (Pedionomus torquatus)</w:t>
      </w:r>
      <w:bookmarkEnd w:id="117"/>
    </w:p>
    <w:p w:rsidR="0035132E" w:rsidRPr="00BB6CB7" w:rsidRDefault="0035132E" w:rsidP="003E2FEA">
      <w:pPr>
        <w:rPr>
          <w:szCs w:val="20"/>
        </w:rPr>
        <w:sectPr w:rsidR="0035132E" w:rsidRPr="00BB6CB7" w:rsidSect="005E2592">
          <w:pgSz w:w="11906" w:h="16838" w:code="9"/>
          <w:pgMar w:top="1134" w:right="1276" w:bottom="567" w:left="1418" w:header="425" w:footer="425" w:gutter="0"/>
          <w:cols w:space="708"/>
          <w:titlePg/>
          <w:docGrid w:linePitch="360"/>
        </w:sectPr>
      </w:pPr>
    </w:p>
    <w:p w:rsidR="0035132E" w:rsidRPr="00B97593" w:rsidRDefault="0035132E" w:rsidP="003E2FEA">
      <w:pPr>
        <w:pStyle w:val="Heading1"/>
      </w:pPr>
      <w:bookmarkStart w:id="118" w:name="_Toc256000023"/>
      <w:bookmarkStart w:id="119" w:name="_Toc414615106"/>
      <w:bookmarkStart w:id="120" w:name="_Toc445307813"/>
      <w:r w:rsidRPr="00B97593">
        <w:t>4</w:t>
      </w:r>
      <w:r w:rsidRPr="00B97593">
        <w:tab/>
      </w:r>
      <w:bookmarkEnd w:id="118"/>
      <w:bookmarkEnd w:id="119"/>
      <w:r w:rsidR="00573265">
        <w:t>Threats</w:t>
      </w:r>
      <w:bookmarkEnd w:id="120"/>
      <w:r w:rsidRPr="00B97593">
        <w:t xml:space="preserve"> </w:t>
      </w:r>
    </w:p>
    <w:p w:rsidR="0035132E" w:rsidRPr="00573265" w:rsidRDefault="0035132E" w:rsidP="00573265">
      <w:pPr>
        <w:pStyle w:val="Heading2"/>
      </w:pPr>
      <w:bookmarkStart w:id="121" w:name="_Toc256000024"/>
      <w:bookmarkStart w:id="122" w:name="OLE_LINK1"/>
      <w:bookmarkStart w:id="123" w:name="OLE_LINK2"/>
      <w:bookmarkStart w:id="124" w:name="_Toc390850804"/>
      <w:bookmarkStart w:id="125" w:name="_Toc414615107"/>
      <w:bookmarkStart w:id="126" w:name="_Toc445307814"/>
      <w:r w:rsidRPr="00573265">
        <w:t>4.1 Historical causes of decline</w:t>
      </w:r>
      <w:bookmarkStart w:id="127" w:name="_Toc390850805"/>
      <w:bookmarkEnd w:id="121"/>
      <w:bookmarkEnd w:id="122"/>
      <w:bookmarkEnd w:id="123"/>
      <w:bookmarkEnd w:id="124"/>
      <w:bookmarkEnd w:id="125"/>
      <w:bookmarkEnd w:id="126"/>
    </w:p>
    <w:bookmarkEnd w:id="127"/>
    <w:p w:rsidR="0035132E" w:rsidRPr="00226E9E" w:rsidRDefault="0035132E" w:rsidP="003E2FEA">
      <w:pPr>
        <w:rPr>
          <w:sz w:val="22"/>
        </w:rPr>
      </w:pPr>
      <w:r w:rsidRPr="00226E9E">
        <w:rPr>
          <w:rFonts w:cs="Arial"/>
          <w:sz w:val="22"/>
        </w:rPr>
        <w:t>Historically, the major factor contributing to the decline of the plains-wanderer was habitat loss as a result of the</w:t>
      </w:r>
      <w:r>
        <w:rPr>
          <w:rFonts w:cs="Arial"/>
          <w:sz w:val="22"/>
        </w:rPr>
        <w:t xml:space="preserve"> widespread</w:t>
      </w:r>
      <w:r w:rsidRPr="00226E9E">
        <w:rPr>
          <w:rFonts w:cs="Arial"/>
          <w:sz w:val="22"/>
        </w:rPr>
        <w:t xml:space="preserve"> c</w:t>
      </w:r>
      <w:r>
        <w:rPr>
          <w:rFonts w:cs="Arial"/>
          <w:sz w:val="22"/>
        </w:rPr>
        <w:t>onversion</w:t>
      </w:r>
      <w:r w:rsidRPr="00226E9E">
        <w:rPr>
          <w:rFonts w:cs="Arial"/>
          <w:sz w:val="22"/>
        </w:rPr>
        <w:t xml:space="preserve"> of</w:t>
      </w:r>
      <w:r>
        <w:rPr>
          <w:rFonts w:cs="Arial"/>
          <w:sz w:val="22"/>
        </w:rPr>
        <w:t xml:space="preserve"> lowland native grasslands to</w:t>
      </w:r>
      <w:r w:rsidRPr="00226E9E">
        <w:rPr>
          <w:rFonts w:cs="Arial"/>
          <w:sz w:val="22"/>
        </w:rPr>
        <w:t xml:space="preserve"> </w:t>
      </w:r>
      <w:r w:rsidR="00CF28D7" w:rsidRPr="00226E9E">
        <w:rPr>
          <w:rFonts w:cs="Arial"/>
          <w:sz w:val="22"/>
        </w:rPr>
        <w:t>crop</w:t>
      </w:r>
      <w:r w:rsidR="00CF28D7">
        <w:rPr>
          <w:rFonts w:cs="Arial"/>
          <w:sz w:val="22"/>
        </w:rPr>
        <w:t>s</w:t>
      </w:r>
      <w:r w:rsidR="00CF28D7" w:rsidRPr="00226E9E">
        <w:rPr>
          <w:rFonts w:cs="Arial"/>
          <w:sz w:val="22"/>
        </w:rPr>
        <w:t xml:space="preserve"> </w:t>
      </w:r>
      <w:r w:rsidRPr="00226E9E">
        <w:rPr>
          <w:rFonts w:cs="Arial"/>
          <w:sz w:val="22"/>
        </w:rPr>
        <w:t xml:space="preserve">and dense introduced pastures </w:t>
      </w:r>
      <w:r w:rsidRPr="00226E9E">
        <w:rPr>
          <w:sz w:val="22"/>
        </w:rPr>
        <w:t>(Baker-Gabb, 1998; Bennett, 1983).</w:t>
      </w:r>
      <w:r w:rsidRPr="00226E9E">
        <w:rPr>
          <w:rFonts w:cs="Arial"/>
          <w:sz w:val="22"/>
        </w:rPr>
        <w:t xml:space="preserve"> </w:t>
      </w:r>
      <w:r w:rsidRPr="00226E9E">
        <w:rPr>
          <w:sz w:val="22"/>
        </w:rPr>
        <w:t xml:space="preserve">The loss of habitat has been widespread and extensive, and has caused the distribution of the species to contract markedly. The plains-wanderer is now locally-extinct or near extinct in coastal and sub-coastal areas in all four states in which it is known to occur, and is mainly confined to small inland areas that are subject to grazing (Baker-Gabb, 1998, 2002b; Bennett, 1983; Blakers et al., 1984; Llewellyn, 1975). </w:t>
      </w:r>
    </w:p>
    <w:p w:rsidR="0035132E" w:rsidRPr="00573265" w:rsidRDefault="0035132E" w:rsidP="00573265">
      <w:pPr>
        <w:pStyle w:val="Heading2"/>
      </w:pPr>
      <w:bookmarkStart w:id="128" w:name="_Toc256000025"/>
      <w:bookmarkStart w:id="129" w:name="_Toc390850806"/>
      <w:bookmarkStart w:id="130" w:name="_Toc414615108"/>
      <w:bookmarkStart w:id="131" w:name="_Toc445307815"/>
      <w:r w:rsidRPr="00573265">
        <w:t>4.2 Current threatening processes</w:t>
      </w:r>
      <w:bookmarkEnd w:id="128"/>
      <w:bookmarkEnd w:id="129"/>
      <w:bookmarkEnd w:id="130"/>
      <w:bookmarkEnd w:id="131"/>
    </w:p>
    <w:p w:rsidR="0035132E" w:rsidRPr="00226E9E" w:rsidRDefault="0035132E" w:rsidP="003E2FEA">
      <w:pPr>
        <w:pStyle w:val="Heading3"/>
        <w:rPr>
          <w:sz w:val="22"/>
        </w:rPr>
      </w:pPr>
      <w:bookmarkStart w:id="132" w:name="_Toc256000026"/>
      <w:bookmarkStart w:id="133" w:name="_Toc414615109"/>
      <w:bookmarkStart w:id="134" w:name="_Toc417633456"/>
      <w:bookmarkStart w:id="135" w:name="_Toc421182282"/>
      <w:bookmarkStart w:id="136" w:name="_Toc445307816"/>
      <w:r w:rsidRPr="00226E9E">
        <w:rPr>
          <w:sz w:val="22"/>
        </w:rPr>
        <w:t>4.2.1 Habitat loss</w:t>
      </w:r>
      <w:bookmarkEnd w:id="132"/>
      <w:bookmarkEnd w:id="133"/>
      <w:bookmarkEnd w:id="134"/>
      <w:bookmarkEnd w:id="135"/>
      <w:bookmarkEnd w:id="136"/>
    </w:p>
    <w:p w:rsidR="0035132E" w:rsidRPr="00226E9E" w:rsidRDefault="0035132E" w:rsidP="003E2FEA">
      <w:pPr>
        <w:rPr>
          <w:sz w:val="22"/>
        </w:rPr>
      </w:pPr>
      <w:r w:rsidRPr="00226E9E">
        <w:rPr>
          <w:sz w:val="22"/>
        </w:rPr>
        <w:t xml:space="preserve">Habitat loss is an ongoing threat for </w:t>
      </w:r>
      <w:r w:rsidR="008215C3">
        <w:rPr>
          <w:sz w:val="22"/>
        </w:rPr>
        <w:t xml:space="preserve">the </w:t>
      </w:r>
      <w:r w:rsidRPr="00226E9E">
        <w:rPr>
          <w:sz w:val="22"/>
        </w:rPr>
        <w:t xml:space="preserve">plains-wanderer, both as a direct result of continued </w:t>
      </w:r>
      <w:r>
        <w:rPr>
          <w:sz w:val="22"/>
        </w:rPr>
        <w:t xml:space="preserve">conversion of land for the cultivation of crops </w:t>
      </w:r>
      <w:r w:rsidRPr="00226E9E">
        <w:rPr>
          <w:sz w:val="22"/>
        </w:rPr>
        <w:t xml:space="preserve">and an indirect result of the legacy of habitat fragmentation that has resulted from past land </w:t>
      </w:r>
      <w:r>
        <w:rPr>
          <w:sz w:val="22"/>
        </w:rPr>
        <w:t>conversion</w:t>
      </w:r>
      <w:r w:rsidRPr="00226E9E">
        <w:rPr>
          <w:sz w:val="22"/>
        </w:rPr>
        <w:t xml:space="preserve">. The replacement of native grasslands with introduced pasture or crops can impact on the plains-wanderer in a variety of ways. The widespread replacement of native grasslands in south-eastern Australia has caused the habitat of the plains-wanderer to become fragmented, and this has subsequently caused populations of the plains-wanderer to become isolated from one another (Baker-Gabb, 2002b). The application of fertilisers, or the sowing of introduced species of pasture plants, causes the density of grasslands to increase, and can also encourage the growth of environmental weeds, which render habitats unsuitable for inhabitation by the plains-wanderer, and lead to the temporary or permanent displacement of plains-wanderer populations (Baker-Gabb, 1998, 2002b). </w:t>
      </w:r>
      <w:r w:rsidR="007024BF">
        <w:rPr>
          <w:sz w:val="22"/>
        </w:rPr>
        <w:t xml:space="preserve">Similarly, if vegetation dynamics in a region are altered in a manner that leads to the thickening of vegetation, and incursion of woody vegetation into native grasslands, this can also result </w:t>
      </w:r>
      <w:r w:rsidR="00743844">
        <w:rPr>
          <w:sz w:val="22"/>
        </w:rPr>
        <w:t xml:space="preserve">in </w:t>
      </w:r>
      <w:r w:rsidR="007024BF">
        <w:rPr>
          <w:sz w:val="22"/>
        </w:rPr>
        <w:t xml:space="preserve">a reduction in the availability of habitat suitable to plains-wanderers.  </w:t>
      </w:r>
      <w:r w:rsidRPr="00226E9E">
        <w:rPr>
          <w:sz w:val="22"/>
        </w:rPr>
        <w:t xml:space="preserve">However, active management </w:t>
      </w:r>
      <w:r w:rsidR="006B1E42">
        <w:rPr>
          <w:sz w:val="22"/>
        </w:rPr>
        <w:t>of</w:t>
      </w:r>
      <w:r w:rsidRPr="00226E9E">
        <w:rPr>
          <w:sz w:val="22"/>
        </w:rPr>
        <w:t xml:space="preserve"> grassland vegetation can </w:t>
      </w:r>
      <w:r w:rsidR="006B1E42">
        <w:rPr>
          <w:sz w:val="22"/>
        </w:rPr>
        <w:t xml:space="preserve">assist the </w:t>
      </w:r>
      <w:r w:rsidRPr="00226E9E">
        <w:rPr>
          <w:sz w:val="22"/>
        </w:rPr>
        <w:t>recover</w:t>
      </w:r>
      <w:r w:rsidR="006B1E42">
        <w:rPr>
          <w:sz w:val="22"/>
        </w:rPr>
        <w:t>y of</w:t>
      </w:r>
      <w:r w:rsidR="006B1E42" w:rsidRPr="006B1E42">
        <w:rPr>
          <w:sz w:val="22"/>
        </w:rPr>
        <w:t xml:space="preserve"> </w:t>
      </w:r>
      <w:r w:rsidR="006B1E42" w:rsidRPr="00226E9E">
        <w:rPr>
          <w:sz w:val="22"/>
        </w:rPr>
        <w:t>habitat values</w:t>
      </w:r>
      <w:r w:rsidRPr="00226E9E">
        <w:rPr>
          <w:sz w:val="22"/>
        </w:rPr>
        <w:t xml:space="preserve"> appropriate</w:t>
      </w:r>
      <w:r w:rsidR="006B1E42">
        <w:rPr>
          <w:sz w:val="22"/>
        </w:rPr>
        <w:t xml:space="preserve"> for plains-wanderers and provide suitable habitat in key population strongholds</w:t>
      </w:r>
      <w:r w:rsidRPr="00226E9E">
        <w:rPr>
          <w:sz w:val="22"/>
        </w:rPr>
        <w:t xml:space="preserve"> (Wong et al., 2010).</w:t>
      </w:r>
      <w:r w:rsidR="00EA6993">
        <w:rPr>
          <w:sz w:val="22"/>
        </w:rPr>
        <w:t xml:space="preserve"> Similarly</w:t>
      </w:r>
      <w:r w:rsidR="00FA494C">
        <w:rPr>
          <w:sz w:val="22"/>
        </w:rPr>
        <w:t>, with appropriate management and resourcing, former cropping land can be restored to provide suitable plains-wanderer habitat (Antos, 2014).</w:t>
      </w:r>
      <w:r w:rsidR="00EA6993">
        <w:rPr>
          <w:sz w:val="22"/>
        </w:rPr>
        <w:t xml:space="preserve"> </w:t>
      </w:r>
    </w:p>
    <w:p w:rsidR="0035132E" w:rsidRPr="00226E9E" w:rsidRDefault="0035132E" w:rsidP="003E2FEA">
      <w:pPr>
        <w:pStyle w:val="Heading3"/>
        <w:rPr>
          <w:sz w:val="22"/>
        </w:rPr>
      </w:pPr>
      <w:bookmarkStart w:id="137" w:name="_Toc256000027"/>
      <w:bookmarkStart w:id="138" w:name="_Toc414615110"/>
      <w:bookmarkStart w:id="139" w:name="_Toc417633457"/>
      <w:bookmarkStart w:id="140" w:name="_Toc421182283"/>
      <w:bookmarkStart w:id="141" w:name="_Toc445307817"/>
      <w:r w:rsidRPr="00226E9E">
        <w:rPr>
          <w:sz w:val="22"/>
        </w:rPr>
        <w:t>4.2.2 Inappropriate grazing</w:t>
      </w:r>
      <w:bookmarkEnd w:id="137"/>
      <w:bookmarkEnd w:id="138"/>
      <w:bookmarkEnd w:id="139"/>
      <w:bookmarkEnd w:id="140"/>
      <w:bookmarkEnd w:id="141"/>
    </w:p>
    <w:p w:rsidR="006B1E42" w:rsidRDefault="0035132E" w:rsidP="003E2FEA">
      <w:pPr>
        <w:rPr>
          <w:i/>
          <w:sz w:val="22"/>
        </w:rPr>
      </w:pPr>
      <w:r w:rsidRPr="00226E9E">
        <w:rPr>
          <w:sz w:val="22"/>
        </w:rPr>
        <w:t xml:space="preserve">Whilst grazing is an important component of plains-wanderer management, both overgrazing and insufficient grazing have the potential to negatively impact upon the species. Plains-wanderers have been shown to co-exist with light to moderate grazing </w:t>
      </w:r>
      <w:r w:rsidRPr="00226E9E">
        <w:rPr>
          <w:rFonts w:cs="Arial"/>
          <w:sz w:val="22"/>
        </w:rPr>
        <w:t>(Baker-Gabb et al., 1990; Deiz &amp; Foreman, 1996)</w:t>
      </w:r>
      <w:r>
        <w:rPr>
          <w:rFonts w:cs="Arial"/>
          <w:sz w:val="22"/>
        </w:rPr>
        <w:t xml:space="preserve">. </w:t>
      </w:r>
      <w:r w:rsidR="00C35855">
        <w:rPr>
          <w:rFonts w:cs="Arial"/>
          <w:sz w:val="22"/>
        </w:rPr>
        <w:t xml:space="preserve">Photographic guides for visually assessing the grassland structure preferred by plains-wanderers have been developed by both </w:t>
      </w:r>
      <w:r>
        <w:rPr>
          <w:rFonts w:cs="Arial"/>
          <w:sz w:val="22"/>
        </w:rPr>
        <w:t xml:space="preserve">New South Wales Parks and Wildlife Service (Parker and Oliver, 2006) </w:t>
      </w:r>
      <w:r w:rsidR="00C35855">
        <w:rPr>
          <w:rFonts w:cs="Arial"/>
          <w:sz w:val="22"/>
        </w:rPr>
        <w:t xml:space="preserve">and Parks Victoria (PV, 2014), </w:t>
      </w:r>
      <w:r>
        <w:rPr>
          <w:rFonts w:cs="Arial"/>
          <w:sz w:val="22"/>
        </w:rPr>
        <w:t>and can be used as an aid for managing grazing for the species</w:t>
      </w:r>
      <w:r w:rsidRPr="00226E9E">
        <w:rPr>
          <w:rFonts w:cs="Arial"/>
          <w:sz w:val="22"/>
        </w:rPr>
        <w:t xml:space="preserve">. </w:t>
      </w:r>
      <w:r w:rsidRPr="00226E9E">
        <w:rPr>
          <w:sz w:val="22"/>
        </w:rPr>
        <w:t>Although appropriately managed grazing may be unlikely to have a negative impact on the grassland</w:t>
      </w:r>
      <w:r>
        <w:rPr>
          <w:sz w:val="22"/>
        </w:rPr>
        <w:t xml:space="preserve"> structure</w:t>
      </w:r>
      <w:r w:rsidRPr="00226E9E">
        <w:rPr>
          <w:sz w:val="22"/>
        </w:rPr>
        <w:t xml:space="preserve"> (Wong &amp; Morgan, 2012) upon which plains-wanderers rely, further research is required into the effects that various grazing regimes have on the food resources available to the species.</w:t>
      </w:r>
    </w:p>
    <w:p w:rsidR="007024BF" w:rsidRDefault="007024BF">
      <w:pPr>
        <w:spacing w:after="0" w:line="240" w:lineRule="auto"/>
        <w:rPr>
          <w:i/>
          <w:sz w:val="22"/>
        </w:rPr>
      </w:pPr>
      <w:r>
        <w:rPr>
          <w:i/>
          <w:sz w:val="22"/>
        </w:rPr>
        <w:br w:type="page"/>
      </w:r>
    </w:p>
    <w:p w:rsidR="0035132E" w:rsidRPr="00226E9E" w:rsidRDefault="0035132E" w:rsidP="003E2FEA">
      <w:pPr>
        <w:rPr>
          <w:i/>
          <w:sz w:val="22"/>
        </w:rPr>
      </w:pPr>
      <w:r w:rsidRPr="00226E9E">
        <w:rPr>
          <w:i/>
          <w:sz w:val="22"/>
        </w:rPr>
        <w:t>Droughts and extended dry periods with overgrazing</w:t>
      </w:r>
    </w:p>
    <w:p w:rsidR="0035132E" w:rsidRPr="00226E9E" w:rsidRDefault="0035132E" w:rsidP="003E2FEA">
      <w:pPr>
        <w:rPr>
          <w:i/>
          <w:sz w:val="22"/>
        </w:rPr>
      </w:pPr>
      <w:r w:rsidRPr="00226E9E">
        <w:rPr>
          <w:sz w:val="22"/>
        </w:rPr>
        <w:t xml:space="preserve">The overgrazing of native grasslands by domestic livestock and rabbits </w:t>
      </w:r>
      <w:r w:rsidRPr="00226E9E">
        <w:rPr>
          <w:rFonts w:eastAsia="Times New Roman" w:cs="Arial"/>
          <w:sz w:val="22"/>
          <w:lang w:eastAsia="en-AU"/>
        </w:rPr>
        <w:t>(</w:t>
      </w:r>
      <w:r w:rsidRPr="00226E9E">
        <w:rPr>
          <w:rFonts w:eastAsia="Times New Roman" w:cs="Arial"/>
          <w:i/>
          <w:iCs/>
          <w:sz w:val="22"/>
          <w:lang w:eastAsia="en-AU"/>
        </w:rPr>
        <w:t>Oryctolagus culiculus</w:t>
      </w:r>
      <w:r w:rsidRPr="00226E9E">
        <w:rPr>
          <w:rFonts w:eastAsia="Times New Roman" w:cs="Arial"/>
          <w:sz w:val="22"/>
          <w:lang w:eastAsia="en-AU"/>
        </w:rPr>
        <w:t>)</w:t>
      </w:r>
      <w:r w:rsidRPr="00226E9E">
        <w:rPr>
          <w:sz w:val="22"/>
        </w:rPr>
        <w:t>, particularly during drought conditions, can result in the temporary displacement of the species from areas of preferred habitat on a local or regional scale, and an increase in the rate of mortality (Baker-Gabb, 2002b; Baker-Gabb et al., 1990; D'Ombrain, 1926; Harrington et al., 1988; NPWS, 2002).</w:t>
      </w:r>
      <w:r w:rsidRPr="00226E9E">
        <w:rPr>
          <w:rFonts w:cs="Arial"/>
          <w:sz w:val="22"/>
        </w:rPr>
        <w:t xml:space="preserve"> </w:t>
      </w:r>
      <w:r w:rsidRPr="00226E9E">
        <w:rPr>
          <w:sz w:val="22"/>
        </w:rPr>
        <w:t xml:space="preserve">Plains-wanderers </w:t>
      </w:r>
      <w:r>
        <w:rPr>
          <w:sz w:val="22"/>
        </w:rPr>
        <w:t xml:space="preserve">can </w:t>
      </w:r>
      <w:r w:rsidRPr="00226E9E">
        <w:rPr>
          <w:sz w:val="22"/>
        </w:rPr>
        <w:t>co-exist with light to moderate grazing (Baker-Gabb et al., 1990, Deiz &amp; Foreman, 1996)</w:t>
      </w:r>
      <w:r>
        <w:rPr>
          <w:sz w:val="22"/>
        </w:rPr>
        <w:t>, however d</w:t>
      </w:r>
      <w:r w:rsidRPr="002D1547">
        <w:rPr>
          <w:sz w:val="22"/>
        </w:rPr>
        <w:t xml:space="preserve">uring droughts and prolonged dry periods </w:t>
      </w:r>
      <w:r w:rsidRPr="002D1547">
        <w:rPr>
          <w:rFonts w:cs="Arial"/>
          <w:sz w:val="22"/>
        </w:rPr>
        <w:t>very light grazing, or no grazing</w:t>
      </w:r>
      <w:r>
        <w:rPr>
          <w:rFonts w:cs="Arial"/>
          <w:sz w:val="22"/>
        </w:rPr>
        <w:t>,</w:t>
      </w:r>
      <w:r w:rsidRPr="002D1547">
        <w:rPr>
          <w:rFonts w:cs="Arial"/>
          <w:sz w:val="22"/>
        </w:rPr>
        <w:t xml:space="preserve"> is required to maintain suitable habitat structure </w:t>
      </w:r>
      <w:r>
        <w:rPr>
          <w:rFonts w:cs="Arial"/>
          <w:sz w:val="22"/>
        </w:rPr>
        <w:t>(</w:t>
      </w:r>
      <w:r w:rsidRPr="002D1547">
        <w:rPr>
          <w:rFonts w:cs="Arial"/>
          <w:sz w:val="22"/>
        </w:rPr>
        <w:t>Antos, 2013</w:t>
      </w:r>
      <w:r w:rsidR="00B850CB">
        <w:rPr>
          <w:rFonts w:cs="Arial"/>
          <w:sz w:val="22"/>
        </w:rPr>
        <w:t>a</w:t>
      </w:r>
      <w:r w:rsidRPr="002D1547">
        <w:rPr>
          <w:rFonts w:cs="Arial"/>
          <w:sz w:val="22"/>
        </w:rPr>
        <w:t>)</w:t>
      </w:r>
      <w:r w:rsidRPr="002D1547">
        <w:rPr>
          <w:sz w:val="22"/>
        </w:rPr>
        <w:t xml:space="preserve">. </w:t>
      </w:r>
      <w:r w:rsidRPr="00226E9E">
        <w:rPr>
          <w:sz w:val="22"/>
        </w:rPr>
        <w:t>The use of strategic grazing</w:t>
      </w:r>
      <w:r>
        <w:rPr>
          <w:sz w:val="22"/>
        </w:rPr>
        <w:t>, including</w:t>
      </w:r>
      <w:r w:rsidRPr="00226E9E">
        <w:rPr>
          <w:sz w:val="22"/>
        </w:rPr>
        <w:t xml:space="preserve"> fenced stock containment or exclusion areas </w:t>
      </w:r>
      <w:r>
        <w:rPr>
          <w:sz w:val="22"/>
        </w:rPr>
        <w:t xml:space="preserve">(which are </w:t>
      </w:r>
      <w:r w:rsidRPr="00226E9E">
        <w:rPr>
          <w:sz w:val="22"/>
        </w:rPr>
        <w:t>particularly important during drought conditions</w:t>
      </w:r>
      <w:r>
        <w:rPr>
          <w:sz w:val="22"/>
        </w:rPr>
        <w:t xml:space="preserve">), </w:t>
      </w:r>
      <w:r w:rsidRPr="00226E9E">
        <w:rPr>
          <w:sz w:val="22"/>
        </w:rPr>
        <w:t xml:space="preserve">may optimise plains-wanderer habitat cover. </w:t>
      </w:r>
    </w:p>
    <w:p w:rsidR="0035132E" w:rsidRPr="00226E9E" w:rsidRDefault="0035132E" w:rsidP="003E2FEA">
      <w:pPr>
        <w:rPr>
          <w:i/>
          <w:sz w:val="22"/>
        </w:rPr>
      </w:pPr>
      <w:r w:rsidRPr="00226E9E">
        <w:rPr>
          <w:i/>
          <w:sz w:val="22"/>
        </w:rPr>
        <w:t>Excessively wet periods with insufficient grazing</w:t>
      </w:r>
    </w:p>
    <w:p w:rsidR="0035132E" w:rsidRPr="008A6862" w:rsidRDefault="0035132E" w:rsidP="003E2FEA">
      <w:pPr>
        <w:rPr>
          <w:rFonts w:cs="Arial"/>
          <w:highlight w:val="yellow"/>
        </w:rPr>
      </w:pPr>
      <w:r w:rsidRPr="00226E9E">
        <w:rPr>
          <w:sz w:val="22"/>
        </w:rPr>
        <w:t xml:space="preserve">An absence of grazing, or insufficient grazing, when followed by, or following, widespread rainfall and prolific grass growth, can also be deleterious to the species (Baker-Gabb, 2002b; NPWS, 2002, Radford et al., 2013) because it allows the density and/or height of grasses to increase which, consequently, can render native grasslands unsuitable for inhabitation by the plains-wanderer. </w:t>
      </w:r>
      <w:r w:rsidRPr="002B6F0B">
        <w:rPr>
          <w:rFonts w:cs="Arial"/>
          <w:sz w:val="22"/>
        </w:rPr>
        <w:t>Under prolonged wet conditions, a substantial increase in grazing intensity is required (Antos, 2013</w:t>
      </w:r>
      <w:r w:rsidR="00B850CB">
        <w:rPr>
          <w:rFonts w:cs="Arial"/>
          <w:sz w:val="22"/>
        </w:rPr>
        <w:t>a</w:t>
      </w:r>
      <w:r w:rsidRPr="002B6F0B">
        <w:rPr>
          <w:rFonts w:cs="Arial"/>
          <w:sz w:val="22"/>
        </w:rPr>
        <w:t xml:space="preserve">). </w:t>
      </w:r>
      <w:r w:rsidRPr="003F68DE">
        <w:rPr>
          <w:rFonts w:cs="Arial"/>
          <w:sz w:val="22"/>
        </w:rPr>
        <w:t xml:space="preserve">It has been </w:t>
      </w:r>
      <w:r>
        <w:rPr>
          <w:rFonts w:cs="Arial"/>
          <w:sz w:val="22"/>
        </w:rPr>
        <w:t xml:space="preserve">hypothesized that unusually heavy rainfall in winter may be particularly problematic for plains-wanderers as it can result in a proliferation of dense introduced grasses and weeds </w:t>
      </w:r>
      <w:r w:rsidRPr="003F68DE">
        <w:rPr>
          <w:rFonts w:cs="Arial"/>
          <w:sz w:val="22"/>
        </w:rPr>
        <w:t>(Baker-Gabb, 1998)</w:t>
      </w:r>
      <w:r w:rsidR="00D02926">
        <w:rPr>
          <w:rFonts w:cs="Arial"/>
          <w:sz w:val="22"/>
        </w:rPr>
        <w:t>. W</w:t>
      </w:r>
      <w:r>
        <w:rPr>
          <w:rFonts w:cs="Arial"/>
          <w:sz w:val="22"/>
        </w:rPr>
        <w:t>hereas heavy rainfall in summer may not always lead to the creation of dense grasslands that are unsuitable for plains-wanderers as it is more likely to cause increased growth of native grasses which the birds may tolerate (</w:t>
      </w:r>
      <w:r w:rsidR="002C4C78" w:rsidRPr="002C4C78">
        <w:rPr>
          <w:rFonts w:cs="Arial"/>
          <w:sz w:val="22"/>
        </w:rPr>
        <w:t>Wilson et al.</w:t>
      </w:r>
      <w:r w:rsidRPr="002C4C78">
        <w:rPr>
          <w:rFonts w:cs="Arial"/>
          <w:sz w:val="22"/>
        </w:rPr>
        <w:t>, 2014</w:t>
      </w:r>
      <w:r>
        <w:rPr>
          <w:rFonts w:cs="Arial"/>
          <w:sz w:val="22"/>
        </w:rPr>
        <w:t>). Furthermore, some grassland habitats may become inundated for prolonged periods following significant rainfall events (</w:t>
      </w:r>
      <w:r w:rsidR="002C4C78" w:rsidRPr="002C4C78">
        <w:rPr>
          <w:rFonts w:cs="Arial"/>
          <w:sz w:val="22"/>
        </w:rPr>
        <w:t>Wilson et al., 2014</w:t>
      </w:r>
      <w:r>
        <w:rPr>
          <w:rFonts w:cs="Arial"/>
          <w:sz w:val="22"/>
        </w:rPr>
        <w:t>)</w:t>
      </w:r>
      <w:r w:rsidR="0032195B">
        <w:rPr>
          <w:rFonts w:cs="Arial"/>
          <w:sz w:val="22"/>
        </w:rPr>
        <w:t xml:space="preserve"> with grassland structure potentially taking three years to return to a suitable condition for plains-wanderers</w:t>
      </w:r>
      <w:r w:rsidR="001360A0">
        <w:rPr>
          <w:rFonts w:cs="Arial"/>
          <w:sz w:val="22"/>
        </w:rPr>
        <w:t xml:space="preserve"> following flooding </w:t>
      </w:r>
      <w:r w:rsidR="000B543D">
        <w:rPr>
          <w:rFonts w:cs="Arial"/>
          <w:sz w:val="22"/>
        </w:rPr>
        <w:t>after</w:t>
      </w:r>
      <w:r w:rsidR="001360A0">
        <w:rPr>
          <w:rFonts w:cs="Arial"/>
          <w:sz w:val="22"/>
        </w:rPr>
        <w:t xml:space="preserve"> heavy rainfall events</w:t>
      </w:r>
      <w:r w:rsidR="0032195B">
        <w:rPr>
          <w:rFonts w:cs="Arial"/>
          <w:sz w:val="22"/>
        </w:rPr>
        <w:t xml:space="preserve"> (Antos, 2015)</w:t>
      </w:r>
      <w:r w:rsidRPr="003F68DE">
        <w:rPr>
          <w:rFonts w:cs="Arial"/>
          <w:sz w:val="22"/>
        </w:rPr>
        <w:t xml:space="preserve">. </w:t>
      </w:r>
    </w:p>
    <w:p w:rsidR="0035132E" w:rsidRPr="00226E9E" w:rsidRDefault="0035132E" w:rsidP="003E2FEA">
      <w:pPr>
        <w:pStyle w:val="Heading3"/>
        <w:rPr>
          <w:sz w:val="22"/>
        </w:rPr>
      </w:pPr>
      <w:bookmarkStart w:id="142" w:name="_Toc256000028"/>
      <w:bookmarkStart w:id="143" w:name="_Toc414615111"/>
      <w:bookmarkStart w:id="144" w:name="_Toc417633458"/>
      <w:bookmarkStart w:id="145" w:name="_Toc421182284"/>
      <w:bookmarkStart w:id="146" w:name="_Toc445307818"/>
      <w:r w:rsidRPr="00226E9E">
        <w:rPr>
          <w:sz w:val="22"/>
        </w:rPr>
        <w:t>4.2.3 Small population</w:t>
      </w:r>
      <w:bookmarkEnd w:id="142"/>
      <w:bookmarkEnd w:id="143"/>
      <w:bookmarkEnd w:id="144"/>
      <w:bookmarkEnd w:id="145"/>
      <w:bookmarkEnd w:id="146"/>
      <w:r w:rsidRPr="00226E9E">
        <w:rPr>
          <w:sz w:val="22"/>
        </w:rPr>
        <w:t xml:space="preserve"> </w:t>
      </w:r>
    </w:p>
    <w:p w:rsidR="0035132E" w:rsidRPr="00226E9E" w:rsidRDefault="0035132E" w:rsidP="003E2FEA">
      <w:pPr>
        <w:rPr>
          <w:sz w:val="22"/>
        </w:rPr>
      </w:pPr>
      <w:r w:rsidRPr="00226E9E">
        <w:rPr>
          <w:sz w:val="22"/>
        </w:rPr>
        <w:t xml:space="preserve">Plains-wanderers may be exposed to increased extinction risk due to their current historically low population size. Small populations are at increased risk of extinction as chance events may have significant impacts on the population (Caughley, 1994). Such events could include random variations in the encounter and breeding rate or the ratio of male to female offspring. Random fluctuations in environmental conditions or the availability of food and other resources may also impact on small populations. Other potential issues that can impact upon the survival of a small population include reduced genetic diversity and fitness, and the potential for inbreeding </w:t>
      </w:r>
      <w:r w:rsidR="00C16825">
        <w:rPr>
          <w:sz w:val="22"/>
        </w:rPr>
        <w:t>depression (Caughley, 1994).</w:t>
      </w:r>
    </w:p>
    <w:p w:rsidR="0035132E" w:rsidRPr="00226E9E" w:rsidRDefault="0035132E" w:rsidP="003E2FEA">
      <w:pPr>
        <w:pStyle w:val="Heading3"/>
        <w:rPr>
          <w:sz w:val="22"/>
        </w:rPr>
      </w:pPr>
      <w:bookmarkStart w:id="147" w:name="_Toc256000029"/>
      <w:bookmarkStart w:id="148" w:name="_Toc414615112"/>
      <w:bookmarkStart w:id="149" w:name="_Toc417633459"/>
      <w:bookmarkStart w:id="150" w:name="_Toc421182285"/>
      <w:bookmarkStart w:id="151" w:name="_Toc445307819"/>
      <w:r w:rsidRPr="00226E9E">
        <w:rPr>
          <w:sz w:val="22"/>
        </w:rPr>
        <w:t>4.2.4 Predation by feral species</w:t>
      </w:r>
      <w:bookmarkEnd w:id="147"/>
      <w:bookmarkEnd w:id="148"/>
      <w:bookmarkEnd w:id="149"/>
      <w:bookmarkEnd w:id="150"/>
      <w:bookmarkEnd w:id="151"/>
    </w:p>
    <w:p w:rsidR="0035132E" w:rsidRPr="00226E9E" w:rsidRDefault="0035132E" w:rsidP="003E2FEA">
      <w:pPr>
        <w:rPr>
          <w:sz w:val="22"/>
        </w:rPr>
      </w:pPr>
      <w:r w:rsidRPr="00226E9E">
        <w:rPr>
          <w:sz w:val="22"/>
        </w:rPr>
        <w:t>European foxes (</w:t>
      </w:r>
      <w:r w:rsidRPr="00226E9E">
        <w:rPr>
          <w:i/>
          <w:iCs/>
          <w:sz w:val="22"/>
        </w:rPr>
        <w:t>Vulpes vulpes</w:t>
      </w:r>
      <w:r w:rsidRPr="00226E9E">
        <w:rPr>
          <w:sz w:val="22"/>
        </w:rPr>
        <w:t>)</w:t>
      </w:r>
      <w:proofErr w:type="gramStart"/>
      <w:r w:rsidRPr="00226E9E">
        <w:rPr>
          <w:sz w:val="22"/>
        </w:rPr>
        <w:t>,</w:t>
      </w:r>
      <w:proofErr w:type="gramEnd"/>
      <w:r w:rsidRPr="00226E9E">
        <w:rPr>
          <w:sz w:val="22"/>
        </w:rPr>
        <w:t xml:space="preserve"> feral cats (</w:t>
      </w:r>
      <w:r w:rsidRPr="00226E9E">
        <w:rPr>
          <w:i/>
          <w:iCs/>
          <w:sz w:val="22"/>
        </w:rPr>
        <w:t>Felis catus</w:t>
      </w:r>
      <w:r w:rsidRPr="00226E9E">
        <w:rPr>
          <w:sz w:val="22"/>
        </w:rPr>
        <w:t>) and native birds of prey, such as the spotted harrier (</w:t>
      </w:r>
      <w:r w:rsidRPr="00226E9E">
        <w:rPr>
          <w:i/>
          <w:iCs/>
          <w:sz w:val="22"/>
        </w:rPr>
        <w:t>Circus assimilis</w:t>
      </w:r>
      <w:r w:rsidRPr="00226E9E">
        <w:rPr>
          <w:sz w:val="22"/>
        </w:rPr>
        <w:t>) and black falcon (</w:t>
      </w:r>
      <w:r w:rsidRPr="00226E9E">
        <w:rPr>
          <w:i/>
          <w:iCs/>
          <w:sz w:val="22"/>
        </w:rPr>
        <w:t>Falco subniger</w:t>
      </w:r>
      <w:r w:rsidRPr="00226E9E">
        <w:rPr>
          <w:sz w:val="22"/>
        </w:rPr>
        <w:t xml:space="preserve">) are all potential predators of the plains-wanderer (Baker-Gabb, 2002b; Llewellyn, 1975; NPWS, 2002). Predation by foxes is considered a major threat to the species in New South Wales (Llewellyn, 1975), although it is unclear as to the relative importance of this threat (Harrington et al., 1988). It is also possible that predators could pose an increased threat to the plains-wanderer around cultivated land where greater numbers of mice might attract and sustain larger populations of the potential predators (Baker-Gabb, 1998, 2002b; NPWS, 2002). Feral cats are also likely to kill plains-wanderers, although cats, unlike foxes, are not regularly recorded in open grassland habitats where plains-wanderers occur. </w:t>
      </w:r>
      <w:r w:rsidR="007B6F17">
        <w:rPr>
          <w:sz w:val="22"/>
        </w:rPr>
        <w:t>As plains-wanderer nests are located on the ground their eggs may also be vulnerable to predation, however the occurrence and/or extent of this threat are unknown.</w:t>
      </w:r>
    </w:p>
    <w:p w:rsidR="0035132E" w:rsidRPr="00226E9E" w:rsidRDefault="0035132E" w:rsidP="003E2FEA">
      <w:pPr>
        <w:pStyle w:val="Heading3"/>
        <w:rPr>
          <w:sz w:val="22"/>
        </w:rPr>
      </w:pPr>
      <w:bookmarkStart w:id="152" w:name="_Toc256000030"/>
      <w:bookmarkStart w:id="153" w:name="_Toc414615113"/>
      <w:bookmarkStart w:id="154" w:name="_Toc417633460"/>
      <w:bookmarkStart w:id="155" w:name="_Toc421182286"/>
      <w:bookmarkStart w:id="156" w:name="_Toc445307820"/>
      <w:r w:rsidRPr="00226E9E">
        <w:rPr>
          <w:sz w:val="22"/>
        </w:rPr>
        <w:t>4.2.5 Pesticide use</w:t>
      </w:r>
      <w:bookmarkEnd w:id="152"/>
      <w:bookmarkEnd w:id="153"/>
      <w:bookmarkEnd w:id="154"/>
      <w:bookmarkEnd w:id="155"/>
      <w:bookmarkEnd w:id="156"/>
    </w:p>
    <w:p w:rsidR="001648DB" w:rsidRDefault="00520120" w:rsidP="003E2FEA">
      <w:pPr>
        <w:rPr>
          <w:sz w:val="22"/>
        </w:rPr>
      </w:pPr>
      <w:r>
        <w:rPr>
          <w:sz w:val="22"/>
        </w:rPr>
        <w:t>In the 1990s and prior</w:t>
      </w:r>
      <w:r w:rsidR="00C21526">
        <w:rPr>
          <w:sz w:val="22"/>
        </w:rPr>
        <w:t>, b</w:t>
      </w:r>
      <w:r w:rsidR="0035132E">
        <w:rPr>
          <w:sz w:val="22"/>
        </w:rPr>
        <w:t>road-spectrum p</w:t>
      </w:r>
      <w:r w:rsidR="0035132E" w:rsidRPr="00226E9E">
        <w:rPr>
          <w:sz w:val="22"/>
        </w:rPr>
        <w:t xml:space="preserve">esticides such as fenitrothion </w:t>
      </w:r>
      <w:r w:rsidR="00023E3C">
        <w:rPr>
          <w:sz w:val="22"/>
        </w:rPr>
        <w:t>[and fipronil]</w:t>
      </w:r>
      <w:r w:rsidR="00B23851">
        <w:rPr>
          <w:sz w:val="22"/>
        </w:rPr>
        <w:t xml:space="preserve"> </w:t>
      </w:r>
      <w:r w:rsidR="00C21526">
        <w:rPr>
          <w:sz w:val="22"/>
        </w:rPr>
        <w:t>were</w:t>
      </w:r>
      <w:r w:rsidR="00C21526" w:rsidRPr="00226E9E">
        <w:rPr>
          <w:sz w:val="22"/>
        </w:rPr>
        <w:t xml:space="preserve"> </w:t>
      </w:r>
      <w:r w:rsidR="0035132E" w:rsidRPr="00226E9E">
        <w:rPr>
          <w:sz w:val="22"/>
        </w:rPr>
        <w:t xml:space="preserve">periodically sprayed </w:t>
      </w:r>
      <w:r w:rsidR="0035132E">
        <w:rPr>
          <w:sz w:val="22"/>
        </w:rPr>
        <w:t xml:space="preserve">from the air </w:t>
      </w:r>
      <w:r w:rsidR="0035132E" w:rsidRPr="00226E9E">
        <w:rPr>
          <w:sz w:val="22"/>
        </w:rPr>
        <w:t xml:space="preserve">over a large proportion of plains-wanderer habitat (Baker-Gabb, 1993; Story &amp; Cox, 2001; Symmons, 1985), in particular to control the Australian plague locust </w:t>
      </w:r>
      <w:r w:rsidR="0035132E" w:rsidRPr="00226E9E">
        <w:rPr>
          <w:i/>
          <w:sz w:val="22"/>
        </w:rPr>
        <w:t>(</w:t>
      </w:r>
      <w:r w:rsidR="0035132E" w:rsidRPr="00226E9E">
        <w:rPr>
          <w:rFonts w:cs="Arial"/>
          <w:i/>
          <w:iCs/>
          <w:sz w:val="22"/>
          <w:lang w:eastAsia="en-AU"/>
        </w:rPr>
        <w:t>Chortoicetes terminifera)</w:t>
      </w:r>
      <w:r w:rsidR="0035132E">
        <w:rPr>
          <w:rFonts w:cs="Arial"/>
          <w:iCs/>
          <w:sz w:val="22"/>
          <w:lang w:eastAsia="en-AU"/>
        </w:rPr>
        <w:t>.</w:t>
      </w:r>
      <w:r w:rsidR="0035132E" w:rsidRPr="00C21526">
        <w:rPr>
          <w:rFonts w:cs="Arial"/>
          <w:iCs/>
          <w:sz w:val="22"/>
          <w:lang w:eastAsia="en-AU"/>
        </w:rPr>
        <w:t xml:space="preserve"> </w:t>
      </w:r>
      <w:r w:rsidR="002E7A59">
        <w:rPr>
          <w:sz w:val="22"/>
        </w:rPr>
        <w:t>However, s</w:t>
      </w:r>
      <w:r w:rsidR="00C21526" w:rsidRPr="00C21526">
        <w:rPr>
          <w:sz w:val="22"/>
        </w:rPr>
        <w:t>ince 2004 the</w:t>
      </w:r>
      <w:r w:rsidR="00700E6E">
        <w:rPr>
          <w:sz w:val="22"/>
        </w:rPr>
        <w:t xml:space="preserve"> Austr</w:t>
      </w:r>
      <w:r w:rsidR="001648DB">
        <w:rPr>
          <w:sz w:val="22"/>
        </w:rPr>
        <w:t>alian Plague Locust Commission</w:t>
      </w:r>
      <w:r w:rsidR="00700E6E">
        <w:rPr>
          <w:sz w:val="22"/>
        </w:rPr>
        <w:t xml:space="preserve"> (APLC)</w:t>
      </w:r>
      <w:r w:rsidR="00C21526" w:rsidRPr="00C21526">
        <w:rPr>
          <w:sz w:val="22"/>
        </w:rPr>
        <w:t xml:space="preserve"> </w:t>
      </w:r>
      <w:r w:rsidR="002E7A59">
        <w:rPr>
          <w:sz w:val="22"/>
        </w:rPr>
        <w:t xml:space="preserve">has </w:t>
      </w:r>
      <w:r w:rsidR="000679EE">
        <w:rPr>
          <w:sz w:val="22"/>
        </w:rPr>
        <w:t xml:space="preserve">largely </w:t>
      </w:r>
      <w:r w:rsidR="002E7A59">
        <w:rPr>
          <w:sz w:val="22"/>
        </w:rPr>
        <w:t>replaced</w:t>
      </w:r>
      <w:r w:rsidR="001648DB">
        <w:rPr>
          <w:sz w:val="22"/>
        </w:rPr>
        <w:t xml:space="preserve"> the aerial </w:t>
      </w:r>
      <w:r w:rsidR="001648DB" w:rsidRPr="00C21526">
        <w:rPr>
          <w:sz w:val="22"/>
        </w:rPr>
        <w:t>application</w:t>
      </w:r>
      <w:r w:rsidR="001648DB">
        <w:rPr>
          <w:sz w:val="22"/>
        </w:rPr>
        <w:t xml:space="preserve"> of</w:t>
      </w:r>
      <w:r w:rsidR="001648DB" w:rsidRPr="00C21526">
        <w:rPr>
          <w:sz w:val="22"/>
        </w:rPr>
        <w:t xml:space="preserve"> chemical pesticide</w:t>
      </w:r>
      <w:r w:rsidR="001648DB">
        <w:rPr>
          <w:sz w:val="22"/>
        </w:rPr>
        <w:t>s with</w:t>
      </w:r>
      <w:r w:rsidR="001648DB" w:rsidRPr="00C21526">
        <w:rPr>
          <w:sz w:val="22"/>
        </w:rPr>
        <w:t xml:space="preserve"> </w:t>
      </w:r>
      <w:r w:rsidR="002E7A59">
        <w:rPr>
          <w:sz w:val="22"/>
        </w:rPr>
        <w:t xml:space="preserve">the </w:t>
      </w:r>
      <w:r w:rsidR="00C21526" w:rsidRPr="00C21526">
        <w:rPr>
          <w:sz w:val="22"/>
        </w:rPr>
        <w:t xml:space="preserve">use of </w:t>
      </w:r>
      <w:r w:rsidR="00C21526">
        <w:rPr>
          <w:sz w:val="22"/>
        </w:rPr>
        <w:t>a</w:t>
      </w:r>
      <w:r w:rsidR="00C21526" w:rsidRPr="00C21526">
        <w:rPr>
          <w:sz w:val="22"/>
        </w:rPr>
        <w:t xml:space="preserve"> biological control agent, </w:t>
      </w:r>
      <w:r w:rsidR="00C21526" w:rsidRPr="00C21526">
        <w:rPr>
          <w:i/>
          <w:sz w:val="22"/>
        </w:rPr>
        <w:t>Metarhizium acridum</w:t>
      </w:r>
      <w:r w:rsidR="00C21526" w:rsidRPr="00C21526">
        <w:rPr>
          <w:sz w:val="22"/>
        </w:rPr>
        <w:t xml:space="preserve"> </w:t>
      </w:r>
      <w:r w:rsidR="00C21526">
        <w:rPr>
          <w:sz w:val="22"/>
        </w:rPr>
        <w:t xml:space="preserve">commonly known as Green Guard, </w:t>
      </w:r>
      <w:r w:rsidR="005D6A26">
        <w:rPr>
          <w:sz w:val="22"/>
        </w:rPr>
        <w:t>within</w:t>
      </w:r>
      <w:r w:rsidR="00C21526" w:rsidRPr="00C21526">
        <w:rPr>
          <w:sz w:val="22"/>
        </w:rPr>
        <w:t xml:space="preserve"> primary and secondary plains-wanderer habitat</w:t>
      </w:r>
      <w:r w:rsidR="001553D1">
        <w:rPr>
          <w:sz w:val="22"/>
        </w:rPr>
        <w:t xml:space="preserve"> (</w:t>
      </w:r>
      <w:r w:rsidR="000679EE">
        <w:rPr>
          <w:sz w:val="22"/>
        </w:rPr>
        <w:t>Story et al., 2007</w:t>
      </w:r>
      <w:r w:rsidR="001553D1">
        <w:rPr>
          <w:sz w:val="22"/>
        </w:rPr>
        <w:t>).</w:t>
      </w:r>
      <w:r w:rsidR="00C21526">
        <w:rPr>
          <w:sz w:val="22"/>
        </w:rPr>
        <w:t xml:space="preserve"> </w:t>
      </w:r>
      <w:r w:rsidR="00023E3C">
        <w:rPr>
          <w:sz w:val="22"/>
        </w:rPr>
        <w:t>In August 2010</w:t>
      </w:r>
      <w:r w:rsidR="001553D1">
        <w:rPr>
          <w:sz w:val="22"/>
        </w:rPr>
        <w:t xml:space="preserve"> the </w:t>
      </w:r>
      <w:r w:rsidR="00700E6E">
        <w:rPr>
          <w:sz w:val="22"/>
        </w:rPr>
        <w:t>APLC</w:t>
      </w:r>
      <w:r w:rsidR="001553D1">
        <w:rPr>
          <w:sz w:val="22"/>
        </w:rPr>
        <w:t xml:space="preserve"> agreed</w:t>
      </w:r>
      <w:r w:rsidR="00023E3C">
        <w:rPr>
          <w:sz w:val="22"/>
        </w:rPr>
        <w:t>, in collaboration</w:t>
      </w:r>
      <w:r w:rsidR="001553D1">
        <w:rPr>
          <w:sz w:val="22"/>
        </w:rPr>
        <w:t xml:space="preserve"> </w:t>
      </w:r>
      <w:r w:rsidR="00023E3C" w:rsidRPr="001553D1">
        <w:rPr>
          <w:sz w:val="22"/>
        </w:rPr>
        <w:t>with the N</w:t>
      </w:r>
      <w:r w:rsidR="00531C8B">
        <w:rPr>
          <w:sz w:val="22"/>
        </w:rPr>
        <w:t xml:space="preserve">ew </w:t>
      </w:r>
      <w:r w:rsidR="00023E3C" w:rsidRPr="001553D1">
        <w:rPr>
          <w:sz w:val="22"/>
        </w:rPr>
        <w:t>S</w:t>
      </w:r>
      <w:r w:rsidR="00531C8B">
        <w:rPr>
          <w:sz w:val="22"/>
        </w:rPr>
        <w:t xml:space="preserve">outh </w:t>
      </w:r>
      <w:r w:rsidR="00023E3C" w:rsidRPr="001553D1">
        <w:rPr>
          <w:sz w:val="22"/>
        </w:rPr>
        <w:t>W</w:t>
      </w:r>
      <w:r w:rsidR="00531C8B">
        <w:rPr>
          <w:sz w:val="22"/>
        </w:rPr>
        <w:t>ales</w:t>
      </w:r>
      <w:r w:rsidR="00023E3C" w:rsidRPr="001553D1">
        <w:rPr>
          <w:sz w:val="22"/>
        </w:rPr>
        <w:t xml:space="preserve"> Office of Environment and Heritage</w:t>
      </w:r>
      <w:r w:rsidR="00023E3C">
        <w:rPr>
          <w:sz w:val="22"/>
        </w:rPr>
        <w:t>, to</w:t>
      </w:r>
      <w:r w:rsidR="001553D1">
        <w:rPr>
          <w:sz w:val="22"/>
        </w:rPr>
        <w:t xml:space="preserve"> an </w:t>
      </w:r>
      <w:r w:rsidR="001553D1" w:rsidRPr="001553D1">
        <w:rPr>
          <w:sz w:val="22"/>
        </w:rPr>
        <w:t xml:space="preserve">operational policy </w:t>
      </w:r>
      <w:r w:rsidR="00147098" w:rsidRPr="001553D1">
        <w:rPr>
          <w:sz w:val="22"/>
        </w:rPr>
        <w:t>specif</w:t>
      </w:r>
      <w:r w:rsidR="00147098">
        <w:rPr>
          <w:sz w:val="22"/>
        </w:rPr>
        <w:t>ying</w:t>
      </w:r>
      <w:r w:rsidR="00147098" w:rsidRPr="001553D1">
        <w:rPr>
          <w:sz w:val="22"/>
        </w:rPr>
        <w:t xml:space="preserve"> </w:t>
      </w:r>
      <w:r w:rsidR="001553D1" w:rsidRPr="001553D1">
        <w:rPr>
          <w:sz w:val="22"/>
        </w:rPr>
        <w:t xml:space="preserve">that </w:t>
      </w:r>
      <w:r w:rsidR="001553D1" w:rsidRPr="001553D1">
        <w:rPr>
          <w:i/>
          <w:sz w:val="22"/>
        </w:rPr>
        <w:t>Metarhizium</w:t>
      </w:r>
      <w:r w:rsidR="001553D1" w:rsidRPr="001553D1">
        <w:rPr>
          <w:sz w:val="22"/>
        </w:rPr>
        <w:t xml:space="preserve"> will be </w:t>
      </w:r>
      <w:r w:rsidR="00023E3C">
        <w:rPr>
          <w:sz w:val="22"/>
        </w:rPr>
        <w:t xml:space="preserve">the only </w:t>
      </w:r>
      <w:r w:rsidR="00023E3C" w:rsidRPr="001553D1">
        <w:rPr>
          <w:sz w:val="22"/>
        </w:rPr>
        <w:t xml:space="preserve">locust control agent </w:t>
      </w:r>
      <w:r w:rsidR="001553D1" w:rsidRPr="001553D1">
        <w:rPr>
          <w:sz w:val="22"/>
        </w:rPr>
        <w:t>applied within 1,500 m upwind of mapped primary and secondary plains-wanderer habitat (</w:t>
      </w:r>
      <w:r w:rsidR="001553DE" w:rsidRPr="001553DE">
        <w:rPr>
          <w:sz w:val="22"/>
        </w:rPr>
        <w:t>Adriaansen</w:t>
      </w:r>
      <w:r w:rsidR="001553D1" w:rsidRPr="001553DE">
        <w:rPr>
          <w:sz w:val="22"/>
        </w:rPr>
        <w:t>, pers comm., 2015</w:t>
      </w:r>
      <w:r w:rsidR="002E7A59">
        <w:rPr>
          <w:sz w:val="22"/>
        </w:rPr>
        <w:t xml:space="preserve">). Furthermore, </w:t>
      </w:r>
      <w:r w:rsidR="00147098">
        <w:rPr>
          <w:sz w:val="22"/>
        </w:rPr>
        <w:t xml:space="preserve">APLC </w:t>
      </w:r>
      <w:r w:rsidR="002E7A59">
        <w:rPr>
          <w:sz w:val="22"/>
        </w:rPr>
        <w:t>annual reports show that aerial spraying for plague locust control has occurred only sporadically over the past decade (</w:t>
      </w:r>
      <w:r w:rsidR="006D3DAF">
        <w:rPr>
          <w:sz w:val="22"/>
        </w:rPr>
        <w:t>APLC</w:t>
      </w:r>
      <w:r w:rsidR="002E7A59">
        <w:rPr>
          <w:sz w:val="22"/>
        </w:rPr>
        <w:t>, 2015).</w:t>
      </w:r>
    </w:p>
    <w:p w:rsidR="00324DE9" w:rsidRPr="00EA1A79" w:rsidRDefault="005D6A26" w:rsidP="003E2FEA">
      <w:pPr>
        <w:rPr>
          <w:sz w:val="22"/>
        </w:rPr>
      </w:pPr>
      <w:r>
        <w:rPr>
          <w:sz w:val="22"/>
        </w:rPr>
        <w:t>W</w:t>
      </w:r>
      <w:r w:rsidR="002620A8" w:rsidRPr="00EA1A79">
        <w:rPr>
          <w:sz w:val="22"/>
        </w:rPr>
        <w:t xml:space="preserve">hile APLC policy </w:t>
      </w:r>
      <w:r w:rsidR="00023E3C" w:rsidRPr="00EA1A79">
        <w:rPr>
          <w:sz w:val="22"/>
        </w:rPr>
        <w:t xml:space="preserve">provides safeguards that may greatly reduce, or potentially negate, the impacts of plague locust control activities on plains-wanderers, </w:t>
      </w:r>
      <w:r w:rsidR="00EA1A79" w:rsidRPr="00EA1A79">
        <w:rPr>
          <w:sz w:val="22"/>
        </w:rPr>
        <w:t xml:space="preserve">a range of broad-spectrum pesticides [including </w:t>
      </w:r>
      <w:r w:rsidR="00023E3C" w:rsidRPr="00EA1A79">
        <w:rPr>
          <w:rFonts w:cs="Arial"/>
          <w:color w:val="000000"/>
          <w:sz w:val="22"/>
        </w:rPr>
        <w:t>fenitrothion and fipronil</w:t>
      </w:r>
      <w:r w:rsidR="00EA1A79" w:rsidRPr="00EA1A79">
        <w:rPr>
          <w:rFonts w:cs="Arial"/>
          <w:color w:val="000000"/>
          <w:sz w:val="22"/>
        </w:rPr>
        <w:t>]</w:t>
      </w:r>
      <w:r w:rsidR="00023E3C" w:rsidRPr="00EA1A79">
        <w:rPr>
          <w:rFonts w:cs="Arial"/>
          <w:color w:val="000000"/>
          <w:sz w:val="22"/>
        </w:rPr>
        <w:t xml:space="preserve"> are available for sale </w:t>
      </w:r>
      <w:r w:rsidR="00324DE9">
        <w:rPr>
          <w:rFonts w:cs="Arial"/>
          <w:color w:val="000000"/>
          <w:sz w:val="22"/>
        </w:rPr>
        <w:t>to the Australian public</w:t>
      </w:r>
      <w:r w:rsidR="00023E3C" w:rsidRPr="00EA1A79">
        <w:rPr>
          <w:rFonts w:cs="Arial"/>
          <w:color w:val="000000"/>
          <w:sz w:val="22"/>
        </w:rPr>
        <w:t xml:space="preserve"> through</w:t>
      </w:r>
      <w:r w:rsidR="00EA1A79" w:rsidRPr="00EA1A79">
        <w:rPr>
          <w:rFonts w:cs="Arial"/>
          <w:color w:val="000000"/>
          <w:sz w:val="22"/>
        </w:rPr>
        <w:t xml:space="preserve"> major</w:t>
      </w:r>
      <w:r w:rsidR="00023E3C" w:rsidRPr="00EA1A79">
        <w:rPr>
          <w:rFonts w:cs="Arial"/>
          <w:color w:val="000000"/>
          <w:sz w:val="22"/>
        </w:rPr>
        <w:t xml:space="preserve"> chemical supply companies</w:t>
      </w:r>
      <w:r w:rsidR="00EA1A79" w:rsidRPr="00EA1A79">
        <w:rPr>
          <w:sz w:val="22"/>
        </w:rPr>
        <w:t>.</w:t>
      </w:r>
      <w:r w:rsidR="002620A8" w:rsidRPr="00EA1A79">
        <w:rPr>
          <w:sz w:val="22"/>
        </w:rPr>
        <w:t xml:space="preserve"> </w:t>
      </w:r>
      <w:r w:rsidR="00B3718A">
        <w:rPr>
          <w:sz w:val="22"/>
        </w:rPr>
        <w:t>In N</w:t>
      </w:r>
      <w:r w:rsidR="00531C8B">
        <w:rPr>
          <w:sz w:val="22"/>
        </w:rPr>
        <w:t xml:space="preserve">ew </w:t>
      </w:r>
      <w:r w:rsidR="00B3718A">
        <w:rPr>
          <w:sz w:val="22"/>
        </w:rPr>
        <w:t>S</w:t>
      </w:r>
      <w:r w:rsidR="00531C8B">
        <w:rPr>
          <w:sz w:val="22"/>
        </w:rPr>
        <w:t xml:space="preserve">outh </w:t>
      </w:r>
      <w:r w:rsidR="00B3718A">
        <w:rPr>
          <w:sz w:val="22"/>
        </w:rPr>
        <w:t>W</w:t>
      </w:r>
      <w:r w:rsidR="00531C8B">
        <w:rPr>
          <w:sz w:val="22"/>
        </w:rPr>
        <w:t>ales</w:t>
      </w:r>
      <w:r w:rsidR="00B3718A">
        <w:rPr>
          <w:sz w:val="22"/>
        </w:rPr>
        <w:t xml:space="preserve"> the use of chemicals on farms is regulated by state legislation and farmers are required to keep records of </w:t>
      </w:r>
      <w:r w:rsidR="009461CA">
        <w:rPr>
          <w:sz w:val="22"/>
        </w:rPr>
        <w:t>their</w:t>
      </w:r>
      <w:r w:rsidR="00B3718A">
        <w:rPr>
          <w:sz w:val="22"/>
        </w:rPr>
        <w:t xml:space="preserve"> usage (</w:t>
      </w:r>
      <w:r w:rsidR="00F304A9">
        <w:rPr>
          <w:sz w:val="22"/>
        </w:rPr>
        <w:t xml:space="preserve">NSW </w:t>
      </w:r>
      <w:r w:rsidR="00B3718A" w:rsidRPr="001553DE">
        <w:rPr>
          <w:sz w:val="22"/>
        </w:rPr>
        <w:t>LLS, 2015</w:t>
      </w:r>
      <w:r w:rsidR="00B3718A">
        <w:rPr>
          <w:sz w:val="22"/>
        </w:rPr>
        <w:t xml:space="preserve">). </w:t>
      </w:r>
      <w:r w:rsidR="001545B9" w:rsidRPr="001545B9">
        <w:rPr>
          <w:rFonts w:cs="Arial"/>
          <w:color w:val="000000"/>
          <w:sz w:val="22"/>
        </w:rPr>
        <w:t xml:space="preserve">However, there is no mechanism for </w:t>
      </w:r>
      <w:r w:rsidR="00C512DA">
        <w:rPr>
          <w:rFonts w:cs="Arial"/>
          <w:color w:val="000000"/>
          <w:sz w:val="22"/>
        </w:rPr>
        <w:t>individual landholder’s records of</w:t>
      </w:r>
      <w:r w:rsidR="00F105C8">
        <w:rPr>
          <w:rFonts w:cs="Arial"/>
          <w:color w:val="000000"/>
          <w:sz w:val="22"/>
        </w:rPr>
        <w:t xml:space="preserve"> pesticide usage across the plains-wanderer’s range to be</w:t>
      </w:r>
      <w:r w:rsidR="001545B9" w:rsidRPr="001545B9">
        <w:rPr>
          <w:rFonts w:cs="Arial"/>
          <w:color w:val="000000"/>
          <w:sz w:val="22"/>
        </w:rPr>
        <w:t xml:space="preserve"> reported back to a central repository</w:t>
      </w:r>
      <w:r w:rsidR="00F105C8">
        <w:rPr>
          <w:rFonts w:cs="Arial"/>
          <w:color w:val="000000"/>
          <w:sz w:val="22"/>
        </w:rPr>
        <w:t>. T</w:t>
      </w:r>
      <w:r w:rsidR="00B23851">
        <w:rPr>
          <w:rFonts w:cs="Arial"/>
          <w:color w:val="000000"/>
          <w:sz w:val="22"/>
        </w:rPr>
        <w:t>hus t</w:t>
      </w:r>
      <w:r w:rsidR="001545B9" w:rsidRPr="001545B9">
        <w:rPr>
          <w:rFonts w:cs="Arial"/>
          <w:color w:val="000000"/>
          <w:sz w:val="22"/>
        </w:rPr>
        <w:t>he</w:t>
      </w:r>
      <w:r w:rsidR="00B23851">
        <w:rPr>
          <w:rFonts w:cs="Arial"/>
          <w:color w:val="000000"/>
          <w:sz w:val="22"/>
        </w:rPr>
        <w:t xml:space="preserve"> </w:t>
      </w:r>
      <w:r w:rsidR="005C01C8">
        <w:rPr>
          <w:rFonts w:cs="Arial"/>
          <w:color w:val="000000"/>
          <w:sz w:val="22"/>
        </w:rPr>
        <w:t>total</w:t>
      </w:r>
      <w:r w:rsidR="005C01C8" w:rsidRPr="001545B9">
        <w:rPr>
          <w:rFonts w:cs="Arial"/>
          <w:color w:val="000000"/>
          <w:sz w:val="22"/>
        </w:rPr>
        <w:t xml:space="preserve"> </w:t>
      </w:r>
      <w:r w:rsidR="001545B9" w:rsidRPr="001545B9">
        <w:rPr>
          <w:rFonts w:cs="Arial"/>
          <w:color w:val="000000"/>
          <w:sz w:val="22"/>
        </w:rPr>
        <w:t>amount of</w:t>
      </w:r>
      <w:r w:rsidR="00F105C8">
        <w:rPr>
          <w:rFonts w:cs="Arial"/>
          <w:color w:val="000000"/>
          <w:sz w:val="22"/>
        </w:rPr>
        <w:t xml:space="preserve"> pesticide</w:t>
      </w:r>
      <w:r w:rsidR="001545B9" w:rsidRPr="001545B9">
        <w:rPr>
          <w:rFonts w:cs="Arial"/>
          <w:color w:val="000000"/>
          <w:sz w:val="22"/>
        </w:rPr>
        <w:t xml:space="preserve"> </w:t>
      </w:r>
      <w:r w:rsidR="00B23851">
        <w:rPr>
          <w:rFonts w:cs="Arial"/>
          <w:color w:val="000000"/>
          <w:sz w:val="22"/>
        </w:rPr>
        <w:t>exposure</w:t>
      </w:r>
      <w:r w:rsidR="00F105C8">
        <w:rPr>
          <w:rFonts w:cs="Arial"/>
          <w:color w:val="000000"/>
          <w:sz w:val="22"/>
        </w:rPr>
        <w:t xml:space="preserve"> to the species</w:t>
      </w:r>
      <w:r w:rsidR="001545B9" w:rsidRPr="001545B9">
        <w:rPr>
          <w:rFonts w:cs="Arial"/>
          <w:color w:val="000000"/>
          <w:sz w:val="22"/>
        </w:rPr>
        <w:t xml:space="preserve"> is unknown.</w:t>
      </w:r>
      <w:r w:rsidR="00F105C8">
        <w:rPr>
          <w:rFonts w:cs="Arial"/>
          <w:color w:val="000000"/>
          <w:sz w:val="22"/>
        </w:rPr>
        <w:t xml:space="preserve"> </w:t>
      </w:r>
      <w:r w:rsidR="0008159A">
        <w:rPr>
          <w:rFonts w:cs="Arial"/>
          <w:color w:val="000000"/>
          <w:sz w:val="22"/>
        </w:rPr>
        <w:t xml:space="preserve">Furthermore, as ground-level </w:t>
      </w:r>
      <w:r w:rsidR="0008159A" w:rsidRPr="001545B9">
        <w:rPr>
          <w:rFonts w:cs="Arial"/>
          <w:color w:val="000000"/>
          <w:sz w:val="22"/>
        </w:rPr>
        <w:t xml:space="preserve">pesticide </w:t>
      </w:r>
      <w:r w:rsidR="0008159A">
        <w:rPr>
          <w:rFonts w:cs="Arial"/>
          <w:color w:val="000000"/>
          <w:sz w:val="22"/>
        </w:rPr>
        <w:t xml:space="preserve">application can involve different application rates and methodologies to aerial spraying, the toxicological and environmental risk profiles associated with private landholder </w:t>
      </w:r>
      <w:r w:rsidR="008F26D4">
        <w:rPr>
          <w:rFonts w:cs="Arial"/>
          <w:color w:val="000000"/>
          <w:sz w:val="22"/>
        </w:rPr>
        <w:t>usage</w:t>
      </w:r>
      <w:r w:rsidR="0008159A">
        <w:rPr>
          <w:rFonts w:cs="Arial"/>
          <w:color w:val="000000"/>
          <w:sz w:val="22"/>
        </w:rPr>
        <w:t xml:space="preserve"> are also not clearly understood.</w:t>
      </w:r>
    </w:p>
    <w:p w:rsidR="00C8362B" w:rsidRPr="00C0048E" w:rsidRDefault="00050846" w:rsidP="003E2FEA">
      <w:pPr>
        <w:rPr>
          <w:sz w:val="22"/>
        </w:rPr>
      </w:pPr>
      <w:r>
        <w:rPr>
          <w:sz w:val="22"/>
        </w:rPr>
        <w:t xml:space="preserve">A review of safety data literature for </w:t>
      </w:r>
      <w:r w:rsidRPr="00050846">
        <w:rPr>
          <w:i/>
          <w:sz w:val="22"/>
        </w:rPr>
        <w:t>Metarhizium anisopliae</w:t>
      </w:r>
      <w:r>
        <w:rPr>
          <w:sz w:val="22"/>
        </w:rPr>
        <w:t xml:space="preserve"> [</w:t>
      </w:r>
      <w:r w:rsidRPr="00050846">
        <w:rPr>
          <w:i/>
          <w:sz w:val="22"/>
        </w:rPr>
        <w:t>M. acridum</w:t>
      </w:r>
      <w:r>
        <w:rPr>
          <w:sz w:val="22"/>
        </w:rPr>
        <w:t xml:space="preserve"> was previously recognised as a variety of </w:t>
      </w:r>
      <w:r w:rsidRPr="00050846">
        <w:rPr>
          <w:i/>
          <w:sz w:val="22"/>
        </w:rPr>
        <w:t>M. anisopliae</w:t>
      </w:r>
      <w:r>
        <w:rPr>
          <w:sz w:val="22"/>
        </w:rPr>
        <w:t>]</w:t>
      </w:r>
      <w:r w:rsidR="00947832">
        <w:rPr>
          <w:sz w:val="22"/>
        </w:rPr>
        <w:t xml:space="preserve"> indicates that no negative effects have been observed in birds following exposure to, or ingestion of, the fungus (Zimmermann, 2007). </w:t>
      </w:r>
      <w:r w:rsidR="009045A3">
        <w:rPr>
          <w:sz w:val="22"/>
        </w:rPr>
        <w:t>However, t</w:t>
      </w:r>
      <w:r w:rsidR="0035132E" w:rsidRPr="00226E9E">
        <w:rPr>
          <w:sz w:val="22"/>
        </w:rPr>
        <w:t xml:space="preserve">he effects </w:t>
      </w:r>
      <w:r w:rsidR="0035132E">
        <w:rPr>
          <w:sz w:val="22"/>
        </w:rPr>
        <w:t xml:space="preserve">of fenitrothion </w:t>
      </w:r>
      <w:r w:rsidR="009045A3">
        <w:rPr>
          <w:sz w:val="22"/>
        </w:rPr>
        <w:t xml:space="preserve">and </w:t>
      </w:r>
      <w:r w:rsidR="00B54302">
        <w:rPr>
          <w:sz w:val="22"/>
        </w:rPr>
        <w:t>fipronil</w:t>
      </w:r>
      <w:r w:rsidR="009045A3">
        <w:rPr>
          <w:sz w:val="22"/>
        </w:rPr>
        <w:t xml:space="preserve"> </w:t>
      </w:r>
      <w:r w:rsidR="0035132E" w:rsidRPr="00226E9E">
        <w:rPr>
          <w:sz w:val="22"/>
        </w:rPr>
        <w:t>on plains-wanderer</w:t>
      </w:r>
      <w:r w:rsidR="009045A3">
        <w:rPr>
          <w:sz w:val="22"/>
        </w:rPr>
        <w:t>s</w:t>
      </w:r>
      <w:r w:rsidR="0035132E" w:rsidRPr="00226E9E">
        <w:rPr>
          <w:sz w:val="22"/>
        </w:rPr>
        <w:t xml:space="preserve"> are largely unknown. </w:t>
      </w:r>
      <w:r w:rsidR="001D4E39">
        <w:rPr>
          <w:sz w:val="22"/>
        </w:rPr>
        <w:t>In one study a</w:t>
      </w:r>
      <w:r w:rsidR="005039A0">
        <w:rPr>
          <w:sz w:val="22"/>
        </w:rPr>
        <w:t xml:space="preserve">vian mortalities </w:t>
      </w:r>
      <w:r w:rsidR="001D4E39">
        <w:rPr>
          <w:sz w:val="22"/>
        </w:rPr>
        <w:t>were</w:t>
      </w:r>
      <w:r w:rsidR="005039A0">
        <w:rPr>
          <w:sz w:val="22"/>
        </w:rPr>
        <w:t xml:space="preserve"> recorded </w:t>
      </w:r>
      <w:r w:rsidR="001D4E39">
        <w:rPr>
          <w:sz w:val="22"/>
        </w:rPr>
        <w:t>in</w:t>
      </w:r>
      <w:r w:rsidR="005039A0">
        <w:rPr>
          <w:sz w:val="22"/>
        </w:rPr>
        <w:t xml:space="preserve"> </w:t>
      </w:r>
      <w:r w:rsidR="00923117">
        <w:rPr>
          <w:sz w:val="22"/>
        </w:rPr>
        <w:t xml:space="preserve">other </w:t>
      </w:r>
      <w:r w:rsidR="005039A0">
        <w:rPr>
          <w:sz w:val="22"/>
        </w:rPr>
        <w:t>bird</w:t>
      </w:r>
      <w:r w:rsidR="00923117">
        <w:rPr>
          <w:sz w:val="22"/>
        </w:rPr>
        <w:t xml:space="preserve"> </w:t>
      </w:r>
      <w:r w:rsidR="005039A0">
        <w:rPr>
          <w:sz w:val="22"/>
        </w:rPr>
        <w:t>s</w:t>
      </w:r>
      <w:r w:rsidR="00923117">
        <w:rPr>
          <w:sz w:val="22"/>
        </w:rPr>
        <w:t>pecies</w:t>
      </w:r>
      <w:r w:rsidR="005039A0">
        <w:rPr>
          <w:sz w:val="22"/>
        </w:rPr>
        <w:t xml:space="preserve"> exposed to fenitr</w:t>
      </w:r>
      <w:r w:rsidR="007711F4">
        <w:rPr>
          <w:sz w:val="22"/>
        </w:rPr>
        <w:t>o</w:t>
      </w:r>
      <w:r w:rsidR="005039A0">
        <w:rPr>
          <w:sz w:val="22"/>
        </w:rPr>
        <w:t>thion at application rates</w:t>
      </w:r>
      <w:r w:rsidR="007711F4">
        <w:rPr>
          <w:sz w:val="22"/>
        </w:rPr>
        <w:t xml:space="preserve"> of eight</w:t>
      </w:r>
      <w:r w:rsidR="005039A0">
        <w:rPr>
          <w:sz w:val="22"/>
        </w:rPr>
        <w:t xml:space="preserve"> ounces/acre (Pearce, 1971)</w:t>
      </w:r>
      <w:r w:rsidR="001D4E39">
        <w:rPr>
          <w:sz w:val="22"/>
        </w:rPr>
        <w:t>, however this rate is significantly greater than the application rate used by the APLC du</w:t>
      </w:r>
      <w:r w:rsidR="00C512DA">
        <w:rPr>
          <w:sz w:val="22"/>
        </w:rPr>
        <w:t xml:space="preserve">ring locust control </w:t>
      </w:r>
      <w:r w:rsidR="004E22EA">
        <w:rPr>
          <w:sz w:val="22"/>
        </w:rPr>
        <w:t>activities</w:t>
      </w:r>
      <w:r w:rsidR="00C512DA">
        <w:rPr>
          <w:sz w:val="22"/>
        </w:rPr>
        <w:t xml:space="preserve">. </w:t>
      </w:r>
      <w:r w:rsidR="009E2B95" w:rsidRPr="009E2B95">
        <w:rPr>
          <w:sz w:val="22"/>
        </w:rPr>
        <w:t>International studies on the effects of repeated sublethal exposure to fenitrothion have documented reduced avian reproductive output and success as a result of disruptions to breeding activity and reductions in the number of young fledged (Varty, 1980); and inability to defend territory, territory abandonment and clutch desertion (Busby et al., 1990). Australian studies on the effect</w:t>
      </w:r>
      <w:r w:rsidR="005C01C8">
        <w:rPr>
          <w:sz w:val="22"/>
        </w:rPr>
        <w:t>s</w:t>
      </w:r>
      <w:r w:rsidR="009E2B95" w:rsidRPr="009E2B95">
        <w:rPr>
          <w:sz w:val="22"/>
        </w:rPr>
        <w:t xml:space="preserve"> of sublethal fenitrothion exposure</w:t>
      </w:r>
      <w:r w:rsidR="005C01C8">
        <w:rPr>
          <w:sz w:val="22"/>
        </w:rPr>
        <w:t xml:space="preserve"> i</w:t>
      </w:r>
      <w:r w:rsidR="009E2B95" w:rsidRPr="009E2B95">
        <w:rPr>
          <w:sz w:val="22"/>
        </w:rPr>
        <w:t xml:space="preserve">n birds have recorded potentially detrimental impacts to reproduction and feeding in a number of species (Fildes et al., 2006a; 2006b; 2009). </w:t>
      </w:r>
    </w:p>
    <w:p w:rsidR="007E6E07" w:rsidRDefault="009461CA" w:rsidP="003E2FEA">
      <w:pPr>
        <w:rPr>
          <w:sz w:val="22"/>
        </w:rPr>
      </w:pPr>
      <w:r w:rsidRPr="00CD3A00">
        <w:rPr>
          <w:sz w:val="22"/>
        </w:rPr>
        <w:t>Furthermore, w</w:t>
      </w:r>
      <w:r w:rsidR="009E2B95" w:rsidRPr="00CD3A00">
        <w:rPr>
          <w:sz w:val="22"/>
        </w:rPr>
        <w:t xml:space="preserve">hile policies regarding aerial spraying of </w:t>
      </w:r>
      <w:r w:rsidR="00CD3A00" w:rsidRPr="00CD3A00">
        <w:rPr>
          <w:sz w:val="22"/>
        </w:rPr>
        <w:t xml:space="preserve">insecticides </w:t>
      </w:r>
      <w:r w:rsidR="009E2B95" w:rsidRPr="00CD3A00">
        <w:rPr>
          <w:sz w:val="22"/>
        </w:rPr>
        <w:t>in mapped plains-wanderer habitat should negate direct impacts to the species, this activity may</w:t>
      </w:r>
      <w:r w:rsidR="007E6E07">
        <w:rPr>
          <w:sz w:val="22"/>
        </w:rPr>
        <w:t xml:space="preserve"> still</w:t>
      </w:r>
      <w:r w:rsidR="009E2B95" w:rsidRPr="00CD3A00">
        <w:rPr>
          <w:sz w:val="22"/>
        </w:rPr>
        <w:t xml:space="preserve"> pose an indirect threat </w:t>
      </w:r>
      <w:r w:rsidR="002C77DF" w:rsidRPr="00CD3A00">
        <w:rPr>
          <w:sz w:val="22"/>
        </w:rPr>
        <w:t>through</w:t>
      </w:r>
      <w:r w:rsidR="009E2B95" w:rsidRPr="00CD3A00">
        <w:rPr>
          <w:sz w:val="22"/>
        </w:rPr>
        <w:t xml:space="preserve"> impacts</w:t>
      </w:r>
      <w:r w:rsidR="002C77DF" w:rsidRPr="00CD3A00">
        <w:rPr>
          <w:sz w:val="22"/>
        </w:rPr>
        <w:t xml:space="preserve"> to food webs</w:t>
      </w:r>
      <w:r w:rsidR="007E6E07">
        <w:rPr>
          <w:sz w:val="22"/>
        </w:rPr>
        <w:t xml:space="preserve"> if the spraying outside of plain</w:t>
      </w:r>
      <w:r w:rsidR="008F26D4">
        <w:rPr>
          <w:sz w:val="22"/>
        </w:rPr>
        <w:t>s</w:t>
      </w:r>
      <w:r w:rsidR="007E6E07">
        <w:rPr>
          <w:sz w:val="22"/>
        </w:rPr>
        <w:t>-wanderer habitat impacts on food abundance within areas that contain plains</w:t>
      </w:r>
      <w:r w:rsidR="008F26D4">
        <w:rPr>
          <w:sz w:val="22"/>
        </w:rPr>
        <w:t>-</w:t>
      </w:r>
      <w:r w:rsidR="007E6E07">
        <w:rPr>
          <w:sz w:val="22"/>
        </w:rPr>
        <w:t xml:space="preserve">wanderers. </w:t>
      </w:r>
    </w:p>
    <w:p w:rsidR="0035132E" w:rsidRPr="00226E9E" w:rsidRDefault="00CB3824" w:rsidP="003E2FEA">
      <w:pPr>
        <w:rPr>
          <w:rFonts w:cs="Arial"/>
          <w:sz w:val="22"/>
        </w:rPr>
      </w:pPr>
      <w:r>
        <w:rPr>
          <w:sz w:val="22"/>
        </w:rPr>
        <w:t>At the time of writing this recovery plan, there had been no studies to indicate that broad scale declines in plains-wanderer numbers were associated with pesticide use. It is currently unknown as to whether pesticide use, either by way or aerial or on-ground application, is having any direct or indirect effects on plains-wanderer numbers.</w:t>
      </w:r>
    </w:p>
    <w:p w:rsidR="0035132E" w:rsidRPr="00226E9E" w:rsidRDefault="0035132E" w:rsidP="003E2FEA">
      <w:pPr>
        <w:pStyle w:val="Heading3"/>
        <w:rPr>
          <w:sz w:val="22"/>
        </w:rPr>
      </w:pPr>
      <w:bookmarkStart w:id="157" w:name="_Toc256000032"/>
      <w:bookmarkStart w:id="158" w:name="_Toc414615115"/>
      <w:bookmarkStart w:id="159" w:name="_Toc417633462"/>
      <w:bookmarkStart w:id="160" w:name="_Toc421182288"/>
      <w:bookmarkStart w:id="161" w:name="_Toc445307821"/>
      <w:r w:rsidRPr="00226E9E">
        <w:rPr>
          <w:sz w:val="22"/>
        </w:rPr>
        <w:t>4.2.7 Planting</w:t>
      </w:r>
      <w:r w:rsidR="000C5A1F">
        <w:rPr>
          <w:sz w:val="22"/>
        </w:rPr>
        <w:t xml:space="preserve"> and natural recruitment of</w:t>
      </w:r>
      <w:r w:rsidRPr="00226E9E">
        <w:rPr>
          <w:sz w:val="22"/>
        </w:rPr>
        <w:t xml:space="preserve"> trees in or near native grasslands.</w:t>
      </w:r>
      <w:bookmarkEnd w:id="157"/>
      <w:bookmarkEnd w:id="158"/>
      <w:bookmarkEnd w:id="159"/>
      <w:bookmarkEnd w:id="160"/>
      <w:bookmarkEnd w:id="161"/>
      <w:r w:rsidRPr="00226E9E">
        <w:rPr>
          <w:sz w:val="22"/>
        </w:rPr>
        <w:t xml:space="preserve">  </w:t>
      </w:r>
    </w:p>
    <w:p w:rsidR="0035132E" w:rsidRDefault="0035132E" w:rsidP="003E2FEA">
      <w:pPr>
        <w:rPr>
          <w:sz w:val="22"/>
        </w:rPr>
      </w:pPr>
      <w:r w:rsidRPr="00226E9E">
        <w:rPr>
          <w:sz w:val="22"/>
        </w:rPr>
        <w:t xml:space="preserve">Plains-wanderers appear to avoid being in close proximity to living or dead trees, with no records of any birds within </w:t>
      </w:r>
      <w:r w:rsidR="007F04A3">
        <w:rPr>
          <w:sz w:val="22"/>
        </w:rPr>
        <w:t>3</w:t>
      </w:r>
      <w:r w:rsidRPr="00226E9E">
        <w:rPr>
          <w:sz w:val="22"/>
        </w:rPr>
        <w:t>00 m of trees of 10 m or greater in height across their strongholds in N</w:t>
      </w:r>
      <w:r>
        <w:rPr>
          <w:sz w:val="22"/>
        </w:rPr>
        <w:t xml:space="preserve">ew </w:t>
      </w:r>
      <w:r w:rsidRPr="00226E9E">
        <w:rPr>
          <w:sz w:val="22"/>
        </w:rPr>
        <w:t>S</w:t>
      </w:r>
      <w:r>
        <w:rPr>
          <w:sz w:val="22"/>
        </w:rPr>
        <w:t xml:space="preserve">outh </w:t>
      </w:r>
      <w:r w:rsidRPr="00226E9E">
        <w:rPr>
          <w:sz w:val="22"/>
        </w:rPr>
        <w:t>W</w:t>
      </w:r>
      <w:r>
        <w:rPr>
          <w:sz w:val="22"/>
        </w:rPr>
        <w:t>ales</w:t>
      </w:r>
      <w:r w:rsidRPr="00226E9E">
        <w:rPr>
          <w:sz w:val="22"/>
        </w:rPr>
        <w:t xml:space="preserve"> and Victoria (Baker-Gabb, 2014). Plains-wanderer avoidance of trees and tall shrubs appears to be a defence strategy to limit the potential for attack by predatory birds that often perch in these trees; furthermore the distance plains-wanderers maintain from trees appears to depend on the height of the tree (Baker-Gabb, 2014). Planting of trees is also a threat to the flora of native grasslands (DSE, 2010)</w:t>
      </w:r>
      <w:r w:rsidR="00E5073E">
        <w:rPr>
          <w:sz w:val="22"/>
        </w:rPr>
        <w:t>.</w:t>
      </w:r>
    </w:p>
    <w:p w:rsidR="0035132E" w:rsidRPr="00072DAC" w:rsidRDefault="0035132E" w:rsidP="003E2FEA">
      <w:pPr>
        <w:pStyle w:val="Heading3"/>
        <w:rPr>
          <w:sz w:val="22"/>
        </w:rPr>
      </w:pPr>
      <w:bookmarkStart w:id="162" w:name="_Toc256000033"/>
      <w:bookmarkStart w:id="163" w:name="_Toc414615116"/>
      <w:bookmarkStart w:id="164" w:name="_Toc417633463"/>
      <w:bookmarkStart w:id="165" w:name="_Toc421182289"/>
      <w:bookmarkStart w:id="166" w:name="_Toc445307822"/>
      <w:r w:rsidRPr="00072DAC">
        <w:rPr>
          <w:sz w:val="22"/>
        </w:rPr>
        <w:t>4.</w:t>
      </w:r>
      <w:r w:rsidR="00170185">
        <w:rPr>
          <w:sz w:val="22"/>
        </w:rPr>
        <w:t>2.8</w:t>
      </w:r>
      <w:r w:rsidRPr="00072DAC">
        <w:rPr>
          <w:sz w:val="22"/>
        </w:rPr>
        <w:t xml:space="preserve"> Other potential threatening processes</w:t>
      </w:r>
      <w:bookmarkEnd w:id="162"/>
      <w:bookmarkEnd w:id="163"/>
      <w:bookmarkEnd w:id="164"/>
      <w:bookmarkEnd w:id="165"/>
      <w:bookmarkEnd w:id="166"/>
    </w:p>
    <w:p w:rsidR="0035132E" w:rsidRPr="00226E9E" w:rsidRDefault="0035132E" w:rsidP="003E2FEA">
      <w:pPr>
        <w:pStyle w:val="ListParagraph"/>
        <w:numPr>
          <w:ilvl w:val="0"/>
          <w:numId w:val="10"/>
        </w:numPr>
        <w:rPr>
          <w:rFonts w:cs="Arial"/>
          <w:sz w:val="22"/>
        </w:rPr>
      </w:pPr>
      <w:r>
        <w:rPr>
          <w:rFonts w:cs="Arial"/>
          <w:sz w:val="22"/>
        </w:rPr>
        <w:t>High-intensity,</w:t>
      </w:r>
      <w:r w:rsidRPr="00226E9E">
        <w:rPr>
          <w:rFonts w:cs="Arial"/>
          <w:sz w:val="22"/>
        </w:rPr>
        <w:t xml:space="preserve"> large-scale fires can degrade or destroy plains-wanderer habitat, particularly following high rainfall when grassland habitat has become dense and tall</w:t>
      </w:r>
      <w:r>
        <w:rPr>
          <w:rFonts w:cs="Arial"/>
          <w:sz w:val="22"/>
        </w:rPr>
        <w:t xml:space="preserve"> and can provide increased fuel loads for wildfires of above-average severity and extent</w:t>
      </w:r>
      <w:r w:rsidRPr="00226E9E">
        <w:rPr>
          <w:rFonts w:cs="Arial"/>
          <w:sz w:val="22"/>
        </w:rPr>
        <w:t xml:space="preserve">. Plains-wanderers can recolonise grasslands post-fire and have been observed to do so within 18 months when the disturbance event has been combined with grazing (Antos, 2014). However, it is unclear how long it may take for grasslands to regenerate to a level which allows birds to recolonise and reach pre-fire abundances. Furthermore, the time required for habitat to become suitable post-fire in the absence of grazing is unknown, although associated avifauna have been observed in suitable habitat within six months of burning events </w:t>
      </w:r>
      <w:r w:rsidRPr="00226E9E">
        <w:rPr>
          <w:sz w:val="22"/>
        </w:rPr>
        <w:t>(NTAG, 2010).</w:t>
      </w:r>
    </w:p>
    <w:p w:rsidR="007C3A9F" w:rsidRDefault="000C5A1F" w:rsidP="003E2FEA">
      <w:pPr>
        <w:pStyle w:val="ListParagraph"/>
        <w:numPr>
          <w:ilvl w:val="0"/>
          <w:numId w:val="10"/>
        </w:numPr>
        <w:rPr>
          <w:rFonts w:cs="Arial"/>
          <w:sz w:val="22"/>
        </w:rPr>
      </w:pPr>
      <w:r>
        <w:rPr>
          <w:sz w:val="22"/>
        </w:rPr>
        <w:t xml:space="preserve">A lack of appropriate burning regimes may also be impacting upon the availability of suitable plains-wanderer habitat. </w:t>
      </w:r>
      <w:r w:rsidR="007C3A9F" w:rsidRPr="00226E9E">
        <w:rPr>
          <w:sz w:val="22"/>
        </w:rPr>
        <w:t xml:space="preserve">Controlled low intensity fires can be a useful tool to manage grassland composition by reducing the dominance of weeds (Wong &amp; Morgan, 2012) and short-lived, winter-growing native species, in particular spear grass (Sinclair, 2014), removing dead plant material, and allowing longer-living summer growing species to flourish (NTAG, 2010). This may be an important part of the management </w:t>
      </w:r>
      <w:r w:rsidR="007C3A9F">
        <w:rPr>
          <w:sz w:val="22"/>
        </w:rPr>
        <w:t>regime</w:t>
      </w:r>
      <w:r w:rsidR="007C3A9F" w:rsidRPr="00226E9E">
        <w:rPr>
          <w:sz w:val="22"/>
        </w:rPr>
        <w:t xml:space="preserve"> in maintaining plains-wanderer habitat as, in the absence of fire and under the presence of grazing, certain prolific grass species (e.g., rough spear grass) may dominate after high rainfall events and close out availabl</w:t>
      </w:r>
      <w:r w:rsidR="007C3A9F">
        <w:rPr>
          <w:sz w:val="22"/>
        </w:rPr>
        <w:t xml:space="preserve">e foraging space (NTAG, 2010). </w:t>
      </w:r>
      <w:r w:rsidR="007C3A9F" w:rsidRPr="00226E9E">
        <w:rPr>
          <w:sz w:val="22"/>
        </w:rPr>
        <w:t>In addition, fire appears to increase the stability of the system through promoting biological soil crusts (Wong &amp; Morgan, 2012), maintaining spatial variability (Wong, 2012) and reducing climate driven fluctuations in f</w:t>
      </w:r>
      <w:r w:rsidR="007C3A9F">
        <w:rPr>
          <w:sz w:val="22"/>
        </w:rPr>
        <w:t xml:space="preserve">unctional traits (Wong, 2012). </w:t>
      </w:r>
      <w:r w:rsidR="007C3A9F" w:rsidRPr="00226E9E">
        <w:rPr>
          <w:sz w:val="22"/>
        </w:rPr>
        <w:t>These changes may also promote flowering in many herbaceous species, which might result in an increase in resources for species such as the plains-wanderer.</w:t>
      </w:r>
      <w:r w:rsidR="002117DA">
        <w:rPr>
          <w:sz w:val="22"/>
        </w:rPr>
        <w:t xml:space="preserve"> </w:t>
      </w:r>
      <w:r w:rsidR="007C3A9F">
        <w:rPr>
          <w:sz w:val="22"/>
        </w:rPr>
        <w:t>F</w:t>
      </w:r>
      <w:r w:rsidR="007C3A9F" w:rsidRPr="00226E9E">
        <w:rPr>
          <w:sz w:val="22"/>
        </w:rPr>
        <w:t xml:space="preserve">urther research is required into the effects that various fire regimes have on habitat availability, food resources available to the species and the reproductive </w:t>
      </w:r>
      <w:r w:rsidR="007C3A9F">
        <w:rPr>
          <w:sz w:val="22"/>
        </w:rPr>
        <w:t>success of small populations.</w:t>
      </w:r>
    </w:p>
    <w:p w:rsidR="0035132E" w:rsidRPr="00226E9E" w:rsidRDefault="0035132E" w:rsidP="003E2FEA">
      <w:pPr>
        <w:pStyle w:val="ListParagraph"/>
        <w:numPr>
          <w:ilvl w:val="0"/>
          <w:numId w:val="10"/>
        </w:numPr>
        <w:rPr>
          <w:rFonts w:cs="Arial"/>
          <w:sz w:val="22"/>
        </w:rPr>
      </w:pPr>
      <w:r w:rsidRPr="00226E9E">
        <w:rPr>
          <w:rFonts w:cs="Arial"/>
          <w:sz w:val="22"/>
        </w:rPr>
        <w:t>Plains-wanderers can occasionally be killed during the quail hunting season as they look superficially similar and are found in the same habitat. Stubble quail (</w:t>
      </w:r>
      <w:proofErr w:type="spellStart"/>
      <w:r w:rsidR="009512A9">
        <w:fldChar w:fldCharType="begin"/>
      </w:r>
      <w:r w:rsidR="00751AD6">
        <w:instrText>HYPERLINK "http://www.environment.gov.au/cgi-bin/sprat/public/publicspecies.pl?taxon_id=59374"</w:instrText>
      </w:r>
      <w:r w:rsidR="009512A9">
        <w:fldChar w:fldCharType="separate"/>
      </w:r>
      <w:r w:rsidRPr="00226E9E">
        <w:rPr>
          <w:i/>
          <w:iCs/>
          <w:sz w:val="22"/>
        </w:rPr>
        <w:t>Coturnix</w:t>
      </w:r>
      <w:proofErr w:type="spellEnd"/>
      <w:r w:rsidRPr="00226E9E">
        <w:rPr>
          <w:i/>
          <w:iCs/>
          <w:sz w:val="22"/>
        </w:rPr>
        <w:t xml:space="preserve"> </w:t>
      </w:r>
      <w:proofErr w:type="spellStart"/>
      <w:r w:rsidRPr="00226E9E">
        <w:rPr>
          <w:i/>
          <w:iCs/>
          <w:sz w:val="22"/>
        </w:rPr>
        <w:t>pectoralis</w:t>
      </w:r>
      <w:proofErr w:type="spellEnd"/>
      <w:r w:rsidR="009512A9">
        <w:fldChar w:fldCharType="end"/>
      </w:r>
      <w:r w:rsidRPr="00226E9E">
        <w:rPr>
          <w:rFonts w:cs="Arial"/>
          <w:sz w:val="22"/>
        </w:rPr>
        <w:t xml:space="preserve">) are a native quail species that can be legally hunted in Victoria. The majority of hunting occurs on private property. There are also 16 State Game Reserves in which hunting is permitted (GMA, 2014). </w:t>
      </w:r>
      <w:r w:rsidRPr="00226E9E">
        <w:rPr>
          <w:sz w:val="22"/>
        </w:rPr>
        <w:t>The degree to which quail hunting is impacting upon plains-wanderer survival is largely unknown; however hunting has the potential to have adverse impacts upon the species due to both incidental shooting and interactions between birds and dogs.</w:t>
      </w:r>
    </w:p>
    <w:p w:rsidR="0035132E" w:rsidRPr="00226E9E" w:rsidRDefault="0035132E" w:rsidP="003E2FEA">
      <w:pPr>
        <w:pStyle w:val="ListParagraph"/>
        <w:numPr>
          <w:ilvl w:val="0"/>
          <w:numId w:val="10"/>
        </w:numPr>
        <w:rPr>
          <w:rFonts w:cs="Arial"/>
          <w:sz w:val="22"/>
        </w:rPr>
      </w:pPr>
      <w:r w:rsidRPr="00226E9E">
        <w:rPr>
          <w:rFonts w:cs="Arial"/>
          <w:sz w:val="22"/>
        </w:rPr>
        <w:t xml:space="preserve">Climate change is likely to impact upon plains-wanderer survival in the future. Within an Australian context predicted future weather conditions may include more frequent and severe bushfires, longer heatwaves, reduced rainfall in southern and eastern areas of Australia and an increase in the extremity and frequency of intense rainfall events causing local flooding (State of the Environment Committee, 2011). A key strategy to mitigate this threat will be to build resilience into the grasslands upon which plains-wanderers rely by reducing annual weeds and increasing native, perennial grasses and herbs, particularly those that persist and provide resources during extreme conditions. </w:t>
      </w:r>
    </w:p>
    <w:p w:rsidR="0035132E" w:rsidRPr="00BB6CB7" w:rsidRDefault="0035132E" w:rsidP="003E2FEA">
      <w:pPr>
        <w:pStyle w:val="Heading1"/>
        <w:ind w:left="709" w:hanging="709"/>
      </w:pPr>
      <w:bookmarkStart w:id="167" w:name="_Toc256000035"/>
      <w:bookmarkStart w:id="168" w:name="_Toc414615117"/>
      <w:bookmarkStart w:id="169" w:name="_Toc445307823"/>
      <w:r w:rsidRPr="00BB6CB7">
        <w:t>5</w:t>
      </w:r>
      <w:r w:rsidRPr="00BB6CB7">
        <w:tab/>
        <w:t>P</w:t>
      </w:r>
      <w:bookmarkEnd w:id="167"/>
      <w:bookmarkEnd w:id="168"/>
      <w:r w:rsidR="00573265">
        <w:t>opulations under particular pressure</w:t>
      </w:r>
      <w:bookmarkEnd w:id="169"/>
      <w:r w:rsidRPr="00BB6CB7">
        <w:t xml:space="preserve"> </w:t>
      </w:r>
    </w:p>
    <w:p w:rsidR="0035132E" w:rsidRPr="00226E9E" w:rsidRDefault="0035132E" w:rsidP="003E2FEA">
      <w:pPr>
        <w:rPr>
          <w:sz w:val="22"/>
        </w:rPr>
      </w:pPr>
      <w:bookmarkStart w:id="170" w:name="_Toc390850807"/>
      <w:r w:rsidRPr="00226E9E">
        <w:rPr>
          <w:sz w:val="22"/>
        </w:rPr>
        <w:t xml:space="preserve">The actions described in this recovery plan are designed to provide ongoing protection for </w:t>
      </w:r>
      <w:r w:rsidR="004A3FA3">
        <w:rPr>
          <w:sz w:val="22"/>
        </w:rPr>
        <w:t xml:space="preserve">the </w:t>
      </w:r>
      <w:r w:rsidRPr="00226E9E">
        <w:rPr>
          <w:sz w:val="22"/>
        </w:rPr>
        <w:t>plains-wanderer throughout the</w:t>
      </w:r>
      <w:r w:rsidR="004A3FA3">
        <w:rPr>
          <w:sz w:val="22"/>
        </w:rPr>
        <w:t xml:space="preserve"> species’</w:t>
      </w:r>
      <w:r w:rsidRPr="00226E9E">
        <w:rPr>
          <w:sz w:val="22"/>
        </w:rPr>
        <w:t xml:space="preserve"> range.</w:t>
      </w:r>
      <w:bookmarkEnd w:id="170"/>
      <w:r w:rsidRPr="00226E9E">
        <w:rPr>
          <w:sz w:val="22"/>
        </w:rPr>
        <w:t xml:space="preserve"> </w:t>
      </w:r>
    </w:p>
    <w:p w:rsidR="0035132E" w:rsidRPr="00226E9E" w:rsidRDefault="0035132E" w:rsidP="003E2FEA">
      <w:pPr>
        <w:rPr>
          <w:sz w:val="22"/>
        </w:rPr>
      </w:pPr>
      <w:r w:rsidRPr="00226E9E">
        <w:rPr>
          <w:sz w:val="22"/>
        </w:rPr>
        <w:t xml:space="preserve">The plains-wanderer is thought to occur in a single widely-dispersed population, rather than in multiple populations (Garnett &amp; Crowley, 2000), but the evidence for this is not strong. The plains-wanderer was formerly much more common and widespread (Bennett, 1983; Blakers et al., 1984; D'Ombrain, 1926; Llewellyn, 1975), but its distribution and population size have declined markedly due to the loss and degradation of sparse, lowland native grasslands, which are its preferred habitat (Baker-Gabb, 2002b; Baker-Gabb et al., 1990; Bennett, 1983). Ongoing declines in population size and habitat availability present significant challenges for the recovery of </w:t>
      </w:r>
      <w:r w:rsidR="0009036C">
        <w:rPr>
          <w:sz w:val="22"/>
        </w:rPr>
        <w:t xml:space="preserve">the </w:t>
      </w:r>
      <w:r w:rsidRPr="00226E9E">
        <w:rPr>
          <w:sz w:val="22"/>
        </w:rPr>
        <w:t>plains-wanderer and exert strong pressures on the</w:t>
      </w:r>
      <w:r w:rsidR="0009036C">
        <w:rPr>
          <w:sz w:val="22"/>
        </w:rPr>
        <w:t xml:space="preserve"> species’</w:t>
      </w:r>
      <w:r w:rsidRPr="00226E9E">
        <w:rPr>
          <w:sz w:val="22"/>
        </w:rPr>
        <w:t xml:space="preserve"> survival in the wild. Given these challenges all populations and locations of plains-wanderers require protective measures.</w:t>
      </w:r>
    </w:p>
    <w:p w:rsidR="0035132E" w:rsidRPr="00BB6CB7" w:rsidRDefault="0035132E" w:rsidP="003E2FEA">
      <w:pPr>
        <w:pStyle w:val="Heading1"/>
      </w:pPr>
      <w:bookmarkStart w:id="171" w:name="_Toc256000036"/>
      <w:bookmarkStart w:id="172" w:name="_Toc414615118"/>
      <w:bookmarkStart w:id="173" w:name="_Toc445307824"/>
      <w:r w:rsidRPr="00BB6CB7">
        <w:t>6</w:t>
      </w:r>
      <w:r w:rsidRPr="00BB6CB7">
        <w:tab/>
      </w:r>
      <w:bookmarkEnd w:id="171"/>
      <w:bookmarkEnd w:id="172"/>
      <w:r w:rsidR="00573265">
        <w:t>Objectives and strategies</w:t>
      </w:r>
      <w:bookmarkEnd w:id="173"/>
    </w:p>
    <w:p w:rsidR="0035132E" w:rsidRPr="00226E9E" w:rsidRDefault="0035132E" w:rsidP="003E2FEA">
      <w:pPr>
        <w:spacing w:after="120"/>
        <w:rPr>
          <w:sz w:val="22"/>
        </w:rPr>
      </w:pPr>
      <w:bookmarkStart w:id="174" w:name="_Toc390850810"/>
      <w:r w:rsidRPr="00226E9E">
        <w:rPr>
          <w:sz w:val="22"/>
        </w:rPr>
        <w:t>The objectives of this recovery plan are to:</w:t>
      </w:r>
    </w:p>
    <w:p w:rsidR="0035132E" w:rsidRPr="00226E9E" w:rsidRDefault="0035132E" w:rsidP="003E2FEA">
      <w:pPr>
        <w:pStyle w:val="ListBullet"/>
        <w:spacing w:after="60"/>
        <w:rPr>
          <w:sz w:val="22"/>
        </w:rPr>
      </w:pPr>
      <w:r w:rsidRPr="00226E9E">
        <w:rPr>
          <w:sz w:val="22"/>
        </w:rPr>
        <w:t>Reverse the long-term population trend of decline and increase the numbers of plains-wanderers to a level where there is a viable, wild breeding population, even in poor breeding years; and to</w:t>
      </w:r>
    </w:p>
    <w:p w:rsidR="0035132E" w:rsidRPr="00F83A21" w:rsidRDefault="00502E2D" w:rsidP="003E2FEA">
      <w:pPr>
        <w:pStyle w:val="ListBullet"/>
        <w:spacing w:after="60"/>
        <w:rPr>
          <w:sz w:val="22"/>
        </w:rPr>
      </w:pPr>
      <w:r w:rsidRPr="00F83A21">
        <w:rPr>
          <w:sz w:val="22"/>
        </w:rPr>
        <w:t xml:space="preserve">Enhance the condition of </w:t>
      </w:r>
      <w:r w:rsidR="0035132E" w:rsidRPr="00F83A21">
        <w:rPr>
          <w:sz w:val="22"/>
        </w:rPr>
        <w:t>habitat</w:t>
      </w:r>
      <w:r w:rsidR="00FA7C5A" w:rsidRPr="00F83A21">
        <w:rPr>
          <w:sz w:val="22"/>
        </w:rPr>
        <w:t xml:space="preserve"> across the plains-wanderers’ range</w:t>
      </w:r>
      <w:r w:rsidR="0035132E" w:rsidRPr="00F83A21">
        <w:rPr>
          <w:sz w:val="22"/>
        </w:rPr>
        <w:t xml:space="preserve"> </w:t>
      </w:r>
      <w:r w:rsidRPr="00F83A21">
        <w:rPr>
          <w:sz w:val="22"/>
        </w:rPr>
        <w:t>to</w:t>
      </w:r>
      <w:r w:rsidR="0035132E" w:rsidRPr="00F83A21">
        <w:rPr>
          <w:sz w:val="22"/>
        </w:rPr>
        <w:t xml:space="preserve"> maximise survival and reproductive success, and provide </w:t>
      </w:r>
      <w:proofErr w:type="spellStart"/>
      <w:r w:rsidR="0035132E" w:rsidRPr="00F83A21">
        <w:rPr>
          <w:sz w:val="22"/>
        </w:rPr>
        <w:t>refugia</w:t>
      </w:r>
      <w:proofErr w:type="spellEnd"/>
      <w:r w:rsidR="0035132E" w:rsidRPr="00F83A21">
        <w:rPr>
          <w:sz w:val="22"/>
        </w:rPr>
        <w:t xml:space="preserve"> during periods of extreme environmental fluctuation.</w:t>
      </w:r>
    </w:p>
    <w:p w:rsidR="0035132E" w:rsidRPr="00226E9E" w:rsidRDefault="0035132E" w:rsidP="003E2FEA">
      <w:pPr>
        <w:pStyle w:val="ListParagraph"/>
        <w:numPr>
          <w:ilvl w:val="0"/>
          <w:numId w:val="0"/>
        </w:numPr>
        <w:spacing w:after="60"/>
        <w:ind w:left="360"/>
        <w:rPr>
          <w:sz w:val="22"/>
        </w:rPr>
      </w:pPr>
    </w:p>
    <w:p w:rsidR="0035132E" w:rsidRPr="00226E9E" w:rsidRDefault="0035132E" w:rsidP="003E2FEA">
      <w:pPr>
        <w:spacing w:after="120"/>
        <w:rPr>
          <w:sz w:val="22"/>
        </w:rPr>
      </w:pPr>
      <w:r w:rsidRPr="00226E9E">
        <w:rPr>
          <w:sz w:val="22"/>
        </w:rPr>
        <w:t xml:space="preserve">The strategies to achieve the plans’ objectives are: </w:t>
      </w:r>
    </w:p>
    <w:p w:rsidR="0035132E" w:rsidRPr="001424B3" w:rsidRDefault="0035132E" w:rsidP="003E2FEA">
      <w:pPr>
        <w:pStyle w:val="ListBullet"/>
        <w:spacing w:after="60"/>
        <w:rPr>
          <w:sz w:val="22"/>
        </w:rPr>
      </w:pPr>
      <w:r w:rsidRPr="00226E9E">
        <w:rPr>
          <w:sz w:val="22"/>
        </w:rPr>
        <w:t xml:space="preserve">Develop and implement a </w:t>
      </w:r>
      <w:r>
        <w:rPr>
          <w:sz w:val="22"/>
        </w:rPr>
        <w:t xml:space="preserve">robust, targeted conservation breeding </w:t>
      </w:r>
      <w:r w:rsidRPr="00226E9E">
        <w:rPr>
          <w:sz w:val="22"/>
        </w:rPr>
        <w:t xml:space="preserve">strategy for </w:t>
      </w:r>
      <w:r w:rsidR="0009036C">
        <w:rPr>
          <w:sz w:val="22"/>
        </w:rPr>
        <w:t xml:space="preserve">the </w:t>
      </w:r>
      <w:r w:rsidRPr="00226E9E">
        <w:rPr>
          <w:sz w:val="22"/>
        </w:rPr>
        <w:t>plains-wanderer.</w:t>
      </w:r>
    </w:p>
    <w:p w:rsidR="0035132E" w:rsidRPr="00226E9E" w:rsidRDefault="0035132E" w:rsidP="003E2FEA">
      <w:pPr>
        <w:pStyle w:val="ListBullet"/>
        <w:spacing w:after="60"/>
        <w:rPr>
          <w:sz w:val="22"/>
        </w:rPr>
      </w:pPr>
      <w:r w:rsidRPr="00226E9E">
        <w:rPr>
          <w:sz w:val="22"/>
        </w:rPr>
        <w:t>Facilitate management of grazing regimes</w:t>
      </w:r>
      <w:r w:rsidR="000C5A1F">
        <w:rPr>
          <w:sz w:val="22"/>
        </w:rPr>
        <w:t>, and improve knowledge of appropriate burning regimes,</w:t>
      </w:r>
      <w:r w:rsidRPr="00226E9E">
        <w:rPr>
          <w:sz w:val="22"/>
        </w:rPr>
        <w:t xml:space="preserve"> to maintain suitable habitat for </w:t>
      </w:r>
      <w:r w:rsidR="0009036C">
        <w:rPr>
          <w:sz w:val="22"/>
        </w:rPr>
        <w:t xml:space="preserve">the </w:t>
      </w:r>
      <w:r w:rsidRPr="00226E9E">
        <w:rPr>
          <w:sz w:val="22"/>
        </w:rPr>
        <w:t>plains-wanderer.</w:t>
      </w:r>
    </w:p>
    <w:p w:rsidR="00412D78" w:rsidRDefault="00412D78" w:rsidP="00412D78">
      <w:pPr>
        <w:pStyle w:val="ListBullet"/>
        <w:spacing w:after="60"/>
        <w:rPr>
          <w:sz w:val="22"/>
        </w:rPr>
      </w:pPr>
      <w:r>
        <w:rPr>
          <w:sz w:val="22"/>
        </w:rPr>
        <w:t>Enhance protection, improve the quality and increase the extent</w:t>
      </w:r>
      <w:r w:rsidRPr="00226E9E">
        <w:rPr>
          <w:sz w:val="22"/>
        </w:rPr>
        <w:t xml:space="preserve"> of habitat suitable for </w:t>
      </w:r>
      <w:r>
        <w:rPr>
          <w:sz w:val="22"/>
        </w:rPr>
        <w:t xml:space="preserve">the </w:t>
      </w:r>
      <w:r w:rsidRPr="00226E9E">
        <w:rPr>
          <w:sz w:val="22"/>
        </w:rPr>
        <w:t>plains-wanderer</w:t>
      </w:r>
      <w:r>
        <w:rPr>
          <w:sz w:val="22"/>
        </w:rPr>
        <w:t>.</w:t>
      </w:r>
    </w:p>
    <w:p w:rsidR="0035132E" w:rsidRPr="001424B3" w:rsidRDefault="0035132E" w:rsidP="003E2FEA">
      <w:pPr>
        <w:pStyle w:val="ListBullet"/>
        <w:spacing w:after="60"/>
        <w:rPr>
          <w:sz w:val="22"/>
        </w:rPr>
      </w:pPr>
      <w:r>
        <w:rPr>
          <w:sz w:val="22"/>
        </w:rPr>
        <w:t>Identify the key factors that have contributed to the significant recent declines in the numbers of plains-wanderers and develop mitigation measures to address these threats.</w:t>
      </w:r>
    </w:p>
    <w:p w:rsidR="0035132E" w:rsidRPr="00226E9E" w:rsidRDefault="0035132E" w:rsidP="003E2FEA">
      <w:pPr>
        <w:pStyle w:val="ListBullet"/>
        <w:spacing w:after="60"/>
        <w:rPr>
          <w:sz w:val="22"/>
        </w:rPr>
      </w:pPr>
      <w:r w:rsidRPr="00226E9E">
        <w:rPr>
          <w:sz w:val="22"/>
        </w:rPr>
        <w:t xml:space="preserve">Improve understanding of the distribution and population trends of </w:t>
      </w:r>
      <w:r w:rsidR="0009036C">
        <w:rPr>
          <w:sz w:val="22"/>
        </w:rPr>
        <w:t xml:space="preserve">the </w:t>
      </w:r>
      <w:r w:rsidRPr="00226E9E">
        <w:rPr>
          <w:sz w:val="22"/>
        </w:rPr>
        <w:t>plains-wanderer.</w:t>
      </w:r>
    </w:p>
    <w:p w:rsidR="0035132E" w:rsidRPr="00226E9E" w:rsidRDefault="0035132E" w:rsidP="003E2FEA">
      <w:pPr>
        <w:pStyle w:val="ListBullet"/>
        <w:spacing w:after="60"/>
        <w:rPr>
          <w:sz w:val="22"/>
        </w:rPr>
      </w:pPr>
      <w:r w:rsidRPr="00226E9E">
        <w:rPr>
          <w:sz w:val="22"/>
        </w:rPr>
        <w:t>Increase community participation in plains-wanderer conservation and management.</w:t>
      </w:r>
    </w:p>
    <w:p w:rsidR="0035132E" w:rsidRPr="00226E9E" w:rsidRDefault="0035132E" w:rsidP="003E2FEA">
      <w:pPr>
        <w:pStyle w:val="Tabletext"/>
        <w:spacing w:after="60"/>
        <w:ind w:left="360"/>
        <w:rPr>
          <w:sz w:val="22"/>
        </w:rPr>
      </w:pPr>
    </w:p>
    <w:p w:rsidR="0080590A" w:rsidRDefault="0080590A">
      <w:pPr>
        <w:spacing w:after="0" w:line="240" w:lineRule="auto"/>
        <w:rPr>
          <w:rFonts w:ascii="Times New Roman" w:hAnsi="Times New Roman" w:cs="Arial"/>
          <w:caps/>
          <w:color w:val="E36C0A" w:themeColor="accent6" w:themeShade="BF"/>
          <w:sz w:val="40"/>
          <w:szCs w:val="40"/>
        </w:rPr>
      </w:pPr>
      <w:bookmarkStart w:id="175" w:name="_Toc256000038"/>
      <w:bookmarkStart w:id="176" w:name="_Toc414615119"/>
      <w:bookmarkEnd w:id="174"/>
      <w:r>
        <w:br w:type="page"/>
      </w:r>
    </w:p>
    <w:p w:rsidR="0035132E" w:rsidRPr="00BB6CB7" w:rsidRDefault="0035132E" w:rsidP="002E577F">
      <w:pPr>
        <w:pStyle w:val="Heading1"/>
        <w:ind w:left="709" w:hanging="709"/>
      </w:pPr>
      <w:bookmarkStart w:id="177" w:name="_Toc445307825"/>
      <w:r w:rsidRPr="00BB6CB7">
        <w:t>7</w:t>
      </w:r>
      <w:r w:rsidRPr="00BB6CB7">
        <w:tab/>
        <w:t>A</w:t>
      </w:r>
      <w:bookmarkEnd w:id="175"/>
      <w:bookmarkEnd w:id="176"/>
      <w:r w:rsidR="00573265">
        <w:t>ctions to achieve specific objectives</w:t>
      </w:r>
      <w:bookmarkEnd w:id="177"/>
    </w:p>
    <w:p w:rsidR="0035132E" w:rsidRPr="00226E9E" w:rsidRDefault="0035132E" w:rsidP="003E2FEA">
      <w:pPr>
        <w:rPr>
          <w:sz w:val="22"/>
        </w:rPr>
      </w:pPr>
      <w:r w:rsidRPr="00226E9E">
        <w:rPr>
          <w:sz w:val="22"/>
        </w:rPr>
        <w:t xml:space="preserve">Actions identified for the recovery of </w:t>
      </w:r>
      <w:r w:rsidR="005B520E">
        <w:rPr>
          <w:sz w:val="22"/>
        </w:rPr>
        <w:t xml:space="preserve">the </w:t>
      </w:r>
      <w:r w:rsidRPr="00226E9E">
        <w:rPr>
          <w:sz w:val="22"/>
        </w:rPr>
        <w:t xml:space="preserve">plains-wanderer are described below. </w:t>
      </w:r>
      <w:r w:rsidRPr="00226E9E">
        <w:rPr>
          <w:sz w:val="22"/>
        </w:rPr>
        <w:br/>
        <w:t>It should be noted that some of the objectives are long-term and may not be achieved prior to the scheduled five-year review of the recovery plan. Priorities assigned to actions should be interpreted as follows:</w:t>
      </w:r>
    </w:p>
    <w:tbl>
      <w:tblPr>
        <w:tblW w:w="0" w:type="auto"/>
        <w:tblInd w:w="80" w:type="dxa"/>
        <w:tblBorders>
          <w:top w:val="single" w:sz="4" w:space="0" w:color="auto"/>
          <w:bottom w:val="single" w:sz="6" w:space="0" w:color="auto"/>
          <w:insideH w:val="single" w:sz="6" w:space="0" w:color="auto"/>
        </w:tblBorders>
        <w:shd w:val="clear" w:color="EAF1DD" w:themeColor="accent3" w:themeTint="33" w:fill="auto"/>
        <w:tblLayout w:type="fixed"/>
        <w:tblCellMar>
          <w:left w:w="0" w:type="dxa"/>
          <w:right w:w="0" w:type="dxa"/>
        </w:tblCellMar>
        <w:tblLook w:val="0000"/>
      </w:tblPr>
      <w:tblGrid>
        <w:gridCol w:w="1195"/>
        <w:gridCol w:w="7082"/>
      </w:tblGrid>
      <w:tr w:rsidR="0018674C" w:rsidTr="00573265">
        <w:trPr>
          <w:trHeight w:val="60"/>
        </w:trPr>
        <w:tc>
          <w:tcPr>
            <w:tcW w:w="1195" w:type="dxa"/>
            <w:shd w:val="clear" w:color="EAF1DD" w:themeColor="accent3" w:themeTint="33" w:fill="auto"/>
            <w:tcMar>
              <w:top w:w="80" w:type="dxa"/>
              <w:left w:w="80" w:type="dxa"/>
              <w:bottom w:w="113" w:type="dxa"/>
              <w:right w:w="80" w:type="dxa"/>
            </w:tcMar>
          </w:tcPr>
          <w:p w:rsidR="0035132E" w:rsidRPr="00226E9E" w:rsidRDefault="003B20C9" w:rsidP="003B20C9">
            <w:pPr>
              <w:autoSpaceDE w:val="0"/>
              <w:rPr>
                <w:sz w:val="22"/>
              </w:rPr>
            </w:pPr>
            <w:r>
              <w:rPr>
                <w:rStyle w:val="TextBold"/>
                <w:rFonts w:ascii="ZWAdobeF" w:hAnsi="ZWAdobeF" w:cs="ZWAdobeF"/>
                <w:sz w:val="2"/>
                <w:szCs w:val="2"/>
              </w:rPr>
              <w:t>14T</w:t>
            </w:r>
            <w:r w:rsidR="0035132E" w:rsidRPr="00226E9E">
              <w:rPr>
                <w:rStyle w:val="TextBold"/>
                <w:sz w:val="22"/>
              </w:rPr>
              <w:t>Priority 1:</w:t>
            </w:r>
          </w:p>
        </w:tc>
        <w:tc>
          <w:tcPr>
            <w:tcW w:w="7082" w:type="dxa"/>
            <w:shd w:val="clear" w:color="EAF1DD" w:themeColor="accent3" w:themeTint="33" w:fill="auto"/>
            <w:tcMar>
              <w:top w:w="80" w:type="dxa"/>
              <w:left w:w="80" w:type="dxa"/>
              <w:bottom w:w="113" w:type="dxa"/>
              <w:right w:w="80" w:type="dxa"/>
            </w:tcMar>
          </w:tcPr>
          <w:p w:rsidR="0035132E" w:rsidRPr="00226E9E" w:rsidRDefault="0035132E" w:rsidP="003E2FEA">
            <w:pPr>
              <w:rPr>
                <w:sz w:val="22"/>
              </w:rPr>
            </w:pPr>
            <w:r w:rsidRPr="00226E9E">
              <w:rPr>
                <w:sz w:val="22"/>
              </w:rPr>
              <w:t xml:space="preserve">Taking prompt action is necessary in order to mitigate the key threats to </w:t>
            </w:r>
            <w:r w:rsidR="004C4A24">
              <w:rPr>
                <w:sz w:val="22"/>
              </w:rPr>
              <w:t xml:space="preserve">the </w:t>
            </w:r>
            <w:r w:rsidRPr="00226E9E">
              <w:rPr>
                <w:sz w:val="22"/>
              </w:rPr>
              <w:t>plains-wanderer and also provide valuable information to help identify long-term population trends.</w:t>
            </w:r>
          </w:p>
        </w:tc>
      </w:tr>
      <w:tr w:rsidR="0018674C" w:rsidTr="00573265">
        <w:trPr>
          <w:trHeight w:val="60"/>
        </w:trPr>
        <w:tc>
          <w:tcPr>
            <w:tcW w:w="1195" w:type="dxa"/>
            <w:shd w:val="clear" w:color="EAF1DD" w:themeColor="accent3" w:themeTint="33" w:fill="auto"/>
            <w:tcMar>
              <w:top w:w="80" w:type="dxa"/>
              <w:left w:w="80" w:type="dxa"/>
              <w:bottom w:w="113" w:type="dxa"/>
              <w:right w:w="80" w:type="dxa"/>
            </w:tcMar>
          </w:tcPr>
          <w:p w:rsidR="0035132E" w:rsidRPr="00226E9E" w:rsidRDefault="003B20C9" w:rsidP="003B20C9">
            <w:pPr>
              <w:autoSpaceDE w:val="0"/>
              <w:rPr>
                <w:sz w:val="22"/>
              </w:rPr>
            </w:pPr>
            <w:r>
              <w:rPr>
                <w:rStyle w:val="TextBold"/>
                <w:rFonts w:ascii="ZWAdobeF" w:hAnsi="ZWAdobeF" w:cs="ZWAdobeF"/>
                <w:sz w:val="2"/>
                <w:szCs w:val="2"/>
              </w:rPr>
              <w:t>14T</w:t>
            </w:r>
            <w:r w:rsidR="0035132E" w:rsidRPr="00226E9E">
              <w:rPr>
                <w:rStyle w:val="TextBold"/>
                <w:sz w:val="22"/>
              </w:rPr>
              <w:t>Priority 2:</w:t>
            </w:r>
          </w:p>
        </w:tc>
        <w:tc>
          <w:tcPr>
            <w:tcW w:w="7082" w:type="dxa"/>
            <w:shd w:val="clear" w:color="EAF1DD" w:themeColor="accent3" w:themeTint="33" w:fill="auto"/>
            <w:tcMar>
              <w:top w:w="80" w:type="dxa"/>
              <w:left w:w="80" w:type="dxa"/>
              <w:bottom w:w="113" w:type="dxa"/>
              <w:right w:w="80" w:type="dxa"/>
            </w:tcMar>
          </w:tcPr>
          <w:p w:rsidR="0035132E" w:rsidRPr="00226E9E" w:rsidRDefault="0035132E" w:rsidP="003E2FEA">
            <w:pPr>
              <w:rPr>
                <w:sz w:val="22"/>
              </w:rPr>
            </w:pPr>
            <w:r w:rsidRPr="00226E9E">
              <w:rPr>
                <w:sz w:val="22"/>
              </w:rPr>
              <w:t xml:space="preserve">Action would provide a more informed basis for the long-term management and recovery of </w:t>
            </w:r>
            <w:r w:rsidR="004C4A24">
              <w:rPr>
                <w:sz w:val="22"/>
              </w:rPr>
              <w:t xml:space="preserve">the </w:t>
            </w:r>
            <w:r w:rsidRPr="00226E9E">
              <w:rPr>
                <w:sz w:val="22"/>
              </w:rPr>
              <w:t>plains-wanderer.</w:t>
            </w:r>
          </w:p>
        </w:tc>
      </w:tr>
      <w:tr w:rsidR="0018674C" w:rsidTr="00573265">
        <w:trPr>
          <w:trHeight w:val="60"/>
        </w:trPr>
        <w:tc>
          <w:tcPr>
            <w:tcW w:w="1195" w:type="dxa"/>
            <w:shd w:val="clear" w:color="EAF1DD" w:themeColor="accent3" w:themeTint="33" w:fill="auto"/>
            <w:tcMar>
              <w:top w:w="80" w:type="dxa"/>
              <w:left w:w="80" w:type="dxa"/>
              <w:bottom w:w="113" w:type="dxa"/>
              <w:right w:w="80" w:type="dxa"/>
            </w:tcMar>
          </w:tcPr>
          <w:p w:rsidR="0035132E" w:rsidRPr="00226E9E" w:rsidRDefault="003B20C9" w:rsidP="003B20C9">
            <w:pPr>
              <w:autoSpaceDE w:val="0"/>
              <w:rPr>
                <w:sz w:val="22"/>
              </w:rPr>
            </w:pPr>
            <w:r>
              <w:rPr>
                <w:rStyle w:val="TextBold"/>
                <w:rFonts w:ascii="ZWAdobeF" w:hAnsi="ZWAdobeF" w:cs="ZWAdobeF"/>
                <w:sz w:val="2"/>
                <w:szCs w:val="2"/>
              </w:rPr>
              <w:t>14T</w:t>
            </w:r>
            <w:r w:rsidR="0035132E" w:rsidRPr="00226E9E">
              <w:rPr>
                <w:rStyle w:val="TextBold"/>
                <w:sz w:val="22"/>
              </w:rPr>
              <w:t>Priority 3:</w:t>
            </w:r>
          </w:p>
        </w:tc>
        <w:tc>
          <w:tcPr>
            <w:tcW w:w="7082" w:type="dxa"/>
            <w:shd w:val="clear" w:color="EAF1DD" w:themeColor="accent3" w:themeTint="33" w:fill="auto"/>
            <w:tcMar>
              <w:top w:w="80" w:type="dxa"/>
              <w:left w:w="80" w:type="dxa"/>
              <w:bottom w:w="113" w:type="dxa"/>
              <w:right w:w="80" w:type="dxa"/>
            </w:tcMar>
          </w:tcPr>
          <w:p w:rsidR="0035132E" w:rsidRPr="00226E9E" w:rsidRDefault="0035132E" w:rsidP="003E2FEA">
            <w:pPr>
              <w:rPr>
                <w:sz w:val="22"/>
              </w:rPr>
            </w:pPr>
            <w:r w:rsidRPr="00226E9E">
              <w:rPr>
                <w:sz w:val="22"/>
              </w:rPr>
              <w:t xml:space="preserve">Action is desirable, but not critical to the recovery of </w:t>
            </w:r>
            <w:r w:rsidR="004C4A24">
              <w:rPr>
                <w:sz w:val="22"/>
              </w:rPr>
              <w:t xml:space="preserve">the </w:t>
            </w:r>
            <w:r w:rsidRPr="00226E9E">
              <w:rPr>
                <w:sz w:val="22"/>
              </w:rPr>
              <w:t xml:space="preserve">plains-wanderer or assessment of trends in that recovery. </w:t>
            </w:r>
          </w:p>
        </w:tc>
      </w:tr>
    </w:tbl>
    <w:p w:rsidR="0035132E" w:rsidRDefault="0035132E" w:rsidP="003E2FEA">
      <w:pPr>
        <w:pStyle w:val="Caption"/>
        <w:rPr>
          <w:rFonts w:cs="Arial"/>
          <w:b w:val="0"/>
          <w:sz w:val="22"/>
          <w:szCs w:val="22"/>
        </w:rPr>
        <w:sectPr w:rsidR="0035132E" w:rsidSect="007024BF">
          <w:pgSz w:w="11906" w:h="16838" w:code="9"/>
          <w:pgMar w:top="851" w:right="1276" w:bottom="567" w:left="1418" w:header="425" w:footer="425" w:gutter="0"/>
          <w:cols w:space="708"/>
          <w:titlePg/>
          <w:docGrid w:linePitch="360"/>
        </w:sectPr>
      </w:pPr>
    </w:p>
    <w:p w:rsidR="00B028F4" w:rsidRPr="00573265" w:rsidRDefault="00B028F4" w:rsidP="003E2FEA">
      <w:pPr>
        <w:pStyle w:val="Heading3"/>
        <w:rPr>
          <w:b w:val="0"/>
          <w:i w:val="0"/>
          <w:color w:val="002060"/>
          <w:sz w:val="32"/>
          <w:szCs w:val="32"/>
        </w:rPr>
      </w:pPr>
      <w:bookmarkStart w:id="178" w:name="_Toc256000039"/>
      <w:bookmarkStart w:id="179" w:name="_Toc414615120"/>
      <w:bookmarkStart w:id="180" w:name="_Toc445297914"/>
      <w:bookmarkStart w:id="181" w:name="_Toc445307826"/>
      <w:bookmarkStart w:id="182" w:name="_Toc256000051"/>
      <w:bookmarkStart w:id="183" w:name="_Toc414615126"/>
      <w:r w:rsidRPr="00573265">
        <w:rPr>
          <w:b w:val="0"/>
          <w:i w:val="0"/>
          <w:color w:val="002060"/>
          <w:sz w:val="32"/>
          <w:szCs w:val="32"/>
        </w:rPr>
        <w:t xml:space="preserve">Strategy 1: Develop and implement a robust, targeted conservation breeding strategy for </w:t>
      </w:r>
      <w:r w:rsidR="005B520E" w:rsidRPr="00573265">
        <w:rPr>
          <w:b w:val="0"/>
          <w:i w:val="0"/>
          <w:color w:val="002060"/>
          <w:sz w:val="32"/>
          <w:szCs w:val="32"/>
        </w:rPr>
        <w:t xml:space="preserve">the </w:t>
      </w:r>
      <w:r w:rsidRPr="00573265">
        <w:rPr>
          <w:b w:val="0"/>
          <w:i w:val="0"/>
          <w:color w:val="002060"/>
          <w:sz w:val="32"/>
          <w:szCs w:val="32"/>
        </w:rPr>
        <w:t>plains-wanderer.</w:t>
      </w:r>
      <w:bookmarkEnd w:id="178"/>
      <w:bookmarkEnd w:id="179"/>
      <w:bookmarkEnd w:id="180"/>
      <w:bookmarkEnd w:id="181"/>
    </w:p>
    <w:p w:rsidR="00B028F4" w:rsidRPr="00573265" w:rsidRDefault="00B028F4" w:rsidP="003E2FEA">
      <w:pPr>
        <w:rPr>
          <w:color w:val="7F7F7F" w:themeColor="text1" w:themeTint="80"/>
          <w:sz w:val="24"/>
          <w:szCs w:val="24"/>
          <w:highlight w:val="yellow"/>
        </w:rPr>
      </w:pPr>
      <w:r w:rsidRPr="00573265">
        <w:rPr>
          <w:color w:val="7F7F7F" w:themeColor="text1" w:themeTint="80"/>
          <w:sz w:val="24"/>
          <w:szCs w:val="24"/>
        </w:rPr>
        <w:t>Research Actions</w:t>
      </w:r>
    </w:p>
    <w:tbl>
      <w:tblPr>
        <w:tblStyle w:val="LightShading-Accent11"/>
        <w:tblW w:w="0" w:type="auto"/>
        <w:tblBorders>
          <w:top w:val="single" w:sz="4" w:space="0" w:color="17365D" w:themeColor="text2" w:themeShade="BF"/>
          <w:bottom w:val="single" w:sz="4" w:space="0" w:color="17365D" w:themeColor="text2" w:themeShade="BF"/>
          <w:insideH w:val="single" w:sz="4" w:space="0" w:color="17365D" w:themeColor="text2" w:themeShade="BF"/>
        </w:tblBorders>
        <w:shd w:val="clear" w:color="auto" w:fill="DBE5F1" w:themeFill="accent1" w:themeFillTint="33"/>
        <w:tblLook w:val="04A0"/>
      </w:tblPr>
      <w:tblGrid>
        <w:gridCol w:w="839"/>
        <w:gridCol w:w="1661"/>
        <w:gridCol w:w="951"/>
        <w:gridCol w:w="4396"/>
        <w:gridCol w:w="1411"/>
        <w:gridCol w:w="1417"/>
      </w:tblGrid>
      <w:tr w:rsidR="004576BF" w:rsidRPr="00E15F73" w:rsidTr="007E56D8">
        <w:trPr>
          <w:cnfStyle w:val="1000000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jc w:val="center"/>
              <w:rPr>
                <w:color w:val="auto"/>
                <w:szCs w:val="20"/>
              </w:rPr>
            </w:pPr>
            <w:r w:rsidRPr="00E15F73">
              <w:rPr>
                <w:color w:val="auto"/>
                <w:szCs w:val="20"/>
              </w:rPr>
              <w:t>Action</w:t>
            </w:r>
          </w:p>
        </w:tc>
        <w:tc>
          <w:tcPr>
            <w:tcW w:w="166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cnfStyle w:val="100000000000"/>
              <w:rPr>
                <w:color w:val="auto"/>
                <w:szCs w:val="20"/>
              </w:rPr>
            </w:pPr>
            <w:r w:rsidRPr="00E15F73">
              <w:rPr>
                <w:color w:val="auto"/>
                <w:szCs w:val="20"/>
              </w:rPr>
              <w:t>Description</w:t>
            </w:r>
          </w:p>
        </w:tc>
        <w:tc>
          <w:tcPr>
            <w:tcW w:w="95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jc w:val="center"/>
              <w:cnfStyle w:val="100000000000"/>
              <w:rPr>
                <w:color w:val="auto"/>
                <w:szCs w:val="20"/>
              </w:rPr>
            </w:pPr>
            <w:r w:rsidRPr="00E15F73">
              <w:rPr>
                <w:color w:val="auto"/>
                <w:szCs w:val="20"/>
              </w:rPr>
              <w:t>Priority</w:t>
            </w:r>
          </w:p>
        </w:tc>
        <w:tc>
          <w:tcPr>
            <w:tcW w:w="4396"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cnfStyle w:val="100000000000"/>
              <w:rPr>
                <w:color w:val="auto"/>
                <w:szCs w:val="20"/>
              </w:rPr>
            </w:pPr>
            <w:r w:rsidRPr="00E15F73">
              <w:rPr>
                <w:color w:val="auto"/>
                <w:szCs w:val="20"/>
              </w:rPr>
              <w:t>Performance Criteria</w:t>
            </w:r>
          </w:p>
        </w:tc>
        <w:tc>
          <w:tcPr>
            <w:tcW w:w="141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4576BF" w:rsidRDefault="004576BF" w:rsidP="004576BF">
            <w:pPr>
              <w:pStyle w:val="Tabletext"/>
              <w:cnfStyle w:val="100000000000"/>
              <w:rPr>
                <w:rFonts w:cs="Arial"/>
                <w:b w:val="0"/>
                <w:color w:val="auto"/>
                <w:szCs w:val="20"/>
              </w:rPr>
            </w:pPr>
            <w:r w:rsidRPr="004576BF">
              <w:rPr>
                <w:rFonts w:cs="Arial"/>
                <w:color w:val="auto"/>
                <w:szCs w:val="20"/>
              </w:rPr>
              <w:t xml:space="preserve">Responsible Agencies </w:t>
            </w:r>
            <w:r w:rsidRPr="004576BF">
              <w:rPr>
                <w:rFonts w:cs="Arial"/>
                <w:b w:val="0"/>
                <w:i/>
                <w:color w:val="auto"/>
                <w:szCs w:val="20"/>
              </w:rPr>
              <w:t>and potential partners</w:t>
            </w:r>
          </w:p>
        </w:tc>
        <w:tc>
          <w:tcPr>
            <w:tcW w:w="1417"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4576BF" w:rsidRDefault="004576BF" w:rsidP="004576BF">
            <w:pPr>
              <w:pStyle w:val="Tabletext"/>
              <w:jc w:val="center"/>
              <w:cnfStyle w:val="100000000000"/>
              <w:rPr>
                <w:rFonts w:cs="Arial"/>
                <w:color w:val="auto"/>
                <w:szCs w:val="20"/>
              </w:rPr>
            </w:pPr>
            <w:r w:rsidRPr="004576BF">
              <w:rPr>
                <w:rFonts w:cs="Arial"/>
                <w:color w:val="auto"/>
                <w:szCs w:val="20"/>
              </w:rPr>
              <w:t>Indicative Cost</w:t>
            </w:r>
          </w:p>
          <w:p w:rsidR="004576BF" w:rsidRPr="004576BF" w:rsidRDefault="004576BF" w:rsidP="004576BF">
            <w:pPr>
              <w:pStyle w:val="Tabletext"/>
              <w:jc w:val="center"/>
              <w:cnfStyle w:val="100000000000"/>
              <w:rPr>
                <w:rFonts w:cs="Arial"/>
                <w:b w:val="0"/>
                <w:i/>
                <w:color w:val="auto"/>
                <w:szCs w:val="20"/>
              </w:rPr>
            </w:pPr>
            <w:r w:rsidRPr="004576BF">
              <w:rPr>
                <w:rFonts w:cs="Arial"/>
                <w:b w:val="0"/>
                <w:i/>
                <w:color w:val="auto"/>
                <w:szCs w:val="20"/>
              </w:rPr>
              <w:t>*priority 1 only</w:t>
            </w:r>
          </w:p>
        </w:tc>
      </w:tr>
      <w:tr w:rsidR="00B028F4" w:rsidTr="00204645">
        <w:trPr>
          <w:cnfStyle w:val="000000100000"/>
        </w:trPr>
        <w:tc>
          <w:tcPr>
            <w:cnfStyle w:val="001000000000"/>
            <w:tcW w:w="839" w:type="dxa"/>
            <w:tcBorders>
              <w:bottom w:val="single" w:sz="4" w:space="0" w:color="17365D" w:themeColor="text2" w:themeShade="BF"/>
            </w:tcBorders>
            <w:shd w:val="clear" w:color="auto" w:fill="DBE5F1" w:themeFill="accent1" w:themeFillTint="33"/>
          </w:tcPr>
          <w:p w:rsidR="00B028F4" w:rsidRPr="003A08E4" w:rsidRDefault="007E56D8" w:rsidP="007E56D8">
            <w:pPr>
              <w:pStyle w:val="Tabletext"/>
              <w:jc w:val="center"/>
              <w:rPr>
                <w:color w:val="auto"/>
                <w:szCs w:val="20"/>
              </w:rPr>
            </w:pPr>
            <w:r w:rsidRPr="003A08E4">
              <w:rPr>
                <w:color w:val="auto"/>
                <w:szCs w:val="20"/>
              </w:rPr>
              <w:t>1</w:t>
            </w:r>
            <w:r>
              <w:rPr>
                <w:color w:val="auto"/>
                <w:szCs w:val="20"/>
              </w:rPr>
              <w:t>a</w:t>
            </w:r>
          </w:p>
        </w:tc>
        <w:tc>
          <w:tcPr>
            <w:tcW w:w="1661" w:type="dxa"/>
            <w:tcBorders>
              <w:bottom w:val="single" w:sz="4" w:space="0" w:color="17365D" w:themeColor="text2" w:themeShade="BF"/>
            </w:tcBorders>
            <w:shd w:val="clear" w:color="auto" w:fill="DBE5F1" w:themeFill="accent1" w:themeFillTint="33"/>
          </w:tcPr>
          <w:p w:rsidR="00B028F4" w:rsidRPr="003A08E4" w:rsidRDefault="00B028F4" w:rsidP="00A20931">
            <w:pPr>
              <w:pStyle w:val="Tabletext"/>
              <w:spacing w:after="240"/>
              <w:cnfStyle w:val="000000100000"/>
              <w:rPr>
                <w:color w:val="auto"/>
                <w:szCs w:val="20"/>
              </w:rPr>
            </w:pPr>
            <w:r w:rsidRPr="003A08E4">
              <w:rPr>
                <w:color w:val="auto"/>
                <w:szCs w:val="20"/>
              </w:rPr>
              <w:t xml:space="preserve">Develop a captive breeding strategy for </w:t>
            </w:r>
            <w:r w:rsidR="00A20931">
              <w:rPr>
                <w:color w:val="auto"/>
                <w:szCs w:val="20"/>
              </w:rPr>
              <w:t xml:space="preserve">the </w:t>
            </w:r>
            <w:r w:rsidRPr="003A08E4">
              <w:rPr>
                <w:color w:val="auto"/>
                <w:szCs w:val="20"/>
              </w:rPr>
              <w:t>plains-wanderer.</w:t>
            </w:r>
          </w:p>
        </w:tc>
        <w:tc>
          <w:tcPr>
            <w:tcW w:w="951" w:type="dxa"/>
            <w:tcBorders>
              <w:bottom w:val="single" w:sz="4" w:space="0" w:color="17365D" w:themeColor="text2" w:themeShade="BF"/>
            </w:tcBorders>
            <w:shd w:val="clear" w:color="auto" w:fill="DBE5F1" w:themeFill="accent1" w:themeFillTint="33"/>
          </w:tcPr>
          <w:p w:rsidR="00B028F4" w:rsidRPr="003A08E4" w:rsidRDefault="00B028F4" w:rsidP="003E2FEA">
            <w:pPr>
              <w:pStyle w:val="Tabletext"/>
              <w:jc w:val="center"/>
              <w:cnfStyle w:val="000000100000"/>
              <w:rPr>
                <w:color w:val="auto"/>
                <w:szCs w:val="20"/>
              </w:rPr>
            </w:pPr>
            <w:r w:rsidRPr="003A08E4">
              <w:rPr>
                <w:color w:val="auto"/>
                <w:szCs w:val="20"/>
              </w:rPr>
              <w:t>1</w:t>
            </w:r>
          </w:p>
        </w:tc>
        <w:tc>
          <w:tcPr>
            <w:tcW w:w="4396" w:type="dxa"/>
            <w:tcBorders>
              <w:bottom w:val="single" w:sz="4" w:space="0" w:color="17365D" w:themeColor="text2" w:themeShade="BF"/>
            </w:tcBorders>
            <w:shd w:val="clear" w:color="auto" w:fill="DBE5F1" w:themeFill="accent1" w:themeFillTint="33"/>
          </w:tcPr>
          <w:p w:rsidR="00B028F4" w:rsidRPr="003A08E4" w:rsidRDefault="00B028F4" w:rsidP="003E2FEA">
            <w:pPr>
              <w:pStyle w:val="ListBullet"/>
              <w:cnfStyle w:val="000000100000"/>
              <w:rPr>
                <w:color w:val="auto"/>
                <w:szCs w:val="20"/>
              </w:rPr>
            </w:pPr>
            <w:r w:rsidRPr="003A08E4">
              <w:rPr>
                <w:color w:val="auto"/>
                <w:szCs w:val="20"/>
              </w:rPr>
              <w:t xml:space="preserve">A workshop is held to develop a captive breeding strategy for </w:t>
            </w:r>
            <w:r w:rsidR="00A20931">
              <w:rPr>
                <w:color w:val="auto"/>
                <w:szCs w:val="20"/>
              </w:rPr>
              <w:t xml:space="preserve">the </w:t>
            </w:r>
            <w:r w:rsidRPr="003A08E4">
              <w:rPr>
                <w:color w:val="auto"/>
                <w:szCs w:val="20"/>
              </w:rPr>
              <w:t>plains-wanderer, and establish the objectives, scale and nature of a captive breeding program.</w:t>
            </w:r>
          </w:p>
          <w:p w:rsidR="00B028F4" w:rsidRPr="003A08E4" w:rsidRDefault="00B028F4" w:rsidP="003E2FEA">
            <w:pPr>
              <w:pStyle w:val="ListBullet"/>
              <w:numPr>
                <w:ilvl w:val="0"/>
                <w:numId w:val="0"/>
              </w:numPr>
              <w:cnfStyle w:val="000000100000"/>
              <w:rPr>
                <w:color w:val="auto"/>
                <w:szCs w:val="20"/>
              </w:rPr>
            </w:pPr>
          </w:p>
        </w:tc>
        <w:tc>
          <w:tcPr>
            <w:tcW w:w="1411" w:type="dxa"/>
            <w:tcBorders>
              <w:bottom w:val="single" w:sz="4" w:space="0" w:color="17365D" w:themeColor="text2" w:themeShade="BF"/>
            </w:tcBorders>
            <w:shd w:val="clear" w:color="auto" w:fill="DBE5F1" w:themeFill="accent1" w:themeFillTint="33"/>
          </w:tcPr>
          <w:p w:rsidR="004576BF" w:rsidRDefault="004576BF" w:rsidP="003E2FEA">
            <w:pPr>
              <w:pStyle w:val="Tabletext"/>
              <w:cnfStyle w:val="000000100000"/>
              <w:rPr>
                <w:b/>
                <w:color w:val="auto"/>
                <w:szCs w:val="20"/>
              </w:rPr>
            </w:pPr>
            <w:r w:rsidRPr="004576BF">
              <w:rPr>
                <w:b/>
                <w:color w:val="auto"/>
                <w:szCs w:val="20"/>
              </w:rPr>
              <w:t xml:space="preserve">DotE </w:t>
            </w:r>
          </w:p>
          <w:p w:rsidR="00B028F4" w:rsidRPr="004576BF" w:rsidRDefault="004576BF" w:rsidP="003E2FEA">
            <w:pPr>
              <w:pStyle w:val="Tabletext"/>
              <w:cnfStyle w:val="000000100000"/>
              <w:rPr>
                <w:b/>
                <w:color w:val="auto"/>
                <w:szCs w:val="20"/>
              </w:rPr>
            </w:pPr>
            <w:r w:rsidRPr="004576BF">
              <w:rPr>
                <w:b/>
                <w:color w:val="auto"/>
                <w:szCs w:val="20"/>
              </w:rPr>
              <w:t xml:space="preserve">OEH </w:t>
            </w:r>
          </w:p>
          <w:p w:rsidR="00B028F4" w:rsidRPr="004576BF" w:rsidRDefault="00B028F4" w:rsidP="003E2FEA">
            <w:pPr>
              <w:pStyle w:val="Tabletext"/>
              <w:cnfStyle w:val="000000100000"/>
              <w:rPr>
                <w:b/>
                <w:color w:val="auto"/>
                <w:szCs w:val="20"/>
              </w:rPr>
            </w:pPr>
            <w:r w:rsidRPr="004576BF">
              <w:rPr>
                <w:b/>
                <w:color w:val="auto"/>
                <w:szCs w:val="20"/>
              </w:rPr>
              <w:t>DELWP</w:t>
            </w:r>
          </w:p>
          <w:p w:rsidR="00B028F4" w:rsidRPr="003A08E4" w:rsidRDefault="00B028F4" w:rsidP="003E2FEA">
            <w:pPr>
              <w:pStyle w:val="Tabletext"/>
              <w:cnfStyle w:val="000000100000"/>
              <w:rPr>
                <w:color w:val="auto"/>
                <w:szCs w:val="20"/>
              </w:rPr>
            </w:pPr>
          </w:p>
          <w:p w:rsidR="00B028F4" w:rsidRPr="003A08E4" w:rsidRDefault="00B028F4" w:rsidP="003E2FEA">
            <w:pPr>
              <w:pStyle w:val="Tabletext"/>
              <w:cnfStyle w:val="000000100000"/>
              <w:rPr>
                <w:color w:val="auto"/>
                <w:szCs w:val="20"/>
              </w:rPr>
            </w:pPr>
            <w:r w:rsidRPr="003A08E4">
              <w:rPr>
                <w:color w:val="auto"/>
                <w:szCs w:val="20"/>
              </w:rPr>
              <w:t>ZAA</w:t>
            </w:r>
          </w:p>
          <w:p w:rsidR="00B028F4" w:rsidRPr="003A08E4" w:rsidRDefault="00B028F4" w:rsidP="003E2FEA">
            <w:pPr>
              <w:pStyle w:val="Tabletext"/>
              <w:cnfStyle w:val="000000100000"/>
              <w:rPr>
                <w:color w:val="auto"/>
                <w:szCs w:val="20"/>
              </w:rPr>
            </w:pPr>
            <w:r w:rsidRPr="003A08E4">
              <w:rPr>
                <w:color w:val="auto"/>
                <w:szCs w:val="20"/>
              </w:rPr>
              <w:t>PwRT</w:t>
            </w:r>
          </w:p>
          <w:p w:rsidR="00B028F4" w:rsidRPr="003A08E4" w:rsidRDefault="00B028F4" w:rsidP="003E2FEA">
            <w:pPr>
              <w:pStyle w:val="Tabletext"/>
              <w:cnfStyle w:val="000000100000"/>
              <w:rPr>
                <w:color w:val="auto"/>
                <w:szCs w:val="20"/>
              </w:rPr>
            </w:pPr>
            <w:r w:rsidRPr="003A08E4">
              <w:rPr>
                <w:color w:val="auto"/>
                <w:szCs w:val="20"/>
              </w:rPr>
              <w:t>IUCN CBSG</w:t>
            </w:r>
          </w:p>
          <w:p w:rsidR="00B028F4" w:rsidRPr="003A08E4" w:rsidRDefault="00B028F4" w:rsidP="003E2FEA">
            <w:pPr>
              <w:pStyle w:val="Tabletext"/>
              <w:cnfStyle w:val="000000100000"/>
              <w:rPr>
                <w:color w:val="auto"/>
                <w:szCs w:val="20"/>
              </w:rPr>
            </w:pPr>
          </w:p>
        </w:tc>
        <w:tc>
          <w:tcPr>
            <w:tcW w:w="1417" w:type="dxa"/>
            <w:tcBorders>
              <w:bottom w:val="single" w:sz="4" w:space="0" w:color="17365D" w:themeColor="text2" w:themeShade="BF"/>
            </w:tcBorders>
            <w:shd w:val="clear" w:color="auto" w:fill="DBE5F1" w:themeFill="accent1" w:themeFillTint="33"/>
          </w:tcPr>
          <w:p w:rsidR="00B028F4" w:rsidRPr="003A08E4" w:rsidRDefault="00304463" w:rsidP="003E2FEA">
            <w:pPr>
              <w:pStyle w:val="Tabletext"/>
              <w:jc w:val="center"/>
              <w:cnfStyle w:val="000000100000"/>
              <w:rPr>
                <w:color w:val="auto"/>
                <w:szCs w:val="20"/>
              </w:rPr>
            </w:pPr>
            <w:r>
              <w:rPr>
                <w:color w:val="auto"/>
                <w:szCs w:val="20"/>
              </w:rPr>
              <w:t>$15 000</w:t>
            </w:r>
          </w:p>
        </w:tc>
      </w:tr>
      <w:tr w:rsidR="007E56D8" w:rsidTr="00204645">
        <w:tblPrEx>
          <w:tblBorders>
            <w:top w:val="single" w:sz="8" w:space="0" w:color="4F81BD" w:themeColor="accent1"/>
            <w:bottom w:val="single" w:sz="8" w:space="0" w:color="4F81BD" w:themeColor="accent1"/>
            <w:insideH w:val="none" w:sz="0" w:space="0" w:color="auto"/>
          </w:tblBorders>
          <w:shd w:val="clear" w:color="auto" w:fill="auto"/>
        </w:tblPrEx>
        <w:trPr>
          <w:trHeight w:val="1443"/>
        </w:trPr>
        <w:tc>
          <w:tcPr>
            <w:cnfStyle w:val="001000000000"/>
            <w:tcW w:w="839" w:type="dxa"/>
            <w:tcBorders>
              <w:top w:val="single" w:sz="4" w:space="0" w:color="17365D" w:themeColor="text2" w:themeShade="BF"/>
              <w:bottom w:val="single" w:sz="8" w:space="0" w:color="4F81BD" w:themeColor="accent1"/>
            </w:tcBorders>
            <w:shd w:val="clear" w:color="auto" w:fill="DBE5F1" w:themeFill="accent1" w:themeFillTint="33"/>
          </w:tcPr>
          <w:p w:rsidR="007E56D8" w:rsidRPr="003A08E4" w:rsidRDefault="007E56D8" w:rsidP="007E56D8">
            <w:pPr>
              <w:pStyle w:val="Tabletext"/>
              <w:jc w:val="center"/>
              <w:rPr>
                <w:color w:val="auto"/>
                <w:szCs w:val="20"/>
              </w:rPr>
            </w:pPr>
            <w:r w:rsidRPr="003A08E4">
              <w:rPr>
                <w:color w:val="auto"/>
                <w:szCs w:val="20"/>
              </w:rPr>
              <w:t>1</w:t>
            </w:r>
            <w:r w:rsidR="00C364D4">
              <w:rPr>
                <w:color w:val="auto"/>
                <w:szCs w:val="20"/>
              </w:rPr>
              <w:t>b</w:t>
            </w:r>
          </w:p>
        </w:tc>
        <w:tc>
          <w:tcPr>
            <w:tcW w:w="1661" w:type="dxa"/>
            <w:tcBorders>
              <w:top w:val="single" w:sz="4" w:space="0" w:color="17365D" w:themeColor="text2" w:themeShade="BF"/>
              <w:bottom w:val="single" w:sz="8" w:space="0" w:color="4F81BD" w:themeColor="accent1"/>
            </w:tcBorders>
            <w:shd w:val="clear" w:color="auto" w:fill="DBE5F1" w:themeFill="accent1" w:themeFillTint="33"/>
          </w:tcPr>
          <w:p w:rsidR="007E56D8" w:rsidRPr="003A08E4" w:rsidRDefault="007E56D8" w:rsidP="007E56D8">
            <w:pPr>
              <w:pStyle w:val="Tabletext"/>
              <w:cnfStyle w:val="000000000000"/>
              <w:rPr>
                <w:color w:val="auto"/>
                <w:szCs w:val="20"/>
              </w:rPr>
            </w:pPr>
            <w:r w:rsidRPr="003A08E4">
              <w:rPr>
                <w:color w:val="auto"/>
                <w:szCs w:val="20"/>
              </w:rPr>
              <w:t xml:space="preserve">Develop a Population Response Model for </w:t>
            </w:r>
            <w:r>
              <w:rPr>
                <w:color w:val="auto"/>
                <w:szCs w:val="20"/>
              </w:rPr>
              <w:t xml:space="preserve">the </w:t>
            </w:r>
            <w:r w:rsidRPr="003A08E4">
              <w:rPr>
                <w:color w:val="auto"/>
                <w:szCs w:val="20"/>
              </w:rPr>
              <w:t>plains-wanderer</w:t>
            </w:r>
            <w:r>
              <w:rPr>
                <w:color w:val="auto"/>
                <w:szCs w:val="20"/>
              </w:rPr>
              <w:t xml:space="preserve"> to inform the ongoing management of a captive breeding program for the species</w:t>
            </w:r>
            <w:r w:rsidRPr="003A08E4">
              <w:rPr>
                <w:color w:val="auto"/>
                <w:szCs w:val="20"/>
              </w:rPr>
              <w:t>.</w:t>
            </w:r>
          </w:p>
          <w:p w:rsidR="007E56D8" w:rsidRPr="003A08E4" w:rsidRDefault="007E56D8" w:rsidP="007E56D8">
            <w:pPr>
              <w:pStyle w:val="Tabletext"/>
              <w:cnfStyle w:val="000000000000"/>
              <w:rPr>
                <w:color w:val="auto"/>
                <w:szCs w:val="20"/>
              </w:rPr>
            </w:pPr>
          </w:p>
        </w:tc>
        <w:tc>
          <w:tcPr>
            <w:tcW w:w="951" w:type="dxa"/>
            <w:tcBorders>
              <w:top w:val="single" w:sz="4" w:space="0" w:color="17365D" w:themeColor="text2" w:themeShade="BF"/>
              <w:bottom w:val="single" w:sz="8" w:space="0" w:color="4F81BD" w:themeColor="accent1"/>
            </w:tcBorders>
            <w:shd w:val="clear" w:color="auto" w:fill="DBE5F1" w:themeFill="accent1" w:themeFillTint="33"/>
          </w:tcPr>
          <w:p w:rsidR="007E56D8" w:rsidRPr="003A08E4" w:rsidRDefault="007E56D8" w:rsidP="007E56D8">
            <w:pPr>
              <w:pStyle w:val="Tabletext"/>
              <w:jc w:val="center"/>
              <w:cnfStyle w:val="000000000000"/>
              <w:rPr>
                <w:color w:val="auto"/>
                <w:szCs w:val="20"/>
              </w:rPr>
            </w:pPr>
            <w:r>
              <w:rPr>
                <w:color w:val="auto"/>
                <w:szCs w:val="20"/>
              </w:rPr>
              <w:t>2</w:t>
            </w:r>
          </w:p>
        </w:tc>
        <w:tc>
          <w:tcPr>
            <w:tcW w:w="4396" w:type="dxa"/>
            <w:tcBorders>
              <w:top w:val="single" w:sz="4" w:space="0" w:color="17365D" w:themeColor="text2" w:themeShade="BF"/>
              <w:bottom w:val="single" w:sz="8" w:space="0" w:color="4F81BD" w:themeColor="accent1"/>
            </w:tcBorders>
            <w:shd w:val="clear" w:color="auto" w:fill="DBE5F1" w:themeFill="accent1" w:themeFillTint="33"/>
          </w:tcPr>
          <w:p w:rsidR="007E56D8" w:rsidRPr="003A08E4" w:rsidRDefault="007E56D8" w:rsidP="007E56D8">
            <w:pPr>
              <w:pStyle w:val="ListBullet"/>
              <w:cnfStyle w:val="000000000000"/>
              <w:rPr>
                <w:color w:val="auto"/>
                <w:szCs w:val="20"/>
              </w:rPr>
            </w:pPr>
            <w:r w:rsidRPr="003A08E4">
              <w:rPr>
                <w:color w:val="auto"/>
                <w:szCs w:val="20"/>
              </w:rPr>
              <w:t>A population response model is developed and achieves the following objectives:</w:t>
            </w:r>
          </w:p>
          <w:p w:rsidR="007E56D8" w:rsidRPr="003A08E4" w:rsidRDefault="007E56D8" w:rsidP="007E56D8">
            <w:pPr>
              <w:pStyle w:val="ListBullet2"/>
              <w:cnfStyle w:val="000000000000"/>
              <w:rPr>
                <w:color w:val="auto"/>
                <w:szCs w:val="20"/>
              </w:rPr>
            </w:pPr>
            <w:r w:rsidRPr="003A08E4">
              <w:rPr>
                <w:color w:val="auto"/>
                <w:szCs w:val="20"/>
              </w:rPr>
              <w:t>a realistic recovery time frame and trajectory, informed by knowledge of species biology and threats, is identified,</w:t>
            </w:r>
          </w:p>
          <w:p w:rsidR="007E56D8" w:rsidRPr="003A08E4" w:rsidRDefault="007E56D8" w:rsidP="007E56D8">
            <w:pPr>
              <w:pStyle w:val="ListBullet2"/>
              <w:cnfStyle w:val="000000000000"/>
              <w:rPr>
                <w:color w:val="auto"/>
                <w:szCs w:val="20"/>
              </w:rPr>
            </w:pPr>
            <w:r w:rsidRPr="003A08E4">
              <w:rPr>
                <w:color w:val="auto"/>
                <w:szCs w:val="20"/>
              </w:rPr>
              <w:t>the outcomes of observed population fluctuations can be predicted, and</w:t>
            </w:r>
          </w:p>
          <w:p w:rsidR="007E56D8" w:rsidRPr="003A08E4" w:rsidRDefault="007E56D8" w:rsidP="007E56D8">
            <w:pPr>
              <w:pStyle w:val="ListBullet2"/>
              <w:cnfStyle w:val="000000000000"/>
              <w:rPr>
                <w:color w:val="auto"/>
                <w:szCs w:val="20"/>
              </w:rPr>
            </w:pPr>
            <w:proofErr w:type="gramStart"/>
            <w:r w:rsidRPr="003A08E4">
              <w:rPr>
                <w:color w:val="auto"/>
                <w:szCs w:val="20"/>
              </w:rPr>
              <w:t>the</w:t>
            </w:r>
            <w:proofErr w:type="gramEnd"/>
            <w:r w:rsidRPr="003A08E4">
              <w:rPr>
                <w:color w:val="auto"/>
                <w:szCs w:val="20"/>
              </w:rPr>
              <w:t xml:space="preserve"> effectiveness of recovery actions can be assessed.  </w:t>
            </w:r>
          </w:p>
        </w:tc>
        <w:tc>
          <w:tcPr>
            <w:tcW w:w="1411" w:type="dxa"/>
            <w:tcBorders>
              <w:top w:val="single" w:sz="4" w:space="0" w:color="17365D" w:themeColor="text2" w:themeShade="BF"/>
              <w:bottom w:val="single" w:sz="8" w:space="0" w:color="4F81BD" w:themeColor="accent1"/>
            </w:tcBorders>
            <w:shd w:val="clear" w:color="auto" w:fill="DBE5F1" w:themeFill="accent1" w:themeFillTint="33"/>
          </w:tcPr>
          <w:p w:rsidR="007E56D8" w:rsidRPr="004576BF" w:rsidRDefault="007E56D8" w:rsidP="007E56D8">
            <w:pPr>
              <w:pStyle w:val="Tabletext"/>
              <w:cnfStyle w:val="000000000000"/>
              <w:rPr>
                <w:b/>
                <w:color w:val="auto"/>
                <w:szCs w:val="20"/>
              </w:rPr>
            </w:pPr>
            <w:r w:rsidRPr="004576BF">
              <w:rPr>
                <w:b/>
                <w:color w:val="auto"/>
                <w:szCs w:val="20"/>
              </w:rPr>
              <w:t xml:space="preserve">OEH </w:t>
            </w:r>
            <w:r w:rsidRPr="004576BF">
              <w:rPr>
                <w:color w:val="auto"/>
                <w:szCs w:val="20"/>
              </w:rPr>
              <w:t>DELWP</w:t>
            </w:r>
          </w:p>
          <w:p w:rsidR="007E56D8" w:rsidRPr="003A08E4" w:rsidRDefault="007E56D8" w:rsidP="007E56D8">
            <w:pPr>
              <w:pStyle w:val="Tabletext"/>
              <w:cnfStyle w:val="000000000000"/>
              <w:rPr>
                <w:color w:val="auto"/>
                <w:szCs w:val="20"/>
              </w:rPr>
            </w:pPr>
            <w:r w:rsidRPr="003A08E4">
              <w:rPr>
                <w:color w:val="auto"/>
                <w:szCs w:val="20"/>
              </w:rPr>
              <w:t>ZAA</w:t>
            </w:r>
          </w:p>
          <w:p w:rsidR="007E56D8" w:rsidRPr="003A08E4" w:rsidRDefault="007E56D8" w:rsidP="007E56D8">
            <w:pPr>
              <w:pStyle w:val="Tabletext"/>
              <w:cnfStyle w:val="000000000000"/>
              <w:rPr>
                <w:color w:val="auto"/>
                <w:szCs w:val="20"/>
              </w:rPr>
            </w:pPr>
            <w:r w:rsidRPr="003A08E4">
              <w:rPr>
                <w:color w:val="auto"/>
                <w:szCs w:val="20"/>
              </w:rPr>
              <w:t>PwRT</w:t>
            </w:r>
          </w:p>
        </w:tc>
        <w:tc>
          <w:tcPr>
            <w:tcW w:w="1417" w:type="dxa"/>
            <w:tcBorders>
              <w:top w:val="single" w:sz="4" w:space="0" w:color="17365D" w:themeColor="text2" w:themeShade="BF"/>
              <w:bottom w:val="single" w:sz="8" w:space="0" w:color="4F81BD" w:themeColor="accent1"/>
            </w:tcBorders>
            <w:shd w:val="clear" w:color="auto" w:fill="DBE5F1" w:themeFill="accent1" w:themeFillTint="33"/>
          </w:tcPr>
          <w:p w:rsidR="007E56D8" w:rsidRPr="003A08E4" w:rsidRDefault="007E56D8" w:rsidP="007E56D8">
            <w:pPr>
              <w:pStyle w:val="Tabletext"/>
              <w:jc w:val="center"/>
              <w:cnfStyle w:val="000000000000"/>
              <w:rPr>
                <w:color w:val="auto"/>
                <w:szCs w:val="20"/>
              </w:rPr>
            </w:pPr>
            <w:r>
              <w:rPr>
                <w:color w:val="auto"/>
                <w:szCs w:val="20"/>
              </w:rPr>
              <w:t xml:space="preserve">Core government business </w:t>
            </w:r>
            <w:r w:rsidRPr="007D672B">
              <w:rPr>
                <w:i/>
                <w:color w:val="auto"/>
                <w:szCs w:val="20"/>
              </w:rPr>
              <w:t>(collaborati</w:t>
            </w:r>
            <w:r>
              <w:rPr>
                <w:i/>
                <w:color w:val="auto"/>
                <w:szCs w:val="20"/>
              </w:rPr>
              <w:t>ng</w:t>
            </w:r>
            <w:r w:rsidRPr="007D672B">
              <w:rPr>
                <w:i/>
                <w:color w:val="auto"/>
                <w:szCs w:val="20"/>
              </w:rPr>
              <w:t xml:space="preserve"> with research community)</w:t>
            </w:r>
            <w:r>
              <w:rPr>
                <w:color w:val="auto"/>
                <w:szCs w:val="20"/>
              </w:rPr>
              <w:t xml:space="preserve"> </w:t>
            </w:r>
          </w:p>
        </w:tc>
      </w:tr>
    </w:tbl>
    <w:p w:rsidR="00B028F4" w:rsidRPr="009F5DDA" w:rsidRDefault="00B028F4" w:rsidP="003E2FEA">
      <w:pPr>
        <w:spacing w:before="240"/>
        <w:rPr>
          <w:color w:val="7F7F7F" w:themeColor="text1" w:themeTint="80"/>
          <w:sz w:val="24"/>
          <w:szCs w:val="24"/>
        </w:rPr>
      </w:pPr>
      <w:r w:rsidRPr="009F5DDA">
        <w:rPr>
          <w:color w:val="7F7F7F" w:themeColor="text1" w:themeTint="80"/>
          <w:sz w:val="24"/>
          <w:szCs w:val="24"/>
        </w:rPr>
        <w:t>On-ground actions</w:t>
      </w:r>
    </w:p>
    <w:tbl>
      <w:tblPr>
        <w:tblStyle w:val="LightGrid-Accent3"/>
        <w:tblW w:w="0" w:type="auto"/>
        <w:tblBorders>
          <w:top w:val="single" w:sz="8" w:space="0" w:color="7F7F7F" w:themeColor="text1" w:themeTint="80"/>
          <w:left w:val="none" w:sz="0" w:space="0" w:color="auto"/>
          <w:bottom w:val="single" w:sz="8" w:space="0" w:color="7F7F7F" w:themeColor="text1" w:themeTint="80"/>
          <w:right w:val="none" w:sz="0" w:space="0" w:color="auto"/>
          <w:insideH w:val="single" w:sz="8" w:space="0" w:color="7F7F7F" w:themeColor="text1" w:themeTint="80"/>
          <w:insideV w:val="none" w:sz="0" w:space="0" w:color="auto"/>
        </w:tblBorders>
        <w:shd w:val="clear" w:color="auto" w:fill="D9D9D9" w:themeFill="background1" w:themeFillShade="D9"/>
        <w:tblLook w:val="04A0"/>
      </w:tblPr>
      <w:tblGrid>
        <w:gridCol w:w="839"/>
        <w:gridCol w:w="1628"/>
        <w:gridCol w:w="917"/>
        <w:gridCol w:w="4528"/>
        <w:gridCol w:w="1406"/>
        <w:gridCol w:w="1357"/>
      </w:tblGrid>
      <w:tr w:rsidR="004576BF" w:rsidRPr="00E15F73" w:rsidTr="00573265">
        <w:trPr>
          <w:cnfStyle w:val="1000000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jc w:val="center"/>
              <w:rPr>
                <w:rFonts w:ascii="Arial" w:hAnsi="Arial" w:cs="Arial"/>
                <w:szCs w:val="20"/>
              </w:rPr>
            </w:pPr>
            <w:r w:rsidRPr="00E15F73">
              <w:rPr>
                <w:rFonts w:ascii="Arial" w:hAnsi="Arial" w:cs="Arial"/>
                <w:szCs w:val="20"/>
              </w:rPr>
              <w:t>Action</w:t>
            </w:r>
          </w:p>
        </w:tc>
        <w:tc>
          <w:tcPr>
            <w:tcW w:w="1628"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cnfStyle w:val="100000000000"/>
              <w:rPr>
                <w:rFonts w:ascii="Arial" w:hAnsi="Arial" w:cs="Arial"/>
                <w:szCs w:val="20"/>
              </w:rPr>
            </w:pPr>
            <w:r w:rsidRPr="00E15F73">
              <w:rPr>
                <w:rFonts w:ascii="Arial" w:hAnsi="Arial" w:cs="Arial"/>
                <w:szCs w:val="20"/>
              </w:rPr>
              <w:t>Description</w:t>
            </w:r>
          </w:p>
        </w:tc>
        <w:tc>
          <w:tcPr>
            <w:tcW w:w="917"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jc w:val="center"/>
              <w:cnfStyle w:val="100000000000"/>
              <w:rPr>
                <w:rFonts w:ascii="Arial" w:hAnsi="Arial" w:cs="Arial"/>
                <w:szCs w:val="20"/>
              </w:rPr>
            </w:pPr>
            <w:r w:rsidRPr="00E15F73">
              <w:rPr>
                <w:rFonts w:ascii="Arial" w:hAnsi="Arial" w:cs="Arial"/>
                <w:szCs w:val="20"/>
              </w:rPr>
              <w:t>Priority</w:t>
            </w:r>
          </w:p>
        </w:tc>
        <w:tc>
          <w:tcPr>
            <w:tcW w:w="4528"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cnfStyle w:val="100000000000"/>
              <w:rPr>
                <w:rFonts w:ascii="Arial" w:hAnsi="Arial" w:cs="Arial"/>
                <w:szCs w:val="20"/>
              </w:rPr>
            </w:pPr>
            <w:r w:rsidRPr="00E15F73">
              <w:rPr>
                <w:rFonts w:ascii="Arial" w:hAnsi="Arial" w:cs="Arial"/>
                <w:szCs w:val="20"/>
              </w:rPr>
              <w:t>Performance Criteria</w:t>
            </w:r>
          </w:p>
        </w:tc>
        <w:tc>
          <w:tcPr>
            <w:tcW w:w="1406"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576BF" w:rsidRDefault="004576BF" w:rsidP="004576BF">
            <w:pPr>
              <w:pStyle w:val="Tabletext"/>
              <w:cnfStyle w:val="100000000000"/>
              <w:rPr>
                <w:rFonts w:ascii="Arial" w:hAnsi="Arial" w:cs="Arial"/>
                <w:b w:val="0"/>
                <w:szCs w:val="20"/>
              </w:rPr>
            </w:pPr>
            <w:r w:rsidRPr="004576BF">
              <w:rPr>
                <w:rFonts w:ascii="Arial" w:hAnsi="Arial" w:cs="Arial"/>
                <w:szCs w:val="20"/>
              </w:rPr>
              <w:t xml:space="preserve">Responsible Agencies </w:t>
            </w:r>
            <w:r>
              <w:rPr>
                <w:rFonts w:ascii="Arial" w:hAnsi="Arial" w:cs="Arial"/>
                <w:b w:val="0"/>
                <w:i/>
                <w:szCs w:val="20"/>
              </w:rPr>
              <w:t>and potential p</w:t>
            </w:r>
            <w:r w:rsidRPr="004576BF">
              <w:rPr>
                <w:rFonts w:ascii="Arial" w:hAnsi="Arial" w:cs="Arial"/>
                <w:b w:val="0"/>
                <w:i/>
                <w:szCs w:val="20"/>
              </w:rPr>
              <w:t>artners</w:t>
            </w:r>
          </w:p>
        </w:tc>
        <w:tc>
          <w:tcPr>
            <w:tcW w:w="1357"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576BF" w:rsidRDefault="004576BF" w:rsidP="004576BF">
            <w:pPr>
              <w:pStyle w:val="Tabletext"/>
              <w:jc w:val="center"/>
              <w:cnfStyle w:val="100000000000"/>
              <w:rPr>
                <w:rFonts w:ascii="Arial" w:hAnsi="Arial" w:cs="Arial"/>
                <w:szCs w:val="20"/>
              </w:rPr>
            </w:pPr>
            <w:r w:rsidRPr="004576BF">
              <w:rPr>
                <w:rFonts w:ascii="Arial" w:hAnsi="Arial" w:cs="Arial"/>
                <w:szCs w:val="20"/>
              </w:rPr>
              <w:t>Indicative Cost</w:t>
            </w:r>
          </w:p>
          <w:p w:rsidR="004576BF" w:rsidRPr="004576BF" w:rsidRDefault="004576BF" w:rsidP="004576BF">
            <w:pPr>
              <w:pStyle w:val="Tabletext"/>
              <w:jc w:val="center"/>
              <w:cnfStyle w:val="100000000000"/>
              <w:rPr>
                <w:rFonts w:ascii="Arial" w:hAnsi="Arial" w:cs="Arial"/>
                <w:b w:val="0"/>
                <w:i/>
                <w:szCs w:val="20"/>
              </w:rPr>
            </w:pPr>
            <w:r w:rsidRPr="004576BF">
              <w:rPr>
                <w:rFonts w:ascii="Arial" w:hAnsi="Arial" w:cs="Arial"/>
                <w:b w:val="0"/>
                <w:i/>
                <w:szCs w:val="20"/>
              </w:rPr>
              <w:t>*priority 1 only</w:t>
            </w:r>
          </w:p>
        </w:tc>
      </w:tr>
      <w:tr w:rsidR="00B028F4" w:rsidRPr="00E15F73" w:rsidTr="00573265">
        <w:trPr>
          <w:cnfStyle w:val="0000001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jc w:val="center"/>
              <w:rPr>
                <w:rFonts w:ascii="Arial" w:hAnsi="Arial" w:cs="Arial"/>
                <w:szCs w:val="20"/>
              </w:rPr>
            </w:pPr>
            <w:r w:rsidRPr="00E15F73">
              <w:rPr>
                <w:rFonts w:ascii="Arial" w:hAnsi="Arial" w:cs="Arial"/>
                <w:szCs w:val="20"/>
              </w:rPr>
              <w:t>1c</w:t>
            </w:r>
          </w:p>
        </w:tc>
        <w:tc>
          <w:tcPr>
            <w:tcW w:w="162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spacing w:after="240"/>
              <w:cnfStyle w:val="000000100000"/>
              <w:rPr>
                <w:rFonts w:cs="Arial"/>
                <w:szCs w:val="20"/>
              </w:rPr>
            </w:pPr>
            <w:r w:rsidRPr="00E15F73">
              <w:rPr>
                <w:rFonts w:cs="Arial"/>
                <w:szCs w:val="20"/>
              </w:rPr>
              <w:t>Implement the captive breeding strategy and establish a captive population of plains-wanderers.</w:t>
            </w:r>
          </w:p>
        </w:tc>
        <w:tc>
          <w:tcPr>
            <w:tcW w:w="9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jc w:val="center"/>
              <w:cnfStyle w:val="000000100000"/>
              <w:rPr>
                <w:rFonts w:cs="Arial"/>
                <w:szCs w:val="20"/>
              </w:rPr>
            </w:pPr>
            <w:r w:rsidRPr="00E15F73">
              <w:rPr>
                <w:rFonts w:cs="Arial"/>
                <w:szCs w:val="20"/>
              </w:rPr>
              <w:t>1</w:t>
            </w:r>
          </w:p>
        </w:tc>
        <w:tc>
          <w:tcPr>
            <w:tcW w:w="452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ListBullet"/>
              <w:cnfStyle w:val="000000100000"/>
              <w:rPr>
                <w:rFonts w:cs="Arial"/>
                <w:szCs w:val="20"/>
              </w:rPr>
            </w:pPr>
            <w:r w:rsidRPr="00E15F73">
              <w:rPr>
                <w:rFonts w:cs="Arial"/>
                <w:szCs w:val="20"/>
              </w:rPr>
              <w:t>The captive breeding strategy developed under action 1b is implemented.</w:t>
            </w:r>
          </w:p>
          <w:p w:rsidR="00B028F4" w:rsidRPr="00E15F73" w:rsidRDefault="00B028F4" w:rsidP="003E2FEA">
            <w:pPr>
              <w:pStyle w:val="ListBullet"/>
              <w:cnfStyle w:val="000000100000"/>
              <w:rPr>
                <w:rFonts w:cs="Arial"/>
                <w:szCs w:val="20"/>
              </w:rPr>
            </w:pPr>
            <w:r w:rsidRPr="00E15F73">
              <w:rPr>
                <w:rFonts w:cs="Arial"/>
                <w:szCs w:val="20"/>
              </w:rPr>
              <w:t>A captive population of plains-wanderers is established and meets the agreed objectives of the captive breeding program (as determined under 1b).</w:t>
            </w:r>
          </w:p>
        </w:tc>
        <w:tc>
          <w:tcPr>
            <w:tcW w:w="140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576BF" w:rsidRDefault="00B028F4" w:rsidP="003E2FEA">
            <w:pPr>
              <w:pStyle w:val="Tabletext"/>
              <w:cnfStyle w:val="000000100000"/>
              <w:rPr>
                <w:rFonts w:cs="Arial"/>
                <w:b/>
                <w:szCs w:val="20"/>
              </w:rPr>
            </w:pPr>
            <w:r w:rsidRPr="004576BF">
              <w:rPr>
                <w:rFonts w:cs="Arial"/>
                <w:b/>
                <w:szCs w:val="20"/>
              </w:rPr>
              <w:t>OEH</w:t>
            </w:r>
          </w:p>
          <w:p w:rsidR="00B028F4" w:rsidRPr="00E15F73" w:rsidRDefault="00B028F4" w:rsidP="003E2FEA">
            <w:pPr>
              <w:pStyle w:val="Tabletext"/>
              <w:cnfStyle w:val="000000100000"/>
              <w:rPr>
                <w:rFonts w:cs="Arial"/>
                <w:szCs w:val="20"/>
              </w:rPr>
            </w:pPr>
            <w:r w:rsidRPr="004576BF">
              <w:rPr>
                <w:rFonts w:cs="Arial"/>
                <w:b/>
                <w:szCs w:val="20"/>
              </w:rPr>
              <w:t>DELWP</w:t>
            </w:r>
          </w:p>
          <w:p w:rsidR="004576BF" w:rsidRPr="00E15F73" w:rsidRDefault="004576BF" w:rsidP="004576BF">
            <w:pPr>
              <w:pStyle w:val="Tabletext"/>
              <w:cnfStyle w:val="000000100000"/>
              <w:rPr>
                <w:rFonts w:cs="Arial"/>
                <w:szCs w:val="20"/>
              </w:rPr>
            </w:pPr>
            <w:r w:rsidRPr="00E15F73">
              <w:rPr>
                <w:rFonts w:cs="Arial"/>
                <w:szCs w:val="20"/>
              </w:rPr>
              <w:t>ZAA</w:t>
            </w:r>
          </w:p>
          <w:p w:rsidR="00B028F4" w:rsidRPr="00E15F73" w:rsidRDefault="00B028F4" w:rsidP="003E2FEA">
            <w:pPr>
              <w:pStyle w:val="Tabletext"/>
              <w:cnfStyle w:val="000000100000"/>
              <w:rPr>
                <w:rFonts w:cs="Arial"/>
                <w:szCs w:val="20"/>
              </w:rPr>
            </w:pPr>
            <w:r w:rsidRPr="00E15F73">
              <w:rPr>
                <w:rFonts w:cs="Arial"/>
                <w:szCs w:val="20"/>
              </w:rPr>
              <w:t>DEWNR</w:t>
            </w:r>
          </w:p>
          <w:p w:rsidR="00B028F4" w:rsidRPr="00E15F73" w:rsidRDefault="00B028F4" w:rsidP="003E2FEA">
            <w:pPr>
              <w:pStyle w:val="Tabletext"/>
              <w:cnfStyle w:val="000000100000"/>
              <w:rPr>
                <w:rFonts w:cs="Arial"/>
                <w:szCs w:val="20"/>
              </w:rPr>
            </w:pPr>
          </w:p>
        </w:tc>
        <w:tc>
          <w:tcPr>
            <w:tcW w:w="135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304463" w:rsidP="003E2FEA">
            <w:pPr>
              <w:pStyle w:val="Tabletext"/>
              <w:jc w:val="center"/>
              <w:cnfStyle w:val="000000100000"/>
              <w:rPr>
                <w:rFonts w:cs="Arial"/>
                <w:szCs w:val="20"/>
              </w:rPr>
            </w:pPr>
            <w:r>
              <w:rPr>
                <w:rFonts w:cs="Arial"/>
                <w:szCs w:val="20"/>
              </w:rPr>
              <w:t>$500 000 pa</w:t>
            </w:r>
          </w:p>
        </w:tc>
      </w:tr>
    </w:tbl>
    <w:p w:rsidR="00B028F4" w:rsidRPr="00BB6CB7" w:rsidRDefault="00B028F4" w:rsidP="003E2FEA">
      <w:pPr>
        <w:pStyle w:val="Heading3"/>
        <w:rPr>
          <w:szCs w:val="20"/>
        </w:rPr>
        <w:sectPr w:rsidR="00B028F4" w:rsidRPr="00BB6CB7" w:rsidSect="005E2592">
          <w:pgSz w:w="11899" w:h="16838"/>
          <w:pgMar w:top="720" w:right="720" w:bottom="720" w:left="720" w:header="720" w:footer="471" w:gutter="0"/>
          <w:cols w:space="720"/>
          <w:noEndnote/>
          <w:docGrid w:linePitch="326"/>
        </w:sectPr>
      </w:pPr>
    </w:p>
    <w:p w:rsidR="00B028F4" w:rsidRPr="009F5DDA" w:rsidRDefault="00B028F4" w:rsidP="003E2FEA">
      <w:pPr>
        <w:pStyle w:val="Heading3"/>
        <w:rPr>
          <w:b w:val="0"/>
          <w:i w:val="0"/>
          <w:color w:val="002060"/>
          <w:sz w:val="32"/>
          <w:szCs w:val="32"/>
        </w:rPr>
      </w:pPr>
      <w:bookmarkStart w:id="184" w:name="_Toc256000041"/>
      <w:bookmarkStart w:id="185" w:name="_Toc414615121"/>
      <w:bookmarkStart w:id="186" w:name="_Toc445297915"/>
      <w:bookmarkStart w:id="187" w:name="_Toc445307827"/>
      <w:r w:rsidRPr="009F5DDA">
        <w:rPr>
          <w:b w:val="0"/>
          <w:i w:val="0"/>
          <w:color w:val="002060"/>
          <w:sz w:val="32"/>
          <w:szCs w:val="32"/>
        </w:rPr>
        <w:t>Strategy 2:  Facilitate management of grazing regimes</w:t>
      </w:r>
      <w:r w:rsidR="00B37FFD" w:rsidRPr="009F5DDA">
        <w:rPr>
          <w:b w:val="0"/>
          <w:i w:val="0"/>
          <w:color w:val="002060"/>
          <w:sz w:val="32"/>
          <w:szCs w:val="32"/>
        </w:rPr>
        <w:t>, and improve knowledge of appropriate burning regimes,</w:t>
      </w:r>
      <w:r w:rsidRPr="009F5DDA">
        <w:rPr>
          <w:b w:val="0"/>
          <w:i w:val="0"/>
          <w:color w:val="002060"/>
          <w:sz w:val="32"/>
          <w:szCs w:val="32"/>
        </w:rPr>
        <w:t xml:space="preserve"> to maintain suitable habitat</w:t>
      </w:r>
      <w:bookmarkEnd w:id="184"/>
      <w:bookmarkEnd w:id="185"/>
      <w:r w:rsidR="00A20931" w:rsidRPr="009F5DDA">
        <w:rPr>
          <w:b w:val="0"/>
          <w:i w:val="0"/>
          <w:color w:val="002060"/>
          <w:sz w:val="32"/>
          <w:szCs w:val="32"/>
        </w:rPr>
        <w:t>.</w:t>
      </w:r>
      <w:bookmarkEnd w:id="186"/>
      <w:bookmarkEnd w:id="187"/>
      <w:r w:rsidRPr="009F5DDA">
        <w:rPr>
          <w:b w:val="0"/>
          <w:i w:val="0"/>
          <w:color w:val="002060"/>
          <w:sz w:val="32"/>
          <w:szCs w:val="32"/>
        </w:rPr>
        <w:t xml:space="preserve"> </w:t>
      </w:r>
    </w:p>
    <w:p w:rsidR="00CA455B" w:rsidRPr="009F5DDA" w:rsidRDefault="00B028F4">
      <w:pPr>
        <w:rPr>
          <w:color w:val="7F7F7F" w:themeColor="text1" w:themeTint="80"/>
          <w:sz w:val="24"/>
          <w:szCs w:val="24"/>
        </w:rPr>
      </w:pPr>
      <w:r w:rsidRPr="009F5DDA">
        <w:rPr>
          <w:color w:val="7F7F7F" w:themeColor="text1" w:themeTint="80"/>
          <w:sz w:val="24"/>
          <w:szCs w:val="24"/>
        </w:rPr>
        <w:t>Research Actions</w:t>
      </w:r>
    </w:p>
    <w:tbl>
      <w:tblPr>
        <w:tblStyle w:val="LightShading-Accent11"/>
        <w:tblW w:w="0" w:type="auto"/>
        <w:tblBorders>
          <w:top w:val="single" w:sz="4" w:space="0" w:color="17365D" w:themeColor="text2" w:themeShade="BF"/>
          <w:bottom w:val="single" w:sz="4" w:space="0" w:color="17365D" w:themeColor="text2" w:themeShade="BF"/>
          <w:insideH w:val="single" w:sz="4" w:space="0" w:color="17365D" w:themeColor="text2" w:themeShade="BF"/>
        </w:tblBorders>
        <w:shd w:val="clear" w:color="auto" w:fill="DBE5F1" w:themeFill="accent1" w:themeFillTint="33"/>
        <w:tblLook w:val="04A0"/>
      </w:tblPr>
      <w:tblGrid>
        <w:gridCol w:w="840"/>
        <w:gridCol w:w="1698"/>
        <w:gridCol w:w="950"/>
        <w:gridCol w:w="4392"/>
        <w:gridCol w:w="1411"/>
        <w:gridCol w:w="1384"/>
      </w:tblGrid>
      <w:tr w:rsidR="004576BF" w:rsidRPr="00E15F73" w:rsidTr="005E2592">
        <w:trPr>
          <w:cnfStyle w:val="100000000000"/>
        </w:trPr>
        <w:tc>
          <w:tcPr>
            <w:cnfStyle w:val="001000000000"/>
            <w:tcW w:w="840"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jc w:val="center"/>
              <w:rPr>
                <w:color w:val="auto"/>
                <w:szCs w:val="20"/>
              </w:rPr>
            </w:pPr>
            <w:r w:rsidRPr="00E15F73">
              <w:rPr>
                <w:color w:val="auto"/>
                <w:szCs w:val="20"/>
              </w:rPr>
              <w:t>Action</w:t>
            </w:r>
          </w:p>
        </w:tc>
        <w:tc>
          <w:tcPr>
            <w:tcW w:w="1698"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cnfStyle w:val="100000000000"/>
              <w:rPr>
                <w:color w:val="auto"/>
                <w:szCs w:val="20"/>
              </w:rPr>
            </w:pPr>
            <w:r w:rsidRPr="00E15F73">
              <w:rPr>
                <w:color w:val="auto"/>
                <w:szCs w:val="20"/>
              </w:rPr>
              <w:t>Description</w:t>
            </w:r>
          </w:p>
        </w:tc>
        <w:tc>
          <w:tcPr>
            <w:tcW w:w="950"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jc w:val="center"/>
              <w:cnfStyle w:val="100000000000"/>
              <w:rPr>
                <w:color w:val="auto"/>
                <w:szCs w:val="20"/>
              </w:rPr>
            </w:pPr>
            <w:r w:rsidRPr="00E15F73">
              <w:rPr>
                <w:color w:val="auto"/>
                <w:szCs w:val="20"/>
              </w:rPr>
              <w:t>Priority</w:t>
            </w:r>
          </w:p>
        </w:tc>
        <w:tc>
          <w:tcPr>
            <w:tcW w:w="4392"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cnfStyle w:val="100000000000"/>
              <w:rPr>
                <w:color w:val="auto"/>
                <w:szCs w:val="20"/>
              </w:rPr>
            </w:pPr>
            <w:r w:rsidRPr="00E15F73">
              <w:rPr>
                <w:color w:val="auto"/>
                <w:szCs w:val="20"/>
              </w:rPr>
              <w:t>Performance Criteria</w:t>
            </w:r>
          </w:p>
        </w:tc>
        <w:tc>
          <w:tcPr>
            <w:tcW w:w="141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4576BF" w:rsidRDefault="004576BF" w:rsidP="004576BF">
            <w:pPr>
              <w:pStyle w:val="Tabletext"/>
              <w:cnfStyle w:val="100000000000"/>
              <w:rPr>
                <w:rFonts w:cs="Arial"/>
                <w:b w:val="0"/>
                <w:color w:val="auto"/>
                <w:szCs w:val="20"/>
              </w:rPr>
            </w:pPr>
            <w:r w:rsidRPr="004576BF">
              <w:rPr>
                <w:rFonts w:cs="Arial"/>
                <w:color w:val="auto"/>
                <w:szCs w:val="20"/>
              </w:rPr>
              <w:t xml:space="preserve">Responsible Agencies </w:t>
            </w:r>
            <w:r w:rsidRPr="004576BF">
              <w:rPr>
                <w:rFonts w:cs="Arial"/>
                <w:b w:val="0"/>
                <w:i/>
                <w:color w:val="auto"/>
                <w:szCs w:val="20"/>
              </w:rPr>
              <w:t>and potential partners</w:t>
            </w:r>
          </w:p>
        </w:tc>
        <w:tc>
          <w:tcPr>
            <w:tcW w:w="1384"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4576BF" w:rsidRDefault="004576BF" w:rsidP="004576BF">
            <w:pPr>
              <w:pStyle w:val="Tabletext"/>
              <w:jc w:val="center"/>
              <w:cnfStyle w:val="100000000000"/>
              <w:rPr>
                <w:rFonts w:cs="Arial"/>
                <w:color w:val="auto"/>
                <w:szCs w:val="20"/>
              </w:rPr>
            </w:pPr>
            <w:r w:rsidRPr="004576BF">
              <w:rPr>
                <w:rFonts w:cs="Arial"/>
                <w:color w:val="auto"/>
                <w:szCs w:val="20"/>
              </w:rPr>
              <w:t>Indicative Cost</w:t>
            </w:r>
          </w:p>
          <w:p w:rsidR="004576BF" w:rsidRPr="004576BF" w:rsidRDefault="004576BF" w:rsidP="004576BF">
            <w:pPr>
              <w:pStyle w:val="Tabletext"/>
              <w:jc w:val="center"/>
              <w:cnfStyle w:val="100000000000"/>
              <w:rPr>
                <w:rFonts w:cs="Arial"/>
                <w:b w:val="0"/>
                <w:i/>
                <w:color w:val="auto"/>
                <w:szCs w:val="20"/>
              </w:rPr>
            </w:pPr>
            <w:r w:rsidRPr="004576BF">
              <w:rPr>
                <w:rFonts w:cs="Arial"/>
                <w:b w:val="0"/>
                <w:i/>
                <w:color w:val="auto"/>
                <w:szCs w:val="20"/>
              </w:rPr>
              <w:t>*priority 1 only</w:t>
            </w:r>
          </w:p>
        </w:tc>
      </w:tr>
      <w:tr w:rsidR="00B028F4" w:rsidTr="005E2592">
        <w:trPr>
          <w:cnfStyle w:val="000000100000"/>
        </w:trPr>
        <w:tc>
          <w:tcPr>
            <w:cnfStyle w:val="001000000000"/>
            <w:tcW w:w="840" w:type="dxa"/>
            <w:tcBorders>
              <w:left w:val="none" w:sz="0" w:space="0" w:color="auto"/>
              <w:right w:val="none" w:sz="0" w:space="0" w:color="auto"/>
            </w:tcBorders>
            <w:shd w:val="clear" w:color="auto" w:fill="DBE5F1" w:themeFill="accent1" w:themeFillTint="33"/>
          </w:tcPr>
          <w:p w:rsidR="00B028F4" w:rsidRPr="004B3BBF" w:rsidRDefault="00B028F4" w:rsidP="003E2FEA">
            <w:pPr>
              <w:pStyle w:val="Tabletext"/>
              <w:jc w:val="center"/>
              <w:rPr>
                <w:color w:val="auto"/>
                <w:szCs w:val="20"/>
              </w:rPr>
            </w:pPr>
            <w:r w:rsidRPr="004B3BBF">
              <w:rPr>
                <w:color w:val="auto"/>
                <w:szCs w:val="20"/>
              </w:rPr>
              <w:br w:type="page"/>
            </w:r>
            <w:r w:rsidRPr="004B3BBF">
              <w:rPr>
                <w:color w:val="auto"/>
                <w:szCs w:val="20"/>
              </w:rPr>
              <w:br w:type="page"/>
              <w:t>2a</w:t>
            </w:r>
          </w:p>
        </w:tc>
        <w:tc>
          <w:tcPr>
            <w:tcW w:w="1698" w:type="dxa"/>
            <w:tcBorders>
              <w:left w:val="none" w:sz="0" w:space="0" w:color="auto"/>
              <w:right w:val="none" w:sz="0" w:space="0" w:color="auto"/>
            </w:tcBorders>
            <w:shd w:val="clear" w:color="auto" w:fill="DBE5F1" w:themeFill="accent1" w:themeFillTint="33"/>
          </w:tcPr>
          <w:p w:rsidR="00B028F4" w:rsidRPr="004B3BBF" w:rsidRDefault="00B028F4" w:rsidP="003E2FEA">
            <w:pPr>
              <w:cnfStyle w:val="000000100000"/>
              <w:rPr>
                <w:color w:val="auto"/>
                <w:szCs w:val="20"/>
                <w:lang w:eastAsia="en-AU"/>
              </w:rPr>
            </w:pPr>
            <w:r w:rsidRPr="004B3BBF">
              <w:rPr>
                <w:color w:val="auto"/>
                <w:szCs w:val="20"/>
              </w:rPr>
              <w:t>Study the roles of burning and slashing in maintaining and improving the condition of plains-wanderer habitat in National Parks and Reserves, and other lands managed for conservation.</w:t>
            </w:r>
          </w:p>
        </w:tc>
        <w:tc>
          <w:tcPr>
            <w:tcW w:w="950" w:type="dxa"/>
            <w:tcBorders>
              <w:left w:val="none" w:sz="0" w:space="0" w:color="auto"/>
              <w:right w:val="none" w:sz="0" w:space="0" w:color="auto"/>
            </w:tcBorders>
            <w:shd w:val="clear" w:color="auto" w:fill="DBE5F1" w:themeFill="accent1" w:themeFillTint="33"/>
          </w:tcPr>
          <w:p w:rsidR="00B028F4" w:rsidRPr="004B3BBF" w:rsidRDefault="00B028F4" w:rsidP="003E2FEA">
            <w:pPr>
              <w:pStyle w:val="Tabletext"/>
              <w:jc w:val="center"/>
              <w:cnfStyle w:val="000000100000"/>
              <w:rPr>
                <w:color w:val="auto"/>
                <w:szCs w:val="20"/>
              </w:rPr>
            </w:pPr>
            <w:r w:rsidRPr="004B3BBF">
              <w:rPr>
                <w:color w:val="auto"/>
                <w:szCs w:val="20"/>
              </w:rPr>
              <w:t>1</w:t>
            </w:r>
          </w:p>
        </w:tc>
        <w:tc>
          <w:tcPr>
            <w:tcW w:w="4392" w:type="dxa"/>
            <w:tcBorders>
              <w:left w:val="none" w:sz="0" w:space="0" w:color="auto"/>
              <w:right w:val="none" w:sz="0" w:space="0" w:color="auto"/>
            </w:tcBorders>
            <w:shd w:val="clear" w:color="auto" w:fill="DBE5F1" w:themeFill="accent1" w:themeFillTint="33"/>
          </w:tcPr>
          <w:p w:rsidR="00B028F4" w:rsidRPr="004B3BBF" w:rsidRDefault="00B028F4" w:rsidP="003E2FEA">
            <w:pPr>
              <w:pStyle w:val="ListBullet"/>
              <w:cnfStyle w:val="000000100000"/>
              <w:rPr>
                <w:color w:val="auto"/>
                <w:szCs w:val="20"/>
                <w:lang w:eastAsia="en-AU"/>
              </w:rPr>
            </w:pPr>
            <w:r w:rsidRPr="004B3BBF">
              <w:rPr>
                <w:color w:val="auto"/>
                <w:szCs w:val="20"/>
              </w:rPr>
              <w:t>The potential for ecological burns to be used to manage plains-wanderer habitat (including impacts and response of vegetation) is investigated.</w:t>
            </w:r>
          </w:p>
          <w:p w:rsidR="00B028F4" w:rsidRPr="004B3BBF" w:rsidRDefault="00B028F4" w:rsidP="003E2FEA">
            <w:pPr>
              <w:pStyle w:val="ListBullet"/>
              <w:cnfStyle w:val="000000100000"/>
              <w:rPr>
                <w:color w:val="auto"/>
                <w:szCs w:val="20"/>
                <w:lang w:eastAsia="en-AU"/>
              </w:rPr>
            </w:pPr>
            <w:r w:rsidRPr="004B3BBF">
              <w:rPr>
                <w:color w:val="auto"/>
                <w:szCs w:val="20"/>
              </w:rPr>
              <w:t>A joint framework is developed and implemented to learn lessons from the various fire management methods being used across plains-wanderer habitat (e.g. by NP, TFN etc.) and to improve and coordinate future management of the species and its habitat.</w:t>
            </w:r>
          </w:p>
        </w:tc>
        <w:tc>
          <w:tcPr>
            <w:tcW w:w="1411" w:type="dxa"/>
            <w:tcBorders>
              <w:left w:val="none" w:sz="0" w:space="0" w:color="auto"/>
              <w:right w:val="none" w:sz="0" w:space="0" w:color="auto"/>
            </w:tcBorders>
            <w:shd w:val="clear" w:color="auto" w:fill="DBE5F1" w:themeFill="accent1" w:themeFillTint="33"/>
          </w:tcPr>
          <w:p w:rsidR="00B028F4" w:rsidRPr="00A33A91" w:rsidRDefault="00B028F4" w:rsidP="003E2FEA">
            <w:pPr>
              <w:pStyle w:val="Tabletext"/>
              <w:cnfStyle w:val="000000100000"/>
              <w:rPr>
                <w:b/>
                <w:color w:val="auto"/>
                <w:szCs w:val="20"/>
              </w:rPr>
            </w:pPr>
            <w:r w:rsidRPr="00A33A91">
              <w:rPr>
                <w:b/>
                <w:color w:val="auto"/>
                <w:szCs w:val="20"/>
              </w:rPr>
              <w:t>DELWP</w:t>
            </w:r>
          </w:p>
          <w:p w:rsidR="00B37FFD" w:rsidRPr="00B37FFD" w:rsidRDefault="00B37FFD" w:rsidP="003E2FEA">
            <w:pPr>
              <w:pStyle w:val="Tabletext"/>
              <w:cnfStyle w:val="000000100000"/>
              <w:rPr>
                <w:b/>
                <w:color w:val="auto"/>
                <w:szCs w:val="20"/>
              </w:rPr>
            </w:pPr>
            <w:r w:rsidRPr="00B37FFD">
              <w:rPr>
                <w:b/>
                <w:color w:val="auto"/>
                <w:szCs w:val="20"/>
              </w:rPr>
              <w:t>PV</w:t>
            </w:r>
          </w:p>
          <w:p w:rsidR="00B028F4" w:rsidRPr="004B3BBF" w:rsidRDefault="00B028F4" w:rsidP="003E2FEA">
            <w:pPr>
              <w:pStyle w:val="Tabletext"/>
              <w:cnfStyle w:val="000000100000"/>
              <w:rPr>
                <w:color w:val="auto"/>
                <w:szCs w:val="20"/>
              </w:rPr>
            </w:pPr>
            <w:r w:rsidRPr="004B3BBF">
              <w:rPr>
                <w:color w:val="auto"/>
                <w:szCs w:val="20"/>
              </w:rPr>
              <w:t>OEH</w:t>
            </w:r>
          </w:p>
          <w:p w:rsidR="00B028F4" w:rsidRPr="004B3BBF" w:rsidRDefault="00B028F4" w:rsidP="003E2FEA">
            <w:pPr>
              <w:pStyle w:val="Tabletext"/>
              <w:cnfStyle w:val="000000100000"/>
              <w:rPr>
                <w:color w:val="auto"/>
                <w:szCs w:val="20"/>
              </w:rPr>
            </w:pPr>
            <w:r w:rsidRPr="004B3BBF">
              <w:rPr>
                <w:color w:val="auto"/>
                <w:szCs w:val="20"/>
              </w:rPr>
              <w:t>TfN</w:t>
            </w:r>
          </w:p>
          <w:p w:rsidR="00B028F4" w:rsidRPr="004B3BBF" w:rsidRDefault="00B028F4" w:rsidP="003E2FEA">
            <w:pPr>
              <w:pStyle w:val="Tabletext"/>
              <w:cnfStyle w:val="000000100000"/>
              <w:rPr>
                <w:color w:val="auto"/>
                <w:szCs w:val="20"/>
              </w:rPr>
            </w:pPr>
            <w:r w:rsidRPr="004B3BBF">
              <w:rPr>
                <w:color w:val="auto"/>
                <w:szCs w:val="20"/>
              </w:rPr>
              <w:t>NTAG</w:t>
            </w:r>
          </w:p>
          <w:p w:rsidR="00B028F4" w:rsidRPr="004B3BBF" w:rsidRDefault="00B028F4" w:rsidP="003E2FEA">
            <w:pPr>
              <w:pStyle w:val="Tabletext"/>
              <w:cnfStyle w:val="000000100000"/>
              <w:rPr>
                <w:color w:val="auto"/>
                <w:szCs w:val="20"/>
              </w:rPr>
            </w:pPr>
            <w:r w:rsidRPr="004B3BBF">
              <w:rPr>
                <w:color w:val="auto"/>
                <w:szCs w:val="20"/>
              </w:rPr>
              <w:t>Research community</w:t>
            </w:r>
          </w:p>
        </w:tc>
        <w:tc>
          <w:tcPr>
            <w:tcW w:w="1384" w:type="dxa"/>
            <w:tcBorders>
              <w:left w:val="none" w:sz="0" w:space="0" w:color="auto"/>
              <w:right w:val="none" w:sz="0" w:space="0" w:color="auto"/>
            </w:tcBorders>
            <w:shd w:val="clear" w:color="auto" w:fill="DBE5F1" w:themeFill="accent1" w:themeFillTint="33"/>
          </w:tcPr>
          <w:p w:rsidR="00B028F4" w:rsidRDefault="007D672B" w:rsidP="003E2FEA">
            <w:pPr>
              <w:pStyle w:val="Tabletext"/>
              <w:jc w:val="center"/>
              <w:cnfStyle w:val="000000100000"/>
              <w:rPr>
                <w:color w:val="auto"/>
                <w:szCs w:val="20"/>
              </w:rPr>
            </w:pPr>
            <w:r>
              <w:rPr>
                <w:color w:val="auto"/>
                <w:szCs w:val="20"/>
              </w:rPr>
              <w:t>$30 000 pa</w:t>
            </w:r>
          </w:p>
          <w:p w:rsidR="007D672B" w:rsidRPr="006305E7" w:rsidRDefault="007D672B" w:rsidP="003E2FEA">
            <w:pPr>
              <w:pStyle w:val="Tabletext"/>
              <w:jc w:val="center"/>
              <w:cnfStyle w:val="000000100000"/>
              <w:rPr>
                <w:i/>
                <w:color w:val="auto"/>
                <w:szCs w:val="20"/>
              </w:rPr>
            </w:pPr>
            <w:r w:rsidRPr="006305E7">
              <w:rPr>
                <w:i/>
                <w:color w:val="auto"/>
                <w:szCs w:val="20"/>
              </w:rPr>
              <w:t>(for four year PhD project)</w:t>
            </w:r>
          </w:p>
        </w:tc>
      </w:tr>
    </w:tbl>
    <w:p w:rsidR="00CA455B" w:rsidRPr="009F5DDA" w:rsidRDefault="00B028F4">
      <w:pPr>
        <w:spacing w:before="120" w:after="120"/>
        <w:rPr>
          <w:rFonts w:cs="Arial"/>
          <w:i/>
          <w:color w:val="7F7F7F" w:themeColor="text1" w:themeTint="80"/>
          <w:sz w:val="24"/>
          <w:szCs w:val="24"/>
        </w:rPr>
      </w:pPr>
      <w:r w:rsidRPr="009F5DDA">
        <w:rPr>
          <w:color w:val="7F7F7F" w:themeColor="text1" w:themeTint="80"/>
          <w:sz w:val="24"/>
          <w:szCs w:val="24"/>
        </w:rPr>
        <w:t>On-ground actions</w:t>
      </w:r>
    </w:p>
    <w:tbl>
      <w:tblPr>
        <w:tblStyle w:val="LightGrid-Accent3"/>
        <w:tblW w:w="0" w:type="auto"/>
        <w:tblBorders>
          <w:top w:val="single" w:sz="8" w:space="0" w:color="7F7F7F" w:themeColor="text1" w:themeTint="80"/>
          <w:left w:val="none" w:sz="0" w:space="0" w:color="auto"/>
          <w:bottom w:val="single" w:sz="8" w:space="0" w:color="7F7F7F" w:themeColor="text1" w:themeTint="80"/>
          <w:right w:val="none" w:sz="0" w:space="0" w:color="auto"/>
          <w:insideH w:val="single" w:sz="8" w:space="0" w:color="7F7F7F" w:themeColor="text1" w:themeTint="80"/>
          <w:insideV w:val="none" w:sz="0" w:space="0" w:color="auto"/>
        </w:tblBorders>
        <w:shd w:val="clear" w:color="auto" w:fill="D9D9D9" w:themeFill="background1" w:themeFillShade="D9"/>
        <w:tblLook w:val="04A0"/>
      </w:tblPr>
      <w:tblGrid>
        <w:gridCol w:w="840"/>
        <w:gridCol w:w="1698"/>
        <w:gridCol w:w="950"/>
        <w:gridCol w:w="4392"/>
        <w:gridCol w:w="1411"/>
        <w:gridCol w:w="1384"/>
      </w:tblGrid>
      <w:tr w:rsidR="004576BF" w:rsidRPr="00E15F73" w:rsidTr="00573265">
        <w:trPr>
          <w:cnfStyle w:val="100000000000"/>
        </w:trPr>
        <w:tc>
          <w:tcPr>
            <w:cnfStyle w:val="001000000000"/>
            <w:tcW w:w="840"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jc w:val="center"/>
              <w:rPr>
                <w:rFonts w:ascii="Arial" w:hAnsi="Arial" w:cs="Arial"/>
                <w:szCs w:val="20"/>
              </w:rPr>
            </w:pPr>
            <w:r w:rsidRPr="00E15F73">
              <w:rPr>
                <w:rFonts w:ascii="Arial" w:hAnsi="Arial" w:cs="Arial"/>
                <w:szCs w:val="20"/>
              </w:rPr>
              <w:t>Action</w:t>
            </w:r>
          </w:p>
        </w:tc>
        <w:tc>
          <w:tcPr>
            <w:tcW w:w="1698"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cnfStyle w:val="100000000000"/>
              <w:rPr>
                <w:rFonts w:ascii="Arial" w:hAnsi="Arial" w:cs="Arial"/>
                <w:szCs w:val="20"/>
              </w:rPr>
            </w:pPr>
            <w:r w:rsidRPr="00E15F73">
              <w:rPr>
                <w:rFonts w:ascii="Arial" w:hAnsi="Arial" w:cs="Arial"/>
                <w:szCs w:val="20"/>
              </w:rPr>
              <w:t>Description</w:t>
            </w:r>
          </w:p>
        </w:tc>
        <w:tc>
          <w:tcPr>
            <w:tcW w:w="950"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jc w:val="center"/>
              <w:cnfStyle w:val="100000000000"/>
              <w:rPr>
                <w:rFonts w:ascii="Arial" w:hAnsi="Arial" w:cs="Arial"/>
                <w:szCs w:val="20"/>
              </w:rPr>
            </w:pPr>
            <w:r w:rsidRPr="00E15F73">
              <w:rPr>
                <w:rFonts w:ascii="Arial" w:hAnsi="Arial" w:cs="Arial"/>
                <w:szCs w:val="20"/>
              </w:rPr>
              <w:t>Priority</w:t>
            </w:r>
          </w:p>
        </w:tc>
        <w:tc>
          <w:tcPr>
            <w:tcW w:w="4392"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cnfStyle w:val="100000000000"/>
              <w:rPr>
                <w:rFonts w:ascii="Arial" w:hAnsi="Arial" w:cs="Arial"/>
                <w:szCs w:val="20"/>
              </w:rPr>
            </w:pPr>
            <w:r w:rsidRPr="00E15F73">
              <w:rPr>
                <w:rFonts w:ascii="Arial" w:hAnsi="Arial" w:cs="Arial"/>
                <w:szCs w:val="20"/>
              </w:rPr>
              <w:t>Performance Criteria</w:t>
            </w:r>
          </w:p>
        </w:tc>
        <w:tc>
          <w:tcPr>
            <w:tcW w:w="1411"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576BF" w:rsidRDefault="004576BF" w:rsidP="004576BF">
            <w:pPr>
              <w:pStyle w:val="Tabletext"/>
              <w:cnfStyle w:val="100000000000"/>
              <w:rPr>
                <w:rFonts w:ascii="Arial" w:hAnsi="Arial" w:cs="Arial"/>
                <w:b w:val="0"/>
                <w:szCs w:val="20"/>
              </w:rPr>
            </w:pPr>
            <w:r w:rsidRPr="004576BF">
              <w:rPr>
                <w:rFonts w:ascii="Arial" w:hAnsi="Arial" w:cs="Arial"/>
                <w:szCs w:val="20"/>
              </w:rPr>
              <w:t xml:space="preserve">Responsible Agencies </w:t>
            </w:r>
            <w:r>
              <w:rPr>
                <w:rFonts w:ascii="Arial" w:hAnsi="Arial" w:cs="Arial"/>
                <w:b w:val="0"/>
                <w:i/>
                <w:szCs w:val="20"/>
              </w:rPr>
              <w:t>and potential p</w:t>
            </w:r>
            <w:r w:rsidRPr="004576BF">
              <w:rPr>
                <w:rFonts w:ascii="Arial" w:hAnsi="Arial" w:cs="Arial"/>
                <w:b w:val="0"/>
                <w:i/>
                <w:szCs w:val="20"/>
              </w:rPr>
              <w:t>artners</w:t>
            </w:r>
          </w:p>
        </w:tc>
        <w:tc>
          <w:tcPr>
            <w:tcW w:w="1384"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576BF" w:rsidRDefault="004576BF" w:rsidP="004576BF">
            <w:pPr>
              <w:pStyle w:val="Tabletext"/>
              <w:jc w:val="center"/>
              <w:cnfStyle w:val="100000000000"/>
              <w:rPr>
                <w:rFonts w:ascii="Arial" w:hAnsi="Arial" w:cs="Arial"/>
                <w:szCs w:val="20"/>
              </w:rPr>
            </w:pPr>
            <w:r w:rsidRPr="004576BF">
              <w:rPr>
                <w:rFonts w:ascii="Arial" w:hAnsi="Arial" w:cs="Arial"/>
                <w:szCs w:val="20"/>
              </w:rPr>
              <w:t>Indicative Cost</w:t>
            </w:r>
          </w:p>
          <w:p w:rsidR="004576BF" w:rsidRPr="004576BF" w:rsidRDefault="004576BF" w:rsidP="004576BF">
            <w:pPr>
              <w:pStyle w:val="Tabletext"/>
              <w:jc w:val="center"/>
              <w:cnfStyle w:val="100000000000"/>
              <w:rPr>
                <w:rFonts w:ascii="Arial" w:hAnsi="Arial" w:cs="Arial"/>
                <w:b w:val="0"/>
                <w:i/>
                <w:szCs w:val="20"/>
              </w:rPr>
            </w:pPr>
            <w:r w:rsidRPr="004576BF">
              <w:rPr>
                <w:rFonts w:ascii="Arial" w:hAnsi="Arial" w:cs="Arial"/>
                <w:b w:val="0"/>
                <w:i/>
                <w:szCs w:val="20"/>
              </w:rPr>
              <w:t>*priority 1 only</w:t>
            </w:r>
          </w:p>
        </w:tc>
      </w:tr>
      <w:tr w:rsidR="00B028F4" w:rsidRPr="00E15F73" w:rsidTr="00573265">
        <w:trPr>
          <w:cnfStyle w:val="000000100000"/>
          <w:trHeight w:val="3005"/>
        </w:trPr>
        <w:tc>
          <w:tcPr>
            <w:cnfStyle w:val="001000000000"/>
            <w:tcW w:w="84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jc w:val="center"/>
              <w:rPr>
                <w:rFonts w:ascii="Arial" w:hAnsi="Arial" w:cs="Arial"/>
                <w:szCs w:val="20"/>
              </w:rPr>
            </w:pPr>
            <w:r w:rsidRPr="00E15F73">
              <w:rPr>
                <w:rFonts w:ascii="Arial" w:hAnsi="Arial" w:cs="Arial"/>
                <w:szCs w:val="20"/>
              </w:rPr>
              <w:t>2b</w:t>
            </w:r>
          </w:p>
        </w:tc>
        <w:tc>
          <w:tcPr>
            <w:tcW w:w="169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B20C9">
            <w:pPr>
              <w:autoSpaceDE w:val="0"/>
              <w:autoSpaceDN w:val="0"/>
              <w:adjustRightInd w:val="0"/>
              <w:spacing w:after="0"/>
              <w:cnfStyle w:val="000000100000"/>
              <w:rPr>
                <w:rFonts w:cs="Arial"/>
                <w:szCs w:val="20"/>
                <w:lang w:eastAsia="en-AU"/>
              </w:rPr>
            </w:pPr>
            <w:r w:rsidRPr="00E15F73">
              <w:rPr>
                <w:rFonts w:cs="Arial"/>
                <w:szCs w:val="20"/>
                <w:lang w:eastAsia="en-AU"/>
              </w:rPr>
              <w:t xml:space="preserve">Facilitate grazing management to soil type and enable landholders to maintain suitable grassland biomass </w:t>
            </w:r>
            <w:r w:rsidR="00A33A91" w:rsidRPr="00E15F73">
              <w:rPr>
                <w:rFonts w:cs="Arial"/>
                <w:szCs w:val="20"/>
                <w:lang w:eastAsia="en-AU"/>
              </w:rPr>
              <w:t>on red soils</w:t>
            </w:r>
            <w:r w:rsidRPr="00E15F73">
              <w:rPr>
                <w:rFonts w:cs="Arial"/>
                <w:szCs w:val="20"/>
                <w:lang w:eastAsia="en-AU"/>
              </w:rPr>
              <w:t>.</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jc w:val="center"/>
              <w:cnfStyle w:val="000000100000"/>
              <w:rPr>
                <w:rFonts w:cs="Arial"/>
                <w:szCs w:val="20"/>
              </w:rPr>
            </w:pPr>
            <w:r w:rsidRPr="00E15F73">
              <w:rPr>
                <w:rFonts w:cs="Arial"/>
                <w:szCs w:val="20"/>
              </w:rPr>
              <w:t>1</w:t>
            </w:r>
          </w:p>
        </w:tc>
        <w:tc>
          <w:tcPr>
            <w:tcW w:w="43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ListBullet"/>
              <w:cnfStyle w:val="000000100000"/>
              <w:rPr>
                <w:rFonts w:cs="Arial"/>
                <w:szCs w:val="20"/>
                <w:lang w:eastAsia="en-AU"/>
              </w:rPr>
            </w:pPr>
            <w:r w:rsidRPr="00E15F73">
              <w:rPr>
                <w:rFonts w:cs="Arial"/>
                <w:szCs w:val="20"/>
                <w:lang w:eastAsia="en-AU"/>
              </w:rPr>
              <w:t xml:space="preserve">Wherever possible, stock </w:t>
            </w:r>
            <w:r w:rsidR="007D672B">
              <w:rPr>
                <w:rFonts w:cs="Arial"/>
                <w:szCs w:val="20"/>
                <w:lang w:eastAsia="en-AU"/>
              </w:rPr>
              <w:t>are</w:t>
            </w:r>
            <w:r w:rsidR="007D672B" w:rsidRPr="00E15F73">
              <w:rPr>
                <w:rFonts w:cs="Arial"/>
                <w:szCs w:val="20"/>
                <w:lang w:eastAsia="en-AU"/>
              </w:rPr>
              <w:t xml:space="preserve"> </w:t>
            </w:r>
            <w:r w:rsidRPr="00E15F73">
              <w:rPr>
                <w:rFonts w:cs="Arial"/>
                <w:szCs w:val="20"/>
                <w:lang w:eastAsia="en-AU"/>
              </w:rPr>
              <w:t>rotated through, or confined to, fenced paddocks to maintain grassland biomass to desired levels for plains-wanderers in key habitat.</w:t>
            </w:r>
          </w:p>
          <w:p w:rsidR="00B028F4" w:rsidRPr="00E15F73" w:rsidRDefault="00B028F4" w:rsidP="003B20C9">
            <w:pPr>
              <w:pStyle w:val="ListBullet"/>
              <w:spacing w:after="0"/>
              <w:cnfStyle w:val="000000100000"/>
              <w:rPr>
                <w:rFonts w:cs="Arial"/>
                <w:szCs w:val="20"/>
                <w:lang w:eastAsia="en-AU"/>
              </w:rPr>
            </w:pPr>
            <w:r w:rsidRPr="00E15F73">
              <w:rPr>
                <w:rFonts w:cs="Arial"/>
                <w:szCs w:val="20"/>
                <w:lang w:eastAsia="en-AU"/>
              </w:rPr>
              <w:t xml:space="preserve">An incentive program is developed to provide funding for landholders to fence paddocks and/or key habitat patches, or implement other methods for improving grazing management, in key plains-wanderer habitat. </w:t>
            </w:r>
          </w:p>
        </w:tc>
        <w:tc>
          <w:tcPr>
            <w:tcW w:w="141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A33A91" w:rsidRDefault="00B028F4" w:rsidP="003E2FEA">
            <w:pPr>
              <w:pStyle w:val="Tabletext"/>
              <w:cnfStyle w:val="000000100000"/>
              <w:rPr>
                <w:rFonts w:cs="Arial"/>
                <w:b/>
                <w:szCs w:val="20"/>
              </w:rPr>
            </w:pPr>
            <w:r w:rsidRPr="00A33A91">
              <w:rPr>
                <w:rFonts w:cs="Arial"/>
                <w:b/>
                <w:szCs w:val="20"/>
              </w:rPr>
              <w:t>DELWP</w:t>
            </w:r>
          </w:p>
          <w:p w:rsidR="00B028F4" w:rsidRPr="00B83FE4" w:rsidRDefault="00B028F4" w:rsidP="003E2FEA">
            <w:pPr>
              <w:pStyle w:val="Tabletext"/>
              <w:cnfStyle w:val="000000100000"/>
              <w:rPr>
                <w:rFonts w:cs="Arial"/>
                <w:b/>
                <w:szCs w:val="20"/>
              </w:rPr>
            </w:pPr>
            <w:r w:rsidRPr="00B83FE4">
              <w:rPr>
                <w:rFonts w:cs="Arial"/>
                <w:b/>
                <w:szCs w:val="20"/>
              </w:rPr>
              <w:t>OEH</w:t>
            </w:r>
          </w:p>
          <w:p w:rsidR="00B028F4" w:rsidRPr="00E15F73" w:rsidRDefault="00B028F4" w:rsidP="003E2FEA">
            <w:pPr>
              <w:pStyle w:val="Tabletext"/>
              <w:cnfStyle w:val="000000100000"/>
              <w:rPr>
                <w:rFonts w:cs="Arial"/>
                <w:szCs w:val="20"/>
              </w:rPr>
            </w:pPr>
            <w:r w:rsidRPr="00B83FE4">
              <w:rPr>
                <w:rFonts w:cs="Arial"/>
                <w:b/>
                <w:szCs w:val="20"/>
              </w:rPr>
              <w:t>PV</w:t>
            </w:r>
          </w:p>
          <w:p w:rsidR="00B028F4" w:rsidRPr="00E15F73" w:rsidRDefault="00B028F4" w:rsidP="003E2FEA">
            <w:pPr>
              <w:pStyle w:val="Tabletext"/>
              <w:cnfStyle w:val="000000100000"/>
              <w:rPr>
                <w:rFonts w:cs="Arial"/>
                <w:szCs w:val="20"/>
              </w:rPr>
            </w:pPr>
            <w:r w:rsidRPr="00E15F73">
              <w:rPr>
                <w:rFonts w:cs="Arial"/>
                <w:szCs w:val="20"/>
              </w:rPr>
              <w:t>MLLS</w:t>
            </w:r>
          </w:p>
          <w:p w:rsidR="00B028F4" w:rsidRPr="00E15F73" w:rsidRDefault="00B028F4" w:rsidP="003E2FEA">
            <w:pPr>
              <w:pStyle w:val="Tabletext"/>
              <w:cnfStyle w:val="000000100000"/>
              <w:rPr>
                <w:rFonts w:cs="Arial"/>
                <w:szCs w:val="20"/>
              </w:rPr>
            </w:pPr>
            <w:r w:rsidRPr="00E15F73">
              <w:rPr>
                <w:rFonts w:cs="Arial"/>
                <w:szCs w:val="20"/>
              </w:rPr>
              <w:t>NCCMA</w:t>
            </w:r>
          </w:p>
          <w:p w:rsidR="00B028F4" w:rsidRPr="00E15F73" w:rsidRDefault="00B028F4" w:rsidP="003E2FEA">
            <w:pPr>
              <w:pStyle w:val="Tabletext"/>
              <w:cnfStyle w:val="000000100000"/>
              <w:rPr>
                <w:rFonts w:cs="Arial"/>
                <w:szCs w:val="20"/>
              </w:rPr>
            </w:pPr>
            <w:r w:rsidRPr="00E15F73">
              <w:rPr>
                <w:rFonts w:cs="Arial"/>
                <w:szCs w:val="20"/>
              </w:rPr>
              <w:t>RLLS</w:t>
            </w:r>
          </w:p>
          <w:p w:rsidR="00B028F4" w:rsidRPr="00E15F73" w:rsidRDefault="00B028F4" w:rsidP="003E2FEA">
            <w:pPr>
              <w:pStyle w:val="Tabletext"/>
              <w:cnfStyle w:val="000000100000"/>
              <w:rPr>
                <w:rFonts w:cs="Arial"/>
                <w:szCs w:val="20"/>
              </w:rPr>
            </w:pPr>
            <w:r w:rsidRPr="00E15F73">
              <w:rPr>
                <w:rFonts w:cs="Arial"/>
                <w:szCs w:val="20"/>
              </w:rPr>
              <w:t>TfN</w:t>
            </w:r>
          </w:p>
          <w:p w:rsidR="00B028F4" w:rsidRPr="00E15F73" w:rsidRDefault="00B028F4" w:rsidP="003E2FEA">
            <w:pPr>
              <w:pStyle w:val="Tabletext"/>
              <w:cnfStyle w:val="000000100000"/>
              <w:rPr>
                <w:rFonts w:cs="Arial"/>
                <w:szCs w:val="20"/>
              </w:rPr>
            </w:pPr>
            <w:r w:rsidRPr="00E15F73">
              <w:rPr>
                <w:rFonts w:cs="Arial"/>
                <w:szCs w:val="20"/>
              </w:rPr>
              <w:t>BHA</w:t>
            </w:r>
          </w:p>
          <w:p w:rsidR="00B028F4" w:rsidRPr="00E15F73" w:rsidRDefault="00B028F4" w:rsidP="003E2FEA">
            <w:pPr>
              <w:pStyle w:val="Tabletext"/>
              <w:cnfStyle w:val="000000100000"/>
              <w:rPr>
                <w:rFonts w:cs="Arial"/>
                <w:szCs w:val="20"/>
              </w:rPr>
            </w:pPr>
          </w:p>
          <w:p w:rsidR="00B028F4" w:rsidRPr="00E15F73" w:rsidRDefault="00B028F4" w:rsidP="003E2FEA">
            <w:pPr>
              <w:pStyle w:val="Tabletext"/>
              <w:cnfStyle w:val="000000100000"/>
              <w:rPr>
                <w:rFonts w:cs="Arial"/>
                <w:szCs w:val="20"/>
              </w:rPr>
            </w:pPr>
          </w:p>
        </w:tc>
        <w:tc>
          <w:tcPr>
            <w:tcW w:w="138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Default="006305E7" w:rsidP="003E2FEA">
            <w:pPr>
              <w:pStyle w:val="Tabletext"/>
              <w:jc w:val="center"/>
              <w:cnfStyle w:val="000000100000"/>
              <w:rPr>
                <w:rFonts w:cs="Arial"/>
                <w:szCs w:val="20"/>
              </w:rPr>
            </w:pPr>
            <w:r w:rsidRPr="006305E7">
              <w:rPr>
                <w:rFonts w:cs="Arial"/>
                <w:szCs w:val="20"/>
              </w:rPr>
              <w:t>$80 000 pa</w:t>
            </w:r>
          </w:p>
          <w:p w:rsidR="006305E7" w:rsidRPr="006305E7" w:rsidRDefault="006305E7" w:rsidP="006305E7">
            <w:pPr>
              <w:pStyle w:val="Tabletext"/>
              <w:jc w:val="center"/>
              <w:cnfStyle w:val="000000100000"/>
              <w:rPr>
                <w:rFonts w:cs="Arial"/>
                <w:i/>
                <w:szCs w:val="20"/>
              </w:rPr>
            </w:pPr>
            <w:r w:rsidRPr="006305E7">
              <w:rPr>
                <w:rFonts w:cs="Arial"/>
                <w:i/>
                <w:szCs w:val="20"/>
              </w:rPr>
              <w:t>(for five year incentive program to fence tw</w:t>
            </w:r>
            <w:r>
              <w:rPr>
                <w:rFonts w:cs="Arial"/>
                <w:i/>
                <w:szCs w:val="20"/>
              </w:rPr>
              <w:t>enty</w:t>
            </w:r>
            <w:r w:rsidRPr="006305E7">
              <w:rPr>
                <w:rFonts w:cs="Arial"/>
                <w:i/>
                <w:szCs w:val="20"/>
              </w:rPr>
              <w:t xml:space="preserve"> farms at $20 000 ea)</w:t>
            </w:r>
          </w:p>
        </w:tc>
      </w:tr>
      <w:tr w:rsidR="00B028F4" w:rsidRPr="00E15F73" w:rsidTr="00573265">
        <w:trPr>
          <w:cnfStyle w:val="000000010000"/>
          <w:trHeight w:val="406"/>
        </w:trPr>
        <w:tc>
          <w:tcPr>
            <w:cnfStyle w:val="001000000000"/>
            <w:tcW w:w="84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jc w:val="center"/>
              <w:rPr>
                <w:rFonts w:ascii="Arial" w:hAnsi="Arial" w:cs="Arial"/>
                <w:szCs w:val="20"/>
              </w:rPr>
            </w:pPr>
            <w:r w:rsidRPr="00E15F73">
              <w:rPr>
                <w:rFonts w:ascii="Arial" w:hAnsi="Arial" w:cs="Arial"/>
                <w:szCs w:val="20"/>
              </w:rPr>
              <w:t>2c</w:t>
            </w:r>
          </w:p>
        </w:tc>
        <w:tc>
          <w:tcPr>
            <w:tcW w:w="169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06199">
            <w:pPr>
              <w:pStyle w:val="Tabletext"/>
              <w:spacing w:after="240"/>
              <w:cnfStyle w:val="000000010000"/>
              <w:rPr>
                <w:rFonts w:cs="Arial"/>
                <w:szCs w:val="20"/>
              </w:rPr>
            </w:pPr>
            <w:r w:rsidRPr="00E15F73">
              <w:rPr>
                <w:rFonts w:cs="Arial"/>
                <w:szCs w:val="20"/>
                <w:lang w:eastAsia="en-AU"/>
              </w:rPr>
              <w:t>Closely monitor grazing impacts on public and private reserves where grazing regimes are being managed for plains</w:t>
            </w:r>
            <w:r w:rsidR="00AF26C1">
              <w:rPr>
                <w:rFonts w:cs="Arial"/>
                <w:szCs w:val="20"/>
                <w:lang w:eastAsia="en-AU"/>
              </w:rPr>
              <w:t>-</w:t>
            </w:r>
            <w:r w:rsidRPr="00E15F73">
              <w:rPr>
                <w:rFonts w:cs="Arial"/>
                <w:szCs w:val="20"/>
                <w:lang w:eastAsia="en-AU"/>
              </w:rPr>
              <w:t>wander</w:t>
            </w:r>
            <w:r w:rsidR="00AF26C1">
              <w:rPr>
                <w:rFonts w:cs="Arial"/>
                <w:szCs w:val="20"/>
                <w:lang w:eastAsia="en-AU"/>
              </w:rPr>
              <w:t>er</w:t>
            </w:r>
            <w:r w:rsidRPr="00E15F73">
              <w:rPr>
                <w:rFonts w:cs="Arial"/>
                <w:szCs w:val="20"/>
                <w:lang w:eastAsia="en-AU"/>
              </w:rPr>
              <w:t xml:space="preserve">s to ensure grassland structure remains within acceptable limits for </w:t>
            </w:r>
            <w:r w:rsidR="009F5DDA">
              <w:rPr>
                <w:rFonts w:cs="Arial"/>
                <w:szCs w:val="20"/>
                <w:lang w:eastAsia="en-AU"/>
              </w:rPr>
              <w:t>the species</w:t>
            </w:r>
            <w:r w:rsidRPr="00E15F73">
              <w:rPr>
                <w:rFonts w:cs="Arial"/>
                <w:szCs w:val="20"/>
                <w:lang w:eastAsia="en-AU"/>
              </w:rPr>
              <w:t>.</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jc w:val="center"/>
              <w:cnfStyle w:val="000000010000"/>
              <w:rPr>
                <w:rFonts w:cs="Arial"/>
                <w:szCs w:val="20"/>
              </w:rPr>
            </w:pPr>
            <w:r w:rsidRPr="00E15F73">
              <w:rPr>
                <w:rFonts w:cs="Arial"/>
                <w:szCs w:val="20"/>
              </w:rPr>
              <w:t>1</w:t>
            </w:r>
          </w:p>
        </w:tc>
        <w:tc>
          <w:tcPr>
            <w:tcW w:w="43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ListBullet"/>
              <w:cnfStyle w:val="000000010000"/>
              <w:rPr>
                <w:rFonts w:cs="Arial"/>
                <w:szCs w:val="20"/>
              </w:rPr>
            </w:pPr>
            <w:r w:rsidRPr="00E15F73">
              <w:rPr>
                <w:rFonts w:cs="Arial"/>
                <w:szCs w:val="20"/>
              </w:rPr>
              <w:t xml:space="preserve">Grassland structure and broad composition is monitored regularly, on both public and private protected areas, where grazing regimes are being managed for plains-wanderers. </w:t>
            </w:r>
          </w:p>
          <w:p w:rsidR="00B028F4" w:rsidRPr="00E15F73" w:rsidRDefault="00B028F4" w:rsidP="003E2FEA">
            <w:pPr>
              <w:pStyle w:val="ListBullet"/>
              <w:cnfStyle w:val="000000010000"/>
              <w:rPr>
                <w:rFonts w:cs="Arial"/>
                <w:szCs w:val="20"/>
              </w:rPr>
            </w:pPr>
            <w:r w:rsidRPr="00E15F73">
              <w:rPr>
                <w:rFonts w:cs="Arial"/>
                <w:szCs w:val="20"/>
                <w:lang w:eastAsia="en-AU"/>
              </w:rPr>
              <w:t>Managers respond quickly and effectively to ensure grassland structure remains suitable (i.e. 13-17 golf balls score, Parks Victoria 2008</w:t>
            </w:r>
            <w:r w:rsidR="00042EEA">
              <w:rPr>
                <w:rFonts w:cs="Arial"/>
                <w:szCs w:val="20"/>
                <w:vertAlign w:val="superscript"/>
                <w:lang w:eastAsia="en-AU"/>
              </w:rPr>
              <w:t>1</w:t>
            </w:r>
            <w:r w:rsidRPr="00E15F73">
              <w:rPr>
                <w:rFonts w:cs="Arial"/>
                <w:szCs w:val="20"/>
                <w:lang w:eastAsia="en-AU"/>
              </w:rPr>
              <w:t>; NSW, 2007) on reserves being managed for plains-wanderers.</w:t>
            </w:r>
          </w:p>
          <w:p w:rsidR="00B028F4" w:rsidRPr="00E15F73" w:rsidRDefault="00B028F4" w:rsidP="005E2592">
            <w:pPr>
              <w:pStyle w:val="ListBullet"/>
              <w:spacing w:after="0"/>
              <w:cnfStyle w:val="000000010000"/>
              <w:rPr>
                <w:rFonts w:cs="Arial"/>
                <w:szCs w:val="20"/>
              </w:rPr>
            </w:pPr>
            <w:r w:rsidRPr="001F6261">
              <w:rPr>
                <w:rFonts w:cs="Arial"/>
                <w:szCs w:val="20"/>
                <w:lang w:eastAsia="en-AU"/>
              </w:rPr>
              <w:t>During dry periods (late spring to autumn break), or declared droughts, stock exclu</w:t>
            </w:r>
            <w:r w:rsidR="001F6261" w:rsidRPr="001F6261">
              <w:rPr>
                <w:rFonts w:cs="Arial"/>
                <w:szCs w:val="20"/>
                <w:lang w:eastAsia="en-AU"/>
              </w:rPr>
              <w:t>sion</w:t>
            </w:r>
            <w:r w:rsidRPr="001F6261">
              <w:rPr>
                <w:rFonts w:cs="Arial"/>
                <w:szCs w:val="20"/>
                <w:lang w:eastAsia="en-AU"/>
              </w:rPr>
              <w:t xml:space="preserve"> from public areas</w:t>
            </w:r>
            <w:r w:rsidR="001F6261" w:rsidRPr="001F6261">
              <w:rPr>
                <w:rFonts w:cs="Arial"/>
                <w:szCs w:val="20"/>
                <w:lang w:eastAsia="en-AU"/>
              </w:rPr>
              <w:t xml:space="preserve"> is implemented as appropriate</w:t>
            </w:r>
            <w:r w:rsidRPr="001F6261">
              <w:rPr>
                <w:rFonts w:cs="Arial"/>
                <w:szCs w:val="20"/>
                <w:lang w:eastAsia="en-AU"/>
              </w:rPr>
              <w:t>.</w:t>
            </w:r>
          </w:p>
        </w:tc>
        <w:tc>
          <w:tcPr>
            <w:tcW w:w="141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A33A91" w:rsidRDefault="00B028F4" w:rsidP="003E2FEA">
            <w:pPr>
              <w:pStyle w:val="Tabletext"/>
              <w:cnfStyle w:val="000000010000"/>
              <w:rPr>
                <w:rFonts w:cs="Arial"/>
                <w:b/>
                <w:szCs w:val="20"/>
              </w:rPr>
            </w:pPr>
            <w:r w:rsidRPr="00A33A91">
              <w:rPr>
                <w:rFonts w:cs="Arial"/>
                <w:b/>
                <w:szCs w:val="20"/>
              </w:rPr>
              <w:t>DELWP</w:t>
            </w:r>
          </w:p>
          <w:p w:rsidR="00A33A91" w:rsidRPr="00A33A91" w:rsidRDefault="00A33A91" w:rsidP="00A33A91">
            <w:pPr>
              <w:pStyle w:val="Tabletext"/>
              <w:cnfStyle w:val="000000010000"/>
              <w:rPr>
                <w:rFonts w:cs="Arial"/>
                <w:b/>
                <w:szCs w:val="20"/>
              </w:rPr>
            </w:pPr>
            <w:r w:rsidRPr="00A33A91">
              <w:rPr>
                <w:rFonts w:cs="Arial"/>
                <w:b/>
                <w:szCs w:val="20"/>
              </w:rPr>
              <w:t>PV</w:t>
            </w:r>
          </w:p>
          <w:p w:rsidR="00B028F4" w:rsidRPr="00B83FE4" w:rsidRDefault="00B028F4" w:rsidP="003E2FEA">
            <w:pPr>
              <w:pStyle w:val="Tabletext"/>
              <w:cnfStyle w:val="000000010000"/>
              <w:rPr>
                <w:rFonts w:cs="Arial"/>
                <w:b/>
                <w:szCs w:val="20"/>
              </w:rPr>
            </w:pPr>
            <w:r w:rsidRPr="00B83FE4">
              <w:rPr>
                <w:rFonts w:cs="Arial"/>
                <w:b/>
                <w:szCs w:val="20"/>
              </w:rPr>
              <w:t>OEH</w:t>
            </w:r>
          </w:p>
          <w:p w:rsidR="00B028F4" w:rsidRDefault="00B028F4" w:rsidP="003E2FEA">
            <w:pPr>
              <w:pStyle w:val="Tabletext"/>
              <w:cnfStyle w:val="000000010000"/>
              <w:rPr>
                <w:rFonts w:cs="Arial"/>
                <w:szCs w:val="20"/>
              </w:rPr>
            </w:pPr>
            <w:r w:rsidRPr="00E15F73">
              <w:rPr>
                <w:rFonts w:cs="Arial"/>
                <w:szCs w:val="20"/>
              </w:rPr>
              <w:t>TfN</w:t>
            </w:r>
          </w:p>
          <w:p w:rsidR="007F04A3" w:rsidRDefault="007F04A3" w:rsidP="003E2FEA">
            <w:pPr>
              <w:pStyle w:val="Tabletext"/>
              <w:cnfStyle w:val="000000010000"/>
              <w:rPr>
                <w:rFonts w:cs="Arial"/>
                <w:szCs w:val="20"/>
              </w:rPr>
            </w:pPr>
            <w:r>
              <w:rPr>
                <w:rFonts w:cs="Arial"/>
                <w:szCs w:val="20"/>
              </w:rPr>
              <w:t>MLLS</w:t>
            </w:r>
          </w:p>
          <w:p w:rsidR="007F04A3" w:rsidRPr="00E15F73" w:rsidRDefault="007F04A3" w:rsidP="003E2FEA">
            <w:pPr>
              <w:pStyle w:val="Tabletext"/>
              <w:cnfStyle w:val="000000010000"/>
              <w:rPr>
                <w:rFonts w:cs="Arial"/>
                <w:szCs w:val="20"/>
              </w:rPr>
            </w:pPr>
            <w:r>
              <w:rPr>
                <w:rFonts w:cs="Arial"/>
                <w:szCs w:val="20"/>
              </w:rPr>
              <w:t>RLLS</w:t>
            </w:r>
          </w:p>
          <w:p w:rsidR="00B028F4" w:rsidRPr="00E15F73" w:rsidRDefault="00B028F4" w:rsidP="003E2FEA">
            <w:pPr>
              <w:pStyle w:val="Tabletext"/>
              <w:cnfStyle w:val="000000010000"/>
              <w:rPr>
                <w:rFonts w:cs="Arial"/>
                <w:szCs w:val="20"/>
              </w:rPr>
            </w:pPr>
          </w:p>
        </w:tc>
        <w:tc>
          <w:tcPr>
            <w:tcW w:w="138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Default="00CD07C4" w:rsidP="003E2FEA">
            <w:pPr>
              <w:pStyle w:val="Tabletext"/>
              <w:jc w:val="center"/>
              <w:cnfStyle w:val="000000010000"/>
              <w:rPr>
                <w:rFonts w:cs="Arial"/>
                <w:szCs w:val="20"/>
              </w:rPr>
            </w:pPr>
            <w:r>
              <w:rPr>
                <w:rFonts w:cs="Arial"/>
                <w:szCs w:val="20"/>
              </w:rPr>
              <w:t>$100 000 pa</w:t>
            </w:r>
          </w:p>
          <w:p w:rsidR="00CD07C4" w:rsidRPr="00CD07C4" w:rsidRDefault="00CD07C4" w:rsidP="003E2FEA">
            <w:pPr>
              <w:pStyle w:val="Tabletext"/>
              <w:jc w:val="center"/>
              <w:cnfStyle w:val="000000010000"/>
              <w:rPr>
                <w:rFonts w:cs="Arial"/>
                <w:i/>
                <w:szCs w:val="20"/>
              </w:rPr>
            </w:pPr>
          </w:p>
        </w:tc>
      </w:tr>
    </w:tbl>
    <w:p w:rsidR="00306199" w:rsidRPr="00306199" w:rsidRDefault="00142921" w:rsidP="00306199">
      <w:pPr>
        <w:rPr>
          <w:rFonts w:cs="Arial"/>
          <w:sz w:val="16"/>
          <w:szCs w:val="16"/>
        </w:rPr>
      </w:pPr>
      <w:proofErr w:type="gramStart"/>
      <w:r w:rsidRPr="00142921">
        <w:rPr>
          <w:b/>
          <w:bCs/>
          <w:sz w:val="16"/>
          <w:szCs w:val="16"/>
          <w:vertAlign w:val="superscript"/>
        </w:rPr>
        <w:t>1</w:t>
      </w:r>
      <w:r w:rsidRPr="00142921">
        <w:rPr>
          <w:rFonts w:cs="Arial"/>
          <w:sz w:val="16"/>
          <w:szCs w:val="16"/>
        </w:rPr>
        <w:t xml:space="preserve"> </w:t>
      </w:r>
      <w:r w:rsidRPr="00142921">
        <w:rPr>
          <w:sz w:val="16"/>
          <w:szCs w:val="16"/>
        </w:rPr>
        <w:t>Parks Victoria (2014).</w:t>
      </w:r>
      <w:proofErr w:type="gramEnd"/>
      <w:r w:rsidRPr="00142921">
        <w:rPr>
          <w:sz w:val="16"/>
          <w:szCs w:val="16"/>
        </w:rPr>
        <w:t xml:space="preserve"> </w:t>
      </w:r>
      <w:r w:rsidRPr="00142921">
        <w:rPr>
          <w:i/>
          <w:iCs/>
          <w:sz w:val="16"/>
          <w:szCs w:val="16"/>
        </w:rPr>
        <w:t xml:space="preserve">Parks Victoria Grassy Ecosystems Monitoring Protocol. </w:t>
      </w:r>
      <w:r w:rsidRPr="00142921">
        <w:rPr>
          <w:sz w:val="16"/>
          <w:szCs w:val="16"/>
        </w:rPr>
        <w:t>Parks Victoria, Melbourne.</w:t>
      </w:r>
    </w:p>
    <w:p w:rsidR="00B028F4" w:rsidRPr="00306199" w:rsidRDefault="00B028F4" w:rsidP="003E2FEA">
      <w:pPr>
        <w:pStyle w:val="Tabletext"/>
        <w:jc w:val="center"/>
        <w:rPr>
          <w:b/>
          <w:bCs/>
          <w:szCs w:val="20"/>
          <w:vertAlign w:val="superscript"/>
        </w:rPr>
        <w:sectPr w:rsidR="00B028F4" w:rsidRPr="00306199" w:rsidSect="00306199">
          <w:pgSz w:w="11899" w:h="16838"/>
          <w:pgMar w:top="567" w:right="720" w:bottom="567" w:left="720" w:header="720" w:footer="447" w:gutter="0"/>
          <w:cols w:space="720"/>
          <w:noEndnote/>
          <w:docGrid w:linePitch="326"/>
        </w:sectPr>
      </w:pPr>
    </w:p>
    <w:tbl>
      <w:tblPr>
        <w:tblStyle w:val="LightGrid-Accent3"/>
        <w:tblW w:w="0" w:type="auto"/>
        <w:tblBorders>
          <w:top w:val="single" w:sz="8" w:space="0" w:color="7F7F7F" w:themeColor="text1" w:themeTint="80"/>
          <w:left w:val="none" w:sz="0" w:space="0" w:color="auto"/>
          <w:bottom w:val="single" w:sz="8" w:space="0" w:color="7F7F7F" w:themeColor="text1" w:themeTint="80"/>
          <w:right w:val="none" w:sz="0" w:space="0" w:color="auto"/>
          <w:insideH w:val="single" w:sz="8" w:space="0" w:color="7F7F7F" w:themeColor="text1" w:themeTint="80"/>
          <w:insideV w:val="none" w:sz="0" w:space="0" w:color="auto"/>
        </w:tblBorders>
        <w:shd w:val="clear" w:color="auto" w:fill="D9D9D9" w:themeFill="background1" w:themeFillShade="D9"/>
        <w:tblLook w:val="04A0"/>
      </w:tblPr>
      <w:tblGrid>
        <w:gridCol w:w="840"/>
        <w:gridCol w:w="1698"/>
        <w:gridCol w:w="950"/>
        <w:gridCol w:w="4392"/>
        <w:gridCol w:w="1411"/>
        <w:gridCol w:w="1384"/>
      </w:tblGrid>
      <w:tr w:rsidR="00B028F4" w:rsidRPr="00E15F73" w:rsidTr="00573265">
        <w:trPr>
          <w:cnfStyle w:val="100000000000"/>
        </w:trPr>
        <w:tc>
          <w:tcPr>
            <w:cnfStyle w:val="001000000000"/>
            <w:tcW w:w="84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jc w:val="center"/>
              <w:rPr>
                <w:rFonts w:ascii="Arial" w:hAnsi="Arial" w:cs="Arial"/>
                <w:szCs w:val="20"/>
              </w:rPr>
            </w:pPr>
            <w:r w:rsidRPr="00E15F73">
              <w:rPr>
                <w:rFonts w:ascii="Arial" w:hAnsi="Arial" w:cs="Arial"/>
                <w:szCs w:val="20"/>
              </w:rPr>
              <w:t>2d</w:t>
            </w:r>
          </w:p>
        </w:tc>
        <w:tc>
          <w:tcPr>
            <w:tcW w:w="169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spacing w:after="240"/>
              <w:cnfStyle w:val="100000000000"/>
              <w:rPr>
                <w:rFonts w:ascii="Arial" w:hAnsi="Arial" w:cs="Arial"/>
                <w:szCs w:val="20"/>
              </w:rPr>
            </w:pPr>
            <w:r w:rsidRPr="00E15F73">
              <w:rPr>
                <w:rFonts w:ascii="Arial" w:hAnsi="Arial" w:cs="Arial"/>
                <w:b w:val="0"/>
                <w:szCs w:val="20"/>
              </w:rPr>
              <w:t>Design and implement a habitat management strategy for all lands in which plains-wanderers are a management target.</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jc w:val="center"/>
              <w:cnfStyle w:val="100000000000"/>
              <w:rPr>
                <w:rFonts w:ascii="Arial" w:hAnsi="Arial" w:cs="Arial"/>
                <w:szCs w:val="20"/>
              </w:rPr>
            </w:pPr>
            <w:r w:rsidRPr="00E15F73">
              <w:rPr>
                <w:rFonts w:ascii="Arial" w:hAnsi="Arial" w:cs="Arial"/>
                <w:b w:val="0"/>
                <w:szCs w:val="20"/>
              </w:rPr>
              <w:t>1</w:t>
            </w:r>
          </w:p>
        </w:tc>
        <w:tc>
          <w:tcPr>
            <w:tcW w:w="439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ListBullet"/>
              <w:cnfStyle w:val="100000000000"/>
              <w:rPr>
                <w:rFonts w:ascii="Arial" w:hAnsi="Arial" w:cs="Arial"/>
                <w:szCs w:val="20"/>
              </w:rPr>
            </w:pPr>
            <w:r w:rsidRPr="00E15F73">
              <w:rPr>
                <w:rFonts w:ascii="Arial" w:hAnsi="Arial" w:cs="Arial"/>
                <w:b w:val="0"/>
                <w:szCs w:val="20"/>
              </w:rPr>
              <w:t>Site specific management strategies, with appropriate grazing and burning protocols, are developed for areas within National Parks, the National Reserve System and other lands for which plains-wanderers are a management target.</w:t>
            </w:r>
          </w:p>
          <w:p w:rsidR="00B028F4" w:rsidRPr="00E15F73" w:rsidRDefault="00B028F4" w:rsidP="003E2FEA">
            <w:pPr>
              <w:pStyle w:val="ListBullet"/>
              <w:cnfStyle w:val="100000000000"/>
              <w:rPr>
                <w:rFonts w:ascii="Arial" w:hAnsi="Arial" w:cs="Arial"/>
                <w:szCs w:val="20"/>
              </w:rPr>
            </w:pPr>
            <w:r w:rsidRPr="00E15F73">
              <w:rPr>
                <w:rFonts w:ascii="Arial" w:hAnsi="Arial" w:cs="Arial"/>
                <w:b w:val="0"/>
                <w:szCs w:val="20"/>
              </w:rPr>
              <w:t>Management practices are reviewed to ensure best practice is being implemented. National Parks and Reserves and other lands where plains-wanders are a management target.</w:t>
            </w:r>
          </w:p>
        </w:tc>
        <w:tc>
          <w:tcPr>
            <w:tcW w:w="141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A33A91" w:rsidRDefault="00B028F4" w:rsidP="003E2FEA">
            <w:pPr>
              <w:pStyle w:val="Tabletext"/>
              <w:cnfStyle w:val="100000000000"/>
              <w:rPr>
                <w:rFonts w:ascii="Arial" w:hAnsi="Arial" w:cs="Arial"/>
                <w:szCs w:val="20"/>
              </w:rPr>
            </w:pPr>
            <w:r w:rsidRPr="00A33A91">
              <w:rPr>
                <w:rFonts w:ascii="Arial" w:hAnsi="Arial" w:cs="Arial"/>
                <w:szCs w:val="20"/>
              </w:rPr>
              <w:t>OEH</w:t>
            </w:r>
          </w:p>
          <w:p w:rsidR="00B028F4" w:rsidRPr="00A33A91" w:rsidRDefault="00B028F4" w:rsidP="003E2FEA">
            <w:pPr>
              <w:pStyle w:val="Tabletext"/>
              <w:cnfStyle w:val="100000000000"/>
              <w:rPr>
                <w:rFonts w:ascii="Arial" w:hAnsi="Arial" w:cs="Arial"/>
                <w:szCs w:val="20"/>
              </w:rPr>
            </w:pPr>
            <w:r w:rsidRPr="00A33A91">
              <w:rPr>
                <w:rFonts w:ascii="Arial" w:hAnsi="Arial" w:cs="Arial"/>
                <w:szCs w:val="20"/>
              </w:rPr>
              <w:t>DELWP</w:t>
            </w:r>
          </w:p>
          <w:p w:rsidR="00B028F4" w:rsidRPr="00A33A91" w:rsidRDefault="00B028F4" w:rsidP="003E2FEA">
            <w:pPr>
              <w:pStyle w:val="Tabletext"/>
              <w:cnfStyle w:val="100000000000"/>
              <w:rPr>
                <w:rFonts w:ascii="Arial" w:hAnsi="Arial" w:cs="Arial"/>
                <w:szCs w:val="20"/>
              </w:rPr>
            </w:pPr>
            <w:r w:rsidRPr="00A33A91">
              <w:rPr>
                <w:rFonts w:ascii="Arial" w:hAnsi="Arial" w:cs="Arial"/>
                <w:szCs w:val="20"/>
              </w:rPr>
              <w:t>PV</w:t>
            </w:r>
          </w:p>
          <w:p w:rsidR="00B028F4" w:rsidRPr="00E15F73" w:rsidRDefault="00B028F4" w:rsidP="003E2FEA">
            <w:pPr>
              <w:pStyle w:val="Tabletext"/>
              <w:cnfStyle w:val="100000000000"/>
              <w:rPr>
                <w:rFonts w:ascii="Arial" w:hAnsi="Arial" w:cs="Arial"/>
                <w:szCs w:val="20"/>
              </w:rPr>
            </w:pPr>
            <w:r w:rsidRPr="00E15F73">
              <w:rPr>
                <w:rFonts w:ascii="Arial" w:hAnsi="Arial" w:cs="Arial"/>
                <w:b w:val="0"/>
                <w:szCs w:val="20"/>
              </w:rPr>
              <w:t>TfN</w:t>
            </w:r>
          </w:p>
          <w:p w:rsidR="00B028F4" w:rsidRPr="00E15F73" w:rsidRDefault="00B028F4" w:rsidP="003E2FEA">
            <w:pPr>
              <w:pStyle w:val="Tabletext"/>
              <w:cnfStyle w:val="100000000000"/>
              <w:rPr>
                <w:rFonts w:ascii="Arial" w:hAnsi="Arial" w:cs="Arial"/>
                <w:szCs w:val="20"/>
              </w:rPr>
            </w:pPr>
            <w:r w:rsidRPr="00E15F73">
              <w:rPr>
                <w:rFonts w:ascii="Arial" w:hAnsi="Arial" w:cs="Arial"/>
                <w:b w:val="0"/>
                <w:szCs w:val="20"/>
              </w:rPr>
              <w:t>NTAG</w:t>
            </w:r>
          </w:p>
        </w:tc>
        <w:tc>
          <w:tcPr>
            <w:tcW w:w="138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CD07C4" w:rsidRDefault="00CD07C4" w:rsidP="003E2FEA">
            <w:pPr>
              <w:pStyle w:val="Tabletext"/>
              <w:jc w:val="center"/>
              <w:cnfStyle w:val="100000000000"/>
              <w:rPr>
                <w:rFonts w:ascii="Arial" w:hAnsi="Arial" w:cs="Arial"/>
                <w:b w:val="0"/>
                <w:szCs w:val="20"/>
              </w:rPr>
            </w:pPr>
            <w:r w:rsidRPr="00CD07C4">
              <w:rPr>
                <w:rFonts w:ascii="Arial" w:hAnsi="Arial" w:cs="Arial"/>
                <w:b w:val="0"/>
                <w:szCs w:val="20"/>
              </w:rPr>
              <w:t>$50 000 for Victorian reserves</w:t>
            </w:r>
          </w:p>
          <w:p w:rsidR="00CD07C4" w:rsidRPr="00CD07C4" w:rsidRDefault="00CD07C4" w:rsidP="003E2FEA">
            <w:pPr>
              <w:pStyle w:val="Tabletext"/>
              <w:jc w:val="center"/>
              <w:cnfStyle w:val="100000000000"/>
              <w:rPr>
                <w:rFonts w:ascii="Arial" w:hAnsi="Arial" w:cs="Arial"/>
                <w:b w:val="0"/>
                <w:szCs w:val="20"/>
              </w:rPr>
            </w:pPr>
          </w:p>
          <w:p w:rsidR="00CD07C4" w:rsidRPr="00E15F73" w:rsidRDefault="00CD07C4" w:rsidP="003E2FEA">
            <w:pPr>
              <w:pStyle w:val="Tabletext"/>
              <w:jc w:val="center"/>
              <w:cnfStyle w:val="100000000000"/>
              <w:rPr>
                <w:rFonts w:ascii="Arial" w:hAnsi="Arial" w:cs="Arial"/>
                <w:szCs w:val="20"/>
              </w:rPr>
            </w:pPr>
            <w:r w:rsidRPr="00CD07C4">
              <w:rPr>
                <w:rFonts w:ascii="Arial" w:hAnsi="Arial" w:cs="Arial"/>
                <w:b w:val="0"/>
                <w:szCs w:val="20"/>
              </w:rPr>
              <w:t xml:space="preserve">$30 000 for </w:t>
            </w:r>
            <w:r>
              <w:rPr>
                <w:rFonts w:ascii="Arial" w:hAnsi="Arial" w:cs="Arial"/>
                <w:b w:val="0"/>
                <w:szCs w:val="20"/>
              </w:rPr>
              <w:t xml:space="preserve">NSW </w:t>
            </w:r>
            <w:r w:rsidRPr="00CD07C4">
              <w:rPr>
                <w:rFonts w:ascii="Arial" w:hAnsi="Arial" w:cs="Arial"/>
                <w:b w:val="0"/>
                <w:szCs w:val="20"/>
              </w:rPr>
              <w:t>National Parks and defence land</w:t>
            </w:r>
          </w:p>
        </w:tc>
      </w:tr>
    </w:tbl>
    <w:p w:rsidR="00B028F4" w:rsidRPr="000135C1" w:rsidRDefault="00B028F4" w:rsidP="003E2FEA"/>
    <w:p w:rsidR="00412D78" w:rsidRPr="005E2592" w:rsidRDefault="00412D78" w:rsidP="00412D78">
      <w:pPr>
        <w:pStyle w:val="Heading3"/>
        <w:rPr>
          <w:b w:val="0"/>
          <w:i w:val="0"/>
          <w:color w:val="002060"/>
          <w:sz w:val="32"/>
          <w:szCs w:val="32"/>
        </w:rPr>
      </w:pPr>
      <w:bookmarkStart w:id="188" w:name="_Toc445307828"/>
      <w:bookmarkStart w:id="189" w:name="_Toc256000042"/>
      <w:bookmarkStart w:id="190" w:name="_Toc414615122"/>
      <w:bookmarkStart w:id="191" w:name="_Toc445297916"/>
      <w:r w:rsidRPr="005E2592">
        <w:rPr>
          <w:b w:val="0"/>
          <w:i w:val="0"/>
          <w:color w:val="002060"/>
          <w:sz w:val="32"/>
          <w:szCs w:val="32"/>
        </w:rPr>
        <w:t xml:space="preserve">Strategy </w:t>
      </w:r>
      <w:r>
        <w:rPr>
          <w:b w:val="0"/>
          <w:i w:val="0"/>
          <w:color w:val="002060"/>
          <w:sz w:val="32"/>
          <w:szCs w:val="32"/>
        </w:rPr>
        <w:t>3</w:t>
      </w:r>
      <w:r w:rsidRPr="005E2592">
        <w:rPr>
          <w:b w:val="0"/>
          <w:i w:val="0"/>
          <w:color w:val="002060"/>
          <w:sz w:val="32"/>
          <w:szCs w:val="32"/>
        </w:rPr>
        <w:t xml:space="preserve">: </w:t>
      </w:r>
      <w:r>
        <w:rPr>
          <w:b w:val="0"/>
          <w:i w:val="0"/>
          <w:color w:val="002060"/>
          <w:sz w:val="32"/>
          <w:szCs w:val="32"/>
        </w:rPr>
        <w:t>Enhance protection, i</w:t>
      </w:r>
      <w:r w:rsidRPr="005E2592">
        <w:rPr>
          <w:b w:val="0"/>
          <w:i w:val="0"/>
          <w:color w:val="002060"/>
          <w:sz w:val="32"/>
          <w:szCs w:val="32"/>
        </w:rPr>
        <w:t>mprove the quality and increase the extent of habitat suitable for the plains-wanderer.</w:t>
      </w:r>
      <w:bookmarkEnd w:id="188"/>
    </w:p>
    <w:p w:rsidR="00412D78" w:rsidRPr="009F5DDA" w:rsidRDefault="00412D78" w:rsidP="00412D78">
      <w:pPr>
        <w:rPr>
          <w:color w:val="7F7F7F" w:themeColor="text1" w:themeTint="80"/>
          <w:sz w:val="24"/>
          <w:szCs w:val="24"/>
        </w:rPr>
      </w:pPr>
      <w:r w:rsidRPr="009F5DDA">
        <w:rPr>
          <w:color w:val="7F7F7F" w:themeColor="text1" w:themeTint="80"/>
          <w:sz w:val="24"/>
          <w:szCs w:val="24"/>
        </w:rPr>
        <w:t>Research Actions</w:t>
      </w:r>
    </w:p>
    <w:tbl>
      <w:tblPr>
        <w:tblStyle w:val="LightShading-Accent11"/>
        <w:tblW w:w="0" w:type="auto"/>
        <w:tblBorders>
          <w:top w:val="single" w:sz="8" w:space="0" w:color="17365D" w:themeColor="text2" w:themeShade="BF"/>
          <w:bottom w:val="single" w:sz="8" w:space="0" w:color="17365D" w:themeColor="text2" w:themeShade="BF"/>
          <w:insideH w:val="single" w:sz="8" w:space="0" w:color="17365D" w:themeColor="text2" w:themeShade="BF"/>
        </w:tblBorders>
        <w:shd w:val="clear" w:color="auto" w:fill="DBE5F1" w:themeFill="accent1" w:themeFillTint="33"/>
        <w:tblLook w:val="04A0"/>
      </w:tblPr>
      <w:tblGrid>
        <w:gridCol w:w="839"/>
        <w:gridCol w:w="1640"/>
        <w:gridCol w:w="917"/>
        <w:gridCol w:w="4506"/>
        <w:gridCol w:w="1406"/>
        <w:gridCol w:w="1367"/>
      </w:tblGrid>
      <w:tr w:rsidR="00412D78" w:rsidRPr="00E15F73" w:rsidTr="00412D78">
        <w:trPr>
          <w:cnfStyle w:val="1000000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12D78" w:rsidRPr="00E15F73" w:rsidRDefault="00412D78" w:rsidP="00412D78">
            <w:pPr>
              <w:pStyle w:val="Tabletext"/>
              <w:jc w:val="center"/>
              <w:rPr>
                <w:color w:val="auto"/>
                <w:szCs w:val="20"/>
              </w:rPr>
            </w:pPr>
            <w:r w:rsidRPr="00E15F73">
              <w:rPr>
                <w:color w:val="auto"/>
                <w:szCs w:val="20"/>
              </w:rPr>
              <w:t>Action</w:t>
            </w:r>
          </w:p>
        </w:tc>
        <w:tc>
          <w:tcPr>
            <w:tcW w:w="1640"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12D78" w:rsidRPr="00E15F73" w:rsidRDefault="00412D78" w:rsidP="00412D78">
            <w:pPr>
              <w:pStyle w:val="Tabletext"/>
              <w:cnfStyle w:val="100000000000"/>
              <w:rPr>
                <w:color w:val="auto"/>
                <w:szCs w:val="20"/>
              </w:rPr>
            </w:pPr>
            <w:r w:rsidRPr="00E15F73">
              <w:rPr>
                <w:color w:val="auto"/>
                <w:szCs w:val="20"/>
              </w:rPr>
              <w:t>Description</w:t>
            </w:r>
          </w:p>
        </w:tc>
        <w:tc>
          <w:tcPr>
            <w:tcW w:w="917"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12D78" w:rsidRPr="00E15F73" w:rsidRDefault="00412D78" w:rsidP="00412D78">
            <w:pPr>
              <w:pStyle w:val="Tabletext"/>
              <w:jc w:val="center"/>
              <w:cnfStyle w:val="100000000000"/>
              <w:rPr>
                <w:color w:val="auto"/>
                <w:szCs w:val="20"/>
              </w:rPr>
            </w:pPr>
            <w:r w:rsidRPr="00E15F73">
              <w:rPr>
                <w:color w:val="auto"/>
                <w:szCs w:val="20"/>
              </w:rPr>
              <w:t>Priority</w:t>
            </w:r>
          </w:p>
        </w:tc>
        <w:tc>
          <w:tcPr>
            <w:tcW w:w="4506"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12D78" w:rsidRPr="00E15F73" w:rsidRDefault="00412D78" w:rsidP="00412D78">
            <w:pPr>
              <w:pStyle w:val="Tabletext"/>
              <w:cnfStyle w:val="100000000000"/>
              <w:rPr>
                <w:color w:val="auto"/>
                <w:szCs w:val="20"/>
              </w:rPr>
            </w:pPr>
            <w:r w:rsidRPr="00E15F73">
              <w:rPr>
                <w:color w:val="auto"/>
                <w:szCs w:val="20"/>
              </w:rPr>
              <w:t>Performance Criteria</w:t>
            </w:r>
          </w:p>
        </w:tc>
        <w:tc>
          <w:tcPr>
            <w:tcW w:w="1406"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12D78" w:rsidRPr="004576BF" w:rsidRDefault="00412D78" w:rsidP="00412D78">
            <w:pPr>
              <w:pStyle w:val="Tabletext"/>
              <w:cnfStyle w:val="100000000000"/>
              <w:rPr>
                <w:rFonts w:cs="Arial"/>
                <w:b w:val="0"/>
                <w:color w:val="auto"/>
                <w:szCs w:val="20"/>
              </w:rPr>
            </w:pPr>
            <w:r w:rsidRPr="004576BF">
              <w:rPr>
                <w:rFonts w:cs="Arial"/>
                <w:color w:val="auto"/>
                <w:szCs w:val="20"/>
              </w:rPr>
              <w:t xml:space="preserve">Responsible Agencies </w:t>
            </w:r>
            <w:r w:rsidRPr="004576BF">
              <w:rPr>
                <w:rFonts w:cs="Arial"/>
                <w:b w:val="0"/>
                <w:i/>
                <w:color w:val="auto"/>
                <w:szCs w:val="20"/>
              </w:rPr>
              <w:t>and potential partners</w:t>
            </w:r>
          </w:p>
        </w:tc>
        <w:tc>
          <w:tcPr>
            <w:tcW w:w="1367"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12D78" w:rsidRPr="004576BF" w:rsidRDefault="00412D78" w:rsidP="00412D78">
            <w:pPr>
              <w:pStyle w:val="Tabletext"/>
              <w:jc w:val="center"/>
              <w:cnfStyle w:val="100000000000"/>
              <w:rPr>
                <w:rFonts w:cs="Arial"/>
                <w:color w:val="auto"/>
                <w:szCs w:val="20"/>
              </w:rPr>
            </w:pPr>
            <w:r w:rsidRPr="004576BF">
              <w:rPr>
                <w:rFonts w:cs="Arial"/>
                <w:color w:val="auto"/>
                <w:szCs w:val="20"/>
              </w:rPr>
              <w:t>Indicative Cost</w:t>
            </w:r>
          </w:p>
          <w:p w:rsidR="00412D78" w:rsidRPr="004576BF" w:rsidRDefault="00412D78" w:rsidP="00412D78">
            <w:pPr>
              <w:pStyle w:val="Tabletext"/>
              <w:jc w:val="center"/>
              <w:cnfStyle w:val="100000000000"/>
              <w:rPr>
                <w:rFonts w:cs="Arial"/>
                <w:b w:val="0"/>
                <w:i/>
                <w:color w:val="auto"/>
                <w:szCs w:val="20"/>
              </w:rPr>
            </w:pPr>
            <w:r w:rsidRPr="004576BF">
              <w:rPr>
                <w:rFonts w:cs="Arial"/>
                <w:b w:val="0"/>
                <w:i/>
                <w:color w:val="auto"/>
                <w:szCs w:val="20"/>
              </w:rPr>
              <w:t>*priority 1 only</w:t>
            </w:r>
          </w:p>
        </w:tc>
      </w:tr>
      <w:tr w:rsidR="00412D78" w:rsidTr="00412D78">
        <w:trPr>
          <w:cnfStyle w:val="000000100000"/>
        </w:trPr>
        <w:tc>
          <w:tcPr>
            <w:cnfStyle w:val="001000000000"/>
            <w:tcW w:w="839" w:type="dxa"/>
            <w:tcBorders>
              <w:left w:val="none" w:sz="0" w:space="0" w:color="auto"/>
              <w:right w:val="none" w:sz="0" w:space="0" w:color="auto"/>
            </w:tcBorders>
            <w:shd w:val="clear" w:color="auto" w:fill="DBE5F1" w:themeFill="accent1" w:themeFillTint="33"/>
          </w:tcPr>
          <w:p w:rsidR="00412D78" w:rsidRPr="00CB1B6B" w:rsidRDefault="00412D78" w:rsidP="00412D78">
            <w:pPr>
              <w:pStyle w:val="Tabletext"/>
              <w:jc w:val="center"/>
              <w:rPr>
                <w:color w:val="auto"/>
                <w:szCs w:val="20"/>
              </w:rPr>
            </w:pPr>
            <w:r>
              <w:rPr>
                <w:color w:val="auto"/>
                <w:szCs w:val="20"/>
              </w:rPr>
              <w:t>3</w:t>
            </w:r>
            <w:r w:rsidRPr="00CB1B6B">
              <w:rPr>
                <w:color w:val="auto"/>
                <w:szCs w:val="20"/>
              </w:rPr>
              <w:t>a</w:t>
            </w:r>
          </w:p>
        </w:tc>
        <w:tc>
          <w:tcPr>
            <w:tcW w:w="1640" w:type="dxa"/>
            <w:tcBorders>
              <w:left w:val="none" w:sz="0" w:space="0" w:color="auto"/>
              <w:right w:val="none" w:sz="0" w:space="0" w:color="auto"/>
            </w:tcBorders>
            <w:shd w:val="clear" w:color="auto" w:fill="DBE5F1" w:themeFill="accent1" w:themeFillTint="33"/>
          </w:tcPr>
          <w:p w:rsidR="00412D78" w:rsidRPr="00CB1B6B" w:rsidRDefault="00412D78" w:rsidP="00412D78">
            <w:pPr>
              <w:pStyle w:val="Tabletext"/>
              <w:cnfStyle w:val="000000100000"/>
              <w:rPr>
                <w:b/>
                <w:color w:val="auto"/>
                <w:szCs w:val="20"/>
              </w:rPr>
            </w:pPr>
            <w:r w:rsidRPr="00CB1B6B">
              <w:rPr>
                <w:color w:val="auto"/>
                <w:szCs w:val="20"/>
              </w:rPr>
              <w:t>Develop strategies and programs to protect and enhance plains-wanderer habitat.</w:t>
            </w:r>
          </w:p>
        </w:tc>
        <w:tc>
          <w:tcPr>
            <w:tcW w:w="917" w:type="dxa"/>
            <w:tcBorders>
              <w:left w:val="none" w:sz="0" w:space="0" w:color="auto"/>
              <w:right w:val="none" w:sz="0" w:space="0" w:color="auto"/>
            </w:tcBorders>
            <w:shd w:val="clear" w:color="auto" w:fill="DBE5F1" w:themeFill="accent1" w:themeFillTint="33"/>
          </w:tcPr>
          <w:p w:rsidR="00412D78" w:rsidRPr="00CB1B6B" w:rsidRDefault="00412D78" w:rsidP="00412D78">
            <w:pPr>
              <w:pStyle w:val="Tabletext"/>
              <w:jc w:val="center"/>
              <w:cnfStyle w:val="000000100000"/>
              <w:rPr>
                <w:b/>
                <w:color w:val="auto"/>
                <w:szCs w:val="20"/>
              </w:rPr>
            </w:pPr>
            <w:r w:rsidRPr="00CB1B6B">
              <w:rPr>
                <w:color w:val="auto"/>
                <w:szCs w:val="20"/>
              </w:rPr>
              <w:t>1</w:t>
            </w:r>
          </w:p>
        </w:tc>
        <w:tc>
          <w:tcPr>
            <w:tcW w:w="4506" w:type="dxa"/>
            <w:tcBorders>
              <w:left w:val="none" w:sz="0" w:space="0" w:color="auto"/>
              <w:right w:val="none" w:sz="0" w:space="0" w:color="auto"/>
            </w:tcBorders>
            <w:shd w:val="clear" w:color="auto" w:fill="DBE5F1" w:themeFill="accent1" w:themeFillTint="33"/>
          </w:tcPr>
          <w:p w:rsidR="00412D78" w:rsidRPr="00CB1B6B" w:rsidRDefault="00412D78" w:rsidP="00412D78">
            <w:pPr>
              <w:pStyle w:val="ListBullet"/>
              <w:cnfStyle w:val="000000100000"/>
              <w:rPr>
                <w:color w:val="auto"/>
                <w:szCs w:val="20"/>
              </w:rPr>
            </w:pPr>
            <w:r w:rsidRPr="00CB1B6B">
              <w:rPr>
                <w:color w:val="auto"/>
                <w:szCs w:val="20"/>
              </w:rPr>
              <w:t>An ongoing stewardship program is established to support landholders in managing private protected areas to conserve the species, with a focus on habitat quality outcomes.</w:t>
            </w:r>
          </w:p>
          <w:p w:rsidR="00412D78" w:rsidRPr="00CB1B6B" w:rsidRDefault="00412D78" w:rsidP="00412D78">
            <w:pPr>
              <w:pStyle w:val="ListBullet"/>
              <w:cnfStyle w:val="000000100000"/>
              <w:rPr>
                <w:color w:val="auto"/>
                <w:szCs w:val="20"/>
              </w:rPr>
            </w:pPr>
            <w:r w:rsidRPr="00CB1B6B">
              <w:rPr>
                <w:color w:val="auto"/>
                <w:szCs w:val="20"/>
              </w:rPr>
              <w:t>Areas suitable for purchase and management by NGOs and private land conservation bodies are identified.</w:t>
            </w:r>
          </w:p>
          <w:p w:rsidR="00412D78" w:rsidRPr="00CB1B6B" w:rsidRDefault="00412D78" w:rsidP="00412D78">
            <w:pPr>
              <w:pStyle w:val="ListBullet"/>
              <w:cnfStyle w:val="000000100000"/>
              <w:rPr>
                <w:color w:val="auto"/>
                <w:szCs w:val="20"/>
              </w:rPr>
            </w:pPr>
            <w:r w:rsidRPr="00CB1B6B">
              <w:rPr>
                <w:color w:val="auto"/>
                <w:szCs w:val="20"/>
              </w:rPr>
              <w:t>Financial models are indentified to support landholders in removing future risks of habitat loss through application of in-perpetuity conservation covenants.</w:t>
            </w:r>
          </w:p>
          <w:p w:rsidR="00412D78" w:rsidRPr="00CB1B6B" w:rsidRDefault="00412D78" w:rsidP="00412D78">
            <w:pPr>
              <w:pStyle w:val="ListBullet"/>
              <w:cnfStyle w:val="000000100000"/>
              <w:rPr>
                <w:color w:val="auto"/>
                <w:szCs w:val="20"/>
              </w:rPr>
            </w:pPr>
            <w:r w:rsidRPr="00CB1B6B">
              <w:rPr>
                <w:color w:val="auto"/>
                <w:szCs w:val="20"/>
              </w:rPr>
              <w:t>Networks of private protected areas are established to complement existing public reserves and create long-term viable habitat areas of 20 000 ha or greater.</w:t>
            </w:r>
          </w:p>
        </w:tc>
        <w:tc>
          <w:tcPr>
            <w:tcW w:w="1406" w:type="dxa"/>
            <w:tcBorders>
              <w:left w:val="none" w:sz="0" w:space="0" w:color="auto"/>
              <w:right w:val="none" w:sz="0" w:space="0" w:color="auto"/>
            </w:tcBorders>
            <w:shd w:val="clear" w:color="auto" w:fill="DBE5F1" w:themeFill="accent1" w:themeFillTint="33"/>
          </w:tcPr>
          <w:p w:rsidR="00412D78" w:rsidRPr="005C2C69" w:rsidRDefault="00412D78" w:rsidP="00412D78">
            <w:pPr>
              <w:pStyle w:val="Tabletext"/>
              <w:cnfStyle w:val="000000100000"/>
              <w:rPr>
                <w:b/>
                <w:color w:val="auto"/>
                <w:szCs w:val="20"/>
              </w:rPr>
            </w:pPr>
            <w:r w:rsidRPr="005C2C69">
              <w:rPr>
                <w:b/>
                <w:color w:val="auto"/>
                <w:szCs w:val="20"/>
              </w:rPr>
              <w:t xml:space="preserve">TfN </w:t>
            </w:r>
          </w:p>
          <w:p w:rsidR="00412D78" w:rsidRPr="00CB1B6B" w:rsidRDefault="00412D78" w:rsidP="00412D78">
            <w:pPr>
              <w:pStyle w:val="Tabletext"/>
              <w:cnfStyle w:val="000000100000"/>
              <w:rPr>
                <w:color w:val="auto"/>
                <w:szCs w:val="20"/>
              </w:rPr>
            </w:pPr>
            <w:r w:rsidRPr="00CB1B6B">
              <w:rPr>
                <w:color w:val="auto"/>
                <w:szCs w:val="20"/>
              </w:rPr>
              <w:t>BHA</w:t>
            </w:r>
          </w:p>
          <w:p w:rsidR="00412D78" w:rsidRPr="00CB1B6B" w:rsidRDefault="00412D78" w:rsidP="00412D78">
            <w:pPr>
              <w:pStyle w:val="Tabletext"/>
              <w:cnfStyle w:val="000000100000"/>
              <w:rPr>
                <w:color w:val="auto"/>
                <w:szCs w:val="20"/>
              </w:rPr>
            </w:pPr>
            <w:r w:rsidRPr="00CB1B6B">
              <w:rPr>
                <w:color w:val="auto"/>
                <w:szCs w:val="20"/>
              </w:rPr>
              <w:t>NCT</w:t>
            </w:r>
          </w:p>
          <w:p w:rsidR="00412D78" w:rsidRDefault="00412D78" w:rsidP="00412D78">
            <w:pPr>
              <w:pStyle w:val="Tabletext"/>
              <w:cnfStyle w:val="000000100000"/>
              <w:rPr>
                <w:color w:val="auto"/>
                <w:szCs w:val="20"/>
              </w:rPr>
            </w:pPr>
            <w:r>
              <w:rPr>
                <w:color w:val="auto"/>
                <w:szCs w:val="20"/>
              </w:rPr>
              <w:t>MLLS</w:t>
            </w:r>
          </w:p>
          <w:p w:rsidR="00412D78" w:rsidRPr="00CB1B6B" w:rsidRDefault="00412D78" w:rsidP="00412D78">
            <w:pPr>
              <w:pStyle w:val="Tabletext"/>
              <w:cnfStyle w:val="000000100000"/>
              <w:rPr>
                <w:b/>
                <w:color w:val="auto"/>
                <w:szCs w:val="20"/>
              </w:rPr>
            </w:pPr>
            <w:r>
              <w:rPr>
                <w:color w:val="auto"/>
                <w:szCs w:val="20"/>
              </w:rPr>
              <w:t>RLLS</w:t>
            </w:r>
          </w:p>
        </w:tc>
        <w:tc>
          <w:tcPr>
            <w:tcW w:w="1367" w:type="dxa"/>
            <w:tcBorders>
              <w:left w:val="none" w:sz="0" w:space="0" w:color="auto"/>
              <w:right w:val="none" w:sz="0" w:space="0" w:color="auto"/>
            </w:tcBorders>
            <w:shd w:val="clear" w:color="auto" w:fill="DBE5F1" w:themeFill="accent1" w:themeFillTint="33"/>
          </w:tcPr>
          <w:p w:rsidR="00412D78" w:rsidRPr="00B0215D" w:rsidRDefault="00412D78" w:rsidP="00412D78">
            <w:pPr>
              <w:pStyle w:val="Tabletext"/>
              <w:jc w:val="center"/>
              <w:cnfStyle w:val="000000100000"/>
              <w:rPr>
                <w:rFonts w:cs="Arial"/>
                <w:color w:val="auto"/>
                <w:szCs w:val="20"/>
              </w:rPr>
            </w:pPr>
            <w:r w:rsidRPr="00B0215D">
              <w:rPr>
                <w:rFonts w:cs="Arial"/>
                <w:color w:val="auto"/>
                <w:szCs w:val="20"/>
              </w:rPr>
              <w:t>$100 000 pa</w:t>
            </w:r>
          </w:p>
          <w:p w:rsidR="00412D78" w:rsidRPr="00CB1B6B" w:rsidRDefault="00412D78" w:rsidP="00412D78">
            <w:pPr>
              <w:pStyle w:val="Tabletext"/>
              <w:jc w:val="center"/>
              <w:cnfStyle w:val="000000100000"/>
              <w:rPr>
                <w:b/>
                <w:color w:val="auto"/>
                <w:szCs w:val="20"/>
              </w:rPr>
            </w:pPr>
            <w:r w:rsidRPr="00B0215D">
              <w:rPr>
                <w:rFonts w:cs="Arial"/>
                <w:i/>
                <w:color w:val="auto"/>
                <w:szCs w:val="20"/>
              </w:rPr>
              <w:t>(for five year stewardship program to protect twenty farms at $5000 ea)</w:t>
            </w:r>
          </w:p>
        </w:tc>
      </w:tr>
    </w:tbl>
    <w:p w:rsidR="00412D78" w:rsidRPr="009F5DDA" w:rsidRDefault="00412D78" w:rsidP="00412D78">
      <w:pPr>
        <w:spacing w:before="240"/>
        <w:rPr>
          <w:color w:val="7F7F7F" w:themeColor="text1" w:themeTint="80"/>
          <w:sz w:val="24"/>
          <w:szCs w:val="24"/>
        </w:rPr>
      </w:pPr>
      <w:r w:rsidRPr="009F5DDA">
        <w:rPr>
          <w:color w:val="7F7F7F" w:themeColor="text1" w:themeTint="80"/>
          <w:sz w:val="24"/>
          <w:szCs w:val="24"/>
        </w:rPr>
        <w:t>On-ground actions</w:t>
      </w:r>
    </w:p>
    <w:tbl>
      <w:tblPr>
        <w:tblStyle w:val="LightGrid-Accent3"/>
        <w:tblW w:w="10740" w:type="dxa"/>
        <w:tblBorders>
          <w:top w:val="single" w:sz="8" w:space="0" w:color="7F7F7F" w:themeColor="text1" w:themeTint="80"/>
          <w:left w:val="none" w:sz="0" w:space="0" w:color="auto"/>
          <w:bottom w:val="single" w:sz="8" w:space="0" w:color="7F7F7F" w:themeColor="text1" w:themeTint="80"/>
          <w:right w:val="none" w:sz="0" w:space="0" w:color="auto"/>
          <w:insideH w:val="single" w:sz="8" w:space="0" w:color="7F7F7F" w:themeColor="text1" w:themeTint="80"/>
          <w:insideV w:val="none" w:sz="0" w:space="0" w:color="auto"/>
        </w:tblBorders>
        <w:shd w:val="clear" w:color="auto" w:fill="D9D9D9" w:themeFill="background1" w:themeFillShade="D9"/>
        <w:tblLook w:val="04A0"/>
      </w:tblPr>
      <w:tblGrid>
        <w:gridCol w:w="839"/>
        <w:gridCol w:w="1754"/>
        <w:gridCol w:w="917"/>
        <w:gridCol w:w="4393"/>
        <w:gridCol w:w="1406"/>
        <w:gridCol w:w="1431"/>
      </w:tblGrid>
      <w:tr w:rsidR="00412D78" w:rsidRPr="00E15F73" w:rsidTr="00042EEA">
        <w:trPr>
          <w:cnfStyle w:val="1000000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7F7F7F" w:themeFill="text1" w:themeFillTint="80"/>
          </w:tcPr>
          <w:p w:rsidR="00412D78" w:rsidRPr="00E15F73" w:rsidRDefault="00412D78" w:rsidP="00412D78">
            <w:pPr>
              <w:pStyle w:val="Tabletext"/>
              <w:jc w:val="center"/>
              <w:rPr>
                <w:rFonts w:ascii="Arial" w:hAnsi="Arial" w:cs="Arial"/>
                <w:szCs w:val="20"/>
              </w:rPr>
            </w:pPr>
            <w:r w:rsidRPr="00E15F73">
              <w:rPr>
                <w:rFonts w:ascii="Arial" w:hAnsi="Arial" w:cs="Arial"/>
                <w:szCs w:val="20"/>
              </w:rPr>
              <w:t>Action</w:t>
            </w:r>
          </w:p>
        </w:tc>
        <w:tc>
          <w:tcPr>
            <w:tcW w:w="1754" w:type="dxa"/>
            <w:tcBorders>
              <w:top w:val="none" w:sz="0" w:space="0" w:color="auto"/>
              <w:left w:val="none" w:sz="0" w:space="0" w:color="auto"/>
              <w:bottom w:val="none" w:sz="0" w:space="0" w:color="auto"/>
              <w:right w:val="none" w:sz="0" w:space="0" w:color="auto"/>
            </w:tcBorders>
            <w:shd w:val="clear" w:color="auto" w:fill="7F7F7F" w:themeFill="text1" w:themeFillTint="80"/>
          </w:tcPr>
          <w:p w:rsidR="00412D78" w:rsidRPr="00E15F73" w:rsidRDefault="00412D78" w:rsidP="00412D78">
            <w:pPr>
              <w:pStyle w:val="Tabletext"/>
              <w:cnfStyle w:val="100000000000"/>
              <w:rPr>
                <w:rFonts w:ascii="Arial" w:hAnsi="Arial" w:cs="Arial"/>
                <w:szCs w:val="20"/>
              </w:rPr>
            </w:pPr>
            <w:r w:rsidRPr="00E15F73">
              <w:rPr>
                <w:rFonts w:ascii="Arial" w:hAnsi="Arial" w:cs="Arial"/>
                <w:szCs w:val="20"/>
              </w:rPr>
              <w:t>Description</w:t>
            </w:r>
          </w:p>
        </w:tc>
        <w:tc>
          <w:tcPr>
            <w:tcW w:w="917" w:type="dxa"/>
            <w:tcBorders>
              <w:top w:val="none" w:sz="0" w:space="0" w:color="auto"/>
              <w:left w:val="none" w:sz="0" w:space="0" w:color="auto"/>
              <w:bottom w:val="none" w:sz="0" w:space="0" w:color="auto"/>
              <w:right w:val="none" w:sz="0" w:space="0" w:color="auto"/>
            </w:tcBorders>
            <w:shd w:val="clear" w:color="auto" w:fill="7F7F7F" w:themeFill="text1" w:themeFillTint="80"/>
          </w:tcPr>
          <w:p w:rsidR="00412D78" w:rsidRPr="00E15F73" w:rsidRDefault="00412D78" w:rsidP="00412D78">
            <w:pPr>
              <w:pStyle w:val="Tabletext"/>
              <w:jc w:val="center"/>
              <w:cnfStyle w:val="100000000000"/>
              <w:rPr>
                <w:rFonts w:ascii="Arial" w:hAnsi="Arial" w:cs="Arial"/>
                <w:szCs w:val="20"/>
              </w:rPr>
            </w:pPr>
            <w:r w:rsidRPr="00E15F73">
              <w:rPr>
                <w:rFonts w:ascii="Arial" w:hAnsi="Arial" w:cs="Arial"/>
                <w:szCs w:val="20"/>
              </w:rPr>
              <w:t>Priority</w:t>
            </w:r>
          </w:p>
        </w:tc>
        <w:tc>
          <w:tcPr>
            <w:tcW w:w="4393" w:type="dxa"/>
            <w:tcBorders>
              <w:top w:val="none" w:sz="0" w:space="0" w:color="auto"/>
              <w:left w:val="none" w:sz="0" w:space="0" w:color="auto"/>
              <w:bottom w:val="none" w:sz="0" w:space="0" w:color="auto"/>
              <w:right w:val="none" w:sz="0" w:space="0" w:color="auto"/>
            </w:tcBorders>
            <w:shd w:val="clear" w:color="auto" w:fill="7F7F7F" w:themeFill="text1" w:themeFillTint="80"/>
          </w:tcPr>
          <w:p w:rsidR="00412D78" w:rsidRPr="00E15F73" w:rsidRDefault="00412D78" w:rsidP="00412D78">
            <w:pPr>
              <w:pStyle w:val="Tabletext"/>
              <w:cnfStyle w:val="100000000000"/>
              <w:rPr>
                <w:rFonts w:ascii="Arial" w:hAnsi="Arial" w:cs="Arial"/>
                <w:szCs w:val="20"/>
              </w:rPr>
            </w:pPr>
            <w:r w:rsidRPr="00E15F73">
              <w:rPr>
                <w:rFonts w:ascii="Arial" w:hAnsi="Arial" w:cs="Arial"/>
                <w:szCs w:val="20"/>
              </w:rPr>
              <w:t>Performance Criteria</w:t>
            </w:r>
          </w:p>
        </w:tc>
        <w:tc>
          <w:tcPr>
            <w:tcW w:w="1406" w:type="dxa"/>
            <w:tcBorders>
              <w:top w:val="none" w:sz="0" w:space="0" w:color="auto"/>
              <w:left w:val="none" w:sz="0" w:space="0" w:color="auto"/>
              <w:bottom w:val="none" w:sz="0" w:space="0" w:color="auto"/>
              <w:right w:val="none" w:sz="0" w:space="0" w:color="auto"/>
            </w:tcBorders>
            <w:shd w:val="clear" w:color="auto" w:fill="7F7F7F" w:themeFill="text1" w:themeFillTint="80"/>
          </w:tcPr>
          <w:p w:rsidR="00412D78" w:rsidRPr="004576BF" w:rsidRDefault="00412D78" w:rsidP="00412D78">
            <w:pPr>
              <w:pStyle w:val="Tabletext"/>
              <w:cnfStyle w:val="100000000000"/>
              <w:rPr>
                <w:rFonts w:ascii="Arial" w:hAnsi="Arial" w:cs="Arial"/>
                <w:b w:val="0"/>
                <w:szCs w:val="20"/>
              </w:rPr>
            </w:pPr>
            <w:r w:rsidRPr="004576BF">
              <w:rPr>
                <w:rFonts w:ascii="Arial" w:hAnsi="Arial" w:cs="Arial"/>
                <w:szCs w:val="20"/>
              </w:rPr>
              <w:t xml:space="preserve">Responsible Agencies </w:t>
            </w:r>
            <w:r>
              <w:rPr>
                <w:rFonts w:ascii="Arial" w:hAnsi="Arial" w:cs="Arial"/>
                <w:b w:val="0"/>
                <w:i/>
                <w:szCs w:val="20"/>
              </w:rPr>
              <w:t>and potential p</w:t>
            </w:r>
            <w:r w:rsidRPr="004576BF">
              <w:rPr>
                <w:rFonts w:ascii="Arial" w:hAnsi="Arial" w:cs="Arial"/>
                <w:b w:val="0"/>
                <w:i/>
                <w:szCs w:val="20"/>
              </w:rPr>
              <w:t>artners</w:t>
            </w:r>
          </w:p>
        </w:tc>
        <w:tc>
          <w:tcPr>
            <w:tcW w:w="1431" w:type="dxa"/>
            <w:tcBorders>
              <w:top w:val="none" w:sz="0" w:space="0" w:color="auto"/>
              <w:left w:val="none" w:sz="0" w:space="0" w:color="auto"/>
              <w:bottom w:val="none" w:sz="0" w:space="0" w:color="auto"/>
              <w:right w:val="none" w:sz="0" w:space="0" w:color="auto"/>
            </w:tcBorders>
            <w:shd w:val="clear" w:color="auto" w:fill="7F7F7F" w:themeFill="text1" w:themeFillTint="80"/>
          </w:tcPr>
          <w:p w:rsidR="00412D78" w:rsidRPr="004576BF" w:rsidRDefault="00412D78" w:rsidP="00412D78">
            <w:pPr>
              <w:pStyle w:val="Tabletext"/>
              <w:jc w:val="center"/>
              <w:cnfStyle w:val="100000000000"/>
              <w:rPr>
                <w:rFonts w:ascii="Arial" w:hAnsi="Arial" w:cs="Arial"/>
                <w:szCs w:val="20"/>
              </w:rPr>
            </w:pPr>
            <w:r w:rsidRPr="004576BF">
              <w:rPr>
                <w:rFonts w:ascii="Arial" w:hAnsi="Arial" w:cs="Arial"/>
                <w:szCs w:val="20"/>
              </w:rPr>
              <w:t>Indicative Cost</w:t>
            </w:r>
          </w:p>
          <w:p w:rsidR="00412D78" w:rsidRPr="004576BF" w:rsidRDefault="00412D78" w:rsidP="00412D78">
            <w:pPr>
              <w:pStyle w:val="Tabletext"/>
              <w:jc w:val="center"/>
              <w:cnfStyle w:val="100000000000"/>
              <w:rPr>
                <w:rFonts w:ascii="Arial" w:hAnsi="Arial" w:cs="Arial"/>
                <w:b w:val="0"/>
                <w:i/>
                <w:szCs w:val="20"/>
              </w:rPr>
            </w:pPr>
            <w:r w:rsidRPr="004576BF">
              <w:rPr>
                <w:rFonts w:ascii="Arial" w:hAnsi="Arial" w:cs="Arial"/>
                <w:b w:val="0"/>
                <w:i/>
                <w:szCs w:val="20"/>
              </w:rPr>
              <w:t>*priority 1 only</w:t>
            </w:r>
          </w:p>
        </w:tc>
      </w:tr>
      <w:tr w:rsidR="00412D78" w:rsidRPr="00E15F73" w:rsidTr="00042EEA">
        <w:trPr>
          <w:cnfStyle w:val="0000001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Pr="00E15F73" w:rsidRDefault="00412D78" w:rsidP="00412D78">
            <w:pPr>
              <w:pStyle w:val="Tabletext"/>
              <w:jc w:val="center"/>
              <w:rPr>
                <w:rFonts w:ascii="Arial" w:hAnsi="Arial" w:cs="Arial"/>
                <w:szCs w:val="20"/>
              </w:rPr>
            </w:pPr>
            <w:r>
              <w:rPr>
                <w:rFonts w:ascii="Arial" w:hAnsi="Arial" w:cs="Arial"/>
                <w:szCs w:val="20"/>
              </w:rPr>
              <w:t>3</w:t>
            </w:r>
            <w:r w:rsidRPr="00E15F73">
              <w:rPr>
                <w:rFonts w:ascii="Arial" w:hAnsi="Arial" w:cs="Arial"/>
                <w:szCs w:val="20"/>
              </w:rPr>
              <w:t>b</w:t>
            </w:r>
          </w:p>
        </w:tc>
        <w:tc>
          <w:tcPr>
            <w:tcW w:w="17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Pr="00E15F73" w:rsidRDefault="00412D78" w:rsidP="00042EEA">
            <w:pPr>
              <w:pStyle w:val="Tabletext"/>
              <w:spacing w:after="240"/>
              <w:cnfStyle w:val="000000100000"/>
              <w:rPr>
                <w:rFonts w:cs="Arial"/>
                <w:szCs w:val="20"/>
              </w:rPr>
            </w:pPr>
            <w:r w:rsidRPr="00E15F73">
              <w:rPr>
                <w:rFonts w:cs="Arial"/>
                <w:szCs w:val="20"/>
              </w:rPr>
              <w:t xml:space="preserve">Reduce, and where possible prevent, the clearing and loss of </w:t>
            </w:r>
            <w:r w:rsidR="00042EEA">
              <w:rPr>
                <w:rFonts w:cs="Arial"/>
                <w:szCs w:val="20"/>
              </w:rPr>
              <w:t xml:space="preserve">habitat in </w:t>
            </w:r>
            <w:r w:rsidRPr="00E15F73">
              <w:rPr>
                <w:rFonts w:cs="Arial"/>
                <w:szCs w:val="20"/>
              </w:rPr>
              <w:t>important areas</w:t>
            </w:r>
            <w:r w:rsidR="00042EEA">
              <w:rPr>
                <w:rFonts w:cs="Arial"/>
                <w:szCs w:val="20"/>
              </w:rPr>
              <w:t>.</w:t>
            </w:r>
          </w:p>
        </w:tc>
        <w:tc>
          <w:tcPr>
            <w:tcW w:w="9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Pr="00E15F73" w:rsidRDefault="00412D78" w:rsidP="00412D78">
            <w:pPr>
              <w:pStyle w:val="Tabletext"/>
              <w:jc w:val="center"/>
              <w:cnfStyle w:val="000000100000"/>
              <w:rPr>
                <w:rFonts w:cs="Arial"/>
                <w:szCs w:val="20"/>
              </w:rPr>
            </w:pPr>
            <w:r w:rsidRPr="00E15F73">
              <w:rPr>
                <w:rFonts w:cs="Arial"/>
                <w:szCs w:val="20"/>
              </w:rPr>
              <w:t>1</w:t>
            </w:r>
          </w:p>
        </w:tc>
        <w:tc>
          <w:tcPr>
            <w:tcW w:w="43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Pr="00E15F73" w:rsidRDefault="00412D78" w:rsidP="00412D78">
            <w:pPr>
              <w:pStyle w:val="ListBullet"/>
              <w:cnfStyle w:val="000000100000"/>
              <w:rPr>
                <w:rFonts w:cs="Arial"/>
                <w:szCs w:val="20"/>
              </w:rPr>
            </w:pPr>
            <w:r w:rsidRPr="00E15F73">
              <w:rPr>
                <w:rFonts w:cs="Arial"/>
                <w:szCs w:val="20"/>
              </w:rPr>
              <w:t>Current protections of plains-wanderer habitat under the Native Vegetation Act (NSW), and as detailed in the environmental outcomes assessment methodology, are maintained in NSW.</w:t>
            </w:r>
          </w:p>
          <w:p w:rsidR="00142921" w:rsidRDefault="00412D78" w:rsidP="00142921">
            <w:pPr>
              <w:pStyle w:val="ListBullet"/>
              <w:spacing w:before="240"/>
              <w:cnfStyle w:val="000000100000"/>
              <w:rPr>
                <w:rFonts w:cs="Arial"/>
                <w:szCs w:val="20"/>
              </w:rPr>
            </w:pPr>
            <w:r w:rsidRPr="00E15F73">
              <w:rPr>
                <w:rFonts w:cs="Arial"/>
                <w:szCs w:val="20"/>
              </w:rPr>
              <w:t>Current protections of plains-wanderer habitat under native vegetation laws in Victoria and other range states are maintained or strengthened.</w:t>
            </w:r>
          </w:p>
        </w:tc>
        <w:tc>
          <w:tcPr>
            <w:tcW w:w="140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Pr="005C2C69" w:rsidRDefault="00412D78" w:rsidP="00412D78">
            <w:pPr>
              <w:pStyle w:val="Tabletext"/>
              <w:cnfStyle w:val="000000100000"/>
              <w:rPr>
                <w:rFonts w:cs="Arial"/>
                <w:b/>
                <w:szCs w:val="20"/>
              </w:rPr>
            </w:pPr>
            <w:r w:rsidRPr="005C2C69">
              <w:rPr>
                <w:rFonts w:cs="Arial"/>
                <w:b/>
                <w:szCs w:val="20"/>
              </w:rPr>
              <w:t>OEH</w:t>
            </w:r>
          </w:p>
          <w:p w:rsidR="00412D78" w:rsidRDefault="00412D78" w:rsidP="00412D78">
            <w:pPr>
              <w:pStyle w:val="Tabletext"/>
              <w:cnfStyle w:val="000000100000"/>
              <w:rPr>
                <w:rFonts w:cs="Arial"/>
                <w:szCs w:val="20"/>
              </w:rPr>
            </w:pPr>
            <w:r w:rsidRPr="005C2C69">
              <w:rPr>
                <w:rFonts w:cs="Arial"/>
                <w:b/>
                <w:szCs w:val="20"/>
              </w:rPr>
              <w:t>DELWP</w:t>
            </w:r>
            <w:r w:rsidRPr="00E15F73">
              <w:rPr>
                <w:rFonts w:cs="Arial"/>
                <w:szCs w:val="20"/>
              </w:rPr>
              <w:t xml:space="preserve"> </w:t>
            </w:r>
          </w:p>
          <w:p w:rsidR="00412D78" w:rsidRPr="00E15F73" w:rsidRDefault="00412D78" w:rsidP="00412D78">
            <w:pPr>
              <w:pStyle w:val="Tabletext"/>
              <w:cnfStyle w:val="000000100000"/>
              <w:rPr>
                <w:rFonts w:cs="Arial"/>
                <w:szCs w:val="20"/>
              </w:rPr>
            </w:pPr>
            <w:r w:rsidRPr="00E15F73">
              <w:rPr>
                <w:rFonts w:cs="Arial"/>
                <w:szCs w:val="20"/>
              </w:rPr>
              <w:t>PV</w:t>
            </w:r>
          </w:p>
          <w:p w:rsidR="00412D78" w:rsidRPr="00E15F73" w:rsidRDefault="00412D78" w:rsidP="00412D78">
            <w:pPr>
              <w:pStyle w:val="Tabletext"/>
              <w:cnfStyle w:val="000000100000"/>
              <w:rPr>
                <w:rFonts w:cs="Arial"/>
                <w:szCs w:val="20"/>
              </w:rPr>
            </w:pPr>
          </w:p>
        </w:tc>
        <w:tc>
          <w:tcPr>
            <w:tcW w:w="143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Pr="00E15F73" w:rsidRDefault="00412D78" w:rsidP="00412D78">
            <w:pPr>
              <w:pStyle w:val="Tabletext"/>
              <w:jc w:val="center"/>
              <w:cnfStyle w:val="000000100000"/>
              <w:rPr>
                <w:rFonts w:cs="Arial"/>
                <w:szCs w:val="20"/>
              </w:rPr>
            </w:pPr>
            <w:r>
              <w:rPr>
                <w:rFonts w:cs="Arial"/>
                <w:szCs w:val="20"/>
              </w:rPr>
              <w:t>Core government business</w:t>
            </w:r>
          </w:p>
        </w:tc>
      </w:tr>
      <w:tr w:rsidR="00412D78" w:rsidRPr="00E15F73" w:rsidTr="00042EEA">
        <w:trPr>
          <w:cnfStyle w:val="000000010000"/>
          <w:trHeight w:val="1058"/>
        </w:trPr>
        <w:tc>
          <w:tcPr>
            <w:cnfStyle w:val="001000000000"/>
            <w:tcW w:w="8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Pr="00E15F73" w:rsidRDefault="00412D78" w:rsidP="00412D78">
            <w:pPr>
              <w:pStyle w:val="Tabletext"/>
              <w:jc w:val="center"/>
              <w:rPr>
                <w:rFonts w:ascii="Arial" w:hAnsi="Arial" w:cs="Arial"/>
                <w:szCs w:val="20"/>
              </w:rPr>
            </w:pPr>
            <w:r>
              <w:rPr>
                <w:rFonts w:ascii="Arial" w:hAnsi="Arial" w:cs="Arial"/>
                <w:szCs w:val="20"/>
              </w:rPr>
              <w:t>3</w:t>
            </w:r>
            <w:r w:rsidRPr="00E15F73">
              <w:rPr>
                <w:rFonts w:ascii="Arial" w:hAnsi="Arial" w:cs="Arial"/>
                <w:szCs w:val="20"/>
              </w:rPr>
              <w:t>c</w:t>
            </w:r>
          </w:p>
        </w:tc>
        <w:tc>
          <w:tcPr>
            <w:tcW w:w="175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Pr="00E15F73" w:rsidRDefault="007A7E87" w:rsidP="007A7E87">
            <w:pPr>
              <w:cnfStyle w:val="000000010000"/>
              <w:rPr>
                <w:rFonts w:cs="Arial"/>
                <w:szCs w:val="20"/>
              </w:rPr>
            </w:pPr>
            <w:r>
              <w:rPr>
                <w:rFonts w:cs="Arial"/>
                <w:szCs w:val="20"/>
              </w:rPr>
              <w:t>Remove the threat posed by</w:t>
            </w:r>
            <w:r w:rsidR="00412D78" w:rsidRPr="00E15F73">
              <w:rPr>
                <w:rFonts w:cs="Arial"/>
                <w:szCs w:val="20"/>
              </w:rPr>
              <w:t xml:space="preserve"> introduced trees and large boxthorns on, or within 300</w:t>
            </w:r>
            <w:r w:rsidR="00412D78">
              <w:rPr>
                <w:rFonts w:cs="Arial"/>
                <w:szCs w:val="20"/>
              </w:rPr>
              <w:t xml:space="preserve"> </w:t>
            </w:r>
            <w:r w:rsidR="00412D78" w:rsidRPr="00E15F73">
              <w:rPr>
                <w:rFonts w:cs="Arial"/>
                <w:szCs w:val="20"/>
              </w:rPr>
              <w:t xml:space="preserve">m of, red soils </w:t>
            </w:r>
            <w:r>
              <w:rPr>
                <w:rFonts w:cs="Arial"/>
                <w:szCs w:val="20"/>
              </w:rPr>
              <w:t>providing known</w:t>
            </w:r>
            <w:r w:rsidR="00412D78" w:rsidRPr="00E15F73">
              <w:rPr>
                <w:rFonts w:cs="Arial"/>
                <w:szCs w:val="20"/>
              </w:rPr>
              <w:t xml:space="preserve"> </w:t>
            </w:r>
            <w:r w:rsidRPr="00E15F73">
              <w:rPr>
                <w:rFonts w:cs="Arial"/>
                <w:szCs w:val="20"/>
              </w:rPr>
              <w:t xml:space="preserve">habitat </w:t>
            </w:r>
            <w:r>
              <w:rPr>
                <w:rFonts w:cs="Arial"/>
                <w:szCs w:val="20"/>
              </w:rPr>
              <w:t xml:space="preserve">for </w:t>
            </w:r>
            <w:r w:rsidR="00412D78" w:rsidRPr="00E15F73">
              <w:rPr>
                <w:rFonts w:cs="Arial"/>
                <w:szCs w:val="20"/>
              </w:rPr>
              <w:t>plains-wanderer</w:t>
            </w:r>
            <w:r>
              <w:rPr>
                <w:rFonts w:cs="Arial"/>
                <w:szCs w:val="20"/>
              </w:rPr>
              <w:t>s</w:t>
            </w:r>
            <w:r w:rsidR="00412D78" w:rsidRPr="00E15F73">
              <w:rPr>
                <w:rFonts w:cs="Arial"/>
                <w:szCs w:val="20"/>
              </w:rPr>
              <w:t>.</w:t>
            </w:r>
          </w:p>
        </w:tc>
        <w:tc>
          <w:tcPr>
            <w:tcW w:w="9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Pr="00E15F73" w:rsidRDefault="00412D78" w:rsidP="00412D78">
            <w:pPr>
              <w:pStyle w:val="Tabletext"/>
              <w:jc w:val="center"/>
              <w:cnfStyle w:val="000000010000"/>
              <w:rPr>
                <w:rFonts w:cs="Arial"/>
                <w:szCs w:val="20"/>
              </w:rPr>
            </w:pPr>
            <w:r w:rsidRPr="00E15F73">
              <w:rPr>
                <w:rFonts w:cs="Arial"/>
                <w:szCs w:val="20"/>
              </w:rPr>
              <w:t>1</w:t>
            </w:r>
          </w:p>
        </w:tc>
        <w:tc>
          <w:tcPr>
            <w:tcW w:w="43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Pr="00E15F73" w:rsidRDefault="00412D78" w:rsidP="00412D78">
            <w:pPr>
              <w:pStyle w:val="ListBullet"/>
              <w:cnfStyle w:val="000000010000"/>
              <w:rPr>
                <w:rFonts w:cs="Arial"/>
                <w:szCs w:val="20"/>
              </w:rPr>
            </w:pPr>
            <w:r w:rsidRPr="00E15F73">
              <w:rPr>
                <w:rFonts w:cs="Arial"/>
                <w:szCs w:val="20"/>
              </w:rPr>
              <w:t xml:space="preserve">Introduced trees, and other large trees, that </w:t>
            </w:r>
            <w:r w:rsidR="007A7E87">
              <w:rPr>
                <w:rFonts w:cs="Arial"/>
                <w:szCs w:val="20"/>
              </w:rPr>
              <w:t>are providing</w:t>
            </w:r>
            <w:r w:rsidRPr="00E15F73">
              <w:rPr>
                <w:rFonts w:cs="Arial"/>
                <w:szCs w:val="20"/>
              </w:rPr>
              <w:t xml:space="preserve"> perches for potential predators of plains-wanderers in known habitat </w:t>
            </w:r>
            <w:r w:rsidR="007A7E87">
              <w:rPr>
                <w:rFonts w:cs="Arial"/>
                <w:szCs w:val="20"/>
              </w:rPr>
              <w:t xml:space="preserve">for the species </w:t>
            </w:r>
            <w:r w:rsidRPr="00E15F73">
              <w:rPr>
                <w:rFonts w:cs="Arial"/>
                <w:szCs w:val="20"/>
              </w:rPr>
              <w:t>are identified.</w:t>
            </w:r>
          </w:p>
          <w:p w:rsidR="00412D78" w:rsidRPr="00E15F73" w:rsidRDefault="00412D78" w:rsidP="007A7E87">
            <w:pPr>
              <w:pStyle w:val="ListBullet"/>
              <w:cnfStyle w:val="000000010000"/>
              <w:rPr>
                <w:rFonts w:cs="Arial"/>
                <w:szCs w:val="20"/>
              </w:rPr>
            </w:pPr>
            <w:r w:rsidRPr="00E15F73">
              <w:rPr>
                <w:rFonts w:cs="Arial"/>
                <w:szCs w:val="20"/>
              </w:rPr>
              <w:t xml:space="preserve">Any large </w:t>
            </w:r>
            <w:r w:rsidR="007A7E87">
              <w:rPr>
                <w:rFonts w:cs="Arial"/>
                <w:szCs w:val="20"/>
              </w:rPr>
              <w:t xml:space="preserve">introduced </w:t>
            </w:r>
            <w:r w:rsidRPr="00E15F73">
              <w:rPr>
                <w:rFonts w:cs="Arial"/>
                <w:szCs w:val="20"/>
              </w:rPr>
              <w:t xml:space="preserve">trees that are located in </w:t>
            </w:r>
            <w:r w:rsidR="007A7E87">
              <w:rPr>
                <w:rFonts w:cs="Arial"/>
                <w:szCs w:val="20"/>
              </w:rPr>
              <w:t>known</w:t>
            </w:r>
            <w:r w:rsidRPr="00E15F73">
              <w:rPr>
                <w:rFonts w:cs="Arial"/>
                <w:szCs w:val="20"/>
              </w:rPr>
              <w:t xml:space="preserve"> plains-wanderer habitat</w:t>
            </w:r>
            <w:r w:rsidR="007A7E87">
              <w:rPr>
                <w:rFonts w:cs="Arial"/>
                <w:szCs w:val="20"/>
              </w:rPr>
              <w:t xml:space="preserve"> and are supporting known predators of </w:t>
            </w:r>
            <w:r w:rsidR="00930A5C">
              <w:rPr>
                <w:rFonts w:cs="Arial"/>
                <w:szCs w:val="20"/>
              </w:rPr>
              <w:t>the species</w:t>
            </w:r>
            <w:r w:rsidRPr="00E15F73">
              <w:rPr>
                <w:rFonts w:cs="Arial"/>
                <w:szCs w:val="20"/>
              </w:rPr>
              <w:t xml:space="preserve"> are removed, or tree limbs </w:t>
            </w:r>
            <w:r w:rsidR="007A7E87">
              <w:rPr>
                <w:rFonts w:cs="Arial"/>
                <w:szCs w:val="20"/>
              </w:rPr>
              <w:t>that provide perches for predators are</w:t>
            </w:r>
            <w:r w:rsidR="007A7E87" w:rsidRPr="00E15F73">
              <w:rPr>
                <w:rFonts w:cs="Arial"/>
                <w:szCs w:val="20"/>
              </w:rPr>
              <w:t xml:space="preserve"> </w:t>
            </w:r>
            <w:r w:rsidRPr="00E15F73">
              <w:rPr>
                <w:rFonts w:cs="Arial"/>
                <w:szCs w:val="20"/>
              </w:rPr>
              <w:t xml:space="preserve">lopped. </w:t>
            </w:r>
          </w:p>
        </w:tc>
        <w:tc>
          <w:tcPr>
            <w:tcW w:w="140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Pr="005C2C69" w:rsidRDefault="00412D78" w:rsidP="00412D78">
            <w:pPr>
              <w:pStyle w:val="Tabletext"/>
              <w:cnfStyle w:val="000000010000"/>
              <w:rPr>
                <w:rFonts w:cs="Arial"/>
                <w:b/>
                <w:szCs w:val="20"/>
              </w:rPr>
            </w:pPr>
            <w:r w:rsidRPr="005C2C69">
              <w:rPr>
                <w:rFonts w:cs="Arial"/>
                <w:b/>
                <w:szCs w:val="20"/>
              </w:rPr>
              <w:t>DELWP</w:t>
            </w:r>
          </w:p>
          <w:p w:rsidR="00412D78" w:rsidRPr="00E15F73" w:rsidRDefault="00412D78" w:rsidP="00412D78">
            <w:pPr>
              <w:pStyle w:val="Tabletext"/>
              <w:cnfStyle w:val="000000010000"/>
              <w:rPr>
                <w:rFonts w:cs="Arial"/>
                <w:szCs w:val="20"/>
              </w:rPr>
            </w:pPr>
            <w:r w:rsidRPr="005C2C69">
              <w:rPr>
                <w:rFonts w:cs="Arial"/>
                <w:b/>
                <w:szCs w:val="20"/>
              </w:rPr>
              <w:t>OEH</w:t>
            </w:r>
          </w:p>
          <w:p w:rsidR="00412D78" w:rsidRPr="00E15F73" w:rsidRDefault="00412D78" w:rsidP="00412D78">
            <w:pPr>
              <w:pStyle w:val="Tabletext"/>
              <w:cnfStyle w:val="000000010000"/>
              <w:rPr>
                <w:rFonts w:cs="Arial"/>
                <w:szCs w:val="20"/>
              </w:rPr>
            </w:pPr>
            <w:r w:rsidRPr="00E15F73">
              <w:rPr>
                <w:rFonts w:cs="Arial"/>
                <w:szCs w:val="20"/>
              </w:rPr>
              <w:t>PV</w:t>
            </w:r>
          </w:p>
          <w:p w:rsidR="00412D78" w:rsidRDefault="00412D78" w:rsidP="00412D78">
            <w:pPr>
              <w:pStyle w:val="Tabletext"/>
              <w:cnfStyle w:val="000000010000"/>
              <w:rPr>
                <w:rFonts w:cs="Arial"/>
                <w:szCs w:val="20"/>
              </w:rPr>
            </w:pPr>
            <w:r>
              <w:rPr>
                <w:rFonts w:cs="Arial"/>
                <w:szCs w:val="20"/>
              </w:rPr>
              <w:t>TfN</w:t>
            </w:r>
          </w:p>
          <w:p w:rsidR="00412D78" w:rsidRPr="00E15F73" w:rsidRDefault="00412D78" w:rsidP="00412D78">
            <w:pPr>
              <w:pStyle w:val="Tabletext"/>
              <w:cnfStyle w:val="000000010000"/>
              <w:rPr>
                <w:rFonts w:cs="Arial"/>
                <w:szCs w:val="20"/>
              </w:rPr>
            </w:pPr>
            <w:r w:rsidRPr="00E15F73">
              <w:rPr>
                <w:rFonts w:cs="Arial"/>
                <w:szCs w:val="20"/>
              </w:rPr>
              <w:t>MLLS</w:t>
            </w:r>
          </w:p>
          <w:p w:rsidR="00412D78" w:rsidRPr="00E15F73" w:rsidRDefault="00412D78" w:rsidP="00412D78">
            <w:pPr>
              <w:pStyle w:val="Tabletext"/>
              <w:cnfStyle w:val="000000010000"/>
              <w:rPr>
                <w:rFonts w:cs="Arial"/>
                <w:szCs w:val="20"/>
              </w:rPr>
            </w:pPr>
            <w:r w:rsidRPr="00E15F73">
              <w:rPr>
                <w:rFonts w:cs="Arial"/>
                <w:szCs w:val="20"/>
              </w:rPr>
              <w:t>NCCMA</w:t>
            </w:r>
          </w:p>
          <w:p w:rsidR="00412D78" w:rsidRPr="00E15F73" w:rsidRDefault="00412D78" w:rsidP="00412D78">
            <w:pPr>
              <w:pStyle w:val="Tabletext"/>
              <w:cnfStyle w:val="000000010000"/>
              <w:rPr>
                <w:rFonts w:cs="Arial"/>
                <w:szCs w:val="20"/>
              </w:rPr>
            </w:pPr>
            <w:r w:rsidRPr="00E15F73">
              <w:rPr>
                <w:rFonts w:cs="Arial"/>
                <w:szCs w:val="20"/>
              </w:rPr>
              <w:t>RLLS</w:t>
            </w:r>
          </w:p>
          <w:p w:rsidR="00412D78" w:rsidRPr="00E15F73" w:rsidRDefault="00412D78" w:rsidP="00412D78">
            <w:pPr>
              <w:pStyle w:val="Tabletext"/>
              <w:cnfStyle w:val="000000010000"/>
              <w:rPr>
                <w:rFonts w:cs="Arial"/>
                <w:szCs w:val="20"/>
              </w:rPr>
            </w:pPr>
          </w:p>
        </w:tc>
        <w:tc>
          <w:tcPr>
            <w:tcW w:w="143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412D78" w:rsidRDefault="00412D78" w:rsidP="00412D78">
            <w:pPr>
              <w:pStyle w:val="Tabletext"/>
              <w:jc w:val="center"/>
              <w:cnfStyle w:val="000000010000"/>
              <w:rPr>
                <w:rFonts w:cs="Arial"/>
                <w:szCs w:val="20"/>
              </w:rPr>
            </w:pPr>
            <w:r>
              <w:rPr>
                <w:rFonts w:cs="Arial"/>
                <w:szCs w:val="20"/>
              </w:rPr>
              <w:t>$4000 pa</w:t>
            </w:r>
          </w:p>
          <w:p w:rsidR="00412D78" w:rsidRPr="001332DF" w:rsidRDefault="00412D78" w:rsidP="00412D78">
            <w:pPr>
              <w:pStyle w:val="Tabletext"/>
              <w:jc w:val="center"/>
              <w:cnfStyle w:val="000000010000"/>
              <w:rPr>
                <w:rFonts w:cs="Arial"/>
                <w:i/>
                <w:szCs w:val="20"/>
              </w:rPr>
            </w:pPr>
          </w:p>
        </w:tc>
      </w:tr>
    </w:tbl>
    <w:p w:rsidR="00B028F4" w:rsidRPr="005E2592" w:rsidRDefault="00B028F4" w:rsidP="003E2FEA">
      <w:pPr>
        <w:pStyle w:val="Heading3"/>
        <w:spacing w:before="240"/>
        <w:rPr>
          <w:b w:val="0"/>
          <w:i w:val="0"/>
          <w:color w:val="002060"/>
          <w:sz w:val="32"/>
          <w:szCs w:val="32"/>
        </w:rPr>
      </w:pPr>
      <w:bookmarkStart w:id="192" w:name="_Toc445307829"/>
      <w:r w:rsidRPr="005E2592">
        <w:rPr>
          <w:b w:val="0"/>
          <w:i w:val="0"/>
          <w:color w:val="002060"/>
          <w:sz w:val="32"/>
          <w:szCs w:val="32"/>
        </w:rPr>
        <w:t xml:space="preserve">Strategy </w:t>
      </w:r>
      <w:r w:rsidR="00412D78">
        <w:rPr>
          <w:b w:val="0"/>
          <w:i w:val="0"/>
          <w:color w:val="002060"/>
          <w:sz w:val="32"/>
          <w:szCs w:val="32"/>
        </w:rPr>
        <w:t>4</w:t>
      </w:r>
      <w:r w:rsidRPr="005E2592">
        <w:rPr>
          <w:b w:val="0"/>
          <w:i w:val="0"/>
          <w:color w:val="002060"/>
          <w:sz w:val="32"/>
          <w:szCs w:val="32"/>
        </w:rPr>
        <w:t xml:space="preserve">: Identify key factors </w:t>
      </w:r>
      <w:r w:rsidR="005E2592">
        <w:rPr>
          <w:b w:val="0"/>
          <w:i w:val="0"/>
          <w:color w:val="002060"/>
          <w:sz w:val="32"/>
          <w:szCs w:val="32"/>
        </w:rPr>
        <w:t>contributing</w:t>
      </w:r>
      <w:r w:rsidRPr="005E2592">
        <w:rPr>
          <w:b w:val="0"/>
          <w:i w:val="0"/>
          <w:color w:val="002060"/>
          <w:sz w:val="32"/>
          <w:szCs w:val="32"/>
        </w:rPr>
        <w:t xml:space="preserve"> to significant recent declines in numbers and develop mitigation measures to address these threats</w:t>
      </w:r>
      <w:bookmarkEnd w:id="189"/>
      <w:bookmarkEnd w:id="190"/>
      <w:r w:rsidR="00A20931" w:rsidRPr="005E2592">
        <w:rPr>
          <w:b w:val="0"/>
          <w:i w:val="0"/>
          <w:color w:val="002060"/>
          <w:sz w:val="32"/>
          <w:szCs w:val="32"/>
        </w:rPr>
        <w:t>.</w:t>
      </w:r>
      <w:bookmarkEnd w:id="191"/>
      <w:bookmarkEnd w:id="192"/>
    </w:p>
    <w:p w:rsidR="00B028F4" w:rsidRPr="009F5DDA" w:rsidRDefault="00B028F4" w:rsidP="003E2FEA">
      <w:pPr>
        <w:rPr>
          <w:color w:val="7F7F7F" w:themeColor="text1" w:themeTint="80"/>
          <w:sz w:val="24"/>
          <w:szCs w:val="24"/>
        </w:rPr>
      </w:pPr>
      <w:r w:rsidRPr="009F5DDA">
        <w:rPr>
          <w:color w:val="7F7F7F" w:themeColor="text1" w:themeTint="80"/>
          <w:sz w:val="24"/>
          <w:szCs w:val="24"/>
        </w:rPr>
        <w:t>Research Actions</w:t>
      </w:r>
    </w:p>
    <w:tbl>
      <w:tblPr>
        <w:tblStyle w:val="LightShading-Accent11"/>
        <w:tblW w:w="0" w:type="auto"/>
        <w:tblBorders>
          <w:top w:val="single" w:sz="4" w:space="0" w:color="002060"/>
          <w:bottom w:val="single" w:sz="4" w:space="0" w:color="002060"/>
          <w:insideH w:val="single" w:sz="4" w:space="0" w:color="002060"/>
        </w:tblBorders>
        <w:shd w:val="clear" w:color="auto" w:fill="DBE5F1" w:themeFill="accent1" w:themeFillTint="33"/>
        <w:tblLook w:val="04A0"/>
      </w:tblPr>
      <w:tblGrid>
        <w:gridCol w:w="839"/>
        <w:gridCol w:w="1740"/>
        <w:gridCol w:w="944"/>
        <w:gridCol w:w="4396"/>
        <w:gridCol w:w="1410"/>
        <w:gridCol w:w="1346"/>
      </w:tblGrid>
      <w:tr w:rsidR="004576BF" w:rsidRPr="00E15F73" w:rsidTr="00042EEA">
        <w:trPr>
          <w:cnfStyle w:val="1000000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jc w:val="center"/>
              <w:rPr>
                <w:color w:val="auto"/>
                <w:szCs w:val="20"/>
              </w:rPr>
            </w:pPr>
            <w:r w:rsidRPr="00E15F73">
              <w:rPr>
                <w:color w:val="auto"/>
                <w:szCs w:val="20"/>
              </w:rPr>
              <w:t>Action</w:t>
            </w:r>
          </w:p>
        </w:tc>
        <w:tc>
          <w:tcPr>
            <w:tcW w:w="1740"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cnfStyle w:val="100000000000"/>
              <w:rPr>
                <w:color w:val="auto"/>
                <w:szCs w:val="20"/>
              </w:rPr>
            </w:pPr>
            <w:r w:rsidRPr="00E15F73">
              <w:rPr>
                <w:color w:val="auto"/>
                <w:szCs w:val="20"/>
              </w:rPr>
              <w:t>Description</w:t>
            </w:r>
          </w:p>
        </w:tc>
        <w:tc>
          <w:tcPr>
            <w:tcW w:w="944"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jc w:val="center"/>
              <w:cnfStyle w:val="100000000000"/>
              <w:rPr>
                <w:color w:val="auto"/>
                <w:szCs w:val="20"/>
              </w:rPr>
            </w:pPr>
            <w:r w:rsidRPr="00E15F73">
              <w:rPr>
                <w:color w:val="auto"/>
                <w:szCs w:val="20"/>
              </w:rPr>
              <w:t>Priority</w:t>
            </w:r>
          </w:p>
        </w:tc>
        <w:tc>
          <w:tcPr>
            <w:tcW w:w="4396"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cnfStyle w:val="100000000000"/>
              <w:rPr>
                <w:color w:val="auto"/>
                <w:szCs w:val="20"/>
              </w:rPr>
            </w:pPr>
            <w:r w:rsidRPr="00E15F73">
              <w:rPr>
                <w:color w:val="auto"/>
                <w:szCs w:val="20"/>
              </w:rPr>
              <w:t>Performance Criteria</w:t>
            </w:r>
          </w:p>
        </w:tc>
        <w:tc>
          <w:tcPr>
            <w:tcW w:w="1410"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4576BF" w:rsidRDefault="004576BF" w:rsidP="004576BF">
            <w:pPr>
              <w:pStyle w:val="Tabletext"/>
              <w:cnfStyle w:val="100000000000"/>
              <w:rPr>
                <w:rFonts w:cs="Arial"/>
                <w:b w:val="0"/>
                <w:color w:val="auto"/>
                <w:szCs w:val="20"/>
              </w:rPr>
            </w:pPr>
            <w:r w:rsidRPr="004576BF">
              <w:rPr>
                <w:rFonts w:cs="Arial"/>
                <w:color w:val="auto"/>
                <w:szCs w:val="20"/>
              </w:rPr>
              <w:t xml:space="preserve">Responsible Agencies </w:t>
            </w:r>
            <w:r w:rsidRPr="004576BF">
              <w:rPr>
                <w:rFonts w:cs="Arial"/>
                <w:b w:val="0"/>
                <w:i/>
                <w:color w:val="auto"/>
                <w:szCs w:val="20"/>
              </w:rPr>
              <w:t>and potential partners</w:t>
            </w:r>
          </w:p>
        </w:tc>
        <w:tc>
          <w:tcPr>
            <w:tcW w:w="1346"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4576BF" w:rsidRDefault="004576BF" w:rsidP="004576BF">
            <w:pPr>
              <w:pStyle w:val="Tabletext"/>
              <w:jc w:val="center"/>
              <w:cnfStyle w:val="100000000000"/>
              <w:rPr>
                <w:rFonts w:cs="Arial"/>
                <w:color w:val="auto"/>
                <w:szCs w:val="20"/>
              </w:rPr>
            </w:pPr>
            <w:r w:rsidRPr="004576BF">
              <w:rPr>
                <w:rFonts w:cs="Arial"/>
                <w:color w:val="auto"/>
                <w:szCs w:val="20"/>
              </w:rPr>
              <w:t>Indicative Cost</w:t>
            </w:r>
          </w:p>
          <w:p w:rsidR="004576BF" w:rsidRPr="004576BF" w:rsidRDefault="004576BF" w:rsidP="004576BF">
            <w:pPr>
              <w:pStyle w:val="Tabletext"/>
              <w:jc w:val="center"/>
              <w:cnfStyle w:val="100000000000"/>
              <w:rPr>
                <w:rFonts w:cs="Arial"/>
                <w:b w:val="0"/>
                <w:i/>
                <w:color w:val="auto"/>
                <w:szCs w:val="20"/>
              </w:rPr>
            </w:pPr>
            <w:r w:rsidRPr="004576BF">
              <w:rPr>
                <w:rFonts w:cs="Arial"/>
                <w:b w:val="0"/>
                <w:i/>
                <w:color w:val="auto"/>
                <w:szCs w:val="20"/>
              </w:rPr>
              <w:t>*priority 1 only</w:t>
            </w:r>
          </w:p>
        </w:tc>
      </w:tr>
      <w:tr w:rsidR="00B028F4" w:rsidTr="00042EEA">
        <w:trPr>
          <w:cnfStyle w:val="000000100000"/>
        </w:trPr>
        <w:tc>
          <w:tcPr>
            <w:cnfStyle w:val="001000000000"/>
            <w:tcW w:w="839" w:type="dxa"/>
            <w:tcBorders>
              <w:left w:val="none" w:sz="0" w:space="0" w:color="auto"/>
              <w:right w:val="none" w:sz="0" w:space="0" w:color="auto"/>
            </w:tcBorders>
            <w:shd w:val="clear" w:color="auto" w:fill="DBE5F1" w:themeFill="accent1" w:themeFillTint="33"/>
          </w:tcPr>
          <w:p w:rsidR="00B028F4" w:rsidRPr="00FF61F4" w:rsidRDefault="00412D78" w:rsidP="003E2FEA">
            <w:pPr>
              <w:pStyle w:val="Tabletext"/>
              <w:jc w:val="center"/>
              <w:rPr>
                <w:color w:val="auto"/>
                <w:szCs w:val="20"/>
              </w:rPr>
            </w:pPr>
            <w:r>
              <w:rPr>
                <w:color w:val="auto"/>
                <w:szCs w:val="20"/>
              </w:rPr>
              <w:t>4</w:t>
            </w:r>
            <w:r w:rsidRPr="00FF61F4">
              <w:rPr>
                <w:color w:val="auto"/>
                <w:szCs w:val="20"/>
              </w:rPr>
              <w:t>a</w:t>
            </w:r>
          </w:p>
        </w:tc>
        <w:tc>
          <w:tcPr>
            <w:tcW w:w="1740" w:type="dxa"/>
            <w:tcBorders>
              <w:left w:val="none" w:sz="0" w:space="0" w:color="auto"/>
              <w:right w:val="none" w:sz="0" w:space="0" w:color="auto"/>
            </w:tcBorders>
            <w:shd w:val="clear" w:color="auto" w:fill="DBE5F1" w:themeFill="accent1" w:themeFillTint="33"/>
          </w:tcPr>
          <w:p w:rsidR="00B028F4" w:rsidRPr="00FF61F4" w:rsidRDefault="00B028F4" w:rsidP="00D357F9">
            <w:pPr>
              <w:pStyle w:val="Tabletext"/>
              <w:cnfStyle w:val="000000100000"/>
              <w:rPr>
                <w:b/>
                <w:color w:val="auto"/>
                <w:szCs w:val="20"/>
              </w:rPr>
            </w:pPr>
            <w:r w:rsidRPr="00FF61F4">
              <w:rPr>
                <w:color w:val="auto"/>
                <w:szCs w:val="20"/>
              </w:rPr>
              <w:t xml:space="preserve">Study the effects of season, grazing and burning on </w:t>
            </w:r>
            <w:r w:rsidR="00D357F9">
              <w:rPr>
                <w:color w:val="auto"/>
                <w:szCs w:val="20"/>
              </w:rPr>
              <w:t>food resource</w:t>
            </w:r>
            <w:r w:rsidR="00D357F9" w:rsidRPr="00FF61F4">
              <w:rPr>
                <w:color w:val="auto"/>
                <w:szCs w:val="20"/>
              </w:rPr>
              <w:t xml:space="preserve"> </w:t>
            </w:r>
            <w:r w:rsidRPr="00FF61F4">
              <w:rPr>
                <w:color w:val="auto"/>
                <w:szCs w:val="20"/>
              </w:rPr>
              <w:t xml:space="preserve">type and availability in </w:t>
            </w:r>
            <w:r w:rsidR="00D357F9">
              <w:rPr>
                <w:color w:val="auto"/>
                <w:szCs w:val="20"/>
              </w:rPr>
              <w:t>suitable</w:t>
            </w:r>
            <w:r w:rsidRPr="00FF61F4">
              <w:rPr>
                <w:color w:val="auto"/>
                <w:szCs w:val="20"/>
              </w:rPr>
              <w:t xml:space="preserve"> habitat.</w:t>
            </w:r>
          </w:p>
        </w:tc>
        <w:tc>
          <w:tcPr>
            <w:tcW w:w="944" w:type="dxa"/>
            <w:tcBorders>
              <w:left w:val="none" w:sz="0" w:space="0" w:color="auto"/>
              <w:right w:val="none" w:sz="0" w:space="0" w:color="auto"/>
            </w:tcBorders>
            <w:shd w:val="clear" w:color="auto" w:fill="DBE5F1" w:themeFill="accent1" w:themeFillTint="33"/>
          </w:tcPr>
          <w:p w:rsidR="00B028F4" w:rsidRPr="00FF61F4" w:rsidRDefault="00B028F4" w:rsidP="003E2FEA">
            <w:pPr>
              <w:pStyle w:val="Tabletext"/>
              <w:jc w:val="center"/>
              <w:cnfStyle w:val="000000100000"/>
              <w:rPr>
                <w:b/>
                <w:color w:val="auto"/>
                <w:szCs w:val="20"/>
              </w:rPr>
            </w:pPr>
            <w:r w:rsidRPr="00FF61F4">
              <w:rPr>
                <w:color w:val="auto"/>
                <w:szCs w:val="20"/>
              </w:rPr>
              <w:t xml:space="preserve"> 2</w:t>
            </w:r>
          </w:p>
        </w:tc>
        <w:tc>
          <w:tcPr>
            <w:tcW w:w="4396" w:type="dxa"/>
            <w:tcBorders>
              <w:left w:val="none" w:sz="0" w:space="0" w:color="auto"/>
              <w:right w:val="none" w:sz="0" w:space="0" w:color="auto"/>
            </w:tcBorders>
            <w:shd w:val="clear" w:color="auto" w:fill="DBE5F1" w:themeFill="accent1" w:themeFillTint="33"/>
          </w:tcPr>
          <w:p w:rsidR="00B028F4" w:rsidRPr="00FF61F4" w:rsidRDefault="00B028F4" w:rsidP="003E2FEA">
            <w:pPr>
              <w:cnfStyle w:val="000000100000"/>
              <w:rPr>
                <w:color w:val="auto"/>
                <w:szCs w:val="20"/>
              </w:rPr>
            </w:pPr>
            <w:r w:rsidRPr="00FF61F4">
              <w:rPr>
                <w:color w:val="auto"/>
                <w:szCs w:val="20"/>
              </w:rPr>
              <w:t xml:space="preserve">The effects of seasonal variation on plains-wanderer food availability are differentiated in respect to: </w:t>
            </w:r>
          </w:p>
          <w:p w:rsidR="00B028F4" w:rsidRPr="00FF61F4" w:rsidRDefault="00B028F4" w:rsidP="003E2FEA">
            <w:pPr>
              <w:pStyle w:val="ListParagraph"/>
              <w:numPr>
                <w:ilvl w:val="0"/>
                <w:numId w:val="25"/>
              </w:numPr>
              <w:spacing w:after="0"/>
              <w:cnfStyle w:val="000000100000"/>
              <w:rPr>
                <w:color w:val="auto"/>
                <w:szCs w:val="20"/>
              </w:rPr>
            </w:pPr>
            <w:r w:rsidRPr="00FF61F4">
              <w:rPr>
                <w:color w:val="auto"/>
                <w:szCs w:val="20"/>
              </w:rPr>
              <w:t xml:space="preserve">autumn burning regimes; </w:t>
            </w:r>
          </w:p>
          <w:p w:rsidR="00B028F4" w:rsidRPr="00FF61F4" w:rsidRDefault="00B028F4" w:rsidP="003E2FEA">
            <w:pPr>
              <w:pStyle w:val="ListParagraph"/>
              <w:numPr>
                <w:ilvl w:val="0"/>
                <w:numId w:val="25"/>
              </w:numPr>
              <w:spacing w:after="0"/>
              <w:cnfStyle w:val="000000100000"/>
              <w:rPr>
                <w:color w:val="auto"/>
                <w:szCs w:val="20"/>
              </w:rPr>
            </w:pPr>
            <w:r w:rsidRPr="00FF61F4">
              <w:rPr>
                <w:color w:val="auto"/>
                <w:szCs w:val="20"/>
              </w:rPr>
              <w:t>conservative set stocking regimes; and</w:t>
            </w:r>
          </w:p>
          <w:p w:rsidR="00B028F4" w:rsidRPr="00FF61F4" w:rsidRDefault="00B028F4" w:rsidP="003E2FEA">
            <w:pPr>
              <w:pStyle w:val="ListParagraph"/>
              <w:numPr>
                <w:ilvl w:val="0"/>
                <w:numId w:val="25"/>
              </w:numPr>
              <w:spacing w:after="0"/>
              <w:cnfStyle w:val="000000100000"/>
              <w:rPr>
                <w:color w:val="auto"/>
                <w:szCs w:val="20"/>
              </w:rPr>
            </w:pPr>
            <w:proofErr w:type="gramStart"/>
            <w:r w:rsidRPr="00FF61F4">
              <w:rPr>
                <w:color w:val="auto"/>
                <w:szCs w:val="20"/>
              </w:rPr>
              <w:t>strategic</w:t>
            </w:r>
            <w:proofErr w:type="gramEnd"/>
            <w:r w:rsidRPr="00FF61F4">
              <w:rPr>
                <w:color w:val="auto"/>
                <w:szCs w:val="20"/>
              </w:rPr>
              <w:t xml:space="preserve"> autumn/winter grazing.</w:t>
            </w:r>
          </w:p>
          <w:p w:rsidR="00B028F4" w:rsidRPr="00FF61F4" w:rsidRDefault="00B028F4" w:rsidP="003E2FEA">
            <w:pPr>
              <w:pStyle w:val="Tabletext"/>
              <w:keepNext/>
              <w:ind w:left="1080"/>
              <w:outlineLvl w:val="1"/>
              <w:cnfStyle w:val="000000100000"/>
              <w:rPr>
                <w:b/>
                <w:color w:val="auto"/>
                <w:szCs w:val="20"/>
              </w:rPr>
            </w:pPr>
          </w:p>
        </w:tc>
        <w:tc>
          <w:tcPr>
            <w:tcW w:w="1410" w:type="dxa"/>
            <w:tcBorders>
              <w:left w:val="none" w:sz="0" w:space="0" w:color="auto"/>
              <w:right w:val="none" w:sz="0" w:space="0" w:color="auto"/>
            </w:tcBorders>
            <w:shd w:val="clear" w:color="auto" w:fill="DBE5F1" w:themeFill="accent1" w:themeFillTint="33"/>
          </w:tcPr>
          <w:p w:rsidR="00B028F4" w:rsidRPr="00B83FE4" w:rsidRDefault="00B028F4" w:rsidP="003E2FEA">
            <w:pPr>
              <w:pStyle w:val="Tabletext"/>
              <w:cnfStyle w:val="000000100000"/>
              <w:rPr>
                <w:b/>
                <w:color w:val="auto"/>
                <w:szCs w:val="20"/>
              </w:rPr>
            </w:pPr>
            <w:r w:rsidRPr="00B83FE4">
              <w:rPr>
                <w:b/>
                <w:color w:val="auto"/>
                <w:szCs w:val="20"/>
              </w:rPr>
              <w:t>DELWP</w:t>
            </w:r>
          </w:p>
          <w:p w:rsidR="009513EA" w:rsidRDefault="009513EA" w:rsidP="003E2FEA">
            <w:pPr>
              <w:pStyle w:val="Tabletext"/>
              <w:cnfStyle w:val="000000100000"/>
              <w:rPr>
                <w:b/>
                <w:color w:val="auto"/>
                <w:szCs w:val="20"/>
              </w:rPr>
            </w:pPr>
            <w:r>
              <w:rPr>
                <w:b/>
                <w:color w:val="auto"/>
                <w:szCs w:val="20"/>
              </w:rPr>
              <w:t>PV</w:t>
            </w:r>
          </w:p>
          <w:p w:rsidR="00B028F4" w:rsidRPr="00FF61F4" w:rsidRDefault="00B028F4" w:rsidP="003E2FEA">
            <w:pPr>
              <w:pStyle w:val="Tabletext"/>
              <w:cnfStyle w:val="000000100000"/>
              <w:rPr>
                <w:color w:val="auto"/>
                <w:szCs w:val="20"/>
              </w:rPr>
            </w:pPr>
            <w:r w:rsidRPr="00B83FE4">
              <w:rPr>
                <w:b/>
                <w:color w:val="auto"/>
                <w:szCs w:val="20"/>
              </w:rPr>
              <w:t>OEH</w:t>
            </w:r>
          </w:p>
          <w:p w:rsidR="00B028F4" w:rsidRPr="00FF61F4" w:rsidRDefault="00B028F4" w:rsidP="003E2FEA">
            <w:pPr>
              <w:pStyle w:val="Tabletext"/>
              <w:cnfStyle w:val="000000100000"/>
              <w:rPr>
                <w:color w:val="auto"/>
                <w:szCs w:val="20"/>
              </w:rPr>
            </w:pPr>
            <w:r w:rsidRPr="00FF61F4">
              <w:rPr>
                <w:color w:val="auto"/>
                <w:szCs w:val="20"/>
              </w:rPr>
              <w:t>TfN</w:t>
            </w:r>
          </w:p>
          <w:p w:rsidR="00B028F4" w:rsidRPr="00FF61F4" w:rsidRDefault="00B028F4" w:rsidP="003E2FEA">
            <w:pPr>
              <w:pStyle w:val="Tabletext"/>
              <w:cnfStyle w:val="000000100000"/>
              <w:rPr>
                <w:color w:val="auto"/>
                <w:szCs w:val="20"/>
              </w:rPr>
            </w:pPr>
            <w:r w:rsidRPr="00FF61F4">
              <w:rPr>
                <w:color w:val="auto"/>
                <w:szCs w:val="20"/>
              </w:rPr>
              <w:t>NTAG</w:t>
            </w:r>
          </w:p>
          <w:p w:rsidR="00B028F4" w:rsidRPr="00FF61F4" w:rsidRDefault="00B028F4" w:rsidP="003E2FEA">
            <w:pPr>
              <w:pStyle w:val="Tabletext"/>
              <w:cnfStyle w:val="000000100000"/>
              <w:rPr>
                <w:b/>
                <w:color w:val="auto"/>
                <w:szCs w:val="20"/>
              </w:rPr>
            </w:pPr>
            <w:r w:rsidRPr="00FF61F4">
              <w:rPr>
                <w:color w:val="auto"/>
                <w:szCs w:val="20"/>
              </w:rPr>
              <w:t>Research community</w:t>
            </w:r>
          </w:p>
        </w:tc>
        <w:tc>
          <w:tcPr>
            <w:tcW w:w="1346" w:type="dxa"/>
            <w:tcBorders>
              <w:left w:val="none" w:sz="0" w:space="0" w:color="auto"/>
              <w:right w:val="none" w:sz="0" w:space="0" w:color="auto"/>
            </w:tcBorders>
            <w:shd w:val="clear" w:color="auto" w:fill="DBE5F1" w:themeFill="accent1" w:themeFillTint="33"/>
          </w:tcPr>
          <w:p w:rsidR="00B028F4" w:rsidRPr="00CD07C4" w:rsidRDefault="00B92C1F" w:rsidP="00CD07C4">
            <w:pPr>
              <w:pStyle w:val="Tabletext"/>
              <w:jc w:val="center"/>
              <w:cnfStyle w:val="000000100000"/>
              <w:rPr>
                <w:color w:val="auto"/>
                <w:szCs w:val="20"/>
              </w:rPr>
            </w:pPr>
            <w:r>
              <w:rPr>
                <w:color w:val="auto"/>
                <w:szCs w:val="20"/>
              </w:rPr>
              <w:t>-</w:t>
            </w:r>
          </w:p>
        </w:tc>
      </w:tr>
      <w:tr w:rsidR="00B028F4" w:rsidTr="00042EEA">
        <w:tc>
          <w:tcPr>
            <w:cnfStyle w:val="001000000000"/>
            <w:tcW w:w="839" w:type="dxa"/>
            <w:shd w:val="clear" w:color="auto" w:fill="DBE5F1" w:themeFill="accent1" w:themeFillTint="33"/>
          </w:tcPr>
          <w:p w:rsidR="00B028F4" w:rsidRPr="001553DE" w:rsidRDefault="00412D78" w:rsidP="003E2FEA">
            <w:pPr>
              <w:pStyle w:val="Tabletext"/>
              <w:jc w:val="center"/>
              <w:rPr>
                <w:color w:val="auto"/>
                <w:szCs w:val="20"/>
              </w:rPr>
            </w:pPr>
            <w:r>
              <w:rPr>
                <w:color w:val="auto"/>
                <w:szCs w:val="20"/>
              </w:rPr>
              <w:t>4</w:t>
            </w:r>
            <w:r w:rsidRPr="001553DE">
              <w:rPr>
                <w:color w:val="auto"/>
                <w:szCs w:val="20"/>
              </w:rPr>
              <w:t>b</w:t>
            </w:r>
          </w:p>
        </w:tc>
        <w:tc>
          <w:tcPr>
            <w:tcW w:w="1740" w:type="dxa"/>
            <w:shd w:val="clear" w:color="auto" w:fill="DBE5F1" w:themeFill="accent1" w:themeFillTint="33"/>
          </w:tcPr>
          <w:p w:rsidR="00B83FE4" w:rsidRPr="001553DE" w:rsidRDefault="00B923C7" w:rsidP="003B20C9">
            <w:pPr>
              <w:cnfStyle w:val="000000000000"/>
              <w:rPr>
                <w:color w:val="auto"/>
                <w:szCs w:val="20"/>
              </w:rPr>
            </w:pPr>
            <w:r w:rsidRPr="001553DE">
              <w:rPr>
                <w:color w:val="auto"/>
                <w:szCs w:val="20"/>
              </w:rPr>
              <w:t>Assess the impact of wide-spread pesticide use on plains-wanderers</w:t>
            </w:r>
            <w:r w:rsidR="003B20C9">
              <w:rPr>
                <w:color w:val="auto"/>
                <w:szCs w:val="20"/>
              </w:rPr>
              <w:t>.</w:t>
            </w:r>
          </w:p>
        </w:tc>
        <w:tc>
          <w:tcPr>
            <w:tcW w:w="944" w:type="dxa"/>
            <w:shd w:val="clear" w:color="auto" w:fill="DBE5F1" w:themeFill="accent1" w:themeFillTint="33"/>
          </w:tcPr>
          <w:p w:rsidR="00B028F4" w:rsidRPr="001553DE" w:rsidRDefault="00B028F4" w:rsidP="003E2FEA">
            <w:pPr>
              <w:pStyle w:val="Tabletext"/>
              <w:jc w:val="center"/>
              <w:cnfStyle w:val="000000000000"/>
              <w:rPr>
                <w:color w:val="auto"/>
                <w:szCs w:val="20"/>
              </w:rPr>
            </w:pPr>
            <w:r w:rsidRPr="001553DE">
              <w:rPr>
                <w:color w:val="auto"/>
                <w:szCs w:val="20"/>
              </w:rPr>
              <w:t xml:space="preserve"> </w:t>
            </w:r>
            <w:r w:rsidR="00B923C7" w:rsidRPr="001553DE">
              <w:rPr>
                <w:color w:val="auto"/>
                <w:szCs w:val="20"/>
              </w:rPr>
              <w:t>1</w:t>
            </w:r>
            <w:r w:rsidRPr="001553DE">
              <w:rPr>
                <w:color w:val="auto"/>
                <w:szCs w:val="20"/>
              </w:rPr>
              <w:t xml:space="preserve"> </w:t>
            </w:r>
          </w:p>
        </w:tc>
        <w:tc>
          <w:tcPr>
            <w:tcW w:w="4396" w:type="dxa"/>
            <w:shd w:val="clear" w:color="auto" w:fill="DBE5F1" w:themeFill="accent1" w:themeFillTint="33"/>
          </w:tcPr>
          <w:p w:rsidR="005A0378" w:rsidRPr="001553DE" w:rsidRDefault="00C35C7A" w:rsidP="003E2FEA">
            <w:pPr>
              <w:pStyle w:val="ListBullet"/>
              <w:cnfStyle w:val="000000000000"/>
              <w:rPr>
                <w:color w:val="auto"/>
                <w:szCs w:val="20"/>
                <w:lang w:eastAsia="en-AU"/>
              </w:rPr>
            </w:pPr>
            <w:r w:rsidRPr="001553DE">
              <w:rPr>
                <w:color w:val="auto"/>
                <w:szCs w:val="20"/>
                <w:lang w:eastAsia="en-AU"/>
              </w:rPr>
              <w:t>M</w:t>
            </w:r>
            <w:r w:rsidR="005A0378" w:rsidRPr="001553DE">
              <w:rPr>
                <w:color w:val="auto"/>
                <w:szCs w:val="20"/>
                <w:lang w:eastAsia="en-AU"/>
              </w:rPr>
              <w:t>echanisms</w:t>
            </w:r>
            <w:r w:rsidR="009513EA" w:rsidRPr="001553DE">
              <w:rPr>
                <w:color w:val="auto"/>
                <w:szCs w:val="20"/>
                <w:lang w:eastAsia="en-AU"/>
              </w:rPr>
              <w:t xml:space="preserve"> are investigated</w:t>
            </w:r>
            <w:r w:rsidR="005A0378" w:rsidRPr="001553DE">
              <w:rPr>
                <w:color w:val="auto"/>
                <w:szCs w:val="20"/>
                <w:lang w:eastAsia="en-AU"/>
              </w:rPr>
              <w:t xml:space="preserve"> by which to</w:t>
            </w:r>
            <w:r w:rsidRPr="001553DE">
              <w:rPr>
                <w:color w:val="auto"/>
                <w:szCs w:val="20"/>
                <w:lang w:eastAsia="en-AU"/>
              </w:rPr>
              <w:t xml:space="preserve"> identify, and quantify the scale of,</w:t>
            </w:r>
            <w:r w:rsidR="005A0378" w:rsidRPr="001553DE">
              <w:rPr>
                <w:color w:val="auto"/>
                <w:szCs w:val="20"/>
                <w:lang w:eastAsia="en-AU"/>
              </w:rPr>
              <w:t xml:space="preserve"> on-ground pesticide application within plains-w</w:t>
            </w:r>
            <w:r w:rsidRPr="001553DE">
              <w:rPr>
                <w:color w:val="auto"/>
                <w:szCs w:val="20"/>
                <w:lang w:eastAsia="en-AU"/>
              </w:rPr>
              <w:t>anderer habitat.</w:t>
            </w:r>
            <w:r w:rsidR="005A0378" w:rsidRPr="001553DE">
              <w:rPr>
                <w:color w:val="auto"/>
                <w:szCs w:val="20"/>
                <w:lang w:eastAsia="en-AU"/>
              </w:rPr>
              <w:t xml:space="preserve"> </w:t>
            </w:r>
          </w:p>
          <w:p w:rsidR="001D63DC" w:rsidRPr="001553DE" w:rsidRDefault="001D63DC" w:rsidP="003E2FEA">
            <w:pPr>
              <w:pStyle w:val="ListBullet"/>
              <w:cnfStyle w:val="000000000000"/>
              <w:rPr>
                <w:color w:val="auto"/>
                <w:szCs w:val="20"/>
                <w:lang w:eastAsia="en-AU"/>
              </w:rPr>
            </w:pPr>
            <w:r w:rsidRPr="001553DE">
              <w:rPr>
                <w:color w:val="auto"/>
              </w:rPr>
              <w:t>Spatial mapping overlay</w:t>
            </w:r>
            <w:r w:rsidR="009513EA">
              <w:rPr>
                <w:color w:val="auto"/>
              </w:rPr>
              <w:t>ing</w:t>
            </w:r>
            <w:r w:rsidRPr="001553DE">
              <w:rPr>
                <w:color w:val="auto"/>
              </w:rPr>
              <w:t xml:space="preserve"> </w:t>
            </w:r>
            <w:r w:rsidR="00C35C7A" w:rsidRPr="001553DE">
              <w:rPr>
                <w:color w:val="auto"/>
              </w:rPr>
              <w:t xml:space="preserve">all </w:t>
            </w:r>
            <w:r w:rsidR="005A0378" w:rsidRPr="001553DE">
              <w:rPr>
                <w:color w:val="auto"/>
              </w:rPr>
              <w:t>known</w:t>
            </w:r>
            <w:r w:rsidRPr="001553DE">
              <w:rPr>
                <w:color w:val="auto"/>
              </w:rPr>
              <w:t xml:space="preserve"> pesticide </w:t>
            </w:r>
            <w:r w:rsidR="005A0378" w:rsidRPr="001553DE">
              <w:rPr>
                <w:color w:val="auto"/>
              </w:rPr>
              <w:t>application</w:t>
            </w:r>
            <w:r w:rsidR="00C35C7A" w:rsidRPr="001553DE">
              <w:rPr>
                <w:color w:val="auto"/>
              </w:rPr>
              <w:t>s</w:t>
            </w:r>
            <w:r w:rsidR="005A0378" w:rsidRPr="001553DE">
              <w:rPr>
                <w:color w:val="auto"/>
              </w:rPr>
              <w:t xml:space="preserve"> </w:t>
            </w:r>
            <w:r w:rsidR="009513EA">
              <w:rPr>
                <w:color w:val="auto"/>
              </w:rPr>
              <w:t>with</w:t>
            </w:r>
            <w:r w:rsidR="00BB6600" w:rsidRPr="001553DE">
              <w:rPr>
                <w:color w:val="auto"/>
              </w:rPr>
              <w:t xml:space="preserve"> </w:t>
            </w:r>
            <w:r w:rsidRPr="001553DE">
              <w:rPr>
                <w:color w:val="auto"/>
              </w:rPr>
              <w:t>mapping of plains-wanderer</w:t>
            </w:r>
            <w:r w:rsidR="00D341F1" w:rsidRPr="001553DE">
              <w:rPr>
                <w:color w:val="auto"/>
              </w:rPr>
              <w:t xml:space="preserve"> </w:t>
            </w:r>
            <w:r w:rsidR="009513EA">
              <w:rPr>
                <w:color w:val="auto"/>
              </w:rPr>
              <w:t xml:space="preserve">habitat </w:t>
            </w:r>
            <w:r w:rsidR="00D341F1" w:rsidRPr="001553DE">
              <w:rPr>
                <w:color w:val="auto"/>
              </w:rPr>
              <w:t xml:space="preserve">is </w:t>
            </w:r>
            <w:r w:rsidR="00BB6600" w:rsidRPr="001553DE">
              <w:rPr>
                <w:color w:val="auto"/>
              </w:rPr>
              <w:t>produced</w:t>
            </w:r>
            <w:r w:rsidRPr="001553DE">
              <w:rPr>
                <w:color w:val="auto"/>
              </w:rPr>
              <w:t>.</w:t>
            </w:r>
          </w:p>
          <w:p w:rsidR="00B923C7" w:rsidRPr="001553DE" w:rsidRDefault="001D63DC" w:rsidP="003E2FEA">
            <w:pPr>
              <w:pStyle w:val="ListBullet"/>
              <w:cnfStyle w:val="000000000000"/>
              <w:rPr>
                <w:color w:val="auto"/>
                <w:szCs w:val="20"/>
                <w:lang w:eastAsia="en-AU"/>
              </w:rPr>
            </w:pPr>
            <w:r w:rsidRPr="001553DE">
              <w:rPr>
                <w:color w:val="auto"/>
                <w:szCs w:val="20"/>
                <w:lang w:eastAsia="en-AU"/>
              </w:rPr>
              <w:t>Areas in which pesticide use overlaps with plains-wanderer distribution are identified.</w:t>
            </w:r>
          </w:p>
          <w:p w:rsidR="00141511" w:rsidRPr="001553DE" w:rsidRDefault="00141511" w:rsidP="003E2FEA">
            <w:pPr>
              <w:pStyle w:val="ListBullet"/>
              <w:cnfStyle w:val="000000000000"/>
              <w:rPr>
                <w:color w:val="auto"/>
                <w:szCs w:val="20"/>
                <w:lang w:eastAsia="en-AU"/>
              </w:rPr>
            </w:pPr>
            <w:r w:rsidRPr="001553DE">
              <w:rPr>
                <w:rFonts w:cs="Arial"/>
                <w:color w:val="auto"/>
                <w:szCs w:val="20"/>
              </w:rPr>
              <w:t xml:space="preserve">The effectiveness of spraying exclusion zones around plains-wanderer habitat, </w:t>
            </w:r>
            <w:r w:rsidR="003F645D" w:rsidRPr="001553DE">
              <w:rPr>
                <w:rFonts w:cs="Arial"/>
                <w:color w:val="auto"/>
                <w:szCs w:val="20"/>
              </w:rPr>
              <w:t>as currently applicable at the state/regional level,</w:t>
            </w:r>
            <w:r w:rsidRPr="001553DE">
              <w:rPr>
                <w:rFonts w:cs="Arial"/>
                <w:color w:val="auto"/>
                <w:szCs w:val="20"/>
              </w:rPr>
              <w:t xml:space="preserve"> </w:t>
            </w:r>
            <w:r w:rsidR="003F645D" w:rsidRPr="001553DE">
              <w:rPr>
                <w:rFonts w:cs="Arial"/>
                <w:color w:val="auto"/>
                <w:szCs w:val="20"/>
              </w:rPr>
              <w:t>is</w:t>
            </w:r>
            <w:r w:rsidRPr="001553DE">
              <w:rPr>
                <w:rFonts w:cs="Arial"/>
                <w:color w:val="auto"/>
                <w:szCs w:val="20"/>
              </w:rPr>
              <w:t xml:space="preserve"> evaluated</w:t>
            </w:r>
            <w:r w:rsidR="003F645D" w:rsidRPr="001553DE">
              <w:rPr>
                <w:rFonts w:cs="Arial"/>
                <w:color w:val="auto"/>
                <w:szCs w:val="20"/>
              </w:rPr>
              <w:t>.</w:t>
            </w:r>
          </w:p>
          <w:p w:rsidR="00BB6600" w:rsidRDefault="00281287" w:rsidP="00B83FE4">
            <w:pPr>
              <w:pStyle w:val="ListBullet"/>
              <w:cnfStyle w:val="000000000000"/>
              <w:rPr>
                <w:color w:val="auto"/>
                <w:szCs w:val="20"/>
                <w:lang w:eastAsia="en-AU"/>
              </w:rPr>
            </w:pPr>
            <w:r w:rsidRPr="001553DE">
              <w:rPr>
                <w:color w:val="auto"/>
                <w:szCs w:val="20"/>
                <w:lang w:eastAsia="en-AU"/>
              </w:rPr>
              <w:t>A research methodology</w:t>
            </w:r>
            <w:r w:rsidR="00BB6600" w:rsidRPr="001553DE">
              <w:rPr>
                <w:color w:val="auto"/>
                <w:szCs w:val="20"/>
                <w:lang w:eastAsia="en-AU"/>
              </w:rPr>
              <w:t xml:space="preserve"> </w:t>
            </w:r>
            <w:r w:rsidRPr="001553DE">
              <w:rPr>
                <w:color w:val="auto"/>
                <w:szCs w:val="20"/>
                <w:lang w:eastAsia="en-AU"/>
              </w:rPr>
              <w:t>is developed to analyse</w:t>
            </w:r>
            <w:r w:rsidR="00BB6600" w:rsidRPr="001553DE">
              <w:rPr>
                <w:color w:val="auto"/>
                <w:szCs w:val="20"/>
                <w:lang w:eastAsia="en-AU"/>
              </w:rPr>
              <w:t xml:space="preserve"> the</w:t>
            </w:r>
            <w:r w:rsidRPr="001553DE">
              <w:rPr>
                <w:color w:val="auto"/>
                <w:szCs w:val="20"/>
                <w:lang w:eastAsia="en-AU"/>
              </w:rPr>
              <w:t xml:space="preserve"> potential</w:t>
            </w:r>
            <w:r w:rsidR="00BB6600" w:rsidRPr="001553DE">
              <w:rPr>
                <w:color w:val="auto"/>
                <w:szCs w:val="20"/>
                <w:lang w:eastAsia="en-AU"/>
              </w:rPr>
              <w:t xml:space="preserve"> impacts of pesticide spraying </w:t>
            </w:r>
            <w:r w:rsidRPr="001553DE">
              <w:rPr>
                <w:color w:val="auto"/>
                <w:szCs w:val="20"/>
                <w:lang w:eastAsia="en-AU"/>
              </w:rPr>
              <w:t>on prey availability.</w:t>
            </w:r>
          </w:p>
          <w:p w:rsidR="009513EA" w:rsidRPr="001553DE" w:rsidRDefault="009513EA" w:rsidP="003B20C9">
            <w:pPr>
              <w:pStyle w:val="ListBullet"/>
              <w:cnfStyle w:val="000000000000"/>
              <w:rPr>
                <w:color w:val="auto"/>
                <w:szCs w:val="20"/>
                <w:lang w:eastAsia="en-AU"/>
              </w:rPr>
            </w:pPr>
            <w:r>
              <w:rPr>
                <w:color w:val="auto"/>
                <w:szCs w:val="20"/>
                <w:lang w:eastAsia="en-AU"/>
              </w:rPr>
              <w:t>Outcomes of research are communicated to key state agencies.</w:t>
            </w:r>
          </w:p>
        </w:tc>
        <w:tc>
          <w:tcPr>
            <w:tcW w:w="1410" w:type="dxa"/>
            <w:shd w:val="clear" w:color="auto" w:fill="DBE5F1" w:themeFill="accent1" w:themeFillTint="33"/>
          </w:tcPr>
          <w:p w:rsidR="001D63DC" w:rsidRPr="00B83FE4" w:rsidRDefault="00141511" w:rsidP="003E2FEA">
            <w:pPr>
              <w:pStyle w:val="Tabletext"/>
              <w:cnfStyle w:val="000000000000"/>
              <w:rPr>
                <w:b/>
                <w:color w:val="auto"/>
                <w:szCs w:val="20"/>
              </w:rPr>
            </w:pPr>
            <w:r w:rsidRPr="00B83FE4">
              <w:rPr>
                <w:b/>
                <w:color w:val="auto"/>
                <w:szCs w:val="20"/>
              </w:rPr>
              <w:t>DotE</w:t>
            </w:r>
          </w:p>
          <w:p w:rsidR="001D63DC" w:rsidRPr="00FF61F4" w:rsidRDefault="007F04A3" w:rsidP="003E2FEA">
            <w:pPr>
              <w:pStyle w:val="Tabletext"/>
              <w:cnfStyle w:val="000000000000"/>
              <w:rPr>
                <w:color w:val="auto"/>
                <w:szCs w:val="20"/>
              </w:rPr>
            </w:pPr>
            <w:r>
              <w:rPr>
                <w:color w:val="auto"/>
                <w:szCs w:val="20"/>
              </w:rPr>
              <w:t>Research c</w:t>
            </w:r>
            <w:r w:rsidR="001D63DC" w:rsidRPr="001553DE">
              <w:rPr>
                <w:color w:val="auto"/>
                <w:szCs w:val="20"/>
              </w:rPr>
              <w:t>ommunity</w:t>
            </w:r>
          </w:p>
        </w:tc>
        <w:tc>
          <w:tcPr>
            <w:tcW w:w="1346" w:type="dxa"/>
            <w:shd w:val="clear" w:color="auto" w:fill="DBE5F1" w:themeFill="accent1" w:themeFillTint="33"/>
          </w:tcPr>
          <w:p w:rsidR="00B028F4" w:rsidRPr="00CD07C4" w:rsidRDefault="00CD07C4" w:rsidP="003E2FEA">
            <w:pPr>
              <w:pStyle w:val="Tabletext"/>
              <w:jc w:val="center"/>
              <w:cnfStyle w:val="000000000000"/>
              <w:rPr>
                <w:color w:val="auto"/>
                <w:szCs w:val="20"/>
              </w:rPr>
            </w:pPr>
            <w:r w:rsidRPr="00CD07C4">
              <w:rPr>
                <w:color w:val="auto"/>
                <w:szCs w:val="20"/>
              </w:rPr>
              <w:t>$10 000</w:t>
            </w:r>
          </w:p>
        </w:tc>
      </w:tr>
    </w:tbl>
    <w:p w:rsidR="00042EEA" w:rsidRDefault="00042EEA"/>
    <w:tbl>
      <w:tblPr>
        <w:tblStyle w:val="LightShading-Accent11"/>
        <w:tblW w:w="0" w:type="auto"/>
        <w:tblBorders>
          <w:top w:val="single" w:sz="4" w:space="0" w:color="002060"/>
          <w:bottom w:val="single" w:sz="4" w:space="0" w:color="002060"/>
          <w:insideH w:val="single" w:sz="4" w:space="0" w:color="002060"/>
        </w:tblBorders>
        <w:shd w:val="clear" w:color="auto" w:fill="DBE5F1" w:themeFill="accent1" w:themeFillTint="33"/>
        <w:tblLook w:val="04A0"/>
      </w:tblPr>
      <w:tblGrid>
        <w:gridCol w:w="839"/>
        <w:gridCol w:w="1740"/>
        <w:gridCol w:w="944"/>
        <w:gridCol w:w="4396"/>
        <w:gridCol w:w="1410"/>
        <w:gridCol w:w="1346"/>
      </w:tblGrid>
      <w:tr w:rsidR="00B923C7" w:rsidTr="00042EEA">
        <w:trPr>
          <w:cnfStyle w:val="100000000000"/>
        </w:trPr>
        <w:tc>
          <w:tcPr>
            <w:cnfStyle w:val="001000000000"/>
            <w:tcW w:w="839" w:type="dxa"/>
            <w:tcBorders>
              <w:left w:val="none" w:sz="0" w:space="0" w:color="auto"/>
              <w:right w:val="none" w:sz="0" w:space="0" w:color="auto"/>
            </w:tcBorders>
            <w:shd w:val="clear" w:color="auto" w:fill="DBE5F1" w:themeFill="accent1" w:themeFillTint="33"/>
          </w:tcPr>
          <w:p w:rsidR="00B923C7" w:rsidRPr="00B923C7" w:rsidRDefault="00412D78" w:rsidP="003E2FEA">
            <w:pPr>
              <w:pStyle w:val="Tabletext"/>
              <w:jc w:val="center"/>
              <w:rPr>
                <w:color w:val="auto"/>
                <w:szCs w:val="20"/>
              </w:rPr>
            </w:pPr>
            <w:r>
              <w:rPr>
                <w:color w:val="auto"/>
                <w:szCs w:val="20"/>
              </w:rPr>
              <w:t>4</w:t>
            </w:r>
            <w:r w:rsidRPr="00B923C7">
              <w:rPr>
                <w:color w:val="auto"/>
                <w:szCs w:val="20"/>
              </w:rPr>
              <w:t>c</w:t>
            </w:r>
          </w:p>
        </w:tc>
        <w:tc>
          <w:tcPr>
            <w:tcW w:w="1740" w:type="dxa"/>
            <w:tcBorders>
              <w:left w:val="none" w:sz="0" w:space="0" w:color="auto"/>
              <w:right w:val="none" w:sz="0" w:space="0" w:color="auto"/>
            </w:tcBorders>
            <w:shd w:val="clear" w:color="auto" w:fill="DBE5F1" w:themeFill="accent1" w:themeFillTint="33"/>
          </w:tcPr>
          <w:p w:rsidR="00B923C7" w:rsidRPr="00504DF0" w:rsidRDefault="00CD7E49" w:rsidP="003E2FEA">
            <w:pPr>
              <w:cnfStyle w:val="100000000000"/>
              <w:rPr>
                <w:b w:val="0"/>
                <w:color w:val="auto"/>
                <w:szCs w:val="20"/>
              </w:rPr>
            </w:pPr>
            <w:r w:rsidRPr="00504DF0">
              <w:rPr>
                <w:b w:val="0"/>
                <w:color w:val="auto"/>
                <w:szCs w:val="20"/>
              </w:rPr>
              <w:t xml:space="preserve">Measure the impacts of feral species, wildfires and quail hunting on plains-wanderers. </w:t>
            </w:r>
          </w:p>
        </w:tc>
        <w:tc>
          <w:tcPr>
            <w:tcW w:w="944" w:type="dxa"/>
            <w:tcBorders>
              <w:left w:val="none" w:sz="0" w:space="0" w:color="auto"/>
              <w:right w:val="none" w:sz="0" w:space="0" w:color="auto"/>
            </w:tcBorders>
            <w:shd w:val="clear" w:color="auto" w:fill="DBE5F1" w:themeFill="accent1" w:themeFillTint="33"/>
          </w:tcPr>
          <w:p w:rsidR="00B923C7" w:rsidRPr="00504DF0" w:rsidRDefault="00CD7E49" w:rsidP="003E2FEA">
            <w:pPr>
              <w:pStyle w:val="Tabletext"/>
              <w:jc w:val="center"/>
              <w:cnfStyle w:val="100000000000"/>
              <w:rPr>
                <w:b w:val="0"/>
                <w:color w:val="auto"/>
                <w:szCs w:val="20"/>
              </w:rPr>
            </w:pPr>
            <w:r w:rsidRPr="00504DF0">
              <w:rPr>
                <w:b w:val="0"/>
                <w:color w:val="auto"/>
                <w:szCs w:val="20"/>
              </w:rPr>
              <w:t>2</w:t>
            </w:r>
          </w:p>
        </w:tc>
        <w:tc>
          <w:tcPr>
            <w:tcW w:w="4396" w:type="dxa"/>
            <w:tcBorders>
              <w:left w:val="none" w:sz="0" w:space="0" w:color="auto"/>
              <w:right w:val="none" w:sz="0" w:space="0" w:color="auto"/>
            </w:tcBorders>
            <w:shd w:val="clear" w:color="auto" w:fill="DBE5F1" w:themeFill="accent1" w:themeFillTint="33"/>
          </w:tcPr>
          <w:p w:rsidR="00B923C7" w:rsidRPr="00504DF0" w:rsidRDefault="00CD7E49" w:rsidP="003E2FEA">
            <w:pPr>
              <w:pStyle w:val="ListBullet"/>
              <w:cnfStyle w:val="100000000000"/>
              <w:rPr>
                <w:b w:val="0"/>
                <w:color w:val="auto"/>
                <w:szCs w:val="20"/>
              </w:rPr>
            </w:pPr>
            <w:r w:rsidRPr="00504DF0">
              <w:rPr>
                <w:b w:val="0"/>
                <w:color w:val="auto"/>
                <w:szCs w:val="20"/>
              </w:rPr>
              <w:t xml:space="preserve">Understanding of the spatial heterogeneity of feral species impacts upon plains-wanderers is increased, with a focus on potential impacts in the species strongholds in </w:t>
            </w:r>
            <w:r w:rsidRPr="00504DF0">
              <w:rPr>
                <w:b w:val="0"/>
                <w:color w:val="auto"/>
                <w:szCs w:val="20"/>
                <w:lang w:eastAsia="en-AU"/>
              </w:rPr>
              <w:t>the Riverina region of NSW and the Northern Plains of Victoria.</w:t>
            </w:r>
          </w:p>
          <w:p w:rsidR="00B923C7" w:rsidRPr="00504DF0" w:rsidRDefault="00CD7E49" w:rsidP="003E2FEA">
            <w:pPr>
              <w:pStyle w:val="ListBullet"/>
              <w:cnfStyle w:val="100000000000"/>
              <w:rPr>
                <w:b w:val="0"/>
                <w:color w:val="auto"/>
                <w:szCs w:val="20"/>
                <w:lang w:eastAsia="en-AU"/>
              </w:rPr>
            </w:pPr>
            <w:r w:rsidRPr="00504DF0">
              <w:rPr>
                <w:b w:val="0"/>
                <w:color w:val="auto"/>
                <w:szCs w:val="20"/>
                <w:lang w:eastAsia="en-AU"/>
              </w:rPr>
              <w:t>Areas in which wildfires pose a threat to key habitat for plains-wanderers are indentified.</w:t>
            </w:r>
          </w:p>
          <w:p w:rsidR="00B923C7" w:rsidRPr="00504DF0" w:rsidRDefault="00CD7E49" w:rsidP="003E2FEA">
            <w:pPr>
              <w:pStyle w:val="ListBullet"/>
              <w:cnfStyle w:val="100000000000"/>
              <w:rPr>
                <w:b w:val="0"/>
                <w:color w:val="auto"/>
                <w:szCs w:val="20"/>
              </w:rPr>
            </w:pPr>
            <w:r w:rsidRPr="00504DF0">
              <w:rPr>
                <w:b w:val="0"/>
                <w:color w:val="auto"/>
                <w:szCs w:val="20"/>
              </w:rPr>
              <w:t>Areas in which quail hunting, including illegal hunting, overlaps with plains-wanderer distribution are identified.</w:t>
            </w:r>
          </w:p>
        </w:tc>
        <w:tc>
          <w:tcPr>
            <w:tcW w:w="1410" w:type="dxa"/>
            <w:tcBorders>
              <w:left w:val="none" w:sz="0" w:space="0" w:color="auto"/>
              <w:right w:val="none" w:sz="0" w:space="0" w:color="auto"/>
            </w:tcBorders>
            <w:shd w:val="clear" w:color="auto" w:fill="DBE5F1" w:themeFill="accent1" w:themeFillTint="33"/>
          </w:tcPr>
          <w:p w:rsidR="00B923C7" w:rsidRPr="00504DF0" w:rsidRDefault="00CD7E49" w:rsidP="003E2FEA">
            <w:pPr>
              <w:pStyle w:val="Tabletext"/>
              <w:cnfStyle w:val="100000000000"/>
              <w:rPr>
                <w:color w:val="auto"/>
                <w:szCs w:val="20"/>
              </w:rPr>
            </w:pPr>
            <w:r w:rsidRPr="00504DF0">
              <w:rPr>
                <w:color w:val="auto"/>
                <w:szCs w:val="20"/>
              </w:rPr>
              <w:t>DELWP</w:t>
            </w:r>
          </w:p>
          <w:p w:rsidR="00B923C7" w:rsidRPr="00504DF0" w:rsidRDefault="00CD7E49" w:rsidP="003E2FEA">
            <w:pPr>
              <w:pStyle w:val="Tabletext"/>
              <w:cnfStyle w:val="100000000000"/>
              <w:rPr>
                <w:color w:val="auto"/>
                <w:szCs w:val="20"/>
              </w:rPr>
            </w:pPr>
            <w:r w:rsidRPr="00504DF0">
              <w:rPr>
                <w:color w:val="auto"/>
                <w:szCs w:val="20"/>
              </w:rPr>
              <w:t>OEH</w:t>
            </w:r>
          </w:p>
          <w:p w:rsidR="00B923C7" w:rsidRPr="00504DF0" w:rsidRDefault="00CD7E49" w:rsidP="003E2FEA">
            <w:pPr>
              <w:pStyle w:val="Tabletext"/>
              <w:cnfStyle w:val="100000000000"/>
              <w:rPr>
                <w:b w:val="0"/>
                <w:color w:val="auto"/>
                <w:szCs w:val="20"/>
              </w:rPr>
            </w:pPr>
            <w:r w:rsidRPr="00504DF0">
              <w:rPr>
                <w:b w:val="0"/>
                <w:color w:val="auto"/>
                <w:szCs w:val="20"/>
              </w:rPr>
              <w:t>DNEWR</w:t>
            </w:r>
          </w:p>
          <w:p w:rsidR="00887DE7" w:rsidRPr="00504DF0" w:rsidRDefault="00CD7E49" w:rsidP="003E2FEA">
            <w:pPr>
              <w:pStyle w:val="Tabletext"/>
              <w:cnfStyle w:val="100000000000"/>
              <w:rPr>
                <w:b w:val="0"/>
                <w:color w:val="auto"/>
                <w:szCs w:val="20"/>
              </w:rPr>
            </w:pPr>
            <w:r w:rsidRPr="00504DF0">
              <w:rPr>
                <w:b w:val="0"/>
                <w:color w:val="auto"/>
                <w:szCs w:val="20"/>
              </w:rPr>
              <w:t>NPSR</w:t>
            </w:r>
          </w:p>
          <w:p w:rsidR="00C30AA2" w:rsidRPr="00504DF0" w:rsidRDefault="00CD7E49" w:rsidP="003E2FEA">
            <w:pPr>
              <w:pStyle w:val="Tabletext"/>
              <w:cnfStyle w:val="100000000000"/>
              <w:rPr>
                <w:b w:val="0"/>
                <w:color w:val="auto"/>
                <w:szCs w:val="20"/>
              </w:rPr>
            </w:pPr>
            <w:r w:rsidRPr="00504DF0">
              <w:rPr>
                <w:b w:val="0"/>
                <w:color w:val="auto"/>
                <w:szCs w:val="20"/>
              </w:rPr>
              <w:t>GMV</w:t>
            </w:r>
          </w:p>
          <w:p w:rsidR="00B923C7" w:rsidRPr="00504DF0" w:rsidRDefault="00CD7E49" w:rsidP="003E2FEA">
            <w:pPr>
              <w:pStyle w:val="Tabletext"/>
              <w:cnfStyle w:val="100000000000"/>
              <w:rPr>
                <w:b w:val="0"/>
                <w:color w:val="auto"/>
                <w:szCs w:val="20"/>
              </w:rPr>
            </w:pPr>
            <w:r w:rsidRPr="00504DF0">
              <w:rPr>
                <w:b w:val="0"/>
                <w:color w:val="auto"/>
                <w:szCs w:val="20"/>
              </w:rPr>
              <w:t xml:space="preserve">PV </w:t>
            </w:r>
          </w:p>
          <w:p w:rsidR="00B923C7" w:rsidRPr="00504DF0" w:rsidRDefault="00CD7E49" w:rsidP="003E2FEA">
            <w:pPr>
              <w:pStyle w:val="Tabletext"/>
              <w:cnfStyle w:val="100000000000"/>
              <w:rPr>
                <w:b w:val="0"/>
                <w:color w:val="auto"/>
                <w:szCs w:val="20"/>
              </w:rPr>
            </w:pPr>
            <w:r w:rsidRPr="00504DF0">
              <w:rPr>
                <w:b w:val="0"/>
                <w:color w:val="auto"/>
                <w:szCs w:val="20"/>
              </w:rPr>
              <w:t xml:space="preserve">TfN </w:t>
            </w:r>
          </w:p>
          <w:p w:rsidR="00B923C7" w:rsidRPr="00504DF0" w:rsidRDefault="00CD7E49" w:rsidP="003E2FEA">
            <w:pPr>
              <w:pStyle w:val="Tabletext"/>
              <w:cnfStyle w:val="100000000000"/>
              <w:rPr>
                <w:b w:val="0"/>
                <w:color w:val="auto"/>
                <w:szCs w:val="20"/>
              </w:rPr>
            </w:pPr>
            <w:r w:rsidRPr="00504DF0">
              <w:rPr>
                <w:b w:val="0"/>
                <w:color w:val="auto"/>
                <w:szCs w:val="20"/>
              </w:rPr>
              <w:t xml:space="preserve">CFA (Vic) </w:t>
            </w:r>
          </w:p>
          <w:p w:rsidR="00B923C7" w:rsidRPr="00504DF0" w:rsidRDefault="00CD7E49" w:rsidP="007F04A3">
            <w:pPr>
              <w:pStyle w:val="Tabletext"/>
              <w:cnfStyle w:val="100000000000"/>
              <w:rPr>
                <w:b w:val="0"/>
                <w:color w:val="auto"/>
                <w:szCs w:val="20"/>
              </w:rPr>
            </w:pPr>
            <w:r w:rsidRPr="00504DF0">
              <w:rPr>
                <w:b w:val="0"/>
                <w:color w:val="auto"/>
                <w:szCs w:val="20"/>
              </w:rPr>
              <w:t>RFS (NSW) MLLS</w:t>
            </w:r>
          </w:p>
          <w:p w:rsidR="007F04A3" w:rsidRPr="00504DF0" w:rsidRDefault="00CD7E49" w:rsidP="007F04A3">
            <w:pPr>
              <w:pStyle w:val="Tabletext"/>
              <w:cnfStyle w:val="100000000000"/>
              <w:rPr>
                <w:b w:val="0"/>
                <w:color w:val="auto"/>
                <w:szCs w:val="20"/>
              </w:rPr>
            </w:pPr>
            <w:r w:rsidRPr="00504DF0">
              <w:rPr>
                <w:b w:val="0"/>
                <w:color w:val="auto"/>
                <w:szCs w:val="20"/>
              </w:rPr>
              <w:t>RLLS</w:t>
            </w:r>
          </w:p>
        </w:tc>
        <w:tc>
          <w:tcPr>
            <w:tcW w:w="1346" w:type="dxa"/>
            <w:tcBorders>
              <w:left w:val="none" w:sz="0" w:space="0" w:color="auto"/>
              <w:right w:val="none" w:sz="0" w:space="0" w:color="auto"/>
            </w:tcBorders>
            <w:shd w:val="clear" w:color="auto" w:fill="DBE5F1" w:themeFill="accent1" w:themeFillTint="33"/>
          </w:tcPr>
          <w:p w:rsidR="00B923C7" w:rsidRPr="00B92C1F" w:rsidRDefault="00B92C1F" w:rsidP="003E2FEA">
            <w:pPr>
              <w:pStyle w:val="Tabletext"/>
              <w:jc w:val="center"/>
              <w:cnfStyle w:val="100000000000"/>
              <w:rPr>
                <w:color w:val="auto"/>
                <w:szCs w:val="20"/>
              </w:rPr>
            </w:pPr>
            <w:r w:rsidRPr="00B92C1F">
              <w:rPr>
                <w:color w:val="auto"/>
                <w:szCs w:val="20"/>
              </w:rPr>
              <w:t>-</w:t>
            </w:r>
          </w:p>
        </w:tc>
      </w:tr>
    </w:tbl>
    <w:p w:rsidR="00B028F4" w:rsidRPr="009F5DDA" w:rsidRDefault="00B028F4" w:rsidP="003E2FEA">
      <w:pPr>
        <w:spacing w:after="0"/>
        <w:rPr>
          <w:rFonts w:cs="Arial"/>
          <w:i/>
          <w:color w:val="7F7F7F" w:themeColor="text1" w:themeTint="80"/>
          <w:sz w:val="24"/>
          <w:szCs w:val="24"/>
        </w:rPr>
      </w:pPr>
    </w:p>
    <w:p w:rsidR="00B028F4" w:rsidRPr="009F5DDA" w:rsidRDefault="00D1439D" w:rsidP="003E2FEA">
      <w:pPr>
        <w:spacing w:after="0"/>
        <w:rPr>
          <w:rFonts w:cs="Arial"/>
          <w:i/>
          <w:color w:val="7F7F7F" w:themeColor="text1" w:themeTint="80"/>
          <w:sz w:val="24"/>
          <w:szCs w:val="24"/>
        </w:rPr>
      </w:pPr>
      <w:r w:rsidRPr="009F5DDA">
        <w:rPr>
          <w:color w:val="7F7F7F" w:themeColor="text1" w:themeTint="80"/>
          <w:sz w:val="24"/>
          <w:szCs w:val="24"/>
        </w:rPr>
        <w:t xml:space="preserve"> </w:t>
      </w:r>
      <w:r w:rsidR="00B028F4" w:rsidRPr="009F5DDA">
        <w:rPr>
          <w:color w:val="7F7F7F" w:themeColor="text1" w:themeTint="80"/>
          <w:sz w:val="24"/>
          <w:szCs w:val="24"/>
        </w:rPr>
        <w:t>On-ground actions</w:t>
      </w:r>
    </w:p>
    <w:p w:rsidR="00B028F4" w:rsidRPr="009F5DDA" w:rsidRDefault="00B028F4" w:rsidP="003E2FEA">
      <w:pPr>
        <w:spacing w:after="0"/>
        <w:rPr>
          <w:rFonts w:cs="Arial"/>
          <w:i/>
          <w:color w:val="7F7F7F" w:themeColor="text1" w:themeTint="80"/>
          <w:sz w:val="24"/>
          <w:szCs w:val="24"/>
        </w:rPr>
      </w:pPr>
    </w:p>
    <w:tbl>
      <w:tblPr>
        <w:tblStyle w:val="LightGrid-Accent3"/>
        <w:tblW w:w="0" w:type="auto"/>
        <w:tblBorders>
          <w:top w:val="single" w:sz="8" w:space="0" w:color="7F7F7F" w:themeColor="text1" w:themeTint="80"/>
          <w:left w:val="none" w:sz="0" w:space="0" w:color="auto"/>
          <w:bottom w:val="single" w:sz="8" w:space="0" w:color="7F7F7F" w:themeColor="text1" w:themeTint="80"/>
          <w:right w:val="none" w:sz="0" w:space="0" w:color="auto"/>
          <w:insideH w:val="single" w:sz="8" w:space="0" w:color="7F7F7F" w:themeColor="text1" w:themeTint="80"/>
          <w:insideV w:val="none" w:sz="0" w:space="0" w:color="auto"/>
        </w:tblBorders>
        <w:shd w:val="clear" w:color="auto" w:fill="D9D9D9" w:themeFill="background1" w:themeFillShade="D9"/>
        <w:tblLook w:val="04A0"/>
      </w:tblPr>
      <w:tblGrid>
        <w:gridCol w:w="839"/>
        <w:gridCol w:w="1622"/>
        <w:gridCol w:w="946"/>
        <w:gridCol w:w="4501"/>
        <w:gridCol w:w="1410"/>
        <w:gridCol w:w="1357"/>
      </w:tblGrid>
      <w:tr w:rsidR="004576BF" w:rsidRPr="00E15F73" w:rsidTr="00573265">
        <w:trPr>
          <w:cnfStyle w:val="1000000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jc w:val="center"/>
              <w:rPr>
                <w:rFonts w:ascii="Arial" w:hAnsi="Arial" w:cs="Arial"/>
                <w:szCs w:val="20"/>
              </w:rPr>
            </w:pPr>
            <w:r w:rsidRPr="00E15F73">
              <w:rPr>
                <w:rFonts w:ascii="Arial" w:hAnsi="Arial" w:cs="Arial"/>
                <w:szCs w:val="20"/>
              </w:rPr>
              <w:t>Action</w:t>
            </w:r>
          </w:p>
        </w:tc>
        <w:tc>
          <w:tcPr>
            <w:tcW w:w="1622"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cnfStyle w:val="100000000000"/>
              <w:rPr>
                <w:rFonts w:ascii="Arial" w:hAnsi="Arial" w:cs="Arial"/>
                <w:szCs w:val="20"/>
              </w:rPr>
            </w:pPr>
            <w:r w:rsidRPr="00E15F73">
              <w:rPr>
                <w:rFonts w:ascii="Arial" w:hAnsi="Arial" w:cs="Arial"/>
                <w:szCs w:val="20"/>
              </w:rPr>
              <w:t>Description</w:t>
            </w:r>
          </w:p>
        </w:tc>
        <w:tc>
          <w:tcPr>
            <w:tcW w:w="946"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jc w:val="center"/>
              <w:cnfStyle w:val="100000000000"/>
              <w:rPr>
                <w:rFonts w:ascii="Arial" w:hAnsi="Arial" w:cs="Arial"/>
                <w:szCs w:val="20"/>
              </w:rPr>
            </w:pPr>
            <w:r w:rsidRPr="00E15F73">
              <w:rPr>
                <w:rFonts w:ascii="Arial" w:hAnsi="Arial" w:cs="Arial"/>
                <w:szCs w:val="20"/>
              </w:rPr>
              <w:t>Priority</w:t>
            </w:r>
          </w:p>
        </w:tc>
        <w:tc>
          <w:tcPr>
            <w:tcW w:w="4501"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E15F73" w:rsidRDefault="004576BF" w:rsidP="003E2FEA">
            <w:pPr>
              <w:pStyle w:val="Tabletext"/>
              <w:cnfStyle w:val="100000000000"/>
              <w:rPr>
                <w:rFonts w:ascii="Arial" w:hAnsi="Arial" w:cs="Arial"/>
                <w:szCs w:val="20"/>
              </w:rPr>
            </w:pPr>
            <w:r w:rsidRPr="00E15F73">
              <w:rPr>
                <w:rFonts w:ascii="Arial" w:hAnsi="Arial" w:cs="Arial"/>
                <w:szCs w:val="20"/>
              </w:rPr>
              <w:t>Performance Criteria</w:t>
            </w:r>
          </w:p>
        </w:tc>
        <w:tc>
          <w:tcPr>
            <w:tcW w:w="1410"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576BF" w:rsidRDefault="004576BF" w:rsidP="004576BF">
            <w:pPr>
              <w:pStyle w:val="Tabletext"/>
              <w:cnfStyle w:val="100000000000"/>
              <w:rPr>
                <w:rFonts w:ascii="Arial" w:hAnsi="Arial" w:cs="Arial"/>
                <w:b w:val="0"/>
                <w:szCs w:val="20"/>
              </w:rPr>
            </w:pPr>
            <w:r w:rsidRPr="004576BF">
              <w:rPr>
                <w:rFonts w:ascii="Arial" w:hAnsi="Arial" w:cs="Arial"/>
                <w:szCs w:val="20"/>
              </w:rPr>
              <w:t xml:space="preserve">Responsible Agencies </w:t>
            </w:r>
            <w:r>
              <w:rPr>
                <w:rFonts w:ascii="Arial" w:hAnsi="Arial" w:cs="Arial"/>
                <w:b w:val="0"/>
                <w:i/>
                <w:szCs w:val="20"/>
              </w:rPr>
              <w:t>and potential p</w:t>
            </w:r>
            <w:r w:rsidRPr="004576BF">
              <w:rPr>
                <w:rFonts w:ascii="Arial" w:hAnsi="Arial" w:cs="Arial"/>
                <w:b w:val="0"/>
                <w:i/>
                <w:szCs w:val="20"/>
              </w:rPr>
              <w:t>artners</w:t>
            </w:r>
          </w:p>
        </w:tc>
        <w:tc>
          <w:tcPr>
            <w:tcW w:w="1357"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576BF" w:rsidRDefault="004576BF" w:rsidP="004576BF">
            <w:pPr>
              <w:pStyle w:val="Tabletext"/>
              <w:jc w:val="center"/>
              <w:cnfStyle w:val="100000000000"/>
              <w:rPr>
                <w:rFonts w:ascii="Arial" w:hAnsi="Arial" w:cs="Arial"/>
                <w:szCs w:val="20"/>
              </w:rPr>
            </w:pPr>
            <w:r w:rsidRPr="004576BF">
              <w:rPr>
                <w:rFonts w:ascii="Arial" w:hAnsi="Arial" w:cs="Arial"/>
                <w:szCs w:val="20"/>
              </w:rPr>
              <w:t>Indicative Cost</w:t>
            </w:r>
          </w:p>
          <w:p w:rsidR="004576BF" w:rsidRPr="004576BF" w:rsidRDefault="004576BF" w:rsidP="004576BF">
            <w:pPr>
              <w:pStyle w:val="Tabletext"/>
              <w:jc w:val="center"/>
              <w:cnfStyle w:val="100000000000"/>
              <w:rPr>
                <w:rFonts w:ascii="Arial" w:hAnsi="Arial" w:cs="Arial"/>
                <w:b w:val="0"/>
                <w:i/>
                <w:szCs w:val="20"/>
              </w:rPr>
            </w:pPr>
            <w:r w:rsidRPr="004576BF">
              <w:rPr>
                <w:rFonts w:ascii="Arial" w:hAnsi="Arial" w:cs="Arial"/>
                <w:b w:val="0"/>
                <w:i/>
                <w:szCs w:val="20"/>
              </w:rPr>
              <w:t>*priority 1 only</w:t>
            </w:r>
          </w:p>
        </w:tc>
      </w:tr>
      <w:tr w:rsidR="00B028F4" w:rsidRPr="00E15F73" w:rsidTr="00573265">
        <w:trPr>
          <w:cnfStyle w:val="0000001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412D78" w:rsidP="00930A5C">
            <w:pPr>
              <w:pStyle w:val="Tabletext"/>
              <w:jc w:val="center"/>
              <w:rPr>
                <w:rFonts w:ascii="Arial" w:hAnsi="Arial" w:cs="Arial"/>
                <w:szCs w:val="20"/>
              </w:rPr>
            </w:pPr>
            <w:r>
              <w:rPr>
                <w:rFonts w:ascii="Arial" w:hAnsi="Arial" w:cs="Arial"/>
                <w:szCs w:val="20"/>
              </w:rPr>
              <w:t>4</w:t>
            </w:r>
            <w:r w:rsidR="00930A5C">
              <w:rPr>
                <w:rFonts w:ascii="Arial" w:hAnsi="Arial" w:cs="Arial"/>
                <w:szCs w:val="20"/>
              </w:rPr>
              <w:t>d</w:t>
            </w:r>
          </w:p>
        </w:tc>
        <w:tc>
          <w:tcPr>
            <w:tcW w:w="162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cnfStyle w:val="000000100000"/>
              <w:rPr>
                <w:rFonts w:cs="Arial"/>
                <w:szCs w:val="20"/>
                <w:lang w:eastAsia="en-AU"/>
              </w:rPr>
            </w:pPr>
            <w:r w:rsidRPr="00E15F73">
              <w:rPr>
                <w:rFonts w:cs="Arial"/>
                <w:szCs w:val="20"/>
              </w:rPr>
              <w:t xml:space="preserve">Develop and implement feral species control programs. </w:t>
            </w:r>
          </w:p>
        </w:tc>
        <w:tc>
          <w:tcPr>
            <w:tcW w:w="94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jc w:val="center"/>
              <w:cnfStyle w:val="000000100000"/>
              <w:rPr>
                <w:rFonts w:cs="Arial"/>
                <w:szCs w:val="20"/>
              </w:rPr>
            </w:pPr>
            <w:r w:rsidRPr="00E15F73">
              <w:rPr>
                <w:rFonts w:cs="Arial"/>
                <w:szCs w:val="20"/>
              </w:rPr>
              <w:t xml:space="preserve"> 2 </w:t>
            </w:r>
          </w:p>
        </w:tc>
        <w:tc>
          <w:tcPr>
            <w:tcW w:w="45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ListBullet"/>
              <w:cnfStyle w:val="000000100000"/>
              <w:rPr>
                <w:rFonts w:cs="Arial"/>
                <w:szCs w:val="20"/>
              </w:rPr>
            </w:pPr>
            <w:r w:rsidRPr="00E15F73">
              <w:rPr>
                <w:rFonts w:cs="Arial"/>
                <w:szCs w:val="20"/>
              </w:rPr>
              <w:t xml:space="preserve">Feral species control programs are implemented, at regional scales (i.e. landscapes </w:t>
            </w:r>
            <w:r w:rsidR="00EC17DD">
              <w:rPr>
                <w:rFonts w:cs="Arial"/>
                <w:szCs w:val="20"/>
              </w:rPr>
              <w:t>&gt;</w:t>
            </w:r>
            <w:r w:rsidRPr="00E15F73">
              <w:rPr>
                <w:rFonts w:cs="Arial"/>
                <w:szCs w:val="20"/>
              </w:rPr>
              <w:t xml:space="preserve"> 10 000 ha), with efforts centred on important areas of reserved plains-wanderer habitat (such as Oolambeyan National Park). </w:t>
            </w:r>
          </w:p>
          <w:p w:rsidR="00763DAB" w:rsidRDefault="00763DAB" w:rsidP="003E2FEA">
            <w:pPr>
              <w:pStyle w:val="ListBullet"/>
              <w:cnfStyle w:val="000000100000"/>
              <w:rPr>
                <w:rFonts w:cs="Arial"/>
                <w:szCs w:val="20"/>
              </w:rPr>
            </w:pPr>
            <w:r>
              <w:rPr>
                <w:rFonts w:cs="Arial"/>
                <w:szCs w:val="20"/>
              </w:rPr>
              <w:t>Control programs take into account the potential synergistic relationship</w:t>
            </w:r>
            <w:r w:rsidR="00DC3D9B">
              <w:rPr>
                <w:rFonts w:cs="Arial"/>
                <w:szCs w:val="20"/>
              </w:rPr>
              <w:t>s</w:t>
            </w:r>
            <w:r>
              <w:rPr>
                <w:rFonts w:cs="Arial"/>
                <w:szCs w:val="20"/>
              </w:rPr>
              <w:t xml:space="preserve"> between different feral predators, such as foxes, cats and rats.</w:t>
            </w:r>
          </w:p>
          <w:p w:rsidR="00B028F4" w:rsidRPr="00E15F73" w:rsidRDefault="00B028F4" w:rsidP="003E2FEA">
            <w:pPr>
              <w:pStyle w:val="ListBullet"/>
              <w:cnfStyle w:val="000000100000"/>
              <w:rPr>
                <w:rFonts w:cs="Arial"/>
                <w:szCs w:val="20"/>
              </w:rPr>
            </w:pPr>
            <w:r w:rsidRPr="00E15F73">
              <w:rPr>
                <w:rFonts w:cs="Arial"/>
                <w:szCs w:val="20"/>
              </w:rPr>
              <w:t xml:space="preserve">Feral species numbers are monitored in areas where they have been identified as posing a potential threat to plains-wanderers. </w:t>
            </w:r>
          </w:p>
        </w:tc>
        <w:tc>
          <w:tcPr>
            <w:tcW w:w="141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5C2C69" w:rsidRDefault="00C30AA2" w:rsidP="003E2FEA">
            <w:pPr>
              <w:pStyle w:val="Tabletext"/>
              <w:cnfStyle w:val="000000100000"/>
              <w:rPr>
                <w:rFonts w:cs="Arial"/>
                <w:b/>
                <w:szCs w:val="20"/>
              </w:rPr>
            </w:pPr>
            <w:r w:rsidRPr="005C2C69">
              <w:rPr>
                <w:rFonts w:cs="Arial"/>
                <w:b/>
                <w:szCs w:val="20"/>
              </w:rPr>
              <w:t xml:space="preserve">OEH </w:t>
            </w:r>
            <w:r w:rsidR="00B028F4" w:rsidRPr="005C2C69">
              <w:rPr>
                <w:rFonts w:cs="Arial"/>
                <w:b/>
                <w:szCs w:val="20"/>
              </w:rPr>
              <w:t>DELWP</w:t>
            </w:r>
          </w:p>
          <w:p w:rsidR="00C30AA2" w:rsidRDefault="00C30AA2" w:rsidP="003E2FEA">
            <w:pPr>
              <w:pStyle w:val="Tabletext"/>
              <w:cnfStyle w:val="000000100000"/>
              <w:rPr>
                <w:rFonts w:cs="Arial"/>
                <w:b/>
                <w:szCs w:val="20"/>
              </w:rPr>
            </w:pPr>
            <w:r>
              <w:rPr>
                <w:rFonts w:cs="Arial"/>
                <w:b/>
                <w:szCs w:val="20"/>
              </w:rPr>
              <w:t>PV</w:t>
            </w:r>
          </w:p>
          <w:p w:rsidR="00B028F4" w:rsidRPr="00E15F73" w:rsidRDefault="00C30AA2" w:rsidP="003E2FEA">
            <w:pPr>
              <w:pStyle w:val="Tabletext"/>
              <w:cnfStyle w:val="000000100000"/>
              <w:rPr>
                <w:rFonts w:cs="Arial"/>
                <w:szCs w:val="20"/>
              </w:rPr>
            </w:pPr>
            <w:r>
              <w:rPr>
                <w:rFonts w:cs="Arial"/>
                <w:szCs w:val="20"/>
              </w:rPr>
              <w:t>NCCMA</w:t>
            </w:r>
          </w:p>
          <w:p w:rsidR="00B028F4" w:rsidRDefault="00B028F4" w:rsidP="003E2FEA">
            <w:pPr>
              <w:pStyle w:val="Tabletext"/>
              <w:cnfStyle w:val="000000100000"/>
              <w:rPr>
                <w:rFonts w:cs="Arial"/>
                <w:szCs w:val="20"/>
              </w:rPr>
            </w:pPr>
            <w:r w:rsidRPr="00E15F73">
              <w:rPr>
                <w:rFonts w:cs="Arial"/>
                <w:szCs w:val="20"/>
              </w:rPr>
              <w:t xml:space="preserve">DNEWR </w:t>
            </w:r>
          </w:p>
          <w:p w:rsidR="00887DE7" w:rsidRPr="00E15F73" w:rsidRDefault="00887DE7" w:rsidP="003E2FEA">
            <w:pPr>
              <w:pStyle w:val="Tabletext"/>
              <w:cnfStyle w:val="000000100000"/>
              <w:rPr>
                <w:rFonts w:cs="Arial"/>
                <w:szCs w:val="20"/>
              </w:rPr>
            </w:pPr>
            <w:r>
              <w:rPr>
                <w:rFonts w:cs="Arial"/>
                <w:szCs w:val="20"/>
              </w:rPr>
              <w:t>NPSR</w:t>
            </w:r>
          </w:p>
          <w:p w:rsidR="00B028F4" w:rsidRPr="00E15F73" w:rsidRDefault="00B028F4" w:rsidP="003E2FEA">
            <w:pPr>
              <w:pStyle w:val="Tabletext"/>
              <w:cnfStyle w:val="000000100000"/>
              <w:rPr>
                <w:rFonts w:cs="Arial"/>
                <w:szCs w:val="20"/>
              </w:rPr>
            </w:pPr>
            <w:r w:rsidRPr="00E15F73">
              <w:rPr>
                <w:rFonts w:cs="Arial"/>
                <w:szCs w:val="20"/>
              </w:rPr>
              <w:t>TfN</w:t>
            </w:r>
          </w:p>
          <w:p w:rsidR="00B028F4" w:rsidRPr="00E15F73" w:rsidRDefault="00B028F4" w:rsidP="003E2FEA">
            <w:pPr>
              <w:pStyle w:val="Tabletext"/>
              <w:cnfStyle w:val="000000100000"/>
              <w:rPr>
                <w:rFonts w:cs="Arial"/>
                <w:szCs w:val="20"/>
              </w:rPr>
            </w:pPr>
            <w:r w:rsidRPr="00E15F73">
              <w:rPr>
                <w:rFonts w:cs="Arial"/>
                <w:szCs w:val="20"/>
              </w:rPr>
              <w:t>MLLS</w:t>
            </w:r>
          </w:p>
          <w:p w:rsidR="00B028F4" w:rsidRPr="00E15F73" w:rsidRDefault="00B028F4" w:rsidP="003E2FEA">
            <w:pPr>
              <w:pStyle w:val="Tabletext"/>
              <w:cnfStyle w:val="000000100000"/>
              <w:rPr>
                <w:rFonts w:cs="Arial"/>
                <w:szCs w:val="20"/>
              </w:rPr>
            </w:pPr>
            <w:r w:rsidRPr="00E15F73">
              <w:rPr>
                <w:rFonts w:cs="Arial"/>
                <w:szCs w:val="20"/>
              </w:rPr>
              <w:t>RLLS</w:t>
            </w:r>
          </w:p>
        </w:tc>
        <w:tc>
          <w:tcPr>
            <w:tcW w:w="135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B92C1F" w:rsidRDefault="00B92C1F" w:rsidP="003E2FEA">
            <w:pPr>
              <w:pStyle w:val="Tabletext"/>
              <w:jc w:val="center"/>
              <w:cnfStyle w:val="000000100000"/>
              <w:rPr>
                <w:rFonts w:cs="Arial"/>
                <w:szCs w:val="20"/>
              </w:rPr>
            </w:pPr>
            <w:r w:rsidRPr="00B92C1F">
              <w:rPr>
                <w:rFonts w:cs="Arial"/>
                <w:szCs w:val="20"/>
              </w:rPr>
              <w:t>-</w:t>
            </w:r>
          </w:p>
        </w:tc>
      </w:tr>
      <w:tr w:rsidR="00B028F4" w:rsidRPr="00E15F73" w:rsidTr="00573265">
        <w:trPr>
          <w:cnfStyle w:val="000000010000"/>
        </w:trPr>
        <w:tc>
          <w:tcPr>
            <w:cnfStyle w:val="001000000000"/>
            <w:tcW w:w="8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412D78" w:rsidP="00930A5C">
            <w:pPr>
              <w:pStyle w:val="Tabletext"/>
              <w:jc w:val="center"/>
              <w:rPr>
                <w:rFonts w:ascii="Arial" w:hAnsi="Arial" w:cs="Arial"/>
                <w:szCs w:val="20"/>
              </w:rPr>
            </w:pPr>
            <w:r>
              <w:rPr>
                <w:rFonts w:ascii="Arial" w:hAnsi="Arial" w:cs="Arial"/>
                <w:szCs w:val="20"/>
              </w:rPr>
              <w:t>4</w:t>
            </w:r>
            <w:r w:rsidR="00930A5C">
              <w:rPr>
                <w:rFonts w:ascii="Arial" w:hAnsi="Arial" w:cs="Arial"/>
                <w:szCs w:val="20"/>
              </w:rPr>
              <w:t>e</w:t>
            </w:r>
          </w:p>
        </w:tc>
        <w:tc>
          <w:tcPr>
            <w:tcW w:w="162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42921" w:rsidRDefault="00B028F4" w:rsidP="00142921">
            <w:pPr>
              <w:spacing w:after="0"/>
              <w:cnfStyle w:val="000000010000"/>
              <w:rPr>
                <w:rFonts w:cs="Arial"/>
                <w:szCs w:val="20"/>
              </w:rPr>
            </w:pPr>
            <w:r w:rsidRPr="00E15F73">
              <w:rPr>
                <w:rFonts w:cs="Arial"/>
                <w:szCs w:val="20"/>
                <w:lang w:eastAsia="en-AU"/>
              </w:rPr>
              <w:t>Where necessary</w:t>
            </w:r>
            <w:r w:rsidR="00DC3D9B">
              <w:rPr>
                <w:rFonts w:cs="Arial"/>
                <w:szCs w:val="20"/>
                <w:lang w:eastAsia="en-AU"/>
              </w:rPr>
              <w:t>,</w:t>
            </w:r>
            <w:r w:rsidRPr="00E15F73">
              <w:rPr>
                <w:rFonts w:cs="Arial"/>
                <w:szCs w:val="20"/>
                <w:lang w:eastAsia="en-AU"/>
              </w:rPr>
              <w:t xml:space="preserve"> mitigate the impacts of wildfires on plains-wanderers.  </w:t>
            </w:r>
          </w:p>
        </w:tc>
        <w:tc>
          <w:tcPr>
            <w:tcW w:w="94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jc w:val="center"/>
              <w:cnfStyle w:val="000000010000"/>
              <w:rPr>
                <w:rFonts w:cs="Arial"/>
                <w:szCs w:val="20"/>
              </w:rPr>
            </w:pPr>
            <w:r w:rsidRPr="00E15F73">
              <w:rPr>
                <w:rFonts w:cs="Arial"/>
                <w:szCs w:val="20"/>
              </w:rPr>
              <w:t>3</w:t>
            </w:r>
          </w:p>
        </w:tc>
        <w:tc>
          <w:tcPr>
            <w:tcW w:w="45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Default="00B028F4" w:rsidP="003E2FEA">
            <w:pPr>
              <w:pStyle w:val="ListBullet"/>
              <w:cnfStyle w:val="000000010000"/>
              <w:rPr>
                <w:rFonts w:cs="Arial"/>
                <w:szCs w:val="20"/>
                <w:lang w:eastAsia="en-AU"/>
              </w:rPr>
            </w:pPr>
            <w:r w:rsidRPr="00E15F73">
              <w:rPr>
                <w:rFonts w:cs="Arial"/>
                <w:szCs w:val="20"/>
              </w:rPr>
              <w:t>Wildfire mitigation and fire suppression activities are implemented, as necessary, to protect habitat critical for the plains-wanderer.</w:t>
            </w:r>
            <w:r w:rsidRPr="00E15F73">
              <w:rPr>
                <w:rFonts w:cs="Arial"/>
                <w:szCs w:val="20"/>
                <w:lang w:eastAsia="en-AU"/>
              </w:rPr>
              <w:t xml:space="preserve"> </w:t>
            </w:r>
          </w:p>
          <w:p w:rsidR="00504DF0" w:rsidRPr="00E15F73" w:rsidRDefault="00504DF0" w:rsidP="003E2FEA">
            <w:pPr>
              <w:pStyle w:val="ListBullet"/>
              <w:cnfStyle w:val="000000010000"/>
              <w:rPr>
                <w:rFonts w:cs="Arial"/>
                <w:szCs w:val="20"/>
                <w:lang w:eastAsia="en-AU"/>
              </w:rPr>
            </w:pPr>
            <w:r>
              <w:rPr>
                <w:rFonts w:cs="Arial"/>
                <w:szCs w:val="20"/>
                <w:lang w:eastAsia="en-AU"/>
              </w:rPr>
              <w:t>Where appropriate, mitigation measures include mechanical reduction of fuel loads.</w:t>
            </w:r>
          </w:p>
        </w:tc>
        <w:tc>
          <w:tcPr>
            <w:tcW w:w="141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5C2C69" w:rsidRDefault="00B028F4" w:rsidP="003E2FEA">
            <w:pPr>
              <w:pStyle w:val="Tabletext"/>
              <w:cnfStyle w:val="000000010000"/>
              <w:rPr>
                <w:rFonts w:cs="Arial"/>
                <w:b/>
                <w:szCs w:val="20"/>
              </w:rPr>
            </w:pPr>
            <w:r w:rsidRPr="005C2C69">
              <w:rPr>
                <w:rFonts w:cs="Arial"/>
                <w:b/>
                <w:szCs w:val="20"/>
              </w:rPr>
              <w:t xml:space="preserve">DELWP </w:t>
            </w:r>
          </w:p>
          <w:p w:rsidR="00B028F4" w:rsidRPr="005C2C69" w:rsidRDefault="00B028F4" w:rsidP="003E2FEA">
            <w:pPr>
              <w:pStyle w:val="Tabletext"/>
              <w:cnfStyle w:val="000000010000"/>
              <w:rPr>
                <w:rFonts w:cs="Arial"/>
                <w:b/>
                <w:szCs w:val="20"/>
              </w:rPr>
            </w:pPr>
            <w:r w:rsidRPr="005C2C69">
              <w:rPr>
                <w:rFonts w:cs="Arial"/>
                <w:b/>
                <w:szCs w:val="20"/>
              </w:rPr>
              <w:t xml:space="preserve">PV </w:t>
            </w:r>
          </w:p>
          <w:p w:rsidR="00B028F4" w:rsidRPr="00E15F73" w:rsidRDefault="00B028F4" w:rsidP="003E2FEA">
            <w:pPr>
              <w:pStyle w:val="Tabletext"/>
              <w:cnfStyle w:val="000000010000"/>
              <w:rPr>
                <w:rFonts w:cs="Arial"/>
                <w:szCs w:val="20"/>
              </w:rPr>
            </w:pPr>
            <w:r w:rsidRPr="005C2C69">
              <w:rPr>
                <w:rFonts w:cs="Arial"/>
                <w:b/>
                <w:szCs w:val="20"/>
              </w:rPr>
              <w:t xml:space="preserve">OEH </w:t>
            </w:r>
          </w:p>
          <w:p w:rsidR="00B028F4" w:rsidRPr="00E15F73" w:rsidRDefault="00B028F4" w:rsidP="003E2FEA">
            <w:pPr>
              <w:pStyle w:val="Tabletext"/>
              <w:cnfStyle w:val="000000010000"/>
              <w:rPr>
                <w:rFonts w:cs="Arial"/>
                <w:szCs w:val="20"/>
              </w:rPr>
            </w:pPr>
            <w:r w:rsidRPr="00E15F73">
              <w:rPr>
                <w:rFonts w:cs="Arial"/>
                <w:szCs w:val="20"/>
              </w:rPr>
              <w:t xml:space="preserve">CFA (Vic) </w:t>
            </w:r>
          </w:p>
          <w:p w:rsidR="00B028F4" w:rsidRPr="00E15F73" w:rsidRDefault="00B028F4" w:rsidP="003E2FEA">
            <w:pPr>
              <w:pStyle w:val="Tabletext"/>
              <w:cnfStyle w:val="000000010000"/>
              <w:rPr>
                <w:rFonts w:cs="Arial"/>
                <w:szCs w:val="20"/>
              </w:rPr>
            </w:pPr>
            <w:r w:rsidRPr="00E15F73">
              <w:rPr>
                <w:rFonts w:cs="Arial"/>
                <w:szCs w:val="20"/>
              </w:rPr>
              <w:t>RFS (NSW)</w:t>
            </w:r>
          </w:p>
        </w:tc>
        <w:tc>
          <w:tcPr>
            <w:tcW w:w="135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B92C1F" w:rsidRDefault="00B92C1F" w:rsidP="003E2FEA">
            <w:pPr>
              <w:pStyle w:val="Tabletext"/>
              <w:jc w:val="center"/>
              <w:cnfStyle w:val="000000010000"/>
              <w:rPr>
                <w:rFonts w:cs="Arial"/>
                <w:szCs w:val="20"/>
              </w:rPr>
            </w:pPr>
            <w:r w:rsidRPr="00B92C1F">
              <w:rPr>
                <w:rFonts w:cs="Arial"/>
                <w:szCs w:val="20"/>
              </w:rPr>
              <w:t>-</w:t>
            </w:r>
          </w:p>
        </w:tc>
      </w:tr>
      <w:tr w:rsidR="00B028F4" w:rsidRPr="00E15F73" w:rsidTr="00573265">
        <w:trPr>
          <w:cnfStyle w:val="000000100000"/>
          <w:trHeight w:val="926"/>
        </w:trPr>
        <w:tc>
          <w:tcPr>
            <w:cnfStyle w:val="001000000000"/>
            <w:tcW w:w="8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930A5C">
            <w:pPr>
              <w:pStyle w:val="Tabletext"/>
              <w:jc w:val="center"/>
              <w:rPr>
                <w:rFonts w:ascii="Arial" w:hAnsi="Arial" w:cs="Arial"/>
                <w:szCs w:val="20"/>
              </w:rPr>
            </w:pPr>
            <w:r w:rsidRPr="00E15F73">
              <w:rPr>
                <w:rFonts w:ascii="Arial" w:hAnsi="Arial" w:cs="Arial"/>
                <w:szCs w:val="20"/>
              </w:rPr>
              <w:br w:type="page"/>
            </w:r>
            <w:r w:rsidR="00412D78">
              <w:rPr>
                <w:rFonts w:ascii="Arial" w:hAnsi="Arial" w:cs="Arial"/>
                <w:szCs w:val="20"/>
              </w:rPr>
              <w:t>4</w:t>
            </w:r>
            <w:r w:rsidR="00930A5C">
              <w:rPr>
                <w:rFonts w:ascii="Arial" w:hAnsi="Arial" w:cs="Arial"/>
                <w:szCs w:val="20"/>
              </w:rPr>
              <w:t>f</w:t>
            </w:r>
          </w:p>
        </w:tc>
        <w:tc>
          <w:tcPr>
            <w:tcW w:w="162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cnfStyle w:val="000000100000"/>
              <w:rPr>
                <w:rFonts w:cs="Arial"/>
                <w:szCs w:val="20"/>
              </w:rPr>
            </w:pPr>
            <w:r w:rsidRPr="00E15F73">
              <w:rPr>
                <w:rFonts w:cs="Arial"/>
                <w:szCs w:val="20"/>
              </w:rPr>
              <w:t>Where necessary</w:t>
            </w:r>
            <w:r w:rsidR="00DC3D9B">
              <w:rPr>
                <w:rFonts w:cs="Arial"/>
                <w:szCs w:val="20"/>
              </w:rPr>
              <w:t>,</w:t>
            </w:r>
            <w:r w:rsidRPr="00E15F73">
              <w:rPr>
                <w:rFonts w:cs="Arial"/>
                <w:szCs w:val="20"/>
              </w:rPr>
              <w:t xml:space="preserve"> mitigate the impacts of </w:t>
            </w:r>
            <w:r w:rsidRPr="00E15F73">
              <w:rPr>
                <w:rFonts w:cs="Arial"/>
                <w:szCs w:val="20"/>
                <w:lang w:eastAsia="en-AU"/>
              </w:rPr>
              <w:t>quail hunting on plains-wanderer survival.</w:t>
            </w:r>
          </w:p>
        </w:tc>
        <w:tc>
          <w:tcPr>
            <w:tcW w:w="94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Tabletext"/>
              <w:jc w:val="center"/>
              <w:cnfStyle w:val="000000100000"/>
              <w:rPr>
                <w:rFonts w:cs="Arial"/>
                <w:szCs w:val="20"/>
              </w:rPr>
            </w:pPr>
            <w:r w:rsidRPr="00E15F73">
              <w:rPr>
                <w:rFonts w:cs="Arial"/>
                <w:szCs w:val="20"/>
              </w:rPr>
              <w:t>3</w:t>
            </w:r>
          </w:p>
        </w:tc>
        <w:tc>
          <w:tcPr>
            <w:tcW w:w="45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028F4" w:rsidP="003E2FEA">
            <w:pPr>
              <w:pStyle w:val="ListBullet"/>
              <w:cnfStyle w:val="000000100000"/>
              <w:rPr>
                <w:rFonts w:cs="Arial"/>
                <w:szCs w:val="20"/>
              </w:rPr>
            </w:pPr>
            <w:r w:rsidRPr="00E15F73">
              <w:rPr>
                <w:rFonts w:cs="Arial"/>
                <w:szCs w:val="20"/>
                <w:lang w:eastAsia="en-AU"/>
              </w:rPr>
              <w:t xml:space="preserve">Lost and deteriorated ‘No Shooting’ signs on farm gates and fences are </w:t>
            </w:r>
            <w:r w:rsidR="00345E38">
              <w:rPr>
                <w:rFonts w:cs="Arial"/>
                <w:szCs w:val="20"/>
                <w:lang w:eastAsia="en-AU"/>
              </w:rPr>
              <w:t>replaced</w:t>
            </w:r>
            <w:r w:rsidRPr="00E15F73">
              <w:rPr>
                <w:rFonts w:cs="Arial"/>
                <w:szCs w:val="20"/>
                <w:lang w:eastAsia="en-AU"/>
              </w:rPr>
              <w:t xml:space="preserve"> for interested landholders.</w:t>
            </w:r>
          </w:p>
          <w:p w:rsidR="003A7A9B" w:rsidRDefault="00B028F4">
            <w:pPr>
              <w:pStyle w:val="ListBullet"/>
              <w:spacing w:after="0"/>
              <w:cnfStyle w:val="000000100000"/>
              <w:rPr>
                <w:rFonts w:cs="Arial"/>
                <w:szCs w:val="20"/>
              </w:rPr>
            </w:pPr>
            <w:r w:rsidRPr="00E15F73">
              <w:rPr>
                <w:rFonts w:cs="Arial"/>
                <w:szCs w:val="20"/>
                <w:lang w:eastAsia="en-AU"/>
              </w:rPr>
              <w:t>The recorded history of quail hunting impacts on plains-wanderers is collated and</w:t>
            </w:r>
            <w:r w:rsidR="00C8362B">
              <w:rPr>
                <w:rFonts w:cs="Arial"/>
                <w:szCs w:val="20"/>
                <w:lang w:eastAsia="en-AU"/>
              </w:rPr>
              <w:t>,</w:t>
            </w:r>
            <w:r w:rsidRPr="00E15F73">
              <w:rPr>
                <w:rFonts w:cs="Arial"/>
                <w:szCs w:val="20"/>
                <w:lang w:eastAsia="en-AU"/>
              </w:rPr>
              <w:t xml:space="preserve"> </w:t>
            </w:r>
            <w:r w:rsidR="008D5394">
              <w:rPr>
                <w:rFonts w:cs="Arial"/>
                <w:szCs w:val="20"/>
                <w:lang w:eastAsia="en-AU"/>
              </w:rPr>
              <w:t>if appropriate</w:t>
            </w:r>
            <w:r w:rsidR="00C8362B">
              <w:rPr>
                <w:rFonts w:cs="Arial"/>
                <w:szCs w:val="20"/>
                <w:lang w:eastAsia="en-AU"/>
              </w:rPr>
              <w:t>,</w:t>
            </w:r>
            <w:r w:rsidR="008D5394">
              <w:rPr>
                <w:rFonts w:cs="Arial"/>
                <w:szCs w:val="20"/>
                <w:lang w:eastAsia="en-AU"/>
              </w:rPr>
              <w:t xml:space="preserve"> </w:t>
            </w:r>
            <w:r w:rsidRPr="00E15F73">
              <w:rPr>
                <w:rFonts w:cs="Arial"/>
                <w:szCs w:val="20"/>
                <w:lang w:eastAsia="en-AU"/>
              </w:rPr>
              <w:t>a case</w:t>
            </w:r>
            <w:r w:rsidR="00C8362B">
              <w:rPr>
                <w:rFonts w:cs="Arial"/>
                <w:szCs w:val="20"/>
                <w:lang w:eastAsia="en-AU"/>
              </w:rPr>
              <w:t xml:space="preserve"> is</w:t>
            </w:r>
            <w:r w:rsidRPr="00E15F73">
              <w:rPr>
                <w:rFonts w:cs="Arial"/>
                <w:szCs w:val="20"/>
                <w:lang w:eastAsia="en-AU"/>
              </w:rPr>
              <w:t xml:space="preserve"> developed for excluding quail hunting from key areas of the Northern Plains of Victoria.</w:t>
            </w:r>
          </w:p>
          <w:p w:rsidR="001360A0" w:rsidRDefault="001360A0" w:rsidP="00B0215D">
            <w:pPr>
              <w:pStyle w:val="ListBullet"/>
              <w:spacing w:before="240"/>
              <w:cnfStyle w:val="000000100000"/>
              <w:rPr>
                <w:rFonts w:cs="Arial"/>
                <w:szCs w:val="20"/>
              </w:rPr>
            </w:pPr>
            <w:r>
              <w:rPr>
                <w:rFonts w:cs="Arial"/>
                <w:szCs w:val="20"/>
                <w:lang w:eastAsia="en-AU"/>
              </w:rPr>
              <w:t>Illegal q</w:t>
            </w:r>
            <w:r w:rsidR="00B028F4" w:rsidRPr="00E15F73">
              <w:rPr>
                <w:rFonts w:cs="Arial"/>
                <w:szCs w:val="20"/>
                <w:lang w:eastAsia="en-AU"/>
              </w:rPr>
              <w:t xml:space="preserve">uail hunting is </w:t>
            </w:r>
            <w:proofErr w:type="gramStart"/>
            <w:r>
              <w:rPr>
                <w:rFonts w:cs="Arial"/>
                <w:szCs w:val="20"/>
                <w:lang w:eastAsia="en-AU"/>
              </w:rPr>
              <w:t>reduced/stopped</w:t>
            </w:r>
            <w:proofErr w:type="gramEnd"/>
            <w:r>
              <w:rPr>
                <w:rFonts w:cs="Arial"/>
                <w:szCs w:val="20"/>
                <w:lang w:eastAsia="en-AU"/>
              </w:rPr>
              <w:t xml:space="preserve"> in</w:t>
            </w:r>
            <w:r w:rsidR="00B028F4" w:rsidRPr="00E15F73">
              <w:rPr>
                <w:rFonts w:cs="Arial"/>
                <w:szCs w:val="20"/>
                <w:lang w:eastAsia="en-AU"/>
              </w:rPr>
              <w:t xml:space="preserve"> key plains-wanderer habitat</w:t>
            </w:r>
            <w:r>
              <w:rPr>
                <w:rFonts w:cs="Arial"/>
                <w:szCs w:val="20"/>
                <w:lang w:eastAsia="en-AU"/>
              </w:rPr>
              <w:t>.</w:t>
            </w:r>
            <w:r w:rsidR="00B028F4" w:rsidRPr="00E15F73">
              <w:rPr>
                <w:rFonts w:cs="Arial"/>
                <w:szCs w:val="20"/>
                <w:lang w:eastAsia="en-AU"/>
              </w:rPr>
              <w:t xml:space="preserve"> </w:t>
            </w:r>
          </w:p>
          <w:p w:rsidR="00B028F4" w:rsidRPr="00E15F73" w:rsidRDefault="00B028F4" w:rsidP="003E2FEA">
            <w:pPr>
              <w:pStyle w:val="ListBullet"/>
              <w:cnfStyle w:val="000000100000"/>
              <w:rPr>
                <w:rFonts w:cs="Arial"/>
                <w:szCs w:val="20"/>
              </w:rPr>
            </w:pPr>
            <w:r w:rsidRPr="00E15F73">
              <w:rPr>
                <w:rFonts w:cs="Arial"/>
                <w:szCs w:val="20"/>
                <w:lang w:eastAsia="en-AU"/>
              </w:rPr>
              <w:t>An information flyer on plains-wanderers is developed for incorporation into hunting guides.</w:t>
            </w:r>
          </w:p>
        </w:tc>
        <w:tc>
          <w:tcPr>
            <w:tcW w:w="141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5C2C69" w:rsidRDefault="00B028F4" w:rsidP="003E2FEA">
            <w:pPr>
              <w:pStyle w:val="Tabletext"/>
              <w:cnfStyle w:val="000000100000"/>
              <w:rPr>
                <w:rFonts w:cs="Arial"/>
                <w:b/>
                <w:szCs w:val="20"/>
              </w:rPr>
            </w:pPr>
            <w:r w:rsidRPr="005C2C69">
              <w:rPr>
                <w:rFonts w:cs="Arial"/>
                <w:b/>
                <w:szCs w:val="20"/>
              </w:rPr>
              <w:t>DELWP</w:t>
            </w:r>
          </w:p>
          <w:p w:rsidR="00B028F4" w:rsidRPr="00E15F73" w:rsidRDefault="00B028F4" w:rsidP="003E2FEA">
            <w:pPr>
              <w:pStyle w:val="Tabletext"/>
              <w:cnfStyle w:val="000000100000"/>
              <w:rPr>
                <w:rFonts w:cs="Arial"/>
                <w:szCs w:val="20"/>
              </w:rPr>
            </w:pPr>
            <w:r w:rsidRPr="005C2C69">
              <w:rPr>
                <w:rFonts w:cs="Arial"/>
                <w:b/>
                <w:szCs w:val="20"/>
              </w:rPr>
              <w:t>PV</w:t>
            </w:r>
          </w:p>
          <w:p w:rsidR="00C30AA2" w:rsidRDefault="000353B9" w:rsidP="003E2FEA">
            <w:pPr>
              <w:pStyle w:val="Tabletext"/>
              <w:cnfStyle w:val="000000100000"/>
              <w:rPr>
                <w:rFonts w:cs="Arial"/>
                <w:szCs w:val="20"/>
              </w:rPr>
            </w:pPr>
            <w:r>
              <w:rPr>
                <w:rFonts w:cs="Arial"/>
                <w:szCs w:val="20"/>
              </w:rPr>
              <w:t>GMV</w:t>
            </w:r>
          </w:p>
          <w:p w:rsidR="00B028F4" w:rsidRPr="00E15F73" w:rsidRDefault="00B028F4" w:rsidP="003E2FEA">
            <w:pPr>
              <w:pStyle w:val="Tabletext"/>
              <w:cnfStyle w:val="000000100000"/>
              <w:rPr>
                <w:rFonts w:cs="Arial"/>
                <w:szCs w:val="20"/>
              </w:rPr>
            </w:pPr>
            <w:r w:rsidRPr="00E15F73">
              <w:rPr>
                <w:rFonts w:cs="Arial"/>
                <w:szCs w:val="20"/>
              </w:rPr>
              <w:t>TfN</w:t>
            </w:r>
          </w:p>
        </w:tc>
        <w:tc>
          <w:tcPr>
            <w:tcW w:w="135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E15F73" w:rsidRDefault="00B92C1F" w:rsidP="003E2FEA">
            <w:pPr>
              <w:pStyle w:val="Tabletext"/>
              <w:jc w:val="center"/>
              <w:cnfStyle w:val="000000100000"/>
              <w:rPr>
                <w:rFonts w:cs="Arial"/>
                <w:szCs w:val="20"/>
              </w:rPr>
            </w:pPr>
            <w:r>
              <w:rPr>
                <w:rFonts w:cs="Arial"/>
                <w:szCs w:val="20"/>
              </w:rPr>
              <w:t>-</w:t>
            </w:r>
          </w:p>
        </w:tc>
      </w:tr>
      <w:tr w:rsidR="00B028F4" w:rsidRPr="00E15F73" w:rsidTr="00573265">
        <w:trPr>
          <w:cnfStyle w:val="000000010000"/>
        </w:trPr>
        <w:tc>
          <w:tcPr>
            <w:cnfStyle w:val="001000000000"/>
            <w:tcW w:w="8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1553DE" w:rsidRDefault="00412D78" w:rsidP="00930A5C">
            <w:pPr>
              <w:pStyle w:val="Tabletext"/>
              <w:jc w:val="center"/>
              <w:rPr>
                <w:rFonts w:ascii="Arial" w:hAnsi="Arial" w:cs="Arial"/>
                <w:szCs w:val="20"/>
              </w:rPr>
            </w:pPr>
            <w:r>
              <w:rPr>
                <w:rFonts w:ascii="Arial" w:hAnsi="Arial" w:cs="Arial"/>
                <w:szCs w:val="20"/>
              </w:rPr>
              <w:t>4</w:t>
            </w:r>
            <w:r w:rsidR="00930A5C">
              <w:rPr>
                <w:rFonts w:ascii="Arial" w:hAnsi="Arial" w:cs="Arial"/>
                <w:szCs w:val="20"/>
              </w:rPr>
              <w:t>g</w:t>
            </w:r>
          </w:p>
        </w:tc>
        <w:tc>
          <w:tcPr>
            <w:tcW w:w="1622"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1553DE" w:rsidRDefault="00B028F4" w:rsidP="003E2FEA">
            <w:pPr>
              <w:cnfStyle w:val="000000010000"/>
              <w:rPr>
                <w:rFonts w:cs="Arial"/>
                <w:szCs w:val="20"/>
              </w:rPr>
            </w:pPr>
            <w:r w:rsidRPr="001553DE">
              <w:rPr>
                <w:rFonts w:cs="Arial"/>
                <w:szCs w:val="20"/>
              </w:rPr>
              <w:t>Where necessary</w:t>
            </w:r>
            <w:r w:rsidR="00710A01" w:rsidRPr="001553DE">
              <w:rPr>
                <w:rFonts w:cs="Arial"/>
                <w:szCs w:val="20"/>
              </w:rPr>
              <w:t>, mitigate</w:t>
            </w:r>
            <w:r w:rsidRPr="001553DE">
              <w:rPr>
                <w:rFonts w:cs="Arial"/>
                <w:szCs w:val="20"/>
              </w:rPr>
              <w:t xml:space="preserve"> the impacts to plains-wanderers from the use of pesticides.</w:t>
            </w:r>
          </w:p>
        </w:tc>
        <w:tc>
          <w:tcPr>
            <w:tcW w:w="94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1553DE" w:rsidRDefault="00D341F1" w:rsidP="003E2FEA">
            <w:pPr>
              <w:pStyle w:val="Tabletext"/>
              <w:jc w:val="center"/>
              <w:cnfStyle w:val="000000010000"/>
              <w:rPr>
                <w:rFonts w:cs="Arial"/>
                <w:szCs w:val="20"/>
              </w:rPr>
            </w:pPr>
            <w:r w:rsidRPr="001553DE">
              <w:rPr>
                <w:rFonts w:cs="Arial"/>
                <w:szCs w:val="20"/>
              </w:rPr>
              <w:t>2</w:t>
            </w:r>
          </w:p>
        </w:tc>
        <w:tc>
          <w:tcPr>
            <w:tcW w:w="45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1553DE" w:rsidRDefault="00141511" w:rsidP="003E2FEA">
            <w:pPr>
              <w:pStyle w:val="ListBullet"/>
              <w:cnfStyle w:val="000000010000"/>
              <w:rPr>
                <w:rFonts w:cs="Arial"/>
                <w:szCs w:val="20"/>
                <w:lang w:eastAsia="en-AU"/>
              </w:rPr>
            </w:pPr>
            <w:r w:rsidRPr="001553DE">
              <w:rPr>
                <w:rFonts w:cs="Arial"/>
                <w:szCs w:val="20"/>
              </w:rPr>
              <w:t>P</w:t>
            </w:r>
            <w:r w:rsidR="00B028F4" w:rsidRPr="001553DE">
              <w:rPr>
                <w:rFonts w:cs="Arial"/>
                <w:szCs w:val="20"/>
              </w:rPr>
              <w:t xml:space="preserve">rotocols </w:t>
            </w:r>
            <w:r w:rsidRPr="001553DE">
              <w:rPr>
                <w:rFonts w:cs="Arial"/>
                <w:szCs w:val="20"/>
              </w:rPr>
              <w:t>for the use of spraying exclusion zones around plains-wanderers and their habitat</w:t>
            </w:r>
            <w:r w:rsidR="003F645D" w:rsidRPr="001553DE">
              <w:rPr>
                <w:rFonts w:cs="Arial"/>
                <w:szCs w:val="20"/>
              </w:rPr>
              <w:t xml:space="preserve"> </w:t>
            </w:r>
            <w:r w:rsidR="00B028F4" w:rsidRPr="001553DE">
              <w:rPr>
                <w:rFonts w:cs="Arial"/>
                <w:szCs w:val="20"/>
              </w:rPr>
              <w:t>are maintained</w:t>
            </w:r>
            <w:r w:rsidR="00C4319F" w:rsidRPr="001553DE">
              <w:rPr>
                <w:rFonts w:cs="Arial"/>
                <w:szCs w:val="20"/>
              </w:rPr>
              <w:t xml:space="preserve"> or</w:t>
            </w:r>
            <w:r w:rsidRPr="001553DE">
              <w:rPr>
                <w:rFonts w:cs="Arial"/>
                <w:szCs w:val="20"/>
              </w:rPr>
              <w:t xml:space="preserve"> enhanced</w:t>
            </w:r>
            <w:r w:rsidR="00281287" w:rsidRPr="001553DE">
              <w:rPr>
                <w:rFonts w:cs="Arial"/>
                <w:szCs w:val="20"/>
              </w:rPr>
              <w:t>, if found to be necessary based on the outcomes of action 3</w:t>
            </w:r>
            <w:r w:rsidR="00327CA4">
              <w:rPr>
                <w:rFonts w:cs="Arial"/>
                <w:szCs w:val="20"/>
              </w:rPr>
              <w:t>b</w:t>
            </w:r>
            <w:r w:rsidR="00B028F4" w:rsidRPr="001553DE">
              <w:rPr>
                <w:rFonts w:cs="Arial"/>
                <w:szCs w:val="20"/>
              </w:rPr>
              <w:t>.</w:t>
            </w:r>
          </w:p>
          <w:p w:rsidR="000353B9" w:rsidRDefault="000353B9" w:rsidP="003E2FEA">
            <w:pPr>
              <w:pStyle w:val="ListBullet"/>
              <w:cnfStyle w:val="000000010000"/>
              <w:rPr>
                <w:rFonts w:cs="Arial"/>
                <w:szCs w:val="20"/>
                <w:lang w:eastAsia="en-AU"/>
              </w:rPr>
            </w:pPr>
            <w:r>
              <w:rPr>
                <w:rFonts w:cs="Arial"/>
                <w:szCs w:val="20"/>
                <w:lang w:eastAsia="en-AU"/>
              </w:rPr>
              <w:t>Any recommended updates to protocols are clearly articulated to key state agencies.</w:t>
            </w:r>
          </w:p>
          <w:p w:rsidR="00281287" w:rsidRPr="001553DE" w:rsidRDefault="00281287" w:rsidP="003E2FEA">
            <w:pPr>
              <w:pStyle w:val="ListBullet"/>
              <w:cnfStyle w:val="000000010000"/>
              <w:rPr>
                <w:rFonts w:cs="Arial"/>
                <w:szCs w:val="20"/>
                <w:lang w:eastAsia="en-AU"/>
              </w:rPr>
            </w:pPr>
            <w:r w:rsidRPr="001553DE">
              <w:rPr>
                <w:rFonts w:cs="Arial"/>
                <w:szCs w:val="20"/>
                <w:lang w:eastAsia="en-AU"/>
              </w:rPr>
              <w:t>A</w:t>
            </w:r>
            <w:r w:rsidR="00B25668" w:rsidRPr="001553DE">
              <w:rPr>
                <w:rFonts w:cs="Arial"/>
                <w:szCs w:val="20"/>
                <w:lang w:eastAsia="en-AU"/>
              </w:rPr>
              <w:t xml:space="preserve"> </w:t>
            </w:r>
            <w:r w:rsidRPr="001553DE">
              <w:rPr>
                <w:rFonts w:cs="Arial"/>
                <w:szCs w:val="20"/>
                <w:lang w:eastAsia="en-AU"/>
              </w:rPr>
              <w:t>community outreach program is</w:t>
            </w:r>
            <w:r w:rsidR="00B25668" w:rsidRPr="001553DE">
              <w:rPr>
                <w:rFonts w:cs="Arial"/>
                <w:szCs w:val="20"/>
                <w:lang w:eastAsia="en-AU"/>
              </w:rPr>
              <w:t xml:space="preserve"> developed to inform relevant landholders about best-practice pest control protocols in the vicinity of plains-wanderer habitat. </w:t>
            </w:r>
            <w:r w:rsidRPr="001553DE">
              <w:rPr>
                <w:rFonts w:cs="Arial"/>
                <w:szCs w:val="20"/>
                <w:lang w:eastAsia="en-AU"/>
              </w:rPr>
              <w:t xml:space="preserve"> </w:t>
            </w:r>
          </w:p>
        </w:tc>
        <w:tc>
          <w:tcPr>
            <w:tcW w:w="141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5C2C69" w:rsidRDefault="00B028F4" w:rsidP="003E2FEA">
            <w:pPr>
              <w:pStyle w:val="Tabletext"/>
              <w:cnfStyle w:val="000000010000"/>
              <w:rPr>
                <w:rFonts w:cs="Arial"/>
                <w:b/>
                <w:szCs w:val="20"/>
              </w:rPr>
            </w:pPr>
            <w:r w:rsidRPr="005C2C69">
              <w:rPr>
                <w:rFonts w:cs="Arial"/>
                <w:b/>
                <w:szCs w:val="20"/>
              </w:rPr>
              <w:t>DELWP</w:t>
            </w:r>
          </w:p>
          <w:p w:rsidR="000353B9" w:rsidRDefault="000353B9" w:rsidP="003E2FEA">
            <w:pPr>
              <w:pStyle w:val="Tabletext"/>
              <w:cnfStyle w:val="000000010000"/>
              <w:rPr>
                <w:rFonts w:cs="Arial"/>
                <w:b/>
                <w:szCs w:val="20"/>
              </w:rPr>
            </w:pPr>
            <w:r>
              <w:rPr>
                <w:rFonts w:cs="Arial"/>
                <w:b/>
                <w:szCs w:val="20"/>
              </w:rPr>
              <w:t>PV</w:t>
            </w:r>
          </w:p>
          <w:p w:rsidR="00B028F4" w:rsidRPr="001553DE" w:rsidRDefault="00B028F4" w:rsidP="003E2FEA">
            <w:pPr>
              <w:pStyle w:val="Tabletext"/>
              <w:cnfStyle w:val="000000010000"/>
              <w:rPr>
                <w:rFonts w:cs="Arial"/>
                <w:szCs w:val="20"/>
              </w:rPr>
            </w:pPr>
            <w:r w:rsidRPr="005C2C69">
              <w:rPr>
                <w:rFonts w:cs="Arial"/>
                <w:b/>
                <w:szCs w:val="20"/>
              </w:rPr>
              <w:t>OEH</w:t>
            </w:r>
          </w:p>
          <w:p w:rsidR="00B028F4" w:rsidRDefault="00EC17DD" w:rsidP="003E2FEA">
            <w:pPr>
              <w:pStyle w:val="Tabletext"/>
              <w:cnfStyle w:val="000000010000"/>
              <w:rPr>
                <w:rFonts w:cs="Arial"/>
                <w:szCs w:val="20"/>
              </w:rPr>
            </w:pPr>
            <w:r>
              <w:rPr>
                <w:rFonts w:cs="Arial"/>
                <w:szCs w:val="20"/>
              </w:rPr>
              <w:t>MLLS</w:t>
            </w:r>
          </w:p>
          <w:p w:rsidR="00EC17DD" w:rsidRPr="001553DE" w:rsidRDefault="00EC17DD" w:rsidP="003E2FEA">
            <w:pPr>
              <w:pStyle w:val="Tabletext"/>
              <w:cnfStyle w:val="000000010000"/>
              <w:rPr>
                <w:rFonts w:cs="Arial"/>
                <w:szCs w:val="20"/>
              </w:rPr>
            </w:pPr>
            <w:r>
              <w:rPr>
                <w:rFonts w:cs="Arial"/>
                <w:szCs w:val="20"/>
              </w:rPr>
              <w:t>RLLS</w:t>
            </w:r>
          </w:p>
          <w:p w:rsidR="00B028F4" w:rsidRPr="001553DE" w:rsidRDefault="00B028F4" w:rsidP="003E2FEA">
            <w:pPr>
              <w:spacing w:after="0"/>
              <w:cnfStyle w:val="000000010000"/>
              <w:rPr>
                <w:rFonts w:cs="Arial"/>
                <w:szCs w:val="20"/>
              </w:rPr>
            </w:pPr>
            <w:r w:rsidRPr="001553DE">
              <w:rPr>
                <w:rFonts w:cs="Arial"/>
                <w:szCs w:val="20"/>
              </w:rPr>
              <w:t>TfN</w:t>
            </w:r>
          </w:p>
        </w:tc>
        <w:tc>
          <w:tcPr>
            <w:tcW w:w="135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1553DE" w:rsidRDefault="00B92C1F" w:rsidP="003E2FEA">
            <w:pPr>
              <w:pStyle w:val="Tabletext"/>
              <w:jc w:val="center"/>
              <w:cnfStyle w:val="000000010000"/>
              <w:rPr>
                <w:rFonts w:cs="Arial"/>
                <w:szCs w:val="20"/>
              </w:rPr>
            </w:pPr>
            <w:r>
              <w:rPr>
                <w:rFonts w:cs="Arial"/>
                <w:szCs w:val="20"/>
              </w:rPr>
              <w:t>-</w:t>
            </w:r>
          </w:p>
        </w:tc>
      </w:tr>
    </w:tbl>
    <w:p w:rsidR="00B028F4" w:rsidRPr="00BB6CB7" w:rsidRDefault="00B028F4" w:rsidP="003E2FEA">
      <w:pPr>
        <w:spacing w:after="0"/>
        <w:rPr>
          <w:rFonts w:cs="Arial"/>
          <w:b/>
          <w:i/>
          <w:szCs w:val="20"/>
        </w:rPr>
      </w:pPr>
    </w:p>
    <w:p w:rsidR="00B028F4" w:rsidRPr="005E2592" w:rsidRDefault="00B028F4" w:rsidP="003E2FEA">
      <w:pPr>
        <w:pStyle w:val="Heading3"/>
        <w:rPr>
          <w:b w:val="0"/>
          <w:i w:val="0"/>
          <w:color w:val="002060"/>
          <w:sz w:val="32"/>
          <w:szCs w:val="32"/>
        </w:rPr>
      </w:pPr>
      <w:bookmarkStart w:id="193" w:name="_Toc256000048"/>
      <w:bookmarkStart w:id="194" w:name="_Toc414615124"/>
      <w:bookmarkStart w:id="195" w:name="_Toc445297918"/>
      <w:bookmarkStart w:id="196" w:name="_Toc445307830"/>
      <w:r w:rsidRPr="005E2592">
        <w:rPr>
          <w:b w:val="0"/>
          <w:i w:val="0"/>
          <w:color w:val="002060"/>
          <w:sz w:val="32"/>
          <w:szCs w:val="32"/>
        </w:rPr>
        <w:t xml:space="preserve">Strategy 5: Improve understanding of the distribution and population trends of </w:t>
      </w:r>
      <w:r w:rsidR="00CB2F82" w:rsidRPr="005E2592">
        <w:rPr>
          <w:b w:val="0"/>
          <w:i w:val="0"/>
          <w:color w:val="002060"/>
          <w:sz w:val="32"/>
          <w:szCs w:val="32"/>
        </w:rPr>
        <w:t xml:space="preserve">the </w:t>
      </w:r>
      <w:r w:rsidRPr="005E2592">
        <w:rPr>
          <w:b w:val="0"/>
          <w:i w:val="0"/>
          <w:color w:val="002060"/>
          <w:sz w:val="32"/>
          <w:szCs w:val="32"/>
        </w:rPr>
        <w:t>plains-wanderer</w:t>
      </w:r>
      <w:r w:rsidR="00CB2F82" w:rsidRPr="005E2592">
        <w:rPr>
          <w:b w:val="0"/>
          <w:i w:val="0"/>
          <w:color w:val="002060"/>
          <w:sz w:val="32"/>
          <w:szCs w:val="32"/>
        </w:rPr>
        <w:t>.</w:t>
      </w:r>
      <w:bookmarkEnd w:id="193"/>
      <w:bookmarkEnd w:id="194"/>
      <w:bookmarkEnd w:id="195"/>
      <w:bookmarkEnd w:id="196"/>
    </w:p>
    <w:p w:rsidR="00B028F4" w:rsidRPr="009F5DDA" w:rsidRDefault="00B028F4" w:rsidP="003E2FEA">
      <w:pPr>
        <w:rPr>
          <w:color w:val="7F7F7F" w:themeColor="text1" w:themeTint="80"/>
          <w:sz w:val="24"/>
          <w:szCs w:val="24"/>
          <w:highlight w:val="yellow"/>
        </w:rPr>
      </w:pPr>
      <w:r w:rsidRPr="009F5DDA">
        <w:rPr>
          <w:color w:val="7F7F7F" w:themeColor="text1" w:themeTint="80"/>
          <w:sz w:val="24"/>
          <w:szCs w:val="24"/>
        </w:rPr>
        <w:t>Research Actions</w:t>
      </w:r>
    </w:p>
    <w:tbl>
      <w:tblPr>
        <w:tblStyle w:val="LightShading-Accent11"/>
        <w:tblW w:w="10774" w:type="dxa"/>
        <w:tblInd w:w="-34" w:type="dxa"/>
        <w:tblBorders>
          <w:top w:val="single" w:sz="8" w:space="0" w:color="17365D" w:themeColor="text2" w:themeShade="BF"/>
          <w:bottom w:val="single" w:sz="8" w:space="0" w:color="17365D" w:themeColor="text2" w:themeShade="BF"/>
          <w:insideH w:val="single" w:sz="8" w:space="0" w:color="17365D" w:themeColor="text2" w:themeShade="BF"/>
        </w:tblBorders>
        <w:shd w:val="clear" w:color="auto" w:fill="DBE5F1" w:themeFill="accent1" w:themeFillTint="33"/>
        <w:tblLayout w:type="fixed"/>
        <w:tblLook w:val="04A0"/>
      </w:tblPr>
      <w:tblGrid>
        <w:gridCol w:w="34"/>
        <w:gridCol w:w="817"/>
        <w:gridCol w:w="1701"/>
        <w:gridCol w:w="992"/>
        <w:gridCol w:w="4395"/>
        <w:gridCol w:w="1417"/>
        <w:gridCol w:w="1418"/>
      </w:tblGrid>
      <w:tr w:rsidR="004576BF" w:rsidRPr="00E15F73" w:rsidTr="005E2592">
        <w:trPr>
          <w:cnfStyle w:val="100000000000"/>
        </w:trPr>
        <w:tc>
          <w:tcPr>
            <w:cnfStyle w:val="001000000000"/>
            <w:tcW w:w="851" w:type="dxa"/>
            <w:gridSpan w:val="2"/>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jc w:val="center"/>
              <w:rPr>
                <w:color w:val="auto"/>
                <w:szCs w:val="20"/>
              </w:rPr>
            </w:pPr>
            <w:r w:rsidRPr="00E15F73">
              <w:rPr>
                <w:color w:val="auto"/>
                <w:szCs w:val="20"/>
              </w:rPr>
              <w:t>Action</w:t>
            </w:r>
          </w:p>
        </w:tc>
        <w:tc>
          <w:tcPr>
            <w:tcW w:w="170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cnfStyle w:val="100000000000"/>
              <w:rPr>
                <w:rFonts w:ascii="Times New Roman" w:hAnsi="Times New Roman" w:cs="Arial"/>
                <w:caps/>
                <w:color w:val="auto"/>
                <w:szCs w:val="20"/>
              </w:rPr>
            </w:pPr>
            <w:r w:rsidRPr="00E15F73">
              <w:rPr>
                <w:color w:val="auto"/>
                <w:szCs w:val="20"/>
              </w:rPr>
              <w:t>Description</w:t>
            </w:r>
          </w:p>
        </w:tc>
        <w:tc>
          <w:tcPr>
            <w:tcW w:w="992"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jc w:val="center"/>
              <w:cnfStyle w:val="100000000000"/>
              <w:rPr>
                <w:rFonts w:ascii="Times New Roman" w:hAnsi="Times New Roman" w:cs="Arial"/>
                <w:caps/>
                <w:color w:val="auto"/>
                <w:szCs w:val="20"/>
              </w:rPr>
            </w:pPr>
            <w:r w:rsidRPr="00E15F73">
              <w:rPr>
                <w:color w:val="auto"/>
                <w:szCs w:val="20"/>
              </w:rPr>
              <w:t>Priority</w:t>
            </w:r>
          </w:p>
        </w:tc>
        <w:tc>
          <w:tcPr>
            <w:tcW w:w="4395"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E15F73" w:rsidRDefault="004576BF" w:rsidP="003E2FEA">
            <w:pPr>
              <w:pStyle w:val="Tabletext"/>
              <w:cnfStyle w:val="100000000000"/>
              <w:rPr>
                <w:rFonts w:ascii="Times New Roman" w:hAnsi="Times New Roman" w:cs="Arial"/>
                <w:caps/>
                <w:color w:val="auto"/>
                <w:szCs w:val="20"/>
              </w:rPr>
            </w:pPr>
            <w:r w:rsidRPr="00E15F73">
              <w:rPr>
                <w:color w:val="auto"/>
                <w:szCs w:val="20"/>
              </w:rPr>
              <w:t>Performance Criteria</w:t>
            </w:r>
          </w:p>
        </w:tc>
        <w:tc>
          <w:tcPr>
            <w:tcW w:w="1417"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4576BF" w:rsidRDefault="004576BF" w:rsidP="004576BF">
            <w:pPr>
              <w:pStyle w:val="Tabletext"/>
              <w:cnfStyle w:val="100000000000"/>
              <w:rPr>
                <w:rFonts w:cs="Arial"/>
                <w:b w:val="0"/>
                <w:color w:val="auto"/>
                <w:szCs w:val="20"/>
              </w:rPr>
            </w:pPr>
            <w:r w:rsidRPr="004576BF">
              <w:rPr>
                <w:rFonts w:cs="Arial"/>
                <w:color w:val="auto"/>
                <w:szCs w:val="20"/>
              </w:rPr>
              <w:t xml:space="preserve">Responsible Agencies </w:t>
            </w:r>
            <w:r w:rsidRPr="004576BF">
              <w:rPr>
                <w:rFonts w:cs="Arial"/>
                <w:b w:val="0"/>
                <w:i/>
                <w:color w:val="auto"/>
                <w:szCs w:val="20"/>
              </w:rPr>
              <w:t>and potential partners</w:t>
            </w:r>
          </w:p>
        </w:tc>
        <w:tc>
          <w:tcPr>
            <w:tcW w:w="1418" w:type="dxa"/>
            <w:tcBorders>
              <w:top w:val="none" w:sz="0" w:space="0" w:color="auto"/>
              <w:left w:val="none" w:sz="0" w:space="0" w:color="auto"/>
              <w:bottom w:val="none" w:sz="0" w:space="0" w:color="auto"/>
              <w:right w:val="none" w:sz="0" w:space="0" w:color="auto"/>
            </w:tcBorders>
            <w:shd w:val="clear" w:color="auto" w:fill="17365D" w:themeFill="text2" w:themeFillShade="BF"/>
          </w:tcPr>
          <w:p w:rsidR="004576BF" w:rsidRPr="004576BF" w:rsidRDefault="004576BF" w:rsidP="004576BF">
            <w:pPr>
              <w:pStyle w:val="Tabletext"/>
              <w:jc w:val="center"/>
              <w:cnfStyle w:val="100000000000"/>
              <w:rPr>
                <w:rFonts w:cs="Arial"/>
                <w:color w:val="auto"/>
                <w:szCs w:val="20"/>
              </w:rPr>
            </w:pPr>
            <w:r w:rsidRPr="004576BF">
              <w:rPr>
                <w:rFonts w:cs="Arial"/>
                <w:color w:val="auto"/>
                <w:szCs w:val="20"/>
              </w:rPr>
              <w:t>Indicative Cost</w:t>
            </w:r>
          </w:p>
          <w:p w:rsidR="004576BF" w:rsidRPr="004576BF" w:rsidRDefault="004576BF" w:rsidP="004576BF">
            <w:pPr>
              <w:pStyle w:val="Tabletext"/>
              <w:jc w:val="center"/>
              <w:cnfStyle w:val="100000000000"/>
              <w:rPr>
                <w:rFonts w:cs="Arial"/>
                <w:b w:val="0"/>
                <w:i/>
                <w:color w:val="auto"/>
                <w:szCs w:val="20"/>
              </w:rPr>
            </w:pPr>
            <w:r w:rsidRPr="004576BF">
              <w:rPr>
                <w:rFonts w:cs="Arial"/>
                <w:b w:val="0"/>
                <w:i/>
                <w:color w:val="auto"/>
                <w:szCs w:val="20"/>
              </w:rPr>
              <w:t>*priority 1 only</w:t>
            </w:r>
          </w:p>
        </w:tc>
      </w:tr>
      <w:tr w:rsidR="00B028F4" w:rsidTr="005E2592">
        <w:trPr>
          <w:gridBefore w:val="1"/>
          <w:cnfStyle w:val="000000100000"/>
          <w:wBefore w:w="34" w:type="dxa"/>
        </w:trPr>
        <w:tc>
          <w:tcPr>
            <w:cnfStyle w:val="001000000000"/>
            <w:tcW w:w="817" w:type="dxa"/>
            <w:tcBorders>
              <w:left w:val="none" w:sz="0" w:space="0" w:color="auto"/>
              <w:right w:val="none" w:sz="0" w:space="0" w:color="auto"/>
            </w:tcBorders>
            <w:shd w:val="clear" w:color="auto" w:fill="DBE5F1" w:themeFill="accent1" w:themeFillTint="33"/>
          </w:tcPr>
          <w:p w:rsidR="00B028F4" w:rsidRPr="003A08E4" w:rsidRDefault="00B028F4" w:rsidP="003E2FEA">
            <w:pPr>
              <w:pStyle w:val="Tabletext"/>
              <w:jc w:val="center"/>
              <w:rPr>
                <w:color w:val="auto"/>
                <w:szCs w:val="20"/>
              </w:rPr>
            </w:pPr>
            <w:r w:rsidRPr="003A08E4">
              <w:rPr>
                <w:color w:val="auto"/>
                <w:szCs w:val="20"/>
              </w:rPr>
              <w:t>5</w:t>
            </w:r>
            <w:r>
              <w:rPr>
                <w:color w:val="auto"/>
                <w:szCs w:val="20"/>
              </w:rPr>
              <w:t>a</w:t>
            </w:r>
          </w:p>
        </w:tc>
        <w:tc>
          <w:tcPr>
            <w:tcW w:w="1701" w:type="dxa"/>
            <w:tcBorders>
              <w:left w:val="none" w:sz="0" w:space="0" w:color="auto"/>
              <w:right w:val="none" w:sz="0" w:space="0" w:color="auto"/>
            </w:tcBorders>
            <w:shd w:val="clear" w:color="auto" w:fill="DBE5F1" w:themeFill="accent1" w:themeFillTint="33"/>
          </w:tcPr>
          <w:p w:rsidR="00B028F4" w:rsidRPr="003A08E4" w:rsidRDefault="00B028F4" w:rsidP="00CB2F82">
            <w:pPr>
              <w:pStyle w:val="Tabletext"/>
              <w:cnfStyle w:val="000000100000"/>
              <w:rPr>
                <w:color w:val="auto"/>
                <w:szCs w:val="20"/>
              </w:rPr>
            </w:pPr>
            <w:r w:rsidRPr="003A08E4">
              <w:rPr>
                <w:color w:val="auto"/>
                <w:szCs w:val="20"/>
              </w:rPr>
              <w:t xml:space="preserve">Increase understanding of population dynamics and ecology of </w:t>
            </w:r>
            <w:r w:rsidR="00CB2F82">
              <w:rPr>
                <w:color w:val="auto"/>
                <w:szCs w:val="20"/>
              </w:rPr>
              <w:t xml:space="preserve">the </w:t>
            </w:r>
            <w:r w:rsidRPr="003A08E4">
              <w:rPr>
                <w:color w:val="auto"/>
                <w:szCs w:val="20"/>
              </w:rPr>
              <w:t>plains-wanderer (e.g. population size, age/size class structure, dispersal rates, distribution).</w:t>
            </w:r>
          </w:p>
        </w:tc>
        <w:tc>
          <w:tcPr>
            <w:tcW w:w="992" w:type="dxa"/>
            <w:tcBorders>
              <w:left w:val="none" w:sz="0" w:space="0" w:color="auto"/>
              <w:right w:val="none" w:sz="0" w:space="0" w:color="auto"/>
            </w:tcBorders>
            <w:shd w:val="clear" w:color="auto" w:fill="DBE5F1" w:themeFill="accent1" w:themeFillTint="33"/>
          </w:tcPr>
          <w:p w:rsidR="00B028F4" w:rsidRPr="003A08E4" w:rsidRDefault="00B028F4" w:rsidP="003E2FEA">
            <w:pPr>
              <w:pStyle w:val="Tabletext"/>
              <w:jc w:val="center"/>
              <w:cnfStyle w:val="000000100000"/>
              <w:rPr>
                <w:color w:val="auto"/>
                <w:szCs w:val="20"/>
              </w:rPr>
            </w:pPr>
            <w:r w:rsidRPr="003A08E4">
              <w:rPr>
                <w:color w:val="auto"/>
                <w:szCs w:val="20"/>
              </w:rPr>
              <w:t>2</w:t>
            </w:r>
          </w:p>
        </w:tc>
        <w:tc>
          <w:tcPr>
            <w:tcW w:w="4395" w:type="dxa"/>
            <w:tcBorders>
              <w:left w:val="none" w:sz="0" w:space="0" w:color="auto"/>
              <w:right w:val="none" w:sz="0" w:space="0" w:color="auto"/>
            </w:tcBorders>
            <w:shd w:val="clear" w:color="auto" w:fill="DBE5F1" w:themeFill="accent1" w:themeFillTint="33"/>
          </w:tcPr>
          <w:p w:rsidR="00B028F4" w:rsidRPr="003A08E4" w:rsidRDefault="00B028F4" w:rsidP="003E2FEA">
            <w:pPr>
              <w:pStyle w:val="ListBullet"/>
              <w:cnfStyle w:val="000000100000"/>
              <w:rPr>
                <w:color w:val="auto"/>
                <w:szCs w:val="20"/>
              </w:rPr>
            </w:pPr>
            <w:r w:rsidRPr="003A08E4">
              <w:rPr>
                <w:color w:val="auto"/>
                <w:szCs w:val="20"/>
              </w:rPr>
              <w:t xml:space="preserve">Knowledge on the population dynamics (including recruitment and survivorship in populations) of </w:t>
            </w:r>
            <w:r w:rsidR="00CB2F82">
              <w:rPr>
                <w:color w:val="auto"/>
                <w:szCs w:val="20"/>
              </w:rPr>
              <w:t xml:space="preserve">the </w:t>
            </w:r>
            <w:r w:rsidRPr="003A08E4">
              <w:rPr>
                <w:color w:val="auto"/>
                <w:szCs w:val="20"/>
              </w:rPr>
              <w:t>plains-wanderer is significantly increased.</w:t>
            </w:r>
          </w:p>
          <w:p w:rsidR="00B028F4" w:rsidRPr="003A08E4" w:rsidRDefault="00B028F4" w:rsidP="003E2FEA">
            <w:pPr>
              <w:pStyle w:val="ListBullet"/>
              <w:cnfStyle w:val="000000100000"/>
              <w:rPr>
                <w:color w:val="auto"/>
                <w:szCs w:val="20"/>
              </w:rPr>
            </w:pPr>
            <w:r w:rsidRPr="003A08E4">
              <w:rPr>
                <w:color w:val="auto"/>
                <w:szCs w:val="20"/>
              </w:rPr>
              <w:t>Measures of current population size and age/class structure are identified and dispersal rates are assessed.</w:t>
            </w:r>
          </w:p>
          <w:p w:rsidR="00B028F4" w:rsidRPr="003A08E4" w:rsidRDefault="00B028F4" w:rsidP="003E2FEA">
            <w:pPr>
              <w:pStyle w:val="ListBullet"/>
              <w:cnfStyle w:val="000000100000"/>
              <w:rPr>
                <w:color w:val="auto"/>
                <w:szCs w:val="20"/>
              </w:rPr>
            </w:pPr>
            <w:r w:rsidRPr="003A08E4">
              <w:rPr>
                <w:color w:val="auto"/>
                <w:szCs w:val="20"/>
              </w:rPr>
              <w:t xml:space="preserve">Understanding of the plains-wanderers spatial ecology, and preferred </w:t>
            </w:r>
            <w:r w:rsidR="00CA455B" w:rsidRPr="003A08E4">
              <w:rPr>
                <w:color w:val="auto"/>
                <w:szCs w:val="20"/>
              </w:rPr>
              <w:t>floristic</w:t>
            </w:r>
            <w:r w:rsidRPr="003A08E4">
              <w:rPr>
                <w:color w:val="auto"/>
                <w:szCs w:val="20"/>
              </w:rPr>
              <w:t xml:space="preserve"> habitat attributes, is increased.</w:t>
            </w:r>
          </w:p>
          <w:p w:rsidR="00B028F4" w:rsidRPr="003A08E4" w:rsidRDefault="00B028F4" w:rsidP="003E2FEA">
            <w:pPr>
              <w:pStyle w:val="ListBullet"/>
              <w:cnfStyle w:val="000000100000"/>
              <w:rPr>
                <w:color w:val="auto"/>
                <w:szCs w:val="20"/>
              </w:rPr>
            </w:pPr>
            <w:r w:rsidRPr="003A08E4">
              <w:rPr>
                <w:color w:val="auto"/>
                <w:szCs w:val="20"/>
              </w:rPr>
              <w:t>Genetic material is collected, stored and recorded from plains-wanderers, whenever the opportunity arises.</w:t>
            </w:r>
          </w:p>
          <w:p w:rsidR="00B028F4" w:rsidRPr="003A08E4" w:rsidRDefault="00B028F4" w:rsidP="003E2FEA">
            <w:pPr>
              <w:pStyle w:val="ListBullet"/>
              <w:cnfStyle w:val="000000100000"/>
              <w:rPr>
                <w:color w:val="auto"/>
                <w:szCs w:val="20"/>
              </w:rPr>
            </w:pPr>
            <w:r w:rsidRPr="003A08E4">
              <w:rPr>
                <w:color w:val="auto"/>
                <w:szCs w:val="20"/>
              </w:rPr>
              <w:t>Opportunities to use genetic techniques to analyse plains-wanderer population size and trends have been investigated.</w:t>
            </w:r>
          </w:p>
          <w:p w:rsidR="00142921" w:rsidRDefault="00E25553" w:rsidP="00142921">
            <w:pPr>
              <w:pStyle w:val="ListBullet"/>
              <w:spacing w:before="240" w:after="0"/>
              <w:cnfStyle w:val="000000100000"/>
              <w:rPr>
                <w:color w:val="auto"/>
                <w:szCs w:val="20"/>
              </w:rPr>
            </w:pPr>
            <w:r>
              <w:rPr>
                <w:color w:val="auto"/>
                <w:szCs w:val="20"/>
              </w:rPr>
              <w:t>L</w:t>
            </w:r>
            <w:r w:rsidR="00B028F4" w:rsidRPr="003A08E4">
              <w:rPr>
                <w:color w:val="auto"/>
                <w:szCs w:val="20"/>
              </w:rPr>
              <w:t>ong-term population monitoring results</w:t>
            </w:r>
            <w:r>
              <w:rPr>
                <w:color w:val="auto"/>
                <w:szCs w:val="20"/>
              </w:rPr>
              <w:t xml:space="preserve"> are analysed to</w:t>
            </w:r>
            <w:r w:rsidR="00B028F4" w:rsidRPr="003A08E4">
              <w:rPr>
                <w:color w:val="auto"/>
                <w:szCs w:val="20"/>
              </w:rPr>
              <w:t xml:space="preserve"> determine availability of birds for any captive breeding program, and allow for investigation of causes of decline.</w:t>
            </w:r>
          </w:p>
        </w:tc>
        <w:tc>
          <w:tcPr>
            <w:tcW w:w="1417" w:type="dxa"/>
            <w:tcBorders>
              <w:left w:val="none" w:sz="0" w:space="0" w:color="auto"/>
              <w:right w:val="none" w:sz="0" w:space="0" w:color="auto"/>
            </w:tcBorders>
            <w:shd w:val="clear" w:color="auto" w:fill="DBE5F1" w:themeFill="accent1" w:themeFillTint="33"/>
          </w:tcPr>
          <w:p w:rsidR="00B028F4" w:rsidRPr="005C2C69" w:rsidRDefault="00B028F4" w:rsidP="003E2FEA">
            <w:pPr>
              <w:pStyle w:val="Tabletext"/>
              <w:cnfStyle w:val="000000100000"/>
              <w:rPr>
                <w:b/>
                <w:color w:val="auto"/>
                <w:szCs w:val="20"/>
              </w:rPr>
            </w:pPr>
            <w:r w:rsidRPr="005C2C69">
              <w:rPr>
                <w:b/>
                <w:color w:val="auto"/>
                <w:szCs w:val="20"/>
              </w:rPr>
              <w:t>OEH</w:t>
            </w:r>
          </w:p>
          <w:p w:rsidR="005C2C69" w:rsidRPr="003A08E4" w:rsidRDefault="005C2C69" w:rsidP="005C2C69">
            <w:pPr>
              <w:pStyle w:val="Tabletext"/>
              <w:cnfStyle w:val="000000100000"/>
              <w:rPr>
                <w:color w:val="auto"/>
                <w:szCs w:val="20"/>
              </w:rPr>
            </w:pPr>
            <w:r w:rsidRPr="005C2C69">
              <w:rPr>
                <w:b/>
                <w:color w:val="auto"/>
                <w:szCs w:val="20"/>
              </w:rPr>
              <w:t>DELWP</w:t>
            </w:r>
          </w:p>
          <w:p w:rsidR="005C2C69" w:rsidRDefault="005C2C69" w:rsidP="005C2C69">
            <w:pPr>
              <w:pStyle w:val="Tabletext"/>
              <w:cnfStyle w:val="000000100000"/>
              <w:rPr>
                <w:color w:val="auto"/>
                <w:szCs w:val="20"/>
              </w:rPr>
            </w:pPr>
            <w:r w:rsidRPr="003A08E4">
              <w:rPr>
                <w:color w:val="auto"/>
                <w:szCs w:val="20"/>
              </w:rPr>
              <w:t xml:space="preserve">PV </w:t>
            </w:r>
          </w:p>
          <w:p w:rsidR="00B028F4" w:rsidRPr="003A08E4" w:rsidRDefault="00B028F4" w:rsidP="005C2C69">
            <w:pPr>
              <w:pStyle w:val="Tabletext"/>
              <w:cnfStyle w:val="000000100000"/>
              <w:rPr>
                <w:color w:val="auto"/>
                <w:szCs w:val="20"/>
              </w:rPr>
            </w:pPr>
            <w:r w:rsidRPr="003A08E4">
              <w:rPr>
                <w:color w:val="auto"/>
                <w:szCs w:val="20"/>
              </w:rPr>
              <w:t>Research community</w:t>
            </w:r>
          </w:p>
        </w:tc>
        <w:tc>
          <w:tcPr>
            <w:tcW w:w="1418" w:type="dxa"/>
            <w:tcBorders>
              <w:left w:val="none" w:sz="0" w:space="0" w:color="auto"/>
              <w:right w:val="none" w:sz="0" w:space="0" w:color="auto"/>
            </w:tcBorders>
            <w:shd w:val="clear" w:color="auto" w:fill="DBE5F1" w:themeFill="accent1" w:themeFillTint="33"/>
          </w:tcPr>
          <w:p w:rsidR="00B028F4" w:rsidRPr="003A08E4" w:rsidRDefault="001332DF" w:rsidP="003E2FEA">
            <w:pPr>
              <w:pStyle w:val="Tabletext"/>
              <w:jc w:val="center"/>
              <w:cnfStyle w:val="000000100000"/>
              <w:rPr>
                <w:color w:val="auto"/>
                <w:szCs w:val="20"/>
              </w:rPr>
            </w:pPr>
            <w:r>
              <w:rPr>
                <w:color w:val="auto"/>
                <w:szCs w:val="20"/>
              </w:rPr>
              <w:t>-</w:t>
            </w:r>
          </w:p>
        </w:tc>
      </w:tr>
    </w:tbl>
    <w:p w:rsidR="00B028F4" w:rsidRPr="009F5DDA" w:rsidRDefault="00B028F4" w:rsidP="005C14BF">
      <w:pPr>
        <w:spacing w:before="240"/>
        <w:rPr>
          <w:color w:val="7F7F7F" w:themeColor="text1" w:themeTint="80"/>
          <w:sz w:val="24"/>
          <w:szCs w:val="24"/>
        </w:rPr>
      </w:pPr>
      <w:r w:rsidRPr="009F5DDA">
        <w:rPr>
          <w:color w:val="7F7F7F" w:themeColor="text1" w:themeTint="80"/>
          <w:sz w:val="24"/>
          <w:szCs w:val="24"/>
        </w:rPr>
        <w:t>On-ground actions</w:t>
      </w:r>
    </w:p>
    <w:tbl>
      <w:tblPr>
        <w:tblStyle w:val="LightGrid-Accent3"/>
        <w:tblW w:w="0" w:type="auto"/>
        <w:tblBorders>
          <w:top w:val="single" w:sz="8" w:space="0" w:color="7F7F7F" w:themeColor="text1" w:themeTint="80"/>
          <w:left w:val="none" w:sz="0" w:space="0" w:color="auto"/>
          <w:bottom w:val="single" w:sz="8" w:space="0" w:color="7F7F7F" w:themeColor="text1" w:themeTint="80"/>
          <w:right w:val="none" w:sz="0" w:space="0" w:color="auto"/>
          <w:insideH w:val="single" w:sz="8" w:space="0" w:color="7F7F7F" w:themeColor="text1" w:themeTint="80"/>
          <w:insideV w:val="none" w:sz="0" w:space="0" w:color="auto"/>
        </w:tblBorders>
        <w:shd w:val="clear" w:color="auto" w:fill="D9D9D9" w:themeFill="background1" w:themeFillShade="D9"/>
        <w:tblLayout w:type="fixed"/>
        <w:tblLook w:val="04A0"/>
      </w:tblPr>
      <w:tblGrid>
        <w:gridCol w:w="839"/>
        <w:gridCol w:w="2104"/>
        <w:gridCol w:w="993"/>
        <w:gridCol w:w="3685"/>
        <w:gridCol w:w="1418"/>
        <w:gridCol w:w="1275"/>
      </w:tblGrid>
      <w:tr w:rsidR="004576BF" w:rsidRPr="004E568C" w:rsidTr="00573265">
        <w:trPr>
          <w:cnfStyle w:val="1000000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E568C" w:rsidRDefault="004576BF" w:rsidP="003E2FEA">
            <w:pPr>
              <w:pStyle w:val="Tabletext"/>
              <w:jc w:val="center"/>
              <w:rPr>
                <w:rFonts w:ascii="Arial" w:hAnsi="Arial" w:cs="Arial"/>
                <w:szCs w:val="20"/>
              </w:rPr>
            </w:pPr>
            <w:r w:rsidRPr="004E568C">
              <w:rPr>
                <w:rFonts w:ascii="Arial" w:hAnsi="Arial" w:cs="Arial"/>
                <w:szCs w:val="20"/>
              </w:rPr>
              <w:t>Action</w:t>
            </w:r>
          </w:p>
        </w:tc>
        <w:tc>
          <w:tcPr>
            <w:tcW w:w="2104"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E568C" w:rsidRDefault="004576BF" w:rsidP="003E2FEA">
            <w:pPr>
              <w:pStyle w:val="Tabletext"/>
              <w:cnfStyle w:val="100000000000"/>
              <w:rPr>
                <w:rFonts w:ascii="Arial" w:hAnsi="Arial" w:cs="Arial"/>
                <w:caps/>
                <w:szCs w:val="20"/>
              </w:rPr>
            </w:pPr>
            <w:r w:rsidRPr="004E568C">
              <w:rPr>
                <w:rFonts w:ascii="Arial" w:hAnsi="Arial" w:cs="Arial"/>
                <w:szCs w:val="20"/>
              </w:rPr>
              <w:t>Description</w:t>
            </w:r>
          </w:p>
        </w:tc>
        <w:tc>
          <w:tcPr>
            <w:tcW w:w="993"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E568C" w:rsidRDefault="004576BF" w:rsidP="003E2FEA">
            <w:pPr>
              <w:pStyle w:val="Tabletext"/>
              <w:jc w:val="center"/>
              <w:cnfStyle w:val="100000000000"/>
              <w:rPr>
                <w:rFonts w:ascii="Arial" w:hAnsi="Arial" w:cs="Arial"/>
                <w:caps/>
                <w:szCs w:val="20"/>
              </w:rPr>
            </w:pPr>
            <w:r w:rsidRPr="004E568C">
              <w:rPr>
                <w:rFonts w:ascii="Arial" w:hAnsi="Arial" w:cs="Arial"/>
                <w:szCs w:val="20"/>
              </w:rPr>
              <w:t>Priority</w:t>
            </w:r>
          </w:p>
        </w:tc>
        <w:tc>
          <w:tcPr>
            <w:tcW w:w="3685"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E568C" w:rsidRDefault="004576BF" w:rsidP="003E2FEA">
            <w:pPr>
              <w:pStyle w:val="Tabletext"/>
              <w:cnfStyle w:val="100000000000"/>
              <w:rPr>
                <w:rFonts w:ascii="Arial" w:hAnsi="Arial" w:cs="Arial"/>
                <w:caps/>
                <w:szCs w:val="20"/>
              </w:rPr>
            </w:pPr>
            <w:r w:rsidRPr="004E568C">
              <w:rPr>
                <w:rFonts w:ascii="Arial" w:hAnsi="Arial" w:cs="Arial"/>
                <w:szCs w:val="20"/>
              </w:rPr>
              <w:t>Performance Criteria</w:t>
            </w:r>
          </w:p>
        </w:tc>
        <w:tc>
          <w:tcPr>
            <w:tcW w:w="1418"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576BF" w:rsidRDefault="004576BF" w:rsidP="004576BF">
            <w:pPr>
              <w:pStyle w:val="Tabletext"/>
              <w:cnfStyle w:val="100000000000"/>
              <w:rPr>
                <w:rFonts w:ascii="Arial" w:hAnsi="Arial" w:cs="Arial"/>
                <w:b w:val="0"/>
                <w:szCs w:val="20"/>
              </w:rPr>
            </w:pPr>
            <w:r w:rsidRPr="004576BF">
              <w:rPr>
                <w:rFonts w:ascii="Arial" w:hAnsi="Arial" w:cs="Arial"/>
                <w:szCs w:val="20"/>
              </w:rPr>
              <w:t xml:space="preserve">Responsible Agencies </w:t>
            </w:r>
            <w:r>
              <w:rPr>
                <w:rFonts w:ascii="Arial" w:hAnsi="Arial" w:cs="Arial"/>
                <w:b w:val="0"/>
                <w:i/>
                <w:szCs w:val="20"/>
              </w:rPr>
              <w:t>and potential p</w:t>
            </w:r>
            <w:r w:rsidRPr="004576BF">
              <w:rPr>
                <w:rFonts w:ascii="Arial" w:hAnsi="Arial" w:cs="Arial"/>
                <w:b w:val="0"/>
                <w:i/>
                <w:szCs w:val="20"/>
              </w:rPr>
              <w:t>artners</w:t>
            </w:r>
          </w:p>
        </w:tc>
        <w:tc>
          <w:tcPr>
            <w:tcW w:w="1275"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576BF" w:rsidRDefault="004576BF" w:rsidP="004576BF">
            <w:pPr>
              <w:pStyle w:val="Tabletext"/>
              <w:jc w:val="center"/>
              <w:cnfStyle w:val="100000000000"/>
              <w:rPr>
                <w:rFonts w:ascii="Arial" w:hAnsi="Arial" w:cs="Arial"/>
                <w:szCs w:val="20"/>
              </w:rPr>
            </w:pPr>
            <w:r w:rsidRPr="004576BF">
              <w:rPr>
                <w:rFonts w:ascii="Arial" w:hAnsi="Arial" w:cs="Arial"/>
                <w:szCs w:val="20"/>
              </w:rPr>
              <w:t>Indicative Cost</w:t>
            </w:r>
          </w:p>
          <w:p w:rsidR="004576BF" w:rsidRPr="004576BF" w:rsidRDefault="004576BF" w:rsidP="004576BF">
            <w:pPr>
              <w:pStyle w:val="Tabletext"/>
              <w:jc w:val="center"/>
              <w:cnfStyle w:val="100000000000"/>
              <w:rPr>
                <w:rFonts w:ascii="Arial" w:hAnsi="Arial" w:cs="Arial"/>
                <w:b w:val="0"/>
                <w:i/>
                <w:szCs w:val="20"/>
              </w:rPr>
            </w:pPr>
            <w:r w:rsidRPr="004576BF">
              <w:rPr>
                <w:rFonts w:ascii="Arial" w:hAnsi="Arial" w:cs="Arial"/>
                <w:b w:val="0"/>
                <w:i/>
                <w:szCs w:val="20"/>
              </w:rPr>
              <w:t>*priority 1 only</w:t>
            </w:r>
          </w:p>
        </w:tc>
      </w:tr>
      <w:tr w:rsidR="00B028F4" w:rsidRPr="004E568C" w:rsidTr="00573265">
        <w:trPr>
          <w:cnfStyle w:val="000000100000"/>
          <w:trHeight w:val="3122"/>
        </w:trPr>
        <w:tc>
          <w:tcPr>
            <w:cnfStyle w:val="001000000000"/>
            <w:tcW w:w="8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pStyle w:val="Tabletext"/>
              <w:jc w:val="center"/>
              <w:rPr>
                <w:rFonts w:ascii="Arial" w:hAnsi="Arial" w:cs="Arial"/>
                <w:szCs w:val="20"/>
              </w:rPr>
            </w:pPr>
            <w:r w:rsidRPr="004E568C">
              <w:rPr>
                <w:rFonts w:ascii="Arial" w:hAnsi="Arial" w:cs="Arial"/>
                <w:szCs w:val="20"/>
              </w:rPr>
              <w:t xml:space="preserve">5b </w:t>
            </w:r>
          </w:p>
        </w:tc>
        <w:tc>
          <w:tcPr>
            <w:tcW w:w="210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cnfStyle w:val="000000100000"/>
              <w:rPr>
                <w:rFonts w:cs="Arial"/>
                <w:szCs w:val="20"/>
                <w:lang w:eastAsia="en-AU"/>
              </w:rPr>
            </w:pPr>
            <w:r w:rsidRPr="004E568C">
              <w:rPr>
                <w:rFonts w:cs="Arial"/>
                <w:szCs w:val="20"/>
              </w:rPr>
              <w:t>Implement a long term plains-wanderer monitoring program</w:t>
            </w:r>
            <w:r w:rsidRPr="004E568C">
              <w:rPr>
                <w:rFonts w:cs="Arial"/>
                <w:szCs w:val="20"/>
                <w:lang w:eastAsia="en-AU"/>
              </w:rPr>
              <w:t xml:space="preserve"> in the species’ strongholds in the Riverina region of NSW and the Northern Plains of Victoria.</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pStyle w:val="Tabletext"/>
              <w:jc w:val="center"/>
              <w:cnfStyle w:val="000000100000"/>
              <w:rPr>
                <w:rFonts w:cs="Arial"/>
                <w:szCs w:val="20"/>
              </w:rPr>
            </w:pPr>
            <w:r w:rsidRPr="004E568C">
              <w:rPr>
                <w:rFonts w:cs="Arial"/>
                <w:szCs w:val="20"/>
              </w:rPr>
              <w:t>1</w:t>
            </w:r>
          </w:p>
        </w:tc>
        <w:tc>
          <w:tcPr>
            <w:tcW w:w="36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815A85" w:rsidP="003E2FEA">
            <w:pPr>
              <w:pStyle w:val="ListBullet"/>
              <w:cnfStyle w:val="000000100000"/>
              <w:rPr>
                <w:rFonts w:cs="Arial"/>
                <w:szCs w:val="20"/>
              </w:rPr>
            </w:pPr>
            <w:r>
              <w:rPr>
                <w:rFonts w:cs="Arial"/>
                <w:szCs w:val="20"/>
              </w:rPr>
              <w:t>Long-term</w:t>
            </w:r>
            <w:r w:rsidR="00B028F4" w:rsidRPr="004E568C">
              <w:rPr>
                <w:rFonts w:cs="Arial"/>
                <w:szCs w:val="20"/>
              </w:rPr>
              <w:t xml:space="preserve"> monitoring grids are established at key sites across the Riverina region in NSW and the Northern Plains region in Victoria.</w:t>
            </w:r>
          </w:p>
          <w:p w:rsidR="00B028F4" w:rsidRPr="004E568C" w:rsidRDefault="00B028F4" w:rsidP="003E2FEA">
            <w:pPr>
              <w:pStyle w:val="ListBullet"/>
              <w:cnfStyle w:val="000000100000"/>
              <w:rPr>
                <w:rFonts w:cs="Arial"/>
                <w:szCs w:val="20"/>
              </w:rPr>
            </w:pPr>
            <w:r w:rsidRPr="004E568C">
              <w:rPr>
                <w:rFonts w:cs="Arial"/>
                <w:szCs w:val="20"/>
              </w:rPr>
              <w:t>Regular effective monitoring of plains-wanderer populations is conducted at permanent sites, and incorporates measurements of habitat structure, native grass and herb cover.</w:t>
            </w:r>
          </w:p>
          <w:p w:rsidR="00B028F4" w:rsidRPr="004E568C" w:rsidRDefault="00B028F4" w:rsidP="003E2FEA">
            <w:pPr>
              <w:pStyle w:val="ListBullet"/>
              <w:cnfStyle w:val="000000100000"/>
              <w:rPr>
                <w:rFonts w:cs="Arial"/>
                <w:szCs w:val="20"/>
              </w:rPr>
            </w:pPr>
            <w:r w:rsidRPr="004E568C">
              <w:rPr>
                <w:rFonts w:cs="Arial"/>
                <w:szCs w:val="20"/>
              </w:rPr>
              <w:t xml:space="preserve">Population trends and habitat suitability are assessed for each site and reported annually to DotE and PwRT. </w:t>
            </w:r>
          </w:p>
          <w:p w:rsidR="00B028F4" w:rsidRPr="004E568C" w:rsidRDefault="00B028F4" w:rsidP="003E2FEA">
            <w:pPr>
              <w:pStyle w:val="ListBullet"/>
              <w:cnfStyle w:val="000000100000"/>
              <w:rPr>
                <w:rFonts w:cs="Arial"/>
                <w:szCs w:val="20"/>
              </w:rPr>
            </w:pPr>
            <w:r w:rsidRPr="004E568C">
              <w:rPr>
                <w:rFonts w:cs="Arial"/>
                <w:szCs w:val="20"/>
              </w:rPr>
              <w:t>Alternative survey and monitoring techniques are trialled to inform monitoring in other plains-wanderer locations, including assessment of the detectability success of each method.</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C2C69" w:rsidRPr="005C2C69" w:rsidRDefault="005C2C69" w:rsidP="003E2FEA">
            <w:pPr>
              <w:pStyle w:val="Tabletext"/>
              <w:cnfStyle w:val="000000100000"/>
              <w:rPr>
                <w:rFonts w:cs="Arial"/>
                <w:b/>
                <w:szCs w:val="20"/>
              </w:rPr>
            </w:pPr>
            <w:r w:rsidRPr="005C2C69">
              <w:rPr>
                <w:rFonts w:cs="Arial"/>
                <w:b/>
                <w:szCs w:val="20"/>
              </w:rPr>
              <w:t xml:space="preserve">OEH </w:t>
            </w:r>
          </w:p>
          <w:p w:rsidR="00B028F4" w:rsidRPr="005C2C69" w:rsidRDefault="00B028F4" w:rsidP="003E2FEA">
            <w:pPr>
              <w:pStyle w:val="Tabletext"/>
              <w:cnfStyle w:val="000000100000"/>
              <w:rPr>
                <w:rFonts w:cs="Arial"/>
                <w:b/>
                <w:caps/>
                <w:szCs w:val="20"/>
              </w:rPr>
            </w:pPr>
            <w:r w:rsidRPr="005C2C69">
              <w:rPr>
                <w:rFonts w:cs="Arial"/>
                <w:b/>
                <w:szCs w:val="20"/>
              </w:rPr>
              <w:t xml:space="preserve">DELWP </w:t>
            </w:r>
          </w:p>
          <w:p w:rsidR="00B028F4" w:rsidRPr="005C2C69" w:rsidRDefault="00B028F4" w:rsidP="003E2FEA">
            <w:pPr>
              <w:pStyle w:val="Tabletext"/>
              <w:cnfStyle w:val="000000100000"/>
              <w:rPr>
                <w:rFonts w:cs="Arial"/>
                <w:b/>
                <w:caps/>
                <w:szCs w:val="20"/>
              </w:rPr>
            </w:pPr>
            <w:r w:rsidRPr="005C2C69">
              <w:rPr>
                <w:rFonts w:cs="Arial"/>
                <w:b/>
                <w:szCs w:val="20"/>
              </w:rPr>
              <w:t>PV</w:t>
            </w:r>
          </w:p>
          <w:p w:rsidR="00B028F4" w:rsidRPr="004E568C" w:rsidRDefault="00B028F4" w:rsidP="003E2FEA">
            <w:pPr>
              <w:pStyle w:val="Tabletext"/>
              <w:cnfStyle w:val="000000100000"/>
              <w:rPr>
                <w:rFonts w:cs="Arial"/>
                <w:szCs w:val="20"/>
              </w:rPr>
            </w:pPr>
            <w:r w:rsidRPr="004E568C">
              <w:rPr>
                <w:rFonts w:cs="Arial"/>
                <w:szCs w:val="20"/>
              </w:rPr>
              <w:t>NCCMA</w:t>
            </w:r>
          </w:p>
          <w:p w:rsidR="00B028F4" w:rsidRPr="004E568C" w:rsidRDefault="00B028F4" w:rsidP="003E2FEA">
            <w:pPr>
              <w:pStyle w:val="Tabletext"/>
              <w:cnfStyle w:val="000000100000"/>
              <w:rPr>
                <w:rFonts w:cs="Arial"/>
                <w:szCs w:val="20"/>
              </w:rPr>
            </w:pPr>
            <w:r w:rsidRPr="004E568C">
              <w:rPr>
                <w:rFonts w:cs="Arial"/>
                <w:szCs w:val="20"/>
              </w:rPr>
              <w:t>PwRT</w:t>
            </w:r>
          </w:p>
          <w:p w:rsidR="00B028F4" w:rsidRPr="004E568C" w:rsidRDefault="00B028F4" w:rsidP="003E2FEA">
            <w:pPr>
              <w:pStyle w:val="Tabletext"/>
              <w:cnfStyle w:val="000000100000"/>
              <w:rPr>
                <w:rFonts w:cs="Arial"/>
                <w:szCs w:val="20"/>
              </w:rPr>
            </w:pPr>
            <w:r w:rsidRPr="004E568C">
              <w:rPr>
                <w:rFonts w:cs="Arial"/>
                <w:szCs w:val="20"/>
              </w:rPr>
              <w:t>TfN</w:t>
            </w:r>
          </w:p>
        </w:tc>
        <w:tc>
          <w:tcPr>
            <w:tcW w:w="127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Default="001332DF" w:rsidP="003E2FEA">
            <w:pPr>
              <w:pStyle w:val="Tabletext"/>
              <w:jc w:val="center"/>
              <w:cnfStyle w:val="000000100000"/>
              <w:rPr>
                <w:rFonts w:cs="Arial"/>
                <w:szCs w:val="20"/>
              </w:rPr>
            </w:pPr>
            <w:r>
              <w:rPr>
                <w:rFonts w:cs="Arial"/>
                <w:szCs w:val="20"/>
              </w:rPr>
              <w:t>$30 000 pa</w:t>
            </w:r>
          </w:p>
          <w:p w:rsidR="001332DF" w:rsidRPr="001332DF" w:rsidRDefault="001332DF" w:rsidP="003E2FEA">
            <w:pPr>
              <w:pStyle w:val="Tabletext"/>
              <w:jc w:val="center"/>
              <w:cnfStyle w:val="000000100000"/>
              <w:rPr>
                <w:rFonts w:cs="Arial"/>
                <w:i/>
                <w:szCs w:val="20"/>
              </w:rPr>
            </w:pPr>
          </w:p>
        </w:tc>
      </w:tr>
      <w:tr w:rsidR="00B028F4" w:rsidRPr="004E568C" w:rsidTr="00573265">
        <w:trPr>
          <w:cnfStyle w:val="000000010000"/>
          <w:trHeight w:val="2104"/>
        </w:trPr>
        <w:tc>
          <w:tcPr>
            <w:cnfStyle w:val="001000000000"/>
            <w:tcW w:w="8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pStyle w:val="Tabletext"/>
              <w:jc w:val="center"/>
              <w:rPr>
                <w:rFonts w:ascii="Arial" w:hAnsi="Arial" w:cs="Arial"/>
                <w:szCs w:val="20"/>
              </w:rPr>
            </w:pPr>
            <w:r w:rsidRPr="004E568C">
              <w:rPr>
                <w:rFonts w:ascii="Arial" w:hAnsi="Arial" w:cs="Arial"/>
                <w:szCs w:val="20"/>
              </w:rPr>
              <w:t>5c</w:t>
            </w:r>
          </w:p>
        </w:tc>
        <w:tc>
          <w:tcPr>
            <w:tcW w:w="210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pStyle w:val="Tabletext"/>
              <w:cnfStyle w:val="000000010000"/>
              <w:rPr>
                <w:rFonts w:cs="Arial"/>
                <w:szCs w:val="20"/>
              </w:rPr>
            </w:pPr>
            <w:r w:rsidRPr="004E568C">
              <w:rPr>
                <w:rFonts w:cs="Arial"/>
                <w:szCs w:val="20"/>
              </w:rPr>
              <w:t xml:space="preserve">Undertake regular monitoring at other known plains-wanderer sites. </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pStyle w:val="Tabletext"/>
              <w:jc w:val="center"/>
              <w:cnfStyle w:val="000000010000"/>
              <w:rPr>
                <w:rFonts w:cs="Arial"/>
                <w:szCs w:val="20"/>
              </w:rPr>
            </w:pPr>
            <w:r w:rsidRPr="004E568C">
              <w:rPr>
                <w:rFonts w:cs="Arial"/>
                <w:szCs w:val="20"/>
              </w:rPr>
              <w:t>2</w:t>
            </w:r>
          </w:p>
        </w:tc>
        <w:tc>
          <w:tcPr>
            <w:tcW w:w="368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763DAB" w:rsidRDefault="00763DAB" w:rsidP="003E2FEA">
            <w:pPr>
              <w:pStyle w:val="ListBullet"/>
              <w:cnfStyle w:val="000000010000"/>
              <w:rPr>
                <w:rFonts w:cs="Arial"/>
                <w:szCs w:val="20"/>
              </w:rPr>
            </w:pPr>
            <w:r>
              <w:rPr>
                <w:rFonts w:cs="Arial"/>
                <w:szCs w:val="20"/>
              </w:rPr>
              <w:t>T</w:t>
            </w:r>
            <w:r w:rsidRPr="00763DAB">
              <w:rPr>
                <w:rFonts w:cs="Arial"/>
                <w:szCs w:val="20"/>
              </w:rPr>
              <w:t xml:space="preserve">argeted surveys </w:t>
            </w:r>
            <w:r>
              <w:rPr>
                <w:rFonts w:cs="Arial"/>
                <w:szCs w:val="20"/>
              </w:rPr>
              <w:t>are undertaken</w:t>
            </w:r>
            <w:r w:rsidRPr="00763DAB">
              <w:rPr>
                <w:rFonts w:cs="Arial"/>
                <w:szCs w:val="20"/>
              </w:rPr>
              <w:t xml:space="preserve"> in suitable habitat in eastern pastoral S</w:t>
            </w:r>
            <w:r>
              <w:rPr>
                <w:rFonts w:cs="Arial"/>
                <w:szCs w:val="20"/>
              </w:rPr>
              <w:t xml:space="preserve">outh </w:t>
            </w:r>
            <w:r w:rsidRPr="00763DAB">
              <w:rPr>
                <w:rFonts w:cs="Arial"/>
                <w:szCs w:val="20"/>
              </w:rPr>
              <w:t>A</w:t>
            </w:r>
            <w:r>
              <w:rPr>
                <w:rFonts w:cs="Arial"/>
                <w:szCs w:val="20"/>
              </w:rPr>
              <w:t xml:space="preserve">ustralia </w:t>
            </w:r>
            <w:r w:rsidRPr="00763DAB">
              <w:rPr>
                <w:rFonts w:cs="Arial"/>
                <w:szCs w:val="20"/>
              </w:rPr>
              <w:t>to establish whether resident populations exist.</w:t>
            </w:r>
          </w:p>
          <w:p w:rsidR="00B028F4" w:rsidRPr="004E568C" w:rsidRDefault="00B028F4" w:rsidP="003E2FEA">
            <w:pPr>
              <w:pStyle w:val="ListBullet"/>
              <w:cnfStyle w:val="000000010000"/>
              <w:rPr>
                <w:rFonts w:cs="Arial"/>
                <w:szCs w:val="20"/>
              </w:rPr>
            </w:pPr>
            <w:r w:rsidRPr="004E568C">
              <w:rPr>
                <w:rFonts w:cs="Arial"/>
                <w:szCs w:val="20"/>
              </w:rPr>
              <w:t>Other known and likely habitats are surveyed to locate viable plains-wanderer populations.</w:t>
            </w:r>
          </w:p>
          <w:p w:rsidR="00B028F4" w:rsidRPr="004E568C" w:rsidRDefault="00B028F4" w:rsidP="003E2FEA">
            <w:pPr>
              <w:pStyle w:val="ListBullet"/>
              <w:cnfStyle w:val="000000010000"/>
              <w:rPr>
                <w:rFonts w:cs="Arial"/>
                <w:szCs w:val="20"/>
              </w:rPr>
            </w:pPr>
            <w:r w:rsidRPr="004E568C">
              <w:rPr>
                <w:rFonts w:cs="Arial"/>
                <w:szCs w:val="20"/>
              </w:rPr>
              <w:t>A regular monitoring program is established for other important plains-wanderer locations (e.g. biennial).</w:t>
            </w:r>
          </w:p>
          <w:p w:rsidR="00B028F4" w:rsidRPr="004E568C" w:rsidRDefault="00B028F4" w:rsidP="00EC17DD">
            <w:pPr>
              <w:pStyle w:val="ListBullet"/>
              <w:cnfStyle w:val="000000010000"/>
              <w:rPr>
                <w:rFonts w:cs="Arial"/>
                <w:szCs w:val="20"/>
              </w:rPr>
            </w:pPr>
            <w:r w:rsidRPr="004E568C">
              <w:rPr>
                <w:rFonts w:cs="Arial"/>
                <w:szCs w:val="20"/>
              </w:rPr>
              <w:t>Monitoring techniques are informed by the results of trials conducted under action 5</w:t>
            </w:r>
            <w:r w:rsidR="00EC17DD">
              <w:rPr>
                <w:rFonts w:cs="Arial"/>
                <w:szCs w:val="20"/>
              </w:rPr>
              <w:t>b</w:t>
            </w:r>
            <w:r w:rsidRPr="004E568C">
              <w:rPr>
                <w:rFonts w:cs="Arial"/>
                <w:szCs w:val="20"/>
              </w:rPr>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C2C69" w:rsidRPr="005C2C69" w:rsidRDefault="005C2C69" w:rsidP="003E2FEA">
            <w:pPr>
              <w:pStyle w:val="Tabletext"/>
              <w:cnfStyle w:val="000000010000"/>
              <w:rPr>
                <w:rFonts w:cs="Arial"/>
                <w:b/>
                <w:szCs w:val="20"/>
              </w:rPr>
            </w:pPr>
            <w:r w:rsidRPr="005C2C69">
              <w:rPr>
                <w:rFonts w:cs="Arial"/>
                <w:b/>
                <w:szCs w:val="20"/>
              </w:rPr>
              <w:t xml:space="preserve">OEH </w:t>
            </w:r>
          </w:p>
          <w:p w:rsidR="00B028F4" w:rsidRPr="005C2C69" w:rsidRDefault="00B028F4" w:rsidP="003E2FEA">
            <w:pPr>
              <w:pStyle w:val="Tabletext"/>
              <w:cnfStyle w:val="000000010000"/>
              <w:rPr>
                <w:rFonts w:cs="Arial"/>
                <w:b/>
                <w:szCs w:val="20"/>
              </w:rPr>
            </w:pPr>
            <w:r w:rsidRPr="005C2C69">
              <w:rPr>
                <w:rFonts w:cs="Arial"/>
                <w:b/>
                <w:szCs w:val="20"/>
              </w:rPr>
              <w:t xml:space="preserve">DELWP </w:t>
            </w:r>
          </w:p>
          <w:p w:rsidR="00B028F4" w:rsidRPr="005C2C69" w:rsidRDefault="00B028F4" w:rsidP="003E2FEA">
            <w:pPr>
              <w:pStyle w:val="Tabletext"/>
              <w:cnfStyle w:val="000000010000"/>
              <w:rPr>
                <w:rFonts w:cs="Arial"/>
                <w:b/>
                <w:szCs w:val="20"/>
              </w:rPr>
            </w:pPr>
            <w:r w:rsidRPr="005C2C69">
              <w:rPr>
                <w:rFonts w:cs="Arial"/>
                <w:b/>
                <w:szCs w:val="20"/>
              </w:rPr>
              <w:t xml:space="preserve">PV </w:t>
            </w:r>
          </w:p>
          <w:p w:rsidR="00887DE7" w:rsidRDefault="00B028F4" w:rsidP="003E2FEA">
            <w:pPr>
              <w:pStyle w:val="Tabletext"/>
              <w:cnfStyle w:val="000000010000"/>
              <w:rPr>
                <w:rFonts w:cs="Arial"/>
                <w:szCs w:val="20"/>
              </w:rPr>
            </w:pPr>
            <w:r w:rsidRPr="005C2C69">
              <w:rPr>
                <w:rFonts w:cs="Arial"/>
                <w:b/>
                <w:szCs w:val="20"/>
              </w:rPr>
              <w:t>DNEWR</w:t>
            </w:r>
          </w:p>
          <w:p w:rsidR="00B028F4" w:rsidRPr="004E568C" w:rsidRDefault="00887DE7" w:rsidP="003E2FEA">
            <w:pPr>
              <w:pStyle w:val="Tabletext"/>
              <w:cnfStyle w:val="000000010000"/>
              <w:rPr>
                <w:rFonts w:cs="Arial"/>
                <w:szCs w:val="20"/>
              </w:rPr>
            </w:pPr>
            <w:r>
              <w:rPr>
                <w:rFonts w:cs="Arial"/>
                <w:szCs w:val="20"/>
              </w:rPr>
              <w:t>NPSR</w:t>
            </w:r>
            <w:r w:rsidR="00B028F4" w:rsidRPr="004E568C">
              <w:rPr>
                <w:rFonts w:cs="Arial"/>
                <w:szCs w:val="20"/>
              </w:rPr>
              <w:t xml:space="preserve"> </w:t>
            </w:r>
          </w:p>
          <w:p w:rsidR="00B028F4" w:rsidRPr="004E568C" w:rsidRDefault="00B028F4" w:rsidP="003E2FEA">
            <w:pPr>
              <w:pStyle w:val="Tabletext"/>
              <w:cnfStyle w:val="000000010000"/>
              <w:rPr>
                <w:rFonts w:cs="Arial"/>
                <w:szCs w:val="20"/>
              </w:rPr>
            </w:pPr>
            <w:r w:rsidRPr="004E568C">
              <w:rPr>
                <w:rFonts w:cs="Arial"/>
                <w:szCs w:val="20"/>
              </w:rPr>
              <w:t>PwRT</w:t>
            </w:r>
          </w:p>
          <w:p w:rsidR="00B028F4" w:rsidRPr="004E568C" w:rsidRDefault="00B028F4" w:rsidP="003E2FEA">
            <w:pPr>
              <w:pStyle w:val="Tabletext"/>
              <w:cnfStyle w:val="000000010000"/>
              <w:rPr>
                <w:rFonts w:cs="Arial"/>
                <w:szCs w:val="20"/>
              </w:rPr>
            </w:pPr>
            <w:r w:rsidRPr="004E568C">
              <w:rPr>
                <w:rFonts w:cs="Arial"/>
                <w:szCs w:val="20"/>
              </w:rPr>
              <w:t>TfN</w:t>
            </w:r>
          </w:p>
          <w:p w:rsidR="00B028F4" w:rsidRPr="004E568C" w:rsidRDefault="00B028F4" w:rsidP="003E2FEA">
            <w:pPr>
              <w:pStyle w:val="Tabletext"/>
              <w:cnfStyle w:val="000000010000"/>
              <w:rPr>
                <w:rFonts w:cs="Arial"/>
                <w:szCs w:val="20"/>
              </w:rPr>
            </w:pPr>
            <w:r w:rsidRPr="004E568C">
              <w:rPr>
                <w:rFonts w:cs="Arial"/>
                <w:szCs w:val="20"/>
              </w:rPr>
              <w:t>BHA</w:t>
            </w:r>
          </w:p>
        </w:tc>
        <w:tc>
          <w:tcPr>
            <w:tcW w:w="1275"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1332DF" w:rsidP="003E2FEA">
            <w:pPr>
              <w:pStyle w:val="Tabletext"/>
              <w:jc w:val="center"/>
              <w:cnfStyle w:val="000000010000"/>
              <w:rPr>
                <w:rFonts w:cs="Arial"/>
                <w:szCs w:val="20"/>
              </w:rPr>
            </w:pPr>
            <w:r>
              <w:rPr>
                <w:rFonts w:cs="Arial"/>
                <w:szCs w:val="20"/>
              </w:rPr>
              <w:t>-</w:t>
            </w:r>
          </w:p>
        </w:tc>
      </w:tr>
    </w:tbl>
    <w:p w:rsidR="00B028F4" w:rsidRDefault="00B028F4" w:rsidP="003E2FEA">
      <w:pPr>
        <w:spacing w:after="0"/>
        <w:rPr>
          <w:szCs w:val="20"/>
          <w:highlight w:val="yellow"/>
        </w:rPr>
      </w:pPr>
    </w:p>
    <w:p w:rsidR="00B028F4" w:rsidRDefault="00B028F4" w:rsidP="003E2FEA">
      <w:pPr>
        <w:pStyle w:val="Heading3"/>
        <w:rPr>
          <w:sz w:val="22"/>
        </w:rPr>
        <w:sectPr w:rsidR="00B028F4" w:rsidSect="00042EEA">
          <w:pgSz w:w="11899" w:h="16838"/>
          <w:pgMar w:top="568" w:right="720" w:bottom="426" w:left="720" w:header="720" w:footer="720" w:gutter="0"/>
          <w:cols w:space="720"/>
          <w:noEndnote/>
          <w:docGrid w:linePitch="326"/>
        </w:sectPr>
      </w:pPr>
    </w:p>
    <w:p w:rsidR="00CA455B" w:rsidRDefault="00B028F4">
      <w:pPr>
        <w:pStyle w:val="Heading3"/>
        <w:spacing w:after="120"/>
        <w:rPr>
          <w:sz w:val="22"/>
        </w:rPr>
      </w:pPr>
      <w:bookmarkStart w:id="197" w:name="_Toc256000050"/>
      <w:bookmarkStart w:id="198" w:name="_Toc414615125"/>
      <w:bookmarkStart w:id="199" w:name="_Toc445297919"/>
      <w:bookmarkStart w:id="200" w:name="_Toc445307831"/>
      <w:r w:rsidRPr="003F04D9">
        <w:rPr>
          <w:sz w:val="22"/>
        </w:rPr>
        <w:t xml:space="preserve">Strategy </w:t>
      </w:r>
      <w:r>
        <w:rPr>
          <w:sz w:val="22"/>
        </w:rPr>
        <w:t>6:</w:t>
      </w:r>
      <w:r w:rsidRPr="003F04D9">
        <w:rPr>
          <w:sz w:val="22"/>
        </w:rPr>
        <w:t xml:space="preserve"> Increase community participation in plains-wanderer conservation and management</w:t>
      </w:r>
      <w:bookmarkEnd w:id="197"/>
      <w:bookmarkEnd w:id="198"/>
      <w:bookmarkEnd w:id="199"/>
      <w:bookmarkEnd w:id="200"/>
    </w:p>
    <w:p w:rsidR="00CA455B" w:rsidRPr="009F5DDA" w:rsidRDefault="00B028F4">
      <w:pPr>
        <w:spacing w:after="120"/>
        <w:rPr>
          <w:color w:val="7F7F7F" w:themeColor="text1" w:themeTint="80"/>
          <w:sz w:val="24"/>
          <w:szCs w:val="24"/>
        </w:rPr>
      </w:pPr>
      <w:r w:rsidRPr="009F5DDA">
        <w:rPr>
          <w:color w:val="7F7F7F" w:themeColor="text1" w:themeTint="80"/>
          <w:sz w:val="24"/>
          <w:szCs w:val="24"/>
        </w:rPr>
        <w:t>Research Actions</w:t>
      </w:r>
    </w:p>
    <w:tbl>
      <w:tblPr>
        <w:tblStyle w:val="LightShading-Accent11"/>
        <w:tblW w:w="0" w:type="auto"/>
        <w:tblBorders>
          <w:top w:val="single" w:sz="8" w:space="0" w:color="17365D" w:themeColor="text2" w:themeShade="BF"/>
          <w:bottom w:val="single" w:sz="8" w:space="0" w:color="17365D" w:themeColor="text2" w:themeShade="BF"/>
          <w:insideH w:val="single" w:sz="8" w:space="0" w:color="17365D" w:themeColor="text2" w:themeShade="BF"/>
        </w:tblBorders>
        <w:shd w:val="clear" w:color="auto" w:fill="DBE5F1" w:themeFill="accent1" w:themeFillTint="33"/>
        <w:tblLook w:val="04A0"/>
      </w:tblPr>
      <w:tblGrid>
        <w:gridCol w:w="839"/>
        <w:gridCol w:w="1708"/>
        <w:gridCol w:w="950"/>
        <w:gridCol w:w="4384"/>
        <w:gridCol w:w="1411"/>
        <w:gridCol w:w="1383"/>
      </w:tblGrid>
      <w:tr w:rsidR="00B028F4" w:rsidRPr="004E568C" w:rsidTr="001503C6">
        <w:trPr>
          <w:cnfStyle w:val="1000000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17365D" w:themeFill="text2" w:themeFillShade="BF"/>
          </w:tcPr>
          <w:p w:rsidR="00B028F4" w:rsidRPr="004E568C" w:rsidRDefault="00B028F4" w:rsidP="003E2FEA">
            <w:pPr>
              <w:pStyle w:val="Tabletext"/>
              <w:jc w:val="center"/>
              <w:rPr>
                <w:color w:val="auto"/>
                <w:szCs w:val="20"/>
              </w:rPr>
            </w:pPr>
            <w:r w:rsidRPr="004E568C">
              <w:rPr>
                <w:color w:val="auto"/>
                <w:szCs w:val="20"/>
              </w:rPr>
              <w:t>Action</w:t>
            </w:r>
          </w:p>
        </w:tc>
        <w:tc>
          <w:tcPr>
            <w:tcW w:w="1708" w:type="dxa"/>
            <w:tcBorders>
              <w:top w:val="none" w:sz="0" w:space="0" w:color="auto"/>
              <w:left w:val="none" w:sz="0" w:space="0" w:color="auto"/>
              <w:bottom w:val="none" w:sz="0" w:space="0" w:color="auto"/>
              <w:right w:val="none" w:sz="0" w:space="0" w:color="auto"/>
            </w:tcBorders>
            <w:shd w:val="clear" w:color="auto" w:fill="17365D" w:themeFill="text2" w:themeFillShade="BF"/>
          </w:tcPr>
          <w:p w:rsidR="00B028F4" w:rsidRPr="004E568C" w:rsidRDefault="00B028F4" w:rsidP="003E2FEA">
            <w:pPr>
              <w:pStyle w:val="Tabletext"/>
              <w:cnfStyle w:val="100000000000"/>
              <w:rPr>
                <w:color w:val="auto"/>
                <w:szCs w:val="20"/>
              </w:rPr>
            </w:pPr>
            <w:r w:rsidRPr="004E568C">
              <w:rPr>
                <w:color w:val="auto"/>
                <w:szCs w:val="20"/>
              </w:rPr>
              <w:t>Description</w:t>
            </w:r>
          </w:p>
        </w:tc>
        <w:tc>
          <w:tcPr>
            <w:tcW w:w="950" w:type="dxa"/>
            <w:tcBorders>
              <w:top w:val="none" w:sz="0" w:space="0" w:color="auto"/>
              <w:left w:val="none" w:sz="0" w:space="0" w:color="auto"/>
              <w:bottom w:val="none" w:sz="0" w:space="0" w:color="auto"/>
              <w:right w:val="none" w:sz="0" w:space="0" w:color="auto"/>
            </w:tcBorders>
            <w:shd w:val="clear" w:color="auto" w:fill="17365D" w:themeFill="text2" w:themeFillShade="BF"/>
          </w:tcPr>
          <w:p w:rsidR="00B028F4" w:rsidRPr="004E568C" w:rsidRDefault="00B028F4" w:rsidP="003E2FEA">
            <w:pPr>
              <w:pStyle w:val="Tabletext"/>
              <w:jc w:val="center"/>
              <w:cnfStyle w:val="100000000000"/>
              <w:rPr>
                <w:color w:val="auto"/>
                <w:szCs w:val="20"/>
              </w:rPr>
            </w:pPr>
            <w:r w:rsidRPr="004E568C">
              <w:rPr>
                <w:color w:val="auto"/>
                <w:szCs w:val="20"/>
              </w:rPr>
              <w:t>Priority</w:t>
            </w:r>
          </w:p>
        </w:tc>
        <w:tc>
          <w:tcPr>
            <w:tcW w:w="4384" w:type="dxa"/>
            <w:tcBorders>
              <w:top w:val="none" w:sz="0" w:space="0" w:color="auto"/>
              <w:left w:val="none" w:sz="0" w:space="0" w:color="auto"/>
              <w:bottom w:val="none" w:sz="0" w:space="0" w:color="auto"/>
              <w:right w:val="none" w:sz="0" w:space="0" w:color="auto"/>
            </w:tcBorders>
            <w:shd w:val="clear" w:color="auto" w:fill="17365D" w:themeFill="text2" w:themeFillShade="BF"/>
          </w:tcPr>
          <w:p w:rsidR="00B028F4" w:rsidRPr="004E568C" w:rsidRDefault="00B028F4" w:rsidP="003E2FEA">
            <w:pPr>
              <w:pStyle w:val="Tabletext"/>
              <w:cnfStyle w:val="100000000000"/>
              <w:rPr>
                <w:color w:val="auto"/>
                <w:szCs w:val="20"/>
              </w:rPr>
            </w:pPr>
            <w:r w:rsidRPr="004E568C">
              <w:rPr>
                <w:color w:val="auto"/>
                <w:szCs w:val="20"/>
              </w:rPr>
              <w:t>Performance Criteria</w:t>
            </w:r>
          </w:p>
        </w:tc>
        <w:tc>
          <w:tcPr>
            <w:tcW w:w="141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B028F4" w:rsidRPr="00B51364" w:rsidRDefault="00B028F4" w:rsidP="00B51364">
            <w:pPr>
              <w:pStyle w:val="Tabletext"/>
              <w:cnfStyle w:val="100000000000"/>
              <w:rPr>
                <w:b w:val="0"/>
                <w:color w:val="auto"/>
                <w:szCs w:val="20"/>
              </w:rPr>
            </w:pPr>
            <w:r w:rsidRPr="004E568C">
              <w:rPr>
                <w:color w:val="auto"/>
                <w:szCs w:val="20"/>
              </w:rPr>
              <w:t xml:space="preserve">Responsible </w:t>
            </w:r>
            <w:r w:rsidR="00B51364">
              <w:rPr>
                <w:color w:val="auto"/>
                <w:szCs w:val="20"/>
              </w:rPr>
              <w:t xml:space="preserve">Agencies </w:t>
            </w:r>
            <w:r w:rsidR="004576BF">
              <w:rPr>
                <w:b w:val="0"/>
                <w:i/>
                <w:color w:val="auto"/>
                <w:szCs w:val="20"/>
              </w:rPr>
              <w:t>and potential p</w:t>
            </w:r>
            <w:r w:rsidR="00B51364" w:rsidRPr="004576BF">
              <w:rPr>
                <w:b w:val="0"/>
                <w:i/>
                <w:color w:val="auto"/>
                <w:szCs w:val="20"/>
              </w:rPr>
              <w:t>artners</w:t>
            </w:r>
          </w:p>
        </w:tc>
        <w:tc>
          <w:tcPr>
            <w:tcW w:w="1383" w:type="dxa"/>
            <w:tcBorders>
              <w:top w:val="none" w:sz="0" w:space="0" w:color="auto"/>
              <w:left w:val="none" w:sz="0" w:space="0" w:color="auto"/>
              <w:bottom w:val="none" w:sz="0" w:space="0" w:color="auto"/>
              <w:right w:val="none" w:sz="0" w:space="0" w:color="auto"/>
            </w:tcBorders>
            <w:shd w:val="clear" w:color="auto" w:fill="17365D" w:themeFill="text2" w:themeFillShade="BF"/>
          </w:tcPr>
          <w:p w:rsidR="00B028F4" w:rsidRPr="004E568C" w:rsidRDefault="00B028F4" w:rsidP="003E2FEA">
            <w:pPr>
              <w:pStyle w:val="Tabletext"/>
              <w:jc w:val="center"/>
              <w:cnfStyle w:val="100000000000"/>
              <w:rPr>
                <w:color w:val="auto"/>
                <w:szCs w:val="20"/>
              </w:rPr>
            </w:pPr>
            <w:r w:rsidRPr="004E568C">
              <w:rPr>
                <w:color w:val="auto"/>
                <w:szCs w:val="20"/>
              </w:rPr>
              <w:t>Indicative Cost</w:t>
            </w:r>
          </w:p>
          <w:p w:rsidR="00B028F4" w:rsidRPr="004576BF" w:rsidRDefault="004576BF" w:rsidP="004576BF">
            <w:pPr>
              <w:pStyle w:val="Tabletext"/>
              <w:jc w:val="center"/>
              <w:cnfStyle w:val="100000000000"/>
              <w:rPr>
                <w:b w:val="0"/>
                <w:i/>
                <w:color w:val="auto"/>
                <w:szCs w:val="20"/>
              </w:rPr>
            </w:pPr>
            <w:r>
              <w:rPr>
                <w:b w:val="0"/>
                <w:i/>
                <w:color w:val="auto"/>
                <w:szCs w:val="20"/>
              </w:rPr>
              <w:t>*</w:t>
            </w:r>
            <w:r w:rsidR="00B028F4" w:rsidRPr="004576BF">
              <w:rPr>
                <w:b w:val="0"/>
                <w:i/>
                <w:color w:val="auto"/>
                <w:szCs w:val="20"/>
              </w:rPr>
              <w:t>priority 1</w:t>
            </w:r>
            <w:r w:rsidR="00B51364" w:rsidRPr="004576BF">
              <w:rPr>
                <w:b w:val="0"/>
                <w:i/>
                <w:color w:val="auto"/>
                <w:szCs w:val="20"/>
              </w:rPr>
              <w:t xml:space="preserve"> only</w:t>
            </w:r>
          </w:p>
        </w:tc>
      </w:tr>
      <w:tr w:rsidR="00B028F4" w:rsidTr="001503C6">
        <w:trPr>
          <w:cnfStyle w:val="000000100000"/>
          <w:trHeight w:val="1443"/>
        </w:trPr>
        <w:tc>
          <w:tcPr>
            <w:cnfStyle w:val="001000000000"/>
            <w:tcW w:w="839" w:type="dxa"/>
            <w:tcBorders>
              <w:left w:val="none" w:sz="0" w:space="0" w:color="auto"/>
              <w:right w:val="none" w:sz="0" w:space="0" w:color="auto"/>
            </w:tcBorders>
            <w:shd w:val="clear" w:color="auto" w:fill="DBE5F1" w:themeFill="accent1" w:themeFillTint="33"/>
          </w:tcPr>
          <w:p w:rsidR="00B028F4" w:rsidRPr="000F70C4" w:rsidRDefault="00B028F4" w:rsidP="003E2FEA">
            <w:pPr>
              <w:pStyle w:val="Tabletext"/>
              <w:jc w:val="center"/>
              <w:rPr>
                <w:color w:val="auto"/>
                <w:szCs w:val="20"/>
              </w:rPr>
            </w:pPr>
            <w:r w:rsidRPr="000F70C4">
              <w:rPr>
                <w:color w:val="auto"/>
                <w:szCs w:val="20"/>
              </w:rPr>
              <w:t>6a</w:t>
            </w:r>
          </w:p>
        </w:tc>
        <w:tc>
          <w:tcPr>
            <w:tcW w:w="1708" w:type="dxa"/>
            <w:tcBorders>
              <w:left w:val="none" w:sz="0" w:space="0" w:color="auto"/>
              <w:right w:val="none" w:sz="0" w:space="0" w:color="auto"/>
            </w:tcBorders>
            <w:shd w:val="clear" w:color="auto" w:fill="DBE5F1" w:themeFill="accent1" w:themeFillTint="33"/>
          </w:tcPr>
          <w:p w:rsidR="00B028F4" w:rsidRPr="000F70C4" w:rsidRDefault="00B028F4" w:rsidP="003E2FEA">
            <w:pPr>
              <w:cnfStyle w:val="000000100000"/>
              <w:rPr>
                <w:color w:val="auto"/>
                <w:szCs w:val="20"/>
                <w:lang w:eastAsia="en-AU"/>
              </w:rPr>
            </w:pPr>
            <w:r w:rsidRPr="000F70C4">
              <w:rPr>
                <w:color w:val="auto"/>
                <w:szCs w:val="20"/>
              </w:rPr>
              <w:t>Develop and implement a broad strategy to raise awareness and educate the general public about plains-</w:t>
            </w:r>
            <w:r w:rsidRPr="000F70C4">
              <w:rPr>
                <w:b/>
                <w:i/>
                <w:color w:val="auto"/>
                <w:szCs w:val="20"/>
              </w:rPr>
              <w:t xml:space="preserve"> </w:t>
            </w:r>
            <w:r w:rsidRPr="000F70C4">
              <w:rPr>
                <w:color w:val="auto"/>
                <w:szCs w:val="20"/>
              </w:rPr>
              <w:t>wanderer conservation.</w:t>
            </w:r>
          </w:p>
        </w:tc>
        <w:tc>
          <w:tcPr>
            <w:tcW w:w="950" w:type="dxa"/>
            <w:tcBorders>
              <w:left w:val="none" w:sz="0" w:space="0" w:color="auto"/>
              <w:right w:val="none" w:sz="0" w:space="0" w:color="auto"/>
            </w:tcBorders>
            <w:shd w:val="clear" w:color="auto" w:fill="DBE5F1" w:themeFill="accent1" w:themeFillTint="33"/>
          </w:tcPr>
          <w:p w:rsidR="00B028F4" w:rsidRPr="000F70C4" w:rsidRDefault="00B028F4" w:rsidP="003E2FEA">
            <w:pPr>
              <w:pStyle w:val="Tabletext"/>
              <w:jc w:val="center"/>
              <w:cnfStyle w:val="000000100000"/>
              <w:rPr>
                <w:color w:val="auto"/>
                <w:szCs w:val="20"/>
              </w:rPr>
            </w:pPr>
            <w:r w:rsidRPr="000F70C4">
              <w:rPr>
                <w:color w:val="auto"/>
                <w:szCs w:val="20"/>
              </w:rPr>
              <w:t>2</w:t>
            </w:r>
          </w:p>
        </w:tc>
        <w:tc>
          <w:tcPr>
            <w:tcW w:w="4384" w:type="dxa"/>
            <w:tcBorders>
              <w:left w:val="none" w:sz="0" w:space="0" w:color="auto"/>
              <w:right w:val="none" w:sz="0" w:space="0" w:color="auto"/>
            </w:tcBorders>
            <w:shd w:val="clear" w:color="auto" w:fill="DBE5F1" w:themeFill="accent1" w:themeFillTint="33"/>
          </w:tcPr>
          <w:p w:rsidR="00B028F4" w:rsidRPr="000F70C4" w:rsidRDefault="00B028F4" w:rsidP="003E2FEA">
            <w:pPr>
              <w:pStyle w:val="ListBullet"/>
              <w:cnfStyle w:val="000000100000"/>
              <w:rPr>
                <w:color w:val="auto"/>
                <w:szCs w:val="20"/>
              </w:rPr>
            </w:pPr>
            <w:r w:rsidRPr="000F70C4">
              <w:rPr>
                <w:color w:val="auto"/>
                <w:szCs w:val="20"/>
              </w:rPr>
              <w:t>Articles about plains-wanderer conservation, including threats and recovery actions, are published in community newsletters, local bulletins and newspapers.</w:t>
            </w:r>
          </w:p>
          <w:p w:rsidR="00B028F4" w:rsidRPr="000F70C4" w:rsidRDefault="00B028F4" w:rsidP="003E2FEA">
            <w:pPr>
              <w:pStyle w:val="ListBullet"/>
              <w:cnfStyle w:val="000000100000"/>
              <w:rPr>
                <w:color w:val="auto"/>
                <w:szCs w:val="20"/>
              </w:rPr>
            </w:pPr>
            <w:r w:rsidRPr="000F70C4">
              <w:rPr>
                <w:color w:val="auto"/>
                <w:szCs w:val="20"/>
              </w:rPr>
              <w:t>Informati</w:t>
            </w:r>
            <w:r w:rsidR="00EC17DD">
              <w:rPr>
                <w:color w:val="auto"/>
                <w:szCs w:val="20"/>
              </w:rPr>
              <w:t>on</w:t>
            </w:r>
            <w:r w:rsidRPr="000F70C4">
              <w:rPr>
                <w:color w:val="auto"/>
                <w:szCs w:val="20"/>
              </w:rPr>
              <w:t xml:space="preserve"> displays</w:t>
            </w:r>
            <w:r w:rsidR="00EC17DD">
              <w:rPr>
                <w:color w:val="auto"/>
                <w:szCs w:val="20"/>
              </w:rPr>
              <w:t>,</w:t>
            </w:r>
            <w:r w:rsidRPr="000F70C4">
              <w:rPr>
                <w:color w:val="auto"/>
                <w:szCs w:val="20"/>
              </w:rPr>
              <w:t xml:space="preserve"> </w:t>
            </w:r>
            <w:r w:rsidR="00EC17DD">
              <w:rPr>
                <w:color w:val="auto"/>
                <w:szCs w:val="20"/>
              </w:rPr>
              <w:t xml:space="preserve">and other strategies, are </w:t>
            </w:r>
            <w:r w:rsidR="003C4CD4">
              <w:rPr>
                <w:color w:val="auto"/>
                <w:szCs w:val="20"/>
              </w:rPr>
              <w:t>implement</w:t>
            </w:r>
            <w:r w:rsidR="00EC17DD">
              <w:rPr>
                <w:color w:val="auto"/>
                <w:szCs w:val="20"/>
              </w:rPr>
              <w:t>ed</w:t>
            </w:r>
            <w:r w:rsidRPr="000F70C4">
              <w:rPr>
                <w:color w:val="auto"/>
                <w:szCs w:val="20"/>
              </w:rPr>
              <w:t xml:space="preserve"> to educate the broader community about plains-wanderer conservation.</w:t>
            </w:r>
          </w:p>
          <w:p w:rsidR="00B028F4" w:rsidRPr="000F70C4" w:rsidRDefault="00B028F4" w:rsidP="003E2FEA">
            <w:pPr>
              <w:pStyle w:val="ListBullet"/>
              <w:cnfStyle w:val="000000100000"/>
              <w:rPr>
                <w:color w:val="auto"/>
                <w:szCs w:val="20"/>
              </w:rPr>
            </w:pPr>
            <w:r w:rsidRPr="000F70C4">
              <w:rPr>
                <w:color w:val="auto"/>
                <w:szCs w:val="20"/>
              </w:rPr>
              <w:t>Information on the plains-wanderer is provided to the birding community.</w:t>
            </w:r>
          </w:p>
          <w:p w:rsidR="00B028F4" w:rsidRPr="000F70C4" w:rsidRDefault="00B028F4" w:rsidP="003E2FEA">
            <w:pPr>
              <w:pStyle w:val="ListBullet"/>
              <w:cnfStyle w:val="000000100000"/>
              <w:rPr>
                <w:color w:val="auto"/>
                <w:szCs w:val="20"/>
              </w:rPr>
            </w:pPr>
            <w:r w:rsidRPr="000F70C4">
              <w:rPr>
                <w:color w:val="auto"/>
                <w:szCs w:val="20"/>
              </w:rPr>
              <w:t>Opportunities for community groups, or citizen scientists, to assist in surveys for plains-wanderers and/or provide data are investigated.</w:t>
            </w:r>
          </w:p>
        </w:tc>
        <w:tc>
          <w:tcPr>
            <w:tcW w:w="1411" w:type="dxa"/>
            <w:tcBorders>
              <w:left w:val="none" w:sz="0" w:space="0" w:color="auto"/>
              <w:right w:val="none" w:sz="0" w:space="0" w:color="auto"/>
            </w:tcBorders>
            <w:shd w:val="clear" w:color="auto" w:fill="DBE5F1" w:themeFill="accent1" w:themeFillTint="33"/>
          </w:tcPr>
          <w:p w:rsidR="005C14BF" w:rsidRDefault="005C2C69" w:rsidP="003E2FEA">
            <w:pPr>
              <w:pStyle w:val="Tabletext"/>
              <w:cnfStyle w:val="000000100000"/>
              <w:rPr>
                <w:b/>
                <w:color w:val="auto"/>
                <w:szCs w:val="20"/>
              </w:rPr>
            </w:pPr>
            <w:r w:rsidRPr="005C2C69">
              <w:rPr>
                <w:b/>
                <w:color w:val="auto"/>
                <w:szCs w:val="20"/>
              </w:rPr>
              <w:t>PwRT</w:t>
            </w:r>
          </w:p>
          <w:p w:rsidR="00815A85" w:rsidRDefault="00815A85" w:rsidP="003E2FEA">
            <w:pPr>
              <w:pStyle w:val="Tabletext"/>
              <w:cnfStyle w:val="000000100000"/>
              <w:rPr>
                <w:b/>
                <w:color w:val="auto"/>
                <w:szCs w:val="20"/>
              </w:rPr>
            </w:pPr>
            <w:r>
              <w:rPr>
                <w:b/>
                <w:color w:val="auto"/>
                <w:szCs w:val="20"/>
              </w:rPr>
              <w:t>PV</w:t>
            </w:r>
          </w:p>
          <w:p w:rsidR="00B028F4" w:rsidRPr="005C2C69" w:rsidRDefault="00B028F4" w:rsidP="003E2FEA">
            <w:pPr>
              <w:pStyle w:val="Tabletext"/>
              <w:cnfStyle w:val="000000100000"/>
              <w:rPr>
                <w:b/>
                <w:color w:val="auto"/>
                <w:szCs w:val="20"/>
              </w:rPr>
            </w:pPr>
            <w:r w:rsidRPr="005C2C69">
              <w:rPr>
                <w:b/>
                <w:color w:val="auto"/>
                <w:szCs w:val="20"/>
              </w:rPr>
              <w:t xml:space="preserve">BirdLife Australia </w:t>
            </w:r>
          </w:p>
          <w:p w:rsidR="00815A85" w:rsidRDefault="00815A85" w:rsidP="003E2FEA">
            <w:pPr>
              <w:pStyle w:val="Tabletext"/>
              <w:cnfStyle w:val="000000100000"/>
              <w:rPr>
                <w:color w:val="auto"/>
                <w:szCs w:val="20"/>
              </w:rPr>
            </w:pPr>
            <w:r>
              <w:rPr>
                <w:color w:val="auto"/>
                <w:szCs w:val="20"/>
              </w:rPr>
              <w:t>Friends of TTNP</w:t>
            </w:r>
          </w:p>
          <w:p w:rsidR="00B028F4" w:rsidRPr="000F70C4" w:rsidRDefault="00B028F4" w:rsidP="003E2FEA">
            <w:pPr>
              <w:pStyle w:val="Tabletext"/>
              <w:cnfStyle w:val="000000100000"/>
              <w:rPr>
                <w:color w:val="auto"/>
                <w:szCs w:val="20"/>
              </w:rPr>
            </w:pPr>
            <w:r w:rsidRPr="000F70C4">
              <w:rPr>
                <w:color w:val="auto"/>
                <w:szCs w:val="20"/>
              </w:rPr>
              <w:t>BHA</w:t>
            </w:r>
          </w:p>
          <w:p w:rsidR="00B028F4" w:rsidRPr="000F70C4" w:rsidRDefault="00B028F4" w:rsidP="003E2FEA">
            <w:pPr>
              <w:pStyle w:val="Tabletext"/>
              <w:cnfStyle w:val="000000100000"/>
              <w:rPr>
                <w:color w:val="auto"/>
                <w:szCs w:val="20"/>
              </w:rPr>
            </w:pPr>
            <w:r w:rsidRPr="000F70C4">
              <w:rPr>
                <w:color w:val="auto"/>
                <w:szCs w:val="20"/>
              </w:rPr>
              <w:t>TfN</w:t>
            </w:r>
          </w:p>
          <w:p w:rsidR="00B028F4" w:rsidRPr="000F70C4" w:rsidRDefault="00B028F4" w:rsidP="003E2FEA">
            <w:pPr>
              <w:pStyle w:val="Tabletext"/>
              <w:cnfStyle w:val="000000100000"/>
              <w:rPr>
                <w:color w:val="auto"/>
                <w:szCs w:val="20"/>
              </w:rPr>
            </w:pPr>
            <w:r w:rsidRPr="000F70C4">
              <w:rPr>
                <w:color w:val="auto"/>
                <w:szCs w:val="20"/>
              </w:rPr>
              <w:t>DELWP</w:t>
            </w:r>
          </w:p>
          <w:p w:rsidR="00B028F4" w:rsidRPr="000F70C4" w:rsidRDefault="00B028F4" w:rsidP="003E2FEA">
            <w:pPr>
              <w:pStyle w:val="Tabletext"/>
              <w:cnfStyle w:val="000000100000"/>
              <w:rPr>
                <w:color w:val="auto"/>
                <w:szCs w:val="20"/>
              </w:rPr>
            </w:pPr>
            <w:r w:rsidRPr="000F70C4">
              <w:rPr>
                <w:color w:val="auto"/>
                <w:szCs w:val="20"/>
              </w:rPr>
              <w:t>OEH</w:t>
            </w:r>
          </w:p>
          <w:p w:rsidR="00B028F4" w:rsidRPr="000F70C4" w:rsidRDefault="00B028F4" w:rsidP="003C4CD4">
            <w:pPr>
              <w:pStyle w:val="Tabletext"/>
              <w:cnfStyle w:val="000000100000"/>
              <w:rPr>
                <w:color w:val="auto"/>
                <w:szCs w:val="20"/>
              </w:rPr>
            </w:pPr>
            <w:r w:rsidRPr="000F70C4">
              <w:rPr>
                <w:color w:val="auto"/>
                <w:szCs w:val="20"/>
              </w:rPr>
              <w:t xml:space="preserve">Community </w:t>
            </w:r>
            <w:r w:rsidR="003C4CD4">
              <w:rPr>
                <w:color w:val="auto"/>
                <w:szCs w:val="20"/>
              </w:rPr>
              <w:t>g</w:t>
            </w:r>
            <w:r w:rsidRPr="000F70C4">
              <w:rPr>
                <w:color w:val="auto"/>
                <w:szCs w:val="20"/>
              </w:rPr>
              <w:t>roups</w:t>
            </w:r>
          </w:p>
        </w:tc>
        <w:tc>
          <w:tcPr>
            <w:tcW w:w="1383" w:type="dxa"/>
            <w:tcBorders>
              <w:left w:val="none" w:sz="0" w:space="0" w:color="auto"/>
              <w:right w:val="none" w:sz="0" w:space="0" w:color="auto"/>
            </w:tcBorders>
            <w:shd w:val="clear" w:color="auto" w:fill="DBE5F1" w:themeFill="accent1" w:themeFillTint="33"/>
          </w:tcPr>
          <w:p w:rsidR="00B028F4" w:rsidRPr="000F70C4" w:rsidRDefault="001332DF" w:rsidP="003E2FEA">
            <w:pPr>
              <w:pStyle w:val="Tabletext"/>
              <w:jc w:val="center"/>
              <w:cnfStyle w:val="000000100000"/>
              <w:rPr>
                <w:color w:val="auto"/>
                <w:szCs w:val="20"/>
              </w:rPr>
            </w:pPr>
            <w:r>
              <w:rPr>
                <w:color w:val="auto"/>
                <w:szCs w:val="20"/>
              </w:rPr>
              <w:t>-</w:t>
            </w:r>
          </w:p>
        </w:tc>
      </w:tr>
    </w:tbl>
    <w:p w:rsidR="00CA455B" w:rsidRPr="001503C6" w:rsidRDefault="00B028F4">
      <w:pPr>
        <w:spacing w:before="120" w:after="120"/>
        <w:rPr>
          <w:color w:val="7F7F7F" w:themeColor="text1" w:themeTint="80"/>
          <w:sz w:val="24"/>
          <w:szCs w:val="24"/>
        </w:rPr>
      </w:pPr>
      <w:r w:rsidRPr="001503C6">
        <w:rPr>
          <w:color w:val="7F7F7F" w:themeColor="text1" w:themeTint="80"/>
          <w:sz w:val="24"/>
          <w:szCs w:val="24"/>
        </w:rPr>
        <w:t>On-ground actions</w:t>
      </w:r>
    </w:p>
    <w:tbl>
      <w:tblPr>
        <w:tblStyle w:val="LightGrid-Accent3"/>
        <w:tblW w:w="0" w:type="auto"/>
        <w:tblBorders>
          <w:top w:val="single" w:sz="8" w:space="0" w:color="7F7F7F" w:themeColor="text1" w:themeTint="80"/>
          <w:left w:val="none" w:sz="0" w:space="0" w:color="auto"/>
          <w:bottom w:val="single" w:sz="8" w:space="0" w:color="7F7F7F" w:themeColor="text1" w:themeTint="80"/>
          <w:right w:val="none" w:sz="0" w:space="0" w:color="auto"/>
          <w:insideH w:val="single" w:sz="8" w:space="0" w:color="7F7F7F" w:themeColor="text1" w:themeTint="80"/>
          <w:insideV w:val="none" w:sz="0" w:space="0" w:color="auto"/>
        </w:tblBorders>
        <w:shd w:val="clear" w:color="auto" w:fill="D9D9D9" w:themeFill="background1" w:themeFillShade="D9"/>
        <w:tblLook w:val="04A0"/>
      </w:tblPr>
      <w:tblGrid>
        <w:gridCol w:w="839"/>
        <w:gridCol w:w="1708"/>
        <w:gridCol w:w="950"/>
        <w:gridCol w:w="4384"/>
        <w:gridCol w:w="1411"/>
        <w:gridCol w:w="1383"/>
      </w:tblGrid>
      <w:tr w:rsidR="004576BF" w:rsidRPr="004E568C" w:rsidTr="00573265">
        <w:trPr>
          <w:cnfStyle w:val="100000000000"/>
        </w:trPr>
        <w:tc>
          <w:tcPr>
            <w:cnfStyle w:val="001000000000"/>
            <w:tcW w:w="839"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E568C" w:rsidRDefault="004576BF" w:rsidP="003E2FEA">
            <w:pPr>
              <w:pStyle w:val="Tabletext"/>
              <w:jc w:val="center"/>
              <w:rPr>
                <w:rFonts w:ascii="Arial" w:hAnsi="Arial" w:cs="Arial"/>
                <w:szCs w:val="20"/>
              </w:rPr>
            </w:pPr>
            <w:r w:rsidRPr="004E568C">
              <w:rPr>
                <w:rFonts w:ascii="Arial" w:hAnsi="Arial" w:cs="Arial"/>
                <w:szCs w:val="20"/>
              </w:rPr>
              <w:t>Action</w:t>
            </w:r>
          </w:p>
        </w:tc>
        <w:tc>
          <w:tcPr>
            <w:tcW w:w="1708"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E568C" w:rsidRDefault="004576BF" w:rsidP="003E2FEA">
            <w:pPr>
              <w:pStyle w:val="Tabletext"/>
              <w:cnfStyle w:val="100000000000"/>
              <w:rPr>
                <w:rFonts w:ascii="Arial" w:hAnsi="Arial" w:cs="Arial"/>
                <w:szCs w:val="20"/>
              </w:rPr>
            </w:pPr>
            <w:r w:rsidRPr="004E568C">
              <w:rPr>
                <w:rFonts w:ascii="Arial" w:hAnsi="Arial" w:cs="Arial"/>
                <w:szCs w:val="20"/>
              </w:rPr>
              <w:t>Description</w:t>
            </w:r>
          </w:p>
        </w:tc>
        <w:tc>
          <w:tcPr>
            <w:tcW w:w="950"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E568C" w:rsidRDefault="004576BF" w:rsidP="003E2FEA">
            <w:pPr>
              <w:pStyle w:val="Tabletext"/>
              <w:jc w:val="center"/>
              <w:cnfStyle w:val="100000000000"/>
              <w:rPr>
                <w:rFonts w:ascii="Arial" w:hAnsi="Arial" w:cs="Arial"/>
                <w:szCs w:val="20"/>
              </w:rPr>
            </w:pPr>
            <w:r w:rsidRPr="004E568C">
              <w:rPr>
                <w:rFonts w:ascii="Arial" w:hAnsi="Arial" w:cs="Arial"/>
                <w:szCs w:val="20"/>
              </w:rPr>
              <w:t>Priority</w:t>
            </w:r>
          </w:p>
        </w:tc>
        <w:tc>
          <w:tcPr>
            <w:tcW w:w="4384"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E568C" w:rsidRDefault="004576BF" w:rsidP="003E2FEA">
            <w:pPr>
              <w:pStyle w:val="Tabletext"/>
              <w:cnfStyle w:val="100000000000"/>
              <w:rPr>
                <w:rFonts w:ascii="Arial" w:hAnsi="Arial" w:cs="Arial"/>
                <w:szCs w:val="20"/>
              </w:rPr>
            </w:pPr>
            <w:r w:rsidRPr="004E568C">
              <w:rPr>
                <w:rFonts w:ascii="Arial" w:hAnsi="Arial" w:cs="Arial"/>
                <w:szCs w:val="20"/>
              </w:rPr>
              <w:t>Performance Criteria</w:t>
            </w:r>
          </w:p>
        </w:tc>
        <w:tc>
          <w:tcPr>
            <w:tcW w:w="1411"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576BF" w:rsidRDefault="004576BF" w:rsidP="004576BF">
            <w:pPr>
              <w:pStyle w:val="Tabletext"/>
              <w:cnfStyle w:val="100000000000"/>
              <w:rPr>
                <w:rFonts w:ascii="Arial" w:hAnsi="Arial" w:cs="Arial"/>
                <w:b w:val="0"/>
                <w:szCs w:val="20"/>
              </w:rPr>
            </w:pPr>
            <w:r w:rsidRPr="004576BF">
              <w:rPr>
                <w:rFonts w:ascii="Arial" w:hAnsi="Arial" w:cs="Arial"/>
                <w:szCs w:val="20"/>
              </w:rPr>
              <w:t xml:space="preserve">Responsible Agencies </w:t>
            </w:r>
            <w:r>
              <w:rPr>
                <w:rFonts w:ascii="Arial" w:hAnsi="Arial" w:cs="Arial"/>
                <w:b w:val="0"/>
                <w:i/>
                <w:szCs w:val="20"/>
              </w:rPr>
              <w:t>and potential p</w:t>
            </w:r>
            <w:r w:rsidRPr="004576BF">
              <w:rPr>
                <w:rFonts w:ascii="Arial" w:hAnsi="Arial" w:cs="Arial"/>
                <w:b w:val="0"/>
                <w:i/>
                <w:szCs w:val="20"/>
              </w:rPr>
              <w:t>artners</w:t>
            </w:r>
          </w:p>
        </w:tc>
        <w:tc>
          <w:tcPr>
            <w:tcW w:w="1383" w:type="dxa"/>
            <w:tcBorders>
              <w:top w:val="none" w:sz="0" w:space="0" w:color="auto"/>
              <w:left w:val="none" w:sz="0" w:space="0" w:color="auto"/>
              <w:bottom w:val="none" w:sz="0" w:space="0" w:color="auto"/>
              <w:right w:val="none" w:sz="0" w:space="0" w:color="auto"/>
            </w:tcBorders>
            <w:shd w:val="clear" w:color="auto" w:fill="7F7F7F" w:themeFill="text1" w:themeFillTint="80"/>
          </w:tcPr>
          <w:p w:rsidR="004576BF" w:rsidRPr="004576BF" w:rsidRDefault="004576BF" w:rsidP="004576BF">
            <w:pPr>
              <w:pStyle w:val="Tabletext"/>
              <w:jc w:val="center"/>
              <w:cnfStyle w:val="100000000000"/>
              <w:rPr>
                <w:rFonts w:ascii="Arial" w:hAnsi="Arial" w:cs="Arial"/>
                <w:szCs w:val="20"/>
              </w:rPr>
            </w:pPr>
            <w:r w:rsidRPr="004576BF">
              <w:rPr>
                <w:rFonts w:ascii="Arial" w:hAnsi="Arial" w:cs="Arial"/>
                <w:szCs w:val="20"/>
              </w:rPr>
              <w:t>Indicative Cost</w:t>
            </w:r>
          </w:p>
          <w:p w:rsidR="004576BF" w:rsidRPr="004576BF" w:rsidRDefault="004576BF" w:rsidP="004576BF">
            <w:pPr>
              <w:pStyle w:val="Tabletext"/>
              <w:jc w:val="center"/>
              <w:cnfStyle w:val="100000000000"/>
              <w:rPr>
                <w:rFonts w:ascii="Arial" w:hAnsi="Arial" w:cs="Arial"/>
                <w:b w:val="0"/>
                <w:i/>
                <w:szCs w:val="20"/>
              </w:rPr>
            </w:pPr>
            <w:r w:rsidRPr="004576BF">
              <w:rPr>
                <w:rFonts w:ascii="Arial" w:hAnsi="Arial" w:cs="Arial"/>
                <w:b w:val="0"/>
                <w:i/>
                <w:szCs w:val="20"/>
              </w:rPr>
              <w:t>*priority 1 only</w:t>
            </w:r>
          </w:p>
        </w:tc>
      </w:tr>
      <w:tr w:rsidR="00B028F4" w:rsidRPr="004E568C" w:rsidTr="00573265">
        <w:trPr>
          <w:cnfStyle w:val="000000100000"/>
          <w:trHeight w:val="1443"/>
        </w:trPr>
        <w:tc>
          <w:tcPr>
            <w:cnfStyle w:val="001000000000"/>
            <w:tcW w:w="8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pStyle w:val="Tabletext"/>
              <w:jc w:val="center"/>
              <w:rPr>
                <w:rFonts w:ascii="Arial" w:hAnsi="Arial" w:cs="Arial"/>
                <w:szCs w:val="20"/>
              </w:rPr>
            </w:pPr>
            <w:r w:rsidRPr="004E568C">
              <w:rPr>
                <w:rFonts w:ascii="Arial" w:hAnsi="Arial" w:cs="Arial"/>
                <w:szCs w:val="20"/>
              </w:rPr>
              <w:t>6b</w:t>
            </w:r>
          </w:p>
        </w:tc>
        <w:tc>
          <w:tcPr>
            <w:tcW w:w="17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5C14BF">
            <w:pPr>
              <w:spacing w:after="0"/>
              <w:cnfStyle w:val="000000100000"/>
              <w:rPr>
                <w:rFonts w:cs="Arial"/>
                <w:szCs w:val="20"/>
              </w:rPr>
            </w:pPr>
            <w:r w:rsidRPr="004E568C">
              <w:rPr>
                <w:rFonts w:cs="Arial"/>
                <w:szCs w:val="20"/>
              </w:rPr>
              <w:t>Continue to inform, support and encourage landholders and other commun</w:t>
            </w:r>
            <w:r w:rsidR="00C1420F">
              <w:rPr>
                <w:rFonts w:cs="Arial"/>
                <w:szCs w:val="20"/>
              </w:rPr>
              <w:t>ity members, including I</w:t>
            </w:r>
            <w:r w:rsidRPr="004E568C">
              <w:rPr>
                <w:rFonts w:cs="Arial"/>
                <w:szCs w:val="20"/>
              </w:rPr>
              <w:t>ndigeno</w:t>
            </w:r>
            <w:r w:rsidR="00C1420F">
              <w:rPr>
                <w:rFonts w:cs="Arial"/>
                <w:szCs w:val="20"/>
              </w:rPr>
              <w:t>us groups, to be involved in</w:t>
            </w:r>
            <w:r w:rsidRPr="004E568C">
              <w:rPr>
                <w:rFonts w:cs="Arial"/>
                <w:szCs w:val="20"/>
              </w:rPr>
              <w:t xml:space="preserve"> </w:t>
            </w:r>
            <w:r w:rsidR="00C1420F" w:rsidRPr="004E568C">
              <w:rPr>
                <w:rFonts w:cs="Arial"/>
                <w:szCs w:val="20"/>
              </w:rPr>
              <w:t xml:space="preserve">plains-wanderer </w:t>
            </w:r>
            <w:r w:rsidRPr="004E568C">
              <w:rPr>
                <w:rFonts w:cs="Arial"/>
                <w:szCs w:val="20"/>
              </w:rPr>
              <w:t>conservation.</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pStyle w:val="Tabletext"/>
              <w:jc w:val="center"/>
              <w:cnfStyle w:val="000000100000"/>
              <w:rPr>
                <w:rFonts w:cs="Arial"/>
                <w:szCs w:val="20"/>
              </w:rPr>
            </w:pPr>
            <w:r w:rsidRPr="004E568C">
              <w:rPr>
                <w:rFonts w:cs="Arial"/>
                <w:szCs w:val="20"/>
              </w:rPr>
              <w:t>2</w:t>
            </w:r>
          </w:p>
        </w:tc>
        <w:tc>
          <w:tcPr>
            <w:tcW w:w="438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pStyle w:val="ListBullet"/>
              <w:cnfStyle w:val="000000100000"/>
              <w:rPr>
                <w:rFonts w:cs="Arial"/>
                <w:szCs w:val="20"/>
              </w:rPr>
            </w:pPr>
            <w:r w:rsidRPr="004E568C">
              <w:rPr>
                <w:rFonts w:cs="Arial"/>
                <w:szCs w:val="20"/>
              </w:rPr>
              <w:t>All landholders with plains-wanderer habitat are aware of the species and its management requirements and have been encouraged to manage their native grasslands for biodiversity outcomes.</w:t>
            </w:r>
          </w:p>
          <w:p w:rsidR="00B028F4" w:rsidRPr="004E568C" w:rsidRDefault="00B028F4" w:rsidP="003E2FEA">
            <w:pPr>
              <w:pStyle w:val="ListBullet"/>
              <w:cnfStyle w:val="000000100000"/>
              <w:rPr>
                <w:rFonts w:cs="Arial"/>
                <w:szCs w:val="20"/>
                <w:lang w:eastAsia="en-AU"/>
              </w:rPr>
            </w:pPr>
            <w:r w:rsidRPr="004E568C">
              <w:rPr>
                <w:rFonts w:cs="Arial"/>
                <w:szCs w:val="20"/>
              </w:rPr>
              <w:t xml:space="preserve">Locally-based facilitator/s </w:t>
            </w:r>
            <w:proofErr w:type="gramStart"/>
            <w:r w:rsidRPr="004E568C">
              <w:rPr>
                <w:rFonts w:cs="Arial"/>
                <w:szCs w:val="20"/>
              </w:rPr>
              <w:t>are</w:t>
            </w:r>
            <w:proofErr w:type="gramEnd"/>
            <w:r w:rsidRPr="004E568C">
              <w:rPr>
                <w:rFonts w:cs="Arial"/>
                <w:szCs w:val="20"/>
              </w:rPr>
              <w:t xml:space="preserve"> established to engage with landholders on improved habitat management and delivery of incentive and/or stewardship programs.</w:t>
            </w:r>
          </w:p>
        </w:tc>
        <w:tc>
          <w:tcPr>
            <w:tcW w:w="141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5C2C69" w:rsidRDefault="00B028F4" w:rsidP="003E2FEA">
            <w:pPr>
              <w:pStyle w:val="Tabletext"/>
              <w:cnfStyle w:val="000000100000"/>
              <w:rPr>
                <w:rFonts w:cs="Arial"/>
                <w:b/>
                <w:szCs w:val="20"/>
              </w:rPr>
            </w:pPr>
            <w:r w:rsidRPr="005C2C69">
              <w:rPr>
                <w:rFonts w:cs="Arial"/>
                <w:b/>
                <w:szCs w:val="20"/>
              </w:rPr>
              <w:t>OEH</w:t>
            </w:r>
          </w:p>
          <w:p w:rsidR="00B028F4" w:rsidRDefault="00B028F4" w:rsidP="003E2FEA">
            <w:pPr>
              <w:pStyle w:val="Tabletext"/>
              <w:cnfStyle w:val="000000100000"/>
              <w:rPr>
                <w:rFonts w:cs="Arial"/>
                <w:b/>
                <w:szCs w:val="20"/>
              </w:rPr>
            </w:pPr>
            <w:r w:rsidRPr="005C2C69">
              <w:rPr>
                <w:rFonts w:cs="Arial"/>
                <w:b/>
                <w:szCs w:val="20"/>
              </w:rPr>
              <w:t>DELWP</w:t>
            </w:r>
          </w:p>
          <w:p w:rsidR="00815A85" w:rsidRPr="004E568C" w:rsidRDefault="00815A85" w:rsidP="003E2FEA">
            <w:pPr>
              <w:pStyle w:val="Tabletext"/>
              <w:cnfStyle w:val="000000100000"/>
              <w:rPr>
                <w:rFonts w:cs="Arial"/>
                <w:szCs w:val="20"/>
              </w:rPr>
            </w:pPr>
            <w:r>
              <w:rPr>
                <w:rFonts w:cs="Arial"/>
                <w:b/>
                <w:szCs w:val="20"/>
              </w:rPr>
              <w:t>PV</w:t>
            </w:r>
          </w:p>
          <w:p w:rsidR="00B028F4" w:rsidRPr="004E568C" w:rsidRDefault="00B028F4" w:rsidP="003E2FEA">
            <w:pPr>
              <w:pStyle w:val="Tabletext"/>
              <w:cnfStyle w:val="000000100000"/>
              <w:rPr>
                <w:rFonts w:cs="Arial"/>
                <w:szCs w:val="20"/>
              </w:rPr>
            </w:pPr>
            <w:r w:rsidRPr="004E568C">
              <w:rPr>
                <w:rFonts w:cs="Arial"/>
                <w:szCs w:val="20"/>
              </w:rPr>
              <w:t>DEWNR</w:t>
            </w:r>
          </w:p>
          <w:p w:rsidR="00B028F4" w:rsidRPr="004E568C" w:rsidRDefault="002269C6" w:rsidP="003E2FEA">
            <w:pPr>
              <w:pStyle w:val="Tabletext"/>
              <w:cnfStyle w:val="000000100000"/>
              <w:rPr>
                <w:rFonts w:cs="Arial"/>
                <w:szCs w:val="20"/>
              </w:rPr>
            </w:pPr>
            <w:r>
              <w:rPr>
                <w:rFonts w:cs="Arial"/>
                <w:szCs w:val="20"/>
              </w:rPr>
              <w:t>DEHP</w:t>
            </w:r>
          </w:p>
          <w:p w:rsidR="00B028F4" w:rsidRPr="004E568C" w:rsidRDefault="00B028F4" w:rsidP="003E2FEA">
            <w:pPr>
              <w:pStyle w:val="Tabletext"/>
              <w:cnfStyle w:val="000000100000"/>
              <w:rPr>
                <w:rFonts w:cs="Arial"/>
                <w:szCs w:val="20"/>
              </w:rPr>
            </w:pPr>
            <w:r w:rsidRPr="004E568C">
              <w:rPr>
                <w:rFonts w:cs="Arial"/>
                <w:szCs w:val="20"/>
              </w:rPr>
              <w:t>Friends of TTNP</w:t>
            </w:r>
          </w:p>
          <w:p w:rsidR="00B028F4" w:rsidRPr="004E568C" w:rsidRDefault="00B028F4" w:rsidP="003E2FEA">
            <w:pPr>
              <w:pStyle w:val="Tabletext"/>
              <w:cnfStyle w:val="000000100000"/>
              <w:rPr>
                <w:rFonts w:cs="Arial"/>
                <w:szCs w:val="20"/>
              </w:rPr>
            </w:pPr>
            <w:r w:rsidRPr="004E568C">
              <w:rPr>
                <w:rFonts w:cs="Arial"/>
                <w:szCs w:val="20"/>
              </w:rPr>
              <w:t>Geelong FNC</w:t>
            </w:r>
          </w:p>
          <w:p w:rsidR="00B028F4" w:rsidRPr="004E568C" w:rsidRDefault="00B028F4" w:rsidP="003E2FEA">
            <w:pPr>
              <w:pStyle w:val="Tabletext"/>
              <w:cnfStyle w:val="000000100000"/>
              <w:rPr>
                <w:rFonts w:cs="Arial"/>
                <w:szCs w:val="20"/>
              </w:rPr>
            </w:pPr>
            <w:r w:rsidRPr="004E568C">
              <w:rPr>
                <w:rFonts w:cs="Arial"/>
                <w:szCs w:val="20"/>
              </w:rPr>
              <w:t>TfN</w:t>
            </w:r>
          </w:p>
          <w:p w:rsidR="00B028F4" w:rsidRPr="004E568C" w:rsidRDefault="00815A85" w:rsidP="003E2FEA">
            <w:pPr>
              <w:pStyle w:val="Tabletext"/>
              <w:spacing w:after="240"/>
              <w:cnfStyle w:val="000000100000"/>
              <w:rPr>
                <w:rFonts w:cs="Arial"/>
                <w:szCs w:val="20"/>
              </w:rPr>
            </w:pPr>
            <w:r>
              <w:rPr>
                <w:rFonts w:cs="Arial"/>
                <w:szCs w:val="20"/>
              </w:rPr>
              <w:t>BHA</w:t>
            </w:r>
          </w:p>
        </w:tc>
        <w:tc>
          <w:tcPr>
            <w:tcW w:w="138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1332DF" w:rsidP="003E2FEA">
            <w:pPr>
              <w:pStyle w:val="Tabletext"/>
              <w:jc w:val="center"/>
              <w:cnfStyle w:val="000000100000"/>
              <w:rPr>
                <w:rFonts w:cs="Arial"/>
                <w:szCs w:val="20"/>
              </w:rPr>
            </w:pPr>
            <w:r>
              <w:rPr>
                <w:rFonts w:cs="Arial"/>
                <w:szCs w:val="20"/>
              </w:rPr>
              <w:t>-</w:t>
            </w:r>
          </w:p>
        </w:tc>
      </w:tr>
      <w:tr w:rsidR="00B028F4" w:rsidRPr="004E568C" w:rsidTr="00573265">
        <w:trPr>
          <w:cnfStyle w:val="000000010000"/>
          <w:trHeight w:val="540"/>
        </w:trPr>
        <w:tc>
          <w:tcPr>
            <w:cnfStyle w:val="001000000000"/>
            <w:tcW w:w="83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pStyle w:val="Tabletext"/>
              <w:jc w:val="center"/>
              <w:rPr>
                <w:rFonts w:ascii="Arial" w:hAnsi="Arial" w:cs="Arial"/>
                <w:szCs w:val="20"/>
              </w:rPr>
            </w:pPr>
            <w:r w:rsidRPr="004E568C">
              <w:rPr>
                <w:rFonts w:ascii="Arial" w:hAnsi="Arial" w:cs="Arial"/>
                <w:szCs w:val="20"/>
              </w:rPr>
              <w:t>6c</w:t>
            </w:r>
          </w:p>
        </w:tc>
        <w:tc>
          <w:tcPr>
            <w:tcW w:w="170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5C14BF">
            <w:pPr>
              <w:spacing w:after="0"/>
              <w:cnfStyle w:val="000000010000"/>
              <w:rPr>
                <w:rFonts w:cs="Arial"/>
                <w:szCs w:val="20"/>
              </w:rPr>
            </w:pPr>
            <w:r w:rsidRPr="004E568C">
              <w:rPr>
                <w:rFonts w:cs="Arial"/>
                <w:szCs w:val="20"/>
              </w:rPr>
              <w:t xml:space="preserve">Develop a targeted information pack to assist landholders, outdoor enthusiasts and professionals </w:t>
            </w:r>
            <w:r w:rsidR="005C2C69">
              <w:rPr>
                <w:rFonts w:cs="Arial"/>
                <w:szCs w:val="20"/>
              </w:rPr>
              <w:t>to identify and report</w:t>
            </w:r>
            <w:r w:rsidRPr="004E568C">
              <w:rPr>
                <w:rFonts w:cs="Arial"/>
                <w:szCs w:val="20"/>
              </w:rPr>
              <w:t xml:space="preserve"> sightings of plains-wanderers</w:t>
            </w:r>
            <w:r w:rsidR="005C2C69">
              <w:rPr>
                <w:rFonts w:cs="Arial"/>
                <w:szCs w:val="20"/>
              </w:rPr>
              <w:t>.</w:t>
            </w:r>
            <w:r w:rsidRPr="004E568C">
              <w:rPr>
                <w:rFonts w:cs="Arial"/>
                <w:szCs w:val="20"/>
              </w:rPr>
              <w:t xml:space="preserve"> </w:t>
            </w:r>
          </w:p>
        </w:tc>
        <w:tc>
          <w:tcPr>
            <w:tcW w:w="9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pStyle w:val="Tabletext"/>
              <w:jc w:val="center"/>
              <w:cnfStyle w:val="000000010000"/>
              <w:rPr>
                <w:rFonts w:cs="Arial"/>
                <w:szCs w:val="20"/>
              </w:rPr>
            </w:pPr>
            <w:r w:rsidRPr="004E568C">
              <w:rPr>
                <w:rFonts w:cs="Arial"/>
                <w:szCs w:val="20"/>
              </w:rPr>
              <w:t>3</w:t>
            </w:r>
          </w:p>
        </w:tc>
        <w:tc>
          <w:tcPr>
            <w:tcW w:w="4384"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B028F4" w:rsidP="003E2FEA">
            <w:pPr>
              <w:pStyle w:val="ListBullet"/>
              <w:cnfStyle w:val="000000010000"/>
              <w:rPr>
                <w:rFonts w:cs="Arial"/>
                <w:szCs w:val="20"/>
              </w:rPr>
            </w:pPr>
            <w:r w:rsidRPr="004E568C">
              <w:rPr>
                <w:rFonts w:cs="Arial"/>
                <w:szCs w:val="20"/>
              </w:rPr>
              <w:t>An information pack that aids in identification, and provides details of how to report sightings, of plains-wanderers is developed and distributed among landholders and other members of the public that engage in work or recreational activities in known or potential plains-wanderer habitat</w:t>
            </w:r>
          </w:p>
          <w:p w:rsidR="00B028F4" w:rsidRPr="004E568C" w:rsidRDefault="00B028F4" w:rsidP="005C2C69">
            <w:pPr>
              <w:pStyle w:val="ListBullet"/>
              <w:cnfStyle w:val="000000010000"/>
              <w:rPr>
                <w:rFonts w:cs="Arial"/>
                <w:szCs w:val="20"/>
              </w:rPr>
            </w:pPr>
            <w:r w:rsidRPr="004E568C">
              <w:rPr>
                <w:rFonts w:cs="Arial"/>
                <w:szCs w:val="20"/>
              </w:rPr>
              <w:t>Reported sightings of plains-wanderers are collated and information disseminated among relevant stakeholders.</w:t>
            </w:r>
          </w:p>
        </w:tc>
        <w:tc>
          <w:tcPr>
            <w:tcW w:w="141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Default="00B028F4" w:rsidP="003E2FEA">
            <w:pPr>
              <w:pStyle w:val="Tabletext"/>
              <w:cnfStyle w:val="000000010000"/>
              <w:rPr>
                <w:rFonts w:cs="Arial"/>
                <w:b/>
                <w:szCs w:val="20"/>
              </w:rPr>
            </w:pPr>
            <w:r w:rsidRPr="005C2C69">
              <w:rPr>
                <w:rFonts w:cs="Arial"/>
                <w:b/>
                <w:szCs w:val="20"/>
              </w:rPr>
              <w:t>DELWP</w:t>
            </w:r>
          </w:p>
          <w:p w:rsidR="00815A85" w:rsidRPr="005C2C69" w:rsidRDefault="00815A85" w:rsidP="003E2FEA">
            <w:pPr>
              <w:pStyle w:val="Tabletext"/>
              <w:cnfStyle w:val="000000010000"/>
              <w:rPr>
                <w:rFonts w:cs="Arial"/>
                <w:b/>
                <w:szCs w:val="20"/>
              </w:rPr>
            </w:pPr>
            <w:r>
              <w:rPr>
                <w:rFonts w:cs="Arial"/>
                <w:b/>
                <w:szCs w:val="20"/>
              </w:rPr>
              <w:t>PV</w:t>
            </w:r>
          </w:p>
          <w:p w:rsidR="00B028F4" w:rsidRPr="004E568C" w:rsidRDefault="00B028F4" w:rsidP="003E2FEA">
            <w:pPr>
              <w:pStyle w:val="Tabletext"/>
              <w:cnfStyle w:val="000000010000"/>
              <w:rPr>
                <w:rFonts w:cs="Arial"/>
                <w:szCs w:val="20"/>
              </w:rPr>
            </w:pPr>
            <w:r w:rsidRPr="005C2C69">
              <w:rPr>
                <w:rFonts w:cs="Arial"/>
                <w:b/>
                <w:szCs w:val="20"/>
              </w:rPr>
              <w:t>OEH</w:t>
            </w:r>
          </w:p>
          <w:p w:rsidR="00B028F4" w:rsidRPr="004E568C" w:rsidRDefault="005C2C69" w:rsidP="003E2FEA">
            <w:pPr>
              <w:pStyle w:val="Tabletext"/>
              <w:cnfStyle w:val="000000010000"/>
              <w:rPr>
                <w:rFonts w:cs="Arial"/>
                <w:szCs w:val="20"/>
              </w:rPr>
            </w:pPr>
            <w:r>
              <w:rPr>
                <w:rFonts w:cs="Arial"/>
                <w:szCs w:val="20"/>
              </w:rPr>
              <w:t>PwRT</w:t>
            </w:r>
          </w:p>
          <w:p w:rsidR="00B028F4" w:rsidRPr="004E568C" w:rsidRDefault="00B028F4" w:rsidP="003E2FEA">
            <w:pPr>
              <w:pStyle w:val="Tabletext"/>
              <w:cnfStyle w:val="000000010000"/>
              <w:rPr>
                <w:rFonts w:cs="Arial"/>
                <w:szCs w:val="20"/>
              </w:rPr>
            </w:pPr>
            <w:r w:rsidRPr="004E568C">
              <w:rPr>
                <w:rFonts w:cs="Arial"/>
                <w:szCs w:val="20"/>
              </w:rPr>
              <w:t>BirdLife Australia</w:t>
            </w:r>
          </w:p>
        </w:tc>
        <w:tc>
          <w:tcPr>
            <w:tcW w:w="138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028F4" w:rsidRPr="004E568C" w:rsidRDefault="001332DF" w:rsidP="003E2FEA">
            <w:pPr>
              <w:pStyle w:val="Tabletext"/>
              <w:jc w:val="center"/>
              <w:cnfStyle w:val="000000010000"/>
              <w:rPr>
                <w:rFonts w:cs="Arial"/>
                <w:szCs w:val="20"/>
              </w:rPr>
            </w:pPr>
            <w:r>
              <w:rPr>
                <w:rFonts w:cs="Arial"/>
                <w:szCs w:val="20"/>
              </w:rPr>
              <w:t>-</w:t>
            </w:r>
          </w:p>
        </w:tc>
      </w:tr>
    </w:tbl>
    <w:p w:rsidR="00B028F4" w:rsidRPr="00CB1B6B" w:rsidRDefault="00B028F4" w:rsidP="003E2FEA">
      <w:pPr>
        <w:sectPr w:rsidR="00B028F4" w:rsidRPr="00CB1B6B" w:rsidSect="005E2592">
          <w:pgSz w:w="11899" w:h="16838"/>
          <w:pgMar w:top="720" w:right="720" w:bottom="720" w:left="720" w:header="720" w:footer="720" w:gutter="0"/>
          <w:cols w:space="720"/>
          <w:noEndnote/>
          <w:docGrid w:linePitch="326"/>
        </w:sectPr>
      </w:pPr>
    </w:p>
    <w:p w:rsidR="0035132E" w:rsidRPr="00866B9B" w:rsidRDefault="0035132E" w:rsidP="003E2FEA">
      <w:pPr>
        <w:pStyle w:val="Heading1"/>
        <w:ind w:left="142" w:right="-427" w:hanging="720"/>
      </w:pPr>
      <w:bookmarkStart w:id="201" w:name="_Toc445307832"/>
      <w:r w:rsidRPr="00866B9B">
        <w:t>8</w:t>
      </w:r>
      <w:r w:rsidRPr="00866B9B">
        <w:tab/>
      </w:r>
      <w:bookmarkStart w:id="202" w:name="_Toc390851178"/>
      <w:r w:rsidRPr="00866B9B">
        <w:t>D</w:t>
      </w:r>
      <w:bookmarkEnd w:id="182"/>
      <w:bookmarkEnd w:id="183"/>
      <w:r w:rsidR="001503C6">
        <w:t>uration and cost of recovery process</w:t>
      </w:r>
      <w:bookmarkEnd w:id="201"/>
    </w:p>
    <w:p w:rsidR="0035132E" w:rsidRPr="00226E9E" w:rsidRDefault="0035132E" w:rsidP="003E2FEA">
      <w:pPr>
        <w:ind w:left="-567" w:right="-427"/>
        <w:rPr>
          <w:sz w:val="22"/>
        </w:rPr>
      </w:pPr>
      <w:r w:rsidRPr="00226E9E">
        <w:rPr>
          <w:sz w:val="22"/>
        </w:rPr>
        <w:t xml:space="preserve">It is anticipated that the recovery process will not be achieved prior to the scheduled five year review of the recovery plan. The </w:t>
      </w:r>
      <w:r w:rsidR="002269C6" w:rsidRPr="002269C6">
        <w:rPr>
          <w:i/>
          <w:sz w:val="22"/>
        </w:rPr>
        <w:t xml:space="preserve">National </w:t>
      </w:r>
      <w:r w:rsidRPr="002269C6">
        <w:rPr>
          <w:i/>
          <w:sz w:val="22"/>
        </w:rPr>
        <w:t>Recovery Plan for the Plains-wanderer (Pedionomus torquatus)</w:t>
      </w:r>
      <w:r>
        <w:rPr>
          <w:sz w:val="22"/>
        </w:rPr>
        <w:t xml:space="preserve"> will </w:t>
      </w:r>
      <w:r w:rsidRPr="00226E9E">
        <w:rPr>
          <w:sz w:val="22"/>
        </w:rPr>
        <w:t>therefore remain in place until such time as the Australian population o</w:t>
      </w:r>
      <w:r>
        <w:rPr>
          <w:sz w:val="22"/>
        </w:rPr>
        <w:t xml:space="preserve">f </w:t>
      </w:r>
      <w:r w:rsidR="00CB2F82">
        <w:rPr>
          <w:sz w:val="22"/>
        </w:rPr>
        <w:t xml:space="preserve">the </w:t>
      </w:r>
      <w:r>
        <w:rPr>
          <w:sz w:val="22"/>
        </w:rPr>
        <w:t xml:space="preserve">plains-wanderer has improved </w:t>
      </w:r>
      <w:r w:rsidRPr="00226E9E">
        <w:rPr>
          <w:sz w:val="22"/>
        </w:rPr>
        <w:t>to the point at which the population no longer meets threatened species status under the EPBC Act.</w:t>
      </w:r>
      <w:bookmarkEnd w:id="202"/>
      <w:r w:rsidRPr="00226E9E">
        <w:rPr>
          <w:sz w:val="22"/>
        </w:rPr>
        <w:t xml:space="preserve"> </w:t>
      </w:r>
    </w:p>
    <w:p w:rsidR="0035132E" w:rsidRPr="00226E9E" w:rsidRDefault="0035132E" w:rsidP="003E2FEA">
      <w:pPr>
        <w:ind w:left="-567" w:right="-427"/>
        <w:rPr>
          <w:sz w:val="22"/>
        </w:rPr>
      </w:pPr>
      <w:bookmarkStart w:id="203" w:name="_Toc390851179"/>
      <w:r w:rsidRPr="00226E9E">
        <w:rPr>
          <w:sz w:val="22"/>
        </w:rPr>
        <w:t>The cost of implementation of this plan should be incorporated into t</w:t>
      </w:r>
      <w:r>
        <w:rPr>
          <w:sz w:val="22"/>
        </w:rPr>
        <w:t xml:space="preserve">he core business expenditure of </w:t>
      </w:r>
      <w:r w:rsidRPr="00226E9E">
        <w:rPr>
          <w:sz w:val="22"/>
        </w:rPr>
        <w:t>the affected organisations and through additional funds obtai</w:t>
      </w:r>
      <w:r>
        <w:rPr>
          <w:sz w:val="22"/>
        </w:rPr>
        <w:t xml:space="preserve">ned for the explicit purpose of </w:t>
      </w:r>
      <w:r w:rsidRPr="00226E9E">
        <w:rPr>
          <w:sz w:val="22"/>
        </w:rPr>
        <w:t>implementing this recovery plan. It is expected that state and Comm</w:t>
      </w:r>
      <w:r>
        <w:rPr>
          <w:sz w:val="22"/>
        </w:rPr>
        <w:t xml:space="preserve">onwealth agencies will use this </w:t>
      </w:r>
      <w:r w:rsidRPr="00226E9E">
        <w:rPr>
          <w:sz w:val="22"/>
        </w:rPr>
        <w:t>plan to prioritise actions to protect the species and enhance its reco</w:t>
      </w:r>
      <w:r>
        <w:rPr>
          <w:sz w:val="22"/>
        </w:rPr>
        <w:t xml:space="preserve">very, and that projects will be </w:t>
      </w:r>
      <w:r w:rsidRPr="00226E9E">
        <w:rPr>
          <w:sz w:val="22"/>
        </w:rPr>
        <w:t>undertaken according to agency priorities and available resources.</w:t>
      </w:r>
      <w:bookmarkEnd w:id="203"/>
      <w:r w:rsidR="00930A5C">
        <w:rPr>
          <w:sz w:val="22"/>
        </w:rPr>
        <w:t xml:space="preserve"> Whilst only </w:t>
      </w:r>
      <w:r w:rsidR="006E50A3">
        <w:rPr>
          <w:sz w:val="22"/>
        </w:rPr>
        <w:t>Prio</w:t>
      </w:r>
      <w:r w:rsidR="00930A5C">
        <w:rPr>
          <w:sz w:val="22"/>
        </w:rPr>
        <w:t>r</w:t>
      </w:r>
      <w:r w:rsidR="006E50A3">
        <w:rPr>
          <w:sz w:val="22"/>
        </w:rPr>
        <w:t>i</w:t>
      </w:r>
      <w:r w:rsidR="00930A5C">
        <w:rPr>
          <w:sz w:val="22"/>
        </w:rPr>
        <w:t>ty 1 actions are</w:t>
      </w:r>
      <w:r w:rsidR="006E50A3">
        <w:rPr>
          <w:sz w:val="22"/>
        </w:rPr>
        <w:t xml:space="preserve"> costed in this recovery plan, this should</w:t>
      </w:r>
      <w:r w:rsidR="000023CD">
        <w:rPr>
          <w:sz w:val="22"/>
        </w:rPr>
        <w:t xml:space="preserve"> not</w:t>
      </w:r>
      <w:r w:rsidR="006E50A3">
        <w:rPr>
          <w:sz w:val="22"/>
        </w:rPr>
        <w:t xml:space="preserve"> deflect from any proposal to undertake Priority 2 or 3 actions. All actions are considered important steps towards ensuring the long-term survival of the species. </w:t>
      </w:r>
    </w:p>
    <w:p w:rsidR="0035132E" w:rsidRPr="006C0AF4" w:rsidRDefault="00142921" w:rsidP="003E2FEA">
      <w:pPr>
        <w:pStyle w:val="Caption"/>
        <w:ind w:left="-567" w:right="-427"/>
        <w:rPr>
          <w:sz w:val="22"/>
          <w:szCs w:val="22"/>
        </w:rPr>
      </w:pPr>
      <w:bookmarkStart w:id="204" w:name="_Toc417633340"/>
      <w:proofErr w:type="gramStart"/>
      <w:r w:rsidRPr="00142921">
        <w:rPr>
          <w:i/>
          <w:sz w:val="22"/>
          <w:szCs w:val="22"/>
        </w:rPr>
        <w:t>Table 3:</w:t>
      </w:r>
      <w:r w:rsidR="0035132E" w:rsidRPr="006C0AF4">
        <w:rPr>
          <w:sz w:val="22"/>
          <w:szCs w:val="22"/>
        </w:rPr>
        <w:t xml:space="preserve"> </w:t>
      </w:r>
      <w:r w:rsidRPr="00142921">
        <w:rPr>
          <w:b w:val="0"/>
          <w:i/>
          <w:sz w:val="22"/>
          <w:szCs w:val="22"/>
        </w:rPr>
        <w:t>Summary of Priority 1 recovery actions and estimated costs in ($000’s) for the first five years of implementation (these estimated costs do not take into account inflation over time).</w:t>
      </w:r>
      <w:bookmarkEnd w:id="204"/>
      <w:proofErr w:type="gramEnd"/>
    </w:p>
    <w:tbl>
      <w:tblPr>
        <w:tblW w:w="10836" w:type="dxa"/>
        <w:jc w:val="center"/>
        <w:tblInd w:w="1847" w:type="dxa"/>
        <w:tblBorders>
          <w:top w:val="single" w:sz="4" w:space="0" w:color="17365D" w:themeColor="text2" w:themeShade="BF"/>
          <w:bottom w:val="single" w:sz="4" w:space="0" w:color="17365D" w:themeColor="text2" w:themeShade="BF"/>
          <w:insideH w:val="single" w:sz="4" w:space="0" w:color="17365D" w:themeColor="text2" w:themeShade="BF"/>
        </w:tblBorders>
        <w:tblLayout w:type="fixed"/>
        <w:tblLook w:val="01E0"/>
      </w:tblPr>
      <w:tblGrid>
        <w:gridCol w:w="5108"/>
        <w:gridCol w:w="992"/>
        <w:gridCol w:w="992"/>
        <w:gridCol w:w="992"/>
        <w:gridCol w:w="993"/>
        <w:gridCol w:w="992"/>
        <w:gridCol w:w="767"/>
      </w:tblGrid>
      <w:tr w:rsidR="0018674C" w:rsidRPr="003B465A" w:rsidTr="001503C6">
        <w:trPr>
          <w:cantSplit/>
          <w:jc w:val="center"/>
        </w:trPr>
        <w:tc>
          <w:tcPr>
            <w:tcW w:w="5108" w:type="dxa"/>
            <w:vMerge w:val="restart"/>
            <w:tcBorders>
              <w:bottom w:val="single" w:sz="4" w:space="0" w:color="17365D" w:themeColor="text2" w:themeShade="BF"/>
            </w:tcBorders>
            <w:shd w:val="clear" w:color="auto" w:fill="17365D" w:themeFill="text2" w:themeFillShade="BF"/>
            <w:vAlign w:val="center"/>
          </w:tcPr>
          <w:p w:rsidR="0035132E" w:rsidRPr="003B465A" w:rsidRDefault="0035132E" w:rsidP="003E2FEA">
            <w:pPr>
              <w:pStyle w:val="Tabletext"/>
              <w:rPr>
                <w:b/>
                <w:sz w:val="22"/>
              </w:rPr>
            </w:pPr>
            <w:bookmarkStart w:id="205" w:name="_Hlk236199958"/>
            <w:r w:rsidRPr="003B465A">
              <w:rPr>
                <w:b/>
                <w:sz w:val="22"/>
              </w:rPr>
              <w:t>Action</w:t>
            </w:r>
          </w:p>
        </w:tc>
        <w:tc>
          <w:tcPr>
            <w:tcW w:w="5728" w:type="dxa"/>
            <w:gridSpan w:val="6"/>
            <w:tcBorders>
              <w:bottom w:val="single" w:sz="4" w:space="0" w:color="17365D" w:themeColor="text2" w:themeShade="BF"/>
            </w:tcBorders>
            <w:shd w:val="clear" w:color="auto" w:fill="17365D" w:themeFill="text2" w:themeFillShade="BF"/>
            <w:vAlign w:val="center"/>
          </w:tcPr>
          <w:p w:rsidR="0035132E" w:rsidRPr="003B465A" w:rsidRDefault="0035132E" w:rsidP="003E2FEA">
            <w:pPr>
              <w:pStyle w:val="Tabletext"/>
              <w:jc w:val="center"/>
              <w:rPr>
                <w:b/>
                <w:sz w:val="22"/>
              </w:rPr>
            </w:pPr>
            <w:r w:rsidRPr="003B465A">
              <w:rPr>
                <w:b/>
                <w:sz w:val="22"/>
              </w:rPr>
              <w:t>Cost</w:t>
            </w:r>
          </w:p>
        </w:tc>
      </w:tr>
      <w:tr w:rsidR="0018674C" w:rsidRPr="003B465A" w:rsidTr="001503C6">
        <w:trPr>
          <w:cantSplit/>
          <w:jc w:val="center"/>
        </w:trPr>
        <w:tc>
          <w:tcPr>
            <w:tcW w:w="5108" w:type="dxa"/>
            <w:vMerge/>
            <w:shd w:val="clear" w:color="auto" w:fill="DBE5F1" w:themeFill="accent1" w:themeFillTint="33"/>
            <w:vAlign w:val="center"/>
          </w:tcPr>
          <w:p w:rsidR="0035132E" w:rsidRPr="003B465A" w:rsidRDefault="0035132E" w:rsidP="003E2FEA">
            <w:pPr>
              <w:pStyle w:val="Tabletext"/>
              <w:jc w:val="center"/>
              <w:rPr>
                <w:b/>
                <w:sz w:val="22"/>
              </w:rPr>
            </w:pPr>
          </w:p>
        </w:tc>
        <w:tc>
          <w:tcPr>
            <w:tcW w:w="992" w:type="dxa"/>
            <w:shd w:val="clear" w:color="auto" w:fill="DBE5F1" w:themeFill="accent1" w:themeFillTint="33"/>
            <w:vAlign w:val="center"/>
          </w:tcPr>
          <w:p w:rsidR="0035132E" w:rsidRPr="003B465A" w:rsidRDefault="00045764" w:rsidP="003E2FEA">
            <w:pPr>
              <w:pStyle w:val="Tabletext"/>
              <w:jc w:val="center"/>
              <w:rPr>
                <w:b/>
                <w:sz w:val="22"/>
              </w:rPr>
            </w:pPr>
            <w:r>
              <w:rPr>
                <w:b/>
                <w:sz w:val="22"/>
              </w:rPr>
              <w:t>Year 1</w:t>
            </w:r>
          </w:p>
        </w:tc>
        <w:tc>
          <w:tcPr>
            <w:tcW w:w="992" w:type="dxa"/>
            <w:shd w:val="clear" w:color="auto" w:fill="DBE5F1" w:themeFill="accent1" w:themeFillTint="33"/>
            <w:vAlign w:val="center"/>
          </w:tcPr>
          <w:p w:rsidR="0035132E" w:rsidRPr="003B465A" w:rsidRDefault="00045764" w:rsidP="003E2FEA">
            <w:pPr>
              <w:pStyle w:val="Tabletext"/>
              <w:jc w:val="center"/>
              <w:rPr>
                <w:b/>
                <w:sz w:val="22"/>
              </w:rPr>
            </w:pPr>
            <w:r>
              <w:rPr>
                <w:b/>
                <w:sz w:val="22"/>
              </w:rPr>
              <w:t>Year 2</w:t>
            </w:r>
          </w:p>
        </w:tc>
        <w:tc>
          <w:tcPr>
            <w:tcW w:w="992" w:type="dxa"/>
            <w:shd w:val="clear" w:color="auto" w:fill="DBE5F1" w:themeFill="accent1" w:themeFillTint="33"/>
            <w:vAlign w:val="center"/>
          </w:tcPr>
          <w:p w:rsidR="0035132E" w:rsidRPr="003B465A" w:rsidRDefault="00045764" w:rsidP="003E2FEA">
            <w:pPr>
              <w:pStyle w:val="Tabletext"/>
              <w:jc w:val="center"/>
              <w:rPr>
                <w:b/>
                <w:sz w:val="22"/>
              </w:rPr>
            </w:pPr>
            <w:r>
              <w:rPr>
                <w:b/>
                <w:sz w:val="22"/>
              </w:rPr>
              <w:t>Year 3</w:t>
            </w:r>
          </w:p>
        </w:tc>
        <w:tc>
          <w:tcPr>
            <w:tcW w:w="993" w:type="dxa"/>
            <w:shd w:val="clear" w:color="auto" w:fill="DBE5F1" w:themeFill="accent1" w:themeFillTint="33"/>
            <w:vAlign w:val="center"/>
          </w:tcPr>
          <w:p w:rsidR="0035132E" w:rsidRPr="003B465A" w:rsidRDefault="00045764" w:rsidP="003E2FEA">
            <w:pPr>
              <w:pStyle w:val="Tabletext"/>
              <w:jc w:val="center"/>
              <w:rPr>
                <w:b/>
                <w:sz w:val="22"/>
              </w:rPr>
            </w:pPr>
            <w:r>
              <w:rPr>
                <w:b/>
                <w:sz w:val="22"/>
              </w:rPr>
              <w:t>Year 4</w:t>
            </w:r>
          </w:p>
        </w:tc>
        <w:tc>
          <w:tcPr>
            <w:tcW w:w="992" w:type="dxa"/>
            <w:shd w:val="clear" w:color="auto" w:fill="DBE5F1" w:themeFill="accent1" w:themeFillTint="33"/>
            <w:vAlign w:val="center"/>
          </w:tcPr>
          <w:p w:rsidR="0035132E" w:rsidRPr="003B465A" w:rsidRDefault="00045764" w:rsidP="003E2FEA">
            <w:pPr>
              <w:pStyle w:val="Tabletext"/>
              <w:jc w:val="center"/>
              <w:rPr>
                <w:b/>
                <w:sz w:val="22"/>
              </w:rPr>
            </w:pPr>
            <w:r>
              <w:rPr>
                <w:b/>
                <w:sz w:val="22"/>
              </w:rPr>
              <w:t>Year 5</w:t>
            </w:r>
          </w:p>
        </w:tc>
        <w:tc>
          <w:tcPr>
            <w:tcW w:w="767" w:type="dxa"/>
            <w:shd w:val="clear" w:color="auto" w:fill="DBE5F1" w:themeFill="accent1" w:themeFillTint="33"/>
            <w:vAlign w:val="center"/>
          </w:tcPr>
          <w:p w:rsidR="0035132E" w:rsidRPr="003B465A" w:rsidRDefault="00045764" w:rsidP="003E2FEA">
            <w:pPr>
              <w:pStyle w:val="Tabletext"/>
              <w:jc w:val="center"/>
              <w:rPr>
                <w:b/>
                <w:sz w:val="22"/>
              </w:rPr>
            </w:pPr>
            <w:r>
              <w:rPr>
                <w:b/>
                <w:sz w:val="22"/>
              </w:rPr>
              <w:t>Total</w:t>
            </w:r>
          </w:p>
        </w:tc>
      </w:tr>
      <w:tr w:rsidR="0018674C" w:rsidRPr="003B465A" w:rsidTr="001503C6">
        <w:trPr>
          <w:cantSplit/>
          <w:trHeight w:val="520"/>
          <w:jc w:val="center"/>
        </w:trPr>
        <w:tc>
          <w:tcPr>
            <w:tcW w:w="5108" w:type="dxa"/>
            <w:shd w:val="clear" w:color="auto" w:fill="auto"/>
          </w:tcPr>
          <w:p w:rsidR="0035132E" w:rsidRPr="003B465A" w:rsidRDefault="003B465A" w:rsidP="003B465A">
            <w:pPr>
              <w:spacing w:after="0"/>
              <w:rPr>
                <w:sz w:val="22"/>
              </w:rPr>
            </w:pPr>
            <w:r w:rsidRPr="003B465A">
              <w:rPr>
                <w:sz w:val="22"/>
              </w:rPr>
              <w:t>Develop a captive breeding strategy for plains-wanderers.</w:t>
            </w:r>
          </w:p>
        </w:tc>
        <w:tc>
          <w:tcPr>
            <w:tcW w:w="992" w:type="dxa"/>
            <w:shd w:val="clear" w:color="auto" w:fill="auto"/>
            <w:vAlign w:val="center"/>
          </w:tcPr>
          <w:p w:rsidR="0035132E" w:rsidRPr="003B465A" w:rsidRDefault="003B465A" w:rsidP="005B7EA0">
            <w:pPr>
              <w:pStyle w:val="Tabletext"/>
              <w:jc w:val="center"/>
              <w:rPr>
                <w:sz w:val="22"/>
              </w:rPr>
            </w:pPr>
            <w:r w:rsidRPr="003B465A">
              <w:rPr>
                <w:sz w:val="22"/>
              </w:rPr>
              <w:t>15</w:t>
            </w:r>
          </w:p>
        </w:tc>
        <w:tc>
          <w:tcPr>
            <w:tcW w:w="992" w:type="dxa"/>
            <w:shd w:val="clear" w:color="auto" w:fill="auto"/>
            <w:vAlign w:val="center"/>
          </w:tcPr>
          <w:p w:rsidR="0035132E" w:rsidRPr="003B465A" w:rsidRDefault="005B7EA0" w:rsidP="003E2FEA">
            <w:pPr>
              <w:pStyle w:val="Tabletext"/>
              <w:jc w:val="center"/>
              <w:rPr>
                <w:sz w:val="22"/>
              </w:rPr>
            </w:pPr>
            <w:r>
              <w:rPr>
                <w:sz w:val="22"/>
              </w:rPr>
              <w:t>-</w:t>
            </w:r>
          </w:p>
        </w:tc>
        <w:tc>
          <w:tcPr>
            <w:tcW w:w="992" w:type="dxa"/>
            <w:shd w:val="clear" w:color="auto" w:fill="auto"/>
            <w:vAlign w:val="center"/>
          </w:tcPr>
          <w:p w:rsidR="0035132E" w:rsidRPr="003B465A" w:rsidRDefault="005B7EA0" w:rsidP="003E2FEA">
            <w:pPr>
              <w:pStyle w:val="Tabletext"/>
              <w:jc w:val="center"/>
              <w:rPr>
                <w:sz w:val="22"/>
              </w:rPr>
            </w:pPr>
            <w:r>
              <w:rPr>
                <w:sz w:val="22"/>
              </w:rPr>
              <w:t>-</w:t>
            </w:r>
          </w:p>
        </w:tc>
        <w:tc>
          <w:tcPr>
            <w:tcW w:w="993" w:type="dxa"/>
            <w:shd w:val="clear" w:color="auto" w:fill="auto"/>
            <w:vAlign w:val="center"/>
          </w:tcPr>
          <w:p w:rsidR="0035132E" w:rsidRPr="003B465A" w:rsidRDefault="005B7EA0" w:rsidP="003E2FEA">
            <w:pPr>
              <w:pStyle w:val="Tabletext"/>
              <w:jc w:val="center"/>
              <w:rPr>
                <w:sz w:val="22"/>
              </w:rPr>
            </w:pPr>
            <w:r>
              <w:rPr>
                <w:sz w:val="22"/>
              </w:rPr>
              <w:t>-</w:t>
            </w:r>
          </w:p>
        </w:tc>
        <w:tc>
          <w:tcPr>
            <w:tcW w:w="992" w:type="dxa"/>
            <w:shd w:val="clear" w:color="auto" w:fill="auto"/>
            <w:vAlign w:val="center"/>
          </w:tcPr>
          <w:p w:rsidR="0035132E" w:rsidRPr="003B465A" w:rsidRDefault="005B7EA0" w:rsidP="003E2FEA">
            <w:pPr>
              <w:pStyle w:val="Tabletext"/>
              <w:jc w:val="center"/>
              <w:rPr>
                <w:sz w:val="22"/>
              </w:rPr>
            </w:pPr>
            <w:r>
              <w:rPr>
                <w:sz w:val="22"/>
              </w:rPr>
              <w:t>-</w:t>
            </w:r>
          </w:p>
        </w:tc>
        <w:tc>
          <w:tcPr>
            <w:tcW w:w="767" w:type="dxa"/>
            <w:shd w:val="clear" w:color="auto" w:fill="auto"/>
            <w:vAlign w:val="center"/>
          </w:tcPr>
          <w:p w:rsidR="0035132E" w:rsidRPr="003B465A" w:rsidRDefault="005B7EA0" w:rsidP="003E2FEA">
            <w:pPr>
              <w:pStyle w:val="Tabletext"/>
              <w:jc w:val="center"/>
              <w:rPr>
                <w:color w:val="000000"/>
                <w:sz w:val="22"/>
              </w:rPr>
            </w:pPr>
            <w:r>
              <w:rPr>
                <w:color w:val="000000"/>
                <w:sz w:val="22"/>
              </w:rPr>
              <w:t>15</w:t>
            </w:r>
          </w:p>
        </w:tc>
      </w:tr>
      <w:tr w:rsidR="005B7EA0" w:rsidRPr="003B465A" w:rsidTr="001503C6">
        <w:trPr>
          <w:cantSplit/>
          <w:jc w:val="center"/>
        </w:trPr>
        <w:tc>
          <w:tcPr>
            <w:tcW w:w="5108" w:type="dxa"/>
            <w:shd w:val="clear" w:color="auto" w:fill="auto"/>
          </w:tcPr>
          <w:p w:rsidR="005B7EA0" w:rsidRPr="003B465A" w:rsidRDefault="005B7EA0" w:rsidP="005B7EA0">
            <w:pPr>
              <w:pStyle w:val="Tabletext"/>
              <w:rPr>
                <w:sz w:val="22"/>
              </w:rPr>
            </w:pPr>
            <w:r w:rsidRPr="003B465A">
              <w:rPr>
                <w:rFonts w:cs="Arial"/>
                <w:sz w:val="22"/>
              </w:rPr>
              <w:t>Implement the captive breeding strategy and establish a captive population</w:t>
            </w:r>
            <w:r w:rsidRPr="003B465A">
              <w:rPr>
                <w:sz w:val="22"/>
              </w:rPr>
              <w:t>.</w:t>
            </w:r>
          </w:p>
        </w:tc>
        <w:tc>
          <w:tcPr>
            <w:tcW w:w="992" w:type="dxa"/>
            <w:shd w:val="clear" w:color="auto" w:fill="auto"/>
            <w:vAlign w:val="center"/>
          </w:tcPr>
          <w:p w:rsidR="005B7EA0" w:rsidRPr="003B465A" w:rsidRDefault="005B7EA0" w:rsidP="003E2FEA">
            <w:pPr>
              <w:pStyle w:val="Tabletext"/>
              <w:jc w:val="center"/>
              <w:rPr>
                <w:sz w:val="22"/>
              </w:rPr>
            </w:pPr>
            <w:r>
              <w:rPr>
                <w:sz w:val="22"/>
              </w:rPr>
              <w:t>500</w:t>
            </w:r>
          </w:p>
        </w:tc>
        <w:tc>
          <w:tcPr>
            <w:tcW w:w="992" w:type="dxa"/>
            <w:shd w:val="clear" w:color="auto" w:fill="auto"/>
            <w:vAlign w:val="center"/>
          </w:tcPr>
          <w:p w:rsidR="005B7EA0" w:rsidRPr="003B465A" w:rsidRDefault="005B7EA0" w:rsidP="005B7EA0">
            <w:pPr>
              <w:pStyle w:val="Tabletext"/>
              <w:jc w:val="center"/>
              <w:rPr>
                <w:sz w:val="22"/>
              </w:rPr>
            </w:pPr>
            <w:r w:rsidRPr="003B465A">
              <w:rPr>
                <w:sz w:val="22"/>
              </w:rPr>
              <w:t>500</w:t>
            </w:r>
          </w:p>
        </w:tc>
        <w:tc>
          <w:tcPr>
            <w:tcW w:w="992" w:type="dxa"/>
            <w:shd w:val="clear" w:color="auto" w:fill="auto"/>
            <w:vAlign w:val="center"/>
          </w:tcPr>
          <w:p w:rsidR="005B7EA0" w:rsidRPr="003B465A" w:rsidRDefault="005B7EA0" w:rsidP="005B7EA0">
            <w:pPr>
              <w:pStyle w:val="Tabletext"/>
              <w:jc w:val="center"/>
              <w:rPr>
                <w:sz w:val="22"/>
              </w:rPr>
            </w:pPr>
            <w:r w:rsidRPr="003B465A">
              <w:rPr>
                <w:sz w:val="22"/>
              </w:rPr>
              <w:t>500</w:t>
            </w:r>
          </w:p>
        </w:tc>
        <w:tc>
          <w:tcPr>
            <w:tcW w:w="993" w:type="dxa"/>
            <w:shd w:val="clear" w:color="auto" w:fill="auto"/>
            <w:vAlign w:val="center"/>
          </w:tcPr>
          <w:p w:rsidR="005B7EA0" w:rsidRPr="003B465A" w:rsidRDefault="005B7EA0" w:rsidP="005B7EA0">
            <w:pPr>
              <w:pStyle w:val="Tabletext"/>
              <w:jc w:val="center"/>
              <w:rPr>
                <w:sz w:val="22"/>
              </w:rPr>
            </w:pPr>
            <w:r w:rsidRPr="003B465A">
              <w:rPr>
                <w:sz w:val="22"/>
              </w:rPr>
              <w:t>500</w:t>
            </w:r>
          </w:p>
        </w:tc>
        <w:tc>
          <w:tcPr>
            <w:tcW w:w="992" w:type="dxa"/>
            <w:shd w:val="clear" w:color="auto" w:fill="auto"/>
            <w:vAlign w:val="center"/>
          </w:tcPr>
          <w:p w:rsidR="005B7EA0" w:rsidRPr="003B465A" w:rsidRDefault="005B7EA0" w:rsidP="005B7EA0">
            <w:pPr>
              <w:pStyle w:val="Tabletext"/>
              <w:jc w:val="center"/>
              <w:rPr>
                <w:sz w:val="22"/>
              </w:rPr>
            </w:pPr>
            <w:r w:rsidRPr="003B465A">
              <w:rPr>
                <w:sz w:val="22"/>
              </w:rPr>
              <w:t>500</w:t>
            </w:r>
          </w:p>
        </w:tc>
        <w:tc>
          <w:tcPr>
            <w:tcW w:w="767" w:type="dxa"/>
            <w:shd w:val="clear" w:color="auto" w:fill="auto"/>
            <w:vAlign w:val="center"/>
          </w:tcPr>
          <w:p w:rsidR="005B7EA0" w:rsidRPr="003B465A" w:rsidRDefault="005B7EA0" w:rsidP="005B7EA0">
            <w:pPr>
              <w:pStyle w:val="Tabletext"/>
              <w:jc w:val="center"/>
              <w:rPr>
                <w:color w:val="000000"/>
                <w:sz w:val="22"/>
              </w:rPr>
            </w:pPr>
            <w:r w:rsidRPr="003B465A">
              <w:rPr>
                <w:color w:val="000000"/>
                <w:sz w:val="22"/>
              </w:rPr>
              <w:t>25</w:t>
            </w:r>
            <w:r>
              <w:rPr>
                <w:color w:val="000000"/>
                <w:sz w:val="22"/>
              </w:rPr>
              <w:t>00</w:t>
            </w:r>
          </w:p>
        </w:tc>
      </w:tr>
      <w:tr w:rsidR="005B7EA0" w:rsidRPr="003B465A" w:rsidTr="001503C6">
        <w:trPr>
          <w:cantSplit/>
          <w:jc w:val="center"/>
        </w:trPr>
        <w:tc>
          <w:tcPr>
            <w:tcW w:w="5108" w:type="dxa"/>
            <w:shd w:val="clear" w:color="auto" w:fill="auto"/>
          </w:tcPr>
          <w:p w:rsidR="005B7EA0" w:rsidRPr="003B465A" w:rsidRDefault="005B7EA0" w:rsidP="005B7EA0">
            <w:pPr>
              <w:pStyle w:val="Tabletext"/>
              <w:rPr>
                <w:sz w:val="22"/>
              </w:rPr>
            </w:pPr>
            <w:r w:rsidRPr="003B465A">
              <w:rPr>
                <w:sz w:val="22"/>
              </w:rPr>
              <w:t>Study the roles of burning and slashing in maintaining and improving the condition of plains-wanderer habitat in National Parks and Reserves, and other lands managed for conservation.</w:t>
            </w:r>
          </w:p>
        </w:tc>
        <w:tc>
          <w:tcPr>
            <w:tcW w:w="992" w:type="dxa"/>
            <w:shd w:val="clear" w:color="auto" w:fill="auto"/>
            <w:vAlign w:val="center"/>
          </w:tcPr>
          <w:p w:rsidR="005B7EA0" w:rsidRPr="003B465A" w:rsidRDefault="005B7EA0" w:rsidP="003E2FEA">
            <w:pPr>
              <w:pStyle w:val="Tabletext"/>
              <w:jc w:val="center"/>
              <w:rPr>
                <w:sz w:val="22"/>
              </w:rPr>
            </w:pPr>
            <w:r>
              <w:rPr>
                <w:sz w:val="22"/>
              </w:rPr>
              <w:t>30</w:t>
            </w:r>
          </w:p>
        </w:tc>
        <w:tc>
          <w:tcPr>
            <w:tcW w:w="992" w:type="dxa"/>
            <w:shd w:val="clear" w:color="auto" w:fill="auto"/>
            <w:vAlign w:val="center"/>
          </w:tcPr>
          <w:p w:rsidR="005B7EA0" w:rsidRPr="003B465A" w:rsidRDefault="005B7EA0" w:rsidP="003E2FEA">
            <w:pPr>
              <w:pStyle w:val="Tabletext"/>
              <w:jc w:val="center"/>
              <w:rPr>
                <w:sz w:val="22"/>
              </w:rPr>
            </w:pPr>
            <w:r>
              <w:rPr>
                <w:sz w:val="22"/>
              </w:rPr>
              <w:t>30</w:t>
            </w:r>
          </w:p>
        </w:tc>
        <w:tc>
          <w:tcPr>
            <w:tcW w:w="992" w:type="dxa"/>
            <w:shd w:val="clear" w:color="auto" w:fill="auto"/>
            <w:vAlign w:val="center"/>
          </w:tcPr>
          <w:p w:rsidR="005B7EA0" w:rsidRPr="003B465A" w:rsidRDefault="005B7EA0" w:rsidP="003E2FEA">
            <w:pPr>
              <w:pStyle w:val="Tabletext"/>
              <w:jc w:val="center"/>
              <w:rPr>
                <w:sz w:val="22"/>
              </w:rPr>
            </w:pPr>
            <w:r>
              <w:rPr>
                <w:sz w:val="22"/>
              </w:rPr>
              <w:t>30</w:t>
            </w:r>
          </w:p>
        </w:tc>
        <w:tc>
          <w:tcPr>
            <w:tcW w:w="993" w:type="dxa"/>
            <w:shd w:val="clear" w:color="auto" w:fill="auto"/>
            <w:vAlign w:val="center"/>
          </w:tcPr>
          <w:p w:rsidR="005B7EA0" w:rsidRPr="003B465A" w:rsidRDefault="005B7EA0" w:rsidP="003E2FEA">
            <w:pPr>
              <w:pStyle w:val="Tabletext"/>
              <w:jc w:val="center"/>
              <w:rPr>
                <w:sz w:val="22"/>
              </w:rPr>
            </w:pPr>
            <w:r>
              <w:rPr>
                <w:sz w:val="22"/>
              </w:rPr>
              <w:t>30</w:t>
            </w:r>
          </w:p>
        </w:tc>
        <w:tc>
          <w:tcPr>
            <w:tcW w:w="992" w:type="dxa"/>
            <w:shd w:val="clear" w:color="auto" w:fill="auto"/>
            <w:vAlign w:val="center"/>
          </w:tcPr>
          <w:p w:rsidR="005B7EA0" w:rsidRPr="003B465A" w:rsidRDefault="005B7EA0" w:rsidP="003E2FEA">
            <w:pPr>
              <w:pStyle w:val="Tabletext"/>
              <w:jc w:val="center"/>
              <w:rPr>
                <w:sz w:val="22"/>
              </w:rPr>
            </w:pPr>
            <w:r>
              <w:rPr>
                <w:sz w:val="22"/>
              </w:rPr>
              <w:t>-</w:t>
            </w:r>
          </w:p>
        </w:tc>
        <w:tc>
          <w:tcPr>
            <w:tcW w:w="767" w:type="dxa"/>
            <w:shd w:val="clear" w:color="auto" w:fill="auto"/>
            <w:vAlign w:val="center"/>
          </w:tcPr>
          <w:p w:rsidR="005B7EA0" w:rsidRPr="003B465A" w:rsidRDefault="005B7EA0" w:rsidP="003E2FEA">
            <w:pPr>
              <w:pStyle w:val="Tabletext"/>
              <w:jc w:val="center"/>
              <w:rPr>
                <w:color w:val="000000"/>
                <w:sz w:val="22"/>
              </w:rPr>
            </w:pPr>
            <w:r>
              <w:rPr>
                <w:color w:val="000000"/>
                <w:sz w:val="22"/>
              </w:rPr>
              <w:t>120</w:t>
            </w:r>
          </w:p>
        </w:tc>
      </w:tr>
      <w:tr w:rsidR="005B7EA0" w:rsidRPr="003B465A" w:rsidTr="001503C6">
        <w:trPr>
          <w:cantSplit/>
          <w:jc w:val="center"/>
        </w:trPr>
        <w:tc>
          <w:tcPr>
            <w:tcW w:w="5108" w:type="dxa"/>
            <w:shd w:val="clear" w:color="auto" w:fill="auto"/>
          </w:tcPr>
          <w:p w:rsidR="005B7EA0" w:rsidRPr="003B465A" w:rsidRDefault="005B7EA0" w:rsidP="005B7EA0">
            <w:pPr>
              <w:pStyle w:val="Tabletext"/>
              <w:rPr>
                <w:sz w:val="22"/>
              </w:rPr>
            </w:pPr>
            <w:r w:rsidRPr="003B465A">
              <w:rPr>
                <w:sz w:val="22"/>
                <w:lang w:eastAsia="en-AU"/>
              </w:rPr>
              <w:t>Facilitate grazing management to soil type and enable landholders to maintain suitable grassland biomass for plains-wanderers on red soils.</w:t>
            </w:r>
          </w:p>
        </w:tc>
        <w:tc>
          <w:tcPr>
            <w:tcW w:w="992" w:type="dxa"/>
            <w:shd w:val="clear" w:color="auto" w:fill="auto"/>
            <w:vAlign w:val="center"/>
          </w:tcPr>
          <w:p w:rsidR="005B7EA0" w:rsidRPr="003B465A" w:rsidRDefault="005B7EA0" w:rsidP="003E2FEA">
            <w:pPr>
              <w:pStyle w:val="Tabletext"/>
              <w:jc w:val="center"/>
              <w:rPr>
                <w:sz w:val="22"/>
              </w:rPr>
            </w:pPr>
            <w:r>
              <w:rPr>
                <w:sz w:val="22"/>
              </w:rPr>
              <w:t>80</w:t>
            </w:r>
          </w:p>
        </w:tc>
        <w:tc>
          <w:tcPr>
            <w:tcW w:w="992" w:type="dxa"/>
            <w:shd w:val="clear" w:color="auto" w:fill="auto"/>
            <w:vAlign w:val="center"/>
          </w:tcPr>
          <w:p w:rsidR="005B7EA0" w:rsidRPr="003B465A" w:rsidRDefault="005B7EA0" w:rsidP="003E2FEA">
            <w:pPr>
              <w:pStyle w:val="Tabletext"/>
              <w:jc w:val="center"/>
              <w:rPr>
                <w:sz w:val="22"/>
              </w:rPr>
            </w:pPr>
            <w:r>
              <w:rPr>
                <w:sz w:val="22"/>
              </w:rPr>
              <w:t>80</w:t>
            </w:r>
          </w:p>
        </w:tc>
        <w:tc>
          <w:tcPr>
            <w:tcW w:w="992" w:type="dxa"/>
            <w:shd w:val="clear" w:color="auto" w:fill="auto"/>
            <w:vAlign w:val="center"/>
          </w:tcPr>
          <w:p w:rsidR="005B7EA0" w:rsidRPr="003B465A" w:rsidRDefault="005B7EA0" w:rsidP="003E2FEA">
            <w:pPr>
              <w:pStyle w:val="Tabletext"/>
              <w:jc w:val="center"/>
              <w:rPr>
                <w:sz w:val="22"/>
              </w:rPr>
            </w:pPr>
            <w:r>
              <w:rPr>
                <w:sz w:val="22"/>
              </w:rPr>
              <w:t>80</w:t>
            </w:r>
          </w:p>
        </w:tc>
        <w:tc>
          <w:tcPr>
            <w:tcW w:w="993" w:type="dxa"/>
            <w:shd w:val="clear" w:color="auto" w:fill="auto"/>
            <w:vAlign w:val="center"/>
          </w:tcPr>
          <w:p w:rsidR="005B7EA0" w:rsidRPr="003B465A" w:rsidRDefault="005B7EA0" w:rsidP="003E2FEA">
            <w:pPr>
              <w:pStyle w:val="Tabletext"/>
              <w:jc w:val="center"/>
              <w:rPr>
                <w:sz w:val="22"/>
              </w:rPr>
            </w:pPr>
            <w:r>
              <w:rPr>
                <w:sz w:val="22"/>
              </w:rPr>
              <w:t>80</w:t>
            </w:r>
          </w:p>
        </w:tc>
        <w:tc>
          <w:tcPr>
            <w:tcW w:w="992" w:type="dxa"/>
            <w:shd w:val="clear" w:color="auto" w:fill="auto"/>
            <w:vAlign w:val="center"/>
          </w:tcPr>
          <w:p w:rsidR="005B7EA0" w:rsidRPr="003B465A" w:rsidRDefault="005B7EA0" w:rsidP="003E2FEA">
            <w:pPr>
              <w:pStyle w:val="Tabletext"/>
              <w:jc w:val="center"/>
              <w:rPr>
                <w:sz w:val="22"/>
              </w:rPr>
            </w:pPr>
            <w:r>
              <w:rPr>
                <w:sz w:val="22"/>
              </w:rPr>
              <w:t>80</w:t>
            </w:r>
          </w:p>
        </w:tc>
        <w:tc>
          <w:tcPr>
            <w:tcW w:w="767" w:type="dxa"/>
            <w:shd w:val="clear" w:color="auto" w:fill="auto"/>
            <w:vAlign w:val="center"/>
          </w:tcPr>
          <w:p w:rsidR="005B7EA0" w:rsidRPr="003B465A" w:rsidRDefault="005B7EA0" w:rsidP="003E2FEA">
            <w:pPr>
              <w:pStyle w:val="Tabletext"/>
              <w:jc w:val="center"/>
              <w:rPr>
                <w:color w:val="000000"/>
                <w:sz w:val="22"/>
              </w:rPr>
            </w:pPr>
            <w:r>
              <w:rPr>
                <w:color w:val="000000"/>
                <w:sz w:val="22"/>
              </w:rPr>
              <w:t>400</w:t>
            </w:r>
          </w:p>
        </w:tc>
      </w:tr>
      <w:tr w:rsidR="005B7EA0" w:rsidRPr="003B465A" w:rsidTr="001503C6">
        <w:trPr>
          <w:cantSplit/>
          <w:jc w:val="center"/>
        </w:trPr>
        <w:tc>
          <w:tcPr>
            <w:tcW w:w="5108" w:type="dxa"/>
            <w:shd w:val="clear" w:color="auto" w:fill="auto"/>
          </w:tcPr>
          <w:p w:rsidR="005B7EA0" w:rsidRPr="003B465A" w:rsidRDefault="00A2157E" w:rsidP="00A2157E">
            <w:pPr>
              <w:pStyle w:val="Tabletext"/>
              <w:rPr>
                <w:sz w:val="22"/>
              </w:rPr>
            </w:pPr>
            <w:r w:rsidRPr="003B465A">
              <w:rPr>
                <w:sz w:val="22"/>
                <w:lang w:eastAsia="en-AU"/>
              </w:rPr>
              <w:t>Closely monitor grazing impacts on public and private reserves, where grazing regimes are being managed for plains-wanderers, to ensure grassland structure remains within acceptable limits.</w:t>
            </w:r>
          </w:p>
        </w:tc>
        <w:tc>
          <w:tcPr>
            <w:tcW w:w="992" w:type="dxa"/>
            <w:shd w:val="clear" w:color="auto" w:fill="auto"/>
            <w:vAlign w:val="center"/>
          </w:tcPr>
          <w:p w:rsidR="005B7EA0" w:rsidRPr="003B465A" w:rsidRDefault="00A2157E" w:rsidP="003E2FEA">
            <w:pPr>
              <w:pStyle w:val="Tabletext"/>
              <w:jc w:val="center"/>
              <w:rPr>
                <w:sz w:val="22"/>
              </w:rPr>
            </w:pPr>
            <w:r>
              <w:rPr>
                <w:sz w:val="22"/>
              </w:rPr>
              <w:t>100</w:t>
            </w:r>
          </w:p>
        </w:tc>
        <w:tc>
          <w:tcPr>
            <w:tcW w:w="992" w:type="dxa"/>
            <w:shd w:val="clear" w:color="auto" w:fill="auto"/>
            <w:vAlign w:val="center"/>
          </w:tcPr>
          <w:p w:rsidR="005B7EA0" w:rsidRPr="003B465A" w:rsidRDefault="00A2157E" w:rsidP="003E2FEA">
            <w:pPr>
              <w:pStyle w:val="Tabletext"/>
              <w:jc w:val="center"/>
              <w:rPr>
                <w:sz w:val="22"/>
              </w:rPr>
            </w:pPr>
            <w:r>
              <w:rPr>
                <w:sz w:val="22"/>
              </w:rPr>
              <w:t>100</w:t>
            </w:r>
          </w:p>
        </w:tc>
        <w:tc>
          <w:tcPr>
            <w:tcW w:w="992" w:type="dxa"/>
            <w:shd w:val="clear" w:color="auto" w:fill="auto"/>
            <w:vAlign w:val="center"/>
          </w:tcPr>
          <w:p w:rsidR="005B7EA0" w:rsidRPr="003B465A" w:rsidRDefault="00A2157E" w:rsidP="003E2FEA">
            <w:pPr>
              <w:pStyle w:val="Tabletext"/>
              <w:jc w:val="center"/>
              <w:rPr>
                <w:sz w:val="22"/>
              </w:rPr>
            </w:pPr>
            <w:r>
              <w:rPr>
                <w:sz w:val="22"/>
              </w:rPr>
              <w:t>100</w:t>
            </w:r>
          </w:p>
        </w:tc>
        <w:tc>
          <w:tcPr>
            <w:tcW w:w="993" w:type="dxa"/>
            <w:shd w:val="clear" w:color="auto" w:fill="auto"/>
            <w:vAlign w:val="center"/>
          </w:tcPr>
          <w:p w:rsidR="005B7EA0" w:rsidRPr="003B465A" w:rsidRDefault="00A2157E" w:rsidP="003E2FEA">
            <w:pPr>
              <w:pStyle w:val="Tabletext"/>
              <w:jc w:val="center"/>
              <w:rPr>
                <w:sz w:val="22"/>
              </w:rPr>
            </w:pPr>
            <w:r>
              <w:rPr>
                <w:sz w:val="22"/>
              </w:rPr>
              <w:t>100</w:t>
            </w:r>
          </w:p>
        </w:tc>
        <w:tc>
          <w:tcPr>
            <w:tcW w:w="992" w:type="dxa"/>
            <w:shd w:val="clear" w:color="auto" w:fill="auto"/>
            <w:vAlign w:val="center"/>
          </w:tcPr>
          <w:p w:rsidR="005B7EA0" w:rsidRPr="003B465A" w:rsidRDefault="00A2157E" w:rsidP="003E2FEA">
            <w:pPr>
              <w:pStyle w:val="Tabletext"/>
              <w:jc w:val="center"/>
              <w:rPr>
                <w:sz w:val="22"/>
              </w:rPr>
            </w:pPr>
            <w:r>
              <w:rPr>
                <w:sz w:val="22"/>
              </w:rPr>
              <w:t>100</w:t>
            </w:r>
          </w:p>
        </w:tc>
        <w:tc>
          <w:tcPr>
            <w:tcW w:w="767" w:type="dxa"/>
            <w:shd w:val="clear" w:color="auto" w:fill="auto"/>
            <w:vAlign w:val="center"/>
          </w:tcPr>
          <w:p w:rsidR="005B7EA0" w:rsidRPr="003B465A" w:rsidRDefault="00A2157E" w:rsidP="003E2FEA">
            <w:pPr>
              <w:pStyle w:val="Tabletext"/>
              <w:jc w:val="center"/>
              <w:rPr>
                <w:color w:val="000000"/>
                <w:sz w:val="22"/>
              </w:rPr>
            </w:pPr>
            <w:r>
              <w:rPr>
                <w:color w:val="000000"/>
                <w:sz w:val="22"/>
              </w:rPr>
              <w:t>500</w:t>
            </w:r>
          </w:p>
        </w:tc>
      </w:tr>
      <w:tr w:rsidR="005B7EA0" w:rsidRPr="003B465A" w:rsidTr="001503C6">
        <w:trPr>
          <w:cantSplit/>
          <w:jc w:val="center"/>
        </w:trPr>
        <w:tc>
          <w:tcPr>
            <w:tcW w:w="5108" w:type="dxa"/>
            <w:shd w:val="clear" w:color="auto" w:fill="auto"/>
          </w:tcPr>
          <w:p w:rsidR="005B7EA0" w:rsidRPr="003B465A" w:rsidRDefault="00E80F1B" w:rsidP="00E80F1B">
            <w:pPr>
              <w:pStyle w:val="Tabletext"/>
              <w:rPr>
                <w:sz w:val="22"/>
              </w:rPr>
            </w:pPr>
            <w:r w:rsidRPr="003B465A">
              <w:rPr>
                <w:sz w:val="22"/>
              </w:rPr>
              <w:t>Design and implement a management strategy for plains-wanderer habitat in National Parks and Reserves and other lands where plains-wanderers are a management target.</w:t>
            </w:r>
          </w:p>
        </w:tc>
        <w:tc>
          <w:tcPr>
            <w:tcW w:w="992" w:type="dxa"/>
            <w:shd w:val="clear" w:color="auto" w:fill="auto"/>
            <w:vAlign w:val="center"/>
          </w:tcPr>
          <w:p w:rsidR="005B7EA0" w:rsidRPr="003B465A" w:rsidRDefault="00E80F1B" w:rsidP="003E2FEA">
            <w:pPr>
              <w:pStyle w:val="Tabletext"/>
              <w:jc w:val="center"/>
              <w:rPr>
                <w:sz w:val="22"/>
              </w:rPr>
            </w:pPr>
            <w:r>
              <w:rPr>
                <w:sz w:val="22"/>
              </w:rPr>
              <w:t>80</w:t>
            </w:r>
          </w:p>
        </w:tc>
        <w:tc>
          <w:tcPr>
            <w:tcW w:w="992" w:type="dxa"/>
            <w:shd w:val="clear" w:color="auto" w:fill="auto"/>
            <w:vAlign w:val="center"/>
          </w:tcPr>
          <w:p w:rsidR="005B7EA0" w:rsidRPr="003B465A" w:rsidRDefault="00E80F1B" w:rsidP="003E2FEA">
            <w:pPr>
              <w:pStyle w:val="Tabletext"/>
              <w:jc w:val="center"/>
              <w:rPr>
                <w:sz w:val="22"/>
              </w:rPr>
            </w:pPr>
            <w:r>
              <w:rPr>
                <w:sz w:val="22"/>
              </w:rPr>
              <w:t>-</w:t>
            </w:r>
          </w:p>
        </w:tc>
        <w:tc>
          <w:tcPr>
            <w:tcW w:w="992" w:type="dxa"/>
            <w:shd w:val="clear" w:color="auto" w:fill="auto"/>
            <w:vAlign w:val="center"/>
          </w:tcPr>
          <w:p w:rsidR="005B7EA0" w:rsidRPr="003B465A" w:rsidRDefault="00E80F1B" w:rsidP="003E2FEA">
            <w:pPr>
              <w:pStyle w:val="Tabletext"/>
              <w:jc w:val="center"/>
              <w:rPr>
                <w:sz w:val="22"/>
              </w:rPr>
            </w:pPr>
            <w:r>
              <w:rPr>
                <w:sz w:val="22"/>
              </w:rPr>
              <w:t>-</w:t>
            </w:r>
          </w:p>
        </w:tc>
        <w:tc>
          <w:tcPr>
            <w:tcW w:w="993" w:type="dxa"/>
            <w:shd w:val="clear" w:color="auto" w:fill="auto"/>
            <w:vAlign w:val="center"/>
          </w:tcPr>
          <w:p w:rsidR="005B7EA0" w:rsidRPr="003B465A" w:rsidRDefault="00E80F1B" w:rsidP="003E2FEA">
            <w:pPr>
              <w:pStyle w:val="Tabletext"/>
              <w:jc w:val="center"/>
              <w:rPr>
                <w:sz w:val="22"/>
              </w:rPr>
            </w:pPr>
            <w:r>
              <w:rPr>
                <w:sz w:val="22"/>
              </w:rPr>
              <w:t>-</w:t>
            </w:r>
          </w:p>
        </w:tc>
        <w:tc>
          <w:tcPr>
            <w:tcW w:w="992" w:type="dxa"/>
            <w:shd w:val="clear" w:color="auto" w:fill="auto"/>
            <w:vAlign w:val="center"/>
          </w:tcPr>
          <w:p w:rsidR="005B7EA0" w:rsidRPr="003B465A" w:rsidRDefault="00E80F1B" w:rsidP="003E2FEA">
            <w:pPr>
              <w:pStyle w:val="Tabletext"/>
              <w:jc w:val="center"/>
              <w:rPr>
                <w:sz w:val="22"/>
              </w:rPr>
            </w:pPr>
            <w:r>
              <w:rPr>
                <w:sz w:val="22"/>
              </w:rPr>
              <w:t>-</w:t>
            </w:r>
          </w:p>
        </w:tc>
        <w:tc>
          <w:tcPr>
            <w:tcW w:w="767" w:type="dxa"/>
            <w:shd w:val="clear" w:color="auto" w:fill="auto"/>
            <w:vAlign w:val="center"/>
          </w:tcPr>
          <w:p w:rsidR="005B7EA0" w:rsidRPr="003B465A" w:rsidRDefault="00E80F1B" w:rsidP="003E2FEA">
            <w:pPr>
              <w:pStyle w:val="Tabletext"/>
              <w:jc w:val="center"/>
              <w:rPr>
                <w:color w:val="000000"/>
                <w:sz w:val="22"/>
              </w:rPr>
            </w:pPr>
            <w:r>
              <w:rPr>
                <w:color w:val="000000"/>
                <w:sz w:val="22"/>
              </w:rPr>
              <w:t>80</w:t>
            </w:r>
          </w:p>
        </w:tc>
      </w:tr>
      <w:tr w:rsidR="005B7EA0" w:rsidRPr="003B465A" w:rsidTr="001503C6">
        <w:trPr>
          <w:cantSplit/>
          <w:jc w:val="center"/>
        </w:trPr>
        <w:tc>
          <w:tcPr>
            <w:tcW w:w="5108" w:type="dxa"/>
            <w:shd w:val="clear" w:color="auto" w:fill="auto"/>
          </w:tcPr>
          <w:p w:rsidR="005B7EA0" w:rsidRPr="003B465A" w:rsidRDefault="00E80F1B" w:rsidP="003E2FEA">
            <w:pPr>
              <w:pStyle w:val="Tabletext"/>
              <w:rPr>
                <w:sz w:val="22"/>
                <w:lang w:eastAsia="en-AU"/>
              </w:rPr>
            </w:pPr>
            <w:r w:rsidRPr="001553DE">
              <w:rPr>
                <w:szCs w:val="20"/>
              </w:rPr>
              <w:t>Assess the impact of wide-spread pesticide use on plains-wanderers.</w:t>
            </w:r>
          </w:p>
        </w:tc>
        <w:tc>
          <w:tcPr>
            <w:tcW w:w="992" w:type="dxa"/>
            <w:shd w:val="clear" w:color="auto" w:fill="auto"/>
            <w:vAlign w:val="center"/>
          </w:tcPr>
          <w:p w:rsidR="005B7EA0" w:rsidRPr="003B465A" w:rsidRDefault="00E80F1B" w:rsidP="003E2FEA">
            <w:pPr>
              <w:pStyle w:val="Tabletext"/>
              <w:jc w:val="center"/>
              <w:rPr>
                <w:sz w:val="22"/>
              </w:rPr>
            </w:pPr>
            <w:r>
              <w:rPr>
                <w:sz w:val="22"/>
              </w:rPr>
              <w:t>10</w:t>
            </w:r>
            <w:r w:rsidR="006E50A3">
              <w:rPr>
                <w:sz w:val="22"/>
              </w:rPr>
              <w:t>0</w:t>
            </w:r>
          </w:p>
        </w:tc>
        <w:tc>
          <w:tcPr>
            <w:tcW w:w="992" w:type="dxa"/>
            <w:shd w:val="clear" w:color="auto" w:fill="auto"/>
            <w:vAlign w:val="center"/>
          </w:tcPr>
          <w:p w:rsidR="005B7EA0" w:rsidRPr="003B465A" w:rsidRDefault="00E80F1B" w:rsidP="003E2FEA">
            <w:pPr>
              <w:pStyle w:val="Tabletext"/>
              <w:jc w:val="center"/>
              <w:rPr>
                <w:sz w:val="22"/>
              </w:rPr>
            </w:pPr>
            <w:r>
              <w:rPr>
                <w:sz w:val="22"/>
              </w:rPr>
              <w:t>-</w:t>
            </w:r>
          </w:p>
        </w:tc>
        <w:tc>
          <w:tcPr>
            <w:tcW w:w="992" w:type="dxa"/>
            <w:shd w:val="clear" w:color="auto" w:fill="auto"/>
            <w:vAlign w:val="center"/>
          </w:tcPr>
          <w:p w:rsidR="005B7EA0" w:rsidRPr="003B465A" w:rsidRDefault="00E80F1B" w:rsidP="003E2FEA">
            <w:pPr>
              <w:pStyle w:val="Tabletext"/>
              <w:jc w:val="center"/>
              <w:rPr>
                <w:sz w:val="22"/>
              </w:rPr>
            </w:pPr>
            <w:r>
              <w:rPr>
                <w:sz w:val="22"/>
              </w:rPr>
              <w:t>-</w:t>
            </w:r>
          </w:p>
        </w:tc>
        <w:tc>
          <w:tcPr>
            <w:tcW w:w="993" w:type="dxa"/>
            <w:shd w:val="clear" w:color="auto" w:fill="auto"/>
            <w:vAlign w:val="center"/>
          </w:tcPr>
          <w:p w:rsidR="005B7EA0" w:rsidRPr="003B465A" w:rsidRDefault="00E80F1B" w:rsidP="003E2FEA">
            <w:pPr>
              <w:pStyle w:val="Tabletext"/>
              <w:jc w:val="center"/>
              <w:rPr>
                <w:sz w:val="22"/>
              </w:rPr>
            </w:pPr>
            <w:r>
              <w:rPr>
                <w:sz w:val="22"/>
              </w:rPr>
              <w:t>-</w:t>
            </w:r>
          </w:p>
        </w:tc>
        <w:tc>
          <w:tcPr>
            <w:tcW w:w="992" w:type="dxa"/>
            <w:shd w:val="clear" w:color="auto" w:fill="auto"/>
            <w:vAlign w:val="center"/>
          </w:tcPr>
          <w:p w:rsidR="005B7EA0" w:rsidRPr="003B465A" w:rsidRDefault="00E80F1B" w:rsidP="003E2FEA">
            <w:pPr>
              <w:pStyle w:val="Tabletext"/>
              <w:jc w:val="center"/>
              <w:rPr>
                <w:sz w:val="22"/>
              </w:rPr>
            </w:pPr>
            <w:r>
              <w:rPr>
                <w:sz w:val="22"/>
              </w:rPr>
              <w:t>-</w:t>
            </w:r>
          </w:p>
        </w:tc>
        <w:tc>
          <w:tcPr>
            <w:tcW w:w="767" w:type="dxa"/>
            <w:shd w:val="clear" w:color="auto" w:fill="auto"/>
            <w:vAlign w:val="center"/>
          </w:tcPr>
          <w:p w:rsidR="005B7EA0" w:rsidRPr="003B465A" w:rsidRDefault="00E80F1B" w:rsidP="003E2FEA">
            <w:pPr>
              <w:pStyle w:val="Tabletext"/>
              <w:jc w:val="center"/>
              <w:rPr>
                <w:color w:val="000000"/>
                <w:sz w:val="22"/>
              </w:rPr>
            </w:pPr>
            <w:r>
              <w:rPr>
                <w:color w:val="000000"/>
                <w:sz w:val="22"/>
              </w:rPr>
              <w:t>10</w:t>
            </w:r>
            <w:r w:rsidR="006E50A3">
              <w:rPr>
                <w:color w:val="000000"/>
                <w:sz w:val="22"/>
              </w:rPr>
              <w:t>0</w:t>
            </w:r>
          </w:p>
        </w:tc>
      </w:tr>
      <w:tr w:rsidR="005B7EA0" w:rsidRPr="003B465A" w:rsidTr="001503C6">
        <w:trPr>
          <w:cantSplit/>
          <w:jc w:val="center"/>
        </w:trPr>
        <w:tc>
          <w:tcPr>
            <w:tcW w:w="5108" w:type="dxa"/>
            <w:shd w:val="clear" w:color="auto" w:fill="auto"/>
          </w:tcPr>
          <w:p w:rsidR="005B7EA0" w:rsidRPr="003B465A" w:rsidRDefault="00E80F1B" w:rsidP="003E2FEA">
            <w:pPr>
              <w:pStyle w:val="Tabletext"/>
              <w:rPr>
                <w:sz w:val="22"/>
                <w:lang w:eastAsia="en-AU"/>
              </w:rPr>
            </w:pPr>
            <w:r w:rsidRPr="003B465A">
              <w:rPr>
                <w:sz w:val="22"/>
              </w:rPr>
              <w:t>Develop strategies and programs to protect and enhance plains-wanderer habitat.</w:t>
            </w:r>
          </w:p>
        </w:tc>
        <w:tc>
          <w:tcPr>
            <w:tcW w:w="992" w:type="dxa"/>
            <w:shd w:val="clear" w:color="auto" w:fill="auto"/>
            <w:vAlign w:val="center"/>
          </w:tcPr>
          <w:p w:rsidR="005B7EA0" w:rsidRPr="003B465A" w:rsidRDefault="00E80F1B" w:rsidP="003E2FEA">
            <w:pPr>
              <w:pStyle w:val="Tabletext"/>
              <w:jc w:val="center"/>
              <w:rPr>
                <w:sz w:val="22"/>
              </w:rPr>
            </w:pPr>
            <w:r>
              <w:rPr>
                <w:sz w:val="22"/>
              </w:rPr>
              <w:t>100</w:t>
            </w:r>
          </w:p>
        </w:tc>
        <w:tc>
          <w:tcPr>
            <w:tcW w:w="992" w:type="dxa"/>
            <w:shd w:val="clear" w:color="auto" w:fill="auto"/>
            <w:vAlign w:val="center"/>
          </w:tcPr>
          <w:p w:rsidR="005B7EA0" w:rsidRPr="003B465A" w:rsidRDefault="00E80F1B" w:rsidP="003E2FEA">
            <w:pPr>
              <w:pStyle w:val="Tabletext"/>
              <w:jc w:val="center"/>
              <w:rPr>
                <w:sz w:val="22"/>
              </w:rPr>
            </w:pPr>
            <w:r>
              <w:rPr>
                <w:sz w:val="22"/>
              </w:rPr>
              <w:t>100</w:t>
            </w:r>
          </w:p>
        </w:tc>
        <w:tc>
          <w:tcPr>
            <w:tcW w:w="992" w:type="dxa"/>
            <w:shd w:val="clear" w:color="auto" w:fill="auto"/>
            <w:vAlign w:val="center"/>
          </w:tcPr>
          <w:p w:rsidR="005B7EA0" w:rsidRPr="003B465A" w:rsidRDefault="00E80F1B" w:rsidP="003E2FEA">
            <w:pPr>
              <w:pStyle w:val="Tabletext"/>
              <w:jc w:val="center"/>
              <w:rPr>
                <w:sz w:val="22"/>
              </w:rPr>
            </w:pPr>
            <w:r>
              <w:rPr>
                <w:sz w:val="22"/>
              </w:rPr>
              <w:t>100</w:t>
            </w:r>
          </w:p>
        </w:tc>
        <w:tc>
          <w:tcPr>
            <w:tcW w:w="993" w:type="dxa"/>
            <w:shd w:val="clear" w:color="auto" w:fill="auto"/>
            <w:vAlign w:val="center"/>
          </w:tcPr>
          <w:p w:rsidR="005B7EA0" w:rsidRPr="003B465A" w:rsidRDefault="00E80F1B" w:rsidP="003E2FEA">
            <w:pPr>
              <w:pStyle w:val="Tabletext"/>
              <w:jc w:val="center"/>
              <w:rPr>
                <w:sz w:val="22"/>
              </w:rPr>
            </w:pPr>
            <w:r>
              <w:rPr>
                <w:sz w:val="22"/>
              </w:rPr>
              <w:t>100</w:t>
            </w:r>
          </w:p>
        </w:tc>
        <w:tc>
          <w:tcPr>
            <w:tcW w:w="992" w:type="dxa"/>
            <w:shd w:val="clear" w:color="auto" w:fill="auto"/>
            <w:vAlign w:val="center"/>
          </w:tcPr>
          <w:p w:rsidR="005B7EA0" w:rsidRPr="003B465A" w:rsidRDefault="00E80F1B" w:rsidP="003E2FEA">
            <w:pPr>
              <w:pStyle w:val="Tabletext"/>
              <w:jc w:val="center"/>
              <w:rPr>
                <w:sz w:val="22"/>
              </w:rPr>
            </w:pPr>
            <w:r>
              <w:rPr>
                <w:sz w:val="22"/>
              </w:rPr>
              <w:t>100</w:t>
            </w:r>
          </w:p>
        </w:tc>
        <w:tc>
          <w:tcPr>
            <w:tcW w:w="767" w:type="dxa"/>
            <w:shd w:val="clear" w:color="auto" w:fill="auto"/>
            <w:vAlign w:val="center"/>
          </w:tcPr>
          <w:p w:rsidR="005B7EA0" w:rsidRPr="003B465A" w:rsidRDefault="00E80F1B" w:rsidP="003E2FEA">
            <w:pPr>
              <w:pStyle w:val="Tabletext"/>
              <w:jc w:val="center"/>
              <w:rPr>
                <w:color w:val="000000"/>
                <w:sz w:val="22"/>
              </w:rPr>
            </w:pPr>
            <w:r>
              <w:rPr>
                <w:color w:val="000000"/>
                <w:sz w:val="22"/>
              </w:rPr>
              <w:t>500</w:t>
            </w:r>
          </w:p>
        </w:tc>
      </w:tr>
      <w:tr w:rsidR="005B7EA0" w:rsidRPr="003B465A" w:rsidTr="001503C6">
        <w:trPr>
          <w:cantSplit/>
          <w:jc w:val="center"/>
        </w:trPr>
        <w:tc>
          <w:tcPr>
            <w:tcW w:w="5108" w:type="dxa"/>
            <w:shd w:val="clear" w:color="auto" w:fill="auto"/>
          </w:tcPr>
          <w:p w:rsidR="005B7EA0" w:rsidRPr="003B465A" w:rsidRDefault="00E80F1B" w:rsidP="003E2FEA">
            <w:pPr>
              <w:pStyle w:val="Tabletext"/>
              <w:rPr>
                <w:sz w:val="22"/>
              </w:rPr>
            </w:pPr>
            <w:r w:rsidRPr="00E15F73">
              <w:rPr>
                <w:rFonts w:cs="Arial"/>
                <w:szCs w:val="20"/>
              </w:rPr>
              <w:t xml:space="preserve">Remove introduced trees and large boxthorns on, or within </w:t>
            </w:r>
            <w:r w:rsidR="002117DA" w:rsidRPr="00E15F73">
              <w:rPr>
                <w:rFonts w:cs="Arial"/>
                <w:szCs w:val="20"/>
              </w:rPr>
              <w:t>300</w:t>
            </w:r>
            <w:r w:rsidR="002117DA">
              <w:rPr>
                <w:rFonts w:cs="Arial"/>
                <w:szCs w:val="20"/>
              </w:rPr>
              <w:t xml:space="preserve"> </w:t>
            </w:r>
            <w:r w:rsidR="002117DA" w:rsidRPr="00E15F73">
              <w:rPr>
                <w:rFonts w:cs="Arial"/>
                <w:szCs w:val="20"/>
              </w:rPr>
              <w:t>m</w:t>
            </w:r>
            <w:r w:rsidRPr="00E15F73">
              <w:rPr>
                <w:rFonts w:cs="Arial"/>
                <w:szCs w:val="20"/>
              </w:rPr>
              <w:t xml:space="preserve"> of, red soils where suitable plains-wanderer habitat exists.</w:t>
            </w:r>
          </w:p>
        </w:tc>
        <w:tc>
          <w:tcPr>
            <w:tcW w:w="992" w:type="dxa"/>
            <w:shd w:val="clear" w:color="auto" w:fill="auto"/>
            <w:vAlign w:val="center"/>
          </w:tcPr>
          <w:p w:rsidR="005B7EA0" w:rsidRPr="003B465A" w:rsidRDefault="00E80F1B" w:rsidP="00E80F1B">
            <w:pPr>
              <w:pStyle w:val="Tabletext"/>
              <w:jc w:val="center"/>
              <w:rPr>
                <w:sz w:val="22"/>
              </w:rPr>
            </w:pPr>
            <w:r>
              <w:rPr>
                <w:sz w:val="22"/>
              </w:rPr>
              <w:t>4</w:t>
            </w:r>
          </w:p>
        </w:tc>
        <w:tc>
          <w:tcPr>
            <w:tcW w:w="992" w:type="dxa"/>
            <w:shd w:val="clear" w:color="auto" w:fill="auto"/>
            <w:vAlign w:val="center"/>
          </w:tcPr>
          <w:p w:rsidR="005B7EA0" w:rsidRPr="003B465A" w:rsidRDefault="00E80F1B" w:rsidP="00E80F1B">
            <w:pPr>
              <w:pStyle w:val="Tabletext"/>
              <w:jc w:val="center"/>
              <w:rPr>
                <w:sz w:val="22"/>
              </w:rPr>
            </w:pPr>
            <w:r>
              <w:rPr>
                <w:sz w:val="22"/>
              </w:rPr>
              <w:t>4</w:t>
            </w:r>
          </w:p>
        </w:tc>
        <w:tc>
          <w:tcPr>
            <w:tcW w:w="992" w:type="dxa"/>
            <w:shd w:val="clear" w:color="auto" w:fill="auto"/>
            <w:vAlign w:val="center"/>
          </w:tcPr>
          <w:p w:rsidR="005B7EA0" w:rsidRPr="003B465A" w:rsidRDefault="00E80F1B" w:rsidP="00E80F1B">
            <w:pPr>
              <w:pStyle w:val="Tabletext"/>
              <w:jc w:val="center"/>
              <w:rPr>
                <w:sz w:val="22"/>
              </w:rPr>
            </w:pPr>
            <w:r>
              <w:rPr>
                <w:sz w:val="22"/>
              </w:rPr>
              <w:t>4</w:t>
            </w:r>
          </w:p>
        </w:tc>
        <w:tc>
          <w:tcPr>
            <w:tcW w:w="993" w:type="dxa"/>
            <w:shd w:val="clear" w:color="auto" w:fill="auto"/>
            <w:vAlign w:val="center"/>
          </w:tcPr>
          <w:p w:rsidR="005B7EA0" w:rsidRPr="003B465A" w:rsidRDefault="00E80F1B" w:rsidP="00E80F1B">
            <w:pPr>
              <w:pStyle w:val="Tabletext"/>
              <w:jc w:val="center"/>
              <w:rPr>
                <w:sz w:val="22"/>
              </w:rPr>
            </w:pPr>
            <w:r>
              <w:rPr>
                <w:sz w:val="22"/>
              </w:rPr>
              <w:t>4</w:t>
            </w:r>
          </w:p>
        </w:tc>
        <w:tc>
          <w:tcPr>
            <w:tcW w:w="992" w:type="dxa"/>
            <w:shd w:val="clear" w:color="auto" w:fill="auto"/>
            <w:vAlign w:val="center"/>
          </w:tcPr>
          <w:p w:rsidR="005B7EA0" w:rsidRPr="003B465A" w:rsidRDefault="00E80F1B" w:rsidP="00E80F1B">
            <w:pPr>
              <w:pStyle w:val="Tabletext"/>
              <w:jc w:val="center"/>
              <w:rPr>
                <w:sz w:val="22"/>
              </w:rPr>
            </w:pPr>
            <w:r>
              <w:rPr>
                <w:sz w:val="22"/>
              </w:rPr>
              <w:t>4</w:t>
            </w:r>
          </w:p>
        </w:tc>
        <w:tc>
          <w:tcPr>
            <w:tcW w:w="767" w:type="dxa"/>
            <w:shd w:val="clear" w:color="auto" w:fill="auto"/>
            <w:vAlign w:val="center"/>
          </w:tcPr>
          <w:p w:rsidR="005B7EA0" w:rsidRPr="003B465A" w:rsidRDefault="00E80F1B" w:rsidP="003E2FEA">
            <w:pPr>
              <w:pStyle w:val="Tabletext"/>
              <w:jc w:val="center"/>
              <w:rPr>
                <w:color w:val="000000"/>
                <w:sz w:val="22"/>
              </w:rPr>
            </w:pPr>
            <w:r>
              <w:rPr>
                <w:color w:val="000000"/>
                <w:sz w:val="22"/>
              </w:rPr>
              <w:t>20</w:t>
            </w:r>
          </w:p>
        </w:tc>
      </w:tr>
      <w:tr w:rsidR="005B7EA0" w:rsidRPr="003B465A" w:rsidTr="001503C6">
        <w:trPr>
          <w:cantSplit/>
          <w:jc w:val="center"/>
        </w:trPr>
        <w:tc>
          <w:tcPr>
            <w:tcW w:w="5108" w:type="dxa"/>
            <w:shd w:val="clear" w:color="auto" w:fill="auto"/>
          </w:tcPr>
          <w:p w:rsidR="005B7EA0" w:rsidRPr="003B465A" w:rsidRDefault="00E80F1B" w:rsidP="003E2FEA">
            <w:pPr>
              <w:pStyle w:val="Tabletext"/>
              <w:rPr>
                <w:sz w:val="22"/>
              </w:rPr>
            </w:pPr>
            <w:r w:rsidRPr="003B465A">
              <w:rPr>
                <w:sz w:val="22"/>
              </w:rPr>
              <w:t>Implement a long term plains-wanderer monitoring program</w:t>
            </w:r>
            <w:r w:rsidRPr="003B465A">
              <w:rPr>
                <w:sz w:val="22"/>
                <w:lang w:eastAsia="en-AU"/>
              </w:rPr>
              <w:t xml:space="preserve"> in the species two strongholds.</w:t>
            </w:r>
          </w:p>
        </w:tc>
        <w:tc>
          <w:tcPr>
            <w:tcW w:w="992" w:type="dxa"/>
            <w:shd w:val="clear" w:color="auto" w:fill="auto"/>
            <w:vAlign w:val="center"/>
          </w:tcPr>
          <w:p w:rsidR="005B7EA0" w:rsidRPr="003B465A" w:rsidRDefault="00E80F1B" w:rsidP="003E2FEA">
            <w:pPr>
              <w:pStyle w:val="Tabletext"/>
              <w:jc w:val="center"/>
              <w:rPr>
                <w:sz w:val="22"/>
              </w:rPr>
            </w:pPr>
            <w:r>
              <w:rPr>
                <w:sz w:val="22"/>
              </w:rPr>
              <w:t>30</w:t>
            </w:r>
          </w:p>
        </w:tc>
        <w:tc>
          <w:tcPr>
            <w:tcW w:w="992" w:type="dxa"/>
            <w:shd w:val="clear" w:color="auto" w:fill="auto"/>
            <w:vAlign w:val="center"/>
          </w:tcPr>
          <w:p w:rsidR="005B7EA0" w:rsidRPr="003B465A" w:rsidRDefault="00E80F1B" w:rsidP="003E2FEA">
            <w:pPr>
              <w:pStyle w:val="Tabletext"/>
              <w:jc w:val="center"/>
              <w:rPr>
                <w:sz w:val="22"/>
              </w:rPr>
            </w:pPr>
            <w:r>
              <w:rPr>
                <w:sz w:val="22"/>
              </w:rPr>
              <w:t>30</w:t>
            </w:r>
          </w:p>
        </w:tc>
        <w:tc>
          <w:tcPr>
            <w:tcW w:w="992" w:type="dxa"/>
            <w:shd w:val="clear" w:color="auto" w:fill="auto"/>
            <w:vAlign w:val="center"/>
          </w:tcPr>
          <w:p w:rsidR="005B7EA0" w:rsidRPr="003B465A" w:rsidRDefault="00E80F1B" w:rsidP="003E2FEA">
            <w:pPr>
              <w:pStyle w:val="Tabletext"/>
              <w:jc w:val="center"/>
              <w:rPr>
                <w:sz w:val="22"/>
              </w:rPr>
            </w:pPr>
            <w:r>
              <w:rPr>
                <w:sz w:val="22"/>
              </w:rPr>
              <w:t>30</w:t>
            </w:r>
          </w:p>
        </w:tc>
        <w:tc>
          <w:tcPr>
            <w:tcW w:w="993" w:type="dxa"/>
            <w:shd w:val="clear" w:color="auto" w:fill="auto"/>
            <w:vAlign w:val="center"/>
          </w:tcPr>
          <w:p w:rsidR="005B7EA0" w:rsidRPr="003B465A" w:rsidRDefault="00E80F1B" w:rsidP="003E2FEA">
            <w:pPr>
              <w:pStyle w:val="Tabletext"/>
              <w:jc w:val="center"/>
              <w:rPr>
                <w:sz w:val="22"/>
              </w:rPr>
            </w:pPr>
            <w:r>
              <w:rPr>
                <w:sz w:val="22"/>
              </w:rPr>
              <w:t>30</w:t>
            </w:r>
          </w:p>
        </w:tc>
        <w:tc>
          <w:tcPr>
            <w:tcW w:w="992" w:type="dxa"/>
            <w:shd w:val="clear" w:color="auto" w:fill="auto"/>
            <w:vAlign w:val="center"/>
          </w:tcPr>
          <w:p w:rsidR="005B7EA0" w:rsidRPr="003B465A" w:rsidRDefault="00E80F1B" w:rsidP="003E2FEA">
            <w:pPr>
              <w:pStyle w:val="Tabletext"/>
              <w:jc w:val="center"/>
              <w:rPr>
                <w:sz w:val="22"/>
              </w:rPr>
            </w:pPr>
            <w:r>
              <w:rPr>
                <w:sz w:val="22"/>
              </w:rPr>
              <w:t>30</w:t>
            </w:r>
          </w:p>
        </w:tc>
        <w:tc>
          <w:tcPr>
            <w:tcW w:w="767" w:type="dxa"/>
            <w:shd w:val="clear" w:color="auto" w:fill="auto"/>
            <w:vAlign w:val="center"/>
          </w:tcPr>
          <w:p w:rsidR="005B7EA0" w:rsidRPr="003B465A" w:rsidRDefault="00E80F1B" w:rsidP="003E2FEA">
            <w:pPr>
              <w:pStyle w:val="Tabletext"/>
              <w:jc w:val="center"/>
              <w:rPr>
                <w:color w:val="000000"/>
                <w:sz w:val="22"/>
              </w:rPr>
            </w:pPr>
            <w:r>
              <w:rPr>
                <w:color w:val="000000"/>
                <w:sz w:val="22"/>
              </w:rPr>
              <w:t>150</w:t>
            </w:r>
          </w:p>
        </w:tc>
      </w:tr>
      <w:tr w:rsidR="005B7EA0" w:rsidTr="001503C6">
        <w:trPr>
          <w:cantSplit/>
          <w:jc w:val="center"/>
        </w:trPr>
        <w:tc>
          <w:tcPr>
            <w:tcW w:w="5108" w:type="dxa"/>
            <w:shd w:val="clear" w:color="auto" w:fill="auto"/>
          </w:tcPr>
          <w:p w:rsidR="005B7EA0" w:rsidRPr="003B465A" w:rsidRDefault="005B7EA0" w:rsidP="003E2FEA">
            <w:pPr>
              <w:pStyle w:val="Tabletext"/>
              <w:rPr>
                <w:sz w:val="22"/>
              </w:rPr>
            </w:pPr>
            <w:r w:rsidRPr="003B465A">
              <w:rPr>
                <w:b/>
                <w:sz w:val="22"/>
              </w:rPr>
              <w:t>Total</w:t>
            </w:r>
          </w:p>
        </w:tc>
        <w:tc>
          <w:tcPr>
            <w:tcW w:w="992" w:type="dxa"/>
            <w:shd w:val="clear" w:color="auto" w:fill="auto"/>
            <w:vAlign w:val="center"/>
          </w:tcPr>
          <w:p w:rsidR="005B7EA0" w:rsidRPr="003B465A" w:rsidRDefault="006E50A3" w:rsidP="003E2FEA">
            <w:pPr>
              <w:pStyle w:val="Tabletext"/>
              <w:jc w:val="center"/>
              <w:rPr>
                <w:sz w:val="22"/>
              </w:rPr>
            </w:pPr>
            <w:r>
              <w:rPr>
                <w:sz w:val="22"/>
              </w:rPr>
              <w:t>103</w:t>
            </w:r>
            <w:r w:rsidR="00E80F1B">
              <w:rPr>
                <w:sz w:val="22"/>
              </w:rPr>
              <w:t>9</w:t>
            </w:r>
          </w:p>
        </w:tc>
        <w:tc>
          <w:tcPr>
            <w:tcW w:w="992" w:type="dxa"/>
            <w:shd w:val="clear" w:color="auto" w:fill="auto"/>
            <w:vAlign w:val="center"/>
          </w:tcPr>
          <w:p w:rsidR="005B7EA0" w:rsidRPr="003B465A" w:rsidRDefault="00E80F1B" w:rsidP="003E2FEA">
            <w:pPr>
              <w:pStyle w:val="Tabletext"/>
              <w:jc w:val="center"/>
              <w:rPr>
                <w:sz w:val="22"/>
              </w:rPr>
            </w:pPr>
            <w:r>
              <w:rPr>
                <w:sz w:val="22"/>
              </w:rPr>
              <w:t>844</w:t>
            </w:r>
          </w:p>
        </w:tc>
        <w:tc>
          <w:tcPr>
            <w:tcW w:w="992" w:type="dxa"/>
            <w:shd w:val="clear" w:color="auto" w:fill="auto"/>
            <w:vAlign w:val="center"/>
          </w:tcPr>
          <w:p w:rsidR="005B7EA0" w:rsidRPr="003B465A" w:rsidRDefault="00E80F1B" w:rsidP="003E2FEA">
            <w:pPr>
              <w:pStyle w:val="Tabletext"/>
              <w:jc w:val="center"/>
              <w:rPr>
                <w:sz w:val="22"/>
              </w:rPr>
            </w:pPr>
            <w:r>
              <w:rPr>
                <w:sz w:val="22"/>
              </w:rPr>
              <w:t>844</w:t>
            </w:r>
          </w:p>
        </w:tc>
        <w:tc>
          <w:tcPr>
            <w:tcW w:w="993" w:type="dxa"/>
            <w:shd w:val="clear" w:color="auto" w:fill="auto"/>
            <w:vAlign w:val="center"/>
          </w:tcPr>
          <w:p w:rsidR="005B7EA0" w:rsidRPr="003B465A" w:rsidRDefault="00E80F1B" w:rsidP="003E2FEA">
            <w:pPr>
              <w:pStyle w:val="Tabletext"/>
              <w:jc w:val="center"/>
              <w:rPr>
                <w:sz w:val="22"/>
              </w:rPr>
            </w:pPr>
            <w:r>
              <w:rPr>
                <w:sz w:val="22"/>
              </w:rPr>
              <w:t>844</w:t>
            </w:r>
          </w:p>
        </w:tc>
        <w:tc>
          <w:tcPr>
            <w:tcW w:w="992" w:type="dxa"/>
            <w:shd w:val="clear" w:color="auto" w:fill="auto"/>
            <w:vAlign w:val="center"/>
          </w:tcPr>
          <w:p w:rsidR="005B7EA0" w:rsidRPr="003B465A" w:rsidRDefault="00680FBD" w:rsidP="003E2FEA">
            <w:pPr>
              <w:pStyle w:val="Tabletext"/>
              <w:jc w:val="center"/>
              <w:rPr>
                <w:sz w:val="22"/>
              </w:rPr>
            </w:pPr>
            <w:r>
              <w:rPr>
                <w:sz w:val="22"/>
              </w:rPr>
              <w:t>814</w:t>
            </w:r>
          </w:p>
        </w:tc>
        <w:tc>
          <w:tcPr>
            <w:tcW w:w="767" w:type="dxa"/>
            <w:shd w:val="clear" w:color="auto" w:fill="auto"/>
            <w:vAlign w:val="center"/>
          </w:tcPr>
          <w:p w:rsidR="005B7EA0" w:rsidRPr="003B465A" w:rsidRDefault="006E50A3" w:rsidP="006E50A3">
            <w:pPr>
              <w:pStyle w:val="Tabletext"/>
              <w:jc w:val="center"/>
              <w:rPr>
                <w:color w:val="000000"/>
                <w:sz w:val="22"/>
              </w:rPr>
            </w:pPr>
            <w:r>
              <w:rPr>
                <w:color w:val="000000"/>
                <w:sz w:val="22"/>
              </w:rPr>
              <w:t>4385</w:t>
            </w:r>
          </w:p>
        </w:tc>
      </w:tr>
    </w:tbl>
    <w:p w:rsidR="0035132E" w:rsidRPr="008638C2" w:rsidRDefault="001503C6" w:rsidP="003E2FEA">
      <w:pPr>
        <w:pStyle w:val="Heading1"/>
        <w:ind w:left="720" w:hanging="720"/>
      </w:pPr>
      <w:bookmarkStart w:id="206" w:name="_Toc256000052"/>
      <w:bookmarkStart w:id="207" w:name="_Toc414615127"/>
      <w:bookmarkStart w:id="208" w:name="_Toc445307833"/>
      <w:bookmarkEnd w:id="205"/>
      <w:r>
        <w:t>9</w:t>
      </w:r>
      <w:r>
        <w:tab/>
      </w:r>
      <w:r w:rsidR="0035132E" w:rsidRPr="008638C2">
        <w:t>E</w:t>
      </w:r>
      <w:bookmarkEnd w:id="206"/>
      <w:bookmarkEnd w:id="207"/>
      <w:r>
        <w:t>ffects on other native species and biodiversity benefits</w:t>
      </w:r>
      <w:bookmarkEnd w:id="208"/>
    </w:p>
    <w:p w:rsidR="0035132E" w:rsidRPr="00226E9E" w:rsidRDefault="00D368C3" w:rsidP="003B20C9">
      <w:pPr>
        <w:autoSpaceDE w:val="0"/>
        <w:rPr>
          <w:sz w:val="22"/>
          <w:lang w:val="en-US" w:eastAsia="ja-JP"/>
        </w:rPr>
      </w:pPr>
      <w:r>
        <w:rPr>
          <w:sz w:val="22"/>
          <w:lang w:val="en-US" w:eastAsia="ja-JP"/>
        </w:rPr>
        <w:t>S</w:t>
      </w:r>
      <w:r w:rsidR="0035132E" w:rsidRPr="00226E9E">
        <w:rPr>
          <w:sz w:val="22"/>
          <w:lang w:val="en-US" w:eastAsia="ja-JP"/>
        </w:rPr>
        <w:t xml:space="preserve">upporting work to improve habitat quality in grassland ecosystems is likely to benefit </w:t>
      </w:r>
      <w:r w:rsidR="0035132E" w:rsidRPr="00226E9E">
        <w:rPr>
          <w:iCs/>
          <w:sz w:val="22"/>
        </w:rPr>
        <w:t>a range of other grassland species, and thus biodiversity in general, through improving the quality and extent of grassland habitat. Furthermore, the plains-wanderer distribution significantly overlaps with the critically endangered ‘</w:t>
      </w:r>
      <w:r w:rsidR="003B20C9">
        <w:rPr>
          <w:rFonts w:ascii="ZWAdobeF" w:hAnsi="ZWAdobeF" w:cs="ZWAdobeF"/>
          <w:iCs/>
          <w:sz w:val="2"/>
          <w:szCs w:val="2"/>
        </w:rPr>
        <w:t>7T</w:t>
      </w:r>
      <w:r w:rsidR="0035132E" w:rsidRPr="00226E9E">
        <w:rPr>
          <w:rStyle w:val="Hyperlink"/>
          <w:color w:val="auto"/>
          <w:sz w:val="22"/>
          <w:u w:val="none"/>
        </w:rPr>
        <w:t>Natural Grasslands of the Murray Valley Plains’ ecological community, thus efforts to improve habitat quality for the plains-wanderer in this region are likely to have a positive effect on this grassland community.</w:t>
      </w:r>
    </w:p>
    <w:p w:rsidR="0035132E" w:rsidRPr="008638C2" w:rsidRDefault="001503C6" w:rsidP="001503C6">
      <w:pPr>
        <w:pStyle w:val="Heading1"/>
        <w:ind w:left="709" w:hanging="709"/>
      </w:pPr>
      <w:bookmarkStart w:id="209" w:name="_Toc256000053"/>
      <w:bookmarkStart w:id="210" w:name="_Toc414615128"/>
      <w:bookmarkStart w:id="211" w:name="_Toc445307834"/>
      <w:r>
        <w:t>10</w:t>
      </w:r>
      <w:r>
        <w:tab/>
      </w:r>
      <w:r w:rsidR="0035132E" w:rsidRPr="008638C2">
        <w:t>S</w:t>
      </w:r>
      <w:bookmarkEnd w:id="209"/>
      <w:bookmarkEnd w:id="210"/>
      <w:r>
        <w:t>ocial and economic considerations</w:t>
      </w:r>
      <w:bookmarkEnd w:id="211"/>
    </w:p>
    <w:p w:rsidR="0035132E" w:rsidRPr="00226E9E" w:rsidRDefault="0035132E" w:rsidP="003E2FEA">
      <w:pPr>
        <w:rPr>
          <w:sz w:val="22"/>
          <w:lang w:val="en-US" w:eastAsia="ja-JP"/>
        </w:rPr>
      </w:pPr>
      <w:r w:rsidRPr="00226E9E">
        <w:rPr>
          <w:sz w:val="22"/>
          <w:lang w:val="en-US" w:eastAsia="ja-JP"/>
        </w:rPr>
        <w:t xml:space="preserve">The major economic impact of this plan will be on those who require approval to remove or modify plains-wanderer habitat and are prevented from doing so, or are required to modify their proposal by a consent authority. Consent authorities need to consider the impact of proposals on plains-wanderer habitat. Any further loss of native grassland habitat from areas known or likely to contain plains-wanderers is regarded as significant. </w:t>
      </w:r>
    </w:p>
    <w:p w:rsidR="0035132E" w:rsidRPr="00226E9E" w:rsidRDefault="0035132E" w:rsidP="003E2FEA">
      <w:pPr>
        <w:rPr>
          <w:sz w:val="22"/>
          <w:lang w:val="en-US" w:eastAsia="ja-JP"/>
        </w:rPr>
      </w:pPr>
      <w:r w:rsidRPr="00226E9E">
        <w:rPr>
          <w:sz w:val="22"/>
          <w:lang w:val="en-US" w:eastAsia="ja-JP"/>
        </w:rPr>
        <w:t xml:space="preserve">Plains-wanderer habitat has been heavily modified through clearing, development, fragmentation and degradation. The more fertile areas have been targeted for agricultural pursuits. Restrictions on further clearing of plains-wanderer habitat will impact on some landowners/managers and developers. These restrictions are not predicted to impact significantly on agricultural industries since the remnants of these grassland communities are generally located on less fertile soils and are, therefore, relatively unattractive for grazing or cropping. There is likely to be greater consideration of impacts from urban development. </w:t>
      </w:r>
    </w:p>
    <w:p w:rsidR="0035132E" w:rsidRPr="00226E9E" w:rsidRDefault="0035132E" w:rsidP="003E2FEA">
      <w:pPr>
        <w:rPr>
          <w:sz w:val="22"/>
          <w:lang w:val="en-US" w:eastAsia="ja-JP"/>
        </w:rPr>
      </w:pPr>
      <w:r w:rsidRPr="00226E9E">
        <w:rPr>
          <w:sz w:val="22"/>
          <w:lang w:val="en-US" w:eastAsia="ja-JP"/>
        </w:rPr>
        <w:t>In addition, some agricultural business</w:t>
      </w:r>
      <w:r w:rsidR="004F5DBD">
        <w:rPr>
          <w:sz w:val="22"/>
          <w:lang w:val="en-US" w:eastAsia="ja-JP"/>
        </w:rPr>
        <w:t>es</w:t>
      </w:r>
      <w:r w:rsidRPr="00226E9E">
        <w:rPr>
          <w:sz w:val="22"/>
          <w:lang w:val="en-US" w:eastAsia="ja-JP"/>
        </w:rPr>
        <w:t xml:space="preserve"> may be negatively impacted by having to follow restrictions and regulations on the type of spraying allowed for the control of some insect pest s</w:t>
      </w:r>
      <w:r w:rsidR="004F5DBD">
        <w:rPr>
          <w:sz w:val="22"/>
          <w:lang w:val="en-US" w:eastAsia="ja-JP"/>
        </w:rPr>
        <w:t xml:space="preserve">pecies (e.g., plague locusts). </w:t>
      </w:r>
      <w:r w:rsidRPr="00226E9E">
        <w:rPr>
          <w:sz w:val="22"/>
          <w:lang w:val="en-US" w:eastAsia="ja-JP"/>
        </w:rPr>
        <w:t xml:space="preserve">However, these restrictions are currently already in place and this recovery plan does not require a further strengthening of these measures. </w:t>
      </w:r>
    </w:p>
    <w:p w:rsidR="0035132E" w:rsidRPr="00226E9E" w:rsidRDefault="0035132E" w:rsidP="003E2FEA">
      <w:pPr>
        <w:rPr>
          <w:sz w:val="22"/>
          <w:lang w:val="en-US" w:eastAsia="ja-JP"/>
        </w:rPr>
      </w:pPr>
      <w:r w:rsidRPr="00226E9E">
        <w:rPr>
          <w:sz w:val="22"/>
          <w:lang w:val="en-US" w:eastAsia="ja-JP"/>
        </w:rPr>
        <w:t xml:space="preserve">The main social benefit of this plan is that it addresses community concerns that further losses or local extinctions of charismatic fauna, or biodiversity in general, be prevented. </w:t>
      </w:r>
      <w:r w:rsidR="004F6568">
        <w:rPr>
          <w:sz w:val="22"/>
          <w:lang w:val="en-US" w:eastAsia="ja-JP"/>
        </w:rPr>
        <w:t>Recent research indicates that across the Northern Plains Grasslands of Victoria a significant proportion of the population</w:t>
      </w:r>
      <w:r w:rsidR="004F6568" w:rsidRPr="00226E9E">
        <w:rPr>
          <w:sz w:val="22"/>
          <w:lang w:val="en-US" w:eastAsia="ja-JP"/>
        </w:rPr>
        <w:t xml:space="preserve"> </w:t>
      </w:r>
      <w:r w:rsidR="004F6568">
        <w:rPr>
          <w:sz w:val="22"/>
          <w:lang w:val="en-US" w:eastAsia="ja-JP"/>
        </w:rPr>
        <w:t>values the plains-wanderer and the species functions as an effective flagship for grassland conservation in this region (Johnstone et al., In Press). Furthermore, b</w:t>
      </w:r>
      <w:r w:rsidRPr="00226E9E">
        <w:rPr>
          <w:sz w:val="22"/>
          <w:lang w:val="en-US" w:eastAsia="ja-JP"/>
        </w:rPr>
        <w:t>ird watching is a major recreational pursuit</w:t>
      </w:r>
      <w:r w:rsidR="004F6568">
        <w:rPr>
          <w:sz w:val="22"/>
          <w:lang w:val="en-US" w:eastAsia="ja-JP"/>
        </w:rPr>
        <w:t xml:space="preserve"> across Australia</w:t>
      </w:r>
      <w:r w:rsidRPr="00226E9E">
        <w:rPr>
          <w:sz w:val="22"/>
          <w:lang w:val="en-US" w:eastAsia="ja-JP"/>
        </w:rPr>
        <w:t xml:space="preserve">. Therefore the conservation of bird communities enhances the lifestyle of Australians and provides eco-tourism opportunities. </w:t>
      </w:r>
    </w:p>
    <w:p w:rsidR="0035132E" w:rsidRPr="008638C2" w:rsidRDefault="0035132E" w:rsidP="003E2FEA">
      <w:pPr>
        <w:pStyle w:val="Heading1"/>
      </w:pPr>
      <w:bookmarkStart w:id="212" w:name="_Toc256000054"/>
      <w:bookmarkStart w:id="213" w:name="_Toc414615129"/>
      <w:bookmarkStart w:id="214" w:name="_Toc445307835"/>
      <w:r w:rsidRPr="008638C2">
        <w:t>11</w:t>
      </w:r>
      <w:r w:rsidRPr="008638C2">
        <w:tab/>
        <w:t>A</w:t>
      </w:r>
      <w:bookmarkEnd w:id="212"/>
      <w:bookmarkEnd w:id="213"/>
      <w:r w:rsidR="001503C6">
        <w:t>ffected interests</w:t>
      </w:r>
      <w:bookmarkEnd w:id="214"/>
      <w:r w:rsidRPr="008638C2">
        <w:t xml:space="preserve"> </w:t>
      </w:r>
    </w:p>
    <w:p w:rsidR="0035132E" w:rsidRPr="00226E9E" w:rsidRDefault="0035132E" w:rsidP="003E2FEA">
      <w:pPr>
        <w:rPr>
          <w:sz w:val="22"/>
          <w:highlight w:val="yellow"/>
        </w:rPr>
      </w:pPr>
      <w:r w:rsidRPr="00226E9E">
        <w:rPr>
          <w:sz w:val="22"/>
        </w:rPr>
        <w:t>Organisations likely to be affected by the actions proposed in this plan include Australian and state governments agencies, particularly those with environmental, agricultural and forestry concerns; land owners and managers; local Indigenous communities; researchers; tourism operators; conservation groups; wildlife interest groups and proponents of land developments in the vicinity of important plains-wanderer habitat. This list, however, should not be considered exhaustive, as there may be other interest groups that would like to be included in the future or need to be considered when specialised tasks are required in the recovery process.</w:t>
      </w:r>
    </w:p>
    <w:p w:rsidR="0035132E" w:rsidRPr="008638C2" w:rsidRDefault="001503C6" w:rsidP="003E2FEA">
      <w:pPr>
        <w:pStyle w:val="Heading1"/>
      </w:pPr>
      <w:bookmarkStart w:id="215" w:name="_Toc256000055"/>
      <w:bookmarkStart w:id="216" w:name="_Toc414615130"/>
      <w:bookmarkStart w:id="217" w:name="_Toc445307836"/>
      <w:r>
        <w:t>12</w:t>
      </w:r>
      <w:r>
        <w:tab/>
      </w:r>
      <w:r w:rsidR="0035132E" w:rsidRPr="008638C2">
        <w:t>C</w:t>
      </w:r>
      <w:bookmarkEnd w:id="215"/>
      <w:bookmarkEnd w:id="216"/>
      <w:r>
        <w:t>onsultation</w:t>
      </w:r>
      <w:bookmarkEnd w:id="217"/>
    </w:p>
    <w:p w:rsidR="0035132E" w:rsidRPr="00226E9E" w:rsidRDefault="0035132E" w:rsidP="003E2FEA">
      <w:pPr>
        <w:rPr>
          <w:sz w:val="22"/>
          <w:lang w:val="en-US" w:eastAsia="ja-JP"/>
        </w:rPr>
      </w:pPr>
      <w:r w:rsidRPr="000D6D58">
        <w:rPr>
          <w:sz w:val="22"/>
          <w:lang w:val="en-US" w:eastAsia="ja-JP"/>
        </w:rPr>
        <w:t xml:space="preserve">The </w:t>
      </w:r>
      <w:r w:rsidR="000D6D58" w:rsidRPr="000D6D58">
        <w:rPr>
          <w:sz w:val="22"/>
          <w:lang w:val="en-US" w:eastAsia="ja-JP"/>
        </w:rPr>
        <w:t xml:space="preserve">draft </w:t>
      </w:r>
      <w:r w:rsidR="009F275F">
        <w:rPr>
          <w:sz w:val="22"/>
          <w:lang w:val="en-US" w:eastAsia="ja-JP"/>
        </w:rPr>
        <w:t xml:space="preserve">National </w:t>
      </w:r>
      <w:r w:rsidR="000D6D58">
        <w:rPr>
          <w:sz w:val="22"/>
          <w:lang w:val="en-US" w:eastAsia="ja-JP"/>
        </w:rPr>
        <w:t>R</w:t>
      </w:r>
      <w:r w:rsidRPr="000D6D58">
        <w:rPr>
          <w:sz w:val="22"/>
          <w:lang w:val="en-US" w:eastAsia="ja-JP"/>
        </w:rPr>
        <w:t>ecovery</w:t>
      </w:r>
      <w:r w:rsidRPr="00C24049">
        <w:rPr>
          <w:sz w:val="22"/>
          <w:lang w:val="en-US" w:eastAsia="ja-JP"/>
        </w:rPr>
        <w:t xml:space="preserve"> Plan for the Plains-wanderer </w:t>
      </w:r>
      <w:r w:rsidRPr="00226E9E">
        <w:rPr>
          <w:i/>
          <w:sz w:val="22"/>
          <w:lang w:val="en-US" w:eastAsia="ja-JP"/>
        </w:rPr>
        <w:t>(</w:t>
      </w:r>
      <w:r w:rsidRPr="00C24049">
        <w:rPr>
          <w:i/>
          <w:sz w:val="22"/>
          <w:lang w:val="en-US" w:eastAsia="ja-JP"/>
        </w:rPr>
        <w:t>Pedionomus torquatus</w:t>
      </w:r>
      <w:r w:rsidRPr="00226E9E">
        <w:rPr>
          <w:i/>
          <w:sz w:val="22"/>
          <w:lang w:val="en-US" w:eastAsia="ja-JP"/>
        </w:rPr>
        <w:t xml:space="preserve">) </w:t>
      </w:r>
      <w:r w:rsidR="00280B8F">
        <w:rPr>
          <w:sz w:val="22"/>
          <w:lang w:val="en-US" w:eastAsia="ja-JP"/>
        </w:rPr>
        <w:t>was</w:t>
      </w:r>
      <w:r w:rsidRPr="00226E9E">
        <w:rPr>
          <w:sz w:val="22"/>
          <w:lang w:val="en-US" w:eastAsia="ja-JP"/>
        </w:rPr>
        <w:t xml:space="preserve"> developed through extensive consultation with a broad range of stakeholders. The consultation process included a workshop in Melbourne that brought together key species ex</w:t>
      </w:r>
      <w:r w:rsidR="00280B8F">
        <w:rPr>
          <w:sz w:val="22"/>
          <w:lang w:val="en-US" w:eastAsia="ja-JP"/>
        </w:rPr>
        <w:t>perts and conservation managers</w:t>
      </w:r>
      <w:r w:rsidRPr="00226E9E">
        <w:rPr>
          <w:sz w:val="22"/>
          <w:lang w:val="en-US" w:eastAsia="ja-JP"/>
        </w:rPr>
        <w:t xml:space="preserve"> to categorize ongoing threats to the plains-wanderer, and identify knowledge gaps and potential management options. Workshop participants included representatives from DotE, OEH, DELWP, PV, TfN, BirdLife Australia, natural resource management bodies, zoos, researchers, conservation managers, landholders and local community groups. During the drafting processing the Department of the Environment (Cwlth) continued to work closely with key stakeholders.</w:t>
      </w:r>
    </w:p>
    <w:p w:rsidR="00F308F2" w:rsidRDefault="0035132E" w:rsidP="00F308F2">
      <w:pPr>
        <w:pStyle w:val="Heading1"/>
      </w:pPr>
      <w:bookmarkStart w:id="218" w:name="_Toc256000056"/>
      <w:bookmarkStart w:id="219" w:name="_Toc414615131"/>
      <w:bookmarkStart w:id="220" w:name="_Toc445307837"/>
      <w:r w:rsidRPr="008638C2">
        <w:t>13</w:t>
      </w:r>
      <w:r w:rsidRPr="008638C2">
        <w:tab/>
        <w:t>O</w:t>
      </w:r>
      <w:r w:rsidR="001503C6">
        <w:t>rganisations</w:t>
      </w:r>
      <w:r w:rsidRPr="008638C2">
        <w:t>/</w:t>
      </w:r>
      <w:r w:rsidR="001503C6">
        <w:t>persons involved in</w:t>
      </w:r>
      <w:r w:rsidR="00894242">
        <w:t xml:space="preserve"> </w:t>
      </w:r>
      <w:r w:rsidR="001503C6">
        <w:t>evaluating performance of the plan</w:t>
      </w:r>
      <w:bookmarkEnd w:id="218"/>
      <w:bookmarkEnd w:id="219"/>
      <w:bookmarkEnd w:id="220"/>
      <w:r w:rsidRPr="008638C2">
        <w:t xml:space="preserve"> </w:t>
      </w:r>
      <w:bookmarkStart w:id="221" w:name="_Toc390851180"/>
    </w:p>
    <w:p w:rsidR="0035132E" w:rsidRPr="00226E9E" w:rsidRDefault="0035132E" w:rsidP="003E2FEA">
      <w:pPr>
        <w:rPr>
          <w:sz w:val="22"/>
        </w:rPr>
      </w:pPr>
      <w:r w:rsidRPr="00226E9E">
        <w:rPr>
          <w:sz w:val="22"/>
        </w:rPr>
        <w:t>This plan should be reviewed no later than five years from when it was endorsed and made publically available. The review will determine the performance of the plan and assess:</w:t>
      </w:r>
      <w:bookmarkEnd w:id="221"/>
    </w:p>
    <w:p w:rsidR="0035132E" w:rsidRPr="00226E9E" w:rsidRDefault="0035132E" w:rsidP="003E2FEA">
      <w:pPr>
        <w:pStyle w:val="ListBullet"/>
        <w:spacing w:after="0"/>
        <w:rPr>
          <w:sz w:val="22"/>
        </w:rPr>
      </w:pPr>
      <w:bookmarkStart w:id="222" w:name="_Toc390851181"/>
      <w:r w:rsidRPr="00226E9E">
        <w:rPr>
          <w:sz w:val="22"/>
        </w:rPr>
        <w:t>whether the plan continues unchanged, is varied to remove completed actions, or varied to include new conservation priorities</w:t>
      </w:r>
      <w:bookmarkEnd w:id="222"/>
      <w:r w:rsidR="00B17E32">
        <w:rPr>
          <w:sz w:val="22"/>
        </w:rPr>
        <w:t xml:space="preserve">, </w:t>
      </w:r>
      <w:r w:rsidR="004920FE">
        <w:rPr>
          <w:sz w:val="22"/>
        </w:rPr>
        <w:t>or</w:t>
      </w:r>
    </w:p>
    <w:p w:rsidR="0035132E" w:rsidRPr="00226E9E" w:rsidRDefault="0035132E" w:rsidP="003E2FEA">
      <w:pPr>
        <w:pStyle w:val="ListBullet"/>
        <w:rPr>
          <w:sz w:val="22"/>
        </w:rPr>
      </w:pPr>
      <w:bookmarkStart w:id="223" w:name="_Toc390851182"/>
      <w:proofErr w:type="gramStart"/>
      <w:r w:rsidRPr="00226E9E">
        <w:rPr>
          <w:sz w:val="22"/>
        </w:rPr>
        <w:t>whether</w:t>
      </w:r>
      <w:proofErr w:type="gramEnd"/>
      <w:r w:rsidRPr="00226E9E">
        <w:rPr>
          <w:sz w:val="22"/>
        </w:rPr>
        <w:t xml:space="preserve"> a recovery plan is no longer necessary for the species as </w:t>
      </w:r>
      <w:r>
        <w:rPr>
          <w:sz w:val="22"/>
        </w:rPr>
        <w:t xml:space="preserve">conservation </w:t>
      </w:r>
      <w:r w:rsidRPr="00226E9E">
        <w:rPr>
          <w:sz w:val="22"/>
        </w:rPr>
        <w:t>advice will suffice, or the species is recommended for removal from the threatened species list.</w:t>
      </w:r>
      <w:bookmarkEnd w:id="223"/>
      <w:r w:rsidRPr="00226E9E">
        <w:rPr>
          <w:sz w:val="22"/>
        </w:rPr>
        <w:t xml:space="preserve"> </w:t>
      </w:r>
    </w:p>
    <w:p w:rsidR="0035132E" w:rsidRPr="00226E9E" w:rsidRDefault="0035132E" w:rsidP="003E2FEA">
      <w:pPr>
        <w:rPr>
          <w:sz w:val="22"/>
        </w:rPr>
      </w:pPr>
      <w:bookmarkStart w:id="224" w:name="_Toc390851184"/>
      <w:r w:rsidRPr="00226E9E">
        <w:rPr>
          <w:sz w:val="22"/>
        </w:rPr>
        <w:t>The review will be coordinated by DotE in association with relevant Australian and state government agencies and key stakeholder groups such as non-governmental organisations, local community groups and scientific research organisations.</w:t>
      </w:r>
      <w:bookmarkEnd w:id="224"/>
    </w:p>
    <w:p w:rsidR="0035132E" w:rsidRPr="00226E9E" w:rsidRDefault="0035132E" w:rsidP="003E2FEA">
      <w:pPr>
        <w:rPr>
          <w:sz w:val="22"/>
          <w:highlight w:val="yellow"/>
        </w:rPr>
      </w:pPr>
      <w:bookmarkStart w:id="225" w:name="_Toc390851185"/>
      <w:r w:rsidRPr="00226E9E">
        <w:rPr>
          <w:sz w:val="22"/>
        </w:rPr>
        <w:t>Key stakeholders who may be involved in the review of the performanc</w:t>
      </w:r>
      <w:r w:rsidR="009F275F">
        <w:rPr>
          <w:sz w:val="22"/>
        </w:rPr>
        <w:t xml:space="preserve">e of the </w:t>
      </w:r>
      <w:r w:rsidR="009F275F">
        <w:rPr>
          <w:sz w:val="22"/>
          <w:lang w:val="en-US" w:eastAsia="ja-JP"/>
        </w:rPr>
        <w:t>National R</w:t>
      </w:r>
      <w:r w:rsidR="009F275F" w:rsidRPr="000D6D58">
        <w:rPr>
          <w:sz w:val="22"/>
          <w:lang w:val="en-US" w:eastAsia="ja-JP"/>
        </w:rPr>
        <w:t>ecovery</w:t>
      </w:r>
      <w:r w:rsidR="009F275F" w:rsidRPr="00C24049">
        <w:rPr>
          <w:sz w:val="22"/>
          <w:lang w:val="en-US" w:eastAsia="ja-JP"/>
        </w:rPr>
        <w:t xml:space="preserve"> Plan for the Plains-wanderer </w:t>
      </w:r>
      <w:r w:rsidR="009F275F" w:rsidRPr="00226E9E">
        <w:rPr>
          <w:i/>
          <w:sz w:val="22"/>
          <w:lang w:val="en-US" w:eastAsia="ja-JP"/>
        </w:rPr>
        <w:t>(</w:t>
      </w:r>
      <w:r w:rsidR="009F275F" w:rsidRPr="00C24049">
        <w:rPr>
          <w:i/>
          <w:sz w:val="22"/>
          <w:lang w:val="en-US" w:eastAsia="ja-JP"/>
        </w:rPr>
        <w:t>Pedionomus torquatus</w:t>
      </w:r>
      <w:r w:rsidR="009F275F" w:rsidRPr="00226E9E">
        <w:rPr>
          <w:i/>
          <w:sz w:val="22"/>
          <w:lang w:val="en-US" w:eastAsia="ja-JP"/>
        </w:rPr>
        <w:t xml:space="preserve">) </w:t>
      </w:r>
      <w:r w:rsidRPr="00226E9E">
        <w:rPr>
          <w:sz w:val="22"/>
        </w:rPr>
        <w:t>include organisations likely to be affected by the actions proposed in this plan</w:t>
      </w:r>
      <w:bookmarkEnd w:id="225"/>
      <w:r w:rsidRPr="00226E9E">
        <w:rPr>
          <w:sz w:val="22"/>
        </w:rPr>
        <w:t>.</w:t>
      </w:r>
    </w:p>
    <w:p w:rsidR="0035132E" w:rsidRPr="00226E9E" w:rsidRDefault="0035132E" w:rsidP="003E2FEA">
      <w:pPr>
        <w:spacing w:after="0"/>
        <w:rPr>
          <w:b/>
          <w:sz w:val="22"/>
        </w:rPr>
      </w:pPr>
      <w:r w:rsidRPr="00226E9E">
        <w:rPr>
          <w:b/>
          <w:sz w:val="22"/>
        </w:rPr>
        <w:t>Australian Government</w:t>
      </w:r>
    </w:p>
    <w:p w:rsidR="0035132E" w:rsidRPr="00226E9E" w:rsidRDefault="0035132E" w:rsidP="003E2FEA">
      <w:pPr>
        <w:rPr>
          <w:sz w:val="22"/>
          <w:highlight w:val="yellow"/>
        </w:rPr>
      </w:pPr>
      <w:r w:rsidRPr="00226E9E">
        <w:rPr>
          <w:sz w:val="22"/>
        </w:rPr>
        <w:t xml:space="preserve">Department of the Environment </w:t>
      </w:r>
    </w:p>
    <w:p w:rsidR="0035132E" w:rsidRPr="00226E9E" w:rsidRDefault="0035132E" w:rsidP="003E2FEA">
      <w:pPr>
        <w:spacing w:after="0"/>
        <w:rPr>
          <w:b/>
          <w:sz w:val="22"/>
        </w:rPr>
      </w:pPr>
      <w:r w:rsidRPr="00226E9E">
        <w:rPr>
          <w:b/>
          <w:sz w:val="22"/>
        </w:rPr>
        <w:t>Non-government organisations</w:t>
      </w:r>
    </w:p>
    <w:p w:rsidR="0035132E" w:rsidRPr="00226E9E" w:rsidRDefault="0035132E" w:rsidP="003E2FEA">
      <w:pPr>
        <w:spacing w:after="0"/>
        <w:rPr>
          <w:sz w:val="22"/>
        </w:rPr>
      </w:pPr>
      <w:r w:rsidRPr="00226E9E">
        <w:rPr>
          <w:sz w:val="22"/>
        </w:rPr>
        <w:t>Trust for Nature</w:t>
      </w:r>
    </w:p>
    <w:p w:rsidR="0035132E" w:rsidRPr="00226E9E" w:rsidRDefault="0035132E" w:rsidP="003E2FEA">
      <w:pPr>
        <w:spacing w:after="0"/>
        <w:rPr>
          <w:sz w:val="22"/>
        </w:rPr>
      </w:pPr>
      <w:r w:rsidRPr="00226E9E">
        <w:rPr>
          <w:sz w:val="22"/>
        </w:rPr>
        <w:t xml:space="preserve">Bush Heritage Australia </w:t>
      </w:r>
    </w:p>
    <w:p w:rsidR="0035132E" w:rsidRPr="00226E9E" w:rsidRDefault="0035132E" w:rsidP="003E2FEA">
      <w:pPr>
        <w:spacing w:after="0"/>
        <w:rPr>
          <w:sz w:val="22"/>
        </w:rPr>
      </w:pPr>
      <w:r w:rsidRPr="00226E9E">
        <w:rPr>
          <w:sz w:val="22"/>
        </w:rPr>
        <w:t>Conservation</w:t>
      </w:r>
      <w:r>
        <w:rPr>
          <w:sz w:val="22"/>
        </w:rPr>
        <w:t xml:space="preserve"> and c</w:t>
      </w:r>
      <w:r w:rsidRPr="00226E9E">
        <w:rPr>
          <w:sz w:val="22"/>
        </w:rPr>
        <w:t>ommunity groups (including Landcare)</w:t>
      </w:r>
    </w:p>
    <w:p w:rsidR="0035132E" w:rsidRPr="00226E9E" w:rsidRDefault="0035132E" w:rsidP="003E2FEA">
      <w:pPr>
        <w:spacing w:after="0"/>
        <w:rPr>
          <w:sz w:val="22"/>
        </w:rPr>
      </w:pPr>
      <w:r w:rsidRPr="00226E9E">
        <w:rPr>
          <w:sz w:val="22"/>
        </w:rPr>
        <w:t>Universities and other research organisations</w:t>
      </w:r>
    </w:p>
    <w:p w:rsidR="0035132E" w:rsidRPr="00226E9E" w:rsidRDefault="0035132E" w:rsidP="003E2FEA">
      <w:pPr>
        <w:spacing w:after="0"/>
        <w:rPr>
          <w:sz w:val="22"/>
        </w:rPr>
      </w:pPr>
      <w:r w:rsidRPr="00226E9E">
        <w:rPr>
          <w:sz w:val="22"/>
        </w:rPr>
        <w:t>BirdLife Australia</w:t>
      </w:r>
    </w:p>
    <w:p w:rsidR="0035132E" w:rsidRPr="00226E9E" w:rsidRDefault="0035132E" w:rsidP="003E2FEA">
      <w:pPr>
        <w:spacing w:after="0"/>
        <w:rPr>
          <w:sz w:val="22"/>
          <w:highlight w:val="yellow"/>
        </w:rPr>
      </w:pPr>
      <w:r w:rsidRPr="00226E9E">
        <w:rPr>
          <w:sz w:val="22"/>
        </w:rPr>
        <w:t>Northern Plains Grassland Technical Advisory Group</w:t>
      </w:r>
    </w:p>
    <w:p w:rsidR="0035132E" w:rsidRPr="00226E9E" w:rsidRDefault="0035132E" w:rsidP="003E2FEA">
      <w:pPr>
        <w:rPr>
          <w:sz w:val="22"/>
        </w:rPr>
      </w:pPr>
      <w:r w:rsidRPr="00226E9E">
        <w:rPr>
          <w:sz w:val="22"/>
        </w:rPr>
        <w:t>Recreational birdwatchers</w:t>
      </w:r>
    </w:p>
    <w:p w:rsidR="0035132E" w:rsidRPr="00226E9E" w:rsidRDefault="0035132E" w:rsidP="003E2FEA">
      <w:pPr>
        <w:spacing w:after="0"/>
        <w:rPr>
          <w:b/>
          <w:sz w:val="22"/>
        </w:rPr>
      </w:pPr>
      <w:r w:rsidRPr="00226E9E">
        <w:rPr>
          <w:b/>
          <w:sz w:val="22"/>
        </w:rPr>
        <w:t>State/territory governments</w:t>
      </w:r>
    </w:p>
    <w:p w:rsidR="0035132E" w:rsidRPr="00226E9E" w:rsidRDefault="0035132E" w:rsidP="003E2FEA">
      <w:pPr>
        <w:spacing w:after="0"/>
        <w:rPr>
          <w:sz w:val="22"/>
        </w:rPr>
      </w:pPr>
      <w:r w:rsidRPr="00226E9E">
        <w:rPr>
          <w:sz w:val="22"/>
        </w:rPr>
        <w:t>Office of Environment and Heritage (NSW)</w:t>
      </w:r>
    </w:p>
    <w:p w:rsidR="0035132E" w:rsidRPr="00226E9E" w:rsidRDefault="0035132E" w:rsidP="003E2FEA">
      <w:pPr>
        <w:spacing w:after="0"/>
        <w:rPr>
          <w:sz w:val="22"/>
        </w:rPr>
      </w:pPr>
      <w:r w:rsidRPr="00226E9E">
        <w:rPr>
          <w:sz w:val="22"/>
        </w:rPr>
        <w:t>Department of Environment, Land, Water and Planning (Vic)</w:t>
      </w:r>
    </w:p>
    <w:p w:rsidR="0035132E" w:rsidRPr="00226E9E" w:rsidRDefault="0035132E" w:rsidP="003E2FEA">
      <w:pPr>
        <w:spacing w:after="0"/>
        <w:rPr>
          <w:sz w:val="22"/>
        </w:rPr>
      </w:pPr>
      <w:r w:rsidRPr="00226E9E">
        <w:rPr>
          <w:sz w:val="22"/>
        </w:rPr>
        <w:t>Department of Environment and Heritage Protection (Qld)</w:t>
      </w:r>
    </w:p>
    <w:p w:rsidR="0035132E" w:rsidRPr="00226E9E" w:rsidRDefault="0035132E" w:rsidP="003E2FEA">
      <w:pPr>
        <w:spacing w:after="0"/>
        <w:rPr>
          <w:sz w:val="22"/>
        </w:rPr>
      </w:pPr>
      <w:r w:rsidRPr="00226E9E">
        <w:rPr>
          <w:sz w:val="22"/>
        </w:rPr>
        <w:t>Department of Environment, Water and Natural Resources (SA)</w:t>
      </w:r>
    </w:p>
    <w:p w:rsidR="00280B8F" w:rsidRDefault="00280B8F" w:rsidP="003E2FEA">
      <w:pPr>
        <w:spacing w:after="0"/>
        <w:rPr>
          <w:sz w:val="22"/>
        </w:rPr>
      </w:pPr>
      <w:r>
        <w:rPr>
          <w:sz w:val="22"/>
        </w:rPr>
        <w:t>Department of National Parks, Sports and Racing (Qld)</w:t>
      </w:r>
    </w:p>
    <w:p w:rsidR="00D368C3" w:rsidRDefault="00D368C3" w:rsidP="003E2FEA">
      <w:pPr>
        <w:spacing w:after="0"/>
        <w:rPr>
          <w:sz w:val="22"/>
        </w:rPr>
      </w:pPr>
      <w:r>
        <w:rPr>
          <w:sz w:val="22"/>
        </w:rPr>
        <w:t>Parks Victoria (Vic)</w:t>
      </w:r>
    </w:p>
    <w:p w:rsidR="0035132E" w:rsidRPr="00226E9E" w:rsidRDefault="0035132E" w:rsidP="003E2FEA">
      <w:pPr>
        <w:spacing w:after="0"/>
        <w:rPr>
          <w:sz w:val="22"/>
        </w:rPr>
      </w:pPr>
      <w:r w:rsidRPr="00226E9E">
        <w:rPr>
          <w:sz w:val="22"/>
        </w:rPr>
        <w:t xml:space="preserve">Natural resource management bodies </w:t>
      </w:r>
    </w:p>
    <w:p w:rsidR="0035132E" w:rsidRDefault="0035132E" w:rsidP="003E2FEA">
      <w:pPr>
        <w:rPr>
          <w:sz w:val="22"/>
        </w:rPr>
      </w:pPr>
      <w:r w:rsidRPr="00226E9E">
        <w:rPr>
          <w:sz w:val="22"/>
        </w:rPr>
        <w:t>Local government</w:t>
      </w:r>
    </w:p>
    <w:p w:rsidR="0035132E" w:rsidRPr="008638C2" w:rsidRDefault="0035132E" w:rsidP="003E2FEA">
      <w:pPr>
        <w:pStyle w:val="Heading1"/>
      </w:pPr>
      <w:bookmarkStart w:id="226" w:name="_Toc256000057"/>
      <w:bookmarkStart w:id="227" w:name="_Toc414615132"/>
      <w:bookmarkStart w:id="228" w:name="_Toc445307838"/>
      <w:r w:rsidRPr="008638C2">
        <w:t>14</w:t>
      </w:r>
      <w:r w:rsidRPr="008638C2">
        <w:tab/>
        <w:t>R</w:t>
      </w:r>
      <w:bookmarkEnd w:id="226"/>
      <w:bookmarkEnd w:id="227"/>
      <w:r w:rsidR="001503C6">
        <w:t>eferences</w:t>
      </w:r>
      <w:bookmarkEnd w:id="228"/>
    </w:p>
    <w:p w:rsidR="009637D9" w:rsidRDefault="009637D9" w:rsidP="003E2FEA">
      <w:pPr>
        <w:rPr>
          <w:sz w:val="22"/>
        </w:rPr>
      </w:pPr>
      <w:r>
        <w:rPr>
          <w:sz w:val="22"/>
        </w:rPr>
        <w:t>Adriaansen</w:t>
      </w:r>
      <w:r w:rsidR="001553DE">
        <w:rPr>
          <w:sz w:val="22"/>
        </w:rPr>
        <w:t xml:space="preserve"> C (2015). </w:t>
      </w:r>
      <w:proofErr w:type="gramStart"/>
      <w:r w:rsidR="001553DE">
        <w:rPr>
          <w:sz w:val="22"/>
        </w:rPr>
        <w:t>Personal communication by email, 14 October 2015.</w:t>
      </w:r>
      <w:proofErr w:type="gramEnd"/>
      <w:r w:rsidR="001553DE">
        <w:rPr>
          <w:sz w:val="22"/>
        </w:rPr>
        <w:t xml:space="preserve"> </w:t>
      </w:r>
      <w:proofErr w:type="gramStart"/>
      <w:r w:rsidR="001553DE">
        <w:rPr>
          <w:sz w:val="22"/>
        </w:rPr>
        <w:t>Chief executive officer, Australian Plague Locust Commission.</w:t>
      </w:r>
      <w:proofErr w:type="gramEnd"/>
    </w:p>
    <w:p w:rsidR="00B850CB" w:rsidRPr="00B850CB" w:rsidRDefault="00B850CB" w:rsidP="00B850CB">
      <w:pPr>
        <w:autoSpaceDE w:val="0"/>
        <w:autoSpaceDN w:val="0"/>
        <w:adjustRightInd w:val="0"/>
        <w:spacing w:line="240" w:lineRule="auto"/>
        <w:rPr>
          <w:rFonts w:cs="Arial"/>
          <w:sz w:val="22"/>
          <w:lang w:eastAsia="en-AU"/>
        </w:rPr>
      </w:pPr>
      <w:r w:rsidRPr="008A6862">
        <w:rPr>
          <w:rFonts w:cs="Helvetica-Oblique"/>
          <w:iCs/>
          <w:sz w:val="22"/>
        </w:rPr>
        <w:t>Antos</w:t>
      </w:r>
      <w:r w:rsidRPr="008A6862">
        <w:rPr>
          <w:rFonts w:cs="Helvetica-Bold"/>
          <w:bCs/>
          <w:sz w:val="22"/>
        </w:rPr>
        <w:t xml:space="preserve"> M (2013</w:t>
      </w:r>
      <w:r>
        <w:rPr>
          <w:rFonts w:cs="Helvetica-Bold"/>
          <w:bCs/>
          <w:sz w:val="22"/>
        </w:rPr>
        <w:t>a</w:t>
      </w:r>
      <w:r w:rsidRPr="008A6862">
        <w:rPr>
          <w:rFonts w:cs="Helvetica-Bold"/>
          <w:bCs/>
          <w:sz w:val="22"/>
        </w:rPr>
        <w:t>)</w:t>
      </w:r>
      <w:r>
        <w:rPr>
          <w:rFonts w:cs="Helvetica-Bold"/>
          <w:bCs/>
          <w:sz w:val="22"/>
        </w:rPr>
        <w:t>.</w:t>
      </w:r>
      <w:r w:rsidRPr="008A6862">
        <w:rPr>
          <w:rFonts w:cs="Helvetica-Bold"/>
          <w:bCs/>
          <w:sz w:val="22"/>
        </w:rPr>
        <w:t xml:space="preserve"> Northern Plains Grassland Fauna Surveys</w:t>
      </w:r>
      <w:r>
        <w:rPr>
          <w:rFonts w:cs="Helvetica-Bold"/>
          <w:bCs/>
          <w:sz w:val="22"/>
        </w:rPr>
        <w:t>:</w:t>
      </w:r>
      <w:r w:rsidRPr="008A6862">
        <w:rPr>
          <w:rFonts w:cs="Helvetica-Bold"/>
          <w:bCs/>
          <w:sz w:val="22"/>
        </w:rPr>
        <w:t xml:space="preserve"> July 2013 Progress Report</w:t>
      </w:r>
      <w:r w:rsidRPr="008A6862">
        <w:rPr>
          <w:bCs/>
          <w:sz w:val="22"/>
        </w:rPr>
        <w:t>. Parks Victoria</w:t>
      </w:r>
      <w:r>
        <w:rPr>
          <w:bCs/>
          <w:sz w:val="22"/>
        </w:rPr>
        <w:t>, Melbourne</w:t>
      </w:r>
      <w:r w:rsidRPr="008A6862">
        <w:rPr>
          <w:bCs/>
          <w:sz w:val="22"/>
        </w:rPr>
        <w:t>.</w:t>
      </w:r>
    </w:p>
    <w:p w:rsidR="00B850CB" w:rsidRPr="00B850CB" w:rsidRDefault="00B850CB" w:rsidP="00B850CB">
      <w:pPr>
        <w:autoSpaceDE w:val="0"/>
        <w:autoSpaceDN w:val="0"/>
        <w:adjustRightInd w:val="0"/>
        <w:spacing w:line="240" w:lineRule="auto"/>
        <w:rPr>
          <w:rFonts w:cs="Arial"/>
          <w:sz w:val="22"/>
          <w:lang w:eastAsia="en-AU"/>
        </w:rPr>
      </w:pPr>
      <w:r>
        <w:rPr>
          <w:rFonts w:cs="Arial"/>
          <w:sz w:val="22"/>
          <w:lang w:eastAsia="en-AU"/>
        </w:rPr>
        <w:t>Antos M</w:t>
      </w:r>
      <w:r w:rsidRPr="00B850CB">
        <w:rPr>
          <w:rFonts w:cs="Arial"/>
          <w:sz w:val="22"/>
          <w:lang w:eastAsia="en-AU"/>
        </w:rPr>
        <w:t xml:space="preserve"> (2013</w:t>
      </w:r>
      <w:r>
        <w:rPr>
          <w:rFonts w:cs="Arial"/>
          <w:sz w:val="22"/>
          <w:lang w:eastAsia="en-AU"/>
        </w:rPr>
        <w:t>b</w:t>
      </w:r>
      <w:r w:rsidRPr="00B850CB">
        <w:rPr>
          <w:rFonts w:cs="Arial"/>
          <w:sz w:val="22"/>
          <w:lang w:eastAsia="en-AU"/>
        </w:rPr>
        <w:t>). Grassland Fauna Surveys in Diamantina and Astrebla Downs National Parks, South West</w:t>
      </w:r>
      <w:r>
        <w:rPr>
          <w:rFonts w:cs="Arial"/>
          <w:sz w:val="22"/>
          <w:lang w:eastAsia="en-AU"/>
        </w:rPr>
        <w:t xml:space="preserve"> </w:t>
      </w:r>
      <w:r w:rsidRPr="00B850CB">
        <w:rPr>
          <w:rFonts w:cs="Arial"/>
          <w:sz w:val="22"/>
          <w:lang w:eastAsia="en-AU"/>
        </w:rPr>
        <w:t xml:space="preserve">Queensland. A Targeted Search for Plains-wanderers. </w:t>
      </w:r>
      <w:proofErr w:type="gramStart"/>
      <w:r w:rsidRPr="00B850CB">
        <w:rPr>
          <w:rFonts w:cs="Arial"/>
          <w:sz w:val="22"/>
          <w:lang w:eastAsia="en-AU"/>
        </w:rPr>
        <w:t>Unpublished report to Queensland Parks and Wildlife</w:t>
      </w:r>
      <w:r>
        <w:rPr>
          <w:rFonts w:cs="Arial"/>
          <w:sz w:val="22"/>
          <w:lang w:eastAsia="en-AU"/>
        </w:rPr>
        <w:t xml:space="preserve"> </w:t>
      </w:r>
      <w:r w:rsidRPr="00B850CB">
        <w:rPr>
          <w:rFonts w:cs="Arial"/>
          <w:sz w:val="22"/>
          <w:lang w:eastAsia="en-AU"/>
        </w:rPr>
        <w:t>Service and Parks Victoria.</w:t>
      </w:r>
      <w:proofErr w:type="gramEnd"/>
    </w:p>
    <w:p w:rsidR="0035132E" w:rsidRPr="00226E9E" w:rsidRDefault="0035132E" w:rsidP="00B850CB">
      <w:pPr>
        <w:rPr>
          <w:sz w:val="22"/>
        </w:rPr>
      </w:pPr>
      <w:r w:rsidRPr="00226E9E">
        <w:rPr>
          <w:sz w:val="22"/>
        </w:rPr>
        <w:t xml:space="preserve">Antos M (2014). Northern Plains Grassland Fauna Surveys at Terrick Terrick National Park: July 2013-June 2014 Progress Report. </w:t>
      </w:r>
      <w:proofErr w:type="gramStart"/>
      <w:r w:rsidRPr="00226E9E">
        <w:rPr>
          <w:sz w:val="22"/>
        </w:rPr>
        <w:t>Unpublished report to Parks Victoria, Melbourne.</w:t>
      </w:r>
      <w:proofErr w:type="gramEnd"/>
    </w:p>
    <w:p w:rsidR="0035132E" w:rsidRPr="008A6862" w:rsidRDefault="00B850CB" w:rsidP="003E2FEA">
      <w:pPr>
        <w:rPr>
          <w:bCs/>
          <w:sz w:val="22"/>
        </w:rPr>
      </w:pPr>
      <w:r>
        <w:rPr>
          <w:rFonts w:cs="Arial"/>
          <w:sz w:val="22"/>
          <w:lang w:eastAsia="en-AU"/>
        </w:rPr>
        <w:t>Antos M</w:t>
      </w:r>
      <w:r w:rsidRPr="00B850CB">
        <w:rPr>
          <w:rFonts w:cs="Arial"/>
          <w:sz w:val="22"/>
          <w:lang w:eastAsia="en-AU"/>
        </w:rPr>
        <w:t xml:space="preserve"> (2015). </w:t>
      </w:r>
      <w:proofErr w:type="gramStart"/>
      <w:r w:rsidRPr="00B850CB">
        <w:rPr>
          <w:rFonts w:cs="Arial"/>
          <w:sz w:val="22"/>
          <w:lang w:eastAsia="en-AU"/>
        </w:rPr>
        <w:t>Northern Plains Grassland Fauna Surveys at Terrick Terrick National Park.</w:t>
      </w:r>
      <w:proofErr w:type="gramEnd"/>
      <w:r w:rsidRPr="00B850CB">
        <w:rPr>
          <w:rFonts w:cs="Arial"/>
          <w:sz w:val="22"/>
          <w:lang w:eastAsia="en-AU"/>
        </w:rPr>
        <w:t xml:space="preserve"> </w:t>
      </w:r>
      <w:proofErr w:type="gramStart"/>
      <w:r w:rsidRPr="00B850CB">
        <w:rPr>
          <w:rFonts w:cs="Arial"/>
          <w:sz w:val="22"/>
          <w:lang w:eastAsia="en-AU"/>
        </w:rPr>
        <w:t>July 2014-June 2015 Progress</w:t>
      </w:r>
      <w:r>
        <w:rPr>
          <w:rFonts w:cs="Arial"/>
          <w:sz w:val="22"/>
          <w:lang w:eastAsia="en-AU"/>
        </w:rPr>
        <w:t xml:space="preserve"> </w:t>
      </w:r>
      <w:r w:rsidRPr="00B850CB">
        <w:rPr>
          <w:rFonts w:cs="Arial"/>
          <w:sz w:val="22"/>
          <w:lang w:eastAsia="en-AU"/>
        </w:rPr>
        <w:t>Report.</w:t>
      </w:r>
      <w:proofErr w:type="gramEnd"/>
      <w:r w:rsidRPr="00B850CB">
        <w:rPr>
          <w:rFonts w:cs="Arial"/>
          <w:sz w:val="22"/>
          <w:lang w:eastAsia="en-AU"/>
        </w:rPr>
        <w:t xml:space="preserve"> </w:t>
      </w:r>
      <w:proofErr w:type="gramStart"/>
      <w:r w:rsidRPr="00B850CB">
        <w:rPr>
          <w:rFonts w:cs="Arial"/>
          <w:sz w:val="22"/>
          <w:lang w:eastAsia="en-AU"/>
        </w:rPr>
        <w:t>Unpublished report to Parks Victoria, Melbourne.</w:t>
      </w:r>
      <w:proofErr w:type="gramEnd"/>
      <w:r w:rsidR="0035132E" w:rsidRPr="008A6862">
        <w:rPr>
          <w:rFonts w:cs="Helvetica-Bold"/>
          <w:bCs/>
          <w:sz w:val="22"/>
        </w:rPr>
        <w:t xml:space="preserve"> </w:t>
      </w:r>
    </w:p>
    <w:p w:rsidR="006D3DAF" w:rsidRDefault="006D3DAF" w:rsidP="003E2FEA">
      <w:pPr>
        <w:spacing w:after="0"/>
        <w:rPr>
          <w:sz w:val="22"/>
        </w:rPr>
      </w:pPr>
      <w:r>
        <w:rPr>
          <w:sz w:val="22"/>
        </w:rPr>
        <w:t>Australian Plague Locust Commission (</w:t>
      </w:r>
      <w:proofErr w:type="gramStart"/>
      <w:r>
        <w:rPr>
          <w:sz w:val="22"/>
        </w:rPr>
        <w:t>DoA</w:t>
      </w:r>
      <w:proofErr w:type="gramEnd"/>
      <w:r>
        <w:rPr>
          <w:sz w:val="22"/>
        </w:rPr>
        <w:t xml:space="preserve">) (2015). Australian Plague Locust Commission: Annual Activity Reports. Available on the internet at: </w:t>
      </w:r>
    </w:p>
    <w:p w:rsidR="006D3DAF" w:rsidRDefault="009512A9" w:rsidP="003B20C9">
      <w:pPr>
        <w:autoSpaceDE w:val="0"/>
      </w:pPr>
      <w:hyperlink r:id="rId25" w:history="1">
        <w:r w:rsidR="003B20C9">
          <w:rPr>
            <w:rFonts w:ascii="ZWAdobeF" w:hAnsi="ZWAdobeF" w:cs="ZWAdobeF"/>
            <w:sz w:val="2"/>
            <w:szCs w:val="2"/>
          </w:rPr>
          <w:t>7TU</w:t>
        </w:r>
        <w:r w:rsidR="006D3DAF" w:rsidRPr="00DF5F20">
          <w:rPr>
            <w:rStyle w:val="Hyperlink"/>
            <w:sz w:val="22"/>
          </w:rPr>
          <w:t>http://www.agriculture.gov.au/pests-diseases-weeds/locusts/role/publications/annual-activity</w:t>
        </w:r>
        <w:r w:rsidR="003B20C9">
          <w:rPr>
            <w:rStyle w:val="Hyperlink"/>
            <w:rFonts w:ascii="ZWAdobeF" w:hAnsi="ZWAdobeF" w:cs="ZWAdobeF"/>
            <w:color w:val="auto"/>
            <w:sz w:val="2"/>
            <w:szCs w:val="2"/>
            <w:u w:val="none"/>
          </w:rPr>
          <w:t>U7T</w:t>
        </w:r>
      </w:hyperlink>
    </w:p>
    <w:p w:rsidR="0035132E" w:rsidRPr="00226E9E" w:rsidRDefault="0035132E" w:rsidP="003E2FEA">
      <w:pPr>
        <w:rPr>
          <w:rFonts w:cs="Arial"/>
          <w:b/>
          <w:sz w:val="22"/>
        </w:rPr>
      </w:pPr>
      <w:r w:rsidRPr="00226E9E">
        <w:rPr>
          <w:rFonts w:cs="Arial"/>
          <w:sz w:val="22"/>
        </w:rPr>
        <w:t xml:space="preserve">Baker-Gabb DJ (1987). </w:t>
      </w:r>
      <w:proofErr w:type="gramStart"/>
      <w:r w:rsidRPr="00226E9E">
        <w:rPr>
          <w:rFonts w:cs="Arial"/>
          <w:sz w:val="22"/>
        </w:rPr>
        <w:t xml:space="preserve">The Conservation and Management of the Plains-wanderer </w:t>
      </w:r>
      <w:r w:rsidRPr="00226E9E">
        <w:rPr>
          <w:rFonts w:cs="Arial"/>
          <w:i/>
          <w:sz w:val="22"/>
        </w:rPr>
        <w:t>Pedionomus torquatus</w:t>
      </w:r>
      <w:r w:rsidRPr="00226E9E">
        <w:rPr>
          <w:rFonts w:cs="Arial"/>
          <w:sz w:val="22"/>
        </w:rPr>
        <w:t>.</w:t>
      </w:r>
      <w:proofErr w:type="gramEnd"/>
      <w:r w:rsidRPr="00226E9E">
        <w:rPr>
          <w:rFonts w:cs="Arial"/>
          <w:sz w:val="22"/>
        </w:rPr>
        <w:t xml:space="preserve"> </w:t>
      </w:r>
      <w:proofErr w:type="gramStart"/>
      <w:r w:rsidRPr="00226E9E">
        <w:rPr>
          <w:rFonts w:cs="Arial"/>
          <w:i/>
          <w:sz w:val="22"/>
        </w:rPr>
        <w:t>World Wildlife Fund Report.</w:t>
      </w:r>
      <w:proofErr w:type="gramEnd"/>
      <w:r w:rsidRPr="00226E9E">
        <w:rPr>
          <w:rFonts w:cs="Arial"/>
          <w:sz w:val="22"/>
        </w:rPr>
        <w:t xml:space="preserve"> </w:t>
      </w:r>
      <w:proofErr w:type="gramStart"/>
      <w:r w:rsidRPr="00226E9E">
        <w:rPr>
          <w:rFonts w:cs="Arial"/>
          <w:sz w:val="22"/>
        </w:rPr>
        <w:t>49: 140.</w:t>
      </w:r>
      <w:proofErr w:type="gramEnd"/>
    </w:p>
    <w:p w:rsidR="0035132E" w:rsidRPr="00226E9E" w:rsidRDefault="0035132E" w:rsidP="003E2FEA">
      <w:pPr>
        <w:rPr>
          <w:sz w:val="22"/>
        </w:rPr>
      </w:pPr>
      <w:r w:rsidRPr="00226E9E">
        <w:rPr>
          <w:sz w:val="22"/>
        </w:rPr>
        <w:t xml:space="preserve">Baker-Gabb DJ (1988). </w:t>
      </w:r>
      <w:proofErr w:type="gramStart"/>
      <w:r w:rsidRPr="00226E9E">
        <w:rPr>
          <w:sz w:val="22"/>
        </w:rPr>
        <w:t xml:space="preserve">The diet and foraging behaviour of the Plains-wanderer </w:t>
      </w:r>
      <w:r w:rsidRPr="00226E9E">
        <w:rPr>
          <w:i/>
          <w:iCs/>
          <w:sz w:val="22"/>
        </w:rPr>
        <w:t>Pedionomus torquatus</w:t>
      </w:r>
      <w:r w:rsidRPr="00226E9E">
        <w:rPr>
          <w:sz w:val="22"/>
        </w:rPr>
        <w:t>.</w:t>
      </w:r>
      <w:proofErr w:type="gramEnd"/>
      <w:r w:rsidRPr="00226E9E">
        <w:rPr>
          <w:sz w:val="22"/>
        </w:rPr>
        <w:t xml:space="preserve"> </w:t>
      </w:r>
      <w:proofErr w:type="gramStart"/>
      <w:r w:rsidRPr="00226E9E">
        <w:rPr>
          <w:i/>
          <w:iCs/>
          <w:sz w:val="22"/>
        </w:rPr>
        <w:t>Emu</w:t>
      </w:r>
      <w:r w:rsidRPr="00226E9E">
        <w:rPr>
          <w:sz w:val="22"/>
        </w:rPr>
        <w:t>.</w:t>
      </w:r>
      <w:proofErr w:type="gramEnd"/>
      <w:r w:rsidRPr="00226E9E">
        <w:rPr>
          <w:sz w:val="22"/>
        </w:rPr>
        <w:t xml:space="preserve"> </w:t>
      </w:r>
      <w:proofErr w:type="gramStart"/>
      <w:r w:rsidRPr="00226E9E">
        <w:rPr>
          <w:sz w:val="22"/>
        </w:rPr>
        <w:t>88:115--118.</w:t>
      </w:r>
      <w:proofErr w:type="gramEnd"/>
    </w:p>
    <w:p w:rsidR="0035132E" w:rsidRPr="00226E9E" w:rsidRDefault="0035132E" w:rsidP="003E2FEA">
      <w:pPr>
        <w:rPr>
          <w:rFonts w:cs="Arial"/>
          <w:sz w:val="22"/>
        </w:rPr>
      </w:pPr>
      <w:r w:rsidRPr="00226E9E">
        <w:rPr>
          <w:rFonts w:cs="Arial"/>
          <w:sz w:val="22"/>
        </w:rPr>
        <w:t xml:space="preserve">Baker-Gabb DJ (1990a). </w:t>
      </w:r>
      <w:proofErr w:type="gramStart"/>
      <w:r w:rsidRPr="00226E9E">
        <w:rPr>
          <w:rFonts w:cs="Arial"/>
          <w:sz w:val="22"/>
        </w:rPr>
        <w:t xml:space="preserve">An annotated list of records of Plains-wanderers </w:t>
      </w:r>
      <w:r w:rsidRPr="00226E9E">
        <w:rPr>
          <w:rFonts w:cs="Arial"/>
          <w:i/>
          <w:sz w:val="22"/>
        </w:rPr>
        <w:t>Pedionomus torquatus</w:t>
      </w:r>
      <w:r w:rsidRPr="00226E9E">
        <w:rPr>
          <w:rFonts w:cs="Arial"/>
          <w:sz w:val="22"/>
        </w:rPr>
        <w:t>, 1980-1989.</w:t>
      </w:r>
      <w:proofErr w:type="gramEnd"/>
      <w:r w:rsidRPr="00226E9E">
        <w:rPr>
          <w:rFonts w:cs="Arial"/>
          <w:sz w:val="22"/>
        </w:rPr>
        <w:t xml:space="preserve"> </w:t>
      </w:r>
      <w:proofErr w:type="gramStart"/>
      <w:r w:rsidRPr="00226E9E">
        <w:rPr>
          <w:rFonts w:cs="Arial"/>
          <w:i/>
          <w:sz w:val="22"/>
        </w:rPr>
        <w:t>Australian Bird Watcher</w:t>
      </w:r>
      <w:r w:rsidRPr="00226E9E">
        <w:rPr>
          <w:rFonts w:cs="Arial"/>
          <w:sz w:val="22"/>
        </w:rPr>
        <w:t>.</w:t>
      </w:r>
      <w:proofErr w:type="gramEnd"/>
      <w:r w:rsidRPr="00226E9E">
        <w:rPr>
          <w:rFonts w:cs="Arial"/>
          <w:sz w:val="22"/>
        </w:rPr>
        <w:t xml:space="preserve"> 13: 249-252.</w:t>
      </w:r>
    </w:p>
    <w:p w:rsidR="0035132E" w:rsidRPr="00226E9E" w:rsidRDefault="0035132E" w:rsidP="003E2FEA">
      <w:pPr>
        <w:rPr>
          <w:sz w:val="22"/>
        </w:rPr>
      </w:pPr>
      <w:r w:rsidRPr="00226E9E">
        <w:rPr>
          <w:sz w:val="22"/>
        </w:rPr>
        <w:t xml:space="preserve">Baker-Gabb DJ (1990b). </w:t>
      </w:r>
      <w:proofErr w:type="gramStart"/>
      <w:r w:rsidRPr="00226E9E">
        <w:rPr>
          <w:sz w:val="22"/>
        </w:rPr>
        <w:t xml:space="preserve">The biology and management of the Plains-wanderer </w:t>
      </w:r>
      <w:r w:rsidRPr="00226E9E">
        <w:rPr>
          <w:i/>
          <w:iCs/>
          <w:sz w:val="22"/>
        </w:rPr>
        <w:t>Pedionomus torquatus</w:t>
      </w:r>
      <w:r w:rsidRPr="00226E9E">
        <w:rPr>
          <w:sz w:val="22"/>
        </w:rPr>
        <w:t xml:space="preserve"> in NSW.</w:t>
      </w:r>
      <w:proofErr w:type="gramEnd"/>
      <w:r w:rsidRPr="00226E9E">
        <w:rPr>
          <w:sz w:val="22"/>
        </w:rPr>
        <w:t xml:space="preserve"> </w:t>
      </w:r>
      <w:r w:rsidRPr="00226E9E">
        <w:rPr>
          <w:i/>
          <w:iCs/>
          <w:sz w:val="22"/>
        </w:rPr>
        <w:t>NSW NPWS Species Management Report No. 3</w:t>
      </w:r>
      <w:r w:rsidRPr="00226E9E">
        <w:rPr>
          <w:sz w:val="22"/>
        </w:rPr>
        <w:t xml:space="preserve">. </w:t>
      </w:r>
      <w:proofErr w:type="gramStart"/>
      <w:r w:rsidRPr="00226E9E">
        <w:rPr>
          <w:sz w:val="22"/>
        </w:rPr>
        <w:t>NSW National Parks and Wildlife Service, Sydney.</w:t>
      </w:r>
      <w:proofErr w:type="gramEnd"/>
    </w:p>
    <w:p w:rsidR="0035132E" w:rsidRPr="00226E9E" w:rsidRDefault="0035132E" w:rsidP="003E2FEA">
      <w:pPr>
        <w:rPr>
          <w:rFonts w:cs="Arial"/>
          <w:sz w:val="22"/>
        </w:rPr>
      </w:pPr>
      <w:r w:rsidRPr="00226E9E">
        <w:rPr>
          <w:rFonts w:cs="Arial"/>
          <w:sz w:val="22"/>
        </w:rPr>
        <w:t xml:space="preserve">Baker-Gabb DJ (1993). Managing grasslands to maintain biodiversity and conserve the Plains-wanderer. </w:t>
      </w:r>
      <w:proofErr w:type="gramStart"/>
      <w:r w:rsidRPr="00226E9E">
        <w:rPr>
          <w:rFonts w:cs="Arial"/>
          <w:sz w:val="22"/>
        </w:rPr>
        <w:t>Royal Australasian Ornithologists Union.</w:t>
      </w:r>
      <w:proofErr w:type="gramEnd"/>
      <w:r w:rsidRPr="00226E9E">
        <w:rPr>
          <w:rFonts w:cs="Arial"/>
          <w:sz w:val="22"/>
        </w:rPr>
        <w:t xml:space="preserve"> </w:t>
      </w:r>
      <w:proofErr w:type="gramStart"/>
      <w:r w:rsidRPr="00226E9E">
        <w:rPr>
          <w:rFonts w:cs="Arial"/>
          <w:sz w:val="22"/>
        </w:rPr>
        <w:t>Conservation Statement No. 8.</w:t>
      </w:r>
      <w:proofErr w:type="gramEnd"/>
      <w:r w:rsidRPr="00226E9E">
        <w:rPr>
          <w:rFonts w:cs="Arial"/>
          <w:sz w:val="22"/>
        </w:rPr>
        <w:t xml:space="preserve"> </w:t>
      </w:r>
      <w:proofErr w:type="gramStart"/>
      <w:r w:rsidRPr="00226E9E">
        <w:rPr>
          <w:rFonts w:cs="Arial"/>
          <w:i/>
          <w:sz w:val="22"/>
        </w:rPr>
        <w:t>Wingspan.</w:t>
      </w:r>
      <w:proofErr w:type="gramEnd"/>
      <w:r w:rsidRPr="00226E9E">
        <w:rPr>
          <w:rFonts w:cs="Arial"/>
          <w:sz w:val="22"/>
        </w:rPr>
        <w:t xml:space="preserve"> </w:t>
      </w:r>
      <w:proofErr w:type="gramStart"/>
      <w:r w:rsidRPr="00226E9E">
        <w:rPr>
          <w:rFonts w:cs="Arial"/>
          <w:sz w:val="22"/>
        </w:rPr>
        <w:t>10: 8.</w:t>
      </w:r>
      <w:proofErr w:type="gramEnd"/>
    </w:p>
    <w:p w:rsidR="0035132E" w:rsidRPr="00226E9E" w:rsidRDefault="0035132E" w:rsidP="003E2FEA">
      <w:pPr>
        <w:rPr>
          <w:rFonts w:cs="Arial"/>
          <w:sz w:val="22"/>
        </w:rPr>
      </w:pPr>
      <w:r w:rsidRPr="00226E9E">
        <w:rPr>
          <w:rFonts w:cs="Arial"/>
          <w:sz w:val="22"/>
        </w:rPr>
        <w:t xml:space="preserve">Baker-Gabb DJ (1998). </w:t>
      </w:r>
      <w:proofErr w:type="gramStart"/>
      <w:r w:rsidRPr="00226E9E">
        <w:rPr>
          <w:rFonts w:cs="Arial"/>
          <w:sz w:val="22"/>
        </w:rPr>
        <w:t>Native grasslands and the Plains-wanderer.</w:t>
      </w:r>
      <w:proofErr w:type="gramEnd"/>
      <w:r w:rsidRPr="00226E9E">
        <w:rPr>
          <w:rFonts w:cs="Arial"/>
          <w:sz w:val="22"/>
        </w:rPr>
        <w:t xml:space="preserve"> </w:t>
      </w:r>
      <w:proofErr w:type="gramStart"/>
      <w:r w:rsidRPr="00226E9E">
        <w:rPr>
          <w:rFonts w:cs="Arial"/>
          <w:sz w:val="22"/>
        </w:rPr>
        <w:t>Birds Australia Conservation Statement No. 1.</w:t>
      </w:r>
      <w:proofErr w:type="gramEnd"/>
      <w:r w:rsidRPr="00226E9E">
        <w:rPr>
          <w:rFonts w:cs="Arial"/>
          <w:sz w:val="22"/>
        </w:rPr>
        <w:t xml:space="preserve"> </w:t>
      </w:r>
      <w:proofErr w:type="gramStart"/>
      <w:r w:rsidRPr="00226E9E">
        <w:rPr>
          <w:rFonts w:cs="Arial"/>
          <w:i/>
          <w:sz w:val="22"/>
        </w:rPr>
        <w:t>Wingspan.</w:t>
      </w:r>
      <w:proofErr w:type="gramEnd"/>
      <w:r w:rsidRPr="00226E9E">
        <w:rPr>
          <w:rFonts w:cs="Arial"/>
          <w:sz w:val="22"/>
        </w:rPr>
        <w:t xml:space="preserve"> 8(1): 8.</w:t>
      </w:r>
    </w:p>
    <w:p w:rsidR="0035132E" w:rsidRPr="00226E9E" w:rsidRDefault="0035132E" w:rsidP="003E2FEA">
      <w:pPr>
        <w:rPr>
          <w:sz w:val="22"/>
        </w:rPr>
      </w:pPr>
      <w:r w:rsidRPr="00226E9E">
        <w:rPr>
          <w:sz w:val="22"/>
        </w:rPr>
        <w:t xml:space="preserve">Baker-Gabb DJ (2002a). </w:t>
      </w:r>
      <w:r w:rsidRPr="00226E9E">
        <w:rPr>
          <w:i/>
          <w:iCs/>
          <w:sz w:val="22"/>
        </w:rPr>
        <w:t xml:space="preserve">Recovery Plan for the Plains-wanderer </w:t>
      </w:r>
      <w:r w:rsidRPr="00226E9E">
        <w:rPr>
          <w:i/>
          <w:sz w:val="22"/>
        </w:rPr>
        <w:t>Pedionomus torquatus</w:t>
      </w:r>
      <w:r w:rsidRPr="00226E9E">
        <w:rPr>
          <w:i/>
          <w:iCs/>
          <w:sz w:val="22"/>
        </w:rPr>
        <w:t xml:space="preserve"> 2002-2006: Conservation of lowland native grassland dependant fauna</w:t>
      </w:r>
      <w:r w:rsidRPr="00226E9E">
        <w:rPr>
          <w:sz w:val="22"/>
        </w:rPr>
        <w:t xml:space="preserve">. </w:t>
      </w:r>
      <w:proofErr w:type="gramStart"/>
      <w:r w:rsidRPr="00226E9E">
        <w:rPr>
          <w:sz w:val="22"/>
        </w:rPr>
        <w:t>Unpublished report to Environment Australia, Canberra.</w:t>
      </w:r>
      <w:proofErr w:type="gramEnd"/>
    </w:p>
    <w:p w:rsidR="0035132E" w:rsidRPr="00226E9E" w:rsidRDefault="0035132E" w:rsidP="003E2FEA">
      <w:pPr>
        <w:rPr>
          <w:sz w:val="22"/>
        </w:rPr>
      </w:pPr>
      <w:r w:rsidRPr="00226E9E">
        <w:rPr>
          <w:sz w:val="22"/>
        </w:rPr>
        <w:t xml:space="preserve">Baker-Gabb DJ (2002b). </w:t>
      </w:r>
      <w:proofErr w:type="gramStart"/>
      <w:r w:rsidRPr="00226E9E">
        <w:rPr>
          <w:i/>
          <w:iCs/>
          <w:sz w:val="22"/>
        </w:rPr>
        <w:t xml:space="preserve">Surveys for Plains-wanderers </w:t>
      </w:r>
      <w:r w:rsidRPr="00226E9E">
        <w:rPr>
          <w:i/>
          <w:sz w:val="22"/>
        </w:rPr>
        <w:t>Pedionomus torquatus</w:t>
      </w:r>
      <w:r w:rsidRPr="00226E9E">
        <w:rPr>
          <w:i/>
          <w:iCs/>
          <w:sz w:val="22"/>
        </w:rPr>
        <w:t xml:space="preserve"> on Astrebla Downs National Park, western Queensland</w:t>
      </w:r>
      <w:r w:rsidRPr="00226E9E">
        <w:rPr>
          <w:sz w:val="22"/>
        </w:rPr>
        <w:t>.</w:t>
      </w:r>
      <w:proofErr w:type="gramEnd"/>
      <w:r w:rsidRPr="00226E9E">
        <w:rPr>
          <w:sz w:val="22"/>
        </w:rPr>
        <w:t xml:space="preserve"> </w:t>
      </w:r>
      <w:proofErr w:type="gramStart"/>
      <w:r w:rsidRPr="00226E9E">
        <w:rPr>
          <w:sz w:val="22"/>
        </w:rPr>
        <w:t>Unpublished report to Environment Australia, Canberra.</w:t>
      </w:r>
      <w:proofErr w:type="gramEnd"/>
    </w:p>
    <w:p w:rsidR="0035132E" w:rsidRPr="00226E9E" w:rsidRDefault="0035132E" w:rsidP="003E2FEA">
      <w:pPr>
        <w:rPr>
          <w:rFonts w:cs="Calibri-Bold"/>
          <w:sz w:val="22"/>
        </w:rPr>
      </w:pPr>
      <w:r w:rsidRPr="00226E9E">
        <w:rPr>
          <w:rFonts w:cs="Calibri-Bold"/>
          <w:sz w:val="22"/>
        </w:rPr>
        <w:t xml:space="preserve">Baker-Gabb DJ (2012). </w:t>
      </w:r>
      <w:r w:rsidRPr="00226E9E">
        <w:rPr>
          <w:sz w:val="22"/>
        </w:rPr>
        <w:t xml:space="preserve">Plains-wanderer surveys on the Avoca Plains, Victoria, in 2012. Report by </w:t>
      </w:r>
      <w:r w:rsidRPr="00226E9E">
        <w:rPr>
          <w:rFonts w:cs="Calibri-Bold"/>
          <w:sz w:val="22"/>
        </w:rPr>
        <w:t xml:space="preserve">Elanus Pty Ltd., Greensborough, Victoria. </w:t>
      </w:r>
    </w:p>
    <w:p w:rsidR="0035132E" w:rsidRPr="00226E9E" w:rsidRDefault="0035132E" w:rsidP="003E2FEA">
      <w:pPr>
        <w:rPr>
          <w:sz w:val="22"/>
        </w:rPr>
      </w:pPr>
      <w:r w:rsidRPr="00226E9E">
        <w:rPr>
          <w:sz w:val="22"/>
        </w:rPr>
        <w:t xml:space="preserve">Baker-Gabb DJ (2014). </w:t>
      </w:r>
      <w:r w:rsidRPr="00226E9E">
        <w:rPr>
          <w:rFonts w:cs="Calibri-Bold"/>
          <w:sz w:val="22"/>
        </w:rPr>
        <w:t xml:space="preserve">‘Not happy wanderers’. </w:t>
      </w:r>
      <w:proofErr w:type="gramStart"/>
      <w:r w:rsidRPr="00226E9E">
        <w:rPr>
          <w:rFonts w:cs="Calibri-Bold"/>
          <w:i/>
          <w:sz w:val="22"/>
        </w:rPr>
        <w:t>Australian Birdlife</w:t>
      </w:r>
      <w:r w:rsidRPr="00226E9E">
        <w:rPr>
          <w:rFonts w:cs="Calibri-Bold"/>
          <w:sz w:val="22"/>
        </w:rPr>
        <w:t>.</w:t>
      </w:r>
      <w:proofErr w:type="gramEnd"/>
      <w:r w:rsidRPr="00226E9E">
        <w:rPr>
          <w:rFonts w:cs="Calibri-Bold"/>
          <w:sz w:val="22"/>
        </w:rPr>
        <w:t xml:space="preserve"> June 2014: 6-7.  </w:t>
      </w:r>
    </w:p>
    <w:p w:rsidR="0035132E" w:rsidRPr="00E97225" w:rsidRDefault="0035132E" w:rsidP="006B1E42">
      <w:pPr>
        <w:spacing w:after="240"/>
        <w:rPr>
          <w:rFonts w:cs="Arial"/>
          <w:color w:val="000000"/>
          <w:sz w:val="22"/>
        </w:rPr>
      </w:pPr>
      <w:r>
        <w:rPr>
          <w:rFonts w:cs="Arial"/>
          <w:color w:val="000000"/>
          <w:sz w:val="22"/>
        </w:rPr>
        <w:t xml:space="preserve">Baker-Gabb DJ (2015). </w:t>
      </w:r>
      <w:proofErr w:type="gramStart"/>
      <w:r>
        <w:rPr>
          <w:rFonts w:cs="Arial"/>
          <w:color w:val="000000"/>
          <w:sz w:val="22"/>
        </w:rPr>
        <w:t>Personal communication by email, 8 January 2015.</w:t>
      </w:r>
      <w:proofErr w:type="gramEnd"/>
      <w:r>
        <w:rPr>
          <w:rFonts w:cs="Arial"/>
          <w:color w:val="000000"/>
          <w:sz w:val="22"/>
        </w:rPr>
        <w:t xml:space="preserve"> </w:t>
      </w:r>
      <w:proofErr w:type="gramStart"/>
      <w:r>
        <w:rPr>
          <w:rFonts w:cs="Arial"/>
          <w:color w:val="000000"/>
          <w:sz w:val="22"/>
        </w:rPr>
        <w:t>Plains-wanderer expert, Elanus Environmental Consultancy.</w:t>
      </w:r>
      <w:proofErr w:type="gramEnd"/>
    </w:p>
    <w:p w:rsidR="0035132E" w:rsidRPr="00226E9E" w:rsidRDefault="0035132E" w:rsidP="003E2FEA">
      <w:pPr>
        <w:rPr>
          <w:rFonts w:cs="Arial"/>
          <w:sz w:val="22"/>
        </w:rPr>
      </w:pPr>
      <w:proofErr w:type="gramStart"/>
      <w:r w:rsidRPr="00226E9E">
        <w:rPr>
          <w:rFonts w:cs="Arial"/>
          <w:sz w:val="22"/>
        </w:rPr>
        <w:t>Baker-Gabb DJ, Benshemesh J and Maher PN (1990).</w:t>
      </w:r>
      <w:proofErr w:type="gramEnd"/>
      <w:r w:rsidRPr="00226E9E">
        <w:rPr>
          <w:rFonts w:cs="Arial"/>
          <w:sz w:val="22"/>
        </w:rPr>
        <w:t xml:space="preserve"> </w:t>
      </w:r>
      <w:proofErr w:type="gramStart"/>
      <w:r w:rsidRPr="00226E9E">
        <w:rPr>
          <w:rFonts w:cs="Arial"/>
          <w:sz w:val="22"/>
        </w:rPr>
        <w:t xml:space="preserve">A revision of the distribution, status and management of the Plains-wanderer </w:t>
      </w:r>
      <w:r w:rsidRPr="00226E9E">
        <w:rPr>
          <w:rFonts w:cs="Arial"/>
          <w:i/>
          <w:sz w:val="22"/>
        </w:rPr>
        <w:t>Pedionomus torquatus.</w:t>
      </w:r>
      <w:proofErr w:type="gramEnd"/>
      <w:r w:rsidRPr="00226E9E">
        <w:rPr>
          <w:rFonts w:cs="Arial"/>
          <w:i/>
          <w:sz w:val="22"/>
        </w:rPr>
        <w:t xml:space="preserve"> </w:t>
      </w:r>
      <w:proofErr w:type="gramStart"/>
      <w:r w:rsidRPr="00226E9E">
        <w:rPr>
          <w:rFonts w:cs="Arial"/>
          <w:i/>
          <w:sz w:val="22"/>
        </w:rPr>
        <w:t>Emu.</w:t>
      </w:r>
      <w:proofErr w:type="gramEnd"/>
      <w:r w:rsidRPr="00226E9E">
        <w:rPr>
          <w:rFonts w:cs="Arial"/>
          <w:sz w:val="22"/>
        </w:rPr>
        <w:t xml:space="preserve"> 90:161-168.</w:t>
      </w:r>
    </w:p>
    <w:p w:rsidR="0035132E" w:rsidRPr="00226E9E" w:rsidRDefault="0035132E" w:rsidP="003E2FEA">
      <w:pPr>
        <w:rPr>
          <w:rFonts w:cs="Arial"/>
          <w:sz w:val="22"/>
        </w:rPr>
      </w:pPr>
      <w:r w:rsidRPr="00226E9E">
        <w:rPr>
          <w:rFonts w:cs="Arial"/>
          <w:sz w:val="22"/>
        </w:rPr>
        <w:t xml:space="preserve">Bennett S (1983). </w:t>
      </w:r>
      <w:proofErr w:type="gramStart"/>
      <w:r w:rsidRPr="00226E9E">
        <w:rPr>
          <w:rFonts w:cs="Arial"/>
          <w:sz w:val="22"/>
        </w:rPr>
        <w:t xml:space="preserve">A review of the distribution, status and biology of the Plains-wanderer </w:t>
      </w:r>
      <w:r w:rsidRPr="00226E9E">
        <w:rPr>
          <w:rFonts w:cs="Arial"/>
          <w:i/>
          <w:sz w:val="22"/>
        </w:rPr>
        <w:t>Pedionomus torquatus</w:t>
      </w:r>
      <w:r w:rsidRPr="00226E9E">
        <w:rPr>
          <w:rFonts w:cs="Arial"/>
          <w:sz w:val="22"/>
        </w:rPr>
        <w:t xml:space="preserve"> Gould.</w:t>
      </w:r>
      <w:proofErr w:type="gramEnd"/>
      <w:r w:rsidRPr="00226E9E">
        <w:rPr>
          <w:rFonts w:cs="Arial"/>
          <w:sz w:val="22"/>
        </w:rPr>
        <w:t xml:space="preserve"> </w:t>
      </w:r>
      <w:r w:rsidRPr="00226E9E">
        <w:rPr>
          <w:rFonts w:cs="Arial"/>
          <w:i/>
          <w:sz w:val="22"/>
        </w:rPr>
        <w:t>Emu</w:t>
      </w:r>
      <w:r w:rsidRPr="00226E9E">
        <w:rPr>
          <w:rFonts w:cs="Arial"/>
          <w:sz w:val="22"/>
        </w:rPr>
        <w:t>: 1-11.</w:t>
      </w:r>
    </w:p>
    <w:p w:rsidR="0035132E" w:rsidRPr="00226E9E" w:rsidRDefault="0035132E" w:rsidP="003E2FEA">
      <w:pPr>
        <w:rPr>
          <w:sz w:val="22"/>
        </w:rPr>
      </w:pPr>
      <w:proofErr w:type="gramStart"/>
      <w:r w:rsidRPr="00226E9E">
        <w:rPr>
          <w:sz w:val="22"/>
        </w:rPr>
        <w:t>Blakers M, Davies SJ and Reilly PN (1984).</w:t>
      </w:r>
      <w:proofErr w:type="gramEnd"/>
      <w:r w:rsidRPr="00226E9E">
        <w:rPr>
          <w:sz w:val="22"/>
        </w:rPr>
        <w:t xml:space="preserve"> </w:t>
      </w:r>
      <w:proofErr w:type="gramStart"/>
      <w:r w:rsidRPr="00226E9E">
        <w:rPr>
          <w:i/>
          <w:iCs/>
          <w:sz w:val="22"/>
        </w:rPr>
        <w:t>The Atlas of Australian Birds</w:t>
      </w:r>
      <w:r w:rsidRPr="00226E9E">
        <w:rPr>
          <w:sz w:val="22"/>
        </w:rPr>
        <w:t>.</w:t>
      </w:r>
      <w:proofErr w:type="gramEnd"/>
      <w:r w:rsidRPr="00226E9E">
        <w:rPr>
          <w:sz w:val="22"/>
        </w:rPr>
        <w:t xml:space="preserve"> </w:t>
      </w:r>
      <w:proofErr w:type="gramStart"/>
      <w:r w:rsidRPr="00226E9E">
        <w:rPr>
          <w:sz w:val="22"/>
        </w:rPr>
        <w:t>Melbourne University Press.</w:t>
      </w:r>
      <w:proofErr w:type="gramEnd"/>
      <w:r w:rsidRPr="00226E9E">
        <w:rPr>
          <w:sz w:val="22"/>
        </w:rPr>
        <w:t xml:space="preserve"> Melbourne, Victoria.</w:t>
      </w:r>
    </w:p>
    <w:p w:rsidR="0035132E" w:rsidRPr="00226E9E" w:rsidRDefault="0035132E" w:rsidP="003E2FEA">
      <w:pPr>
        <w:rPr>
          <w:sz w:val="22"/>
        </w:rPr>
      </w:pPr>
      <w:proofErr w:type="gramStart"/>
      <w:r w:rsidRPr="00226E9E">
        <w:rPr>
          <w:sz w:val="22"/>
        </w:rPr>
        <w:t>Boonstra R and Redhead TD (1994).</w:t>
      </w:r>
      <w:proofErr w:type="gramEnd"/>
      <w:r w:rsidRPr="00226E9E">
        <w:rPr>
          <w:sz w:val="22"/>
        </w:rPr>
        <w:t xml:space="preserve"> </w:t>
      </w:r>
      <w:proofErr w:type="gramStart"/>
      <w:r w:rsidRPr="00226E9E">
        <w:rPr>
          <w:sz w:val="22"/>
        </w:rPr>
        <w:t xml:space="preserve">Population dynamics of an outbreak population of House Mice </w:t>
      </w:r>
      <w:r w:rsidRPr="00226E9E">
        <w:rPr>
          <w:i/>
          <w:sz w:val="22"/>
        </w:rPr>
        <w:t>Mus domesticus</w:t>
      </w:r>
      <w:r w:rsidRPr="00226E9E">
        <w:rPr>
          <w:sz w:val="22"/>
        </w:rPr>
        <w:t xml:space="preserve"> in the irrigated rice-growing area of Australia.</w:t>
      </w:r>
      <w:proofErr w:type="gramEnd"/>
      <w:r w:rsidRPr="00226E9E">
        <w:rPr>
          <w:sz w:val="22"/>
        </w:rPr>
        <w:t xml:space="preserve"> </w:t>
      </w:r>
      <w:proofErr w:type="gramStart"/>
      <w:r w:rsidRPr="00226E9E">
        <w:rPr>
          <w:i/>
          <w:sz w:val="22"/>
        </w:rPr>
        <w:t>Wildlife Research.</w:t>
      </w:r>
      <w:proofErr w:type="gramEnd"/>
      <w:r w:rsidRPr="00226E9E">
        <w:rPr>
          <w:sz w:val="22"/>
        </w:rPr>
        <w:t xml:space="preserve"> 21: 583-598.</w:t>
      </w:r>
    </w:p>
    <w:p w:rsidR="007D52B3" w:rsidRDefault="009637D9" w:rsidP="003E2FEA">
      <w:pPr>
        <w:autoSpaceDE w:val="0"/>
        <w:autoSpaceDN w:val="0"/>
        <w:adjustRightInd w:val="0"/>
        <w:rPr>
          <w:rFonts w:cs="Arial"/>
          <w:sz w:val="22"/>
          <w:lang w:eastAsia="en-AU"/>
        </w:rPr>
      </w:pPr>
      <w:proofErr w:type="gramStart"/>
      <w:r>
        <w:rPr>
          <w:rFonts w:cs="Arial"/>
          <w:sz w:val="22"/>
          <w:lang w:eastAsia="en-AU"/>
        </w:rPr>
        <w:t>Busby DG, White LM and Pearce PA</w:t>
      </w:r>
      <w:r w:rsidR="007D52B3" w:rsidRPr="009637D9">
        <w:rPr>
          <w:rFonts w:cs="Arial"/>
          <w:sz w:val="22"/>
          <w:lang w:eastAsia="en-AU"/>
        </w:rPr>
        <w:t xml:space="preserve"> </w:t>
      </w:r>
      <w:r>
        <w:rPr>
          <w:rFonts w:cs="Arial"/>
          <w:sz w:val="22"/>
          <w:lang w:eastAsia="en-AU"/>
        </w:rPr>
        <w:t>(</w:t>
      </w:r>
      <w:r w:rsidR="007D52B3" w:rsidRPr="009637D9">
        <w:rPr>
          <w:rFonts w:cs="Arial"/>
          <w:sz w:val="22"/>
          <w:lang w:eastAsia="en-AU"/>
        </w:rPr>
        <w:t>1990</w:t>
      </w:r>
      <w:r>
        <w:rPr>
          <w:rFonts w:cs="Arial"/>
          <w:sz w:val="22"/>
          <w:lang w:eastAsia="en-AU"/>
        </w:rPr>
        <w:t>)</w:t>
      </w:r>
      <w:r w:rsidR="007D52B3" w:rsidRPr="009637D9">
        <w:rPr>
          <w:rFonts w:cs="Arial"/>
          <w:sz w:val="22"/>
          <w:lang w:eastAsia="en-AU"/>
        </w:rPr>
        <w:t>.</w:t>
      </w:r>
      <w:proofErr w:type="gramEnd"/>
      <w:r w:rsidR="007D52B3" w:rsidRPr="009637D9">
        <w:rPr>
          <w:rFonts w:cs="Arial"/>
          <w:sz w:val="22"/>
          <w:lang w:eastAsia="en-AU"/>
        </w:rPr>
        <w:t xml:space="preserve"> </w:t>
      </w:r>
      <w:proofErr w:type="gramStart"/>
      <w:r w:rsidR="007D52B3" w:rsidRPr="009637D9">
        <w:rPr>
          <w:rFonts w:cs="Arial"/>
          <w:sz w:val="22"/>
          <w:lang w:eastAsia="en-AU"/>
        </w:rPr>
        <w:t>Effects of aerial spraying</w:t>
      </w:r>
      <w:r>
        <w:rPr>
          <w:rFonts w:cs="Arial"/>
          <w:sz w:val="22"/>
          <w:lang w:eastAsia="en-AU"/>
        </w:rPr>
        <w:t xml:space="preserve"> </w:t>
      </w:r>
      <w:r w:rsidR="007D52B3" w:rsidRPr="009637D9">
        <w:rPr>
          <w:rFonts w:cs="Arial"/>
          <w:sz w:val="22"/>
          <w:lang w:eastAsia="en-AU"/>
        </w:rPr>
        <w:t>of fenitrothion on breeding white-throated sparrows.</w:t>
      </w:r>
      <w:proofErr w:type="gramEnd"/>
      <w:r w:rsidR="007D52B3" w:rsidRPr="009637D9">
        <w:rPr>
          <w:rFonts w:cs="Arial"/>
          <w:sz w:val="22"/>
          <w:lang w:eastAsia="en-AU"/>
        </w:rPr>
        <w:t xml:space="preserve"> </w:t>
      </w:r>
      <w:proofErr w:type="gramStart"/>
      <w:r w:rsidR="007D52B3" w:rsidRPr="009637D9">
        <w:rPr>
          <w:rFonts w:cs="Arial"/>
          <w:i/>
          <w:iCs/>
          <w:sz w:val="22"/>
          <w:lang w:eastAsia="en-AU"/>
        </w:rPr>
        <w:t>J</w:t>
      </w:r>
      <w:r>
        <w:rPr>
          <w:rFonts w:cs="Arial"/>
          <w:i/>
          <w:iCs/>
          <w:sz w:val="22"/>
          <w:lang w:eastAsia="en-AU"/>
        </w:rPr>
        <w:t>ournal of</w:t>
      </w:r>
      <w:r w:rsidR="007D52B3" w:rsidRPr="009637D9">
        <w:rPr>
          <w:rFonts w:cs="Arial"/>
          <w:i/>
          <w:iCs/>
          <w:sz w:val="22"/>
          <w:lang w:eastAsia="en-AU"/>
        </w:rPr>
        <w:t xml:space="preserve"> Appl</w:t>
      </w:r>
      <w:r>
        <w:rPr>
          <w:rFonts w:cs="Arial"/>
          <w:i/>
          <w:iCs/>
          <w:sz w:val="22"/>
          <w:lang w:eastAsia="en-AU"/>
        </w:rPr>
        <w:t>ied</w:t>
      </w:r>
      <w:r w:rsidR="007D52B3" w:rsidRPr="009637D9">
        <w:rPr>
          <w:rFonts w:cs="Arial"/>
          <w:i/>
          <w:iCs/>
          <w:sz w:val="22"/>
          <w:lang w:eastAsia="en-AU"/>
        </w:rPr>
        <w:t xml:space="preserve"> Ecol</w:t>
      </w:r>
      <w:r>
        <w:rPr>
          <w:rFonts w:cs="Arial"/>
          <w:i/>
          <w:iCs/>
          <w:sz w:val="22"/>
          <w:lang w:eastAsia="en-AU"/>
        </w:rPr>
        <w:t>ogy.</w:t>
      </w:r>
      <w:proofErr w:type="gramEnd"/>
      <w:r>
        <w:rPr>
          <w:rFonts w:cs="Arial"/>
          <w:sz w:val="22"/>
          <w:lang w:eastAsia="en-AU"/>
        </w:rPr>
        <w:t xml:space="preserve"> </w:t>
      </w:r>
      <w:r w:rsidR="007D52B3" w:rsidRPr="009637D9">
        <w:rPr>
          <w:rFonts w:cs="Arial"/>
          <w:sz w:val="22"/>
          <w:lang w:eastAsia="en-AU"/>
        </w:rPr>
        <w:t>27:</w:t>
      </w:r>
      <w:r>
        <w:rPr>
          <w:rFonts w:cs="Arial"/>
          <w:sz w:val="22"/>
          <w:lang w:eastAsia="en-AU"/>
        </w:rPr>
        <w:t xml:space="preserve"> </w:t>
      </w:r>
      <w:r w:rsidR="007D52B3" w:rsidRPr="009637D9">
        <w:rPr>
          <w:rFonts w:cs="Arial"/>
          <w:sz w:val="22"/>
          <w:lang w:eastAsia="en-AU"/>
        </w:rPr>
        <w:t>743–755.</w:t>
      </w:r>
    </w:p>
    <w:p w:rsidR="0035132E" w:rsidRDefault="0035132E" w:rsidP="003E2FEA">
      <w:pPr>
        <w:rPr>
          <w:rFonts w:cs="Arial"/>
          <w:sz w:val="22"/>
        </w:rPr>
      </w:pPr>
      <w:proofErr w:type="gramStart"/>
      <w:r w:rsidRPr="00164830">
        <w:rPr>
          <w:rFonts w:cs="Arial"/>
          <w:sz w:val="22"/>
        </w:rPr>
        <w:t>Carruthers GF, Hooper GHS and Walker PW (1993).</w:t>
      </w:r>
      <w:proofErr w:type="gramEnd"/>
      <w:r w:rsidRPr="00164830">
        <w:rPr>
          <w:rFonts w:cs="Arial"/>
          <w:sz w:val="22"/>
        </w:rPr>
        <w:t xml:space="preserve"> </w:t>
      </w:r>
      <w:proofErr w:type="gramStart"/>
      <w:r w:rsidRPr="00164830">
        <w:rPr>
          <w:rFonts w:cs="Arial"/>
          <w:sz w:val="22"/>
        </w:rPr>
        <w:t>Impact on fenitrothion on the relative abundance and diversity of non-target organisms.</w:t>
      </w:r>
      <w:proofErr w:type="gramEnd"/>
      <w:r w:rsidRPr="00164830">
        <w:rPr>
          <w:rFonts w:cs="Arial"/>
          <w:sz w:val="22"/>
        </w:rPr>
        <w:t xml:space="preserve"> In Corey SA, Dall DJ, Milne WM, </w:t>
      </w:r>
      <w:proofErr w:type="gramStart"/>
      <w:r w:rsidRPr="00164830">
        <w:rPr>
          <w:rFonts w:cs="Arial"/>
          <w:sz w:val="22"/>
        </w:rPr>
        <w:t>eds</w:t>
      </w:r>
      <w:proofErr w:type="gramEnd"/>
      <w:r w:rsidRPr="00164830">
        <w:rPr>
          <w:rFonts w:cs="Arial"/>
          <w:sz w:val="22"/>
        </w:rPr>
        <w:t xml:space="preserve">, Pes Control and Sustainable Agriculture. CSIRO Information Series, Melbourne. </w:t>
      </w:r>
      <w:proofErr w:type="gramStart"/>
      <w:r w:rsidRPr="00164830">
        <w:rPr>
          <w:rFonts w:cs="Arial"/>
          <w:sz w:val="22"/>
        </w:rPr>
        <w:t>P136-138.</w:t>
      </w:r>
      <w:proofErr w:type="gramEnd"/>
    </w:p>
    <w:p w:rsidR="0035132E" w:rsidRPr="00226E9E" w:rsidRDefault="0035132E" w:rsidP="003E2FEA">
      <w:pPr>
        <w:rPr>
          <w:sz w:val="22"/>
        </w:rPr>
      </w:pPr>
      <w:r w:rsidRPr="00226E9E">
        <w:rPr>
          <w:sz w:val="22"/>
          <w:lang w:eastAsia="en-AU"/>
        </w:rPr>
        <w:t xml:space="preserve">Caughley G (1994). </w:t>
      </w:r>
      <w:proofErr w:type="gramStart"/>
      <w:r w:rsidRPr="00226E9E">
        <w:rPr>
          <w:sz w:val="22"/>
          <w:lang w:eastAsia="en-AU"/>
        </w:rPr>
        <w:t>Directions in Conservation Biology.</w:t>
      </w:r>
      <w:proofErr w:type="gramEnd"/>
      <w:r w:rsidRPr="00226E9E">
        <w:rPr>
          <w:sz w:val="22"/>
          <w:lang w:eastAsia="en-AU"/>
        </w:rPr>
        <w:t xml:space="preserve"> </w:t>
      </w:r>
      <w:proofErr w:type="gramStart"/>
      <w:r w:rsidRPr="00226E9E">
        <w:rPr>
          <w:i/>
          <w:iCs/>
          <w:sz w:val="22"/>
          <w:lang w:eastAsia="en-AU"/>
        </w:rPr>
        <w:t>Journal of Animal Ecology</w:t>
      </w:r>
      <w:r w:rsidRPr="00226E9E">
        <w:rPr>
          <w:sz w:val="22"/>
          <w:lang w:eastAsia="en-AU"/>
        </w:rPr>
        <w:t>.</w:t>
      </w:r>
      <w:proofErr w:type="gramEnd"/>
      <w:r w:rsidRPr="00226E9E">
        <w:rPr>
          <w:sz w:val="22"/>
          <w:lang w:eastAsia="en-AU"/>
        </w:rPr>
        <w:t xml:space="preserve"> 63(2): 215</w:t>
      </w:r>
      <w:r w:rsidR="002117DA">
        <w:rPr>
          <w:sz w:val="22"/>
          <w:lang w:eastAsia="en-AU"/>
        </w:rPr>
        <w:noBreakHyphen/>
      </w:r>
      <w:r w:rsidRPr="00226E9E">
        <w:rPr>
          <w:sz w:val="22"/>
          <w:lang w:eastAsia="en-AU"/>
        </w:rPr>
        <w:t xml:space="preserve">244. </w:t>
      </w:r>
    </w:p>
    <w:p w:rsidR="0035132E" w:rsidRPr="00226E9E" w:rsidRDefault="0035132E" w:rsidP="003E2FEA">
      <w:pPr>
        <w:rPr>
          <w:sz w:val="22"/>
        </w:rPr>
      </w:pPr>
      <w:proofErr w:type="gramStart"/>
      <w:r w:rsidRPr="00226E9E">
        <w:rPr>
          <w:sz w:val="22"/>
        </w:rPr>
        <w:t>Crome KHJ and Rushton DK (1975).</w:t>
      </w:r>
      <w:proofErr w:type="gramEnd"/>
      <w:r w:rsidRPr="00226E9E">
        <w:rPr>
          <w:sz w:val="22"/>
        </w:rPr>
        <w:t xml:space="preserve">  </w:t>
      </w:r>
      <w:proofErr w:type="gramStart"/>
      <w:r w:rsidRPr="00226E9E">
        <w:rPr>
          <w:sz w:val="22"/>
        </w:rPr>
        <w:t>Development of plumage in the Plains-wanderer.</w:t>
      </w:r>
      <w:proofErr w:type="gramEnd"/>
      <w:r w:rsidRPr="00226E9E">
        <w:rPr>
          <w:sz w:val="22"/>
        </w:rPr>
        <w:t xml:space="preserve">  </w:t>
      </w:r>
      <w:proofErr w:type="gramStart"/>
      <w:r w:rsidRPr="00226E9E">
        <w:rPr>
          <w:i/>
          <w:sz w:val="22"/>
        </w:rPr>
        <w:t>Emu.</w:t>
      </w:r>
      <w:proofErr w:type="gramEnd"/>
      <w:r w:rsidRPr="00226E9E">
        <w:rPr>
          <w:sz w:val="22"/>
        </w:rPr>
        <w:t xml:space="preserve"> 75: 181</w:t>
      </w:r>
      <w:r w:rsidRPr="00226E9E">
        <w:rPr>
          <w:sz w:val="22"/>
        </w:rPr>
        <w:noBreakHyphen/>
        <w:t>184.</w:t>
      </w:r>
    </w:p>
    <w:p w:rsidR="0035132E" w:rsidRPr="00226E9E" w:rsidRDefault="0035132E" w:rsidP="003E2FEA">
      <w:pPr>
        <w:rPr>
          <w:sz w:val="22"/>
        </w:rPr>
      </w:pPr>
      <w:proofErr w:type="gramStart"/>
      <w:r w:rsidRPr="00226E9E">
        <w:rPr>
          <w:sz w:val="22"/>
        </w:rPr>
        <w:t>Diez S and Foreman P (1996).</w:t>
      </w:r>
      <w:proofErr w:type="gramEnd"/>
      <w:r w:rsidRPr="00226E9E">
        <w:rPr>
          <w:sz w:val="22"/>
        </w:rPr>
        <w:t xml:space="preserve"> </w:t>
      </w:r>
      <w:r w:rsidRPr="00226E9E">
        <w:rPr>
          <w:i/>
          <w:iCs/>
          <w:sz w:val="22"/>
        </w:rPr>
        <w:t>Draft: Practical Guidelines for the management of native grasslands on the Riverine Plain of south-eastern Australia</w:t>
      </w:r>
      <w:r w:rsidRPr="00226E9E">
        <w:rPr>
          <w:sz w:val="22"/>
        </w:rPr>
        <w:t xml:space="preserve">. </w:t>
      </w:r>
      <w:proofErr w:type="gramStart"/>
      <w:r w:rsidRPr="00226E9E">
        <w:rPr>
          <w:sz w:val="22"/>
        </w:rPr>
        <w:t>Department of Natural Resources, Bendigo.</w:t>
      </w:r>
      <w:proofErr w:type="gramEnd"/>
    </w:p>
    <w:p w:rsidR="0035132E" w:rsidRDefault="0035132E" w:rsidP="003E2FEA">
      <w:pPr>
        <w:rPr>
          <w:sz w:val="22"/>
        </w:rPr>
      </w:pPr>
      <w:r w:rsidRPr="00226E9E">
        <w:rPr>
          <w:sz w:val="22"/>
        </w:rPr>
        <w:t xml:space="preserve">D'Ombrain EA (1926). </w:t>
      </w:r>
      <w:proofErr w:type="gramStart"/>
      <w:r w:rsidRPr="00226E9E">
        <w:rPr>
          <w:sz w:val="22"/>
        </w:rPr>
        <w:t>The vanishing Plain-wanderer.</w:t>
      </w:r>
      <w:proofErr w:type="gramEnd"/>
      <w:r w:rsidRPr="00226E9E">
        <w:rPr>
          <w:sz w:val="22"/>
        </w:rPr>
        <w:t xml:space="preserve"> </w:t>
      </w:r>
      <w:proofErr w:type="gramStart"/>
      <w:r w:rsidRPr="00226E9E">
        <w:rPr>
          <w:i/>
          <w:iCs/>
          <w:sz w:val="22"/>
        </w:rPr>
        <w:t>Emu</w:t>
      </w:r>
      <w:r w:rsidRPr="00226E9E">
        <w:rPr>
          <w:sz w:val="22"/>
        </w:rPr>
        <w:t>.</w:t>
      </w:r>
      <w:proofErr w:type="gramEnd"/>
      <w:r w:rsidRPr="00226E9E">
        <w:rPr>
          <w:sz w:val="22"/>
        </w:rPr>
        <w:t xml:space="preserve"> 26:59-63.</w:t>
      </w:r>
    </w:p>
    <w:p w:rsidR="0035132E" w:rsidRPr="00226E9E" w:rsidRDefault="0035132E" w:rsidP="003E2FEA">
      <w:pPr>
        <w:rPr>
          <w:sz w:val="22"/>
        </w:rPr>
      </w:pPr>
      <w:proofErr w:type="gramStart"/>
      <w:r w:rsidRPr="00226E9E">
        <w:rPr>
          <w:sz w:val="22"/>
        </w:rPr>
        <w:t>Department of Sustainability and Environment (DSE) (2010).</w:t>
      </w:r>
      <w:proofErr w:type="gramEnd"/>
      <w:r w:rsidRPr="00226E9E">
        <w:rPr>
          <w:sz w:val="22"/>
        </w:rPr>
        <w:t xml:space="preserve"> </w:t>
      </w:r>
      <w:r w:rsidRPr="00226E9E">
        <w:rPr>
          <w:i/>
          <w:sz w:val="22"/>
        </w:rPr>
        <w:t xml:space="preserve">Conservation and protection of </w:t>
      </w:r>
      <w:proofErr w:type="gramStart"/>
      <w:r w:rsidRPr="00226E9E">
        <w:rPr>
          <w:i/>
          <w:sz w:val="22"/>
        </w:rPr>
        <w:t>Northern Plains</w:t>
      </w:r>
      <w:proofErr w:type="gramEnd"/>
      <w:r w:rsidRPr="00226E9E">
        <w:rPr>
          <w:i/>
          <w:sz w:val="22"/>
        </w:rPr>
        <w:t xml:space="preserve"> grasslands – a strategic direction. </w:t>
      </w:r>
      <w:proofErr w:type="gramStart"/>
      <w:r w:rsidRPr="00226E9E">
        <w:rPr>
          <w:sz w:val="22"/>
        </w:rPr>
        <w:t>Department of Sustainability and Environment, Melbourne.</w:t>
      </w:r>
      <w:proofErr w:type="gramEnd"/>
    </w:p>
    <w:p w:rsidR="0035132E" w:rsidRPr="00164830" w:rsidRDefault="0035132E" w:rsidP="003E2FEA">
      <w:pPr>
        <w:autoSpaceDE w:val="0"/>
        <w:autoSpaceDN w:val="0"/>
        <w:adjustRightInd w:val="0"/>
        <w:spacing w:after="0"/>
        <w:rPr>
          <w:rFonts w:cs="Arial"/>
          <w:color w:val="333333"/>
          <w:sz w:val="22"/>
        </w:rPr>
      </w:pPr>
      <w:proofErr w:type="gramStart"/>
      <w:r w:rsidRPr="00164830">
        <w:rPr>
          <w:rFonts w:cs="Arial"/>
          <w:color w:val="333333"/>
          <w:sz w:val="22"/>
        </w:rPr>
        <w:t>Fildes K, Astheimer</w:t>
      </w:r>
      <w:r>
        <w:rPr>
          <w:rFonts w:cs="Arial"/>
          <w:color w:val="333333"/>
          <w:sz w:val="22"/>
        </w:rPr>
        <w:t xml:space="preserve"> LB, Story P, Buttemer WA and Hooper MJ</w:t>
      </w:r>
      <w:r w:rsidRPr="00164830">
        <w:rPr>
          <w:rFonts w:cs="Arial"/>
          <w:color w:val="333333"/>
          <w:sz w:val="22"/>
        </w:rPr>
        <w:t xml:space="preserve"> (2006</w:t>
      </w:r>
      <w:r>
        <w:rPr>
          <w:rFonts w:cs="Arial"/>
          <w:color w:val="333333"/>
          <w:sz w:val="22"/>
        </w:rPr>
        <w:t>a</w:t>
      </w:r>
      <w:r w:rsidRPr="00164830">
        <w:rPr>
          <w:rFonts w:cs="Arial"/>
          <w:color w:val="333333"/>
          <w:sz w:val="22"/>
        </w:rPr>
        <w:t>).</w:t>
      </w:r>
      <w:proofErr w:type="gramEnd"/>
      <w:r w:rsidRPr="00164830">
        <w:rPr>
          <w:rFonts w:cs="Arial"/>
          <w:color w:val="333333"/>
          <w:sz w:val="22"/>
        </w:rPr>
        <w:t xml:space="preserve"> Cholinesterase response in native birds exposed to fenitrothion during locust control operations in eastern Australia. </w:t>
      </w:r>
      <w:r w:rsidRPr="00164830">
        <w:rPr>
          <w:rFonts w:cs="Arial"/>
          <w:i/>
          <w:iCs/>
          <w:color w:val="333333"/>
          <w:sz w:val="22"/>
        </w:rPr>
        <w:t>Environmental Toxicology &amp; Chemistry</w:t>
      </w:r>
      <w:r w:rsidRPr="00164830">
        <w:rPr>
          <w:rFonts w:cs="Arial"/>
          <w:color w:val="333333"/>
          <w:sz w:val="22"/>
        </w:rPr>
        <w:t xml:space="preserve">, </w:t>
      </w:r>
      <w:r w:rsidRPr="00164830">
        <w:rPr>
          <w:rFonts w:cs="Arial"/>
          <w:i/>
          <w:iCs/>
          <w:color w:val="333333"/>
          <w:sz w:val="22"/>
        </w:rPr>
        <w:t>25</w:t>
      </w:r>
      <w:r w:rsidRPr="00164830">
        <w:rPr>
          <w:rFonts w:cs="Arial"/>
          <w:color w:val="333333"/>
          <w:sz w:val="22"/>
        </w:rPr>
        <w:t>(11), 2964-2970.</w:t>
      </w:r>
    </w:p>
    <w:p w:rsidR="0035132E" w:rsidRPr="00164830" w:rsidRDefault="0035132E" w:rsidP="003E2FEA">
      <w:pPr>
        <w:autoSpaceDE w:val="0"/>
        <w:autoSpaceDN w:val="0"/>
        <w:adjustRightInd w:val="0"/>
        <w:spacing w:after="0"/>
        <w:rPr>
          <w:rFonts w:cs="Arial"/>
          <w:color w:val="333333"/>
          <w:sz w:val="22"/>
        </w:rPr>
      </w:pPr>
    </w:p>
    <w:p w:rsidR="0035132E" w:rsidRDefault="0035132E" w:rsidP="003E2FEA">
      <w:pPr>
        <w:rPr>
          <w:rFonts w:cs="Arial"/>
          <w:sz w:val="22"/>
        </w:rPr>
      </w:pPr>
      <w:proofErr w:type="gramStart"/>
      <w:r>
        <w:rPr>
          <w:rFonts w:cs="Arial"/>
          <w:sz w:val="22"/>
        </w:rPr>
        <w:t>Fildes K, Buttemer WA, Astheimer LB and Hooper MJ</w:t>
      </w:r>
      <w:r w:rsidRPr="00164830">
        <w:rPr>
          <w:rFonts w:cs="Arial"/>
          <w:sz w:val="22"/>
        </w:rPr>
        <w:t xml:space="preserve"> </w:t>
      </w:r>
      <w:r>
        <w:rPr>
          <w:rFonts w:cs="Arial"/>
          <w:sz w:val="22"/>
        </w:rPr>
        <w:t>(</w:t>
      </w:r>
      <w:r w:rsidRPr="00164830">
        <w:rPr>
          <w:rFonts w:cs="Arial"/>
          <w:sz w:val="22"/>
        </w:rPr>
        <w:t>2006</w:t>
      </w:r>
      <w:r>
        <w:rPr>
          <w:rFonts w:cs="Arial"/>
          <w:sz w:val="22"/>
        </w:rPr>
        <w:t>b).</w:t>
      </w:r>
      <w:proofErr w:type="gramEnd"/>
      <w:r w:rsidRPr="00164830">
        <w:rPr>
          <w:rFonts w:cs="Arial"/>
          <w:sz w:val="22"/>
        </w:rPr>
        <w:t xml:space="preserve"> Assessing sublethal e</w:t>
      </w:r>
      <w:r>
        <w:rPr>
          <w:rFonts w:cs="Arial"/>
          <w:sz w:val="22"/>
        </w:rPr>
        <w:t>ffects of fenitrothion on birds</w:t>
      </w:r>
      <w:r w:rsidRPr="00164830">
        <w:rPr>
          <w:rFonts w:cs="Arial"/>
          <w:sz w:val="22"/>
        </w:rPr>
        <w:t>: peak metabolism, thermoregulation and immune response</w:t>
      </w:r>
      <w:r w:rsidRPr="00164830">
        <w:rPr>
          <w:rFonts w:cs="Arial"/>
          <w:i/>
          <w:iCs/>
          <w:sz w:val="22"/>
        </w:rPr>
        <w:t xml:space="preserve">, in ANCAP - SETAC </w:t>
      </w:r>
      <w:proofErr w:type="gramStart"/>
      <w:r w:rsidRPr="00164830">
        <w:rPr>
          <w:rFonts w:cs="Arial"/>
          <w:i/>
          <w:iCs/>
          <w:sz w:val="22"/>
        </w:rPr>
        <w:t>2006 :</w:t>
      </w:r>
      <w:proofErr w:type="gramEnd"/>
      <w:r w:rsidRPr="00164830">
        <w:rPr>
          <w:rFonts w:cs="Arial"/>
          <w:i/>
          <w:iCs/>
          <w:sz w:val="22"/>
        </w:rPr>
        <w:t xml:space="preserve"> International Conference on Pesticide Use in Developing Countries : Environmental fate, effects and public health implications</w:t>
      </w:r>
      <w:r>
        <w:rPr>
          <w:rFonts w:cs="Arial"/>
          <w:sz w:val="22"/>
        </w:rPr>
        <w:t>.</w:t>
      </w:r>
      <w:r w:rsidRPr="00164830">
        <w:rPr>
          <w:rFonts w:cs="Arial"/>
          <w:sz w:val="22"/>
        </w:rPr>
        <w:t xml:space="preserve"> </w:t>
      </w:r>
      <w:r>
        <w:rPr>
          <w:rFonts w:cs="Arial"/>
          <w:sz w:val="22"/>
        </w:rPr>
        <w:t>Arusha, Tanzania.</w:t>
      </w:r>
    </w:p>
    <w:p w:rsidR="0035132E" w:rsidRPr="00164830" w:rsidRDefault="0035132E" w:rsidP="003E2FEA">
      <w:pPr>
        <w:rPr>
          <w:rFonts w:cs="Arial"/>
          <w:sz w:val="22"/>
          <w:lang w:eastAsia="en-AU"/>
        </w:rPr>
      </w:pPr>
      <w:proofErr w:type="gramStart"/>
      <w:r w:rsidRPr="00164830">
        <w:rPr>
          <w:rFonts w:cs="Arial"/>
          <w:color w:val="333333"/>
          <w:sz w:val="22"/>
        </w:rPr>
        <w:t>Fildes K, Astheimer</w:t>
      </w:r>
      <w:r>
        <w:rPr>
          <w:rFonts w:cs="Arial"/>
          <w:color w:val="333333"/>
          <w:sz w:val="22"/>
        </w:rPr>
        <w:t xml:space="preserve"> LB and Buttemer WA </w:t>
      </w:r>
      <w:r w:rsidRPr="00164830">
        <w:rPr>
          <w:rFonts w:cs="Arial"/>
          <w:color w:val="333333"/>
          <w:sz w:val="22"/>
        </w:rPr>
        <w:t>(2009).</w:t>
      </w:r>
      <w:proofErr w:type="gramEnd"/>
      <w:r w:rsidRPr="00164830">
        <w:rPr>
          <w:rFonts w:cs="Arial"/>
          <w:color w:val="333333"/>
          <w:sz w:val="22"/>
        </w:rPr>
        <w:t xml:space="preserve"> </w:t>
      </w:r>
      <w:proofErr w:type="gramStart"/>
      <w:r>
        <w:rPr>
          <w:rFonts w:cs="Arial"/>
          <w:color w:val="333333"/>
          <w:sz w:val="22"/>
        </w:rPr>
        <w:t>The effect of acute fenitrothion exposure on a variety of physiological indices, including avian aerobic metabolism during exercise and cold exposure.</w:t>
      </w:r>
      <w:proofErr w:type="gramEnd"/>
      <w:r>
        <w:rPr>
          <w:rFonts w:cs="Arial"/>
          <w:color w:val="333333"/>
          <w:sz w:val="22"/>
        </w:rPr>
        <w:t xml:space="preserve"> </w:t>
      </w:r>
      <w:r w:rsidRPr="00164830">
        <w:rPr>
          <w:rFonts w:cs="Arial"/>
          <w:i/>
          <w:iCs/>
          <w:color w:val="333333"/>
          <w:sz w:val="22"/>
        </w:rPr>
        <w:t>Environmental Toxicology &amp; Chemistry</w:t>
      </w:r>
      <w:r w:rsidRPr="00164830">
        <w:rPr>
          <w:rFonts w:cs="Arial"/>
          <w:color w:val="333333"/>
          <w:sz w:val="22"/>
        </w:rPr>
        <w:t xml:space="preserve">, </w:t>
      </w:r>
      <w:r w:rsidRPr="00164830">
        <w:rPr>
          <w:rFonts w:cs="Arial"/>
          <w:i/>
          <w:iCs/>
          <w:color w:val="333333"/>
          <w:sz w:val="22"/>
        </w:rPr>
        <w:t>28</w:t>
      </w:r>
      <w:r w:rsidRPr="00164830">
        <w:rPr>
          <w:rFonts w:cs="Arial"/>
          <w:color w:val="333333"/>
          <w:sz w:val="22"/>
        </w:rPr>
        <w:t>(2), 388-394.</w:t>
      </w:r>
    </w:p>
    <w:p w:rsidR="0035132E" w:rsidRPr="00226E9E" w:rsidRDefault="0035132E" w:rsidP="003B20C9">
      <w:pPr>
        <w:autoSpaceDE w:val="0"/>
        <w:rPr>
          <w:sz w:val="22"/>
        </w:rPr>
      </w:pPr>
      <w:proofErr w:type="gramStart"/>
      <w:r w:rsidRPr="00226E9E">
        <w:rPr>
          <w:sz w:val="22"/>
        </w:rPr>
        <w:t>Game Management Authority (GMA) (2014).</w:t>
      </w:r>
      <w:proofErr w:type="gramEnd"/>
      <w:r w:rsidRPr="00226E9E">
        <w:rPr>
          <w:sz w:val="22"/>
        </w:rPr>
        <w:t xml:space="preserve"> </w:t>
      </w:r>
      <w:proofErr w:type="gramStart"/>
      <w:r w:rsidRPr="00226E9E">
        <w:rPr>
          <w:sz w:val="22"/>
        </w:rPr>
        <w:t>Where to Hunt – Game Management Authority.</w:t>
      </w:r>
      <w:proofErr w:type="gramEnd"/>
      <w:r w:rsidRPr="00226E9E">
        <w:rPr>
          <w:sz w:val="22"/>
        </w:rPr>
        <w:t xml:space="preserve"> Available on the internet at: </w:t>
      </w:r>
      <w:hyperlink r:id="rId26" w:history="1">
        <w:r w:rsidR="003B20C9">
          <w:rPr>
            <w:rFonts w:ascii="ZWAdobeF" w:hAnsi="ZWAdobeF" w:cs="ZWAdobeF"/>
            <w:sz w:val="2"/>
            <w:szCs w:val="2"/>
          </w:rPr>
          <w:t>7TU</w:t>
        </w:r>
        <w:r w:rsidRPr="00226E9E">
          <w:rPr>
            <w:rStyle w:val="Hyperlink"/>
            <w:sz w:val="22"/>
          </w:rPr>
          <w:t>http://www.gma.vic.gov.au/hunting/quail/where-to-hunt</w:t>
        </w:r>
        <w:r w:rsidR="003B20C9">
          <w:rPr>
            <w:rStyle w:val="Hyperlink"/>
            <w:rFonts w:ascii="ZWAdobeF" w:hAnsi="ZWAdobeF" w:cs="ZWAdobeF"/>
            <w:color w:val="auto"/>
            <w:sz w:val="2"/>
            <w:szCs w:val="2"/>
            <w:u w:val="none"/>
          </w:rPr>
          <w:t>U7T</w:t>
        </w:r>
      </w:hyperlink>
    </w:p>
    <w:p w:rsidR="0035132E" w:rsidRDefault="0035132E" w:rsidP="003B20C9">
      <w:pPr>
        <w:autoSpaceDE w:val="0"/>
        <w:rPr>
          <w:sz w:val="22"/>
        </w:rPr>
      </w:pPr>
      <w:proofErr w:type="gramStart"/>
      <w:r w:rsidRPr="00226E9E">
        <w:rPr>
          <w:sz w:val="22"/>
        </w:rPr>
        <w:t>Garnett ST and Crowley GM (2000).</w:t>
      </w:r>
      <w:proofErr w:type="gramEnd"/>
      <w:r w:rsidRPr="00226E9E">
        <w:rPr>
          <w:sz w:val="22"/>
        </w:rPr>
        <w:t xml:space="preserve"> </w:t>
      </w:r>
      <w:proofErr w:type="gramStart"/>
      <w:r w:rsidRPr="00226E9E">
        <w:rPr>
          <w:iCs/>
          <w:sz w:val="22"/>
        </w:rPr>
        <w:t>The Action Plan for Australian Birds 2000</w:t>
      </w:r>
      <w:r w:rsidRPr="00226E9E">
        <w:rPr>
          <w:sz w:val="22"/>
        </w:rPr>
        <w:t>.</w:t>
      </w:r>
      <w:proofErr w:type="gramEnd"/>
      <w:r w:rsidRPr="00226E9E">
        <w:rPr>
          <w:sz w:val="22"/>
        </w:rPr>
        <w:t xml:space="preserve"> </w:t>
      </w:r>
      <w:proofErr w:type="gramStart"/>
      <w:r w:rsidRPr="00226E9E">
        <w:rPr>
          <w:sz w:val="22"/>
        </w:rPr>
        <w:t>Environment Australia and Birds Australia.</w:t>
      </w:r>
      <w:proofErr w:type="gramEnd"/>
      <w:r w:rsidRPr="00226E9E">
        <w:rPr>
          <w:sz w:val="22"/>
        </w:rPr>
        <w:t xml:space="preserve"> Canberra, ACT. Available on the internet at: </w:t>
      </w:r>
      <w:hyperlink r:id="rId27" w:history="1">
        <w:r w:rsidR="003B20C9">
          <w:rPr>
            <w:rFonts w:ascii="ZWAdobeF" w:hAnsi="ZWAdobeF" w:cs="ZWAdobeF"/>
            <w:sz w:val="2"/>
            <w:szCs w:val="2"/>
          </w:rPr>
          <w:t>7TU</w:t>
        </w:r>
        <w:r w:rsidRPr="005232F1">
          <w:rPr>
            <w:rStyle w:val="Hyperlink"/>
            <w:sz w:val="22"/>
          </w:rPr>
          <w:t>http://www.environment.gov.au/biodiversity/threatened/publications/action/birds2000/index.htm</w:t>
        </w:r>
        <w:r w:rsidR="003B20C9">
          <w:rPr>
            <w:rStyle w:val="Hyperlink"/>
            <w:rFonts w:ascii="ZWAdobeF" w:hAnsi="ZWAdobeF" w:cs="ZWAdobeF"/>
            <w:color w:val="auto"/>
            <w:sz w:val="2"/>
            <w:szCs w:val="2"/>
            <w:u w:val="none"/>
          </w:rPr>
          <w:t>U7T</w:t>
        </w:r>
      </w:hyperlink>
    </w:p>
    <w:p w:rsidR="0035132E" w:rsidRPr="00226E9E" w:rsidRDefault="0035132E" w:rsidP="003E2FEA">
      <w:pPr>
        <w:rPr>
          <w:sz w:val="22"/>
        </w:rPr>
      </w:pPr>
      <w:proofErr w:type="gramStart"/>
      <w:r w:rsidRPr="00226E9E">
        <w:rPr>
          <w:sz w:val="22"/>
        </w:rPr>
        <w:t>Garnett ST, Szabo J and Dutson G (2011).</w:t>
      </w:r>
      <w:proofErr w:type="gramEnd"/>
      <w:r w:rsidRPr="00226E9E">
        <w:rPr>
          <w:sz w:val="22"/>
        </w:rPr>
        <w:t xml:space="preserve"> </w:t>
      </w:r>
      <w:proofErr w:type="gramStart"/>
      <w:r w:rsidRPr="00226E9E">
        <w:rPr>
          <w:i/>
          <w:iCs/>
          <w:sz w:val="22"/>
        </w:rPr>
        <w:t>The Action Plan for Australian Birds 2010</w:t>
      </w:r>
      <w:r w:rsidRPr="00226E9E">
        <w:rPr>
          <w:sz w:val="22"/>
        </w:rPr>
        <w:t>.</w:t>
      </w:r>
      <w:proofErr w:type="gramEnd"/>
      <w:r w:rsidRPr="00226E9E">
        <w:rPr>
          <w:sz w:val="22"/>
        </w:rPr>
        <w:t xml:space="preserve"> </w:t>
      </w:r>
      <w:proofErr w:type="gramStart"/>
      <w:r w:rsidRPr="00226E9E">
        <w:rPr>
          <w:sz w:val="22"/>
        </w:rPr>
        <w:t>CSIRO Publishing.</w:t>
      </w:r>
      <w:proofErr w:type="gramEnd"/>
      <w:r w:rsidRPr="00226E9E">
        <w:rPr>
          <w:sz w:val="22"/>
        </w:rPr>
        <w:t xml:space="preserve"> Canberra, ACT.</w:t>
      </w:r>
    </w:p>
    <w:p w:rsidR="0035132E" w:rsidRPr="00226E9E" w:rsidRDefault="0035132E" w:rsidP="003E2FEA">
      <w:pPr>
        <w:rPr>
          <w:rFonts w:cs="Arial"/>
          <w:sz w:val="22"/>
        </w:rPr>
      </w:pPr>
      <w:proofErr w:type="gramStart"/>
      <w:r w:rsidRPr="00226E9E">
        <w:rPr>
          <w:rFonts w:cs="Arial"/>
          <w:sz w:val="22"/>
        </w:rPr>
        <w:t>Harrington GN, Maher PN and Baker-Gabb DJ (1988).</w:t>
      </w:r>
      <w:proofErr w:type="gramEnd"/>
      <w:r w:rsidRPr="00226E9E">
        <w:rPr>
          <w:rFonts w:cs="Arial"/>
          <w:sz w:val="22"/>
        </w:rPr>
        <w:t xml:space="preserve"> </w:t>
      </w:r>
      <w:proofErr w:type="gramStart"/>
      <w:r w:rsidRPr="00226E9E">
        <w:rPr>
          <w:rFonts w:cs="Arial"/>
          <w:sz w:val="22"/>
        </w:rPr>
        <w:t xml:space="preserve">The biology of the Plains-wanderer </w:t>
      </w:r>
      <w:r w:rsidRPr="00226E9E">
        <w:rPr>
          <w:rFonts w:cs="Arial"/>
          <w:i/>
          <w:sz w:val="22"/>
        </w:rPr>
        <w:t>Pedionomus torquatus</w:t>
      </w:r>
      <w:r w:rsidRPr="00226E9E">
        <w:rPr>
          <w:rFonts w:cs="Arial"/>
          <w:sz w:val="22"/>
        </w:rPr>
        <w:t xml:space="preserve"> on the Riverine Plain of New South Wales during and after drought.</w:t>
      </w:r>
      <w:proofErr w:type="gramEnd"/>
      <w:r w:rsidRPr="00226E9E">
        <w:rPr>
          <w:rFonts w:cs="Arial"/>
          <w:sz w:val="22"/>
        </w:rPr>
        <w:t xml:space="preserve"> </w:t>
      </w:r>
      <w:proofErr w:type="gramStart"/>
      <w:r w:rsidRPr="00226E9E">
        <w:rPr>
          <w:rFonts w:cs="Arial"/>
          <w:i/>
          <w:sz w:val="22"/>
        </w:rPr>
        <w:t>Corella.</w:t>
      </w:r>
      <w:proofErr w:type="gramEnd"/>
      <w:r w:rsidRPr="00226E9E">
        <w:rPr>
          <w:rFonts w:cs="Arial"/>
          <w:sz w:val="22"/>
        </w:rPr>
        <w:t xml:space="preserve"> 12: 7-13.</w:t>
      </w:r>
    </w:p>
    <w:p w:rsidR="00B850CB" w:rsidRPr="00B850CB" w:rsidRDefault="00B850CB" w:rsidP="003E2FEA">
      <w:pPr>
        <w:rPr>
          <w:sz w:val="22"/>
        </w:rPr>
      </w:pPr>
      <w:proofErr w:type="gramStart"/>
      <w:r>
        <w:rPr>
          <w:sz w:val="22"/>
        </w:rPr>
        <w:t>Johnstone K, Miller KK and Antos MJ</w:t>
      </w:r>
      <w:r w:rsidRPr="00B850CB">
        <w:rPr>
          <w:sz w:val="22"/>
        </w:rPr>
        <w:t xml:space="preserve"> (In Press)</w:t>
      </w:r>
      <w:r>
        <w:rPr>
          <w:sz w:val="22"/>
        </w:rPr>
        <w:t>.</w:t>
      </w:r>
      <w:proofErr w:type="gramEnd"/>
      <w:r w:rsidRPr="00B850CB">
        <w:rPr>
          <w:sz w:val="22"/>
        </w:rPr>
        <w:t xml:space="preserve"> Grassland Conservation and the Plains-wanderer: A Small Brown Bird Makes an Effective Local Flagship. </w:t>
      </w:r>
      <w:proofErr w:type="gramStart"/>
      <w:r w:rsidRPr="00B850CB">
        <w:rPr>
          <w:i/>
          <w:sz w:val="22"/>
        </w:rPr>
        <w:t>Conservation and Society</w:t>
      </w:r>
      <w:r w:rsidRPr="00B850CB">
        <w:rPr>
          <w:sz w:val="22"/>
        </w:rPr>
        <w:t>.</w:t>
      </w:r>
      <w:proofErr w:type="gramEnd"/>
    </w:p>
    <w:p w:rsidR="0035132E" w:rsidRPr="00226E9E" w:rsidRDefault="0035132E" w:rsidP="003E2FEA">
      <w:pPr>
        <w:rPr>
          <w:rFonts w:ascii="Times New Roman" w:hAnsi="Times New Roman"/>
          <w:sz w:val="22"/>
        </w:rPr>
      </w:pPr>
      <w:r w:rsidRPr="00226E9E">
        <w:rPr>
          <w:sz w:val="22"/>
        </w:rPr>
        <w:t xml:space="preserve">Keartland GA (1901). </w:t>
      </w:r>
      <w:proofErr w:type="gramStart"/>
      <w:r w:rsidRPr="00226E9E">
        <w:rPr>
          <w:sz w:val="22"/>
        </w:rPr>
        <w:t>Notes on the Plain-Wanderer.</w:t>
      </w:r>
      <w:proofErr w:type="gramEnd"/>
      <w:r w:rsidRPr="00226E9E">
        <w:rPr>
          <w:sz w:val="22"/>
        </w:rPr>
        <w:t xml:space="preserve"> </w:t>
      </w:r>
      <w:proofErr w:type="gramStart"/>
      <w:r w:rsidRPr="00226E9E">
        <w:rPr>
          <w:i/>
          <w:iCs/>
          <w:sz w:val="22"/>
        </w:rPr>
        <w:t>Victorian Naturalist</w:t>
      </w:r>
      <w:r w:rsidRPr="00226E9E">
        <w:rPr>
          <w:sz w:val="22"/>
        </w:rPr>
        <w:t>.</w:t>
      </w:r>
      <w:proofErr w:type="gramEnd"/>
      <w:r w:rsidRPr="00226E9E">
        <w:rPr>
          <w:sz w:val="22"/>
        </w:rPr>
        <w:t xml:space="preserve"> 17:167-168.</w:t>
      </w:r>
    </w:p>
    <w:p w:rsidR="0035132E" w:rsidRPr="00226E9E" w:rsidRDefault="0035132E" w:rsidP="003E2FEA">
      <w:pPr>
        <w:rPr>
          <w:sz w:val="22"/>
        </w:rPr>
      </w:pPr>
      <w:r w:rsidRPr="00226E9E">
        <w:rPr>
          <w:sz w:val="22"/>
        </w:rPr>
        <w:t xml:space="preserve">Llewellyn LC (1975). </w:t>
      </w:r>
      <w:proofErr w:type="gramStart"/>
      <w:r w:rsidRPr="00226E9E">
        <w:rPr>
          <w:sz w:val="22"/>
        </w:rPr>
        <w:t>Recent observations of the Plains-wanderer with a review of its past and present status.</w:t>
      </w:r>
      <w:proofErr w:type="gramEnd"/>
      <w:r w:rsidRPr="00226E9E">
        <w:rPr>
          <w:sz w:val="22"/>
        </w:rPr>
        <w:t xml:space="preserve"> </w:t>
      </w:r>
      <w:proofErr w:type="gramStart"/>
      <w:r w:rsidRPr="00226E9E">
        <w:rPr>
          <w:i/>
          <w:iCs/>
          <w:sz w:val="22"/>
        </w:rPr>
        <w:t>Emu</w:t>
      </w:r>
      <w:r w:rsidRPr="00226E9E">
        <w:rPr>
          <w:sz w:val="22"/>
        </w:rPr>
        <w:t>.</w:t>
      </w:r>
      <w:proofErr w:type="gramEnd"/>
      <w:r w:rsidRPr="00226E9E">
        <w:rPr>
          <w:sz w:val="22"/>
        </w:rPr>
        <w:t xml:space="preserve"> 75:137-142.</w:t>
      </w:r>
    </w:p>
    <w:p w:rsidR="007D52B3" w:rsidRDefault="00F304A9" w:rsidP="003B20C9">
      <w:pPr>
        <w:autoSpaceDE w:val="0"/>
        <w:rPr>
          <w:rFonts w:cs="AdvTimes"/>
          <w:sz w:val="22"/>
        </w:rPr>
      </w:pPr>
      <w:r>
        <w:rPr>
          <w:rFonts w:cs="AdvTimes"/>
          <w:sz w:val="22"/>
        </w:rPr>
        <w:t xml:space="preserve">New South Wales </w:t>
      </w:r>
      <w:r w:rsidR="00B23851">
        <w:rPr>
          <w:rFonts w:cs="AdvTimes"/>
          <w:sz w:val="22"/>
        </w:rPr>
        <w:t>Local Land Services (</w:t>
      </w:r>
      <w:r>
        <w:rPr>
          <w:rFonts w:cs="AdvTimes"/>
          <w:sz w:val="22"/>
        </w:rPr>
        <w:t xml:space="preserve">NSW </w:t>
      </w:r>
      <w:r w:rsidR="00B23851">
        <w:rPr>
          <w:rFonts w:cs="AdvTimes"/>
          <w:sz w:val="22"/>
        </w:rPr>
        <w:t xml:space="preserve">LLS) </w:t>
      </w:r>
      <w:r>
        <w:rPr>
          <w:rFonts w:cs="AdvTimes"/>
          <w:sz w:val="22"/>
        </w:rPr>
        <w:t xml:space="preserve">(2015). Agriculture: crops and pastures: using chemicals. Available on the Internet at: </w:t>
      </w:r>
      <w:hyperlink r:id="rId28" w:history="1">
        <w:r w:rsidR="003B20C9">
          <w:rPr>
            <w:rFonts w:ascii="ZWAdobeF" w:hAnsi="ZWAdobeF" w:cs="ZWAdobeF"/>
            <w:sz w:val="2"/>
            <w:szCs w:val="2"/>
          </w:rPr>
          <w:t>7TU</w:t>
        </w:r>
        <w:r w:rsidRPr="005C1014">
          <w:rPr>
            <w:rStyle w:val="Hyperlink"/>
            <w:rFonts w:cs="AdvTimes"/>
            <w:sz w:val="22"/>
          </w:rPr>
          <w:t>http://www.lls.nsw.gov.au/agriculture/using-chemicals</w:t>
        </w:r>
        <w:r w:rsidR="003B20C9">
          <w:rPr>
            <w:rStyle w:val="Hyperlink"/>
            <w:rFonts w:ascii="ZWAdobeF" w:hAnsi="ZWAdobeF" w:cs="ZWAdobeF"/>
            <w:color w:val="auto"/>
            <w:sz w:val="2"/>
            <w:szCs w:val="2"/>
            <w:u w:val="none"/>
          </w:rPr>
          <w:t>U7T</w:t>
        </w:r>
      </w:hyperlink>
      <w:r>
        <w:rPr>
          <w:rFonts w:cs="AdvTimes"/>
          <w:sz w:val="22"/>
        </w:rPr>
        <w:t>.</w:t>
      </w:r>
    </w:p>
    <w:p w:rsidR="0035132E" w:rsidRPr="00226E9E" w:rsidRDefault="0035132E" w:rsidP="003E2FEA">
      <w:pPr>
        <w:rPr>
          <w:rFonts w:cs="AdvTimes"/>
          <w:sz w:val="22"/>
        </w:rPr>
      </w:pPr>
      <w:r w:rsidRPr="00226E9E">
        <w:rPr>
          <w:rFonts w:cs="AdvTimes"/>
          <w:sz w:val="22"/>
        </w:rPr>
        <w:t xml:space="preserve">Maher PN (1997). </w:t>
      </w:r>
      <w:proofErr w:type="gramStart"/>
      <w:r w:rsidRPr="00226E9E">
        <w:rPr>
          <w:rFonts w:cs="AdvTimes"/>
          <w:i/>
          <w:sz w:val="22"/>
        </w:rPr>
        <w:t>Survey of Plains-wanderer Pedionomus torquatus and native grasslands on the Riverine Plain, New South Wales.</w:t>
      </w:r>
      <w:proofErr w:type="gramEnd"/>
      <w:r w:rsidRPr="00226E9E">
        <w:rPr>
          <w:rFonts w:cs="AdvTimes"/>
          <w:i/>
          <w:sz w:val="22"/>
        </w:rPr>
        <w:t xml:space="preserve"> </w:t>
      </w:r>
      <w:proofErr w:type="gramStart"/>
      <w:r w:rsidRPr="00226E9E">
        <w:rPr>
          <w:rFonts w:cs="AdvTimes"/>
          <w:sz w:val="22"/>
        </w:rPr>
        <w:t>Unpublished report to Birds Australia.</w:t>
      </w:r>
      <w:proofErr w:type="gramEnd"/>
      <w:r w:rsidRPr="00226E9E">
        <w:rPr>
          <w:rFonts w:cs="AdvTimes"/>
          <w:sz w:val="22"/>
        </w:rPr>
        <w:t xml:space="preserve"> Melbourne, Victoria.</w:t>
      </w:r>
    </w:p>
    <w:p w:rsidR="0035132E" w:rsidRPr="00226E9E" w:rsidRDefault="0035132E" w:rsidP="003E2FEA">
      <w:pPr>
        <w:rPr>
          <w:sz w:val="22"/>
        </w:rPr>
      </w:pPr>
      <w:proofErr w:type="gramStart"/>
      <w:r w:rsidRPr="00226E9E">
        <w:rPr>
          <w:sz w:val="22"/>
        </w:rPr>
        <w:t>Marchant S and Higgins PJ (1993).</w:t>
      </w:r>
      <w:proofErr w:type="gramEnd"/>
      <w:r w:rsidRPr="00226E9E">
        <w:rPr>
          <w:sz w:val="22"/>
        </w:rPr>
        <w:t xml:space="preserve"> </w:t>
      </w:r>
      <w:proofErr w:type="gramStart"/>
      <w:r w:rsidRPr="00226E9E">
        <w:rPr>
          <w:sz w:val="22"/>
        </w:rPr>
        <w:t>Handbook of Australian, New Zealand and Antarctic Birds, Volume 2 (Raptors to Lapwings).</w:t>
      </w:r>
      <w:proofErr w:type="gramEnd"/>
      <w:r w:rsidRPr="00226E9E">
        <w:rPr>
          <w:sz w:val="22"/>
        </w:rPr>
        <w:t xml:space="preserve"> Oxford University Press, Melbourne. </w:t>
      </w:r>
    </w:p>
    <w:p w:rsidR="0035132E" w:rsidRPr="00226E9E" w:rsidRDefault="0035132E" w:rsidP="003E2FEA">
      <w:pPr>
        <w:rPr>
          <w:sz w:val="22"/>
        </w:rPr>
      </w:pPr>
      <w:r w:rsidRPr="00226E9E">
        <w:rPr>
          <w:sz w:val="22"/>
        </w:rPr>
        <w:t xml:space="preserve">New South Wales National Parks and Wildlife Service (NPWS) (2001). Summary of Results of Plains-Wanderer API Mapping Project 1999-2001. </w:t>
      </w:r>
      <w:proofErr w:type="gramStart"/>
      <w:r w:rsidRPr="00226E9E">
        <w:rPr>
          <w:iCs/>
          <w:sz w:val="22"/>
        </w:rPr>
        <w:t>Unpublished report to New South Wales Plains-wanderer Recovery Team.</w:t>
      </w:r>
      <w:proofErr w:type="gramEnd"/>
      <w:r w:rsidRPr="00226E9E">
        <w:rPr>
          <w:iCs/>
          <w:sz w:val="22"/>
        </w:rPr>
        <w:t xml:space="preserve"> Sydney, NSW</w:t>
      </w:r>
      <w:r w:rsidRPr="00226E9E">
        <w:rPr>
          <w:sz w:val="22"/>
        </w:rPr>
        <w:t>.</w:t>
      </w:r>
    </w:p>
    <w:p w:rsidR="0035132E" w:rsidRPr="00226E9E" w:rsidRDefault="0035132E" w:rsidP="003E2FEA">
      <w:pPr>
        <w:rPr>
          <w:sz w:val="22"/>
        </w:rPr>
      </w:pPr>
      <w:r w:rsidRPr="00226E9E">
        <w:rPr>
          <w:sz w:val="22"/>
        </w:rPr>
        <w:t xml:space="preserve">New South Wales National Parks and Wildlife Service (NPWS) (2002). </w:t>
      </w:r>
      <w:proofErr w:type="gramStart"/>
      <w:r w:rsidRPr="00226E9E">
        <w:rPr>
          <w:i/>
          <w:iCs/>
          <w:sz w:val="22"/>
        </w:rPr>
        <w:t>Plains-wanderer (Pedionomus torquatus) Draft Recovery Plan</w:t>
      </w:r>
      <w:r w:rsidRPr="00226E9E">
        <w:rPr>
          <w:sz w:val="22"/>
        </w:rPr>
        <w:t>.</w:t>
      </w:r>
      <w:proofErr w:type="gramEnd"/>
      <w:r w:rsidRPr="00226E9E">
        <w:rPr>
          <w:sz w:val="22"/>
        </w:rPr>
        <w:t xml:space="preserve"> </w:t>
      </w:r>
      <w:proofErr w:type="gramStart"/>
      <w:r w:rsidRPr="00226E9E">
        <w:rPr>
          <w:sz w:val="22"/>
        </w:rPr>
        <w:t>New South Wales National Parks and Wildlife Service.</w:t>
      </w:r>
      <w:proofErr w:type="gramEnd"/>
      <w:r w:rsidRPr="00226E9E">
        <w:rPr>
          <w:sz w:val="22"/>
        </w:rPr>
        <w:t xml:space="preserve"> Sydney, NSW.</w:t>
      </w:r>
    </w:p>
    <w:p w:rsidR="0035132E" w:rsidRPr="00226E9E" w:rsidRDefault="0035132E" w:rsidP="003E2FEA">
      <w:pPr>
        <w:rPr>
          <w:sz w:val="22"/>
        </w:rPr>
      </w:pPr>
      <w:r w:rsidRPr="00226E9E">
        <w:rPr>
          <w:sz w:val="22"/>
        </w:rPr>
        <w:t xml:space="preserve">North AJ (1913-1914). Nests and Eggs of Birds Found Breeding in Australia and Tasmania. </w:t>
      </w:r>
      <w:r w:rsidRPr="00226E9E">
        <w:rPr>
          <w:b/>
          <w:sz w:val="22"/>
        </w:rPr>
        <w:t>In:</w:t>
      </w:r>
      <w:r w:rsidRPr="00226E9E">
        <w:rPr>
          <w:sz w:val="22"/>
        </w:rPr>
        <w:t xml:space="preserve"> </w:t>
      </w:r>
      <w:r w:rsidRPr="00226E9E">
        <w:rPr>
          <w:i/>
          <w:iCs/>
          <w:sz w:val="22"/>
        </w:rPr>
        <w:t>Special Catalogue 1</w:t>
      </w:r>
      <w:r w:rsidRPr="00226E9E">
        <w:rPr>
          <w:sz w:val="22"/>
        </w:rPr>
        <w:t xml:space="preserve">. </w:t>
      </w:r>
      <w:r w:rsidRPr="00226E9E">
        <w:rPr>
          <w:i/>
          <w:sz w:val="22"/>
        </w:rPr>
        <w:t>4</w:t>
      </w:r>
      <w:r w:rsidRPr="00226E9E">
        <w:rPr>
          <w:sz w:val="22"/>
        </w:rPr>
        <w:t>. Australian Museum, Sydney.</w:t>
      </w:r>
    </w:p>
    <w:p w:rsidR="0035132E" w:rsidRPr="00226E9E" w:rsidRDefault="0035132E" w:rsidP="003E2FEA">
      <w:pPr>
        <w:rPr>
          <w:sz w:val="22"/>
        </w:rPr>
      </w:pPr>
      <w:r w:rsidRPr="00226E9E">
        <w:rPr>
          <w:sz w:val="22"/>
        </w:rPr>
        <w:t xml:space="preserve">Northern Plains Grasslands Technical Advisory Group (NTAG) (2010). Northern Plains Grasslands: Strategic Operational Plan for the Protected Area Network. </w:t>
      </w:r>
      <w:proofErr w:type="gramStart"/>
      <w:r w:rsidRPr="00226E9E">
        <w:rPr>
          <w:sz w:val="22"/>
        </w:rPr>
        <w:t>Unpublished report.</w:t>
      </w:r>
      <w:proofErr w:type="gramEnd"/>
    </w:p>
    <w:p w:rsidR="0035132E" w:rsidRPr="00E97225" w:rsidRDefault="0035132E" w:rsidP="006B1E42">
      <w:pPr>
        <w:spacing w:after="240"/>
        <w:rPr>
          <w:rFonts w:cs="Arial"/>
          <w:sz w:val="22"/>
        </w:rPr>
      </w:pPr>
      <w:proofErr w:type="gramStart"/>
      <w:r>
        <w:rPr>
          <w:rFonts w:cs="Arial"/>
          <w:sz w:val="22"/>
        </w:rPr>
        <w:t>Office and Environment and Heritage New South Wales (OEH) (2015).</w:t>
      </w:r>
      <w:proofErr w:type="gramEnd"/>
      <w:r>
        <w:rPr>
          <w:rFonts w:cs="Arial"/>
          <w:sz w:val="22"/>
        </w:rPr>
        <w:t xml:space="preserve"> </w:t>
      </w:r>
      <w:proofErr w:type="gramStart"/>
      <w:r>
        <w:rPr>
          <w:rFonts w:cs="Arial"/>
          <w:i/>
          <w:sz w:val="22"/>
        </w:rPr>
        <w:t>Response to Consultation Questions for Plains-wanderer.</w:t>
      </w:r>
      <w:proofErr w:type="gramEnd"/>
      <w:r>
        <w:rPr>
          <w:rFonts w:cs="Arial"/>
          <w:i/>
          <w:sz w:val="22"/>
        </w:rPr>
        <w:t xml:space="preserve"> </w:t>
      </w:r>
      <w:proofErr w:type="gramStart"/>
      <w:r>
        <w:rPr>
          <w:rFonts w:cs="Arial"/>
          <w:sz w:val="22"/>
        </w:rPr>
        <w:t>Unpublished report to the Department of the Environment.</w:t>
      </w:r>
      <w:proofErr w:type="gramEnd"/>
      <w:r>
        <w:rPr>
          <w:rFonts w:cs="Arial"/>
          <w:sz w:val="22"/>
        </w:rPr>
        <w:t xml:space="preserve"> </w:t>
      </w:r>
      <w:proofErr w:type="gramStart"/>
      <w:r>
        <w:rPr>
          <w:rFonts w:cs="Arial"/>
          <w:sz w:val="22"/>
        </w:rPr>
        <w:t>Office of Environment and Heritage, NSW.</w:t>
      </w:r>
      <w:proofErr w:type="gramEnd"/>
    </w:p>
    <w:p w:rsidR="0035132E" w:rsidRPr="00226E9E" w:rsidRDefault="0035132E" w:rsidP="003E2FEA">
      <w:pPr>
        <w:rPr>
          <w:rFonts w:cs="Arial"/>
          <w:sz w:val="22"/>
        </w:rPr>
      </w:pPr>
      <w:proofErr w:type="gramStart"/>
      <w:r w:rsidRPr="00226E9E">
        <w:rPr>
          <w:sz w:val="22"/>
        </w:rPr>
        <w:t>Parker D and Baker-Gabb DJ (2013).</w:t>
      </w:r>
      <w:proofErr w:type="gramEnd"/>
      <w:r w:rsidRPr="00226E9E">
        <w:rPr>
          <w:sz w:val="22"/>
        </w:rPr>
        <w:t xml:space="preserve"> </w:t>
      </w:r>
      <w:r w:rsidRPr="00226E9E">
        <w:rPr>
          <w:iCs/>
          <w:sz w:val="22"/>
        </w:rPr>
        <w:t>Prolonged decline of the Plains-wanderer in south-eastern Australia; Case study 2: The Riverina of NSW from 2001 to 2013</w:t>
      </w:r>
      <w:r w:rsidRPr="00226E9E">
        <w:rPr>
          <w:sz w:val="22"/>
        </w:rPr>
        <w:t xml:space="preserve">. </w:t>
      </w:r>
      <w:proofErr w:type="gramStart"/>
      <w:r w:rsidRPr="00226E9E">
        <w:rPr>
          <w:sz w:val="22"/>
        </w:rPr>
        <w:t>Unpublished report to the Office of Environment and Heritage, New South Wales.</w:t>
      </w:r>
      <w:proofErr w:type="gramEnd"/>
    </w:p>
    <w:p w:rsidR="0035132E" w:rsidRDefault="0035132E" w:rsidP="003B20C9">
      <w:pPr>
        <w:autoSpaceDE w:val="0"/>
        <w:rPr>
          <w:rFonts w:cs="Arial"/>
          <w:sz w:val="22"/>
        </w:rPr>
      </w:pPr>
      <w:r>
        <w:rPr>
          <w:rFonts w:cs="Arial"/>
          <w:sz w:val="22"/>
        </w:rPr>
        <w:t xml:space="preserve">Parker DG and Oliver DL (2006).Plains-wanderer habitat management guide. </w:t>
      </w:r>
      <w:proofErr w:type="gramStart"/>
      <w:r>
        <w:rPr>
          <w:rFonts w:cs="Arial"/>
          <w:sz w:val="22"/>
        </w:rPr>
        <w:t>A photographic guide for visually assessing the grassland structure of plains-wanderer habitat.</w:t>
      </w:r>
      <w:proofErr w:type="gramEnd"/>
      <w:r>
        <w:rPr>
          <w:rFonts w:cs="Arial"/>
          <w:sz w:val="22"/>
        </w:rPr>
        <w:t xml:space="preserve"> </w:t>
      </w:r>
      <w:proofErr w:type="gramStart"/>
      <w:r>
        <w:rPr>
          <w:rFonts w:cs="Arial"/>
          <w:sz w:val="22"/>
        </w:rPr>
        <w:t>2</w:t>
      </w:r>
      <w:r w:rsidR="003B20C9">
        <w:rPr>
          <w:rFonts w:ascii="ZWAdobeF" w:hAnsi="ZWAdobeF" w:cs="ZWAdobeF"/>
          <w:sz w:val="2"/>
          <w:szCs w:val="2"/>
        </w:rPr>
        <w:t>P</w:t>
      </w:r>
      <w:r w:rsidRPr="001F336E">
        <w:rPr>
          <w:rFonts w:cs="Arial"/>
          <w:sz w:val="22"/>
          <w:vertAlign w:val="superscript"/>
        </w:rPr>
        <w:t>nd</w:t>
      </w:r>
      <w:r w:rsidR="003B20C9">
        <w:rPr>
          <w:rFonts w:ascii="ZWAdobeF" w:hAnsi="ZWAdobeF" w:cs="ZWAdobeF"/>
          <w:sz w:val="2"/>
          <w:szCs w:val="2"/>
        </w:rPr>
        <w:t>P</w:t>
      </w:r>
      <w:r>
        <w:rPr>
          <w:rFonts w:cs="Arial"/>
          <w:sz w:val="22"/>
        </w:rPr>
        <w:t xml:space="preserve"> edition.</w:t>
      </w:r>
      <w:proofErr w:type="gramEnd"/>
      <w:r>
        <w:rPr>
          <w:rFonts w:cs="Arial"/>
          <w:sz w:val="22"/>
        </w:rPr>
        <w:t xml:space="preserve"> </w:t>
      </w:r>
      <w:proofErr w:type="gramStart"/>
      <w:r>
        <w:rPr>
          <w:rFonts w:cs="Arial"/>
          <w:sz w:val="22"/>
        </w:rPr>
        <w:t>Department of Environment and Conservation, New South Wales.</w:t>
      </w:r>
      <w:proofErr w:type="gramEnd"/>
      <w:r>
        <w:rPr>
          <w:rFonts w:cs="Arial"/>
          <w:sz w:val="22"/>
        </w:rPr>
        <w:t xml:space="preserve"> </w:t>
      </w:r>
    </w:p>
    <w:p w:rsidR="0035132E" w:rsidRDefault="0035132E" w:rsidP="003E2FEA">
      <w:pPr>
        <w:rPr>
          <w:rFonts w:cs="Arial"/>
          <w:sz w:val="22"/>
        </w:rPr>
      </w:pPr>
      <w:proofErr w:type="gramStart"/>
      <w:r w:rsidRPr="00226E9E">
        <w:rPr>
          <w:rFonts w:cs="Arial"/>
          <w:sz w:val="22"/>
        </w:rPr>
        <w:t>Parks Victoria (2008).</w:t>
      </w:r>
      <w:proofErr w:type="gramEnd"/>
      <w:r w:rsidRPr="00226E9E">
        <w:rPr>
          <w:rFonts w:cs="Arial"/>
          <w:sz w:val="22"/>
        </w:rPr>
        <w:t xml:space="preserve"> </w:t>
      </w:r>
      <w:proofErr w:type="gramStart"/>
      <w:r w:rsidRPr="00226E9E">
        <w:rPr>
          <w:rFonts w:cs="Arial"/>
          <w:i/>
          <w:sz w:val="22"/>
        </w:rPr>
        <w:t>Draft Parks Victoria Grassy Ecosystems Biomass Monitoring Protocol</w:t>
      </w:r>
      <w:r w:rsidRPr="00226E9E">
        <w:rPr>
          <w:rFonts w:cs="Arial"/>
          <w:sz w:val="22"/>
        </w:rPr>
        <w:t>.</w:t>
      </w:r>
      <w:proofErr w:type="gramEnd"/>
      <w:r w:rsidRPr="00226E9E">
        <w:rPr>
          <w:rFonts w:cs="Arial"/>
          <w:sz w:val="22"/>
        </w:rPr>
        <w:t xml:space="preserve">  Parks Victoria, Melbourne.</w:t>
      </w:r>
    </w:p>
    <w:p w:rsidR="00B850CB" w:rsidRPr="009E3120" w:rsidRDefault="009E3120" w:rsidP="003E2FEA">
      <w:pPr>
        <w:rPr>
          <w:rFonts w:cs="Arial"/>
          <w:sz w:val="22"/>
        </w:rPr>
      </w:pPr>
      <w:proofErr w:type="gramStart"/>
      <w:r w:rsidRPr="009E3120">
        <w:rPr>
          <w:sz w:val="22"/>
        </w:rPr>
        <w:t>Parks Victoria</w:t>
      </w:r>
      <w:r>
        <w:rPr>
          <w:sz w:val="22"/>
        </w:rPr>
        <w:t xml:space="preserve"> (PV)</w:t>
      </w:r>
      <w:r w:rsidRPr="009E3120">
        <w:rPr>
          <w:sz w:val="22"/>
        </w:rPr>
        <w:t xml:space="preserve"> </w:t>
      </w:r>
      <w:r>
        <w:rPr>
          <w:sz w:val="22"/>
        </w:rPr>
        <w:t>(</w:t>
      </w:r>
      <w:r w:rsidRPr="009E3120">
        <w:rPr>
          <w:sz w:val="22"/>
        </w:rPr>
        <w:t>2014</w:t>
      </w:r>
      <w:r>
        <w:rPr>
          <w:sz w:val="22"/>
        </w:rPr>
        <w:t>)</w:t>
      </w:r>
      <w:r w:rsidRPr="009E3120">
        <w:rPr>
          <w:sz w:val="22"/>
        </w:rPr>
        <w:t>.</w:t>
      </w:r>
      <w:proofErr w:type="gramEnd"/>
      <w:r w:rsidRPr="009E3120">
        <w:rPr>
          <w:sz w:val="22"/>
        </w:rPr>
        <w:t xml:space="preserve"> </w:t>
      </w:r>
      <w:r w:rsidRPr="009E3120">
        <w:rPr>
          <w:i/>
          <w:iCs/>
          <w:sz w:val="22"/>
        </w:rPr>
        <w:t xml:space="preserve">Parks Victoria Grassy Ecosystems Monitoring Protocol. </w:t>
      </w:r>
      <w:r w:rsidRPr="009E3120">
        <w:rPr>
          <w:sz w:val="22"/>
        </w:rPr>
        <w:t>Parks Victoria, Melbourne.</w:t>
      </w:r>
    </w:p>
    <w:p w:rsidR="0035132E" w:rsidRPr="00226E9E" w:rsidRDefault="0035132E" w:rsidP="003E2FEA">
      <w:pPr>
        <w:rPr>
          <w:sz w:val="22"/>
        </w:rPr>
      </w:pPr>
      <w:r w:rsidRPr="00226E9E">
        <w:rPr>
          <w:sz w:val="22"/>
        </w:rPr>
        <w:t xml:space="preserve">Pearce PA (1971). </w:t>
      </w:r>
      <w:proofErr w:type="gramStart"/>
      <w:r w:rsidRPr="00226E9E">
        <w:rPr>
          <w:sz w:val="22"/>
        </w:rPr>
        <w:t>Side effects of forest spraying in New Brunswick.</w:t>
      </w:r>
      <w:proofErr w:type="gramEnd"/>
      <w:r w:rsidRPr="00226E9E">
        <w:rPr>
          <w:sz w:val="22"/>
        </w:rPr>
        <w:t xml:space="preserve"> In ‘</w:t>
      </w:r>
      <w:r w:rsidRPr="00226E9E">
        <w:rPr>
          <w:iCs/>
          <w:sz w:val="22"/>
        </w:rPr>
        <w:t>Transactions 36th North American Wildlife Conference</w:t>
      </w:r>
      <w:r w:rsidRPr="00226E9E">
        <w:rPr>
          <w:sz w:val="22"/>
        </w:rPr>
        <w:t>’ (</w:t>
      </w:r>
      <w:proofErr w:type="gramStart"/>
      <w:r w:rsidRPr="00226E9E">
        <w:rPr>
          <w:sz w:val="22"/>
        </w:rPr>
        <w:t>ed</w:t>
      </w:r>
      <w:proofErr w:type="gramEnd"/>
      <w:r w:rsidRPr="00226E9E">
        <w:rPr>
          <w:sz w:val="22"/>
        </w:rPr>
        <w:t xml:space="preserve"> JB Trefethen). Wildlife Management Institute, Washington D.C. Page(s) 162-170.</w:t>
      </w:r>
    </w:p>
    <w:p w:rsidR="0035132E" w:rsidRPr="00226E9E" w:rsidRDefault="0035132E" w:rsidP="003B20C9">
      <w:pPr>
        <w:autoSpaceDE w:val="0"/>
        <w:rPr>
          <w:rStyle w:val="journalabstracttitle1"/>
          <w:b w:val="0"/>
          <w:sz w:val="22"/>
          <w:szCs w:val="22"/>
        </w:rPr>
      </w:pPr>
      <w:proofErr w:type="gramStart"/>
      <w:r w:rsidRPr="00226E9E">
        <w:rPr>
          <w:sz w:val="22"/>
        </w:rPr>
        <w:t>Prober SM, Thiele KR and Lunt ID (2002).</w:t>
      </w:r>
      <w:proofErr w:type="gramEnd"/>
      <w:r w:rsidRPr="00226E9E">
        <w:rPr>
          <w:sz w:val="22"/>
        </w:rPr>
        <w:t xml:space="preserve"> </w:t>
      </w:r>
      <w:r w:rsidR="003B20C9">
        <w:rPr>
          <w:rFonts w:ascii="ZWAdobeF" w:hAnsi="ZWAdobeF" w:cs="ZWAdobeF"/>
          <w:sz w:val="2"/>
          <w:szCs w:val="2"/>
        </w:rPr>
        <w:t>9T</w:t>
      </w:r>
      <w:r w:rsidRPr="00226E9E">
        <w:rPr>
          <w:rStyle w:val="journalabstracttitle1"/>
          <w:b w:val="0"/>
          <w:sz w:val="22"/>
          <w:szCs w:val="22"/>
        </w:rPr>
        <w:t xml:space="preserve">Identifying ecological barriers to restoration in temperate grassy woodlands: soil changes associated with different degradation states. </w:t>
      </w:r>
      <w:proofErr w:type="gramStart"/>
      <w:r w:rsidRPr="00226E9E">
        <w:rPr>
          <w:rStyle w:val="journalabstracttitle1"/>
          <w:b w:val="0"/>
          <w:i/>
          <w:sz w:val="22"/>
          <w:szCs w:val="22"/>
        </w:rPr>
        <w:t>Australian Journal of Botany</w:t>
      </w:r>
      <w:r w:rsidRPr="00226E9E">
        <w:rPr>
          <w:rStyle w:val="journalabstracttitle1"/>
          <w:b w:val="0"/>
          <w:sz w:val="22"/>
          <w:szCs w:val="22"/>
        </w:rPr>
        <w:t>.</w:t>
      </w:r>
      <w:proofErr w:type="gramEnd"/>
      <w:r w:rsidRPr="00226E9E">
        <w:rPr>
          <w:rStyle w:val="journalabstracttitle1"/>
          <w:b w:val="0"/>
          <w:sz w:val="22"/>
          <w:szCs w:val="22"/>
        </w:rPr>
        <w:t xml:space="preserve"> 50: 699-712.</w:t>
      </w:r>
    </w:p>
    <w:p w:rsidR="0035132E" w:rsidRPr="00226E9E" w:rsidRDefault="0035132E" w:rsidP="003E2FEA">
      <w:pPr>
        <w:rPr>
          <w:sz w:val="22"/>
          <w:highlight w:val="yellow"/>
        </w:rPr>
      </w:pPr>
      <w:proofErr w:type="gramStart"/>
      <w:r w:rsidRPr="00226E9E">
        <w:rPr>
          <w:sz w:val="22"/>
        </w:rPr>
        <w:t>Radford J, Baker-Gabb DJ and Antos M (2013).</w:t>
      </w:r>
      <w:proofErr w:type="gramEnd"/>
      <w:r w:rsidRPr="00226E9E">
        <w:rPr>
          <w:sz w:val="22"/>
        </w:rPr>
        <w:t xml:space="preserve"> </w:t>
      </w:r>
      <w:r w:rsidRPr="00226E9E">
        <w:rPr>
          <w:iCs/>
          <w:sz w:val="22"/>
        </w:rPr>
        <w:t>Prolonged decline of the Plains-wanderer in south-eastern Australia; Case study 1: north-central Victoria from 2010 to 2013</w:t>
      </w:r>
      <w:r w:rsidRPr="00226E9E">
        <w:rPr>
          <w:sz w:val="22"/>
        </w:rPr>
        <w:t xml:space="preserve">. </w:t>
      </w:r>
      <w:proofErr w:type="gramStart"/>
      <w:r w:rsidRPr="00226E9E">
        <w:rPr>
          <w:sz w:val="22"/>
        </w:rPr>
        <w:t>Unpublished report to the Department of Sustainability and Environment, Victoria.</w:t>
      </w:r>
      <w:proofErr w:type="gramEnd"/>
    </w:p>
    <w:p w:rsidR="0035132E" w:rsidRPr="00226E9E" w:rsidRDefault="0035132E" w:rsidP="003E2FEA">
      <w:pPr>
        <w:rPr>
          <w:sz w:val="22"/>
        </w:rPr>
      </w:pPr>
      <w:r w:rsidRPr="00226E9E">
        <w:rPr>
          <w:sz w:val="22"/>
        </w:rPr>
        <w:t xml:space="preserve">Ridley E (1986). Plains-wanderer Project Report 1985. </w:t>
      </w:r>
      <w:proofErr w:type="gramStart"/>
      <w:r w:rsidRPr="00226E9E">
        <w:rPr>
          <w:i/>
          <w:iCs/>
          <w:sz w:val="22"/>
        </w:rPr>
        <w:t>Bird Keeping in Australia</w:t>
      </w:r>
      <w:r w:rsidRPr="00226E9E">
        <w:rPr>
          <w:sz w:val="22"/>
        </w:rPr>
        <w:t>.</w:t>
      </w:r>
      <w:proofErr w:type="gramEnd"/>
      <w:r w:rsidRPr="00226E9E">
        <w:rPr>
          <w:sz w:val="22"/>
        </w:rPr>
        <w:t xml:space="preserve"> 29:115-118.</w:t>
      </w:r>
    </w:p>
    <w:p w:rsidR="0035132E" w:rsidRPr="00226E9E" w:rsidRDefault="0035132E" w:rsidP="003B20C9">
      <w:pPr>
        <w:autoSpaceDE w:val="0"/>
        <w:rPr>
          <w:sz w:val="22"/>
        </w:rPr>
      </w:pPr>
      <w:proofErr w:type="gramStart"/>
      <w:r w:rsidRPr="00226E9E">
        <w:rPr>
          <w:sz w:val="22"/>
        </w:rPr>
        <w:t>Sinclair SJ, Duncan DH and Bruce MJ (2014)</w:t>
      </w:r>
      <w:r w:rsidRPr="00226E9E">
        <w:rPr>
          <w:b/>
          <w:sz w:val="22"/>
        </w:rPr>
        <w:t>.</w:t>
      </w:r>
      <w:proofErr w:type="gramEnd"/>
      <w:r w:rsidRPr="00226E9E">
        <w:rPr>
          <w:sz w:val="22"/>
        </w:rPr>
        <w:t xml:space="preserve"> M</w:t>
      </w:r>
      <w:r w:rsidR="003B20C9">
        <w:rPr>
          <w:rFonts w:ascii="ZWAdobeF" w:hAnsi="ZWAdobeF" w:cs="ZWAdobeF"/>
          <w:sz w:val="2"/>
          <w:szCs w:val="2"/>
        </w:rPr>
        <w:t>10T</w:t>
      </w:r>
      <w:r w:rsidRPr="00226E9E">
        <w:rPr>
          <w:rStyle w:val="maintitle"/>
          <w:sz w:val="22"/>
        </w:rPr>
        <w:t xml:space="preserve">ortality of native grasses after a summer fire in natural temperate grassland suggests ecosystem instability. </w:t>
      </w:r>
      <w:proofErr w:type="gramStart"/>
      <w:r w:rsidR="003B20C9">
        <w:rPr>
          <w:rStyle w:val="maintitle"/>
          <w:rFonts w:ascii="ZWAdobeF" w:hAnsi="ZWAdobeF" w:cs="ZWAdobeF"/>
          <w:sz w:val="2"/>
          <w:szCs w:val="2"/>
        </w:rPr>
        <w:t>10T</w:t>
      </w:r>
      <w:r w:rsidRPr="00226E9E">
        <w:rPr>
          <w:i/>
          <w:sz w:val="22"/>
        </w:rPr>
        <w:t>Ecological Management &amp; Restoration</w:t>
      </w:r>
      <w:r w:rsidRPr="00226E9E">
        <w:rPr>
          <w:sz w:val="22"/>
        </w:rPr>
        <w:t>.</w:t>
      </w:r>
      <w:proofErr w:type="gramEnd"/>
      <w:r w:rsidRPr="00226E9E">
        <w:rPr>
          <w:sz w:val="22"/>
        </w:rPr>
        <w:t xml:space="preserve"> 15: 91–94.</w:t>
      </w:r>
    </w:p>
    <w:p w:rsidR="0035132E" w:rsidRPr="00226E9E" w:rsidRDefault="0035132E" w:rsidP="003E2FEA">
      <w:pPr>
        <w:rPr>
          <w:sz w:val="22"/>
        </w:rPr>
      </w:pPr>
      <w:r w:rsidRPr="00226E9E">
        <w:rPr>
          <w:sz w:val="22"/>
        </w:rPr>
        <w:t xml:space="preserve">Souter TG (1938). </w:t>
      </w:r>
      <w:proofErr w:type="gramStart"/>
      <w:r w:rsidRPr="00226E9E">
        <w:rPr>
          <w:sz w:val="22"/>
        </w:rPr>
        <w:t>Notes on the Plain Wanderer.</w:t>
      </w:r>
      <w:proofErr w:type="gramEnd"/>
      <w:r w:rsidRPr="00226E9E">
        <w:rPr>
          <w:sz w:val="22"/>
        </w:rPr>
        <w:t xml:space="preserve"> </w:t>
      </w:r>
      <w:proofErr w:type="gramStart"/>
      <w:r w:rsidRPr="00226E9E">
        <w:rPr>
          <w:i/>
          <w:iCs/>
          <w:sz w:val="22"/>
        </w:rPr>
        <w:t>Emu</w:t>
      </w:r>
      <w:r w:rsidRPr="00226E9E">
        <w:rPr>
          <w:sz w:val="22"/>
        </w:rPr>
        <w:t>.</w:t>
      </w:r>
      <w:proofErr w:type="gramEnd"/>
      <w:r w:rsidRPr="00226E9E">
        <w:rPr>
          <w:sz w:val="22"/>
        </w:rPr>
        <w:t xml:space="preserve"> 38: 327-328.</w:t>
      </w:r>
    </w:p>
    <w:p w:rsidR="0035132E" w:rsidRPr="00226E9E" w:rsidRDefault="0035132E" w:rsidP="003E2FEA">
      <w:pPr>
        <w:rPr>
          <w:sz w:val="22"/>
        </w:rPr>
      </w:pPr>
      <w:r w:rsidRPr="00226E9E">
        <w:rPr>
          <w:sz w:val="22"/>
        </w:rPr>
        <w:t xml:space="preserve">Story P and Cox M (2001). Review of the effects of organophosphorus and carbamate insecticides on vertebrates - are their management implications for locust control in Australia? </w:t>
      </w:r>
      <w:proofErr w:type="gramStart"/>
      <w:r w:rsidRPr="00226E9E">
        <w:rPr>
          <w:i/>
          <w:iCs/>
          <w:sz w:val="22"/>
        </w:rPr>
        <w:t>Wildlife Research</w:t>
      </w:r>
      <w:r w:rsidRPr="00226E9E">
        <w:rPr>
          <w:sz w:val="22"/>
        </w:rPr>
        <w:t>.</w:t>
      </w:r>
      <w:proofErr w:type="gramEnd"/>
      <w:r w:rsidRPr="00226E9E">
        <w:rPr>
          <w:sz w:val="22"/>
        </w:rPr>
        <w:t xml:space="preserve"> </w:t>
      </w:r>
      <w:proofErr w:type="gramStart"/>
      <w:r w:rsidRPr="00226E9E">
        <w:rPr>
          <w:sz w:val="22"/>
        </w:rPr>
        <w:t>28: 179--193.</w:t>
      </w:r>
      <w:proofErr w:type="gramEnd"/>
    </w:p>
    <w:p w:rsidR="000679EE" w:rsidRPr="000679EE" w:rsidRDefault="000679EE" w:rsidP="003E2FEA">
      <w:pPr>
        <w:rPr>
          <w:sz w:val="22"/>
        </w:rPr>
      </w:pPr>
      <w:r w:rsidRPr="000679EE">
        <w:rPr>
          <w:noProof/>
          <w:sz w:val="22"/>
        </w:rPr>
        <w:t xml:space="preserve">Story PG, Oliver DL, Deveson T, McCulloch L, </w:t>
      </w:r>
      <w:r>
        <w:rPr>
          <w:noProof/>
          <w:sz w:val="22"/>
        </w:rPr>
        <w:t>Hamilton JG and Baker-Gabb D</w:t>
      </w:r>
      <w:r w:rsidRPr="000679EE">
        <w:rPr>
          <w:noProof/>
          <w:sz w:val="22"/>
        </w:rPr>
        <w:t xml:space="preserve"> </w:t>
      </w:r>
      <w:r>
        <w:rPr>
          <w:noProof/>
          <w:sz w:val="22"/>
        </w:rPr>
        <w:t>(</w:t>
      </w:r>
      <w:r w:rsidRPr="000679EE">
        <w:rPr>
          <w:noProof/>
          <w:sz w:val="22"/>
        </w:rPr>
        <w:t>2007</w:t>
      </w:r>
      <w:r>
        <w:rPr>
          <w:noProof/>
          <w:sz w:val="22"/>
        </w:rPr>
        <w:t>)</w:t>
      </w:r>
      <w:r w:rsidRPr="000679EE">
        <w:rPr>
          <w:noProof/>
          <w:sz w:val="22"/>
        </w:rPr>
        <w:t>. Estimating and reducing the amount of Plains-wanderer (</w:t>
      </w:r>
      <w:r w:rsidRPr="000679EE">
        <w:rPr>
          <w:i/>
          <w:noProof/>
          <w:sz w:val="22"/>
        </w:rPr>
        <w:t>Pedionomus torquatus</w:t>
      </w:r>
      <w:r w:rsidRPr="000679EE">
        <w:rPr>
          <w:noProof/>
          <w:sz w:val="22"/>
        </w:rPr>
        <w:t xml:space="preserve"> Gould) habitat sprayed with pesticides for locust control in the New South Wales Riverina. </w:t>
      </w:r>
      <w:r w:rsidRPr="000679EE">
        <w:rPr>
          <w:i/>
          <w:noProof/>
          <w:sz w:val="22"/>
        </w:rPr>
        <w:t>Emu - Austral Ornithology</w:t>
      </w:r>
      <w:r>
        <w:rPr>
          <w:i/>
          <w:noProof/>
          <w:sz w:val="22"/>
        </w:rPr>
        <w:t>.</w:t>
      </w:r>
      <w:r w:rsidRPr="000679EE">
        <w:rPr>
          <w:noProof/>
          <w:sz w:val="22"/>
        </w:rPr>
        <w:t xml:space="preserve"> 107:</w:t>
      </w:r>
      <w:r>
        <w:rPr>
          <w:noProof/>
          <w:sz w:val="22"/>
        </w:rPr>
        <w:t xml:space="preserve"> </w:t>
      </w:r>
      <w:r w:rsidRPr="000679EE">
        <w:rPr>
          <w:noProof/>
          <w:sz w:val="22"/>
        </w:rPr>
        <w:t>308-314.</w:t>
      </w:r>
    </w:p>
    <w:p w:rsidR="0035132E" w:rsidRPr="00226E9E" w:rsidRDefault="0035132E" w:rsidP="003E2FEA">
      <w:pPr>
        <w:rPr>
          <w:sz w:val="22"/>
          <w:highlight w:val="yellow"/>
        </w:rPr>
      </w:pPr>
      <w:r w:rsidRPr="00226E9E">
        <w:rPr>
          <w:sz w:val="22"/>
        </w:rPr>
        <w:t xml:space="preserve">Sutton J (1927). </w:t>
      </w:r>
      <w:proofErr w:type="gramStart"/>
      <w:r w:rsidRPr="00226E9E">
        <w:rPr>
          <w:sz w:val="22"/>
        </w:rPr>
        <w:t>Some additions to the South Australian Museum collection.</w:t>
      </w:r>
      <w:proofErr w:type="gramEnd"/>
      <w:r w:rsidRPr="00226E9E">
        <w:rPr>
          <w:sz w:val="22"/>
        </w:rPr>
        <w:t xml:space="preserve"> </w:t>
      </w:r>
      <w:proofErr w:type="gramStart"/>
      <w:r w:rsidRPr="00226E9E">
        <w:rPr>
          <w:i/>
          <w:iCs/>
          <w:sz w:val="22"/>
        </w:rPr>
        <w:t>South Australian Ornithologist</w:t>
      </w:r>
      <w:r w:rsidRPr="00226E9E">
        <w:rPr>
          <w:sz w:val="22"/>
        </w:rPr>
        <w:t>.</w:t>
      </w:r>
      <w:proofErr w:type="gramEnd"/>
      <w:r w:rsidRPr="00226E9E">
        <w:rPr>
          <w:sz w:val="22"/>
        </w:rPr>
        <w:t xml:space="preserve"> 9: 150-151.</w:t>
      </w:r>
    </w:p>
    <w:p w:rsidR="0035132E" w:rsidRPr="00226E9E" w:rsidRDefault="0035132E" w:rsidP="003E2FEA">
      <w:pPr>
        <w:rPr>
          <w:sz w:val="22"/>
        </w:rPr>
      </w:pPr>
      <w:r w:rsidRPr="00226E9E">
        <w:rPr>
          <w:sz w:val="22"/>
        </w:rPr>
        <w:t xml:space="preserve">Symmons P (1985). </w:t>
      </w:r>
      <w:proofErr w:type="gramStart"/>
      <w:r w:rsidRPr="00226E9E">
        <w:rPr>
          <w:sz w:val="22"/>
        </w:rPr>
        <w:t>Locusts, the plague of '84.</w:t>
      </w:r>
      <w:proofErr w:type="gramEnd"/>
      <w:r w:rsidRPr="00226E9E">
        <w:rPr>
          <w:sz w:val="22"/>
        </w:rPr>
        <w:t xml:space="preserve"> </w:t>
      </w:r>
      <w:proofErr w:type="gramStart"/>
      <w:r w:rsidRPr="00226E9E">
        <w:rPr>
          <w:i/>
          <w:iCs/>
          <w:sz w:val="22"/>
        </w:rPr>
        <w:t>Australian Natural History</w:t>
      </w:r>
      <w:r w:rsidRPr="00226E9E">
        <w:rPr>
          <w:sz w:val="22"/>
        </w:rPr>
        <w:t>.</w:t>
      </w:r>
      <w:proofErr w:type="gramEnd"/>
      <w:r w:rsidRPr="00226E9E">
        <w:rPr>
          <w:sz w:val="22"/>
        </w:rPr>
        <w:t xml:space="preserve"> 21: 327-330.</w:t>
      </w:r>
    </w:p>
    <w:p w:rsidR="0035132E" w:rsidRPr="00226E9E" w:rsidRDefault="0035132E" w:rsidP="003E2FEA">
      <w:pPr>
        <w:rPr>
          <w:sz w:val="22"/>
          <w:highlight w:val="yellow"/>
        </w:rPr>
      </w:pPr>
      <w:proofErr w:type="gramStart"/>
      <w:r w:rsidRPr="00226E9E">
        <w:rPr>
          <w:sz w:val="22"/>
        </w:rPr>
        <w:t>Twigg LE and Kay BJ (1995).</w:t>
      </w:r>
      <w:proofErr w:type="gramEnd"/>
      <w:r w:rsidRPr="00226E9E">
        <w:rPr>
          <w:sz w:val="22"/>
        </w:rPr>
        <w:t xml:space="preserve"> The ecology of House Mice </w:t>
      </w:r>
      <w:r w:rsidRPr="00226E9E">
        <w:rPr>
          <w:i/>
          <w:sz w:val="22"/>
        </w:rPr>
        <w:t>Mus domesticus</w:t>
      </w:r>
      <w:r w:rsidRPr="00226E9E">
        <w:rPr>
          <w:sz w:val="22"/>
        </w:rPr>
        <w:t xml:space="preserve"> in and around irrigated summer crops in western New South Wales. </w:t>
      </w:r>
      <w:proofErr w:type="gramStart"/>
      <w:r w:rsidRPr="00226E9E">
        <w:rPr>
          <w:i/>
          <w:sz w:val="22"/>
        </w:rPr>
        <w:t>Wildlife Research.</w:t>
      </w:r>
      <w:proofErr w:type="gramEnd"/>
      <w:r w:rsidRPr="00226E9E">
        <w:rPr>
          <w:sz w:val="22"/>
        </w:rPr>
        <w:t xml:space="preserve"> 22: 717-731.</w:t>
      </w:r>
    </w:p>
    <w:p w:rsidR="000679EE" w:rsidRPr="000679EE" w:rsidRDefault="000679EE" w:rsidP="003E2FEA">
      <w:pPr>
        <w:autoSpaceDE w:val="0"/>
        <w:autoSpaceDN w:val="0"/>
        <w:adjustRightInd w:val="0"/>
        <w:rPr>
          <w:rFonts w:cs="Arial"/>
          <w:sz w:val="22"/>
          <w:lang w:eastAsia="en-AU"/>
        </w:rPr>
      </w:pPr>
      <w:r>
        <w:rPr>
          <w:rFonts w:cs="Arial"/>
          <w:sz w:val="22"/>
          <w:lang w:eastAsia="en-AU"/>
        </w:rPr>
        <w:t>Varty IW</w:t>
      </w:r>
      <w:r w:rsidR="007D52B3" w:rsidRPr="000679EE">
        <w:rPr>
          <w:rFonts w:cs="Arial"/>
          <w:sz w:val="22"/>
          <w:lang w:eastAsia="en-AU"/>
        </w:rPr>
        <w:t xml:space="preserve"> </w:t>
      </w:r>
      <w:r>
        <w:rPr>
          <w:rFonts w:cs="Arial"/>
          <w:sz w:val="22"/>
          <w:lang w:eastAsia="en-AU"/>
        </w:rPr>
        <w:t>(</w:t>
      </w:r>
      <w:r w:rsidR="007D52B3" w:rsidRPr="000679EE">
        <w:rPr>
          <w:rFonts w:cs="Arial"/>
          <w:sz w:val="22"/>
          <w:lang w:eastAsia="en-AU"/>
        </w:rPr>
        <w:t>1980</w:t>
      </w:r>
      <w:r>
        <w:rPr>
          <w:rFonts w:cs="Arial"/>
          <w:sz w:val="22"/>
          <w:lang w:eastAsia="en-AU"/>
        </w:rPr>
        <w:t>)</w:t>
      </w:r>
      <w:r w:rsidR="007D52B3" w:rsidRPr="000679EE">
        <w:rPr>
          <w:rFonts w:cs="Arial"/>
          <w:sz w:val="22"/>
          <w:lang w:eastAsia="en-AU"/>
        </w:rPr>
        <w:t>. Environmental surveillance in New Brunswick,</w:t>
      </w:r>
      <w:r>
        <w:rPr>
          <w:rFonts w:cs="Arial"/>
          <w:sz w:val="22"/>
          <w:lang w:eastAsia="en-AU"/>
        </w:rPr>
        <w:t xml:space="preserve"> </w:t>
      </w:r>
      <w:r w:rsidR="007D52B3" w:rsidRPr="000679EE">
        <w:rPr>
          <w:rFonts w:cs="Arial"/>
          <w:sz w:val="22"/>
          <w:lang w:eastAsia="en-AU"/>
        </w:rPr>
        <w:t>1978–1979: Effects of spray operations for forest protection</w:t>
      </w:r>
      <w:r>
        <w:rPr>
          <w:rFonts w:cs="Arial"/>
          <w:sz w:val="22"/>
          <w:lang w:eastAsia="en-AU"/>
        </w:rPr>
        <w:t xml:space="preserve"> </w:t>
      </w:r>
      <w:r w:rsidR="007D52B3" w:rsidRPr="000679EE">
        <w:rPr>
          <w:rFonts w:cs="Arial"/>
          <w:sz w:val="22"/>
          <w:lang w:eastAsia="en-AU"/>
        </w:rPr>
        <w:t>against spruce budworm. Committee for Environmental Monitoring</w:t>
      </w:r>
      <w:r>
        <w:rPr>
          <w:rFonts w:cs="Arial"/>
          <w:sz w:val="22"/>
          <w:lang w:eastAsia="en-AU"/>
        </w:rPr>
        <w:t xml:space="preserve"> </w:t>
      </w:r>
      <w:r w:rsidR="007D52B3" w:rsidRPr="000679EE">
        <w:rPr>
          <w:rFonts w:cs="Arial"/>
          <w:sz w:val="22"/>
          <w:lang w:eastAsia="en-AU"/>
        </w:rPr>
        <w:t>of Forest Insect Control Operations, Department of Forest</w:t>
      </w:r>
      <w:r>
        <w:rPr>
          <w:rFonts w:cs="Arial"/>
          <w:sz w:val="22"/>
          <w:lang w:eastAsia="en-AU"/>
        </w:rPr>
        <w:t xml:space="preserve"> </w:t>
      </w:r>
      <w:r w:rsidR="007D52B3" w:rsidRPr="000679EE">
        <w:rPr>
          <w:rFonts w:cs="Arial"/>
          <w:sz w:val="22"/>
          <w:lang w:eastAsia="en-AU"/>
        </w:rPr>
        <w:t>Resources, Fredericton, NB, Canada, pp 26–28.</w:t>
      </w:r>
    </w:p>
    <w:p w:rsidR="0035132E" w:rsidRPr="00226E9E" w:rsidRDefault="0035132E" w:rsidP="003E2FEA">
      <w:pPr>
        <w:rPr>
          <w:sz w:val="22"/>
        </w:rPr>
      </w:pPr>
      <w:proofErr w:type="gramStart"/>
      <w:r w:rsidRPr="00226E9E">
        <w:rPr>
          <w:sz w:val="22"/>
        </w:rPr>
        <w:t>Wilson C, I</w:t>
      </w:r>
      <w:r w:rsidR="002C4C78">
        <w:rPr>
          <w:sz w:val="22"/>
        </w:rPr>
        <w:t>ngwersen D and Parker D (2014).</w:t>
      </w:r>
      <w:proofErr w:type="gramEnd"/>
      <w:r w:rsidRPr="00226E9E">
        <w:rPr>
          <w:sz w:val="22"/>
        </w:rPr>
        <w:t xml:space="preserve"> </w:t>
      </w:r>
      <w:r w:rsidRPr="00226E9E">
        <w:rPr>
          <w:rFonts w:cs="TTE18B1320t00"/>
          <w:i/>
          <w:sz w:val="22"/>
        </w:rPr>
        <w:t>Review of OEH Plains-wanderer Pedionomus torquatus monitoring data 2001-2014</w:t>
      </w:r>
      <w:r w:rsidRPr="00226E9E">
        <w:rPr>
          <w:sz w:val="22"/>
        </w:rPr>
        <w:t xml:space="preserve">. </w:t>
      </w:r>
      <w:proofErr w:type="gramStart"/>
      <w:r w:rsidRPr="00226E9E">
        <w:rPr>
          <w:sz w:val="22"/>
        </w:rPr>
        <w:t>A report for the Office of Environment and Heritage, NSW.</w:t>
      </w:r>
      <w:proofErr w:type="gramEnd"/>
      <w:r w:rsidRPr="00226E9E">
        <w:rPr>
          <w:sz w:val="22"/>
        </w:rPr>
        <w:t xml:space="preserve"> BirdLife Australia, Melbourne.</w:t>
      </w:r>
    </w:p>
    <w:p w:rsidR="0035132E" w:rsidRPr="00226E9E" w:rsidRDefault="0035132E" w:rsidP="003E2FEA">
      <w:pPr>
        <w:rPr>
          <w:rFonts w:cs="Arial"/>
          <w:sz w:val="22"/>
        </w:rPr>
      </w:pPr>
      <w:r w:rsidRPr="00226E9E">
        <w:rPr>
          <w:sz w:val="22"/>
        </w:rPr>
        <w:t xml:space="preserve">Wong NK (2012). </w:t>
      </w:r>
      <w:proofErr w:type="gramStart"/>
      <w:r w:rsidRPr="00226E9E">
        <w:rPr>
          <w:sz w:val="22"/>
        </w:rPr>
        <w:t>Effects of disturbance on long-grazed semi-arid grasslands.</w:t>
      </w:r>
      <w:proofErr w:type="gramEnd"/>
      <w:r w:rsidRPr="00226E9E">
        <w:rPr>
          <w:sz w:val="22"/>
        </w:rPr>
        <w:t xml:space="preserve"> </w:t>
      </w:r>
      <w:proofErr w:type="gramStart"/>
      <w:r w:rsidRPr="00226E9E">
        <w:rPr>
          <w:i/>
          <w:sz w:val="22"/>
        </w:rPr>
        <w:t>PhD Thesis</w:t>
      </w:r>
      <w:r w:rsidRPr="00226E9E">
        <w:rPr>
          <w:sz w:val="22"/>
        </w:rPr>
        <w:t>, La Trobe University, Bundoora, Victoria.</w:t>
      </w:r>
      <w:proofErr w:type="gramEnd"/>
      <w:r w:rsidRPr="00226E9E">
        <w:rPr>
          <w:rFonts w:cs="Arial"/>
          <w:sz w:val="22"/>
        </w:rPr>
        <w:t xml:space="preserve"> </w:t>
      </w:r>
    </w:p>
    <w:p w:rsidR="0035132E" w:rsidRPr="00226E9E" w:rsidRDefault="0035132E" w:rsidP="003B20C9">
      <w:pPr>
        <w:autoSpaceDE w:val="0"/>
        <w:rPr>
          <w:rStyle w:val="journalabstracttitle1"/>
          <w:rFonts w:cs="Times New Roman"/>
          <w:b w:val="0"/>
          <w:bCs w:val="0"/>
          <w:sz w:val="22"/>
          <w:szCs w:val="22"/>
        </w:rPr>
      </w:pPr>
      <w:proofErr w:type="gramStart"/>
      <w:r w:rsidRPr="00226E9E">
        <w:rPr>
          <w:rFonts w:cs="Arial"/>
          <w:sz w:val="22"/>
        </w:rPr>
        <w:t>Wong NK and Morgan JM (2012).</w:t>
      </w:r>
      <w:proofErr w:type="gramEnd"/>
      <w:r w:rsidRPr="00226E9E">
        <w:rPr>
          <w:rFonts w:cs="Arial"/>
          <w:sz w:val="22"/>
        </w:rPr>
        <w:t xml:space="preserve"> </w:t>
      </w:r>
      <w:r w:rsidRPr="00226E9E">
        <w:rPr>
          <w:sz w:val="22"/>
        </w:rPr>
        <w:t>Experimental changes in disturbance type do not induce short-term shifts in plant community str</w:t>
      </w:r>
      <w:r w:rsidR="003B20C9">
        <w:rPr>
          <w:rFonts w:ascii="ZWAdobeF" w:hAnsi="ZWAdobeF" w:cs="ZWAdobeF"/>
          <w:sz w:val="2"/>
          <w:szCs w:val="2"/>
        </w:rPr>
        <w:t>10T</w:t>
      </w:r>
      <w:r w:rsidRPr="00226E9E">
        <w:rPr>
          <w:rStyle w:val="maintitle"/>
          <w:rFonts w:cs="Arial"/>
          <w:sz w:val="22"/>
        </w:rPr>
        <w:t>ucture in three semi-arid grasslands of the Victorian Riverine Plain managed for nature conservation.</w:t>
      </w:r>
      <w:r w:rsidRPr="00226E9E">
        <w:rPr>
          <w:rStyle w:val="maintitle"/>
          <w:rFonts w:cs="Arial"/>
          <w:i/>
          <w:sz w:val="22"/>
        </w:rPr>
        <w:t xml:space="preserve"> </w:t>
      </w:r>
      <w:proofErr w:type="gramStart"/>
      <w:r w:rsidR="003B20C9">
        <w:rPr>
          <w:rStyle w:val="maintitle"/>
          <w:rFonts w:ascii="ZWAdobeF" w:hAnsi="ZWAdobeF" w:cs="ZWAdobeF"/>
          <w:sz w:val="2"/>
          <w:szCs w:val="2"/>
        </w:rPr>
        <w:t>10T</w:t>
      </w:r>
      <w:r w:rsidRPr="00226E9E">
        <w:rPr>
          <w:rFonts w:cs="Arial"/>
          <w:i/>
          <w:sz w:val="22"/>
        </w:rPr>
        <w:t>Ecological Management &amp; Restoration.</w:t>
      </w:r>
      <w:proofErr w:type="gramEnd"/>
      <w:r w:rsidRPr="00226E9E">
        <w:rPr>
          <w:rFonts w:cs="Arial"/>
          <w:sz w:val="22"/>
        </w:rPr>
        <w:t xml:space="preserve"> 13: 175–182.</w:t>
      </w:r>
    </w:p>
    <w:p w:rsidR="0035132E" w:rsidRPr="00226E9E" w:rsidRDefault="0035132E" w:rsidP="003B20C9">
      <w:pPr>
        <w:autoSpaceDE w:val="0"/>
        <w:rPr>
          <w:sz w:val="22"/>
        </w:rPr>
      </w:pPr>
      <w:proofErr w:type="gramStart"/>
      <w:r w:rsidRPr="00226E9E">
        <w:rPr>
          <w:sz w:val="22"/>
        </w:rPr>
        <w:t>Wong NK, Morgan JM and Dorrough J (2010).</w:t>
      </w:r>
      <w:proofErr w:type="gramEnd"/>
      <w:r w:rsidRPr="00226E9E">
        <w:rPr>
          <w:sz w:val="22"/>
        </w:rPr>
        <w:t xml:space="preserve"> </w:t>
      </w:r>
      <w:r w:rsidR="003B20C9">
        <w:rPr>
          <w:rFonts w:ascii="ZWAdobeF" w:hAnsi="ZWAdobeF" w:cs="ZWAdobeF"/>
          <w:sz w:val="2"/>
          <w:szCs w:val="2"/>
        </w:rPr>
        <w:t>10T</w:t>
      </w:r>
      <w:r w:rsidRPr="00226E9E">
        <w:rPr>
          <w:rStyle w:val="maintitle"/>
          <w:sz w:val="22"/>
        </w:rPr>
        <w:t xml:space="preserve">A conceptual model of plant community changes following cessation of cultivation in semi-arid grassland. </w:t>
      </w:r>
      <w:proofErr w:type="gramStart"/>
      <w:r w:rsidRPr="00226E9E">
        <w:rPr>
          <w:rStyle w:val="maintitle"/>
          <w:i/>
          <w:sz w:val="22"/>
        </w:rPr>
        <w:t>Applied Vegetation Science</w:t>
      </w:r>
      <w:r w:rsidRPr="00226E9E">
        <w:rPr>
          <w:rStyle w:val="maintitle"/>
          <w:sz w:val="22"/>
        </w:rPr>
        <w:t>, 13: 389-402.</w:t>
      </w:r>
      <w:proofErr w:type="gramEnd"/>
    </w:p>
    <w:sectPr w:rsidR="0035132E" w:rsidRPr="00226E9E" w:rsidSect="00894242">
      <w:headerReference w:type="first" r:id="rId29"/>
      <w:footerReference w:type="first" r:id="rId30"/>
      <w:pgSz w:w="11906" w:h="16838" w:code="9"/>
      <w:pgMar w:top="567" w:right="1276" w:bottom="426"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5E2" w:rsidRDefault="00AD25E2" w:rsidP="0018674C">
      <w:pPr>
        <w:spacing w:after="0" w:line="240" w:lineRule="auto"/>
      </w:pPr>
      <w:r>
        <w:separator/>
      </w:r>
    </w:p>
  </w:endnote>
  <w:endnote w:type="continuationSeparator" w:id="0">
    <w:p w:rsidR="00AD25E2" w:rsidRDefault="00AD25E2" w:rsidP="001867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0" w:usb1="00000000" w:usb2="00000000" w:usb3="00000000" w:csb0="00000000"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 w:name="Helvetica-Oblique">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TTE18B132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2DB" w:rsidRDefault="003F22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3518"/>
      <w:docPartObj>
        <w:docPartGallery w:val="Page Numbers (Bottom of Page)"/>
        <w:docPartUnique/>
      </w:docPartObj>
    </w:sdtPr>
    <w:sdtContent>
      <w:p w:rsidR="00AD25E2" w:rsidRDefault="009512A9">
        <w:pPr>
          <w:pStyle w:val="Footer"/>
          <w:jc w:val="center"/>
        </w:pPr>
        <w:fldSimple w:instr=" PAGE   \* MERGEFORMAT ">
          <w:r w:rsidR="003F22DB">
            <w:rPr>
              <w:noProof/>
            </w:rPr>
            <w:t>40</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5E2" w:rsidRDefault="00AD25E2">
    <w:pPr>
      <w:pStyle w:val="Footer"/>
    </w:pPr>
    <w:r w:rsidRPr="001E3C58">
      <w:rPr>
        <w:noProof/>
        <w:lang w:eastAsia="en-AU"/>
      </w:rPr>
      <w:drawing>
        <wp:anchor distT="0" distB="0" distL="114300" distR="114300" simplePos="0" relativeHeight="251659264" behindDoc="0" locked="0" layoutInCell="1" allowOverlap="1">
          <wp:simplePos x="0" y="0"/>
          <wp:positionH relativeFrom="page">
            <wp:posOffset>-800100</wp:posOffset>
          </wp:positionH>
          <wp:positionV relativeFrom="page">
            <wp:posOffset>8724900</wp:posOffset>
          </wp:positionV>
          <wp:extent cx="10054590" cy="38100"/>
          <wp:effectExtent l="19050" t="0" r="3810" b="0"/>
          <wp:wrapNone/>
          <wp:docPr id="4"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10054590" cy="38100"/>
                  </a:xfrm>
                  <a:prstGeom prst="rect">
                    <a:avLst/>
                  </a:prstGeom>
                  <a:noFill/>
                  <a:ln w="9525">
                    <a:noFill/>
                    <a:miter lim="800000"/>
                    <a:headEnd/>
                    <a:tailEnd/>
                  </a:ln>
                </pic:spPr>
              </pic:pic>
            </a:graphicData>
          </a:graphic>
        </wp:anchor>
      </w:drawing>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10614"/>
      <w:docPartObj>
        <w:docPartGallery w:val="Page Numbers (Bottom of Page)"/>
        <w:docPartUnique/>
      </w:docPartObj>
    </w:sdtPr>
    <w:sdtContent>
      <w:p w:rsidR="00AD25E2" w:rsidRDefault="009512A9" w:rsidP="0035132E">
        <w:pPr>
          <w:pStyle w:val="Footer"/>
          <w:jc w:val="center"/>
        </w:pPr>
        <w:sdt>
          <w:sdtPr>
            <w:id w:val="31010615"/>
            <w:docPartObj>
              <w:docPartGallery w:val="Page Numbers (Bottom of Page)"/>
              <w:docPartUnique/>
            </w:docPartObj>
          </w:sdtPr>
          <w:sdtContent>
            <w:fldSimple w:instr=" PAGE   \* MERGEFORMAT ">
              <w:r w:rsidR="003F22DB">
                <w:rPr>
                  <w:noProof/>
                </w:rPr>
                <w:t>2</w:t>
              </w:r>
            </w:fldSimple>
          </w:sdtContent>
        </w:sdt>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46356"/>
      <w:docPartObj>
        <w:docPartGallery w:val="Page Numbers (Bottom of Page)"/>
        <w:docPartUnique/>
      </w:docPartObj>
    </w:sdtPr>
    <w:sdtContent>
      <w:p w:rsidR="00AD25E2" w:rsidRDefault="009512A9" w:rsidP="0035132E">
        <w:pPr>
          <w:pStyle w:val="Footer"/>
          <w:jc w:val="center"/>
        </w:pPr>
        <w:sdt>
          <w:sdtPr>
            <w:id w:val="20146357"/>
            <w:docPartObj>
              <w:docPartGallery w:val="Page Numbers (Bottom of Page)"/>
              <w:docPartUnique/>
            </w:docPartObj>
          </w:sdtPr>
          <w:sdtContent>
            <w:fldSimple w:instr=" PAGE   \* MERGEFORMAT ">
              <w:r w:rsidR="003F22DB">
                <w:rPr>
                  <w:noProof/>
                </w:rPr>
                <w:t>34</w:t>
              </w:r>
            </w:fldSimple>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5E2" w:rsidRDefault="00AD25E2" w:rsidP="0018674C">
      <w:pPr>
        <w:spacing w:after="0" w:line="240" w:lineRule="auto"/>
      </w:pPr>
      <w:r>
        <w:separator/>
      </w:r>
    </w:p>
  </w:footnote>
  <w:footnote w:type="continuationSeparator" w:id="0">
    <w:p w:rsidR="00AD25E2" w:rsidRDefault="00AD25E2" w:rsidP="001867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5E2" w:rsidRDefault="009512A9" w:rsidP="0035132E">
    <w:pPr>
      <w:pStyle w:val="Classification"/>
    </w:pPr>
    <w:fldSimple w:instr=" DOCPROPERTY SecurityClassification \* MERGEFORMAT ">
      <w:r w:rsidR="00AD25E2" w:rsidRPr="00204645">
        <w:rPr>
          <w:b/>
          <w:bCs/>
          <w:lang w:val="en-US"/>
        </w:rPr>
        <w:t xml:space="preserve">UNCLASSIFIED  </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2DB" w:rsidRDefault="003F22D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5E2" w:rsidRDefault="00AD25E2">
    <w:pPr>
      <w:pStyle w:val="Header"/>
    </w:pPr>
  </w:p>
  <w:p w:rsidR="00AD25E2" w:rsidRDefault="00AD25E2">
    <w:pPr>
      <w:pStyle w:val="Header"/>
    </w:pPr>
  </w:p>
  <w:p w:rsidR="00AD25E2" w:rsidRDefault="00AD25E2">
    <w:pPr>
      <w:pStyle w:val="Header"/>
    </w:pPr>
  </w:p>
  <w:p w:rsidR="00AD25E2" w:rsidRDefault="00AD25E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5E2" w:rsidRDefault="00AD25E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5E2" w:rsidRDefault="00AD25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5ECCCC"/>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17665CC6"/>
    <w:multiLevelType w:val="hybridMultilevel"/>
    <w:tmpl w:val="E508259E"/>
    <w:lvl w:ilvl="0" w:tplc="66A05D1E">
      <w:start w:val="1"/>
      <w:numFmt w:val="bullet"/>
      <w:lvlText w:val=""/>
      <w:lvlJc w:val="left"/>
      <w:pPr>
        <w:ind w:left="360" w:hanging="360"/>
      </w:pPr>
      <w:rPr>
        <w:rFonts w:ascii="Symbol" w:hAnsi="Symbol" w:hint="default"/>
      </w:rPr>
    </w:lvl>
    <w:lvl w:ilvl="1" w:tplc="BCCC9014">
      <w:start w:val="1"/>
      <w:numFmt w:val="bullet"/>
      <w:lvlText w:val="-"/>
      <w:lvlJc w:val="left"/>
      <w:pPr>
        <w:ind w:left="1080" w:hanging="360"/>
      </w:pPr>
      <w:rPr>
        <w:rFonts w:ascii="Courier New" w:hAnsi="Courier New" w:hint="default"/>
      </w:rPr>
    </w:lvl>
    <w:lvl w:ilvl="2" w:tplc="CA7C858A" w:tentative="1">
      <w:start w:val="1"/>
      <w:numFmt w:val="bullet"/>
      <w:lvlText w:val=""/>
      <w:lvlJc w:val="left"/>
      <w:pPr>
        <w:ind w:left="1800" w:hanging="360"/>
      </w:pPr>
      <w:rPr>
        <w:rFonts w:ascii="Wingdings" w:hAnsi="Wingdings" w:hint="default"/>
      </w:rPr>
    </w:lvl>
    <w:lvl w:ilvl="3" w:tplc="8B107C6C" w:tentative="1">
      <w:start w:val="1"/>
      <w:numFmt w:val="bullet"/>
      <w:lvlText w:val=""/>
      <w:lvlJc w:val="left"/>
      <w:pPr>
        <w:ind w:left="2520" w:hanging="360"/>
      </w:pPr>
      <w:rPr>
        <w:rFonts w:ascii="Symbol" w:hAnsi="Symbol" w:hint="default"/>
      </w:rPr>
    </w:lvl>
    <w:lvl w:ilvl="4" w:tplc="AB9E6E38" w:tentative="1">
      <w:start w:val="1"/>
      <w:numFmt w:val="bullet"/>
      <w:lvlText w:val="o"/>
      <w:lvlJc w:val="left"/>
      <w:pPr>
        <w:ind w:left="3240" w:hanging="360"/>
      </w:pPr>
      <w:rPr>
        <w:rFonts w:ascii="Courier New" w:hAnsi="Courier New" w:cs="Courier New" w:hint="default"/>
      </w:rPr>
    </w:lvl>
    <w:lvl w:ilvl="5" w:tplc="E7DC9586" w:tentative="1">
      <w:start w:val="1"/>
      <w:numFmt w:val="bullet"/>
      <w:lvlText w:val=""/>
      <w:lvlJc w:val="left"/>
      <w:pPr>
        <w:ind w:left="3960" w:hanging="360"/>
      </w:pPr>
      <w:rPr>
        <w:rFonts w:ascii="Wingdings" w:hAnsi="Wingdings" w:hint="default"/>
      </w:rPr>
    </w:lvl>
    <w:lvl w:ilvl="6" w:tplc="CDA02BB2" w:tentative="1">
      <w:start w:val="1"/>
      <w:numFmt w:val="bullet"/>
      <w:lvlText w:val=""/>
      <w:lvlJc w:val="left"/>
      <w:pPr>
        <w:ind w:left="4680" w:hanging="360"/>
      </w:pPr>
      <w:rPr>
        <w:rFonts w:ascii="Symbol" w:hAnsi="Symbol" w:hint="default"/>
      </w:rPr>
    </w:lvl>
    <w:lvl w:ilvl="7" w:tplc="ACEA2E28" w:tentative="1">
      <w:start w:val="1"/>
      <w:numFmt w:val="bullet"/>
      <w:lvlText w:val="o"/>
      <w:lvlJc w:val="left"/>
      <w:pPr>
        <w:ind w:left="5400" w:hanging="360"/>
      </w:pPr>
      <w:rPr>
        <w:rFonts w:ascii="Courier New" w:hAnsi="Courier New" w:cs="Courier New" w:hint="default"/>
      </w:rPr>
    </w:lvl>
    <w:lvl w:ilvl="8" w:tplc="137E36F0" w:tentative="1">
      <w:start w:val="1"/>
      <w:numFmt w:val="bullet"/>
      <w:lvlText w:val=""/>
      <w:lvlJc w:val="left"/>
      <w:pPr>
        <w:ind w:left="6120" w:hanging="360"/>
      </w:pPr>
      <w:rPr>
        <w:rFonts w:ascii="Wingdings" w:hAnsi="Wingdings" w:hint="default"/>
      </w:rPr>
    </w:lvl>
  </w:abstractNum>
  <w:abstractNum w:abstractNumId="3">
    <w:nsid w:val="1D13222F"/>
    <w:multiLevelType w:val="hybridMultilevel"/>
    <w:tmpl w:val="E2D214FC"/>
    <w:lvl w:ilvl="0" w:tplc="0C090011">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nsid w:val="1F745BC2"/>
    <w:multiLevelType w:val="multilevel"/>
    <w:tmpl w:val="E5E89F92"/>
    <w:numStyleLink w:val="BulletList"/>
  </w:abstractNum>
  <w:abstractNum w:abstractNumId="5">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24F4CB8"/>
    <w:multiLevelType w:val="hybridMultilevel"/>
    <w:tmpl w:val="D2BE5896"/>
    <w:lvl w:ilvl="0" w:tplc="98AEBC98">
      <w:start w:val="1"/>
      <w:numFmt w:val="decimal"/>
      <w:lvlText w:val="%1."/>
      <w:lvlJc w:val="left"/>
      <w:pPr>
        <w:ind w:left="360" w:hanging="360"/>
      </w:pPr>
      <w:rPr>
        <w:rFonts w:hint="default"/>
      </w:rPr>
    </w:lvl>
    <w:lvl w:ilvl="1" w:tplc="A9A82596" w:tentative="1">
      <w:start w:val="1"/>
      <w:numFmt w:val="bullet"/>
      <w:lvlText w:val="o"/>
      <w:lvlJc w:val="left"/>
      <w:pPr>
        <w:ind w:left="1080" w:hanging="360"/>
      </w:pPr>
      <w:rPr>
        <w:rFonts w:ascii="Courier New" w:hAnsi="Courier New" w:cs="Courier New" w:hint="default"/>
      </w:rPr>
    </w:lvl>
    <w:lvl w:ilvl="2" w:tplc="6F40643C">
      <w:start w:val="1"/>
      <w:numFmt w:val="bullet"/>
      <w:lvlText w:val=""/>
      <w:lvlJc w:val="left"/>
      <w:pPr>
        <w:ind w:left="1800" w:hanging="360"/>
      </w:pPr>
      <w:rPr>
        <w:rFonts w:ascii="Wingdings" w:hAnsi="Wingdings" w:hint="default"/>
      </w:rPr>
    </w:lvl>
    <w:lvl w:ilvl="3" w:tplc="E35CEA22" w:tentative="1">
      <w:start w:val="1"/>
      <w:numFmt w:val="bullet"/>
      <w:lvlText w:val=""/>
      <w:lvlJc w:val="left"/>
      <w:pPr>
        <w:ind w:left="2520" w:hanging="360"/>
      </w:pPr>
      <w:rPr>
        <w:rFonts w:ascii="Symbol" w:hAnsi="Symbol" w:hint="default"/>
      </w:rPr>
    </w:lvl>
    <w:lvl w:ilvl="4" w:tplc="9FD8C4BE" w:tentative="1">
      <w:start w:val="1"/>
      <w:numFmt w:val="bullet"/>
      <w:lvlText w:val="o"/>
      <w:lvlJc w:val="left"/>
      <w:pPr>
        <w:ind w:left="3240" w:hanging="360"/>
      </w:pPr>
      <w:rPr>
        <w:rFonts w:ascii="Courier New" w:hAnsi="Courier New" w:cs="Courier New" w:hint="default"/>
      </w:rPr>
    </w:lvl>
    <w:lvl w:ilvl="5" w:tplc="5D506052" w:tentative="1">
      <w:start w:val="1"/>
      <w:numFmt w:val="bullet"/>
      <w:lvlText w:val=""/>
      <w:lvlJc w:val="left"/>
      <w:pPr>
        <w:ind w:left="3960" w:hanging="360"/>
      </w:pPr>
      <w:rPr>
        <w:rFonts w:ascii="Wingdings" w:hAnsi="Wingdings" w:hint="default"/>
      </w:rPr>
    </w:lvl>
    <w:lvl w:ilvl="6" w:tplc="A650CF4E" w:tentative="1">
      <w:start w:val="1"/>
      <w:numFmt w:val="bullet"/>
      <w:lvlText w:val=""/>
      <w:lvlJc w:val="left"/>
      <w:pPr>
        <w:ind w:left="4680" w:hanging="360"/>
      </w:pPr>
      <w:rPr>
        <w:rFonts w:ascii="Symbol" w:hAnsi="Symbol" w:hint="default"/>
      </w:rPr>
    </w:lvl>
    <w:lvl w:ilvl="7" w:tplc="94CE46D4" w:tentative="1">
      <w:start w:val="1"/>
      <w:numFmt w:val="bullet"/>
      <w:lvlText w:val="o"/>
      <w:lvlJc w:val="left"/>
      <w:pPr>
        <w:ind w:left="5400" w:hanging="360"/>
      </w:pPr>
      <w:rPr>
        <w:rFonts w:ascii="Courier New" w:hAnsi="Courier New" w:cs="Courier New" w:hint="default"/>
      </w:rPr>
    </w:lvl>
    <w:lvl w:ilvl="8" w:tplc="9520978A" w:tentative="1">
      <w:start w:val="1"/>
      <w:numFmt w:val="bullet"/>
      <w:lvlText w:val=""/>
      <w:lvlJc w:val="left"/>
      <w:pPr>
        <w:ind w:left="6120" w:hanging="360"/>
      </w:pPr>
      <w:rPr>
        <w:rFonts w:ascii="Wingdings" w:hAnsi="Wingdings" w:hint="default"/>
      </w:rPr>
    </w:lvl>
  </w:abstractNum>
  <w:abstractNum w:abstractNumId="7">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6CE30BB"/>
    <w:multiLevelType w:val="hybridMultilevel"/>
    <w:tmpl w:val="7D583454"/>
    <w:lvl w:ilvl="0" w:tplc="1814074A">
      <w:start w:val="1"/>
      <w:numFmt w:val="bullet"/>
      <w:lvlText w:val=""/>
      <w:lvlJc w:val="left"/>
      <w:pPr>
        <w:ind w:left="360" w:hanging="360"/>
      </w:pPr>
      <w:rPr>
        <w:rFonts w:ascii="Symbol" w:hAnsi="Symbol" w:hint="default"/>
      </w:rPr>
    </w:lvl>
    <w:lvl w:ilvl="1" w:tplc="1354D440">
      <w:start w:val="1"/>
      <w:numFmt w:val="bullet"/>
      <w:lvlText w:val="o"/>
      <w:lvlJc w:val="left"/>
      <w:pPr>
        <w:ind w:left="1080" w:hanging="360"/>
      </w:pPr>
      <w:rPr>
        <w:rFonts w:ascii="Courier New" w:hAnsi="Courier New" w:cs="Courier New" w:hint="default"/>
      </w:rPr>
    </w:lvl>
    <w:lvl w:ilvl="2" w:tplc="120CAD10" w:tentative="1">
      <w:start w:val="1"/>
      <w:numFmt w:val="bullet"/>
      <w:lvlText w:val=""/>
      <w:lvlJc w:val="left"/>
      <w:pPr>
        <w:ind w:left="1800" w:hanging="360"/>
      </w:pPr>
      <w:rPr>
        <w:rFonts w:ascii="Wingdings" w:hAnsi="Wingdings" w:hint="default"/>
      </w:rPr>
    </w:lvl>
    <w:lvl w:ilvl="3" w:tplc="D7A8E2DC" w:tentative="1">
      <w:start w:val="1"/>
      <w:numFmt w:val="bullet"/>
      <w:lvlText w:val=""/>
      <w:lvlJc w:val="left"/>
      <w:pPr>
        <w:ind w:left="2520" w:hanging="360"/>
      </w:pPr>
      <w:rPr>
        <w:rFonts w:ascii="Symbol" w:hAnsi="Symbol" w:hint="default"/>
      </w:rPr>
    </w:lvl>
    <w:lvl w:ilvl="4" w:tplc="C414A7E0" w:tentative="1">
      <w:start w:val="1"/>
      <w:numFmt w:val="bullet"/>
      <w:lvlText w:val="o"/>
      <w:lvlJc w:val="left"/>
      <w:pPr>
        <w:ind w:left="3240" w:hanging="360"/>
      </w:pPr>
      <w:rPr>
        <w:rFonts w:ascii="Courier New" w:hAnsi="Courier New" w:cs="Courier New" w:hint="default"/>
      </w:rPr>
    </w:lvl>
    <w:lvl w:ilvl="5" w:tplc="B5C62268" w:tentative="1">
      <w:start w:val="1"/>
      <w:numFmt w:val="bullet"/>
      <w:lvlText w:val=""/>
      <w:lvlJc w:val="left"/>
      <w:pPr>
        <w:ind w:left="3960" w:hanging="360"/>
      </w:pPr>
      <w:rPr>
        <w:rFonts w:ascii="Wingdings" w:hAnsi="Wingdings" w:hint="default"/>
      </w:rPr>
    </w:lvl>
    <w:lvl w:ilvl="6" w:tplc="6AD6EB22" w:tentative="1">
      <w:start w:val="1"/>
      <w:numFmt w:val="bullet"/>
      <w:lvlText w:val=""/>
      <w:lvlJc w:val="left"/>
      <w:pPr>
        <w:ind w:left="4680" w:hanging="360"/>
      </w:pPr>
      <w:rPr>
        <w:rFonts w:ascii="Symbol" w:hAnsi="Symbol" w:hint="default"/>
      </w:rPr>
    </w:lvl>
    <w:lvl w:ilvl="7" w:tplc="3BB4D3F2" w:tentative="1">
      <w:start w:val="1"/>
      <w:numFmt w:val="bullet"/>
      <w:lvlText w:val="o"/>
      <w:lvlJc w:val="left"/>
      <w:pPr>
        <w:ind w:left="5400" w:hanging="360"/>
      </w:pPr>
      <w:rPr>
        <w:rFonts w:ascii="Courier New" w:hAnsi="Courier New" w:cs="Courier New" w:hint="default"/>
      </w:rPr>
    </w:lvl>
    <w:lvl w:ilvl="8" w:tplc="6330C732" w:tentative="1">
      <w:start w:val="1"/>
      <w:numFmt w:val="bullet"/>
      <w:lvlText w:val=""/>
      <w:lvlJc w:val="left"/>
      <w:pPr>
        <w:ind w:left="6120" w:hanging="360"/>
      </w:pPr>
      <w:rPr>
        <w:rFonts w:ascii="Wingdings" w:hAnsi="Wingdings" w:hint="default"/>
      </w:rPr>
    </w:lvl>
  </w:abstractNum>
  <w:abstractNum w:abstractNumId="9">
    <w:nsid w:val="3ADA6B06"/>
    <w:multiLevelType w:val="hybridMultilevel"/>
    <w:tmpl w:val="1410E952"/>
    <w:lvl w:ilvl="0" w:tplc="E396961C">
      <w:start w:val="1"/>
      <w:numFmt w:val="decimal"/>
      <w:lvlText w:val="%1."/>
      <w:lvlJc w:val="left"/>
      <w:pPr>
        <w:ind w:left="720" w:hanging="360"/>
      </w:pPr>
    </w:lvl>
    <w:lvl w:ilvl="1" w:tplc="401A7B34" w:tentative="1">
      <w:start w:val="1"/>
      <w:numFmt w:val="lowerLetter"/>
      <w:lvlText w:val="%2."/>
      <w:lvlJc w:val="left"/>
      <w:pPr>
        <w:ind w:left="1440" w:hanging="360"/>
      </w:pPr>
    </w:lvl>
    <w:lvl w:ilvl="2" w:tplc="E25A4938" w:tentative="1">
      <w:start w:val="1"/>
      <w:numFmt w:val="lowerRoman"/>
      <w:lvlText w:val="%3."/>
      <w:lvlJc w:val="right"/>
      <w:pPr>
        <w:ind w:left="2160" w:hanging="180"/>
      </w:pPr>
    </w:lvl>
    <w:lvl w:ilvl="3" w:tplc="6FD845CE" w:tentative="1">
      <w:start w:val="1"/>
      <w:numFmt w:val="decimal"/>
      <w:lvlText w:val="%4."/>
      <w:lvlJc w:val="left"/>
      <w:pPr>
        <w:ind w:left="2880" w:hanging="360"/>
      </w:pPr>
    </w:lvl>
    <w:lvl w:ilvl="4" w:tplc="61682AFC" w:tentative="1">
      <w:start w:val="1"/>
      <w:numFmt w:val="lowerLetter"/>
      <w:lvlText w:val="%5."/>
      <w:lvlJc w:val="left"/>
      <w:pPr>
        <w:ind w:left="3600" w:hanging="360"/>
      </w:pPr>
    </w:lvl>
    <w:lvl w:ilvl="5" w:tplc="7A800B54" w:tentative="1">
      <w:start w:val="1"/>
      <w:numFmt w:val="lowerRoman"/>
      <w:lvlText w:val="%6."/>
      <w:lvlJc w:val="right"/>
      <w:pPr>
        <w:ind w:left="4320" w:hanging="180"/>
      </w:pPr>
    </w:lvl>
    <w:lvl w:ilvl="6" w:tplc="D1543B46" w:tentative="1">
      <w:start w:val="1"/>
      <w:numFmt w:val="decimal"/>
      <w:lvlText w:val="%7."/>
      <w:lvlJc w:val="left"/>
      <w:pPr>
        <w:ind w:left="5040" w:hanging="360"/>
      </w:pPr>
    </w:lvl>
    <w:lvl w:ilvl="7" w:tplc="5B92797C" w:tentative="1">
      <w:start w:val="1"/>
      <w:numFmt w:val="lowerLetter"/>
      <w:lvlText w:val="%8."/>
      <w:lvlJc w:val="left"/>
      <w:pPr>
        <w:ind w:left="5760" w:hanging="360"/>
      </w:pPr>
    </w:lvl>
    <w:lvl w:ilvl="8" w:tplc="F962D03E" w:tentative="1">
      <w:start w:val="1"/>
      <w:numFmt w:val="lowerRoman"/>
      <w:lvlText w:val="%9."/>
      <w:lvlJc w:val="right"/>
      <w:pPr>
        <w:ind w:left="6480" w:hanging="180"/>
      </w:pPr>
    </w:lvl>
  </w:abstractNum>
  <w:abstractNum w:abstractNumId="10">
    <w:nsid w:val="3CA70FFC"/>
    <w:multiLevelType w:val="hybridMultilevel"/>
    <w:tmpl w:val="BE80E2DC"/>
    <w:lvl w:ilvl="0" w:tplc="BD804C10">
      <w:start w:val="1"/>
      <w:numFmt w:val="bullet"/>
      <w:lvlText w:val=""/>
      <w:lvlJc w:val="left"/>
      <w:pPr>
        <w:ind w:left="720" w:hanging="360"/>
      </w:pPr>
      <w:rPr>
        <w:rFonts w:ascii="Symbol" w:hAnsi="Symbol" w:hint="default"/>
      </w:rPr>
    </w:lvl>
    <w:lvl w:ilvl="1" w:tplc="8BCECEDC" w:tentative="1">
      <w:start w:val="1"/>
      <w:numFmt w:val="bullet"/>
      <w:lvlText w:val="o"/>
      <w:lvlJc w:val="left"/>
      <w:pPr>
        <w:ind w:left="1440" w:hanging="360"/>
      </w:pPr>
      <w:rPr>
        <w:rFonts w:ascii="Courier New" w:hAnsi="Courier New" w:cs="Courier New" w:hint="default"/>
      </w:rPr>
    </w:lvl>
    <w:lvl w:ilvl="2" w:tplc="548CD8FE" w:tentative="1">
      <w:start w:val="1"/>
      <w:numFmt w:val="bullet"/>
      <w:lvlText w:val=""/>
      <w:lvlJc w:val="left"/>
      <w:pPr>
        <w:ind w:left="2160" w:hanging="360"/>
      </w:pPr>
      <w:rPr>
        <w:rFonts w:ascii="Wingdings" w:hAnsi="Wingdings" w:hint="default"/>
      </w:rPr>
    </w:lvl>
    <w:lvl w:ilvl="3" w:tplc="1BDA0446" w:tentative="1">
      <w:start w:val="1"/>
      <w:numFmt w:val="bullet"/>
      <w:lvlText w:val=""/>
      <w:lvlJc w:val="left"/>
      <w:pPr>
        <w:ind w:left="2880" w:hanging="360"/>
      </w:pPr>
      <w:rPr>
        <w:rFonts w:ascii="Symbol" w:hAnsi="Symbol" w:hint="default"/>
      </w:rPr>
    </w:lvl>
    <w:lvl w:ilvl="4" w:tplc="361C57AE" w:tentative="1">
      <w:start w:val="1"/>
      <w:numFmt w:val="bullet"/>
      <w:lvlText w:val="o"/>
      <w:lvlJc w:val="left"/>
      <w:pPr>
        <w:ind w:left="3600" w:hanging="360"/>
      </w:pPr>
      <w:rPr>
        <w:rFonts w:ascii="Courier New" w:hAnsi="Courier New" w:cs="Courier New" w:hint="default"/>
      </w:rPr>
    </w:lvl>
    <w:lvl w:ilvl="5" w:tplc="4050C0CA" w:tentative="1">
      <w:start w:val="1"/>
      <w:numFmt w:val="bullet"/>
      <w:lvlText w:val=""/>
      <w:lvlJc w:val="left"/>
      <w:pPr>
        <w:ind w:left="4320" w:hanging="360"/>
      </w:pPr>
      <w:rPr>
        <w:rFonts w:ascii="Wingdings" w:hAnsi="Wingdings" w:hint="default"/>
      </w:rPr>
    </w:lvl>
    <w:lvl w:ilvl="6" w:tplc="8BB41D40" w:tentative="1">
      <w:start w:val="1"/>
      <w:numFmt w:val="bullet"/>
      <w:lvlText w:val=""/>
      <w:lvlJc w:val="left"/>
      <w:pPr>
        <w:ind w:left="5040" w:hanging="360"/>
      </w:pPr>
      <w:rPr>
        <w:rFonts w:ascii="Symbol" w:hAnsi="Symbol" w:hint="default"/>
      </w:rPr>
    </w:lvl>
    <w:lvl w:ilvl="7" w:tplc="97A8B794" w:tentative="1">
      <w:start w:val="1"/>
      <w:numFmt w:val="bullet"/>
      <w:lvlText w:val="o"/>
      <w:lvlJc w:val="left"/>
      <w:pPr>
        <w:ind w:left="5760" w:hanging="360"/>
      </w:pPr>
      <w:rPr>
        <w:rFonts w:ascii="Courier New" w:hAnsi="Courier New" w:cs="Courier New" w:hint="default"/>
      </w:rPr>
    </w:lvl>
    <w:lvl w:ilvl="8" w:tplc="4186081A" w:tentative="1">
      <w:start w:val="1"/>
      <w:numFmt w:val="bullet"/>
      <w:lvlText w:val=""/>
      <w:lvlJc w:val="left"/>
      <w:pPr>
        <w:ind w:left="6480" w:hanging="360"/>
      </w:pPr>
      <w:rPr>
        <w:rFonts w:ascii="Wingdings" w:hAnsi="Wingdings" w:hint="default"/>
      </w:rPr>
    </w:lvl>
  </w:abstractNum>
  <w:abstractNum w:abstractNumId="11">
    <w:nsid w:val="42557583"/>
    <w:multiLevelType w:val="multilevel"/>
    <w:tmpl w:val="EE12E03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nsid w:val="51957C56"/>
    <w:multiLevelType w:val="hybridMultilevel"/>
    <w:tmpl w:val="6810C13C"/>
    <w:lvl w:ilvl="0" w:tplc="4746CC7A">
      <w:start w:val="1"/>
      <w:numFmt w:val="bullet"/>
      <w:lvlText w:val=""/>
      <w:lvlJc w:val="left"/>
      <w:pPr>
        <w:ind w:left="360" w:hanging="360"/>
      </w:pPr>
      <w:rPr>
        <w:rFonts w:ascii="Symbol" w:hAnsi="Symbol" w:hint="default"/>
      </w:rPr>
    </w:lvl>
    <w:lvl w:ilvl="1" w:tplc="1832BB24" w:tentative="1">
      <w:start w:val="1"/>
      <w:numFmt w:val="bullet"/>
      <w:lvlText w:val="o"/>
      <w:lvlJc w:val="left"/>
      <w:pPr>
        <w:ind w:left="1080" w:hanging="360"/>
      </w:pPr>
      <w:rPr>
        <w:rFonts w:ascii="Courier New" w:hAnsi="Courier New" w:cs="Courier New" w:hint="default"/>
      </w:rPr>
    </w:lvl>
    <w:lvl w:ilvl="2" w:tplc="E38AB796" w:tentative="1">
      <w:start w:val="1"/>
      <w:numFmt w:val="bullet"/>
      <w:lvlText w:val=""/>
      <w:lvlJc w:val="left"/>
      <w:pPr>
        <w:ind w:left="1800" w:hanging="360"/>
      </w:pPr>
      <w:rPr>
        <w:rFonts w:ascii="Wingdings" w:hAnsi="Wingdings" w:hint="default"/>
      </w:rPr>
    </w:lvl>
    <w:lvl w:ilvl="3" w:tplc="9CD0602C" w:tentative="1">
      <w:start w:val="1"/>
      <w:numFmt w:val="bullet"/>
      <w:lvlText w:val=""/>
      <w:lvlJc w:val="left"/>
      <w:pPr>
        <w:ind w:left="2520" w:hanging="360"/>
      </w:pPr>
      <w:rPr>
        <w:rFonts w:ascii="Symbol" w:hAnsi="Symbol" w:hint="default"/>
      </w:rPr>
    </w:lvl>
    <w:lvl w:ilvl="4" w:tplc="04FA4ADC" w:tentative="1">
      <w:start w:val="1"/>
      <w:numFmt w:val="bullet"/>
      <w:lvlText w:val="o"/>
      <w:lvlJc w:val="left"/>
      <w:pPr>
        <w:ind w:left="3240" w:hanging="360"/>
      </w:pPr>
      <w:rPr>
        <w:rFonts w:ascii="Courier New" w:hAnsi="Courier New" w:cs="Courier New" w:hint="default"/>
      </w:rPr>
    </w:lvl>
    <w:lvl w:ilvl="5" w:tplc="2EACE4DE" w:tentative="1">
      <w:start w:val="1"/>
      <w:numFmt w:val="bullet"/>
      <w:lvlText w:val=""/>
      <w:lvlJc w:val="left"/>
      <w:pPr>
        <w:ind w:left="3960" w:hanging="360"/>
      </w:pPr>
      <w:rPr>
        <w:rFonts w:ascii="Wingdings" w:hAnsi="Wingdings" w:hint="default"/>
      </w:rPr>
    </w:lvl>
    <w:lvl w:ilvl="6" w:tplc="C1345A00" w:tentative="1">
      <w:start w:val="1"/>
      <w:numFmt w:val="bullet"/>
      <w:lvlText w:val=""/>
      <w:lvlJc w:val="left"/>
      <w:pPr>
        <w:ind w:left="4680" w:hanging="360"/>
      </w:pPr>
      <w:rPr>
        <w:rFonts w:ascii="Symbol" w:hAnsi="Symbol" w:hint="default"/>
      </w:rPr>
    </w:lvl>
    <w:lvl w:ilvl="7" w:tplc="4C54B46C" w:tentative="1">
      <w:start w:val="1"/>
      <w:numFmt w:val="bullet"/>
      <w:lvlText w:val="o"/>
      <w:lvlJc w:val="left"/>
      <w:pPr>
        <w:ind w:left="5400" w:hanging="360"/>
      </w:pPr>
      <w:rPr>
        <w:rFonts w:ascii="Courier New" w:hAnsi="Courier New" w:cs="Courier New" w:hint="default"/>
      </w:rPr>
    </w:lvl>
    <w:lvl w:ilvl="8" w:tplc="02002A10" w:tentative="1">
      <w:start w:val="1"/>
      <w:numFmt w:val="bullet"/>
      <w:lvlText w:val=""/>
      <w:lvlJc w:val="left"/>
      <w:pPr>
        <w:ind w:left="6120" w:hanging="360"/>
      </w:pPr>
      <w:rPr>
        <w:rFonts w:ascii="Wingdings" w:hAnsi="Wingdings" w:hint="default"/>
      </w:rPr>
    </w:lvl>
  </w:abstractNum>
  <w:abstractNum w:abstractNumId="13">
    <w:nsid w:val="58190A87"/>
    <w:multiLevelType w:val="hybridMultilevel"/>
    <w:tmpl w:val="2DD6DCCC"/>
    <w:lvl w:ilvl="0" w:tplc="C32C18FA">
      <w:start w:val="1"/>
      <w:numFmt w:val="bullet"/>
      <w:lvlText w:val=""/>
      <w:lvlJc w:val="left"/>
      <w:pPr>
        <w:ind w:left="360" w:hanging="360"/>
      </w:pPr>
      <w:rPr>
        <w:rFonts w:ascii="Symbol" w:hAnsi="Symbol" w:hint="default"/>
      </w:rPr>
    </w:lvl>
    <w:lvl w:ilvl="1" w:tplc="90B867A2" w:tentative="1">
      <w:start w:val="1"/>
      <w:numFmt w:val="bullet"/>
      <w:lvlText w:val="o"/>
      <w:lvlJc w:val="left"/>
      <w:pPr>
        <w:ind w:left="1080" w:hanging="360"/>
      </w:pPr>
      <w:rPr>
        <w:rFonts w:ascii="Courier New" w:hAnsi="Courier New" w:cs="Courier New" w:hint="default"/>
      </w:rPr>
    </w:lvl>
    <w:lvl w:ilvl="2" w:tplc="113A2440" w:tentative="1">
      <w:start w:val="1"/>
      <w:numFmt w:val="bullet"/>
      <w:lvlText w:val=""/>
      <w:lvlJc w:val="left"/>
      <w:pPr>
        <w:ind w:left="1800" w:hanging="360"/>
      </w:pPr>
      <w:rPr>
        <w:rFonts w:ascii="Wingdings" w:hAnsi="Wingdings" w:hint="default"/>
      </w:rPr>
    </w:lvl>
    <w:lvl w:ilvl="3" w:tplc="F0244C32" w:tentative="1">
      <w:start w:val="1"/>
      <w:numFmt w:val="bullet"/>
      <w:lvlText w:val=""/>
      <w:lvlJc w:val="left"/>
      <w:pPr>
        <w:ind w:left="2520" w:hanging="360"/>
      </w:pPr>
      <w:rPr>
        <w:rFonts w:ascii="Symbol" w:hAnsi="Symbol" w:hint="default"/>
      </w:rPr>
    </w:lvl>
    <w:lvl w:ilvl="4" w:tplc="78A6F0FE" w:tentative="1">
      <w:start w:val="1"/>
      <w:numFmt w:val="bullet"/>
      <w:lvlText w:val="o"/>
      <w:lvlJc w:val="left"/>
      <w:pPr>
        <w:ind w:left="3240" w:hanging="360"/>
      </w:pPr>
      <w:rPr>
        <w:rFonts w:ascii="Courier New" w:hAnsi="Courier New" w:cs="Courier New" w:hint="default"/>
      </w:rPr>
    </w:lvl>
    <w:lvl w:ilvl="5" w:tplc="D20EFA68" w:tentative="1">
      <w:start w:val="1"/>
      <w:numFmt w:val="bullet"/>
      <w:lvlText w:val=""/>
      <w:lvlJc w:val="left"/>
      <w:pPr>
        <w:ind w:left="3960" w:hanging="360"/>
      </w:pPr>
      <w:rPr>
        <w:rFonts w:ascii="Wingdings" w:hAnsi="Wingdings" w:hint="default"/>
      </w:rPr>
    </w:lvl>
    <w:lvl w:ilvl="6" w:tplc="071070A4" w:tentative="1">
      <w:start w:val="1"/>
      <w:numFmt w:val="bullet"/>
      <w:lvlText w:val=""/>
      <w:lvlJc w:val="left"/>
      <w:pPr>
        <w:ind w:left="4680" w:hanging="360"/>
      </w:pPr>
      <w:rPr>
        <w:rFonts w:ascii="Symbol" w:hAnsi="Symbol" w:hint="default"/>
      </w:rPr>
    </w:lvl>
    <w:lvl w:ilvl="7" w:tplc="A06A8722" w:tentative="1">
      <w:start w:val="1"/>
      <w:numFmt w:val="bullet"/>
      <w:lvlText w:val="o"/>
      <w:lvlJc w:val="left"/>
      <w:pPr>
        <w:ind w:left="5400" w:hanging="360"/>
      </w:pPr>
      <w:rPr>
        <w:rFonts w:ascii="Courier New" w:hAnsi="Courier New" w:cs="Courier New" w:hint="default"/>
      </w:rPr>
    </w:lvl>
    <w:lvl w:ilvl="8" w:tplc="CB7E3C06" w:tentative="1">
      <w:start w:val="1"/>
      <w:numFmt w:val="bullet"/>
      <w:lvlText w:val=""/>
      <w:lvlJc w:val="left"/>
      <w:pPr>
        <w:ind w:left="6120" w:hanging="360"/>
      </w:pPr>
      <w:rPr>
        <w:rFonts w:ascii="Wingdings" w:hAnsi="Wingdings" w:hint="default"/>
      </w:rPr>
    </w:lvl>
  </w:abstractNum>
  <w:abstractNum w:abstractNumId="14">
    <w:nsid w:val="5BEA5CB1"/>
    <w:multiLevelType w:val="hybridMultilevel"/>
    <w:tmpl w:val="34505CF2"/>
    <w:lvl w:ilvl="0" w:tplc="14D6DE76">
      <w:start w:val="1"/>
      <w:numFmt w:val="bullet"/>
      <w:pStyle w:val="Bullets1"/>
      <w:lvlText w:val=""/>
      <w:lvlJc w:val="left"/>
      <w:pPr>
        <w:ind w:left="360" w:hanging="360"/>
      </w:pPr>
      <w:rPr>
        <w:rFonts w:ascii="Symbol" w:hAnsi="Symbol" w:hint="default"/>
        <w:b w:val="0"/>
        <w:i w:val="0"/>
        <w:sz w:val="20"/>
      </w:rPr>
    </w:lvl>
    <w:lvl w:ilvl="1" w:tplc="D6A4D52A" w:tentative="1">
      <w:start w:val="1"/>
      <w:numFmt w:val="bullet"/>
      <w:lvlText w:val="o"/>
      <w:lvlJc w:val="left"/>
      <w:pPr>
        <w:ind w:left="1440" w:hanging="360"/>
      </w:pPr>
      <w:rPr>
        <w:rFonts w:ascii="Courier New" w:hAnsi="Courier New" w:hint="default"/>
      </w:rPr>
    </w:lvl>
    <w:lvl w:ilvl="2" w:tplc="2F7034E6" w:tentative="1">
      <w:start w:val="1"/>
      <w:numFmt w:val="bullet"/>
      <w:lvlText w:val=""/>
      <w:lvlJc w:val="left"/>
      <w:pPr>
        <w:ind w:left="2160" w:hanging="360"/>
      </w:pPr>
      <w:rPr>
        <w:rFonts w:ascii="Wingdings" w:hAnsi="Wingdings" w:hint="default"/>
      </w:rPr>
    </w:lvl>
    <w:lvl w:ilvl="3" w:tplc="C3C4B810" w:tentative="1">
      <w:start w:val="1"/>
      <w:numFmt w:val="bullet"/>
      <w:lvlText w:val=""/>
      <w:lvlJc w:val="left"/>
      <w:pPr>
        <w:ind w:left="2880" w:hanging="360"/>
      </w:pPr>
      <w:rPr>
        <w:rFonts w:ascii="Symbol" w:hAnsi="Symbol" w:hint="default"/>
      </w:rPr>
    </w:lvl>
    <w:lvl w:ilvl="4" w:tplc="F08A973C" w:tentative="1">
      <w:start w:val="1"/>
      <w:numFmt w:val="bullet"/>
      <w:lvlText w:val="o"/>
      <w:lvlJc w:val="left"/>
      <w:pPr>
        <w:ind w:left="3600" w:hanging="360"/>
      </w:pPr>
      <w:rPr>
        <w:rFonts w:ascii="Courier New" w:hAnsi="Courier New" w:hint="default"/>
      </w:rPr>
    </w:lvl>
    <w:lvl w:ilvl="5" w:tplc="88C44A98" w:tentative="1">
      <w:start w:val="1"/>
      <w:numFmt w:val="bullet"/>
      <w:lvlText w:val=""/>
      <w:lvlJc w:val="left"/>
      <w:pPr>
        <w:ind w:left="4320" w:hanging="360"/>
      </w:pPr>
      <w:rPr>
        <w:rFonts w:ascii="Wingdings" w:hAnsi="Wingdings" w:hint="default"/>
      </w:rPr>
    </w:lvl>
    <w:lvl w:ilvl="6" w:tplc="0B4CBD4A" w:tentative="1">
      <w:start w:val="1"/>
      <w:numFmt w:val="bullet"/>
      <w:lvlText w:val=""/>
      <w:lvlJc w:val="left"/>
      <w:pPr>
        <w:ind w:left="5040" w:hanging="360"/>
      </w:pPr>
      <w:rPr>
        <w:rFonts w:ascii="Symbol" w:hAnsi="Symbol" w:hint="default"/>
      </w:rPr>
    </w:lvl>
    <w:lvl w:ilvl="7" w:tplc="6254AEC4" w:tentative="1">
      <w:start w:val="1"/>
      <w:numFmt w:val="bullet"/>
      <w:lvlText w:val="o"/>
      <w:lvlJc w:val="left"/>
      <w:pPr>
        <w:ind w:left="5760" w:hanging="360"/>
      </w:pPr>
      <w:rPr>
        <w:rFonts w:ascii="Courier New" w:hAnsi="Courier New" w:hint="default"/>
      </w:rPr>
    </w:lvl>
    <w:lvl w:ilvl="8" w:tplc="0F569722" w:tentative="1">
      <w:start w:val="1"/>
      <w:numFmt w:val="bullet"/>
      <w:lvlText w:val=""/>
      <w:lvlJc w:val="left"/>
      <w:pPr>
        <w:ind w:left="6480" w:hanging="360"/>
      </w:pPr>
      <w:rPr>
        <w:rFonts w:ascii="Wingdings" w:hAnsi="Wingdings" w:hint="default"/>
      </w:rPr>
    </w:lvl>
  </w:abstractNum>
  <w:abstractNum w:abstractNumId="15">
    <w:nsid w:val="5CB25136"/>
    <w:multiLevelType w:val="hybridMultilevel"/>
    <w:tmpl w:val="1B1EAF14"/>
    <w:lvl w:ilvl="0" w:tplc="06C0612A">
      <w:start w:val="1"/>
      <w:numFmt w:val="bullet"/>
      <w:lvlText w:val=""/>
      <w:lvlJc w:val="left"/>
      <w:pPr>
        <w:ind w:left="360" w:hanging="360"/>
      </w:pPr>
      <w:rPr>
        <w:rFonts w:ascii="Symbol" w:hAnsi="Symbol" w:hint="default"/>
      </w:rPr>
    </w:lvl>
    <w:lvl w:ilvl="1" w:tplc="DCEAB9A2" w:tentative="1">
      <w:start w:val="1"/>
      <w:numFmt w:val="bullet"/>
      <w:lvlText w:val="o"/>
      <w:lvlJc w:val="left"/>
      <w:pPr>
        <w:ind w:left="1080" w:hanging="360"/>
      </w:pPr>
      <w:rPr>
        <w:rFonts w:ascii="Courier New" w:hAnsi="Courier New" w:cs="Courier New" w:hint="default"/>
      </w:rPr>
    </w:lvl>
    <w:lvl w:ilvl="2" w:tplc="0F78B5AC" w:tentative="1">
      <w:start w:val="1"/>
      <w:numFmt w:val="bullet"/>
      <w:lvlText w:val=""/>
      <w:lvlJc w:val="left"/>
      <w:pPr>
        <w:ind w:left="1800" w:hanging="360"/>
      </w:pPr>
      <w:rPr>
        <w:rFonts w:ascii="Wingdings" w:hAnsi="Wingdings" w:hint="default"/>
      </w:rPr>
    </w:lvl>
    <w:lvl w:ilvl="3" w:tplc="35CC2B6A" w:tentative="1">
      <w:start w:val="1"/>
      <w:numFmt w:val="bullet"/>
      <w:lvlText w:val=""/>
      <w:lvlJc w:val="left"/>
      <w:pPr>
        <w:ind w:left="2520" w:hanging="360"/>
      </w:pPr>
      <w:rPr>
        <w:rFonts w:ascii="Symbol" w:hAnsi="Symbol" w:hint="default"/>
      </w:rPr>
    </w:lvl>
    <w:lvl w:ilvl="4" w:tplc="C7361D62" w:tentative="1">
      <w:start w:val="1"/>
      <w:numFmt w:val="bullet"/>
      <w:lvlText w:val="o"/>
      <w:lvlJc w:val="left"/>
      <w:pPr>
        <w:ind w:left="3240" w:hanging="360"/>
      </w:pPr>
      <w:rPr>
        <w:rFonts w:ascii="Courier New" w:hAnsi="Courier New" w:cs="Courier New" w:hint="default"/>
      </w:rPr>
    </w:lvl>
    <w:lvl w:ilvl="5" w:tplc="AD4A5BF2" w:tentative="1">
      <w:start w:val="1"/>
      <w:numFmt w:val="bullet"/>
      <w:lvlText w:val=""/>
      <w:lvlJc w:val="left"/>
      <w:pPr>
        <w:ind w:left="3960" w:hanging="360"/>
      </w:pPr>
      <w:rPr>
        <w:rFonts w:ascii="Wingdings" w:hAnsi="Wingdings" w:hint="default"/>
      </w:rPr>
    </w:lvl>
    <w:lvl w:ilvl="6" w:tplc="E51ABD0E" w:tentative="1">
      <w:start w:val="1"/>
      <w:numFmt w:val="bullet"/>
      <w:lvlText w:val=""/>
      <w:lvlJc w:val="left"/>
      <w:pPr>
        <w:ind w:left="4680" w:hanging="360"/>
      </w:pPr>
      <w:rPr>
        <w:rFonts w:ascii="Symbol" w:hAnsi="Symbol" w:hint="default"/>
      </w:rPr>
    </w:lvl>
    <w:lvl w:ilvl="7" w:tplc="5A02599A" w:tentative="1">
      <w:start w:val="1"/>
      <w:numFmt w:val="bullet"/>
      <w:lvlText w:val="o"/>
      <w:lvlJc w:val="left"/>
      <w:pPr>
        <w:ind w:left="5400" w:hanging="360"/>
      </w:pPr>
      <w:rPr>
        <w:rFonts w:ascii="Courier New" w:hAnsi="Courier New" w:cs="Courier New" w:hint="default"/>
      </w:rPr>
    </w:lvl>
    <w:lvl w:ilvl="8" w:tplc="CCF091D2" w:tentative="1">
      <w:start w:val="1"/>
      <w:numFmt w:val="bullet"/>
      <w:lvlText w:val=""/>
      <w:lvlJc w:val="left"/>
      <w:pPr>
        <w:ind w:left="6120" w:hanging="360"/>
      </w:pPr>
      <w:rPr>
        <w:rFonts w:ascii="Wingdings" w:hAnsi="Wingdings" w:hint="default"/>
      </w:rPr>
    </w:lvl>
  </w:abstractNum>
  <w:abstractNum w:abstractNumId="16">
    <w:nsid w:val="60782F05"/>
    <w:multiLevelType w:val="hybridMultilevel"/>
    <w:tmpl w:val="0E8A1958"/>
    <w:lvl w:ilvl="0" w:tplc="935CB84E">
      <w:start w:val="1"/>
      <w:numFmt w:val="bullet"/>
      <w:lvlText w:val="-"/>
      <w:lvlJc w:val="left"/>
      <w:pPr>
        <w:ind w:left="360" w:hanging="360"/>
      </w:pPr>
      <w:rPr>
        <w:rFonts w:ascii="Courier New" w:hAnsi="Courier New" w:hint="default"/>
      </w:rPr>
    </w:lvl>
    <w:lvl w:ilvl="1" w:tplc="FAF404B8" w:tentative="1">
      <w:start w:val="1"/>
      <w:numFmt w:val="lowerLetter"/>
      <w:lvlText w:val="%2."/>
      <w:lvlJc w:val="left"/>
      <w:pPr>
        <w:ind w:left="1080" w:hanging="360"/>
      </w:pPr>
    </w:lvl>
    <w:lvl w:ilvl="2" w:tplc="6CD244EC" w:tentative="1">
      <w:start w:val="1"/>
      <w:numFmt w:val="lowerRoman"/>
      <w:lvlText w:val="%3."/>
      <w:lvlJc w:val="right"/>
      <w:pPr>
        <w:ind w:left="1800" w:hanging="180"/>
      </w:pPr>
    </w:lvl>
    <w:lvl w:ilvl="3" w:tplc="A2202598" w:tentative="1">
      <w:start w:val="1"/>
      <w:numFmt w:val="decimal"/>
      <w:lvlText w:val="%4."/>
      <w:lvlJc w:val="left"/>
      <w:pPr>
        <w:ind w:left="2520" w:hanging="360"/>
      </w:pPr>
    </w:lvl>
    <w:lvl w:ilvl="4" w:tplc="948A18CE" w:tentative="1">
      <w:start w:val="1"/>
      <w:numFmt w:val="lowerLetter"/>
      <w:lvlText w:val="%5."/>
      <w:lvlJc w:val="left"/>
      <w:pPr>
        <w:ind w:left="3240" w:hanging="360"/>
      </w:pPr>
    </w:lvl>
    <w:lvl w:ilvl="5" w:tplc="D766FAE2" w:tentative="1">
      <w:start w:val="1"/>
      <w:numFmt w:val="lowerRoman"/>
      <w:lvlText w:val="%6."/>
      <w:lvlJc w:val="right"/>
      <w:pPr>
        <w:ind w:left="3960" w:hanging="180"/>
      </w:pPr>
    </w:lvl>
    <w:lvl w:ilvl="6" w:tplc="68F0252C" w:tentative="1">
      <w:start w:val="1"/>
      <w:numFmt w:val="decimal"/>
      <w:lvlText w:val="%7."/>
      <w:lvlJc w:val="left"/>
      <w:pPr>
        <w:ind w:left="4680" w:hanging="360"/>
      </w:pPr>
    </w:lvl>
    <w:lvl w:ilvl="7" w:tplc="771C016C" w:tentative="1">
      <w:start w:val="1"/>
      <w:numFmt w:val="lowerLetter"/>
      <w:lvlText w:val="%8."/>
      <w:lvlJc w:val="left"/>
      <w:pPr>
        <w:ind w:left="5400" w:hanging="360"/>
      </w:pPr>
    </w:lvl>
    <w:lvl w:ilvl="8" w:tplc="E94459DC" w:tentative="1">
      <w:start w:val="1"/>
      <w:numFmt w:val="lowerRoman"/>
      <w:lvlText w:val="%9."/>
      <w:lvlJc w:val="right"/>
      <w:pPr>
        <w:ind w:left="6120" w:hanging="180"/>
      </w:pPr>
    </w:lvl>
  </w:abstractNum>
  <w:abstractNum w:abstractNumId="17">
    <w:nsid w:val="65456429"/>
    <w:multiLevelType w:val="multilevel"/>
    <w:tmpl w:val="E898CC72"/>
    <w:numStyleLink w:val="KeyPoints"/>
  </w:abstractNum>
  <w:abstractNum w:abstractNumId="18">
    <w:nsid w:val="6DAF31B3"/>
    <w:multiLevelType w:val="hybridMultilevel"/>
    <w:tmpl w:val="9F587706"/>
    <w:lvl w:ilvl="0" w:tplc="1396BDD2">
      <w:start w:val="1"/>
      <w:numFmt w:val="bullet"/>
      <w:lvlText w:val=""/>
      <w:lvlJc w:val="left"/>
      <w:pPr>
        <w:ind w:left="360" w:hanging="360"/>
      </w:pPr>
      <w:rPr>
        <w:rFonts w:ascii="Symbol" w:hAnsi="Symbol" w:hint="default"/>
      </w:rPr>
    </w:lvl>
    <w:lvl w:ilvl="1" w:tplc="CB38ACD6" w:tentative="1">
      <w:start w:val="1"/>
      <w:numFmt w:val="lowerLetter"/>
      <w:lvlText w:val="%2."/>
      <w:lvlJc w:val="left"/>
      <w:pPr>
        <w:ind w:left="1080" w:hanging="360"/>
      </w:pPr>
    </w:lvl>
    <w:lvl w:ilvl="2" w:tplc="40EAB8FE" w:tentative="1">
      <w:start w:val="1"/>
      <w:numFmt w:val="lowerRoman"/>
      <w:lvlText w:val="%3."/>
      <w:lvlJc w:val="right"/>
      <w:pPr>
        <w:ind w:left="1800" w:hanging="180"/>
      </w:pPr>
    </w:lvl>
    <w:lvl w:ilvl="3" w:tplc="80B29FD2" w:tentative="1">
      <w:start w:val="1"/>
      <w:numFmt w:val="decimal"/>
      <w:lvlText w:val="%4."/>
      <w:lvlJc w:val="left"/>
      <w:pPr>
        <w:ind w:left="2520" w:hanging="360"/>
      </w:pPr>
    </w:lvl>
    <w:lvl w:ilvl="4" w:tplc="EB3AD39A" w:tentative="1">
      <w:start w:val="1"/>
      <w:numFmt w:val="lowerLetter"/>
      <w:lvlText w:val="%5."/>
      <w:lvlJc w:val="left"/>
      <w:pPr>
        <w:ind w:left="3240" w:hanging="360"/>
      </w:pPr>
    </w:lvl>
    <w:lvl w:ilvl="5" w:tplc="539290DC" w:tentative="1">
      <w:start w:val="1"/>
      <w:numFmt w:val="lowerRoman"/>
      <w:lvlText w:val="%6."/>
      <w:lvlJc w:val="right"/>
      <w:pPr>
        <w:ind w:left="3960" w:hanging="180"/>
      </w:pPr>
    </w:lvl>
    <w:lvl w:ilvl="6" w:tplc="B5A40920" w:tentative="1">
      <w:start w:val="1"/>
      <w:numFmt w:val="decimal"/>
      <w:lvlText w:val="%7."/>
      <w:lvlJc w:val="left"/>
      <w:pPr>
        <w:ind w:left="4680" w:hanging="360"/>
      </w:pPr>
    </w:lvl>
    <w:lvl w:ilvl="7" w:tplc="792E65A0" w:tentative="1">
      <w:start w:val="1"/>
      <w:numFmt w:val="lowerLetter"/>
      <w:lvlText w:val="%8."/>
      <w:lvlJc w:val="left"/>
      <w:pPr>
        <w:ind w:left="5400" w:hanging="360"/>
      </w:pPr>
    </w:lvl>
    <w:lvl w:ilvl="8" w:tplc="3DA43212" w:tentative="1">
      <w:start w:val="1"/>
      <w:numFmt w:val="lowerRoman"/>
      <w:lvlText w:val="%9."/>
      <w:lvlJc w:val="right"/>
      <w:pPr>
        <w:ind w:left="6120" w:hanging="180"/>
      </w:pPr>
    </w:lvl>
  </w:abstractNum>
  <w:abstractNum w:abstractNumId="19">
    <w:nsid w:val="732524D9"/>
    <w:multiLevelType w:val="hybridMultilevel"/>
    <w:tmpl w:val="9050D764"/>
    <w:lvl w:ilvl="0" w:tplc="5830B58E">
      <w:start w:val="1"/>
      <w:numFmt w:val="decimal"/>
      <w:lvlText w:val="%1."/>
      <w:lvlJc w:val="left"/>
      <w:pPr>
        <w:ind w:left="360" w:hanging="360"/>
      </w:pPr>
    </w:lvl>
    <w:lvl w:ilvl="1" w:tplc="AD366390" w:tentative="1">
      <w:start w:val="1"/>
      <w:numFmt w:val="lowerLetter"/>
      <w:lvlText w:val="%2."/>
      <w:lvlJc w:val="left"/>
      <w:pPr>
        <w:ind w:left="1080" w:hanging="360"/>
      </w:pPr>
    </w:lvl>
    <w:lvl w:ilvl="2" w:tplc="EE8C00CC" w:tentative="1">
      <w:start w:val="1"/>
      <w:numFmt w:val="lowerRoman"/>
      <w:lvlText w:val="%3."/>
      <w:lvlJc w:val="right"/>
      <w:pPr>
        <w:ind w:left="1800" w:hanging="180"/>
      </w:pPr>
    </w:lvl>
    <w:lvl w:ilvl="3" w:tplc="DCB0E64E" w:tentative="1">
      <w:start w:val="1"/>
      <w:numFmt w:val="decimal"/>
      <w:lvlText w:val="%4."/>
      <w:lvlJc w:val="left"/>
      <w:pPr>
        <w:ind w:left="2520" w:hanging="360"/>
      </w:pPr>
    </w:lvl>
    <w:lvl w:ilvl="4" w:tplc="C2F4BBC8" w:tentative="1">
      <w:start w:val="1"/>
      <w:numFmt w:val="lowerLetter"/>
      <w:lvlText w:val="%5."/>
      <w:lvlJc w:val="left"/>
      <w:pPr>
        <w:ind w:left="3240" w:hanging="360"/>
      </w:pPr>
    </w:lvl>
    <w:lvl w:ilvl="5" w:tplc="5E601BBA" w:tentative="1">
      <w:start w:val="1"/>
      <w:numFmt w:val="lowerRoman"/>
      <w:lvlText w:val="%6."/>
      <w:lvlJc w:val="right"/>
      <w:pPr>
        <w:ind w:left="3960" w:hanging="180"/>
      </w:pPr>
    </w:lvl>
    <w:lvl w:ilvl="6" w:tplc="F38E4BD4" w:tentative="1">
      <w:start w:val="1"/>
      <w:numFmt w:val="decimal"/>
      <w:lvlText w:val="%7."/>
      <w:lvlJc w:val="left"/>
      <w:pPr>
        <w:ind w:left="4680" w:hanging="360"/>
      </w:pPr>
    </w:lvl>
    <w:lvl w:ilvl="7" w:tplc="6E067FDC" w:tentative="1">
      <w:start w:val="1"/>
      <w:numFmt w:val="lowerLetter"/>
      <w:lvlText w:val="%8."/>
      <w:lvlJc w:val="left"/>
      <w:pPr>
        <w:ind w:left="5400" w:hanging="360"/>
      </w:pPr>
    </w:lvl>
    <w:lvl w:ilvl="8" w:tplc="BB449238" w:tentative="1">
      <w:start w:val="1"/>
      <w:numFmt w:val="lowerRoman"/>
      <w:lvlText w:val="%9."/>
      <w:lvlJc w:val="right"/>
      <w:pPr>
        <w:ind w:left="6120" w:hanging="180"/>
      </w:pPr>
    </w:lvl>
  </w:abstractNum>
  <w:abstractNum w:abstractNumId="2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1">
    <w:nsid w:val="76E464CC"/>
    <w:multiLevelType w:val="hybridMultilevel"/>
    <w:tmpl w:val="4CDC0CC8"/>
    <w:lvl w:ilvl="0" w:tplc="1C8EEDEA">
      <w:start w:val="1"/>
      <w:numFmt w:val="bullet"/>
      <w:lvlText w:val=""/>
      <w:lvlJc w:val="left"/>
      <w:pPr>
        <w:ind w:left="360" w:hanging="360"/>
      </w:pPr>
      <w:rPr>
        <w:rFonts w:ascii="Symbol" w:hAnsi="Symbol" w:hint="default"/>
      </w:rPr>
    </w:lvl>
    <w:lvl w:ilvl="1" w:tplc="C360ED9A" w:tentative="1">
      <w:start w:val="1"/>
      <w:numFmt w:val="bullet"/>
      <w:lvlText w:val="o"/>
      <w:lvlJc w:val="left"/>
      <w:pPr>
        <w:ind w:left="1080" w:hanging="360"/>
      </w:pPr>
      <w:rPr>
        <w:rFonts w:ascii="Courier New" w:hAnsi="Courier New" w:cs="Courier New" w:hint="default"/>
      </w:rPr>
    </w:lvl>
    <w:lvl w:ilvl="2" w:tplc="EC68FC58" w:tentative="1">
      <w:start w:val="1"/>
      <w:numFmt w:val="bullet"/>
      <w:lvlText w:val=""/>
      <w:lvlJc w:val="left"/>
      <w:pPr>
        <w:ind w:left="1800" w:hanging="360"/>
      </w:pPr>
      <w:rPr>
        <w:rFonts w:ascii="Wingdings" w:hAnsi="Wingdings" w:hint="default"/>
      </w:rPr>
    </w:lvl>
    <w:lvl w:ilvl="3" w:tplc="4BBE2294" w:tentative="1">
      <w:start w:val="1"/>
      <w:numFmt w:val="bullet"/>
      <w:lvlText w:val=""/>
      <w:lvlJc w:val="left"/>
      <w:pPr>
        <w:ind w:left="2520" w:hanging="360"/>
      </w:pPr>
      <w:rPr>
        <w:rFonts w:ascii="Symbol" w:hAnsi="Symbol" w:hint="default"/>
      </w:rPr>
    </w:lvl>
    <w:lvl w:ilvl="4" w:tplc="E112F174" w:tentative="1">
      <w:start w:val="1"/>
      <w:numFmt w:val="bullet"/>
      <w:lvlText w:val="o"/>
      <w:lvlJc w:val="left"/>
      <w:pPr>
        <w:ind w:left="3240" w:hanging="360"/>
      </w:pPr>
      <w:rPr>
        <w:rFonts w:ascii="Courier New" w:hAnsi="Courier New" w:cs="Courier New" w:hint="default"/>
      </w:rPr>
    </w:lvl>
    <w:lvl w:ilvl="5" w:tplc="A776D31C" w:tentative="1">
      <w:start w:val="1"/>
      <w:numFmt w:val="bullet"/>
      <w:lvlText w:val=""/>
      <w:lvlJc w:val="left"/>
      <w:pPr>
        <w:ind w:left="3960" w:hanging="360"/>
      </w:pPr>
      <w:rPr>
        <w:rFonts w:ascii="Wingdings" w:hAnsi="Wingdings" w:hint="default"/>
      </w:rPr>
    </w:lvl>
    <w:lvl w:ilvl="6" w:tplc="5922EFFA" w:tentative="1">
      <w:start w:val="1"/>
      <w:numFmt w:val="bullet"/>
      <w:lvlText w:val=""/>
      <w:lvlJc w:val="left"/>
      <w:pPr>
        <w:ind w:left="4680" w:hanging="360"/>
      </w:pPr>
      <w:rPr>
        <w:rFonts w:ascii="Symbol" w:hAnsi="Symbol" w:hint="default"/>
      </w:rPr>
    </w:lvl>
    <w:lvl w:ilvl="7" w:tplc="DC7C230C" w:tentative="1">
      <w:start w:val="1"/>
      <w:numFmt w:val="bullet"/>
      <w:lvlText w:val="o"/>
      <w:lvlJc w:val="left"/>
      <w:pPr>
        <w:ind w:left="5400" w:hanging="360"/>
      </w:pPr>
      <w:rPr>
        <w:rFonts w:ascii="Courier New" w:hAnsi="Courier New" w:cs="Courier New" w:hint="default"/>
      </w:rPr>
    </w:lvl>
    <w:lvl w:ilvl="8" w:tplc="CA3CE3B8" w:tentative="1">
      <w:start w:val="1"/>
      <w:numFmt w:val="bullet"/>
      <w:lvlText w:val=""/>
      <w:lvlJc w:val="left"/>
      <w:pPr>
        <w:ind w:left="6120" w:hanging="360"/>
      </w:pPr>
      <w:rPr>
        <w:rFonts w:ascii="Wingdings" w:hAnsi="Wingdings" w:hint="default"/>
      </w:rPr>
    </w:lvl>
  </w:abstractNum>
  <w:num w:numId="1">
    <w:abstractNumId w:val="20"/>
  </w:num>
  <w:num w:numId="2">
    <w:abstractNumId w:val="1"/>
  </w:num>
  <w:num w:numId="3">
    <w:abstractNumId w:val="7"/>
  </w:num>
  <w:num w:numId="4">
    <w:abstractNumId w:val="5"/>
  </w:num>
  <w:num w:numId="5">
    <w:abstractNumId w:val="17"/>
  </w:num>
  <w:num w:numId="6">
    <w:abstractNumId w:val="4"/>
  </w:num>
  <w:num w:numId="7">
    <w:abstractNumId w:val="14"/>
  </w:num>
  <w:num w:numId="8">
    <w:abstractNumId w:val="17"/>
    <w:lvlOverride w:ilvl="0">
      <w:startOverride w:val="1"/>
      <w:lvl w:ilvl="0">
        <w:start w:val="1"/>
        <w:numFmt w:val="decimal"/>
        <w:pStyle w:val="ListNumber"/>
        <w:lvlText w:val="%1."/>
        <w:lvlJc w:val="left"/>
        <w:pPr>
          <w:ind w:left="369" w:hanging="369"/>
        </w:pPr>
        <w:rPr>
          <w:rFonts w:ascii="Arial" w:hAnsi="Arial" w:hint="default"/>
          <w:b w:val="0"/>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2"/>
  </w:num>
  <w:num w:numId="12">
    <w:abstractNumId w:val="11"/>
  </w:num>
  <w:num w:numId="13">
    <w:abstractNumId w:val="0"/>
  </w:num>
  <w:num w:numId="14">
    <w:abstractNumId w:val="13"/>
  </w:num>
  <w:num w:numId="15">
    <w:abstractNumId w:val="8"/>
  </w:num>
  <w:num w:numId="16">
    <w:abstractNumId w:val="6"/>
  </w:num>
  <w:num w:numId="17">
    <w:abstractNumId w:val="19"/>
  </w:num>
  <w:num w:numId="18">
    <w:abstractNumId w:val="9"/>
  </w:num>
  <w:num w:numId="19">
    <w:abstractNumId w:val="4"/>
  </w:num>
  <w:num w:numId="20">
    <w:abstractNumId w:val="4"/>
  </w:num>
  <w:num w:numId="21">
    <w:abstractNumId w:val="21"/>
  </w:num>
  <w:num w:numId="22">
    <w:abstractNumId w:val="2"/>
  </w:num>
  <w:num w:numId="23">
    <w:abstractNumId w:val="16"/>
  </w:num>
  <w:num w:numId="24">
    <w:abstractNumId w:val="18"/>
  </w:num>
  <w:num w:numId="25">
    <w:abstractNumId w:val="10"/>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grammar="clean"/>
  <w:doNotTrackMoves/>
  <w:defaultTabStop w:val="720"/>
  <w:drawingGridHorizontalSpacing w:val="10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docVars>
    <w:docVar w:name="SecurityClassificationInHeader" w:val="False"/>
  </w:docVars>
  <w:rsids>
    <w:rsidRoot w:val="0018674C"/>
    <w:rsid w:val="000023CD"/>
    <w:rsid w:val="000037CA"/>
    <w:rsid w:val="00005A9C"/>
    <w:rsid w:val="000144D0"/>
    <w:rsid w:val="00015C1F"/>
    <w:rsid w:val="00023E3C"/>
    <w:rsid w:val="000353B9"/>
    <w:rsid w:val="00042EEA"/>
    <w:rsid w:val="00045764"/>
    <w:rsid w:val="00050846"/>
    <w:rsid w:val="000679EE"/>
    <w:rsid w:val="0008159A"/>
    <w:rsid w:val="00084D13"/>
    <w:rsid w:val="0009036C"/>
    <w:rsid w:val="0009160A"/>
    <w:rsid w:val="000A2BF5"/>
    <w:rsid w:val="000B034C"/>
    <w:rsid w:val="000B05D3"/>
    <w:rsid w:val="000B2EDB"/>
    <w:rsid w:val="000B543D"/>
    <w:rsid w:val="000C4AB8"/>
    <w:rsid w:val="000C5A1F"/>
    <w:rsid w:val="000D3330"/>
    <w:rsid w:val="000D6D58"/>
    <w:rsid w:val="00102A77"/>
    <w:rsid w:val="001332DF"/>
    <w:rsid w:val="001360A0"/>
    <w:rsid w:val="00140247"/>
    <w:rsid w:val="00141511"/>
    <w:rsid w:val="00142921"/>
    <w:rsid w:val="00142F62"/>
    <w:rsid w:val="00147098"/>
    <w:rsid w:val="001503C6"/>
    <w:rsid w:val="001545B9"/>
    <w:rsid w:val="001553D1"/>
    <w:rsid w:val="001553DE"/>
    <w:rsid w:val="001648DB"/>
    <w:rsid w:val="00170185"/>
    <w:rsid w:val="0018184A"/>
    <w:rsid w:val="0018674C"/>
    <w:rsid w:val="001D4E39"/>
    <w:rsid w:val="001D63DC"/>
    <w:rsid w:val="001F6261"/>
    <w:rsid w:val="00204645"/>
    <w:rsid w:val="002117DA"/>
    <w:rsid w:val="00212141"/>
    <w:rsid w:val="002269C6"/>
    <w:rsid w:val="002336BB"/>
    <w:rsid w:val="00235A15"/>
    <w:rsid w:val="002547D2"/>
    <w:rsid w:val="00257546"/>
    <w:rsid w:val="002620A8"/>
    <w:rsid w:val="00280B8F"/>
    <w:rsid w:val="00281287"/>
    <w:rsid w:val="00285AA6"/>
    <w:rsid w:val="00295DDC"/>
    <w:rsid w:val="002A3845"/>
    <w:rsid w:val="002A3B89"/>
    <w:rsid w:val="002C4C78"/>
    <w:rsid w:val="002C77DF"/>
    <w:rsid w:val="002D204A"/>
    <w:rsid w:val="002D3186"/>
    <w:rsid w:val="002E577F"/>
    <w:rsid w:val="002E7A59"/>
    <w:rsid w:val="002F5789"/>
    <w:rsid w:val="00301097"/>
    <w:rsid w:val="00301F67"/>
    <w:rsid w:val="00302F73"/>
    <w:rsid w:val="00304463"/>
    <w:rsid w:val="00306199"/>
    <w:rsid w:val="0032195B"/>
    <w:rsid w:val="00324BC4"/>
    <w:rsid w:val="00324DE9"/>
    <w:rsid w:val="00327A77"/>
    <w:rsid w:val="00327CA4"/>
    <w:rsid w:val="00345E38"/>
    <w:rsid w:val="00350990"/>
    <w:rsid w:val="0035132E"/>
    <w:rsid w:val="00360774"/>
    <w:rsid w:val="00384D86"/>
    <w:rsid w:val="00385674"/>
    <w:rsid w:val="003A6FBF"/>
    <w:rsid w:val="003A7A9B"/>
    <w:rsid w:val="003B20C9"/>
    <w:rsid w:val="003B465A"/>
    <w:rsid w:val="003B6CF1"/>
    <w:rsid w:val="003C4CD4"/>
    <w:rsid w:val="003E152C"/>
    <w:rsid w:val="003E2FEA"/>
    <w:rsid w:val="003F22DB"/>
    <w:rsid w:val="003F28B2"/>
    <w:rsid w:val="003F645D"/>
    <w:rsid w:val="00412D78"/>
    <w:rsid w:val="004425E6"/>
    <w:rsid w:val="00443513"/>
    <w:rsid w:val="004576BF"/>
    <w:rsid w:val="00464D3F"/>
    <w:rsid w:val="004708C9"/>
    <w:rsid w:val="00482E8A"/>
    <w:rsid w:val="004920FE"/>
    <w:rsid w:val="004A3FA3"/>
    <w:rsid w:val="004C4A24"/>
    <w:rsid w:val="004D69BD"/>
    <w:rsid w:val="004E22EA"/>
    <w:rsid w:val="004F14C7"/>
    <w:rsid w:val="004F5DBD"/>
    <w:rsid w:val="004F6568"/>
    <w:rsid w:val="00501699"/>
    <w:rsid w:val="00502E2D"/>
    <w:rsid w:val="005039A0"/>
    <w:rsid w:val="00504DF0"/>
    <w:rsid w:val="00520120"/>
    <w:rsid w:val="00531C8B"/>
    <w:rsid w:val="0053282E"/>
    <w:rsid w:val="005472C0"/>
    <w:rsid w:val="00573265"/>
    <w:rsid w:val="00586CAD"/>
    <w:rsid w:val="005A0378"/>
    <w:rsid w:val="005B520E"/>
    <w:rsid w:val="005B7EA0"/>
    <w:rsid w:val="005C01C8"/>
    <w:rsid w:val="005C14BF"/>
    <w:rsid w:val="005C263F"/>
    <w:rsid w:val="005C2C69"/>
    <w:rsid w:val="005C4687"/>
    <w:rsid w:val="005D6A26"/>
    <w:rsid w:val="005E2592"/>
    <w:rsid w:val="005F02A1"/>
    <w:rsid w:val="006005A9"/>
    <w:rsid w:val="006305E7"/>
    <w:rsid w:val="00633874"/>
    <w:rsid w:val="006706DA"/>
    <w:rsid w:val="00680FBD"/>
    <w:rsid w:val="006934AD"/>
    <w:rsid w:val="00695372"/>
    <w:rsid w:val="006A5938"/>
    <w:rsid w:val="006A6DA6"/>
    <w:rsid w:val="006B159E"/>
    <w:rsid w:val="006B1E42"/>
    <w:rsid w:val="006B4AD4"/>
    <w:rsid w:val="006C1933"/>
    <w:rsid w:val="006D3DAF"/>
    <w:rsid w:val="006E50A3"/>
    <w:rsid w:val="006F2CE3"/>
    <w:rsid w:val="006F3CD0"/>
    <w:rsid w:val="00700E6E"/>
    <w:rsid w:val="007024BF"/>
    <w:rsid w:val="00710A01"/>
    <w:rsid w:val="00726301"/>
    <w:rsid w:val="0073303C"/>
    <w:rsid w:val="00743844"/>
    <w:rsid w:val="00751AD6"/>
    <w:rsid w:val="00763DAB"/>
    <w:rsid w:val="007711F4"/>
    <w:rsid w:val="00785E2F"/>
    <w:rsid w:val="0079539F"/>
    <w:rsid w:val="007A16C1"/>
    <w:rsid w:val="007A7E87"/>
    <w:rsid w:val="007B6F17"/>
    <w:rsid w:val="007C20F9"/>
    <w:rsid w:val="007C3A9F"/>
    <w:rsid w:val="007D52B3"/>
    <w:rsid w:val="007D59A8"/>
    <w:rsid w:val="007D672B"/>
    <w:rsid w:val="007D68D4"/>
    <w:rsid w:val="007E56D8"/>
    <w:rsid w:val="007E6E07"/>
    <w:rsid w:val="007F04A3"/>
    <w:rsid w:val="0080590A"/>
    <w:rsid w:val="00812091"/>
    <w:rsid w:val="00815A85"/>
    <w:rsid w:val="008215C3"/>
    <w:rsid w:val="00824B6E"/>
    <w:rsid w:val="00836E2B"/>
    <w:rsid w:val="00863259"/>
    <w:rsid w:val="00874A8B"/>
    <w:rsid w:val="00877D57"/>
    <w:rsid w:val="00883571"/>
    <w:rsid w:val="00887DE7"/>
    <w:rsid w:val="00894242"/>
    <w:rsid w:val="008A0AFE"/>
    <w:rsid w:val="008D5394"/>
    <w:rsid w:val="008E0F7D"/>
    <w:rsid w:val="008E59C4"/>
    <w:rsid w:val="008E5BF9"/>
    <w:rsid w:val="008F26D4"/>
    <w:rsid w:val="008F6608"/>
    <w:rsid w:val="009016CF"/>
    <w:rsid w:val="009045A3"/>
    <w:rsid w:val="0090711C"/>
    <w:rsid w:val="009149B8"/>
    <w:rsid w:val="009200F0"/>
    <w:rsid w:val="00923117"/>
    <w:rsid w:val="00930A5C"/>
    <w:rsid w:val="0093219E"/>
    <w:rsid w:val="00932506"/>
    <w:rsid w:val="009461CA"/>
    <w:rsid w:val="0094761E"/>
    <w:rsid w:val="00947832"/>
    <w:rsid w:val="009512A9"/>
    <w:rsid w:val="009513EA"/>
    <w:rsid w:val="00961052"/>
    <w:rsid w:val="009637D9"/>
    <w:rsid w:val="0097369A"/>
    <w:rsid w:val="009925AF"/>
    <w:rsid w:val="009961E8"/>
    <w:rsid w:val="009A511C"/>
    <w:rsid w:val="009B3516"/>
    <w:rsid w:val="009C6583"/>
    <w:rsid w:val="009D4E61"/>
    <w:rsid w:val="009E2B95"/>
    <w:rsid w:val="009E3120"/>
    <w:rsid w:val="009F1765"/>
    <w:rsid w:val="009F275F"/>
    <w:rsid w:val="009F4465"/>
    <w:rsid w:val="009F5DDA"/>
    <w:rsid w:val="00A01CB1"/>
    <w:rsid w:val="00A04AFC"/>
    <w:rsid w:val="00A20931"/>
    <w:rsid w:val="00A2157E"/>
    <w:rsid w:val="00A26CAC"/>
    <w:rsid w:val="00A33A91"/>
    <w:rsid w:val="00A53EBC"/>
    <w:rsid w:val="00AA028A"/>
    <w:rsid w:val="00AB2D22"/>
    <w:rsid w:val="00AD156E"/>
    <w:rsid w:val="00AD25E2"/>
    <w:rsid w:val="00AD4704"/>
    <w:rsid w:val="00AF26C1"/>
    <w:rsid w:val="00AF7CC4"/>
    <w:rsid w:val="00B0215D"/>
    <w:rsid w:val="00B02287"/>
    <w:rsid w:val="00B028F4"/>
    <w:rsid w:val="00B17E32"/>
    <w:rsid w:val="00B23851"/>
    <w:rsid w:val="00B25668"/>
    <w:rsid w:val="00B26F0F"/>
    <w:rsid w:val="00B3718A"/>
    <w:rsid w:val="00B37FFD"/>
    <w:rsid w:val="00B4477F"/>
    <w:rsid w:val="00B51364"/>
    <w:rsid w:val="00B516AB"/>
    <w:rsid w:val="00B5265B"/>
    <w:rsid w:val="00B54302"/>
    <w:rsid w:val="00B55F87"/>
    <w:rsid w:val="00B56251"/>
    <w:rsid w:val="00B61F6D"/>
    <w:rsid w:val="00B674C7"/>
    <w:rsid w:val="00B73D92"/>
    <w:rsid w:val="00B747E6"/>
    <w:rsid w:val="00B77F2A"/>
    <w:rsid w:val="00B83FE4"/>
    <w:rsid w:val="00B850CB"/>
    <w:rsid w:val="00B854C6"/>
    <w:rsid w:val="00B923C7"/>
    <w:rsid w:val="00B92C1F"/>
    <w:rsid w:val="00B96D17"/>
    <w:rsid w:val="00BA6257"/>
    <w:rsid w:val="00BB6600"/>
    <w:rsid w:val="00BB6962"/>
    <w:rsid w:val="00BB7A4E"/>
    <w:rsid w:val="00BD2009"/>
    <w:rsid w:val="00BD2AAA"/>
    <w:rsid w:val="00BD5484"/>
    <w:rsid w:val="00BE53CF"/>
    <w:rsid w:val="00C0048E"/>
    <w:rsid w:val="00C01010"/>
    <w:rsid w:val="00C1420F"/>
    <w:rsid w:val="00C16825"/>
    <w:rsid w:val="00C21526"/>
    <w:rsid w:val="00C24049"/>
    <w:rsid w:val="00C2588B"/>
    <w:rsid w:val="00C30AA2"/>
    <w:rsid w:val="00C33BE6"/>
    <w:rsid w:val="00C3478F"/>
    <w:rsid w:val="00C355EB"/>
    <w:rsid w:val="00C35855"/>
    <w:rsid w:val="00C35C7A"/>
    <w:rsid w:val="00C364D4"/>
    <w:rsid w:val="00C4319F"/>
    <w:rsid w:val="00C4323C"/>
    <w:rsid w:val="00C46C6D"/>
    <w:rsid w:val="00C512DA"/>
    <w:rsid w:val="00C578D0"/>
    <w:rsid w:val="00C622CB"/>
    <w:rsid w:val="00C642CF"/>
    <w:rsid w:val="00C73A51"/>
    <w:rsid w:val="00C8362B"/>
    <w:rsid w:val="00C87880"/>
    <w:rsid w:val="00CA13A8"/>
    <w:rsid w:val="00CA455B"/>
    <w:rsid w:val="00CA61E5"/>
    <w:rsid w:val="00CB2F82"/>
    <w:rsid w:val="00CB3824"/>
    <w:rsid w:val="00CB7994"/>
    <w:rsid w:val="00CD07C4"/>
    <w:rsid w:val="00CD1CE8"/>
    <w:rsid w:val="00CD3A00"/>
    <w:rsid w:val="00CD51B1"/>
    <w:rsid w:val="00CD7C4E"/>
    <w:rsid w:val="00CD7E49"/>
    <w:rsid w:val="00CE1D76"/>
    <w:rsid w:val="00CE5A5A"/>
    <w:rsid w:val="00CF28D7"/>
    <w:rsid w:val="00D02926"/>
    <w:rsid w:val="00D0501E"/>
    <w:rsid w:val="00D066C8"/>
    <w:rsid w:val="00D105F5"/>
    <w:rsid w:val="00D1406A"/>
    <w:rsid w:val="00D1439D"/>
    <w:rsid w:val="00D212FC"/>
    <w:rsid w:val="00D341F1"/>
    <w:rsid w:val="00D357F9"/>
    <w:rsid w:val="00D368C3"/>
    <w:rsid w:val="00D51020"/>
    <w:rsid w:val="00D528CA"/>
    <w:rsid w:val="00D77A87"/>
    <w:rsid w:val="00D962B6"/>
    <w:rsid w:val="00DC3D9B"/>
    <w:rsid w:val="00DF1BA3"/>
    <w:rsid w:val="00E136CD"/>
    <w:rsid w:val="00E23046"/>
    <w:rsid w:val="00E25553"/>
    <w:rsid w:val="00E5073E"/>
    <w:rsid w:val="00E5141B"/>
    <w:rsid w:val="00E556F4"/>
    <w:rsid w:val="00E73F87"/>
    <w:rsid w:val="00E80F1B"/>
    <w:rsid w:val="00E83536"/>
    <w:rsid w:val="00E87462"/>
    <w:rsid w:val="00E939B3"/>
    <w:rsid w:val="00EA1A79"/>
    <w:rsid w:val="00EA6993"/>
    <w:rsid w:val="00EA7856"/>
    <w:rsid w:val="00EB708C"/>
    <w:rsid w:val="00EC17DD"/>
    <w:rsid w:val="00EC23ED"/>
    <w:rsid w:val="00EC420B"/>
    <w:rsid w:val="00EE7A59"/>
    <w:rsid w:val="00EF2420"/>
    <w:rsid w:val="00EF68F7"/>
    <w:rsid w:val="00F01CBE"/>
    <w:rsid w:val="00F07F32"/>
    <w:rsid w:val="00F105C8"/>
    <w:rsid w:val="00F172BA"/>
    <w:rsid w:val="00F304A9"/>
    <w:rsid w:val="00F308F2"/>
    <w:rsid w:val="00F31066"/>
    <w:rsid w:val="00F42D0E"/>
    <w:rsid w:val="00F5743C"/>
    <w:rsid w:val="00F770C8"/>
    <w:rsid w:val="00F80C17"/>
    <w:rsid w:val="00F83A21"/>
    <w:rsid w:val="00FA494C"/>
    <w:rsid w:val="00FA7C5A"/>
    <w:rsid w:val="00FB4858"/>
    <w:rsid w:val="00FE4B1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Default Paragraph Font" w:uiPriority="1"/>
    <w:lsdException w:name="Body Text" w:uiPriority="0"/>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EB25F0"/>
    <w:pPr>
      <w:spacing w:after="200" w:line="276" w:lineRule="auto"/>
    </w:pPr>
    <w:rPr>
      <w:szCs w:val="22"/>
      <w:lang w:eastAsia="en-US"/>
    </w:rPr>
  </w:style>
  <w:style w:type="paragraph" w:styleId="Heading1">
    <w:name w:val="heading 1"/>
    <w:basedOn w:val="Normal"/>
    <w:next w:val="Normal"/>
    <w:link w:val="Heading1Char"/>
    <w:uiPriority w:val="9"/>
    <w:qFormat/>
    <w:rsid w:val="009200F0"/>
    <w:pPr>
      <w:keepNext/>
      <w:outlineLvl w:val="0"/>
    </w:pPr>
    <w:rPr>
      <w:rFonts w:cs="Arial"/>
      <w:color w:val="002060"/>
      <w:sz w:val="52"/>
      <w:szCs w:val="40"/>
    </w:rPr>
  </w:style>
  <w:style w:type="paragraph" w:styleId="Heading2">
    <w:name w:val="heading 2"/>
    <w:basedOn w:val="Normal"/>
    <w:next w:val="Normal"/>
    <w:link w:val="Heading2Char"/>
    <w:uiPriority w:val="9"/>
    <w:qFormat/>
    <w:rsid w:val="00AA028A"/>
    <w:pPr>
      <w:keepNext/>
      <w:outlineLvl w:val="1"/>
    </w:pPr>
    <w:rPr>
      <w:rFonts w:cs="Arial"/>
      <w:color w:val="7F7F7F" w:themeColor="text1" w:themeTint="80"/>
      <w:sz w:val="32"/>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paragraph" w:styleId="Heading5">
    <w:name w:val="heading 5"/>
    <w:basedOn w:val="Normal"/>
    <w:next w:val="Normal"/>
    <w:link w:val="Heading5Char"/>
    <w:uiPriority w:val="9"/>
    <w:semiHidden/>
    <w:unhideWhenUsed/>
    <w:rsid w:val="003B20C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20C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20C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20C9"/>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B20C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9200F0"/>
    <w:rPr>
      <w:rFonts w:cs="Arial"/>
      <w:color w:val="002060"/>
      <w:sz w:val="52"/>
      <w:szCs w:val="40"/>
      <w:lang w:eastAsia="en-US"/>
    </w:rPr>
  </w:style>
  <w:style w:type="character" w:customStyle="1" w:styleId="Heading2Char">
    <w:name w:val="Heading 2 Char"/>
    <w:basedOn w:val="DefaultParagraphFont"/>
    <w:link w:val="Heading2"/>
    <w:uiPriority w:val="9"/>
    <w:rsid w:val="00AA028A"/>
    <w:rPr>
      <w:rFonts w:cs="Arial"/>
      <w:color w:val="7F7F7F" w:themeColor="text1" w:themeTint="80"/>
      <w:sz w:val="3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7A252C"/>
    <w:pPr>
      <w:spacing w:after="80"/>
    </w:pPr>
    <w:rPr>
      <w:b/>
      <w:bCs/>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bCs/>
      <w:szCs w:val="28"/>
      <w:lang w:val="en-US"/>
    </w:rPr>
  </w:style>
  <w:style w:type="paragraph" w:styleId="TOC1">
    <w:name w:val="toc 1"/>
    <w:basedOn w:val="Normal"/>
    <w:next w:val="Normal"/>
    <w:autoRedefine/>
    <w:uiPriority w:val="39"/>
    <w:unhideWhenUsed/>
    <w:qFormat/>
    <w:rsid w:val="009402F8"/>
    <w:pPr>
      <w:tabs>
        <w:tab w:val="left" w:pos="426"/>
        <w:tab w:val="right" w:leader="dot" w:pos="9202"/>
      </w:tabs>
      <w:spacing w:after="100"/>
    </w:pPr>
    <w:rPr>
      <w:b/>
    </w:rPr>
  </w:style>
  <w:style w:type="paragraph" w:styleId="TOC2">
    <w:name w:val="toc 2"/>
    <w:basedOn w:val="Normal"/>
    <w:next w:val="Normal"/>
    <w:autoRedefine/>
    <w:uiPriority w:val="39"/>
    <w:unhideWhenUsed/>
    <w:qFormat/>
    <w:rsid w:val="00B21E8D"/>
    <w:pPr>
      <w:tabs>
        <w:tab w:val="left" w:pos="567"/>
        <w:tab w:val="right" w:leader="dot" w:pos="9202"/>
      </w:tabs>
      <w:spacing w:after="100"/>
      <w:ind w:left="220"/>
    </w:pPr>
  </w:style>
  <w:style w:type="paragraph" w:styleId="TOC3">
    <w:name w:val="toc 3"/>
    <w:basedOn w:val="Normal"/>
    <w:next w:val="Normal"/>
    <w:autoRedefine/>
    <w:uiPriority w:val="39"/>
    <w:unhideWhenUsed/>
    <w:qFormat/>
    <w:rsid w:val="0094761E"/>
    <w:pPr>
      <w:tabs>
        <w:tab w:val="right" w:leader="dot" w:pos="9202"/>
      </w:tabs>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EB25F0"/>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EB25F0"/>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EB25F0"/>
    <w:rPr>
      <w:rFonts w:ascii="Arial Bold" w:hAnsi="Arial Bold" w:cs="Arial-BoldMT"/>
      <w:bCs/>
    </w:rPr>
  </w:style>
  <w:style w:type="paragraph" w:styleId="BodyText">
    <w:name w:val="Body Text"/>
    <w:basedOn w:val="Normal"/>
    <w:link w:val="BodyTextChar1"/>
    <w:rsid w:val="00EB25F0"/>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uiPriority w:val="99"/>
    <w:semiHidden/>
    <w:rsid w:val="00EB25F0"/>
    <w:rPr>
      <w:szCs w:val="22"/>
      <w:lang w:eastAsia="en-US"/>
    </w:rPr>
  </w:style>
  <w:style w:type="character" w:customStyle="1" w:styleId="BodyTextChar1">
    <w:name w:val="Body Text Char1"/>
    <w:link w:val="BodyText"/>
    <w:rsid w:val="00EB25F0"/>
    <w:rPr>
      <w:rFonts w:ascii="Times New Roman" w:eastAsia="Times New Roman" w:hAnsi="Times New Roman"/>
      <w:szCs w:val="28"/>
      <w:lang w:eastAsia="en-US"/>
    </w:rPr>
  </w:style>
  <w:style w:type="paragraph" w:customStyle="1" w:styleId="Subhead2">
    <w:name w:val="Subhead 2"/>
    <w:basedOn w:val="Normal"/>
    <w:autoRedefine/>
    <w:uiPriority w:val="99"/>
    <w:rsid w:val="00EB25F0"/>
    <w:pPr>
      <w:widowControl w:val="0"/>
      <w:suppressAutoHyphens/>
      <w:autoSpaceDE w:val="0"/>
      <w:autoSpaceDN w:val="0"/>
      <w:adjustRightInd w:val="0"/>
      <w:spacing w:before="283" w:after="0" w:line="320" w:lineRule="atLeast"/>
      <w:textAlignment w:val="center"/>
    </w:pPr>
    <w:rPr>
      <w:rFonts w:eastAsia="Times New Roman" w:cs="Arial"/>
      <w:b/>
      <w:bCs/>
      <w:color w:val="000000"/>
      <w:spacing w:val="-6"/>
      <w:sz w:val="22"/>
      <w:lang w:val="en-US"/>
    </w:rPr>
  </w:style>
  <w:style w:type="character" w:customStyle="1" w:styleId="TextItalic">
    <w:name w:val="Text Italic"/>
    <w:uiPriority w:val="99"/>
    <w:rsid w:val="00EB25F0"/>
    <w:rPr>
      <w:rFonts w:ascii="Arial Italic" w:hAnsi="Arial Italic" w:cs="Arial-ItalicMT"/>
      <w:iCs/>
    </w:rPr>
  </w:style>
  <w:style w:type="paragraph" w:customStyle="1" w:styleId="Subhead1">
    <w:name w:val="Subhead 1"/>
    <w:basedOn w:val="Normal"/>
    <w:link w:val="Subhead1Char"/>
    <w:uiPriority w:val="99"/>
    <w:rsid w:val="00EB25F0"/>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EB25F0"/>
    <w:pPr>
      <w:numPr>
        <w:numId w:val="7"/>
      </w:numPr>
      <w:tabs>
        <w:tab w:val="clear" w:pos="993"/>
        <w:tab w:val="clear" w:pos="8222"/>
      </w:tabs>
      <w:spacing w:before="57"/>
      <w:ind w:left="227" w:hanging="227"/>
    </w:pPr>
  </w:style>
  <w:style w:type="paragraph" w:styleId="CommentText">
    <w:name w:val="annotation text"/>
    <w:basedOn w:val="Normal"/>
    <w:link w:val="CommentTextChar"/>
    <w:uiPriority w:val="99"/>
    <w:rsid w:val="00EB25F0"/>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uiPriority w:val="99"/>
    <w:rsid w:val="00EB25F0"/>
    <w:rPr>
      <w:rFonts w:ascii="Times New Roman" w:eastAsia="Times New Roman" w:hAnsi="Times New Roman"/>
      <w:lang w:eastAsia="en-US"/>
    </w:rPr>
  </w:style>
  <w:style w:type="character" w:styleId="CommentReference">
    <w:name w:val="annotation reference"/>
    <w:uiPriority w:val="99"/>
    <w:rsid w:val="00EB25F0"/>
    <w:rPr>
      <w:rFonts w:cs="Times New Roman"/>
      <w:sz w:val="16"/>
      <w:szCs w:val="16"/>
    </w:rPr>
  </w:style>
  <w:style w:type="paragraph" w:styleId="NormalWeb">
    <w:name w:val="Normal (Web)"/>
    <w:basedOn w:val="Normal"/>
    <w:uiPriority w:val="99"/>
    <w:unhideWhenUsed/>
    <w:rsid w:val="00EB25F0"/>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deTtext">
    <w:name w:val="PdeT text"/>
    <w:basedOn w:val="BodyText"/>
    <w:link w:val="PdeTtextChar"/>
    <w:uiPriority w:val="99"/>
    <w:rsid w:val="00EB25F0"/>
    <w:pPr>
      <w:spacing w:after="120" w:line="260" w:lineRule="exact"/>
      <w:jc w:val="both"/>
    </w:pPr>
    <w:rPr>
      <w:rFonts w:ascii="Calibri" w:hAnsi="Calibri"/>
      <w:b/>
      <w:sz w:val="22"/>
      <w:szCs w:val="22"/>
      <w:lang w:bidi="en-US"/>
    </w:rPr>
  </w:style>
  <w:style w:type="character" w:customStyle="1" w:styleId="PdeTtextChar">
    <w:name w:val="PdeT text Char"/>
    <w:basedOn w:val="DefaultParagraphFont"/>
    <w:link w:val="PdeTtext"/>
    <w:uiPriority w:val="99"/>
    <w:locked/>
    <w:rsid w:val="00EB25F0"/>
    <w:rPr>
      <w:rFonts w:ascii="Calibri" w:eastAsia="Times New Roman" w:hAnsi="Calibri"/>
      <w:b/>
      <w:sz w:val="22"/>
      <w:szCs w:val="22"/>
      <w:lang w:eastAsia="en-US" w:bidi="en-US"/>
    </w:rPr>
  </w:style>
  <w:style w:type="paragraph" w:customStyle="1" w:styleId="contentstitles">
    <w:name w:val="contents titles"/>
    <w:basedOn w:val="Subhead1"/>
    <w:qFormat/>
    <w:rsid w:val="00EB25F0"/>
  </w:style>
  <w:style w:type="character" w:customStyle="1" w:styleId="Subhead1Char">
    <w:name w:val="Subhead 1 Char"/>
    <w:basedOn w:val="DefaultParagraphFont"/>
    <w:link w:val="Subhead1"/>
    <w:uiPriority w:val="99"/>
    <w:rsid w:val="00EB25F0"/>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EB25F0"/>
    <w:pPr>
      <w:spacing w:after="0"/>
    </w:pPr>
  </w:style>
  <w:style w:type="character" w:styleId="Strong">
    <w:name w:val="Strong"/>
    <w:basedOn w:val="DefaultParagraphFont"/>
    <w:uiPriority w:val="22"/>
    <w:qFormat/>
    <w:rsid w:val="00EB25F0"/>
    <w:rPr>
      <w:b/>
      <w:bCs/>
    </w:rPr>
  </w:style>
  <w:style w:type="character" w:customStyle="1" w:styleId="ng-scope">
    <w:name w:val="ng-scope"/>
    <w:basedOn w:val="DefaultParagraphFont"/>
    <w:rsid w:val="00EB25F0"/>
  </w:style>
  <w:style w:type="paragraph" w:styleId="CommentSubject">
    <w:name w:val="annotation subject"/>
    <w:basedOn w:val="CommentText"/>
    <w:next w:val="CommentText"/>
    <w:link w:val="CommentSubjectChar"/>
    <w:uiPriority w:val="99"/>
    <w:semiHidden/>
    <w:unhideWhenUsed/>
    <w:rsid w:val="00EB25F0"/>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B25F0"/>
    <w:rPr>
      <w:rFonts w:ascii="Times New Roman" w:eastAsia="Times New Roman" w:hAnsi="Times New Roman"/>
      <w:b/>
      <w:bCs/>
      <w:lang w:eastAsia="en-US"/>
    </w:rPr>
  </w:style>
  <w:style w:type="paragraph" w:customStyle="1" w:styleId="Default">
    <w:name w:val="Default"/>
    <w:rsid w:val="00EB25F0"/>
    <w:pPr>
      <w:autoSpaceDE w:val="0"/>
      <w:autoSpaceDN w:val="0"/>
      <w:adjustRightInd w:val="0"/>
    </w:pPr>
    <w:rPr>
      <w:rFonts w:cs="Arial"/>
      <w:color w:val="000000"/>
      <w:sz w:val="24"/>
      <w:szCs w:val="24"/>
    </w:rPr>
  </w:style>
  <w:style w:type="character" w:styleId="Emphasis">
    <w:name w:val="Emphasis"/>
    <w:basedOn w:val="DefaultParagraphFont"/>
    <w:uiPriority w:val="20"/>
    <w:qFormat/>
    <w:rsid w:val="00EB25F0"/>
    <w:rPr>
      <w:b/>
      <w:bCs/>
      <w:i w:val="0"/>
      <w:iCs w:val="0"/>
    </w:rPr>
  </w:style>
  <w:style w:type="character" w:customStyle="1" w:styleId="st1">
    <w:name w:val="st1"/>
    <w:basedOn w:val="DefaultParagraphFont"/>
    <w:rsid w:val="00EB25F0"/>
  </w:style>
  <w:style w:type="paragraph" w:customStyle="1" w:styleId="Char1">
    <w:name w:val="Char1"/>
    <w:basedOn w:val="Normal"/>
    <w:rsid w:val="00BB3D5A"/>
    <w:pPr>
      <w:spacing w:after="160" w:line="240" w:lineRule="exact"/>
    </w:pPr>
    <w:rPr>
      <w:rFonts w:ascii="Tahoma" w:eastAsia="Times New Roman" w:hAnsi="Tahoma" w:cs="Tahoma"/>
      <w:szCs w:val="20"/>
      <w:lang w:val="en-US"/>
    </w:rPr>
  </w:style>
  <w:style w:type="paragraph" w:styleId="z-TopofForm">
    <w:name w:val="HTML Top of Form"/>
    <w:basedOn w:val="Normal"/>
    <w:next w:val="Normal"/>
    <w:link w:val="z-TopofFormChar"/>
    <w:hidden/>
    <w:uiPriority w:val="99"/>
    <w:semiHidden/>
    <w:unhideWhenUsed/>
    <w:rsid w:val="003F0E63"/>
    <w:pPr>
      <w:pBdr>
        <w:bottom w:val="single" w:sz="6" w:space="1" w:color="auto"/>
      </w:pBdr>
      <w:spacing w:after="0" w:line="240" w:lineRule="auto"/>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3F0E63"/>
    <w:rPr>
      <w:rFonts w:eastAsia="Times New Roman" w:cs="Arial"/>
      <w:vanish/>
      <w:sz w:val="16"/>
      <w:szCs w:val="16"/>
    </w:rPr>
  </w:style>
  <w:style w:type="paragraph" w:styleId="z-BottomofForm">
    <w:name w:val="HTML Bottom of Form"/>
    <w:basedOn w:val="Normal"/>
    <w:next w:val="Normal"/>
    <w:link w:val="z-BottomofFormChar"/>
    <w:hidden/>
    <w:uiPriority w:val="99"/>
    <w:semiHidden/>
    <w:unhideWhenUsed/>
    <w:rsid w:val="003F0E63"/>
    <w:pPr>
      <w:pBdr>
        <w:top w:val="single" w:sz="6" w:space="1" w:color="auto"/>
      </w:pBdr>
      <w:spacing w:after="0" w:line="240" w:lineRule="auto"/>
      <w:jc w:val="center"/>
    </w:pPr>
    <w:rPr>
      <w:rFonts w:eastAsia="Times New Roman" w:cs="Arial"/>
      <w:vanish/>
      <w:sz w:val="16"/>
      <w:szCs w:val="16"/>
      <w:lang w:eastAsia="en-AU"/>
    </w:rPr>
  </w:style>
  <w:style w:type="character" w:customStyle="1" w:styleId="z-BottomofFormChar">
    <w:name w:val="z-Bottom of Form Char"/>
    <w:basedOn w:val="DefaultParagraphFont"/>
    <w:link w:val="z-BottomofForm"/>
    <w:uiPriority w:val="99"/>
    <w:semiHidden/>
    <w:rsid w:val="003F0E63"/>
    <w:rPr>
      <w:rFonts w:eastAsia="Times New Roman" w:cs="Arial"/>
      <w:vanish/>
      <w:sz w:val="16"/>
      <w:szCs w:val="16"/>
    </w:rPr>
  </w:style>
  <w:style w:type="character" w:customStyle="1" w:styleId="iucn">
    <w:name w:val="iucn"/>
    <w:basedOn w:val="DefaultParagraphFont"/>
    <w:rsid w:val="00897962"/>
  </w:style>
  <w:style w:type="character" w:styleId="HTMLAcronym">
    <w:name w:val="HTML Acronym"/>
    <w:basedOn w:val="DefaultParagraphFont"/>
    <w:uiPriority w:val="99"/>
    <w:semiHidden/>
    <w:unhideWhenUsed/>
    <w:rsid w:val="004F2F24"/>
  </w:style>
  <w:style w:type="paragraph" w:styleId="BodyText2">
    <w:name w:val="Body Text 2"/>
    <w:basedOn w:val="Normal"/>
    <w:link w:val="BodyText2Char"/>
    <w:uiPriority w:val="99"/>
    <w:semiHidden/>
    <w:unhideWhenUsed/>
    <w:rsid w:val="008E66DB"/>
    <w:pPr>
      <w:spacing w:after="120" w:line="480" w:lineRule="auto"/>
    </w:pPr>
  </w:style>
  <w:style w:type="character" w:customStyle="1" w:styleId="BodyText2Char">
    <w:name w:val="Body Text 2 Char"/>
    <w:basedOn w:val="DefaultParagraphFont"/>
    <w:link w:val="BodyText2"/>
    <w:uiPriority w:val="99"/>
    <w:semiHidden/>
    <w:rsid w:val="008E66DB"/>
    <w:rPr>
      <w:szCs w:val="22"/>
      <w:lang w:eastAsia="en-US"/>
    </w:rPr>
  </w:style>
  <w:style w:type="paragraph" w:styleId="NoSpacing">
    <w:name w:val="No Spacing"/>
    <w:uiPriority w:val="1"/>
    <w:qFormat/>
    <w:rsid w:val="002A5B0E"/>
    <w:rPr>
      <w:rFonts w:ascii="Calibri" w:hAnsi="Calibri"/>
      <w:sz w:val="22"/>
      <w:szCs w:val="22"/>
    </w:rPr>
  </w:style>
  <w:style w:type="character" w:styleId="HTMLCite">
    <w:name w:val="HTML Cite"/>
    <w:basedOn w:val="DefaultParagraphFont"/>
    <w:uiPriority w:val="99"/>
    <w:semiHidden/>
    <w:unhideWhenUsed/>
    <w:rsid w:val="00DA5101"/>
    <w:rPr>
      <w:i/>
      <w:iCs/>
    </w:rPr>
  </w:style>
  <w:style w:type="character" w:customStyle="1" w:styleId="maintitle">
    <w:name w:val="maintitle"/>
    <w:basedOn w:val="DefaultParagraphFont"/>
    <w:rsid w:val="00E53948"/>
  </w:style>
  <w:style w:type="character" w:customStyle="1" w:styleId="journalabstracttitle1">
    <w:name w:val="journal_abstract_title1"/>
    <w:basedOn w:val="DefaultParagraphFont"/>
    <w:rsid w:val="00E53948"/>
    <w:rPr>
      <w:rFonts w:ascii="Arial" w:hAnsi="Arial" w:cs="Arial" w:hint="default"/>
      <w:b/>
      <w:bCs/>
      <w:caps w:val="0"/>
      <w:sz w:val="23"/>
      <w:szCs w:val="23"/>
    </w:rPr>
  </w:style>
  <w:style w:type="paragraph" w:customStyle="1" w:styleId="body-paragraph1">
    <w:name w:val="body-paragraph1"/>
    <w:basedOn w:val="Normal"/>
    <w:rsid w:val="0087028D"/>
    <w:pPr>
      <w:spacing w:before="100" w:beforeAutospacing="1" w:after="100" w:afterAutospacing="1" w:line="240" w:lineRule="auto"/>
      <w:ind w:left="2220"/>
    </w:pPr>
    <w:rPr>
      <w:rFonts w:ascii="Times New Roman" w:eastAsia="Times New Roman" w:hAnsi="Times New Roman"/>
      <w:sz w:val="24"/>
      <w:szCs w:val="24"/>
      <w:lang w:eastAsia="en-AU"/>
    </w:rPr>
  </w:style>
  <w:style w:type="table" w:styleId="LightShading-Accent6">
    <w:name w:val="Light Shading Accent 6"/>
    <w:basedOn w:val="TableNormal"/>
    <w:uiPriority w:val="60"/>
    <w:rsid w:val="006C08C9"/>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6C08C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Revision">
    <w:name w:val="Revision"/>
    <w:hidden/>
    <w:uiPriority w:val="99"/>
    <w:semiHidden/>
    <w:rsid w:val="001B3E64"/>
    <w:rPr>
      <w:szCs w:val="22"/>
      <w:lang w:eastAsia="en-US"/>
    </w:rPr>
  </w:style>
  <w:style w:type="table" w:customStyle="1" w:styleId="LightShading-Accent11">
    <w:name w:val="Light Shading - Accent 11"/>
    <w:basedOn w:val="TableNormal"/>
    <w:uiPriority w:val="60"/>
    <w:rsid w:val="00B028F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3">
    <w:name w:val="Light Grid Accent 3"/>
    <w:basedOn w:val="TableNormal"/>
    <w:uiPriority w:val="62"/>
    <w:rsid w:val="00B028F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ibliography">
    <w:name w:val="Bibliography"/>
    <w:basedOn w:val="Normal"/>
    <w:next w:val="Normal"/>
    <w:uiPriority w:val="37"/>
    <w:semiHidden/>
    <w:unhideWhenUsed/>
    <w:rsid w:val="003B20C9"/>
  </w:style>
  <w:style w:type="paragraph" w:styleId="BlockText">
    <w:name w:val="Block Text"/>
    <w:basedOn w:val="Normal"/>
    <w:uiPriority w:val="99"/>
    <w:semiHidden/>
    <w:unhideWhenUsed/>
    <w:rsid w:val="003B20C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unhideWhenUsed/>
    <w:rsid w:val="003B20C9"/>
    <w:pPr>
      <w:spacing w:after="120"/>
    </w:pPr>
    <w:rPr>
      <w:sz w:val="16"/>
      <w:szCs w:val="16"/>
    </w:rPr>
  </w:style>
  <w:style w:type="character" w:customStyle="1" w:styleId="BodyText3Char">
    <w:name w:val="Body Text 3 Char"/>
    <w:basedOn w:val="DefaultParagraphFont"/>
    <w:link w:val="BodyText3"/>
    <w:uiPriority w:val="99"/>
    <w:semiHidden/>
    <w:rsid w:val="003B20C9"/>
    <w:rPr>
      <w:sz w:val="16"/>
      <w:szCs w:val="16"/>
      <w:lang w:eastAsia="en-US"/>
    </w:rPr>
  </w:style>
  <w:style w:type="paragraph" w:styleId="BodyTextFirstIndent">
    <w:name w:val="Body Text First Indent"/>
    <w:basedOn w:val="BodyText"/>
    <w:link w:val="BodyTextFirstIndentChar"/>
    <w:uiPriority w:val="99"/>
    <w:semiHidden/>
    <w:unhideWhenUsed/>
    <w:rsid w:val="003B20C9"/>
    <w:pPr>
      <w:spacing w:after="200" w:line="276" w:lineRule="auto"/>
      <w:ind w:firstLine="360"/>
    </w:pPr>
    <w:rPr>
      <w:rFonts w:ascii="Arial" w:eastAsia="Calibri" w:hAnsi="Arial"/>
      <w:szCs w:val="22"/>
    </w:rPr>
  </w:style>
  <w:style w:type="character" w:customStyle="1" w:styleId="BodyTextFirstIndentChar">
    <w:name w:val="Body Text First Indent Char"/>
    <w:basedOn w:val="BodyTextChar1"/>
    <w:link w:val="BodyTextFirstIndent"/>
    <w:uiPriority w:val="99"/>
    <w:semiHidden/>
    <w:rsid w:val="003B20C9"/>
    <w:rPr>
      <w:szCs w:val="22"/>
    </w:rPr>
  </w:style>
  <w:style w:type="paragraph" w:styleId="BodyTextIndent">
    <w:name w:val="Body Text Indent"/>
    <w:basedOn w:val="Normal"/>
    <w:link w:val="BodyTextIndentChar"/>
    <w:uiPriority w:val="99"/>
    <w:semiHidden/>
    <w:unhideWhenUsed/>
    <w:rsid w:val="003B20C9"/>
    <w:pPr>
      <w:spacing w:after="120"/>
      <w:ind w:left="283"/>
    </w:pPr>
  </w:style>
  <w:style w:type="character" w:customStyle="1" w:styleId="BodyTextIndentChar">
    <w:name w:val="Body Text Indent Char"/>
    <w:basedOn w:val="DefaultParagraphFont"/>
    <w:link w:val="BodyTextIndent"/>
    <w:uiPriority w:val="99"/>
    <w:semiHidden/>
    <w:rsid w:val="003B20C9"/>
    <w:rPr>
      <w:szCs w:val="22"/>
      <w:lang w:eastAsia="en-US"/>
    </w:rPr>
  </w:style>
  <w:style w:type="paragraph" w:styleId="BodyTextFirstIndent2">
    <w:name w:val="Body Text First Indent 2"/>
    <w:basedOn w:val="BodyTextIndent"/>
    <w:link w:val="BodyTextFirstIndent2Char"/>
    <w:uiPriority w:val="99"/>
    <w:semiHidden/>
    <w:unhideWhenUsed/>
    <w:rsid w:val="003B20C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3B20C9"/>
  </w:style>
  <w:style w:type="paragraph" w:styleId="BodyTextIndent2">
    <w:name w:val="Body Text Indent 2"/>
    <w:basedOn w:val="Normal"/>
    <w:link w:val="BodyTextIndent2Char"/>
    <w:uiPriority w:val="99"/>
    <w:semiHidden/>
    <w:unhideWhenUsed/>
    <w:rsid w:val="003B20C9"/>
    <w:pPr>
      <w:spacing w:after="120" w:line="480" w:lineRule="auto"/>
      <w:ind w:left="283"/>
    </w:pPr>
  </w:style>
  <w:style w:type="character" w:customStyle="1" w:styleId="BodyTextIndent2Char">
    <w:name w:val="Body Text Indent 2 Char"/>
    <w:basedOn w:val="DefaultParagraphFont"/>
    <w:link w:val="BodyTextIndent2"/>
    <w:uiPriority w:val="99"/>
    <w:semiHidden/>
    <w:rsid w:val="003B20C9"/>
    <w:rPr>
      <w:szCs w:val="22"/>
      <w:lang w:eastAsia="en-US"/>
    </w:rPr>
  </w:style>
  <w:style w:type="paragraph" w:styleId="BodyTextIndent3">
    <w:name w:val="Body Text Indent 3"/>
    <w:basedOn w:val="Normal"/>
    <w:link w:val="BodyTextIndent3Char"/>
    <w:uiPriority w:val="99"/>
    <w:semiHidden/>
    <w:unhideWhenUsed/>
    <w:rsid w:val="003B20C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B20C9"/>
    <w:rPr>
      <w:sz w:val="16"/>
      <w:szCs w:val="16"/>
      <w:lang w:eastAsia="en-US"/>
    </w:rPr>
  </w:style>
  <w:style w:type="paragraph" w:styleId="Closing">
    <w:name w:val="Closing"/>
    <w:basedOn w:val="Normal"/>
    <w:link w:val="ClosingChar"/>
    <w:uiPriority w:val="99"/>
    <w:semiHidden/>
    <w:unhideWhenUsed/>
    <w:rsid w:val="003B20C9"/>
    <w:pPr>
      <w:spacing w:after="0" w:line="240" w:lineRule="auto"/>
      <w:ind w:left="4252"/>
    </w:pPr>
  </w:style>
  <w:style w:type="character" w:customStyle="1" w:styleId="ClosingChar">
    <w:name w:val="Closing Char"/>
    <w:basedOn w:val="DefaultParagraphFont"/>
    <w:link w:val="Closing"/>
    <w:uiPriority w:val="99"/>
    <w:semiHidden/>
    <w:rsid w:val="003B20C9"/>
    <w:rPr>
      <w:szCs w:val="22"/>
      <w:lang w:eastAsia="en-US"/>
    </w:rPr>
  </w:style>
  <w:style w:type="paragraph" w:styleId="Date">
    <w:name w:val="Date"/>
    <w:basedOn w:val="Normal"/>
    <w:next w:val="Normal"/>
    <w:link w:val="DateChar"/>
    <w:uiPriority w:val="99"/>
    <w:semiHidden/>
    <w:unhideWhenUsed/>
    <w:rsid w:val="003B20C9"/>
  </w:style>
  <w:style w:type="character" w:customStyle="1" w:styleId="DateChar">
    <w:name w:val="Date Char"/>
    <w:basedOn w:val="DefaultParagraphFont"/>
    <w:link w:val="Date"/>
    <w:uiPriority w:val="99"/>
    <w:semiHidden/>
    <w:rsid w:val="003B20C9"/>
    <w:rPr>
      <w:szCs w:val="22"/>
      <w:lang w:eastAsia="en-US"/>
    </w:rPr>
  </w:style>
  <w:style w:type="paragraph" w:styleId="DocumentMap">
    <w:name w:val="Document Map"/>
    <w:basedOn w:val="Normal"/>
    <w:link w:val="DocumentMapChar"/>
    <w:uiPriority w:val="99"/>
    <w:semiHidden/>
    <w:unhideWhenUsed/>
    <w:rsid w:val="003B20C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20C9"/>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3B20C9"/>
    <w:pPr>
      <w:spacing w:after="0" w:line="240" w:lineRule="auto"/>
    </w:pPr>
  </w:style>
  <w:style w:type="character" w:customStyle="1" w:styleId="E-mailSignatureChar">
    <w:name w:val="E-mail Signature Char"/>
    <w:basedOn w:val="DefaultParagraphFont"/>
    <w:link w:val="E-mailSignature"/>
    <w:uiPriority w:val="99"/>
    <w:semiHidden/>
    <w:rsid w:val="003B20C9"/>
    <w:rPr>
      <w:szCs w:val="22"/>
      <w:lang w:eastAsia="en-US"/>
    </w:rPr>
  </w:style>
  <w:style w:type="paragraph" w:styleId="EndnoteText">
    <w:name w:val="endnote text"/>
    <w:basedOn w:val="Normal"/>
    <w:link w:val="EndnoteTextChar"/>
    <w:uiPriority w:val="99"/>
    <w:semiHidden/>
    <w:unhideWhenUsed/>
    <w:rsid w:val="003B20C9"/>
    <w:pPr>
      <w:spacing w:after="0" w:line="240" w:lineRule="auto"/>
    </w:pPr>
    <w:rPr>
      <w:szCs w:val="20"/>
    </w:rPr>
  </w:style>
  <w:style w:type="character" w:customStyle="1" w:styleId="EndnoteTextChar">
    <w:name w:val="Endnote Text Char"/>
    <w:basedOn w:val="DefaultParagraphFont"/>
    <w:link w:val="EndnoteText"/>
    <w:uiPriority w:val="99"/>
    <w:semiHidden/>
    <w:rsid w:val="003B20C9"/>
    <w:rPr>
      <w:lang w:eastAsia="en-US"/>
    </w:rPr>
  </w:style>
  <w:style w:type="paragraph" w:styleId="EnvelopeAddress">
    <w:name w:val="envelope address"/>
    <w:basedOn w:val="Normal"/>
    <w:uiPriority w:val="99"/>
    <w:semiHidden/>
    <w:unhideWhenUsed/>
    <w:rsid w:val="003B20C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20C9"/>
    <w:pPr>
      <w:spacing w:after="0" w:line="240" w:lineRule="auto"/>
    </w:pPr>
    <w:rPr>
      <w:rFonts w:asciiTheme="majorHAnsi" w:eastAsiaTheme="majorEastAsia" w:hAnsiTheme="majorHAnsi" w:cstheme="majorBidi"/>
      <w:szCs w:val="20"/>
    </w:rPr>
  </w:style>
  <w:style w:type="character" w:customStyle="1" w:styleId="Heading5Char">
    <w:name w:val="Heading 5 Char"/>
    <w:basedOn w:val="DefaultParagraphFont"/>
    <w:link w:val="Heading5"/>
    <w:uiPriority w:val="9"/>
    <w:semiHidden/>
    <w:rsid w:val="003B20C9"/>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uiPriority w:val="9"/>
    <w:semiHidden/>
    <w:rsid w:val="003B20C9"/>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uiPriority w:val="9"/>
    <w:semiHidden/>
    <w:rsid w:val="003B20C9"/>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uiPriority w:val="9"/>
    <w:semiHidden/>
    <w:rsid w:val="003B20C9"/>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3B20C9"/>
    <w:rPr>
      <w:rFonts w:asciiTheme="majorHAnsi" w:eastAsiaTheme="majorEastAsia" w:hAnsiTheme="majorHAnsi" w:cstheme="majorBidi"/>
      <w:i/>
      <w:iCs/>
      <w:color w:val="404040" w:themeColor="text1" w:themeTint="BF"/>
      <w:lang w:eastAsia="en-US"/>
    </w:rPr>
  </w:style>
  <w:style w:type="paragraph" w:styleId="HTMLAddress">
    <w:name w:val="HTML Address"/>
    <w:basedOn w:val="Normal"/>
    <w:link w:val="HTMLAddressChar"/>
    <w:uiPriority w:val="99"/>
    <w:semiHidden/>
    <w:unhideWhenUsed/>
    <w:rsid w:val="003B20C9"/>
    <w:pPr>
      <w:spacing w:after="0" w:line="240" w:lineRule="auto"/>
    </w:pPr>
    <w:rPr>
      <w:i/>
      <w:iCs/>
    </w:rPr>
  </w:style>
  <w:style w:type="character" w:customStyle="1" w:styleId="HTMLAddressChar">
    <w:name w:val="HTML Address Char"/>
    <w:basedOn w:val="DefaultParagraphFont"/>
    <w:link w:val="HTMLAddress"/>
    <w:uiPriority w:val="99"/>
    <w:semiHidden/>
    <w:rsid w:val="003B20C9"/>
    <w:rPr>
      <w:i/>
      <w:iCs/>
      <w:szCs w:val="22"/>
      <w:lang w:eastAsia="en-US"/>
    </w:rPr>
  </w:style>
  <w:style w:type="paragraph" w:styleId="HTMLPreformatted">
    <w:name w:val="HTML Preformatted"/>
    <w:basedOn w:val="Normal"/>
    <w:link w:val="HTMLPreformattedChar"/>
    <w:uiPriority w:val="99"/>
    <w:semiHidden/>
    <w:unhideWhenUsed/>
    <w:rsid w:val="003B20C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3B20C9"/>
    <w:rPr>
      <w:rFonts w:ascii="Consolas" w:hAnsi="Consolas"/>
      <w:lang w:eastAsia="en-US"/>
    </w:rPr>
  </w:style>
  <w:style w:type="paragraph" w:styleId="Index1">
    <w:name w:val="index 1"/>
    <w:basedOn w:val="Normal"/>
    <w:next w:val="Normal"/>
    <w:autoRedefine/>
    <w:uiPriority w:val="99"/>
    <w:semiHidden/>
    <w:unhideWhenUsed/>
    <w:rsid w:val="003B20C9"/>
    <w:pPr>
      <w:spacing w:after="0" w:line="240" w:lineRule="auto"/>
      <w:ind w:left="200" w:hanging="200"/>
    </w:pPr>
  </w:style>
  <w:style w:type="paragraph" w:styleId="Index2">
    <w:name w:val="index 2"/>
    <w:basedOn w:val="Normal"/>
    <w:next w:val="Normal"/>
    <w:autoRedefine/>
    <w:uiPriority w:val="99"/>
    <w:semiHidden/>
    <w:unhideWhenUsed/>
    <w:rsid w:val="003B20C9"/>
    <w:pPr>
      <w:spacing w:after="0" w:line="240" w:lineRule="auto"/>
      <w:ind w:left="400" w:hanging="200"/>
    </w:pPr>
  </w:style>
  <w:style w:type="paragraph" w:styleId="Index3">
    <w:name w:val="index 3"/>
    <w:basedOn w:val="Normal"/>
    <w:next w:val="Normal"/>
    <w:autoRedefine/>
    <w:uiPriority w:val="99"/>
    <w:semiHidden/>
    <w:unhideWhenUsed/>
    <w:rsid w:val="003B20C9"/>
    <w:pPr>
      <w:spacing w:after="0" w:line="240" w:lineRule="auto"/>
      <w:ind w:left="600" w:hanging="200"/>
    </w:pPr>
  </w:style>
  <w:style w:type="paragraph" w:styleId="Index4">
    <w:name w:val="index 4"/>
    <w:basedOn w:val="Normal"/>
    <w:next w:val="Normal"/>
    <w:autoRedefine/>
    <w:uiPriority w:val="99"/>
    <w:semiHidden/>
    <w:unhideWhenUsed/>
    <w:rsid w:val="003B20C9"/>
    <w:pPr>
      <w:spacing w:after="0" w:line="240" w:lineRule="auto"/>
      <w:ind w:left="800" w:hanging="200"/>
    </w:pPr>
  </w:style>
  <w:style w:type="paragraph" w:styleId="Index5">
    <w:name w:val="index 5"/>
    <w:basedOn w:val="Normal"/>
    <w:next w:val="Normal"/>
    <w:autoRedefine/>
    <w:uiPriority w:val="99"/>
    <w:semiHidden/>
    <w:unhideWhenUsed/>
    <w:rsid w:val="003B20C9"/>
    <w:pPr>
      <w:spacing w:after="0" w:line="240" w:lineRule="auto"/>
      <w:ind w:left="1000" w:hanging="200"/>
    </w:pPr>
  </w:style>
  <w:style w:type="paragraph" w:styleId="Index6">
    <w:name w:val="index 6"/>
    <w:basedOn w:val="Normal"/>
    <w:next w:val="Normal"/>
    <w:autoRedefine/>
    <w:uiPriority w:val="99"/>
    <w:semiHidden/>
    <w:unhideWhenUsed/>
    <w:rsid w:val="003B20C9"/>
    <w:pPr>
      <w:spacing w:after="0" w:line="240" w:lineRule="auto"/>
      <w:ind w:left="1200" w:hanging="200"/>
    </w:pPr>
  </w:style>
  <w:style w:type="paragraph" w:styleId="Index7">
    <w:name w:val="index 7"/>
    <w:basedOn w:val="Normal"/>
    <w:next w:val="Normal"/>
    <w:autoRedefine/>
    <w:uiPriority w:val="99"/>
    <w:semiHidden/>
    <w:unhideWhenUsed/>
    <w:rsid w:val="003B20C9"/>
    <w:pPr>
      <w:spacing w:after="0" w:line="240" w:lineRule="auto"/>
      <w:ind w:left="1400" w:hanging="200"/>
    </w:pPr>
  </w:style>
  <w:style w:type="paragraph" w:styleId="Index8">
    <w:name w:val="index 8"/>
    <w:basedOn w:val="Normal"/>
    <w:next w:val="Normal"/>
    <w:autoRedefine/>
    <w:uiPriority w:val="99"/>
    <w:semiHidden/>
    <w:unhideWhenUsed/>
    <w:rsid w:val="003B20C9"/>
    <w:pPr>
      <w:spacing w:after="0" w:line="240" w:lineRule="auto"/>
      <w:ind w:left="1600" w:hanging="200"/>
    </w:pPr>
  </w:style>
  <w:style w:type="paragraph" w:styleId="Index9">
    <w:name w:val="index 9"/>
    <w:basedOn w:val="Normal"/>
    <w:next w:val="Normal"/>
    <w:autoRedefine/>
    <w:uiPriority w:val="99"/>
    <w:semiHidden/>
    <w:unhideWhenUsed/>
    <w:rsid w:val="003B20C9"/>
    <w:pPr>
      <w:spacing w:after="0" w:line="240" w:lineRule="auto"/>
      <w:ind w:left="1800" w:hanging="200"/>
    </w:pPr>
  </w:style>
  <w:style w:type="paragraph" w:styleId="IndexHeading">
    <w:name w:val="index heading"/>
    <w:basedOn w:val="Normal"/>
    <w:next w:val="Index1"/>
    <w:uiPriority w:val="99"/>
    <w:semiHidden/>
    <w:unhideWhenUsed/>
    <w:rsid w:val="003B20C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B20C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B20C9"/>
    <w:rPr>
      <w:b/>
      <w:bCs/>
      <w:i/>
      <w:iCs/>
      <w:color w:val="4F81BD" w:themeColor="accent1"/>
      <w:szCs w:val="22"/>
      <w:lang w:eastAsia="en-US"/>
    </w:rPr>
  </w:style>
  <w:style w:type="paragraph" w:styleId="List">
    <w:name w:val="List"/>
    <w:basedOn w:val="Normal"/>
    <w:uiPriority w:val="99"/>
    <w:rsid w:val="003B20C9"/>
    <w:pPr>
      <w:ind w:left="283" w:hanging="283"/>
      <w:contextualSpacing/>
    </w:pPr>
  </w:style>
  <w:style w:type="paragraph" w:styleId="List2">
    <w:name w:val="List 2"/>
    <w:basedOn w:val="Normal"/>
    <w:uiPriority w:val="99"/>
    <w:semiHidden/>
    <w:unhideWhenUsed/>
    <w:rsid w:val="003B20C9"/>
    <w:pPr>
      <w:ind w:left="566" w:hanging="283"/>
      <w:contextualSpacing/>
    </w:pPr>
  </w:style>
  <w:style w:type="paragraph" w:styleId="List3">
    <w:name w:val="List 3"/>
    <w:basedOn w:val="Normal"/>
    <w:uiPriority w:val="99"/>
    <w:semiHidden/>
    <w:unhideWhenUsed/>
    <w:rsid w:val="003B20C9"/>
    <w:pPr>
      <w:ind w:left="849" w:hanging="283"/>
      <w:contextualSpacing/>
    </w:pPr>
  </w:style>
  <w:style w:type="paragraph" w:styleId="List4">
    <w:name w:val="List 4"/>
    <w:basedOn w:val="Normal"/>
    <w:uiPriority w:val="99"/>
    <w:semiHidden/>
    <w:unhideWhenUsed/>
    <w:rsid w:val="003B20C9"/>
    <w:pPr>
      <w:ind w:left="1132" w:hanging="283"/>
      <w:contextualSpacing/>
    </w:pPr>
  </w:style>
  <w:style w:type="paragraph" w:styleId="List5">
    <w:name w:val="List 5"/>
    <w:basedOn w:val="Normal"/>
    <w:uiPriority w:val="99"/>
    <w:semiHidden/>
    <w:unhideWhenUsed/>
    <w:rsid w:val="003B20C9"/>
    <w:pPr>
      <w:ind w:left="1415" w:hanging="283"/>
      <w:contextualSpacing/>
    </w:pPr>
  </w:style>
  <w:style w:type="paragraph" w:styleId="ListContinue">
    <w:name w:val="List Continue"/>
    <w:basedOn w:val="Normal"/>
    <w:uiPriority w:val="99"/>
    <w:rsid w:val="003B20C9"/>
    <w:pPr>
      <w:spacing w:after="120"/>
      <w:ind w:left="283"/>
      <w:contextualSpacing/>
    </w:pPr>
  </w:style>
  <w:style w:type="paragraph" w:styleId="ListContinue2">
    <w:name w:val="List Continue 2"/>
    <w:basedOn w:val="Normal"/>
    <w:uiPriority w:val="99"/>
    <w:semiHidden/>
    <w:unhideWhenUsed/>
    <w:rsid w:val="003B20C9"/>
    <w:pPr>
      <w:spacing w:after="120"/>
      <w:ind w:left="566"/>
      <w:contextualSpacing/>
    </w:pPr>
  </w:style>
  <w:style w:type="paragraph" w:styleId="ListContinue3">
    <w:name w:val="List Continue 3"/>
    <w:basedOn w:val="Normal"/>
    <w:uiPriority w:val="99"/>
    <w:semiHidden/>
    <w:unhideWhenUsed/>
    <w:rsid w:val="003B20C9"/>
    <w:pPr>
      <w:spacing w:after="120"/>
      <w:ind w:left="849"/>
      <w:contextualSpacing/>
    </w:pPr>
  </w:style>
  <w:style w:type="paragraph" w:styleId="ListContinue4">
    <w:name w:val="List Continue 4"/>
    <w:basedOn w:val="Normal"/>
    <w:uiPriority w:val="99"/>
    <w:semiHidden/>
    <w:unhideWhenUsed/>
    <w:rsid w:val="003B20C9"/>
    <w:pPr>
      <w:spacing w:after="120"/>
      <w:ind w:left="1132"/>
      <w:contextualSpacing/>
    </w:pPr>
  </w:style>
  <w:style w:type="paragraph" w:styleId="ListContinue5">
    <w:name w:val="List Continue 5"/>
    <w:basedOn w:val="Normal"/>
    <w:uiPriority w:val="99"/>
    <w:semiHidden/>
    <w:unhideWhenUsed/>
    <w:rsid w:val="003B20C9"/>
    <w:pPr>
      <w:spacing w:after="120"/>
      <w:ind w:left="1415"/>
      <w:contextualSpacing/>
    </w:pPr>
  </w:style>
  <w:style w:type="paragraph" w:styleId="MacroText">
    <w:name w:val="macro"/>
    <w:link w:val="MacroTextChar"/>
    <w:uiPriority w:val="99"/>
    <w:semiHidden/>
    <w:unhideWhenUsed/>
    <w:rsid w:val="003B20C9"/>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MacroTextChar">
    <w:name w:val="Macro Text Char"/>
    <w:basedOn w:val="DefaultParagraphFont"/>
    <w:link w:val="MacroText"/>
    <w:uiPriority w:val="99"/>
    <w:semiHidden/>
    <w:rsid w:val="003B20C9"/>
    <w:rPr>
      <w:rFonts w:ascii="Consolas" w:hAnsi="Consolas"/>
      <w:lang w:eastAsia="en-US"/>
    </w:rPr>
  </w:style>
  <w:style w:type="paragraph" w:styleId="MessageHeader">
    <w:name w:val="Message Header"/>
    <w:basedOn w:val="Normal"/>
    <w:link w:val="MessageHeaderChar"/>
    <w:uiPriority w:val="99"/>
    <w:semiHidden/>
    <w:unhideWhenUsed/>
    <w:rsid w:val="003B20C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20C9"/>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3B20C9"/>
    <w:pPr>
      <w:ind w:left="720"/>
    </w:pPr>
  </w:style>
  <w:style w:type="paragraph" w:styleId="NoteHeading">
    <w:name w:val="Note Heading"/>
    <w:basedOn w:val="Normal"/>
    <w:next w:val="Normal"/>
    <w:link w:val="NoteHeadingChar"/>
    <w:uiPriority w:val="99"/>
    <w:semiHidden/>
    <w:unhideWhenUsed/>
    <w:rsid w:val="003B20C9"/>
    <w:pPr>
      <w:spacing w:after="0" w:line="240" w:lineRule="auto"/>
    </w:pPr>
  </w:style>
  <w:style w:type="character" w:customStyle="1" w:styleId="NoteHeadingChar">
    <w:name w:val="Note Heading Char"/>
    <w:basedOn w:val="DefaultParagraphFont"/>
    <w:link w:val="NoteHeading"/>
    <w:uiPriority w:val="99"/>
    <w:semiHidden/>
    <w:rsid w:val="003B20C9"/>
    <w:rPr>
      <w:szCs w:val="22"/>
      <w:lang w:eastAsia="en-US"/>
    </w:rPr>
  </w:style>
  <w:style w:type="paragraph" w:styleId="PlainText">
    <w:name w:val="Plain Text"/>
    <w:basedOn w:val="Normal"/>
    <w:link w:val="PlainTextChar"/>
    <w:uiPriority w:val="99"/>
    <w:semiHidden/>
    <w:unhideWhenUsed/>
    <w:rsid w:val="003B20C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B20C9"/>
    <w:rPr>
      <w:rFonts w:ascii="Consolas" w:hAnsi="Consolas"/>
      <w:sz w:val="21"/>
      <w:szCs w:val="21"/>
      <w:lang w:eastAsia="en-US"/>
    </w:rPr>
  </w:style>
  <w:style w:type="paragraph" w:styleId="Quote">
    <w:name w:val="Quote"/>
    <w:basedOn w:val="Normal"/>
    <w:next w:val="Normal"/>
    <w:link w:val="QuoteChar"/>
    <w:uiPriority w:val="29"/>
    <w:rsid w:val="003B20C9"/>
    <w:rPr>
      <w:i/>
      <w:iCs/>
      <w:color w:val="000000" w:themeColor="text1"/>
    </w:rPr>
  </w:style>
  <w:style w:type="character" w:customStyle="1" w:styleId="QuoteChar">
    <w:name w:val="Quote Char"/>
    <w:basedOn w:val="DefaultParagraphFont"/>
    <w:link w:val="Quote"/>
    <w:uiPriority w:val="29"/>
    <w:rsid w:val="003B20C9"/>
    <w:rPr>
      <w:i/>
      <w:iCs/>
      <w:color w:val="000000" w:themeColor="text1"/>
      <w:szCs w:val="22"/>
      <w:lang w:eastAsia="en-US"/>
    </w:rPr>
  </w:style>
  <w:style w:type="paragraph" w:styleId="Salutation">
    <w:name w:val="Salutation"/>
    <w:basedOn w:val="Normal"/>
    <w:next w:val="Normal"/>
    <w:link w:val="SalutationChar"/>
    <w:uiPriority w:val="99"/>
    <w:semiHidden/>
    <w:unhideWhenUsed/>
    <w:rsid w:val="003B20C9"/>
  </w:style>
  <w:style w:type="character" w:customStyle="1" w:styleId="SalutationChar">
    <w:name w:val="Salutation Char"/>
    <w:basedOn w:val="DefaultParagraphFont"/>
    <w:link w:val="Salutation"/>
    <w:uiPriority w:val="99"/>
    <w:semiHidden/>
    <w:rsid w:val="003B20C9"/>
    <w:rPr>
      <w:szCs w:val="22"/>
      <w:lang w:eastAsia="en-US"/>
    </w:rPr>
  </w:style>
  <w:style w:type="paragraph" w:styleId="Signature">
    <w:name w:val="Signature"/>
    <w:basedOn w:val="Normal"/>
    <w:link w:val="SignatureChar"/>
    <w:uiPriority w:val="99"/>
    <w:semiHidden/>
    <w:unhideWhenUsed/>
    <w:rsid w:val="003B20C9"/>
    <w:pPr>
      <w:spacing w:after="0" w:line="240" w:lineRule="auto"/>
      <w:ind w:left="4252"/>
    </w:pPr>
  </w:style>
  <w:style w:type="character" w:customStyle="1" w:styleId="SignatureChar">
    <w:name w:val="Signature Char"/>
    <w:basedOn w:val="DefaultParagraphFont"/>
    <w:link w:val="Signature"/>
    <w:uiPriority w:val="99"/>
    <w:semiHidden/>
    <w:rsid w:val="003B20C9"/>
    <w:rPr>
      <w:szCs w:val="22"/>
      <w:lang w:eastAsia="en-US"/>
    </w:rPr>
  </w:style>
  <w:style w:type="paragraph" w:styleId="Subtitle">
    <w:name w:val="Subtitle"/>
    <w:basedOn w:val="Normal"/>
    <w:next w:val="Normal"/>
    <w:link w:val="SubtitleChar"/>
    <w:uiPriority w:val="11"/>
    <w:semiHidden/>
    <w:unhideWhenUsed/>
    <w:qFormat/>
    <w:rsid w:val="003B20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3B20C9"/>
    <w:rPr>
      <w:rFonts w:asciiTheme="majorHAnsi" w:eastAsiaTheme="majorEastAsia" w:hAnsiTheme="majorHAnsi" w:cstheme="majorBidi"/>
      <w:i/>
      <w:iCs/>
      <w:color w:val="4F81BD" w:themeColor="accent1"/>
      <w:spacing w:val="15"/>
      <w:sz w:val="24"/>
      <w:szCs w:val="24"/>
      <w:lang w:eastAsia="en-US"/>
    </w:rPr>
  </w:style>
  <w:style w:type="paragraph" w:styleId="TableofAuthorities">
    <w:name w:val="table of authorities"/>
    <w:basedOn w:val="Normal"/>
    <w:next w:val="Normal"/>
    <w:uiPriority w:val="99"/>
    <w:semiHidden/>
    <w:unhideWhenUsed/>
    <w:rsid w:val="003B20C9"/>
    <w:pPr>
      <w:spacing w:after="0"/>
      <w:ind w:left="200" w:hanging="200"/>
    </w:pPr>
  </w:style>
  <w:style w:type="paragraph" w:styleId="Title">
    <w:name w:val="Title"/>
    <w:basedOn w:val="Normal"/>
    <w:next w:val="Normal"/>
    <w:link w:val="TitleChar"/>
    <w:uiPriority w:val="10"/>
    <w:qFormat/>
    <w:rsid w:val="003B20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20C9"/>
    <w:rPr>
      <w:rFonts w:asciiTheme="majorHAnsi" w:eastAsiaTheme="majorEastAsia" w:hAnsiTheme="majorHAnsi" w:cstheme="majorBidi"/>
      <w:color w:val="17365D" w:themeColor="text2" w:themeShade="BF"/>
      <w:spacing w:val="5"/>
      <w:kern w:val="28"/>
      <w:sz w:val="52"/>
      <w:szCs w:val="52"/>
      <w:lang w:eastAsia="en-US"/>
    </w:rPr>
  </w:style>
  <w:style w:type="paragraph" w:styleId="TOAHeading">
    <w:name w:val="toa heading"/>
    <w:basedOn w:val="Normal"/>
    <w:next w:val="Normal"/>
    <w:uiPriority w:val="99"/>
    <w:semiHidden/>
    <w:unhideWhenUsed/>
    <w:rsid w:val="003B20C9"/>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3B20C9"/>
    <w:pPr>
      <w:spacing w:after="100"/>
      <w:ind w:left="600"/>
    </w:pPr>
  </w:style>
  <w:style w:type="paragraph" w:styleId="TOC5">
    <w:name w:val="toc 5"/>
    <w:basedOn w:val="Normal"/>
    <w:next w:val="Normal"/>
    <w:autoRedefine/>
    <w:uiPriority w:val="39"/>
    <w:semiHidden/>
    <w:unhideWhenUsed/>
    <w:rsid w:val="003B20C9"/>
    <w:pPr>
      <w:spacing w:after="100"/>
      <w:ind w:left="800"/>
    </w:pPr>
  </w:style>
  <w:style w:type="paragraph" w:styleId="TOC6">
    <w:name w:val="toc 6"/>
    <w:basedOn w:val="Normal"/>
    <w:next w:val="Normal"/>
    <w:autoRedefine/>
    <w:uiPriority w:val="39"/>
    <w:semiHidden/>
    <w:unhideWhenUsed/>
    <w:rsid w:val="003B20C9"/>
    <w:pPr>
      <w:spacing w:after="100"/>
      <w:ind w:left="1000"/>
    </w:pPr>
  </w:style>
  <w:style w:type="paragraph" w:styleId="TOC7">
    <w:name w:val="toc 7"/>
    <w:basedOn w:val="Normal"/>
    <w:next w:val="Normal"/>
    <w:autoRedefine/>
    <w:uiPriority w:val="39"/>
    <w:semiHidden/>
    <w:unhideWhenUsed/>
    <w:rsid w:val="003B20C9"/>
    <w:pPr>
      <w:spacing w:after="100"/>
      <w:ind w:left="1200"/>
    </w:pPr>
  </w:style>
  <w:style w:type="paragraph" w:styleId="TOC8">
    <w:name w:val="toc 8"/>
    <w:basedOn w:val="Normal"/>
    <w:next w:val="Normal"/>
    <w:autoRedefine/>
    <w:uiPriority w:val="39"/>
    <w:semiHidden/>
    <w:unhideWhenUsed/>
    <w:rsid w:val="003B20C9"/>
    <w:pPr>
      <w:spacing w:after="100"/>
      <w:ind w:left="1400"/>
    </w:pPr>
  </w:style>
  <w:style w:type="paragraph" w:styleId="TOC9">
    <w:name w:val="toc 9"/>
    <w:basedOn w:val="Normal"/>
    <w:next w:val="Normal"/>
    <w:autoRedefine/>
    <w:uiPriority w:val="39"/>
    <w:semiHidden/>
    <w:unhideWhenUsed/>
    <w:rsid w:val="003B20C9"/>
    <w:pPr>
      <w:spacing w:after="100"/>
      <w:ind w:left="1600"/>
    </w:pPr>
  </w:style>
</w:styles>
</file>

<file path=word/webSettings.xml><?xml version="1.0" encoding="utf-8"?>
<w:webSettings xmlns:r="http://schemas.openxmlformats.org/officeDocument/2006/relationships" xmlns:w="http://schemas.openxmlformats.org/wordprocessingml/2006/main">
  <w:divs>
    <w:div w:id="173308284">
      <w:bodyDiv w:val="1"/>
      <w:marLeft w:val="0"/>
      <w:marRight w:val="0"/>
      <w:marTop w:val="0"/>
      <w:marBottom w:val="0"/>
      <w:divBdr>
        <w:top w:val="none" w:sz="0" w:space="0" w:color="auto"/>
        <w:left w:val="none" w:sz="0" w:space="0" w:color="auto"/>
        <w:bottom w:val="none" w:sz="0" w:space="0" w:color="auto"/>
        <w:right w:val="none" w:sz="0" w:space="0" w:color="auto"/>
      </w:divBdr>
      <w:divsChild>
        <w:div w:id="354890485">
          <w:marLeft w:val="0"/>
          <w:marRight w:val="0"/>
          <w:marTop w:val="0"/>
          <w:marBottom w:val="0"/>
          <w:divBdr>
            <w:top w:val="none" w:sz="0" w:space="0" w:color="auto"/>
            <w:left w:val="none" w:sz="0" w:space="0" w:color="auto"/>
            <w:bottom w:val="none" w:sz="0" w:space="0" w:color="auto"/>
            <w:right w:val="none" w:sz="0" w:space="0" w:color="auto"/>
          </w:divBdr>
          <w:divsChild>
            <w:div w:id="2106681228">
              <w:marLeft w:val="-175"/>
              <w:marRight w:val="-175"/>
              <w:marTop w:val="0"/>
              <w:marBottom w:val="0"/>
              <w:divBdr>
                <w:top w:val="none" w:sz="0" w:space="0" w:color="auto"/>
                <w:left w:val="none" w:sz="0" w:space="0" w:color="auto"/>
                <w:bottom w:val="none" w:sz="0" w:space="0" w:color="auto"/>
                <w:right w:val="none" w:sz="0" w:space="0" w:color="auto"/>
              </w:divBdr>
              <w:divsChild>
                <w:div w:id="954680625">
                  <w:marLeft w:val="0"/>
                  <w:marRight w:val="0"/>
                  <w:marTop w:val="0"/>
                  <w:marBottom w:val="0"/>
                  <w:divBdr>
                    <w:top w:val="none" w:sz="0" w:space="0" w:color="auto"/>
                    <w:left w:val="none" w:sz="0" w:space="0" w:color="auto"/>
                    <w:bottom w:val="none" w:sz="0" w:space="0" w:color="auto"/>
                    <w:right w:val="none" w:sz="0" w:space="0" w:color="auto"/>
                  </w:divBdr>
                  <w:divsChild>
                    <w:div w:id="77099031">
                      <w:marLeft w:val="0"/>
                      <w:marRight w:val="0"/>
                      <w:marTop w:val="0"/>
                      <w:marBottom w:val="0"/>
                      <w:divBdr>
                        <w:top w:val="none" w:sz="0" w:space="0" w:color="auto"/>
                        <w:left w:val="none" w:sz="0" w:space="0" w:color="auto"/>
                        <w:bottom w:val="none" w:sz="0" w:space="0" w:color="auto"/>
                        <w:right w:val="none" w:sz="0" w:space="0" w:color="auto"/>
                      </w:divBdr>
                      <w:divsChild>
                        <w:div w:id="15316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218601">
      <w:bodyDiv w:val="1"/>
      <w:marLeft w:val="0"/>
      <w:marRight w:val="0"/>
      <w:marTop w:val="0"/>
      <w:marBottom w:val="0"/>
      <w:divBdr>
        <w:top w:val="none" w:sz="0" w:space="0" w:color="auto"/>
        <w:left w:val="none" w:sz="0" w:space="0" w:color="auto"/>
        <w:bottom w:val="none" w:sz="0" w:space="0" w:color="auto"/>
        <w:right w:val="none" w:sz="0" w:space="0" w:color="auto"/>
      </w:divBdr>
      <w:divsChild>
        <w:div w:id="427579623">
          <w:marLeft w:val="0"/>
          <w:marRight w:val="0"/>
          <w:marTop w:val="0"/>
          <w:marBottom w:val="0"/>
          <w:divBdr>
            <w:top w:val="none" w:sz="0" w:space="0" w:color="auto"/>
            <w:left w:val="none" w:sz="0" w:space="0" w:color="auto"/>
            <w:bottom w:val="none" w:sz="0" w:space="0" w:color="auto"/>
            <w:right w:val="none" w:sz="0" w:space="0" w:color="auto"/>
          </w:divBdr>
          <w:divsChild>
            <w:div w:id="157234530">
              <w:marLeft w:val="-175"/>
              <w:marRight w:val="-175"/>
              <w:marTop w:val="0"/>
              <w:marBottom w:val="0"/>
              <w:divBdr>
                <w:top w:val="none" w:sz="0" w:space="0" w:color="auto"/>
                <w:left w:val="none" w:sz="0" w:space="0" w:color="auto"/>
                <w:bottom w:val="none" w:sz="0" w:space="0" w:color="auto"/>
                <w:right w:val="none" w:sz="0" w:space="0" w:color="auto"/>
              </w:divBdr>
              <w:divsChild>
                <w:div w:id="283002271">
                  <w:marLeft w:val="0"/>
                  <w:marRight w:val="0"/>
                  <w:marTop w:val="0"/>
                  <w:marBottom w:val="0"/>
                  <w:divBdr>
                    <w:top w:val="none" w:sz="0" w:space="0" w:color="auto"/>
                    <w:left w:val="none" w:sz="0" w:space="0" w:color="auto"/>
                    <w:bottom w:val="none" w:sz="0" w:space="0" w:color="auto"/>
                    <w:right w:val="none" w:sz="0" w:space="0" w:color="auto"/>
                  </w:divBdr>
                  <w:divsChild>
                    <w:div w:id="844124653">
                      <w:marLeft w:val="0"/>
                      <w:marRight w:val="0"/>
                      <w:marTop w:val="0"/>
                      <w:marBottom w:val="0"/>
                      <w:divBdr>
                        <w:top w:val="none" w:sz="0" w:space="0" w:color="auto"/>
                        <w:left w:val="none" w:sz="0" w:space="0" w:color="auto"/>
                        <w:bottom w:val="none" w:sz="0" w:space="0" w:color="auto"/>
                        <w:right w:val="none" w:sz="0" w:space="0" w:color="auto"/>
                      </w:divBdr>
                      <w:divsChild>
                        <w:div w:id="11227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268895">
      <w:bodyDiv w:val="1"/>
      <w:marLeft w:val="0"/>
      <w:marRight w:val="0"/>
      <w:marTop w:val="0"/>
      <w:marBottom w:val="0"/>
      <w:divBdr>
        <w:top w:val="none" w:sz="0" w:space="0" w:color="auto"/>
        <w:left w:val="none" w:sz="0" w:space="0" w:color="auto"/>
        <w:bottom w:val="none" w:sz="0" w:space="0" w:color="auto"/>
        <w:right w:val="none" w:sz="0" w:space="0" w:color="auto"/>
      </w:divBdr>
      <w:divsChild>
        <w:div w:id="2100371379">
          <w:marLeft w:val="0"/>
          <w:marRight w:val="0"/>
          <w:marTop w:val="0"/>
          <w:marBottom w:val="0"/>
          <w:divBdr>
            <w:top w:val="none" w:sz="0" w:space="0" w:color="auto"/>
            <w:left w:val="none" w:sz="0" w:space="0" w:color="auto"/>
            <w:bottom w:val="none" w:sz="0" w:space="0" w:color="auto"/>
            <w:right w:val="none" w:sz="0" w:space="0" w:color="auto"/>
          </w:divBdr>
          <w:divsChild>
            <w:div w:id="1488477194">
              <w:marLeft w:val="0"/>
              <w:marRight w:val="0"/>
              <w:marTop w:val="0"/>
              <w:marBottom w:val="0"/>
              <w:divBdr>
                <w:top w:val="none" w:sz="0" w:space="0" w:color="auto"/>
                <w:left w:val="none" w:sz="0" w:space="0" w:color="auto"/>
                <w:bottom w:val="none" w:sz="0" w:space="0" w:color="auto"/>
                <w:right w:val="none" w:sz="0" w:space="0" w:color="auto"/>
              </w:divBdr>
              <w:divsChild>
                <w:div w:id="1305626568">
                  <w:marLeft w:val="0"/>
                  <w:marRight w:val="0"/>
                  <w:marTop w:val="0"/>
                  <w:marBottom w:val="0"/>
                  <w:divBdr>
                    <w:top w:val="none" w:sz="0" w:space="0" w:color="auto"/>
                    <w:left w:val="none" w:sz="0" w:space="0" w:color="auto"/>
                    <w:bottom w:val="none" w:sz="0" w:space="0" w:color="auto"/>
                    <w:right w:val="none" w:sz="0" w:space="0" w:color="auto"/>
                  </w:divBdr>
                  <w:divsChild>
                    <w:div w:id="1240022653">
                      <w:marLeft w:val="1941"/>
                      <w:marRight w:val="0"/>
                      <w:marTop w:val="0"/>
                      <w:marBottom w:val="0"/>
                      <w:divBdr>
                        <w:top w:val="none" w:sz="0" w:space="0" w:color="auto"/>
                        <w:left w:val="none" w:sz="0" w:space="0" w:color="auto"/>
                        <w:bottom w:val="none" w:sz="0" w:space="0" w:color="auto"/>
                        <w:right w:val="none" w:sz="0" w:space="0" w:color="auto"/>
                      </w:divBdr>
                      <w:divsChild>
                        <w:div w:id="124348345">
                          <w:marLeft w:val="0"/>
                          <w:marRight w:val="0"/>
                          <w:marTop w:val="0"/>
                          <w:marBottom w:val="0"/>
                          <w:divBdr>
                            <w:top w:val="none" w:sz="0" w:space="0" w:color="auto"/>
                            <w:left w:val="none" w:sz="0" w:space="0" w:color="auto"/>
                            <w:bottom w:val="none" w:sz="0" w:space="0" w:color="auto"/>
                            <w:right w:val="none" w:sz="0" w:space="0" w:color="auto"/>
                          </w:divBdr>
                          <w:divsChild>
                            <w:div w:id="1294479610">
                              <w:marLeft w:val="0"/>
                              <w:marRight w:val="0"/>
                              <w:marTop w:val="0"/>
                              <w:marBottom w:val="0"/>
                              <w:divBdr>
                                <w:top w:val="none" w:sz="0" w:space="0" w:color="auto"/>
                                <w:left w:val="none" w:sz="0" w:space="0" w:color="auto"/>
                                <w:bottom w:val="none" w:sz="0" w:space="0" w:color="auto"/>
                                <w:right w:val="none" w:sz="0" w:space="0" w:color="auto"/>
                              </w:divBdr>
                              <w:divsChild>
                                <w:div w:id="2061398990">
                                  <w:marLeft w:val="1"/>
                                  <w:marRight w:val="1"/>
                                  <w:marTop w:val="0"/>
                                  <w:marBottom w:val="0"/>
                                  <w:divBdr>
                                    <w:top w:val="none" w:sz="0" w:space="0" w:color="auto"/>
                                    <w:left w:val="none" w:sz="0" w:space="0" w:color="auto"/>
                                    <w:bottom w:val="none" w:sz="0" w:space="0" w:color="auto"/>
                                    <w:right w:val="none" w:sz="0" w:space="0" w:color="auto"/>
                                  </w:divBdr>
                                  <w:divsChild>
                                    <w:div w:id="1915384466">
                                      <w:marLeft w:val="0"/>
                                      <w:marRight w:val="0"/>
                                      <w:marTop w:val="0"/>
                                      <w:marBottom w:val="0"/>
                                      <w:divBdr>
                                        <w:top w:val="none" w:sz="0" w:space="0" w:color="auto"/>
                                        <w:left w:val="none" w:sz="0" w:space="0" w:color="auto"/>
                                        <w:bottom w:val="none" w:sz="0" w:space="0" w:color="auto"/>
                                        <w:right w:val="none" w:sz="0" w:space="0" w:color="auto"/>
                                      </w:divBdr>
                                      <w:divsChild>
                                        <w:div w:id="466972716">
                                          <w:marLeft w:val="0"/>
                                          <w:marRight w:val="0"/>
                                          <w:marTop w:val="0"/>
                                          <w:marBottom w:val="0"/>
                                          <w:divBdr>
                                            <w:top w:val="none" w:sz="0" w:space="0" w:color="auto"/>
                                            <w:left w:val="none" w:sz="0" w:space="0" w:color="auto"/>
                                            <w:bottom w:val="none" w:sz="0" w:space="0" w:color="auto"/>
                                            <w:right w:val="none" w:sz="0" w:space="0" w:color="auto"/>
                                          </w:divBdr>
                                          <w:divsChild>
                                            <w:div w:id="1101150146">
                                              <w:marLeft w:val="0"/>
                                              <w:marRight w:val="0"/>
                                              <w:marTop w:val="0"/>
                                              <w:marBottom w:val="0"/>
                                              <w:divBdr>
                                                <w:top w:val="none" w:sz="0" w:space="0" w:color="auto"/>
                                                <w:left w:val="none" w:sz="0" w:space="0" w:color="auto"/>
                                                <w:bottom w:val="none" w:sz="0" w:space="0" w:color="auto"/>
                                                <w:right w:val="none" w:sz="0" w:space="0" w:color="auto"/>
                                              </w:divBdr>
                                              <w:divsChild>
                                                <w:div w:id="13472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2535890">
      <w:bodyDiv w:val="1"/>
      <w:marLeft w:val="0"/>
      <w:marRight w:val="0"/>
      <w:marTop w:val="0"/>
      <w:marBottom w:val="0"/>
      <w:divBdr>
        <w:top w:val="none" w:sz="0" w:space="0" w:color="auto"/>
        <w:left w:val="none" w:sz="0" w:space="0" w:color="auto"/>
        <w:bottom w:val="none" w:sz="0" w:space="0" w:color="auto"/>
        <w:right w:val="none" w:sz="0" w:space="0" w:color="auto"/>
      </w:divBdr>
    </w:div>
    <w:div w:id="1440569045">
      <w:bodyDiv w:val="1"/>
      <w:marLeft w:val="0"/>
      <w:marRight w:val="0"/>
      <w:marTop w:val="0"/>
      <w:marBottom w:val="0"/>
      <w:divBdr>
        <w:top w:val="none" w:sz="0" w:space="0" w:color="auto"/>
        <w:left w:val="none" w:sz="0" w:space="0" w:color="auto"/>
        <w:bottom w:val="none" w:sz="0" w:space="0" w:color="auto"/>
        <w:right w:val="none" w:sz="0" w:space="0" w:color="auto"/>
      </w:divBdr>
      <w:divsChild>
        <w:div w:id="8606671">
          <w:marLeft w:val="0"/>
          <w:marRight w:val="0"/>
          <w:marTop w:val="0"/>
          <w:marBottom w:val="0"/>
          <w:divBdr>
            <w:top w:val="none" w:sz="0" w:space="0" w:color="auto"/>
            <w:left w:val="none" w:sz="0" w:space="0" w:color="auto"/>
            <w:bottom w:val="none" w:sz="0" w:space="0" w:color="auto"/>
            <w:right w:val="none" w:sz="0" w:space="0" w:color="auto"/>
          </w:divBdr>
          <w:divsChild>
            <w:div w:id="1310204944">
              <w:marLeft w:val="0"/>
              <w:marRight w:val="0"/>
              <w:marTop w:val="0"/>
              <w:marBottom w:val="0"/>
              <w:divBdr>
                <w:top w:val="none" w:sz="0" w:space="0" w:color="auto"/>
                <w:left w:val="none" w:sz="0" w:space="0" w:color="auto"/>
                <w:bottom w:val="none" w:sz="0" w:space="0" w:color="auto"/>
                <w:right w:val="none" w:sz="0" w:space="0" w:color="auto"/>
              </w:divBdr>
              <w:divsChild>
                <w:div w:id="279805362">
                  <w:marLeft w:val="0"/>
                  <w:marRight w:val="0"/>
                  <w:marTop w:val="0"/>
                  <w:marBottom w:val="0"/>
                  <w:divBdr>
                    <w:top w:val="none" w:sz="0" w:space="0" w:color="auto"/>
                    <w:left w:val="none" w:sz="0" w:space="0" w:color="auto"/>
                    <w:bottom w:val="none" w:sz="0" w:space="0" w:color="auto"/>
                    <w:right w:val="none" w:sz="0" w:space="0" w:color="auto"/>
                  </w:divBdr>
                  <w:divsChild>
                    <w:div w:id="2005428322">
                      <w:marLeft w:val="1941"/>
                      <w:marRight w:val="0"/>
                      <w:marTop w:val="0"/>
                      <w:marBottom w:val="0"/>
                      <w:divBdr>
                        <w:top w:val="none" w:sz="0" w:space="0" w:color="auto"/>
                        <w:left w:val="none" w:sz="0" w:space="0" w:color="auto"/>
                        <w:bottom w:val="none" w:sz="0" w:space="0" w:color="auto"/>
                        <w:right w:val="none" w:sz="0" w:space="0" w:color="auto"/>
                      </w:divBdr>
                      <w:divsChild>
                        <w:div w:id="1435902144">
                          <w:marLeft w:val="0"/>
                          <w:marRight w:val="0"/>
                          <w:marTop w:val="0"/>
                          <w:marBottom w:val="0"/>
                          <w:divBdr>
                            <w:top w:val="none" w:sz="0" w:space="0" w:color="auto"/>
                            <w:left w:val="none" w:sz="0" w:space="0" w:color="auto"/>
                            <w:bottom w:val="none" w:sz="0" w:space="0" w:color="auto"/>
                            <w:right w:val="none" w:sz="0" w:space="0" w:color="auto"/>
                          </w:divBdr>
                          <w:divsChild>
                            <w:div w:id="1003898583">
                              <w:marLeft w:val="0"/>
                              <w:marRight w:val="0"/>
                              <w:marTop w:val="0"/>
                              <w:marBottom w:val="0"/>
                              <w:divBdr>
                                <w:top w:val="none" w:sz="0" w:space="0" w:color="auto"/>
                                <w:left w:val="none" w:sz="0" w:space="0" w:color="auto"/>
                                <w:bottom w:val="none" w:sz="0" w:space="0" w:color="auto"/>
                                <w:right w:val="none" w:sz="0" w:space="0" w:color="auto"/>
                              </w:divBdr>
                              <w:divsChild>
                                <w:div w:id="1037969352">
                                  <w:marLeft w:val="1"/>
                                  <w:marRight w:val="1"/>
                                  <w:marTop w:val="0"/>
                                  <w:marBottom w:val="0"/>
                                  <w:divBdr>
                                    <w:top w:val="none" w:sz="0" w:space="0" w:color="auto"/>
                                    <w:left w:val="none" w:sz="0" w:space="0" w:color="auto"/>
                                    <w:bottom w:val="none" w:sz="0" w:space="0" w:color="auto"/>
                                    <w:right w:val="none" w:sz="0" w:space="0" w:color="auto"/>
                                  </w:divBdr>
                                  <w:divsChild>
                                    <w:div w:id="1235551127">
                                      <w:marLeft w:val="0"/>
                                      <w:marRight w:val="0"/>
                                      <w:marTop w:val="0"/>
                                      <w:marBottom w:val="0"/>
                                      <w:divBdr>
                                        <w:top w:val="none" w:sz="0" w:space="0" w:color="auto"/>
                                        <w:left w:val="none" w:sz="0" w:space="0" w:color="auto"/>
                                        <w:bottom w:val="none" w:sz="0" w:space="0" w:color="auto"/>
                                        <w:right w:val="none" w:sz="0" w:space="0" w:color="auto"/>
                                      </w:divBdr>
                                      <w:divsChild>
                                        <w:div w:id="531498333">
                                          <w:marLeft w:val="0"/>
                                          <w:marRight w:val="0"/>
                                          <w:marTop w:val="0"/>
                                          <w:marBottom w:val="0"/>
                                          <w:divBdr>
                                            <w:top w:val="none" w:sz="0" w:space="0" w:color="auto"/>
                                            <w:left w:val="none" w:sz="0" w:space="0" w:color="auto"/>
                                            <w:bottom w:val="none" w:sz="0" w:space="0" w:color="auto"/>
                                            <w:right w:val="none" w:sz="0" w:space="0" w:color="auto"/>
                                          </w:divBdr>
                                          <w:divsChild>
                                            <w:div w:id="1076781407">
                                              <w:marLeft w:val="0"/>
                                              <w:marRight w:val="0"/>
                                              <w:marTop w:val="0"/>
                                              <w:marBottom w:val="0"/>
                                              <w:divBdr>
                                                <w:top w:val="none" w:sz="0" w:space="0" w:color="auto"/>
                                                <w:left w:val="none" w:sz="0" w:space="0" w:color="auto"/>
                                                <w:bottom w:val="none" w:sz="0" w:space="0" w:color="auto"/>
                                                <w:right w:val="none" w:sz="0" w:space="0" w:color="auto"/>
                                              </w:divBdr>
                                              <w:divsChild>
                                                <w:div w:id="1657496271">
                                                  <w:marLeft w:val="0"/>
                                                  <w:marRight w:val="0"/>
                                                  <w:marTop w:val="0"/>
                                                  <w:marBottom w:val="0"/>
                                                  <w:divBdr>
                                                    <w:top w:val="none" w:sz="0" w:space="0" w:color="auto"/>
                                                    <w:left w:val="none" w:sz="0" w:space="0" w:color="auto"/>
                                                    <w:bottom w:val="none" w:sz="0" w:space="0" w:color="auto"/>
                                                    <w:right w:val="none" w:sz="0" w:space="0" w:color="auto"/>
                                                  </w:divBdr>
                                                  <w:divsChild>
                                                    <w:div w:id="8727642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93236355">
                                                          <w:marLeft w:val="0"/>
                                                          <w:marRight w:val="0"/>
                                                          <w:marTop w:val="0"/>
                                                          <w:marBottom w:val="0"/>
                                                          <w:divBdr>
                                                            <w:top w:val="none" w:sz="0" w:space="0" w:color="auto"/>
                                                            <w:left w:val="none" w:sz="0" w:space="0" w:color="auto"/>
                                                            <w:bottom w:val="none" w:sz="0" w:space="0" w:color="auto"/>
                                                            <w:right w:val="none" w:sz="0" w:space="0" w:color="auto"/>
                                                          </w:divBdr>
                                                        </w:div>
                                                        <w:div w:id="2004774874">
                                                          <w:marLeft w:val="0"/>
                                                          <w:marRight w:val="0"/>
                                                          <w:marTop w:val="0"/>
                                                          <w:marBottom w:val="0"/>
                                                          <w:divBdr>
                                                            <w:top w:val="none" w:sz="0" w:space="0" w:color="auto"/>
                                                            <w:left w:val="none" w:sz="0" w:space="0" w:color="auto"/>
                                                            <w:bottom w:val="none" w:sz="0" w:space="0" w:color="auto"/>
                                                            <w:right w:val="none" w:sz="0" w:space="0" w:color="auto"/>
                                                          </w:divBdr>
                                                        </w:div>
                                                        <w:div w:id="804201948">
                                                          <w:marLeft w:val="0"/>
                                                          <w:marRight w:val="0"/>
                                                          <w:marTop w:val="0"/>
                                                          <w:marBottom w:val="0"/>
                                                          <w:divBdr>
                                                            <w:top w:val="none" w:sz="0" w:space="0" w:color="auto"/>
                                                            <w:left w:val="none" w:sz="0" w:space="0" w:color="auto"/>
                                                            <w:bottom w:val="none" w:sz="0" w:space="0" w:color="auto"/>
                                                            <w:right w:val="none" w:sz="0" w:space="0" w:color="auto"/>
                                                          </w:divBdr>
                                                        </w:div>
                                                        <w:div w:id="20714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creativecommons.org/licenses/by/4.0/" TargetMode="External"/><Relationship Id="rId26" Type="http://schemas.openxmlformats.org/officeDocument/2006/relationships/hyperlink" Target="http://www.gma.vic.gov.au/hunting/quail/where-to-hunt"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www.agriculture.gov.au/pests-diseases-weeds/locusts/role/publications/annual-activity"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environment.gov.au/cgi-bin/sprat/public/sprat.pl" TargetMode="External"/><Relationship Id="rId28" Type="http://schemas.openxmlformats.org/officeDocument/2006/relationships/hyperlink" Target="http://www.lls.nsw.gov.au/agriculture/using-chemicals" TargetMode="External"/><Relationship Id="rId10" Type="http://schemas.openxmlformats.org/officeDocument/2006/relationships/image" Target="media/image3.jpeg"/><Relationship Id="rId19" Type="http://schemas.openxmlformats.org/officeDocument/2006/relationships/hyperlink" Target="http://www.environment.gov.au/cgi-bin/sprat/public/sprat.p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1.jpg@01D170A4.FC0E2D30" TargetMode="Externa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www.environment.gov.au/biodiversity/threatened/publications/action/birds2000/index.htm" TargetMode="External"/><Relationship Id="rId30"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12531</Words>
  <Characters>76701</Characters>
  <Application>Microsoft Office Word</Application>
  <DocSecurity>0</DocSecurity>
  <Lines>639</Lines>
  <Paragraphs>178</Paragraphs>
  <ScaleCrop>false</ScaleCrop>
  <LinksUpToDate>false</LinksUpToDate>
  <CharactersWithSpaces>89054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Plains-wanderer (Pedionomus torquatus)</dc:title>
  <dc:creator/>
  <cp:lastModifiedBy/>
  <cp:revision>1</cp:revision>
  <dcterms:created xsi:type="dcterms:W3CDTF">2016-06-22T01:32:00Z</dcterms:created>
  <dcterms:modified xsi:type="dcterms:W3CDTF">2016-06-22T01:32:00Z</dcterms:modified>
</cp:coreProperties>
</file>