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0D9E" w14:textId="5CDC85BD" w:rsidR="002E49EE" w:rsidRDefault="00D85085" w:rsidP="00831C64">
      <w:pPr>
        <w:spacing w:after="0" w:line="276" w:lineRule="auto"/>
      </w:pPr>
    </w:p>
    <w:p w14:paraId="08FDBD26" w14:textId="4BF130F9" w:rsidR="00474BBD" w:rsidRPr="00474BBD" w:rsidRDefault="00474BBD" w:rsidP="00831C64">
      <w:pPr>
        <w:spacing w:after="0" w:line="276" w:lineRule="auto"/>
        <w:ind w:left="-142"/>
        <w:jc w:val="right"/>
        <w:rPr>
          <w:b/>
          <w:bCs/>
          <w:sz w:val="24"/>
          <w:szCs w:val="24"/>
        </w:rPr>
      </w:pPr>
      <w:r w:rsidRPr="00474BBD">
        <w:rPr>
          <w:b/>
          <w:bCs/>
          <w:sz w:val="24"/>
          <w:szCs w:val="24"/>
        </w:rPr>
        <w:t>National Red Imported Fire Ant Eradication Program (SEQ) Steering Committee</w:t>
      </w:r>
    </w:p>
    <w:p w14:paraId="094E0E36" w14:textId="77777777" w:rsidR="00474BBD" w:rsidRPr="00474BBD" w:rsidRDefault="00474BBD" w:rsidP="00831C64">
      <w:pPr>
        <w:spacing w:after="0" w:line="276" w:lineRule="auto"/>
        <w:jc w:val="right"/>
        <w:rPr>
          <w:b/>
          <w:bCs/>
          <w:sz w:val="24"/>
          <w:szCs w:val="24"/>
        </w:rPr>
      </w:pPr>
      <w:r w:rsidRPr="00474BBD">
        <w:rPr>
          <w:b/>
          <w:bCs/>
          <w:sz w:val="24"/>
          <w:szCs w:val="24"/>
        </w:rPr>
        <w:t>Risk Management Sub-Committee (Sub-Committee)</w:t>
      </w:r>
    </w:p>
    <w:p w14:paraId="1283D1F6" w14:textId="77777777" w:rsidR="00474BBD" w:rsidRPr="00474BBD" w:rsidRDefault="00474BBD" w:rsidP="00831C64">
      <w:pPr>
        <w:spacing w:after="0" w:line="276" w:lineRule="auto"/>
        <w:jc w:val="right"/>
        <w:rPr>
          <w:b/>
          <w:bCs/>
          <w:sz w:val="22"/>
          <w:szCs w:val="22"/>
        </w:rPr>
      </w:pPr>
      <w:r w:rsidRPr="00474BBD">
        <w:rPr>
          <w:b/>
          <w:bCs/>
          <w:sz w:val="22"/>
          <w:szCs w:val="22"/>
        </w:rPr>
        <w:t>Tuesday 16 March 2021</w:t>
      </w:r>
    </w:p>
    <w:p w14:paraId="661A8183" w14:textId="77777777" w:rsidR="00474BBD" w:rsidRPr="00474BBD" w:rsidRDefault="00474BBD" w:rsidP="00831C64">
      <w:pPr>
        <w:spacing w:after="0" w:line="276" w:lineRule="auto"/>
        <w:jc w:val="right"/>
        <w:rPr>
          <w:b/>
          <w:bCs/>
          <w:sz w:val="22"/>
          <w:szCs w:val="22"/>
        </w:rPr>
      </w:pPr>
      <w:r w:rsidRPr="00474BBD">
        <w:rPr>
          <w:b/>
          <w:bCs/>
          <w:sz w:val="22"/>
          <w:szCs w:val="22"/>
          <w:lang w:bidi="en-US"/>
        </w:rPr>
        <w:t>Brisbane, Queensland</w:t>
      </w:r>
    </w:p>
    <w:p w14:paraId="21E772CE" w14:textId="5B1380F1" w:rsidR="00474BBD" w:rsidRPr="00474BBD" w:rsidRDefault="00474BBD" w:rsidP="00831C64">
      <w:pPr>
        <w:spacing w:after="0" w:line="276" w:lineRule="auto"/>
        <w:jc w:val="right"/>
        <w:rPr>
          <w:b/>
          <w:bCs/>
        </w:rPr>
      </w:pPr>
      <w:r w:rsidRPr="00474BBD">
        <w:rPr>
          <w:b/>
          <w:bCs/>
          <w:sz w:val="22"/>
          <w:szCs w:val="22"/>
        </w:rPr>
        <w:t>(Held by videoconference)</w:t>
      </w:r>
    </w:p>
    <w:p w14:paraId="13038478" w14:textId="77777777" w:rsidR="00474BBD" w:rsidRPr="00474BBD" w:rsidRDefault="00474BBD" w:rsidP="00C71AE9">
      <w:pPr>
        <w:rPr>
          <w:b/>
          <w:bCs/>
        </w:rPr>
      </w:pPr>
    </w:p>
    <w:p w14:paraId="0B25A57F" w14:textId="77777777" w:rsidR="00831C64" w:rsidRDefault="00831C64" w:rsidP="00474BBD">
      <w:pPr>
        <w:pStyle w:val="Heading3"/>
        <w:jc w:val="center"/>
      </w:pPr>
    </w:p>
    <w:p w14:paraId="404B657E" w14:textId="34C1D56E" w:rsidR="00474BBD" w:rsidRPr="004E5494" w:rsidRDefault="00474BBD" w:rsidP="00474BBD">
      <w:pPr>
        <w:pStyle w:val="Heading3"/>
        <w:jc w:val="center"/>
      </w:pPr>
      <w:r w:rsidRPr="004E5494">
        <w:t>MINUTES – MEETING 6</w:t>
      </w:r>
    </w:p>
    <w:p w14:paraId="27816BF1" w14:textId="77777777" w:rsidR="00474BBD" w:rsidRPr="00474BBD" w:rsidRDefault="00474BBD" w:rsidP="00474BBD">
      <w:pPr>
        <w:rPr>
          <w:b/>
          <w:bCs/>
          <w:sz w:val="22"/>
          <w:szCs w:val="22"/>
        </w:rPr>
      </w:pPr>
      <w:r w:rsidRPr="00474BBD">
        <w:rPr>
          <w:b/>
          <w:bCs/>
          <w:sz w:val="22"/>
          <w:szCs w:val="22"/>
        </w:rPr>
        <w:t xml:space="preserve">ATTENDANCE </w:t>
      </w:r>
    </w:p>
    <w:p w14:paraId="2B16B5DF" w14:textId="77777777" w:rsidR="00474BBD" w:rsidRDefault="00474BBD" w:rsidP="00474BBD">
      <w:pPr>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5987"/>
      </w:tblGrid>
      <w:tr w:rsidR="00474BBD" w:rsidRPr="00D8197F" w14:paraId="6AFE1763" w14:textId="77777777" w:rsidTr="00202714">
        <w:trPr>
          <w:trHeight w:val="20"/>
        </w:trPr>
        <w:tc>
          <w:tcPr>
            <w:tcW w:w="1680" w:type="pct"/>
            <w:shd w:val="clear" w:color="auto" w:fill="auto"/>
            <w:vAlign w:val="center"/>
          </w:tcPr>
          <w:p w14:paraId="214C0421" w14:textId="77777777" w:rsidR="00474BBD" w:rsidRPr="00D8197F" w:rsidRDefault="00474BBD" w:rsidP="00831C64">
            <w:pPr>
              <w:spacing w:before="240"/>
              <w:rPr>
                <w:sz w:val="22"/>
              </w:rPr>
            </w:pPr>
            <w:r w:rsidRPr="00D8197F">
              <w:rPr>
                <w:rFonts w:cs="Calibri"/>
                <w:sz w:val="22"/>
              </w:rPr>
              <w:t>Attendees</w:t>
            </w:r>
          </w:p>
        </w:tc>
        <w:tc>
          <w:tcPr>
            <w:tcW w:w="3320" w:type="pct"/>
            <w:shd w:val="clear" w:color="auto" w:fill="auto"/>
            <w:vAlign w:val="center"/>
          </w:tcPr>
          <w:p w14:paraId="7C4730D7"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Alan Millis, Chair</w:t>
            </w:r>
          </w:p>
          <w:p w14:paraId="5229938D"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Irene Sitton, Independent expert</w:t>
            </w:r>
          </w:p>
          <w:p w14:paraId="200E7459"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Wendy Craik, Chair, Steering Committee</w:t>
            </w:r>
          </w:p>
          <w:p w14:paraId="659231ED"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 xml:space="preserve">John Robertson, </w:t>
            </w:r>
            <w:r w:rsidRPr="00831C64">
              <w:rPr>
                <w:sz w:val="22"/>
                <w:lang w:eastAsia="ja-JP"/>
              </w:rPr>
              <w:t>Department of Agriculture and Fisheries, Queensland</w:t>
            </w:r>
          </w:p>
          <w:p w14:paraId="349248C2"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Scott Charlton, Department of Primary Industries, NSW</w:t>
            </w:r>
          </w:p>
        </w:tc>
      </w:tr>
      <w:tr w:rsidR="00474BBD" w:rsidRPr="00D8197F" w14:paraId="7F01A15D" w14:textId="77777777" w:rsidTr="00202714">
        <w:trPr>
          <w:trHeight w:val="20"/>
        </w:trPr>
        <w:tc>
          <w:tcPr>
            <w:tcW w:w="1680" w:type="pct"/>
            <w:shd w:val="clear" w:color="auto" w:fill="auto"/>
            <w:vAlign w:val="center"/>
          </w:tcPr>
          <w:p w14:paraId="30D413CC" w14:textId="77777777" w:rsidR="00474BBD" w:rsidRPr="00D8197F" w:rsidRDefault="00474BBD" w:rsidP="00831C64">
            <w:pPr>
              <w:spacing w:before="240"/>
              <w:rPr>
                <w:rFonts w:cs="Calibri"/>
                <w:sz w:val="22"/>
              </w:rPr>
            </w:pPr>
            <w:r w:rsidRPr="00D8197F">
              <w:rPr>
                <w:rFonts w:cs="Calibri"/>
                <w:sz w:val="22"/>
              </w:rPr>
              <w:t>Apologies</w:t>
            </w:r>
          </w:p>
        </w:tc>
        <w:tc>
          <w:tcPr>
            <w:tcW w:w="3320" w:type="pct"/>
            <w:shd w:val="clear" w:color="auto" w:fill="auto"/>
            <w:vAlign w:val="center"/>
          </w:tcPr>
          <w:p w14:paraId="53084310"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Jo Laduzko, Department of Agriculture, Water and the Environment, Commonwealth Government</w:t>
            </w:r>
          </w:p>
        </w:tc>
      </w:tr>
      <w:tr w:rsidR="00474BBD" w:rsidRPr="00D8197F" w14:paraId="15241497" w14:textId="77777777" w:rsidTr="00202714">
        <w:trPr>
          <w:trHeight w:val="20"/>
        </w:trPr>
        <w:tc>
          <w:tcPr>
            <w:tcW w:w="1680" w:type="pct"/>
            <w:shd w:val="clear" w:color="auto" w:fill="auto"/>
            <w:vAlign w:val="center"/>
          </w:tcPr>
          <w:p w14:paraId="7C9863D8" w14:textId="77777777" w:rsidR="00474BBD" w:rsidRPr="00D8197F" w:rsidRDefault="00474BBD" w:rsidP="00831C64">
            <w:pPr>
              <w:spacing w:before="240"/>
              <w:rPr>
                <w:rFonts w:cs="Calibri"/>
                <w:sz w:val="22"/>
              </w:rPr>
            </w:pPr>
            <w:r>
              <w:rPr>
                <w:rFonts w:cs="Calibri"/>
                <w:sz w:val="22"/>
              </w:rPr>
              <w:t>Presenters/Observers</w:t>
            </w:r>
          </w:p>
        </w:tc>
        <w:tc>
          <w:tcPr>
            <w:tcW w:w="3320" w:type="pct"/>
            <w:shd w:val="clear" w:color="auto" w:fill="auto"/>
            <w:vAlign w:val="center"/>
          </w:tcPr>
          <w:p w14:paraId="7D3B476E"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 xml:space="preserve">Graeme Dudgeon, General Manager (NRIFAEP) </w:t>
            </w:r>
          </w:p>
          <w:p w14:paraId="663051CD"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 xml:space="preserve">Brett </w:t>
            </w:r>
            <w:proofErr w:type="spellStart"/>
            <w:r w:rsidRPr="00831C64">
              <w:rPr>
                <w:rFonts w:cs="Calibri"/>
                <w:sz w:val="22"/>
              </w:rPr>
              <w:t>Turville</w:t>
            </w:r>
            <w:proofErr w:type="spellEnd"/>
            <w:r w:rsidRPr="00831C64">
              <w:rPr>
                <w:rFonts w:cs="Calibri"/>
                <w:sz w:val="22"/>
              </w:rPr>
              <w:t>, Operations Director (NRIFAEP)</w:t>
            </w:r>
          </w:p>
          <w:p w14:paraId="66BF15A3"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Andrew Turley, Strategy Director (NRIFAEP)</w:t>
            </w:r>
          </w:p>
          <w:p w14:paraId="4BAE0B32"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Brian Bond, Business Services Manager (NRIFAEP)</w:t>
            </w:r>
          </w:p>
          <w:p w14:paraId="6EF0561A"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 xml:space="preserve">Chris </w:t>
            </w:r>
            <w:proofErr w:type="spellStart"/>
            <w:r w:rsidRPr="00831C64">
              <w:rPr>
                <w:rFonts w:cs="Calibri"/>
                <w:sz w:val="22"/>
              </w:rPr>
              <w:t>Hollingdrake</w:t>
            </w:r>
            <w:proofErr w:type="spellEnd"/>
            <w:r w:rsidRPr="00831C64">
              <w:rPr>
                <w:rFonts w:cs="Calibri"/>
                <w:sz w:val="22"/>
              </w:rPr>
              <w:t>, A/Manager, Communication and Engagement</w:t>
            </w:r>
          </w:p>
        </w:tc>
      </w:tr>
      <w:tr w:rsidR="00474BBD" w:rsidRPr="00D8197F" w14:paraId="6B2F78DE" w14:textId="77777777" w:rsidTr="00202714">
        <w:trPr>
          <w:trHeight w:val="20"/>
        </w:trPr>
        <w:tc>
          <w:tcPr>
            <w:tcW w:w="1680" w:type="pct"/>
            <w:shd w:val="clear" w:color="auto" w:fill="auto"/>
            <w:vAlign w:val="center"/>
          </w:tcPr>
          <w:p w14:paraId="2436A31F" w14:textId="77777777" w:rsidR="00474BBD" w:rsidRPr="00D8197F" w:rsidRDefault="00474BBD" w:rsidP="00831C64">
            <w:pPr>
              <w:spacing w:before="240"/>
              <w:rPr>
                <w:sz w:val="22"/>
              </w:rPr>
            </w:pPr>
            <w:r w:rsidRPr="00D8197F">
              <w:rPr>
                <w:rFonts w:cs="Calibri"/>
                <w:sz w:val="22"/>
              </w:rPr>
              <w:t>Secretariat</w:t>
            </w:r>
          </w:p>
        </w:tc>
        <w:tc>
          <w:tcPr>
            <w:tcW w:w="3320" w:type="pct"/>
            <w:shd w:val="clear" w:color="auto" w:fill="auto"/>
            <w:vAlign w:val="center"/>
          </w:tcPr>
          <w:p w14:paraId="5F1CB3ED" w14:textId="77777777" w:rsidR="00474BBD" w:rsidRPr="00831C64" w:rsidRDefault="00474BBD" w:rsidP="00831C64">
            <w:pPr>
              <w:pStyle w:val="ListParagraph"/>
              <w:numPr>
                <w:ilvl w:val="0"/>
                <w:numId w:val="33"/>
              </w:numPr>
              <w:spacing w:before="240"/>
              <w:rPr>
                <w:rFonts w:cs="Calibri"/>
                <w:sz w:val="22"/>
              </w:rPr>
            </w:pPr>
            <w:r w:rsidRPr="00831C64">
              <w:rPr>
                <w:rFonts w:cs="Calibri"/>
                <w:sz w:val="22"/>
              </w:rPr>
              <w:t>Kerrian Nobbs (NRIFAEP)</w:t>
            </w:r>
          </w:p>
        </w:tc>
      </w:tr>
    </w:tbl>
    <w:p w14:paraId="0B76F9D8" w14:textId="5921BB08" w:rsidR="00474BBD" w:rsidRDefault="00474BBD" w:rsidP="00C71AE9">
      <w:r>
        <w:tab/>
      </w:r>
    </w:p>
    <w:p w14:paraId="007C3194" w14:textId="758B251B" w:rsidR="00474BBD" w:rsidRPr="001157B7" w:rsidRDefault="00474BBD" w:rsidP="001157B7">
      <w:r>
        <w:br w:type="page"/>
      </w:r>
    </w:p>
    <w:tbl>
      <w:tblPr>
        <w:tblStyle w:val="TableGrid"/>
        <w:tblpPr w:leftFromText="180" w:rightFromText="180" w:vertAnchor="text" w:tblpX="-151" w:tblpY="1"/>
        <w:tblOverlap w:val="never"/>
        <w:tblW w:w="9630" w:type="dxa"/>
        <w:tblLayout w:type="fixed"/>
        <w:tblLook w:val="06A0" w:firstRow="1" w:lastRow="0" w:firstColumn="1" w:lastColumn="0" w:noHBand="1" w:noVBand="1"/>
      </w:tblPr>
      <w:tblGrid>
        <w:gridCol w:w="568"/>
        <w:gridCol w:w="4534"/>
        <w:gridCol w:w="1700"/>
        <w:gridCol w:w="1412"/>
        <w:gridCol w:w="1416"/>
      </w:tblGrid>
      <w:tr w:rsidR="00474BBD" w14:paraId="44F6F0C6" w14:textId="77777777" w:rsidTr="001157B7">
        <w:tc>
          <w:tcPr>
            <w:tcW w:w="9634"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786AF11" w14:textId="77777777" w:rsidR="00474BBD" w:rsidRPr="001157B7" w:rsidRDefault="00474BBD" w:rsidP="001157B7">
            <w:pPr>
              <w:spacing w:before="240" w:line="360" w:lineRule="auto"/>
              <w:rPr>
                <w:b/>
                <w:bCs/>
              </w:rPr>
            </w:pPr>
            <w:r w:rsidRPr="001157B7">
              <w:rPr>
                <w:rFonts w:eastAsiaTheme="minorEastAsia"/>
                <w:b/>
                <w:bCs/>
              </w:rPr>
              <w:lastRenderedPageBreak/>
              <w:t>Agenda Item 1 – Introduction</w:t>
            </w:r>
          </w:p>
        </w:tc>
      </w:tr>
      <w:tr w:rsidR="00474BBD" w14:paraId="032C0812" w14:textId="77777777" w:rsidTr="00202714">
        <w:tc>
          <w:tcPr>
            <w:tcW w:w="9634" w:type="dxa"/>
            <w:gridSpan w:val="5"/>
            <w:tcBorders>
              <w:top w:val="single" w:sz="4" w:space="0" w:color="auto"/>
              <w:left w:val="single" w:sz="4" w:space="0" w:color="auto"/>
              <w:bottom w:val="single" w:sz="4" w:space="0" w:color="auto"/>
              <w:right w:val="single" w:sz="4" w:space="0" w:color="auto"/>
            </w:tcBorders>
            <w:hideMark/>
          </w:tcPr>
          <w:p w14:paraId="507FB9D0" w14:textId="77777777" w:rsidR="00474BBD" w:rsidRDefault="00474BBD" w:rsidP="001157B7">
            <w:pPr>
              <w:spacing w:before="240" w:line="276" w:lineRule="auto"/>
            </w:pPr>
            <w:r>
              <w:t>The sixth meeting of the Risk Management Sub-Committee was opened by the Chair at 9.00am, noting an apology from Jo Laduzko.</w:t>
            </w:r>
          </w:p>
          <w:p w14:paraId="4F085141" w14:textId="77777777" w:rsidR="00474BBD" w:rsidRDefault="00474BBD" w:rsidP="001157B7">
            <w:pPr>
              <w:spacing w:before="240" w:line="276" w:lineRule="auto"/>
            </w:pPr>
            <w:r>
              <w:t xml:space="preserve">The Chair provided a brief overview of the meeting’s agenda and </w:t>
            </w:r>
            <w:proofErr w:type="gramStart"/>
            <w:r>
              <w:t>objectives</w:t>
            </w:r>
            <w:proofErr w:type="gramEnd"/>
            <w:r>
              <w:t xml:space="preserve"> and the agenda was confirmed. </w:t>
            </w:r>
          </w:p>
          <w:p w14:paraId="0D220BA6" w14:textId="77777777" w:rsidR="00474BBD" w:rsidRDefault="00474BBD" w:rsidP="001157B7">
            <w:pPr>
              <w:spacing w:before="240" w:line="276" w:lineRule="auto"/>
            </w:pPr>
            <w:r>
              <w:t xml:space="preserve">The Chair noted the papers were late, and requested they be timelier to allow consideration of the papers prior to the meeting. </w:t>
            </w:r>
          </w:p>
          <w:p w14:paraId="6E259B65" w14:textId="77777777" w:rsidR="00474BBD" w:rsidRDefault="00474BBD" w:rsidP="001157B7">
            <w:pPr>
              <w:spacing w:before="240" w:line="276" w:lineRule="auto"/>
            </w:pPr>
            <w:r>
              <w:t>Minutes of the previous meeting had been circulated previously, approved out-of-</w:t>
            </w:r>
            <w:proofErr w:type="gramStart"/>
            <w:r>
              <w:t>session</w:t>
            </w:r>
            <w:proofErr w:type="gramEnd"/>
            <w:r>
              <w:t xml:space="preserve"> and published to the website. </w:t>
            </w:r>
          </w:p>
          <w:p w14:paraId="33C76575" w14:textId="77777777" w:rsidR="00474BBD" w:rsidRDefault="00474BBD" w:rsidP="001157B7">
            <w:pPr>
              <w:spacing w:before="240" w:line="276" w:lineRule="auto"/>
            </w:pPr>
            <w:r>
              <w:t>Follow up actions:</w:t>
            </w:r>
          </w:p>
          <w:p w14:paraId="038C0569" w14:textId="77777777" w:rsidR="00474BBD" w:rsidRPr="00BB271F" w:rsidRDefault="00474BBD" w:rsidP="00BB271F">
            <w:pPr>
              <w:pStyle w:val="ListParagraph"/>
              <w:numPr>
                <w:ilvl w:val="0"/>
                <w:numId w:val="26"/>
              </w:numPr>
              <w:spacing w:before="240" w:line="276" w:lineRule="auto"/>
              <w:rPr>
                <w:i/>
                <w:iCs/>
                <w:lang w:bidi="th-TH"/>
              </w:rPr>
            </w:pPr>
            <w:r w:rsidRPr="00BB271F">
              <w:rPr>
                <w:i/>
                <w:iCs/>
                <w:lang w:bidi="th-TH"/>
              </w:rPr>
              <w:t>Complete a statistical analysis of the model behind the amount of compliance/field staff required.</w:t>
            </w:r>
          </w:p>
          <w:p w14:paraId="2DB840B2" w14:textId="1DFB88DE" w:rsidR="00474BBD" w:rsidRPr="00BB271F" w:rsidRDefault="00474BBD" w:rsidP="00BB271F">
            <w:pPr>
              <w:pStyle w:val="ListParagraph"/>
              <w:numPr>
                <w:ilvl w:val="0"/>
                <w:numId w:val="27"/>
              </w:numPr>
              <w:spacing w:before="240" w:line="276" w:lineRule="auto"/>
              <w:rPr>
                <w:lang w:bidi="th-TH"/>
              </w:rPr>
            </w:pPr>
            <w:r w:rsidRPr="00BB271F">
              <w:rPr>
                <w:lang w:bidi="th-TH"/>
              </w:rPr>
              <w:t xml:space="preserve">Currently looking at other auditing and compliance programs to assist with the analysis.  It was suggested to contact the Commonwealth regarding its ‘border control allocation’ program.  </w:t>
            </w:r>
            <w:r w:rsidR="00B92BEC">
              <w:rPr>
                <w:lang w:bidi="th-TH"/>
              </w:rPr>
              <w:br/>
            </w:r>
          </w:p>
          <w:p w14:paraId="1096C54F" w14:textId="77777777" w:rsidR="00474BBD" w:rsidRPr="00BB271F" w:rsidRDefault="00474BBD" w:rsidP="00BB271F">
            <w:pPr>
              <w:pStyle w:val="ListParagraph"/>
              <w:numPr>
                <w:ilvl w:val="0"/>
                <w:numId w:val="26"/>
              </w:numPr>
              <w:spacing w:before="240" w:line="276" w:lineRule="auto"/>
              <w:rPr>
                <w:i/>
                <w:iCs/>
                <w:lang w:bidi="th-TH"/>
              </w:rPr>
            </w:pPr>
            <w:r w:rsidRPr="00BB271F">
              <w:rPr>
                <w:i/>
                <w:iCs/>
                <w:lang w:bidi="th-TH"/>
              </w:rPr>
              <w:t>Program to investigate prosecution for not self-reporting fire ants.</w:t>
            </w:r>
          </w:p>
          <w:p w14:paraId="031C169C" w14:textId="55BE685E" w:rsidR="00474BBD" w:rsidRPr="00BB271F" w:rsidRDefault="00474BBD" w:rsidP="00BB271F">
            <w:pPr>
              <w:pStyle w:val="ListParagraph"/>
              <w:numPr>
                <w:ilvl w:val="0"/>
                <w:numId w:val="28"/>
              </w:numPr>
              <w:spacing w:before="240" w:line="276" w:lineRule="auto"/>
              <w:rPr>
                <w:lang w:bidi="th-TH"/>
              </w:rPr>
            </w:pPr>
            <w:r w:rsidRPr="00BB271F">
              <w:rPr>
                <w:lang w:bidi="th-TH"/>
              </w:rPr>
              <w:t>A reasonable level of reporting is received from the public.  The current focus is on self</w:t>
            </w:r>
            <w:r w:rsidRPr="00BB271F">
              <w:rPr>
                <w:lang w:bidi="th-TH"/>
              </w:rPr>
              <w:noBreakHyphen/>
              <w:t xml:space="preserve">management and community engagement.  Public reporting of significant detections is incorporated in quarterly reports and broadcast throughout the relevant areas via a communication campaign to be on the lookout and report. </w:t>
            </w:r>
            <w:r w:rsidR="00B92BEC">
              <w:rPr>
                <w:lang w:bidi="th-TH"/>
              </w:rPr>
              <w:br/>
            </w:r>
          </w:p>
          <w:p w14:paraId="679C06E8" w14:textId="77777777" w:rsidR="00474BBD" w:rsidRPr="00BB271F" w:rsidRDefault="00474BBD" w:rsidP="00BB271F">
            <w:pPr>
              <w:pStyle w:val="ListParagraph"/>
              <w:numPr>
                <w:ilvl w:val="0"/>
                <w:numId w:val="26"/>
              </w:numPr>
              <w:spacing w:before="240" w:line="276" w:lineRule="auto"/>
              <w:rPr>
                <w:i/>
                <w:iCs/>
                <w:lang w:bidi="th-TH"/>
              </w:rPr>
            </w:pPr>
            <w:r w:rsidRPr="00BB271F">
              <w:rPr>
                <w:i/>
                <w:iCs/>
                <w:lang w:bidi="th-TH"/>
              </w:rPr>
              <w:t xml:space="preserve">Develop and maintain a set of responses and </w:t>
            </w:r>
            <w:proofErr w:type="gramStart"/>
            <w:r w:rsidRPr="00BB271F">
              <w:rPr>
                <w:i/>
                <w:iCs/>
                <w:lang w:bidi="th-TH"/>
              </w:rPr>
              <w:t>factual information</w:t>
            </w:r>
            <w:proofErr w:type="gramEnd"/>
            <w:r w:rsidRPr="00BB271F">
              <w:rPr>
                <w:i/>
                <w:iCs/>
                <w:lang w:bidi="th-TH"/>
              </w:rPr>
              <w:t xml:space="preserve"> for jurisdictions to share in response to queries about and comments on the Program.</w:t>
            </w:r>
          </w:p>
          <w:p w14:paraId="67C1E0E0" w14:textId="04B6AF13" w:rsidR="00474BBD" w:rsidRPr="00BB271F" w:rsidRDefault="00474BBD" w:rsidP="00BB271F">
            <w:pPr>
              <w:pStyle w:val="ListParagraph"/>
              <w:numPr>
                <w:ilvl w:val="0"/>
                <w:numId w:val="29"/>
              </w:numPr>
              <w:spacing w:before="240" w:line="276" w:lineRule="auto"/>
              <w:rPr>
                <w:lang w:bidi="th-TH"/>
              </w:rPr>
            </w:pPr>
            <w:r w:rsidRPr="00BB271F">
              <w:rPr>
                <w:lang w:bidi="th-TH"/>
              </w:rPr>
              <w:t>Public criticisms/praise and comments about the Program are recorded and responses prepared for distribution as required.</w:t>
            </w:r>
            <w:r w:rsidR="00B92BEC">
              <w:rPr>
                <w:lang w:bidi="th-TH"/>
              </w:rPr>
              <w:br/>
            </w:r>
          </w:p>
          <w:p w14:paraId="13DCE61E" w14:textId="77777777" w:rsidR="00474BBD" w:rsidRPr="00BB271F" w:rsidRDefault="00474BBD" w:rsidP="00BB271F">
            <w:pPr>
              <w:pStyle w:val="ListParagraph"/>
              <w:numPr>
                <w:ilvl w:val="0"/>
                <w:numId w:val="26"/>
              </w:numPr>
              <w:spacing w:before="240" w:line="276" w:lineRule="auto"/>
              <w:rPr>
                <w:i/>
                <w:iCs/>
                <w:lang w:bidi="th-TH"/>
              </w:rPr>
            </w:pPr>
            <w:r w:rsidRPr="00BB271F">
              <w:rPr>
                <w:i/>
                <w:iCs/>
                <w:lang w:bidi="th-TH"/>
              </w:rPr>
              <w:t>Provide a summary of changes to the Risk Register</w:t>
            </w:r>
          </w:p>
          <w:p w14:paraId="1C74C03A" w14:textId="77777777" w:rsidR="00474BBD" w:rsidRPr="00BB271F" w:rsidRDefault="00474BBD" w:rsidP="00BB271F">
            <w:pPr>
              <w:pStyle w:val="ListParagraph"/>
              <w:numPr>
                <w:ilvl w:val="0"/>
                <w:numId w:val="30"/>
              </w:numPr>
              <w:spacing w:before="240" w:line="276" w:lineRule="auto"/>
              <w:rPr>
                <w:lang w:bidi="th-TH"/>
              </w:rPr>
            </w:pPr>
            <w:r w:rsidRPr="00BB271F">
              <w:rPr>
                <w:lang w:bidi="th-TH"/>
              </w:rPr>
              <w:t>To be discussed in Agenda Item 3.</w:t>
            </w:r>
          </w:p>
          <w:p w14:paraId="45FF34CE" w14:textId="77777777" w:rsidR="00474BBD" w:rsidRDefault="00474BBD" w:rsidP="001157B7">
            <w:pPr>
              <w:spacing w:before="240" w:line="276" w:lineRule="auto"/>
              <w:rPr>
                <w:lang w:bidi="en-US"/>
              </w:rPr>
            </w:pPr>
            <w:r>
              <w:rPr>
                <w:lang w:bidi="en-US"/>
              </w:rPr>
              <w:t>The Sub-Committee:</w:t>
            </w:r>
          </w:p>
          <w:p w14:paraId="6A99A477" w14:textId="77777777" w:rsidR="00474BBD" w:rsidRPr="001157B7" w:rsidRDefault="00474BBD" w:rsidP="001157B7">
            <w:pPr>
              <w:pStyle w:val="ListParagraph"/>
              <w:numPr>
                <w:ilvl w:val="0"/>
                <w:numId w:val="15"/>
              </w:numPr>
              <w:spacing w:before="240" w:line="276" w:lineRule="auto"/>
              <w:rPr>
                <w:lang w:bidi="th-TH"/>
              </w:rPr>
            </w:pPr>
            <w:r w:rsidRPr="001157B7">
              <w:rPr>
                <w:b/>
                <w:bCs/>
                <w:lang w:bidi="th-TH"/>
              </w:rPr>
              <w:t>CONFIRMED</w:t>
            </w:r>
            <w:r w:rsidRPr="001157B7">
              <w:rPr>
                <w:lang w:bidi="th-TH"/>
              </w:rPr>
              <w:t xml:space="preserve"> the agenda as previously circulated</w:t>
            </w:r>
          </w:p>
          <w:p w14:paraId="23475D12" w14:textId="77777777" w:rsidR="00474BBD" w:rsidRPr="001157B7" w:rsidRDefault="00474BBD" w:rsidP="001157B7">
            <w:pPr>
              <w:pStyle w:val="ListParagraph"/>
              <w:numPr>
                <w:ilvl w:val="0"/>
                <w:numId w:val="15"/>
              </w:numPr>
              <w:spacing w:before="240" w:line="276" w:lineRule="auto"/>
              <w:rPr>
                <w:lang w:bidi="th-TH"/>
              </w:rPr>
            </w:pPr>
            <w:r w:rsidRPr="001157B7">
              <w:rPr>
                <w:b/>
                <w:bCs/>
                <w:lang w:bidi="th-TH"/>
              </w:rPr>
              <w:t>NOTED</w:t>
            </w:r>
            <w:r w:rsidRPr="001157B7">
              <w:rPr>
                <w:lang w:bidi="th-TH"/>
              </w:rPr>
              <w:t xml:space="preserve"> the minutes of Meeting 5 were endorsed out of session and published to the website</w:t>
            </w:r>
          </w:p>
          <w:p w14:paraId="03CA4E57" w14:textId="77777777" w:rsidR="00474BBD" w:rsidRPr="001157B7" w:rsidRDefault="00474BBD" w:rsidP="001157B7">
            <w:pPr>
              <w:pStyle w:val="ListParagraph"/>
              <w:numPr>
                <w:ilvl w:val="0"/>
                <w:numId w:val="15"/>
              </w:numPr>
              <w:spacing w:before="240" w:line="276" w:lineRule="auto"/>
              <w:rPr>
                <w:lang w:bidi="th-TH"/>
              </w:rPr>
            </w:pPr>
            <w:r w:rsidRPr="001157B7">
              <w:rPr>
                <w:b/>
                <w:bCs/>
                <w:lang w:bidi="th-TH"/>
              </w:rPr>
              <w:t>NOTED</w:t>
            </w:r>
            <w:r w:rsidRPr="001157B7">
              <w:rPr>
                <w:lang w:bidi="th-TH"/>
              </w:rPr>
              <w:t xml:space="preserve"> the actions list and the update provided.</w:t>
            </w:r>
          </w:p>
        </w:tc>
      </w:tr>
      <w:tr w:rsidR="00474BBD" w14:paraId="242B9CA3" w14:textId="77777777" w:rsidTr="001157B7">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B3E5150" w14:textId="77777777" w:rsidR="00474BBD" w:rsidRPr="001157B7" w:rsidRDefault="00474BBD" w:rsidP="001157B7">
            <w:pPr>
              <w:spacing w:before="240" w:line="276" w:lineRule="auto"/>
              <w:rPr>
                <w:b/>
                <w:bCs/>
              </w:rPr>
            </w:pPr>
            <w:r w:rsidRPr="001157B7">
              <w:rPr>
                <w:rFonts w:eastAsia="Calibri"/>
                <w:b/>
                <w:bCs/>
              </w:rPr>
              <w:t xml:space="preserve">Action items </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0C23B70" w14:textId="77777777" w:rsidR="00474BBD" w:rsidRPr="001157B7" w:rsidRDefault="00474BBD" w:rsidP="001157B7">
            <w:pPr>
              <w:spacing w:before="240" w:line="276" w:lineRule="auto"/>
              <w:rPr>
                <w:b/>
                <w:bCs/>
              </w:rPr>
            </w:pPr>
            <w:r w:rsidRPr="001157B7">
              <w:rPr>
                <w:rFonts w:eastAsia="Calibri"/>
                <w:b/>
                <w:bCs/>
              </w:rPr>
              <w:t>Responsibility</w:t>
            </w:r>
          </w:p>
        </w:tc>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66F0C35"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41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D3422E6" w14:textId="77777777" w:rsidR="00474BBD" w:rsidRPr="001157B7" w:rsidRDefault="00474BBD" w:rsidP="001157B7">
            <w:pPr>
              <w:spacing w:before="240" w:line="276" w:lineRule="auto"/>
              <w:rPr>
                <w:b/>
                <w:bCs/>
              </w:rPr>
            </w:pPr>
            <w:r w:rsidRPr="001157B7">
              <w:rPr>
                <w:rFonts w:eastAsia="Calibri"/>
                <w:b/>
                <w:bCs/>
              </w:rPr>
              <w:t>Status</w:t>
            </w:r>
          </w:p>
        </w:tc>
      </w:tr>
      <w:tr w:rsidR="00474BBD" w14:paraId="6E206092" w14:textId="77777777" w:rsidTr="00202714">
        <w:tc>
          <w:tcPr>
            <w:tcW w:w="567" w:type="dxa"/>
            <w:tcBorders>
              <w:top w:val="single" w:sz="4" w:space="0" w:color="auto"/>
              <w:left w:val="single" w:sz="4" w:space="0" w:color="auto"/>
              <w:bottom w:val="single" w:sz="4" w:space="0" w:color="auto"/>
              <w:right w:val="single" w:sz="4" w:space="0" w:color="auto"/>
            </w:tcBorders>
          </w:tcPr>
          <w:p w14:paraId="3824CCD7" w14:textId="77777777" w:rsidR="00474BBD" w:rsidRDefault="00474BBD" w:rsidP="001157B7">
            <w:pPr>
              <w:spacing w:before="240" w:line="276" w:lineRule="auto"/>
            </w:pPr>
          </w:p>
        </w:tc>
        <w:tc>
          <w:tcPr>
            <w:tcW w:w="4536" w:type="dxa"/>
            <w:tcBorders>
              <w:top w:val="single" w:sz="4" w:space="0" w:color="auto"/>
              <w:left w:val="single" w:sz="4" w:space="0" w:color="auto"/>
              <w:bottom w:val="single" w:sz="4" w:space="0" w:color="auto"/>
              <w:right w:val="single" w:sz="4" w:space="0" w:color="auto"/>
            </w:tcBorders>
            <w:hideMark/>
          </w:tcPr>
          <w:p w14:paraId="76D333B6" w14:textId="77777777" w:rsidR="00474BBD" w:rsidRDefault="00474BBD" w:rsidP="001157B7">
            <w:pPr>
              <w:spacing w:before="240" w:line="276" w:lineRule="auto"/>
            </w:pPr>
            <w:r>
              <w:t>Nil</w:t>
            </w:r>
          </w:p>
        </w:tc>
        <w:tc>
          <w:tcPr>
            <w:tcW w:w="1701" w:type="dxa"/>
            <w:tcBorders>
              <w:top w:val="single" w:sz="4" w:space="0" w:color="auto"/>
              <w:left w:val="single" w:sz="4" w:space="0" w:color="auto"/>
              <w:bottom w:val="single" w:sz="4" w:space="0" w:color="auto"/>
              <w:right w:val="single" w:sz="4" w:space="0" w:color="auto"/>
            </w:tcBorders>
          </w:tcPr>
          <w:p w14:paraId="1F73C4A1" w14:textId="77777777" w:rsidR="00474BBD" w:rsidRDefault="00474BBD" w:rsidP="001157B7">
            <w:pPr>
              <w:spacing w:before="240" w:line="276" w:lineRule="auto"/>
            </w:pPr>
          </w:p>
        </w:tc>
        <w:tc>
          <w:tcPr>
            <w:tcW w:w="1413" w:type="dxa"/>
            <w:tcBorders>
              <w:top w:val="single" w:sz="4" w:space="0" w:color="auto"/>
              <w:left w:val="single" w:sz="4" w:space="0" w:color="auto"/>
              <w:bottom w:val="single" w:sz="4" w:space="0" w:color="auto"/>
              <w:right w:val="single" w:sz="4" w:space="0" w:color="auto"/>
            </w:tcBorders>
          </w:tcPr>
          <w:p w14:paraId="374B238A" w14:textId="77777777" w:rsidR="00474BBD" w:rsidRDefault="00474BBD" w:rsidP="001157B7">
            <w:pPr>
              <w:spacing w:before="240" w:line="276" w:lineRule="auto"/>
            </w:pPr>
          </w:p>
        </w:tc>
        <w:tc>
          <w:tcPr>
            <w:tcW w:w="1417" w:type="dxa"/>
            <w:tcBorders>
              <w:top w:val="single" w:sz="4" w:space="0" w:color="auto"/>
              <w:left w:val="single" w:sz="4" w:space="0" w:color="auto"/>
              <w:bottom w:val="single" w:sz="4" w:space="0" w:color="auto"/>
              <w:right w:val="single" w:sz="4" w:space="0" w:color="auto"/>
            </w:tcBorders>
          </w:tcPr>
          <w:p w14:paraId="589F30CF" w14:textId="77777777" w:rsidR="00474BBD" w:rsidRDefault="00474BBD" w:rsidP="001157B7">
            <w:pPr>
              <w:spacing w:before="240" w:line="276" w:lineRule="auto"/>
            </w:pPr>
          </w:p>
        </w:tc>
      </w:tr>
    </w:tbl>
    <w:p w14:paraId="6B25A60A" w14:textId="3346F46E" w:rsidR="00474BBD" w:rsidRDefault="00474BBD" w:rsidP="001157B7">
      <w:pPr>
        <w:spacing w:before="240" w:line="276" w:lineRule="auto"/>
        <w:rPr>
          <w:iCs/>
          <w:lang w:bidi="en-US"/>
        </w:rPr>
      </w:pPr>
    </w:p>
    <w:p w14:paraId="5A73AF33" w14:textId="23150FF2" w:rsidR="00B92BEC" w:rsidRDefault="00B92BEC" w:rsidP="001157B7">
      <w:pPr>
        <w:spacing w:before="240" w:line="276" w:lineRule="auto"/>
        <w:rPr>
          <w:iCs/>
          <w:lang w:bidi="en-US"/>
        </w:rPr>
      </w:pPr>
    </w:p>
    <w:p w14:paraId="7A117746" w14:textId="77777777" w:rsidR="00B92BEC" w:rsidRDefault="00B92BEC" w:rsidP="001157B7">
      <w:pPr>
        <w:spacing w:before="240" w:line="276" w:lineRule="auto"/>
        <w:rPr>
          <w:iCs/>
          <w:lang w:bidi="en-US"/>
        </w:rPr>
      </w:pPr>
    </w:p>
    <w:tbl>
      <w:tblPr>
        <w:tblStyle w:val="TableGrid"/>
        <w:tblW w:w="9645" w:type="dxa"/>
        <w:tblInd w:w="-147" w:type="dxa"/>
        <w:tblLayout w:type="fixed"/>
        <w:tblLook w:val="06A0" w:firstRow="1" w:lastRow="0" w:firstColumn="1" w:lastColumn="0" w:noHBand="1" w:noVBand="1"/>
      </w:tblPr>
      <w:tblGrid>
        <w:gridCol w:w="567"/>
        <w:gridCol w:w="4538"/>
        <w:gridCol w:w="1702"/>
        <w:gridCol w:w="1561"/>
        <w:gridCol w:w="1277"/>
      </w:tblGrid>
      <w:tr w:rsidR="00474BBD" w14:paraId="5B8DE651" w14:textId="77777777" w:rsidTr="001157B7">
        <w:tc>
          <w:tcPr>
            <w:tcW w:w="9640"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E5FC825" w14:textId="77777777" w:rsidR="00474BBD" w:rsidRPr="001157B7" w:rsidRDefault="00474BBD" w:rsidP="00B92BEC">
            <w:pPr>
              <w:spacing w:before="240" w:line="360" w:lineRule="auto"/>
              <w:rPr>
                <w:b/>
                <w:bCs/>
                <w:iCs/>
                <w:lang w:bidi="en-US"/>
              </w:rPr>
            </w:pPr>
            <w:r w:rsidRPr="00B92BEC">
              <w:rPr>
                <w:rFonts w:eastAsiaTheme="minorEastAsia"/>
                <w:b/>
                <w:bCs/>
              </w:rPr>
              <w:lastRenderedPageBreak/>
              <w:t>Agenda</w:t>
            </w:r>
            <w:r w:rsidRPr="001157B7">
              <w:rPr>
                <w:b/>
                <w:bCs/>
                <w:iCs/>
                <w:lang w:bidi="en-US"/>
              </w:rPr>
              <w:t xml:space="preserve"> Item 2 – General Manager’s Update</w:t>
            </w:r>
          </w:p>
        </w:tc>
      </w:tr>
      <w:tr w:rsidR="00474BBD" w14:paraId="3243A029" w14:textId="77777777" w:rsidTr="00202714">
        <w:tc>
          <w:tcPr>
            <w:tcW w:w="9640" w:type="dxa"/>
            <w:gridSpan w:val="5"/>
            <w:tcBorders>
              <w:top w:val="single" w:sz="4" w:space="0" w:color="auto"/>
              <w:left w:val="single" w:sz="4" w:space="0" w:color="auto"/>
              <w:bottom w:val="single" w:sz="4" w:space="0" w:color="auto"/>
              <w:right w:val="single" w:sz="4" w:space="0" w:color="auto"/>
            </w:tcBorders>
            <w:hideMark/>
          </w:tcPr>
          <w:p w14:paraId="6DC99813" w14:textId="77777777" w:rsidR="00474BBD" w:rsidRDefault="00474BBD" w:rsidP="001157B7">
            <w:pPr>
              <w:spacing w:before="240" w:line="276" w:lineRule="auto"/>
              <w:rPr>
                <w:lang w:bidi="en-US"/>
              </w:rPr>
            </w:pPr>
            <w:r>
              <w:rPr>
                <w:lang w:bidi="en-US"/>
              </w:rPr>
              <w:t>The General Manager provided a summary on progress and the major risks and challenges within the Program, including:</w:t>
            </w:r>
          </w:p>
          <w:p w14:paraId="69DC0B42" w14:textId="77777777" w:rsidR="00474BBD" w:rsidRDefault="00474BBD" w:rsidP="001157B7">
            <w:pPr>
              <w:spacing w:before="240" w:line="276" w:lineRule="auto"/>
              <w:rPr>
                <w:lang w:bidi="en-US"/>
              </w:rPr>
            </w:pPr>
            <w:r>
              <w:rPr>
                <w:i/>
                <w:iCs/>
                <w:lang w:bidi="en-US"/>
              </w:rPr>
              <w:t>Program Funding</w:t>
            </w:r>
            <w:r>
              <w:rPr>
                <w:lang w:bidi="en-US"/>
              </w:rPr>
              <w:t>:</w:t>
            </w:r>
          </w:p>
          <w:p w14:paraId="39A8D4A5" w14:textId="77777777" w:rsidR="00474BBD" w:rsidRPr="00B92BEC" w:rsidRDefault="00474BBD" w:rsidP="00B92BEC">
            <w:pPr>
              <w:pStyle w:val="ListParagraph"/>
              <w:numPr>
                <w:ilvl w:val="0"/>
                <w:numId w:val="31"/>
              </w:numPr>
              <w:spacing w:before="240" w:line="276" w:lineRule="auto"/>
              <w:rPr>
                <w:lang w:bidi="en-US"/>
              </w:rPr>
            </w:pPr>
            <w:r w:rsidRPr="00B92BEC">
              <w:rPr>
                <w:lang w:bidi="en-US"/>
              </w:rPr>
              <w:t>the Steering Committee has determined that a threat to the Program objectives has been triggered as the cost of delivering the planned activities exceeds the proposed budget for delivering eradication.  The National Biosecurity Committee (NBC) has been advised and an options proposal submitted for future funding.  It will progress through the Agricultural Senior Officials Committee (AGSOC) to the Agriculture Ministers for a decision on the future of the Program.</w:t>
            </w:r>
          </w:p>
          <w:p w14:paraId="1CF28679" w14:textId="77777777" w:rsidR="00474BBD" w:rsidRPr="00B92BEC" w:rsidRDefault="00474BBD" w:rsidP="00B92BEC">
            <w:pPr>
              <w:pStyle w:val="ListParagraph"/>
              <w:numPr>
                <w:ilvl w:val="0"/>
                <w:numId w:val="31"/>
              </w:numPr>
              <w:spacing w:before="240" w:line="276" w:lineRule="auto"/>
              <w:rPr>
                <w:lang w:bidi="en-US"/>
              </w:rPr>
            </w:pPr>
            <w:r w:rsidRPr="00B92BEC">
              <w:rPr>
                <w:lang w:bidi="en-US"/>
              </w:rPr>
              <w:t xml:space="preserve">The Program was initially costed based on the review released in 2016, of which a major component was a modelling exercise based on a much smaller model area.  The funds for the Ten-Year Program were not available until 2017, by which time things had progressed and now requirements do not align with the initial costings. </w:t>
            </w:r>
          </w:p>
          <w:p w14:paraId="1F1DA334" w14:textId="77777777" w:rsidR="00474BBD" w:rsidRPr="00B92BEC" w:rsidRDefault="00474BBD" w:rsidP="00B92BEC">
            <w:pPr>
              <w:pStyle w:val="ListParagraph"/>
              <w:numPr>
                <w:ilvl w:val="0"/>
                <w:numId w:val="31"/>
              </w:numPr>
              <w:spacing w:before="240" w:line="276" w:lineRule="auto"/>
              <w:rPr>
                <w:lang w:bidi="en-US"/>
              </w:rPr>
            </w:pPr>
            <w:r w:rsidRPr="00B92BEC">
              <w:rPr>
                <w:lang w:bidi="en-US"/>
              </w:rPr>
              <w:t>There has been a new detection of fire ants at the Port of Brisbane.  This detection is genetically different to the current infestation and has come from the United State of America through containers.  The Commonwealth are currently leading the response to this detection as it is a border detection.</w:t>
            </w:r>
          </w:p>
          <w:p w14:paraId="4F0AD429" w14:textId="77777777" w:rsidR="00474BBD" w:rsidRPr="00B92BEC" w:rsidRDefault="00474BBD" w:rsidP="00B92BEC">
            <w:pPr>
              <w:pStyle w:val="ListParagraph"/>
              <w:numPr>
                <w:ilvl w:val="0"/>
                <w:numId w:val="31"/>
              </w:numPr>
              <w:spacing w:before="240" w:line="276" w:lineRule="auto"/>
              <w:rPr>
                <w:lang w:bidi="en-US"/>
              </w:rPr>
            </w:pPr>
            <w:r w:rsidRPr="00B92BEC">
              <w:rPr>
                <w:lang w:bidi="en-US"/>
              </w:rPr>
              <w:t>Malcolm Letts, Chief Biosecurity Officer (DAF), Wendy Craik and Graeme Dudgeon have held individual meetings with cost share partners to discuss the future funding and requirements of the Program.</w:t>
            </w:r>
          </w:p>
          <w:p w14:paraId="6D7A13AA" w14:textId="77777777" w:rsidR="00474BBD" w:rsidRPr="00B92BEC" w:rsidRDefault="00474BBD" w:rsidP="00B92BEC">
            <w:pPr>
              <w:pStyle w:val="ListParagraph"/>
              <w:numPr>
                <w:ilvl w:val="0"/>
                <w:numId w:val="31"/>
              </w:numPr>
              <w:spacing w:before="240" w:line="276" w:lineRule="auto"/>
              <w:rPr>
                <w:lang w:bidi="en-US"/>
              </w:rPr>
            </w:pPr>
            <w:r w:rsidRPr="00B92BEC">
              <w:rPr>
                <w:lang w:bidi="en-US"/>
              </w:rPr>
              <w:t>The Steering Committee is currently selecting a review panel to undertake the second more strategic Efficiency and Effectiveness (E&amp;E) Review of the Program and to review the future strategy, consider whether eradication is still possible, and separately commission some cost benefit analysis of the different options.</w:t>
            </w:r>
          </w:p>
          <w:p w14:paraId="7F515ABD" w14:textId="77777777" w:rsidR="00474BBD" w:rsidRPr="00B92BEC" w:rsidRDefault="00474BBD" w:rsidP="00B92BEC">
            <w:pPr>
              <w:pStyle w:val="ListParagraph"/>
              <w:numPr>
                <w:ilvl w:val="0"/>
                <w:numId w:val="31"/>
              </w:numPr>
              <w:spacing w:before="240" w:line="276" w:lineRule="auto"/>
              <w:rPr>
                <w:lang w:bidi="en-US"/>
              </w:rPr>
            </w:pPr>
            <w:r w:rsidRPr="00B92BEC">
              <w:rPr>
                <w:lang w:bidi="en-US"/>
              </w:rPr>
              <w:t>Risks associated with the funding shortfall include misinformation in the public arena, staffing and contractual commitments within the Program.</w:t>
            </w:r>
          </w:p>
          <w:p w14:paraId="6F12F9C5" w14:textId="77777777" w:rsidR="00474BBD" w:rsidRDefault="00474BBD" w:rsidP="001157B7">
            <w:pPr>
              <w:spacing w:before="240" w:line="276" w:lineRule="auto"/>
              <w:rPr>
                <w:i/>
                <w:iCs/>
                <w:lang w:bidi="en-US"/>
              </w:rPr>
            </w:pPr>
            <w:r>
              <w:rPr>
                <w:i/>
                <w:iCs/>
                <w:lang w:bidi="en-US"/>
              </w:rPr>
              <w:t xml:space="preserve">Communication Constraints </w:t>
            </w:r>
          </w:p>
          <w:p w14:paraId="4604F72C" w14:textId="77777777" w:rsidR="00474BBD" w:rsidRPr="00B92BEC" w:rsidRDefault="00474BBD" w:rsidP="00B92BEC">
            <w:pPr>
              <w:pStyle w:val="ListParagraph"/>
              <w:numPr>
                <w:ilvl w:val="0"/>
                <w:numId w:val="32"/>
              </w:numPr>
              <w:spacing w:before="240" w:line="276" w:lineRule="auto"/>
              <w:rPr>
                <w:lang w:bidi="en-US"/>
              </w:rPr>
            </w:pPr>
            <w:r w:rsidRPr="00B92BEC">
              <w:rPr>
                <w:lang w:bidi="en-US"/>
              </w:rPr>
              <w:t>The Program’s communication strategy is currently constrained by Queensland Government processes, making it more complex and this could be an impediment for public awareness of fire ants.  This could be a major issue for the Program by adding further costs and delays and will be raised within the Review by the Steering Committee Chair.</w:t>
            </w:r>
          </w:p>
          <w:p w14:paraId="478B2F85" w14:textId="77777777" w:rsidR="00474BBD" w:rsidRDefault="00474BBD" w:rsidP="001157B7">
            <w:pPr>
              <w:spacing w:before="240" w:line="276" w:lineRule="auto"/>
              <w:rPr>
                <w:i/>
                <w:iCs/>
                <w:lang w:bidi="en-US"/>
              </w:rPr>
            </w:pPr>
            <w:r>
              <w:rPr>
                <w:i/>
                <w:iCs/>
                <w:lang w:bidi="en-US"/>
              </w:rPr>
              <w:t>Remote Sensing Surveillance:</w:t>
            </w:r>
          </w:p>
          <w:p w14:paraId="41AAE7AB" w14:textId="77777777" w:rsidR="00474BBD" w:rsidRPr="00B92BEC" w:rsidRDefault="00474BBD" w:rsidP="00B92BEC">
            <w:pPr>
              <w:pStyle w:val="ListParagraph"/>
              <w:numPr>
                <w:ilvl w:val="0"/>
                <w:numId w:val="32"/>
              </w:numPr>
              <w:spacing w:before="240" w:line="276" w:lineRule="auto"/>
              <w:rPr>
                <w:lang w:bidi="en-US"/>
              </w:rPr>
            </w:pPr>
            <w:r w:rsidRPr="00B92BEC">
              <w:rPr>
                <w:lang w:bidi="en-US"/>
              </w:rPr>
              <w:t xml:space="preserve">Remote sensing is at a point where it is ready for full operational deployment this winter.  However, there are some concerns in relation to the ownership of the intellectual property that sits behind it, between the Program and its contractor.  DAF internal legal are providing advice on our current position in relation to the contract. The risk is the Program may not </w:t>
            </w:r>
            <w:proofErr w:type="gramStart"/>
            <w:r w:rsidRPr="00B92BEC">
              <w:rPr>
                <w:lang w:bidi="en-US"/>
              </w:rPr>
              <w:t>enter into</w:t>
            </w:r>
            <w:proofErr w:type="gramEnd"/>
            <w:r w:rsidRPr="00B92BEC">
              <w:rPr>
                <w:lang w:bidi="en-US"/>
              </w:rPr>
              <w:t xml:space="preserve"> the contract this year, which would delay remote sensing.</w:t>
            </w:r>
          </w:p>
          <w:p w14:paraId="5486699B" w14:textId="77777777" w:rsidR="00474BBD" w:rsidRDefault="00474BBD" w:rsidP="001157B7">
            <w:pPr>
              <w:spacing w:before="240" w:line="276" w:lineRule="auto"/>
              <w:rPr>
                <w:i/>
                <w:iCs/>
                <w:lang w:bidi="en-US"/>
              </w:rPr>
            </w:pPr>
            <w:r>
              <w:rPr>
                <w:i/>
                <w:iCs/>
                <w:lang w:bidi="en-US"/>
              </w:rPr>
              <w:t>Southern Containment</w:t>
            </w:r>
          </w:p>
          <w:p w14:paraId="438E3B05" w14:textId="77777777" w:rsidR="00474BBD" w:rsidRPr="00B92BEC" w:rsidRDefault="00474BBD" w:rsidP="00B92BEC">
            <w:pPr>
              <w:pStyle w:val="ListParagraph"/>
              <w:numPr>
                <w:ilvl w:val="0"/>
                <w:numId w:val="32"/>
              </w:numPr>
              <w:spacing w:before="240" w:line="276" w:lineRule="auto"/>
              <w:rPr>
                <w:lang w:bidi="en-US"/>
              </w:rPr>
            </w:pPr>
            <w:r w:rsidRPr="00B92BEC">
              <w:rPr>
                <w:lang w:bidi="en-US"/>
              </w:rPr>
              <w:t>The current effort is to stop fire ants spreading further south. This includes self</w:t>
            </w:r>
            <w:r w:rsidRPr="00B92BEC">
              <w:rPr>
                <w:lang w:bidi="en-US"/>
              </w:rPr>
              <w:noBreakHyphen/>
              <w:t>management pilots on the southern boundary where the Program enlists residents to assist.</w:t>
            </w:r>
          </w:p>
          <w:p w14:paraId="427B153E" w14:textId="77777777" w:rsidR="00474BBD" w:rsidRPr="00B92BEC" w:rsidRDefault="00474BBD" w:rsidP="00B92BEC">
            <w:pPr>
              <w:pStyle w:val="ListParagraph"/>
              <w:numPr>
                <w:ilvl w:val="0"/>
                <w:numId w:val="32"/>
              </w:numPr>
              <w:spacing w:before="240" w:line="276" w:lineRule="auto"/>
              <w:rPr>
                <w:lang w:bidi="en-US"/>
              </w:rPr>
            </w:pPr>
            <w:r w:rsidRPr="00B92BEC">
              <w:rPr>
                <w:lang w:bidi="en-US"/>
              </w:rPr>
              <w:lastRenderedPageBreak/>
              <w:t>Raised at the Environment and Invasives Committee recently, was whether there is any consideration of compulsory prophylactic treatment for fire ants by landowners at the time of ownership change over from developers.</w:t>
            </w:r>
          </w:p>
          <w:p w14:paraId="06EAD0FB" w14:textId="77777777" w:rsidR="00474BBD" w:rsidRPr="00B92BEC" w:rsidRDefault="00474BBD" w:rsidP="00B92BEC">
            <w:pPr>
              <w:pStyle w:val="ListParagraph"/>
              <w:numPr>
                <w:ilvl w:val="0"/>
                <w:numId w:val="32"/>
              </w:numPr>
              <w:spacing w:before="240" w:line="276" w:lineRule="auto"/>
              <w:rPr>
                <w:lang w:bidi="en-US"/>
              </w:rPr>
            </w:pPr>
            <w:r w:rsidRPr="00B92BEC">
              <w:rPr>
                <w:lang w:bidi="en-US"/>
              </w:rPr>
              <w:t xml:space="preserve">Use of the development approval process to impose fire ant mitigation at times of ownership change has been debated.  </w:t>
            </w:r>
          </w:p>
          <w:p w14:paraId="795FDE69" w14:textId="77777777" w:rsidR="00474BBD" w:rsidRPr="00B92BEC" w:rsidRDefault="00474BBD" w:rsidP="00B92BEC">
            <w:pPr>
              <w:pStyle w:val="ListParagraph"/>
              <w:numPr>
                <w:ilvl w:val="0"/>
                <w:numId w:val="32"/>
              </w:numPr>
              <w:spacing w:before="240" w:line="276" w:lineRule="auto"/>
              <w:rPr>
                <w:lang w:bidi="en-US"/>
              </w:rPr>
            </w:pPr>
            <w:r w:rsidRPr="00B92BEC">
              <w:rPr>
                <w:lang w:bidi="en-US"/>
              </w:rPr>
              <w:t>The Program requires residents undertaking self-management to be in a routine of baiting and rebaiting until eradication.  It is planned to start them with a round or two and they continue to self-treat.</w:t>
            </w:r>
          </w:p>
          <w:p w14:paraId="6DE448F2" w14:textId="77777777" w:rsidR="00474BBD" w:rsidRPr="00B92BEC" w:rsidRDefault="00474BBD" w:rsidP="00B92BEC">
            <w:pPr>
              <w:pStyle w:val="ListParagraph"/>
              <w:numPr>
                <w:ilvl w:val="0"/>
                <w:numId w:val="32"/>
              </w:numPr>
              <w:spacing w:before="240" w:line="276" w:lineRule="auto"/>
              <w:rPr>
                <w:lang w:bidi="en-US"/>
              </w:rPr>
            </w:pPr>
            <w:r w:rsidRPr="00B92BEC">
              <w:rPr>
                <w:lang w:bidi="en-US"/>
              </w:rPr>
              <w:t xml:space="preserve">The Program is currently considering the provision of bait for self-management.  Providing bait across the board would involve a substantial cost, with some offsets including reductions in treatment recalls.  The cost of bait to the Program is approximately one quarter of the retail cost. </w:t>
            </w:r>
          </w:p>
          <w:p w14:paraId="69CF4DD8" w14:textId="77777777" w:rsidR="00474BBD" w:rsidRPr="00B92BEC" w:rsidRDefault="00474BBD" w:rsidP="00B92BEC">
            <w:pPr>
              <w:pStyle w:val="ListParagraph"/>
              <w:numPr>
                <w:ilvl w:val="0"/>
                <w:numId w:val="32"/>
              </w:numPr>
              <w:spacing w:before="240" w:line="276" w:lineRule="auto"/>
              <w:rPr>
                <w:lang w:bidi="en-US"/>
              </w:rPr>
            </w:pPr>
            <w:r w:rsidRPr="00B92BEC">
              <w:rPr>
                <w:lang w:bidi="en-US"/>
              </w:rPr>
              <w:t>Self-management will be built into the E&amp;E Review.</w:t>
            </w:r>
          </w:p>
          <w:p w14:paraId="50EA40E4" w14:textId="77777777" w:rsidR="00474BBD" w:rsidRDefault="00474BBD" w:rsidP="001157B7">
            <w:pPr>
              <w:spacing w:before="240" w:line="276" w:lineRule="auto"/>
              <w:rPr>
                <w:lang w:bidi="en-US"/>
              </w:rPr>
            </w:pPr>
            <w:r>
              <w:rPr>
                <w:lang w:bidi="en-US"/>
              </w:rPr>
              <w:t>The Sub-Committee:</w:t>
            </w:r>
          </w:p>
          <w:p w14:paraId="45C85A79" w14:textId="77777777" w:rsidR="00474BBD" w:rsidRPr="001157B7" w:rsidRDefault="00474BBD" w:rsidP="001157B7">
            <w:pPr>
              <w:pStyle w:val="ListParagraph"/>
              <w:numPr>
                <w:ilvl w:val="0"/>
                <w:numId w:val="14"/>
              </w:numPr>
              <w:spacing w:before="240" w:line="276" w:lineRule="auto"/>
              <w:rPr>
                <w:lang w:bidi="en-US"/>
              </w:rPr>
            </w:pPr>
            <w:r w:rsidRPr="001157B7">
              <w:rPr>
                <w:b/>
                <w:bCs/>
                <w:lang w:bidi="en-US"/>
              </w:rPr>
              <w:t>NOTED</w:t>
            </w:r>
            <w:r w:rsidRPr="001157B7">
              <w:rPr>
                <w:lang w:bidi="en-US"/>
              </w:rPr>
              <w:t xml:space="preserve"> the update on the Program provided by the General Manager.</w:t>
            </w:r>
          </w:p>
        </w:tc>
      </w:tr>
      <w:tr w:rsidR="00474BBD" w14:paraId="0D9A19E5" w14:textId="77777777" w:rsidTr="001157B7">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641451" w14:textId="77777777" w:rsidR="00474BBD" w:rsidRPr="001157B7" w:rsidRDefault="00474BBD" w:rsidP="001157B7">
            <w:pPr>
              <w:spacing w:before="240" w:line="276" w:lineRule="auto"/>
              <w:rPr>
                <w:b/>
                <w:bCs/>
              </w:rPr>
            </w:pPr>
            <w:r w:rsidRPr="001157B7">
              <w:rPr>
                <w:rFonts w:eastAsia="Calibri"/>
                <w:b/>
                <w:bCs/>
              </w:rPr>
              <w:lastRenderedPageBreak/>
              <w:t>Action items</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56C55F3" w14:textId="77777777" w:rsidR="00474BBD" w:rsidRPr="001157B7" w:rsidRDefault="00474BBD" w:rsidP="001157B7">
            <w:pPr>
              <w:spacing w:before="240" w:line="276" w:lineRule="auto"/>
              <w:rPr>
                <w:b/>
                <w:bCs/>
              </w:rPr>
            </w:pPr>
            <w:r w:rsidRPr="001157B7">
              <w:rPr>
                <w:rFonts w:eastAsia="Calibri"/>
                <w:b/>
                <w:bCs/>
              </w:rPr>
              <w:t>Responsibility</w:t>
            </w:r>
          </w:p>
        </w:tc>
        <w:tc>
          <w:tcPr>
            <w:tcW w:w="156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829FBAF"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DA92916" w14:textId="77777777" w:rsidR="00474BBD" w:rsidRPr="001157B7" w:rsidRDefault="00474BBD" w:rsidP="001157B7">
            <w:pPr>
              <w:spacing w:before="240" w:line="276" w:lineRule="auto"/>
              <w:rPr>
                <w:b/>
                <w:bCs/>
              </w:rPr>
            </w:pPr>
            <w:r w:rsidRPr="001157B7">
              <w:rPr>
                <w:rFonts w:eastAsia="Calibri"/>
                <w:b/>
                <w:bCs/>
              </w:rPr>
              <w:t>Status</w:t>
            </w:r>
          </w:p>
        </w:tc>
      </w:tr>
      <w:tr w:rsidR="00474BBD" w14:paraId="2F3D663E" w14:textId="77777777" w:rsidTr="00202714">
        <w:trPr>
          <w:trHeight w:val="363"/>
        </w:trPr>
        <w:tc>
          <w:tcPr>
            <w:tcW w:w="567" w:type="dxa"/>
            <w:tcBorders>
              <w:top w:val="single" w:sz="4" w:space="0" w:color="auto"/>
              <w:left w:val="single" w:sz="4" w:space="0" w:color="auto"/>
              <w:bottom w:val="single" w:sz="4" w:space="0" w:color="auto"/>
              <w:right w:val="single" w:sz="4" w:space="0" w:color="auto"/>
            </w:tcBorders>
          </w:tcPr>
          <w:p w14:paraId="6BE0250E" w14:textId="77777777" w:rsidR="00474BBD" w:rsidRDefault="00474BBD" w:rsidP="001157B7">
            <w:pPr>
              <w:spacing w:before="240" w:line="276" w:lineRule="auto"/>
            </w:pPr>
          </w:p>
        </w:tc>
        <w:tc>
          <w:tcPr>
            <w:tcW w:w="4536" w:type="dxa"/>
            <w:tcBorders>
              <w:top w:val="single" w:sz="4" w:space="0" w:color="auto"/>
              <w:left w:val="single" w:sz="4" w:space="0" w:color="auto"/>
              <w:bottom w:val="single" w:sz="4" w:space="0" w:color="auto"/>
              <w:right w:val="single" w:sz="4" w:space="0" w:color="auto"/>
            </w:tcBorders>
            <w:hideMark/>
          </w:tcPr>
          <w:p w14:paraId="10FA7323" w14:textId="77777777" w:rsidR="00474BBD" w:rsidRDefault="00474BBD" w:rsidP="001157B7">
            <w:pPr>
              <w:spacing w:before="240" w:line="276" w:lineRule="auto"/>
            </w:pPr>
            <w:r>
              <w:t>Nil</w:t>
            </w:r>
          </w:p>
        </w:tc>
        <w:tc>
          <w:tcPr>
            <w:tcW w:w="1701" w:type="dxa"/>
            <w:tcBorders>
              <w:top w:val="single" w:sz="4" w:space="0" w:color="auto"/>
              <w:left w:val="single" w:sz="4" w:space="0" w:color="auto"/>
              <w:bottom w:val="single" w:sz="4" w:space="0" w:color="auto"/>
              <w:right w:val="single" w:sz="4" w:space="0" w:color="auto"/>
            </w:tcBorders>
          </w:tcPr>
          <w:p w14:paraId="731FD2AA" w14:textId="77777777" w:rsidR="00474BBD" w:rsidRDefault="00474BBD" w:rsidP="001157B7">
            <w:pPr>
              <w:spacing w:before="240" w:line="276" w:lineRule="auto"/>
            </w:pPr>
          </w:p>
        </w:tc>
        <w:tc>
          <w:tcPr>
            <w:tcW w:w="1560" w:type="dxa"/>
            <w:tcBorders>
              <w:top w:val="single" w:sz="4" w:space="0" w:color="auto"/>
              <w:left w:val="single" w:sz="4" w:space="0" w:color="auto"/>
              <w:bottom w:val="single" w:sz="4" w:space="0" w:color="auto"/>
              <w:right w:val="single" w:sz="4" w:space="0" w:color="auto"/>
            </w:tcBorders>
          </w:tcPr>
          <w:p w14:paraId="26E1B281" w14:textId="77777777" w:rsidR="00474BBD" w:rsidRDefault="00474BBD" w:rsidP="001157B7">
            <w:pPr>
              <w:spacing w:before="240" w:line="276" w:lineRule="auto"/>
            </w:pPr>
          </w:p>
        </w:tc>
        <w:tc>
          <w:tcPr>
            <w:tcW w:w="1276" w:type="dxa"/>
            <w:tcBorders>
              <w:top w:val="single" w:sz="4" w:space="0" w:color="auto"/>
              <w:left w:val="single" w:sz="4" w:space="0" w:color="auto"/>
              <w:bottom w:val="single" w:sz="4" w:space="0" w:color="auto"/>
              <w:right w:val="single" w:sz="4" w:space="0" w:color="auto"/>
            </w:tcBorders>
          </w:tcPr>
          <w:p w14:paraId="3B89C453" w14:textId="77777777" w:rsidR="00474BBD" w:rsidRDefault="00474BBD" w:rsidP="001157B7">
            <w:pPr>
              <w:spacing w:before="240" w:line="276" w:lineRule="auto"/>
            </w:pPr>
          </w:p>
        </w:tc>
      </w:tr>
    </w:tbl>
    <w:p w14:paraId="618813F1" w14:textId="67A453C4" w:rsidR="00474BBD" w:rsidRDefault="00474BBD" w:rsidP="001157B7">
      <w:pPr>
        <w:spacing w:before="240" w:line="276" w:lineRule="auto"/>
        <w:rPr>
          <w:iCs/>
          <w:lang w:bidi="en-US"/>
        </w:rPr>
      </w:pPr>
    </w:p>
    <w:p w14:paraId="262E7420" w14:textId="77777777" w:rsidR="00981E50" w:rsidRDefault="00981E50" w:rsidP="001157B7">
      <w:pPr>
        <w:spacing w:before="240" w:line="276" w:lineRule="auto"/>
        <w:rPr>
          <w:iCs/>
          <w:lang w:bidi="en-US"/>
        </w:rPr>
      </w:pPr>
    </w:p>
    <w:tbl>
      <w:tblPr>
        <w:tblStyle w:val="TableGrid"/>
        <w:tblW w:w="9645" w:type="dxa"/>
        <w:tblInd w:w="-147" w:type="dxa"/>
        <w:tblLayout w:type="fixed"/>
        <w:tblLook w:val="06A0" w:firstRow="1" w:lastRow="0" w:firstColumn="1" w:lastColumn="0" w:noHBand="1" w:noVBand="1"/>
      </w:tblPr>
      <w:tblGrid>
        <w:gridCol w:w="567"/>
        <w:gridCol w:w="4537"/>
        <w:gridCol w:w="1704"/>
        <w:gridCol w:w="1560"/>
        <w:gridCol w:w="1277"/>
      </w:tblGrid>
      <w:tr w:rsidR="00474BBD" w14:paraId="48CEAD18" w14:textId="77777777" w:rsidTr="001157B7">
        <w:tc>
          <w:tcPr>
            <w:tcW w:w="9645"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7A9D148" w14:textId="77777777" w:rsidR="00474BBD" w:rsidRPr="001157B7" w:rsidRDefault="00474BBD" w:rsidP="00B92BEC">
            <w:pPr>
              <w:spacing w:before="240" w:line="360" w:lineRule="auto"/>
              <w:rPr>
                <w:b/>
                <w:bCs/>
              </w:rPr>
            </w:pPr>
            <w:r w:rsidRPr="001157B7">
              <w:rPr>
                <w:b/>
                <w:bCs/>
                <w:iCs/>
                <w:lang w:bidi="en-US"/>
              </w:rPr>
              <w:t xml:space="preserve">Agenda Item 3 – Risk </w:t>
            </w:r>
            <w:r w:rsidRPr="00B92BEC">
              <w:rPr>
                <w:rFonts w:eastAsiaTheme="minorEastAsia"/>
                <w:b/>
                <w:bCs/>
              </w:rPr>
              <w:t>and</w:t>
            </w:r>
            <w:r w:rsidRPr="001157B7">
              <w:rPr>
                <w:b/>
                <w:bCs/>
                <w:iCs/>
                <w:lang w:bidi="en-US"/>
              </w:rPr>
              <w:t xml:space="preserve"> Issues Status</w:t>
            </w:r>
          </w:p>
        </w:tc>
      </w:tr>
      <w:tr w:rsidR="00474BBD" w14:paraId="0D795FE1" w14:textId="77777777" w:rsidTr="001157B7">
        <w:tc>
          <w:tcPr>
            <w:tcW w:w="9645" w:type="dxa"/>
            <w:gridSpan w:val="5"/>
            <w:tcBorders>
              <w:top w:val="single" w:sz="4" w:space="0" w:color="auto"/>
              <w:left w:val="single" w:sz="4" w:space="0" w:color="auto"/>
              <w:bottom w:val="single" w:sz="4" w:space="0" w:color="auto"/>
              <w:right w:val="single" w:sz="4" w:space="0" w:color="auto"/>
            </w:tcBorders>
            <w:hideMark/>
          </w:tcPr>
          <w:p w14:paraId="3BD347F6" w14:textId="77777777" w:rsidR="00474BBD" w:rsidRDefault="00474BBD" w:rsidP="001157B7">
            <w:pPr>
              <w:spacing w:before="240" w:line="276" w:lineRule="auto"/>
              <w:rPr>
                <w:lang w:bidi="en-US"/>
              </w:rPr>
            </w:pPr>
            <w:r>
              <w:rPr>
                <w:lang w:bidi="en-US"/>
              </w:rPr>
              <w:t>Brian Bond provided an overview of the upgrades to the Risk Register, the reporting capability and the summary automatically generated from the Risk Register.</w:t>
            </w:r>
          </w:p>
          <w:p w14:paraId="337C84D4" w14:textId="77777777" w:rsidR="00474BBD" w:rsidRDefault="00474BBD" w:rsidP="001157B7">
            <w:pPr>
              <w:spacing w:before="240" w:line="276" w:lineRule="auto"/>
              <w:rPr>
                <w:lang w:bidi="en-US"/>
              </w:rPr>
            </w:pPr>
            <w:r>
              <w:rPr>
                <w:lang w:bidi="en-US"/>
              </w:rPr>
              <w:t>Enhancements suggested:</w:t>
            </w:r>
          </w:p>
          <w:p w14:paraId="4B009866" w14:textId="77777777" w:rsidR="00474BBD" w:rsidRPr="00BB271F" w:rsidRDefault="00474BBD" w:rsidP="00BB271F">
            <w:pPr>
              <w:pStyle w:val="ListParagraph"/>
              <w:numPr>
                <w:ilvl w:val="0"/>
                <w:numId w:val="14"/>
              </w:numPr>
              <w:spacing w:before="240" w:line="276" w:lineRule="auto"/>
              <w:rPr>
                <w:lang w:bidi="th-TH"/>
              </w:rPr>
            </w:pPr>
            <w:r w:rsidRPr="00BB271F">
              <w:rPr>
                <w:lang w:bidi="th-TH"/>
              </w:rPr>
              <w:t>include an ‘introductory user guide’ as the first tab of the Risk Register, and a tab ‘summary executive view’ with sufficient information to inform an executive audience (ensuring the summary report also summarises the changes made to the Risk Register)</w:t>
            </w:r>
          </w:p>
          <w:p w14:paraId="70E363A8" w14:textId="77777777" w:rsidR="00474BBD" w:rsidRPr="00BB271F" w:rsidRDefault="00474BBD" w:rsidP="00BB271F">
            <w:pPr>
              <w:pStyle w:val="ListParagraph"/>
              <w:numPr>
                <w:ilvl w:val="0"/>
                <w:numId w:val="14"/>
              </w:numPr>
              <w:spacing w:before="240" w:line="276" w:lineRule="auto"/>
              <w:rPr>
                <w:lang w:bidi="th-TH"/>
              </w:rPr>
            </w:pPr>
            <w:r w:rsidRPr="00BB271F">
              <w:rPr>
                <w:lang w:bidi="th-TH"/>
              </w:rPr>
              <w:t>consider better alignment of internal and external reporting to support the evidence base for public reporting</w:t>
            </w:r>
          </w:p>
          <w:p w14:paraId="5E7325BB" w14:textId="77777777" w:rsidR="00474BBD" w:rsidRPr="00BB271F" w:rsidRDefault="00474BBD" w:rsidP="00BB271F">
            <w:pPr>
              <w:pStyle w:val="ListParagraph"/>
              <w:numPr>
                <w:ilvl w:val="0"/>
                <w:numId w:val="14"/>
              </w:numPr>
              <w:spacing w:before="240" w:line="276" w:lineRule="auto"/>
              <w:rPr>
                <w:lang w:bidi="th-TH"/>
              </w:rPr>
            </w:pPr>
            <w:r w:rsidRPr="00BB271F">
              <w:rPr>
                <w:lang w:bidi="th-TH"/>
              </w:rPr>
              <w:t>ensure there is a quarterly archive version of the registers aligned to the quarterly reports</w:t>
            </w:r>
          </w:p>
          <w:p w14:paraId="027B60F6" w14:textId="77777777" w:rsidR="00474BBD" w:rsidRPr="00BB271F" w:rsidRDefault="00474BBD" w:rsidP="00BB271F">
            <w:pPr>
              <w:pStyle w:val="ListParagraph"/>
              <w:numPr>
                <w:ilvl w:val="0"/>
                <w:numId w:val="14"/>
              </w:numPr>
              <w:spacing w:before="240" w:line="276" w:lineRule="auto"/>
              <w:rPr>
                <w:lang w:bidi="th-TH"/>
              </w:rPr>
            </w:pPr>
            <w:r w:rsidRPr="00BB271F">
              <w:rPr>
                <w:lang w:bidi="th-TH"/>
              </w:rPr>
              <w:t xml:space="preserve">retain closed items in the registers for one meeting following closure to assist with continuity </w:t>
            </w:r>
          </w:p>
          <w:p w14:paraId="524371AB" w14:textId="77777777" w:rsidR="00474BBD" w:rsidRPr="00BB271F" w:rsidRDefault="00474BBD" w:rsidP="00BB271F">
            <w:pPr>
              <w:pStyle w:val="ListParagraph"/>
              <w:numPr>
                <w:ilvl w:val="0"/>
                <w:numId w:val="14"/>
              </w:numPr>
              <w:spacing w:before="240" w:line="276" w:lineRule="auto"/>
              <w:rPr>
                <w:lang w:bidi="th-TH"/>
              </w:rPr>
            </w:pPr>
            <w:r w:rsidRPr="00BB271F">
              <w:rPr>
                <w:lang w:bidi="th-TH"/>
              </w:rPr>
              <w:t>review and improve cross referencing between Risk and Issues Registers</w:t>
            </w:r>
          </w:p>
          <w:p w14:paraId="006C7EB9" w14:textId="77777777" w:rsidR="00474BBD" w:rsidRPr="00BB271F" w:rsidRDefault="00474BBD" w:rsidP="00BB271F">
            <w:pPr>
              <w:pStyle w:val="ListParagraph"/>
              <w:numPr>
                <w:ilvl w:val="0"/>
                <w:numId w:val="25"/>
              </w:numPr>
              <w:spacing w:before="240" w:line="276" w:lineRule="auto"/>
              <w:rPr>
                <w:lang w:bidi="th-TH"/>
              </w:rPr>
            </w:pPr>
            <w:r w:rsidRPr="00BB271F">
              <w:rPr>
                <w:lang w:bidi="th-TH"/>
              </w:rPr>
              <w:t>review definitional inconsistencies, with some “treatments” which could be “controls”:</w:t>
            </w:r>
          </w:p>
          <w:p w14:paraId="5D464244" w14:textId="77777777" w:rsidR="00474BBD" w:rsidRPr="00BB271F" w:rsidRDefault="00474BBD" w:rsidP="00BB271F">
            <w:pPr>
              <w:pStyle w:val="ListParagraph"/>
              <w:numPr>
                <w:ilvl w:val="0"/>
                <w:numId w:val="24"/>
              </w:numPr>
              <w:spacing w:before="240" w:line="276" w:lineRule="auto"/>
              <w:rPr>
                <w:lang w:bidi="th-TH"/>
              </w:rPr>
            </w:pPr>
            <w:r w:rsidRPr="00BB271F">
              <w:rPr>
                <w:lang w:bidi="th-TH"/>
              </w:rPr>
              <w:t>the supply of bait and related impacts from COVID</w:t>
            </w:r>
          </w:p>
          <w:p w14:paraId="6B691A58" w14:textId="77777777" w:rsidR="00474BBD" w:rsidRPr="00BB271F" w:rsidRDefault="00474BBD" w:rsidP="00BB271F">
            <w:pPr>
              <w:pStyle w:val="ListParagraph"/>
              <w:numPr>
                <w:ilvl w:val="0"/>
                <w:numId w:val="24"/>
              </w:numPr>
              <w:spacing w:before="240" w:line="276" w:lineRule="auto"/>
              <w:rPr>
                <w:lang w:bidi="th-TH"/>
              </w:rPr>
            </w:pPr>
            <w:r w:rsidRPr="00BB271F">
              <w:rPr>
                <w:lang w:bidi="th-TH"/>
              </w:rPr>
              <w:t>self-management</w:t>
            </w:r>
          </w:p>
          <w:p w14:paraId="3A24A000" w14:textId="77777777" w:rsidR="00474BBD" w:rsidRPr="00BB271F" w:rsidRDefault="00474BBD" w:rsidP="00BB271F">
            <w:pPr>
              <w:pStyle w:val="ListParagraph"/>
              <w:numPr>
                <w:ilvl w:val="0"/>
                <w:numId w:val="24"/>
              </w:numPr>
              <w:spacing w:before="240" w:line="276" w:lineRule="auto"/>
              <w:rPr>
                <w:lang w:bidi="th-TH"/>
              </w:rPr>
            </w:pPr>
            <w:r w:rsidRPr="00BB271F">
              <w:rPr>
                <w:lang w:bidi="th-TH"/>
              </w:rPr>
              <w:t xml:space="preserve">Principal Engagement Officer work </w:t>
            </w:r>
          </w:p>
          <w:p w14:paraId="2A1AE78F" w14:textId="77777777" w:rsidR="00474BBD" w:rsidRPr="00BB271F" w:rsidRDefault="00474BBD" w:rsidP="00BB271F">
            <w:pPr>
              <w:pStyle w:val="ListParagraph"/>
              <w:numPr>
                <w:ilvl w:val="0"/>
                <w:numId w:val="14"/>
              </w:numPr>
              <w:spacing w:before="240" w:line="276" w:lineRule="auto"/>
              <w:rPr>
                <w:lang w:bidi="th-TH"/>
              </w:rPr>
            </w:pPr>
            <w:r w:rsidRPr="00BB271F">
              <w:rPr>
                <w:lang w:bidi="th-TH"/>
              </w:rPr>
              <w:t>incorporate lessons learned from COVID and the Western Australia incursion or other incursions.</w:t>
            </w:r>
          </w:p>
          <w:p w14:paraId="65321E55" w14:textId="77777777" w:rsidR="00474BBD" w:rsidRDefault="00474BBD" w:rsidP="001157B7">
            <w:pPr>
              <w:spacing w:before="240" w:line="276" w:lineRule="auto"/>
              <w:rPr>
                <w:lang w:bidi="en-US"/>
              </w:rPr>
            </w:pPr>
            <w:r>
              <w:rPr>
                <w:lang w:bidi="en-US"/>
              </w:rPr>
              <w:lastRenderedPageBreak/>
              <w:t>To date, no findings in the CSIRO report</w:t>
            </w:r>
            <w:r>
              <w:rPr>
                <w:rStyle w:val="FootnoteReference"/>
                <w:rFonts w:ascii="Segoe UI Light" w:hAnsi="Segoe UI Light" w:cs="Segoe UI"/>
                <w:sz w:val="22"/>
                <w:szCs w:val="22"/>
                <w:lang w:bidi="en-US"/>
              </w:rPr>
              <w:footnoteReference w:id="1"/>
            </w:r>
            <w:r>
              <w:rPr>
                <w:lang w:bidi="en-US"/>
              </w:rPr>
              <w:t xml:space="preserve"> have been added into the Register, as the Program is currently analysing the report and responses from industry consultation following the report being published.</w:t>
            </w:r>
          </w:p>
          <w:p w14:paraId="39799273" w14:textId="77777777" w:rsidR="00B92BEC" w:rsidRDefault="00B92BEC" w:rsidP="001157B7">
            <w:pPr>
              <w:spacing w:before="240" w:line="276" w:lineRule="auto"/>
              <w:rPr>
                <w:lang w:bidi="en-US"/>
              </w:rPr>
            </w:pPr>
          </w:p>
          <w:p w14:paraId="4EC2845C" w14:textId="274C698A" w:rsidR="00474BBD" w:rsidRDefault="00474BBD" w:rsidP="001157B7">
            <w:pPr>
              <w:spacing w:before="240" w:line="276" w:lineRule="auto"/>
              <w:rPr>
                <w:lang w:bidi="en-US"/>
              </w:rPr>
            </w:pPr>
            <w:r>
              <w:rPr>
                <w:lang w:bidi="en-US"/>
              </w:rPr>
              <w:t>The Sub-Committee:</w:t>
            </w:r>
          </w:p>
          <w:p w14:paraId="175CA354" w14:textId="77777777" w:rsidR="00474BBD" w:rsidRPr="001157B7" w:rsidRDefault="00474BBD" w:rsidP="001157B7">
            <w:pPr>
              <w:pStyle w:val="ListParagraph"/>
              <w:numPr>
                <w:ilvl w:val="0"/>
                <w:numId w:val="12"/>
              </w:numPr>
              <w:spacing w:before="240" w:line="276" w:lineRule="auto"/>
              <w:rPr>
                <w:lang w:bidi="th-TH"/>
              </w:rPr>
            </w:pPr>
            <w:r w:rsidRPr="001157B7">
              <w:rPr>
                <w:b/>
                <w:bCs/>
                <w:lang w:bidi="th-TH"/>
              </w:rPr>
              <w:t>NOTED</w:t>
            </w:r>
            <w:r w:rsidRPr="001157B7">
              <w:rPr>
                <w:lang w:bidi="th-TH"/>
              </w:rPr>
              <w:t xml:space="preserve"> the update on the Risk and Issues Registers</w:t>
            </w:r>
          </w:p>
          <w:p w14:paraId="57F28230" w14:textId="77777777" w:rsidR="00474BBD" w:rsidRPr="001157B7" w:rsidRDefault="00474BBD" w:rsidP="001157B7">
            <w:pPr>
              <w:pStyle w:val="ListParagraph"/>
              <w:numPr>
                <w:ilvl w:val="0"/>
                <w:numId w:val="12"/>
              </w:numPr>
              <w:spacing w:before="240" w:line="276" w:lineRule="auto"/>
              <w:rPr>
                <w:lang w:bidi="th-TH"/>
              </w:rPr>
            </w:pPr>
            <w:r w:rsidRPr="001157B7">
              <w:rPr>
                <w:b/>
                <w:bCs/>
                <w:lang w:bidi="th-TH"/>
              </w:rPr>
              <w:t>AGREED</w:t>
            </w:r>
            <w:r w:rsidRPr="001157B7">
              <w:rPr>
                <w:lang w:bidi="th-TH"/>
              </w:rPr>
              <w:t xml:space="preserve"> the live Registers will be sent to members on a quarterly basis by the Business Manager unless there is a significant trigger which should be sent immediately.</w:t>
            </w:r>
          </w:p>
        </w:tc>
      </w:tr>
      <w:tr w:rsidR="00474BBD" w14:paraId="6894E364" w14:textId="77777777" w:rsidTr="001157B7">
        <w:trPr>
          <w:tblHeader/>
        </w:trPr>
        <w:tc>
          <w:tcPr>
            <w:tcW w:w="510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45FF88F" w14:textId="77777777" w:rsidR="00474BBD" w:rsidRPr="001157B7" w:rsidRDefault="00474BBD" w:rsidP="001157B7">
            <w:pPr>
              <w:spacing w:before="240" w:line="276" w:lineRule="auto"/>
              <w:rPr>
                <w:b/>
                <w:bCs/>
              </w:rPr>
            </w:pPr>
            <w:r w:rsidRPr="001157B7">
              <w:rPr>
                <w:rFonts w:eastAsia="Calibri"/>
                <w:b/>
                <w:bCs/>
              </w:rPr>
              <w:lastRenderedPageBreak/>
              <w:t>Action items</w:t>
            </w:r>
          </w:p>
        </w:tc>
        <w:tc>
          <w:tcPr>
            <w:tcW w:w="17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0CF33CD" w14:textId="77777777" w:rsidR="00474BBD" w:rsidRPr="001157B7" w:rsidRDefault="00474BBD" w:rsidP="001157B7">
            <w:pPr>
              <w:spacing w:before="240" w:line="276" w:lineRule="auto"/>
              <w:rPr>
                <w:b/>
                <w:bCs/>
              </w:rPr>
            </w:pPr>
            <w:r w:rsidRPr="001157B7">
              <w:rPr>
                <w:rFonts w:eastAsia="Calibri"/>
                <w:b/>
                <w:bCs/>
              </w:rPr>
              <w:t>Responsibility</w:t>
            </w:r>
          </w:p>
        </w:tc>
        <w:tc>
          <w:tcPr>
            <w:tcW w:w="156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80345F8"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27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0A016BC" w14:textId="77777777" w:rsidR="00474BBD" w:rsidRPr="001157B7" w:rsidRDefault="00474BBD" w:rsidP="001157B7">
            <w:pPr>
              <w:spacing w:before="240" w:line="276" w:lineRule="auto"/>
              <w:rPr>
                <w:b/>
                <w:bCs/>
              </w:rPr>
            </w:pPr>
            <w:r w:rsidRPr="001157B7">
              <w:rPr>
                <w:rFonts w:eastAsia="Calibri"/>
                <w:b/>
                <w:bCs/>
              </w:rPr>
              <w:t>Status</w:t>
            </w:r>
          </w:p>
        </w:tc>
      </w:tr>
      <w:tr w:rsidR="00474BBD" w14:paraId="53C6460E" w14:textId="77777777" w:rsidTr="001157B7">
        <w:trPr>
          <w:trHeight w:val="1262"/>
        </w:trPr>
        <w:tc>
          <w:tcPr>
            <w:tcW w:w="567" w:type="dxa"/>
            <w:tcBorders>
              <w:top w:val="single" w:sz="4" w:space="0" w:color="auto"/>
              <w:left w:val="single" w:sz="4" w:space="0" w:color="auto"/>
              <w:bottom w:val="single" w:sz="4" w:space="0" w:color="auto"/>
              <w:right w:val="single" w:sz="4" w:space="0" w:color="auto"/>
            </w:tcBorders>
            <w:hideMark/>
          </w:tcPr>
          <w:p w14:paraId="32E45CE7" w14:textId="77777777" w:rsidR="00474BBD" w:rsidRDefault="00474BBD" w:rsidP="001157B7">
            <w:pPr>
              <w:spacing w:before="240" w:line="276" w:lineRule="auto"/>
            </w:pPr>
            <w:r>
              <w:t>1</w:t>
            </w:r>
          </w:p>
        </w:tc>
        <w:tc>
          <w:tcPr>
            <w:tcW w:w="4537" w:type="dxa"/>
            <w:tcBorders>
              <w:top w:val="single" w:sz="4" w:space="0" w:color="auto"/>
              <w:left w:val="single" w:sz="4" w:space="0" w:color="auto"/>
              <w:bottom w:val="single" w:sz="4" w:space="0" w:color="auto"/>
              <w:right w:val="single" w:sz="4" w:space="0" w:color="auto"/>
            </w:tcBorders>
            <w:hideMark/>
          </w:tcPr>
          <w:p w14:paraId="7DCCE122" w14:textId="77777777" w:rsidR="00474BBD" w:rsidRDefault="00474BBD" w:rsidP="001157B7">
            <w:pPr>
              <w:spacing w:before="240" w:line="276" w:lineRule="auto"/>
            </w:pPr>
            <w:r>
              <w:t>Registers to be sent to members on a quarterly basis, unless there is a significant trigger which should be sent immediately.  Secretariat to be cc’d into all correspondence.</w:t>
            </w:r>
          </w:p>
        </w:tc>
        <w:tc>
          <w:tcPr>
            <w:tcW w:w="1704" w:type="dxa"/>
            <w:tcBorders>
              <w:top w:val="single" w:sz="4" w:space="0" w:color="auto"/>
              <w:left w:val="single" w:sz="4" w:space="0" w:color="auto"/>
              <w:bottom w:val="single" w:sz="4" w:space="0" w:color="auto"/>
              <w:right w:val="single" w:sz="4" w:space="0" w:color="auto"/>
            </w:tcBorders>
            <w:hideMark/>
          </w:tcPr>
          <w:p w14:paraId="37E5BFAD" w14:textId="77777777" w:rsidR="00474BBD" w:rsidRDefault="00474BBD" w:rsidP="001157B7">
            <w:pPr>
              <w:spacing w:before="240" w:line="276" w:lineRule="auto"/>
            </w:pPr>
            <w:r>
              <w:t>Business Manager</w:t>
            </w:r>
          </w:p>
        </w:tc>
        <w:tc>
          <w:tcPr>
            <w:tcW w:w="1560" w:type="dxa"/>
            <w:tcBorders>
              <w:top w:val="single" w:sz="4" w:space="0" w:color="auto"/>
              <w:left w:val="single" w:sz="4" w:space="0" w:color="auto"/>
              <w:bottom w:val="single" w:sz="4" w:space="0" w:color="auto"/>
              <w:right w:val="single" w:sz="4" w:space="0" w:color="auto"/>
            </w:tcBorders>
            <w:hideMark/>
          </w:tcPr>
          <w:p w14:paraId="03F7201A" w14:textId="77777777" w:rsidR="00474BBD" w:rsidRDefault="00474BBD" w:rsidP="001157B7">
            <w:pPr>
              <w:spacing w:before="240" w:line="276" w:lineRule="auto"/>
            </w:pPr>
            <w:r>
              <w:t>Ongoing</w:t>
            </w:r>
          </w:p>
        </w:tc>
        <w:tc>
          <w:tcPr>
            <w:tcW w:w="1277" w:type="dxa"/>
            <w:tcBorders>
              <w:top w:val="single" w:sz="4" w:space="0" w:color="auto"/>
              <w:left w:val="single" w:sz="4" w:space="0" w:color="auto"/>
              <w:bottom w:val="single" w:sz="4" w:space="0" w:color="auto"/>
              <w:right w:val="single" w:sz="4" w:space="0" w:color="auto"/>
            </w:tcBorders>
            <w:hideMark/>
          </w:tcPr>
          <w:p w14:paraId="3A97272A" w14:textId="77777777" w:rsidR="00474BBD" w:rsidRDefault="00474BBD" w:rsidP="001157B7">
            <w:pPr>
              <w:spacing w:before="240" w:line="276" w:lineRule="auto"/>
            </w:pPr>
            <w:r>
              <w:t>BAU</w:t>
            </w:r>
          </w:p>
        </w:tc>
      </w:tr>
      <w:tr w:rsidR="00474BBD" w14:paraId="1AB1E632" w14:textId="77777777" w:rsidTr="001157B7">
        <w:trPr>
          <w:trHeight w:val="513"/>
        </w:trPr>
        <w:tc>
          <w:tcPr>
            <w:tcW w:w="567" w:type="dxa"/>
            <w:tcBorders>
              <w:top w:val="single" w:sz="4" w:space="0" w:color="auto"/>
              <w:left w:val="single" w:sz="4" w:space="0" w:color="auto"/>
              <w:bottom w:val="single" w:sz="4" w:space="0" w:color="auto"/>
              <w:right w:val="single" w:sz="4" w:space="0" w:color="auto"/>
            </w:tcBorders>
            <w:hideMark/>
          </w:tcPr>
          <w:p w14:paraId="787A7215" w14:textId="77777777" w:rsidR="00474BBD" w:rsidRDefault="00474BBD" w:rsidP="001157B7">
            <w:pPr>
              <w:spacing w:before="240" w:line="276" w:lineRule="auto"/>
            </w:pPr>
            <w:r>
              <w:t>2.</w:t>
            </w:r>
          </w:p>
        </w:tc>
        <w:tc>
          <w:tcPr>
            <w:tcW w:w="4537" w:type="dxa"/>
            <w:tcBorders>
              <w:top w:val="single" w:sz="4" w:space="0" w:color="auto"/>
              <w:left w:val="single" w:sz="4" w:space="0" w:color="auto"/>
              <w:bottom w:val="single" w:sz="4" w:space="0" w:color="auto"/>
              <w:right w:val="single" w:sz="4" w:space="0" w:color="auto"/>
            </w:tcBorders>
            <w:hideMark/>
          </w:tcPr>
          <w:p w14:paraId="0C777828" w14:textId="77777777" w:rsidR="00474BBD" w:rsidRDefault="00474BBD" w:rsidP="001157B7">
            <w:pPr>
              <w:spacing w:before="240" w:line="276" w:lineRule="auto"/>
            </w:pPr>
            <w:r>
              <w:t xml:space="preserve">The </w:t>
            </w:r>
            <w:proofErr w:type="gramStart"/>
            <w:r>
              <w:t>current status</w:t>
            </w:r>
            <w:proofErr w:type="gramEnd"/>
            <w:r>
              <w:t xml:space="preserve"> dates in registers to be reviewed.</w:t>
            </w:r>
          </w:p>
        </w:tc>
        <w:tc>
          <w:tcPr>
            <w:tcW w:w="1704" w:type="dxa"/>
            <w:tcBorders>
              <w:top w:val="single" w:sz="4" w:space="0" w:color="auto"/>
              <w:left w:val="single" w:sz="4" w:space="0" w:color="auto"/>
              <w:bottom w:val="single" w:sz="4" w:space="0" w:color="auto"/>
              <w:right w:val="single" w:sz="4" w:space="0" w:color="auto"/>
            </w:tcBorders>
            <w:hideMark/>
          </w:tcPr>
          <w:p w14:paraId="5E4958FE" w14:textId="77777777" w:rsidR="00474BBD" w:rsidRDefault="00474BBD" w:rsidP="001157B7">
            <w:pPr>
              <w:spacing w:before="240" w:line="276" w:lineRule="auto"/>
            </w:pPr>
            <w:r>
              <w:t>Business Manager</w:t>
            </w:r>
          </w:p>
        </w:tc>
        <w:tc>
          <w:tcPr>
            <w:tcW w:w="1560" w:type="dxa"/>
            <w:tcBorders>
              <w:top w:val="single" w:sz="4" w:space="0" w:color="auto"/>
              <w:left w:val="single" w:sz="4" w:space="0" w:color="auto"/>
              <w:bottom w:val="single" w:sz="4" w:space="0" w:color="auto"/>
              <w:right w:val="single" w:sz="4" w:space="0" w:color="auto"/>
            </w:tcBorders>
            <w:hideMark/>
          </w:tcPr>
          <w:p w14:paraId="3EE7E689" w14:textId="77777777" w:rsidR="00474BBD" w:rsidRDefault="00474BBD" w:rsidP="001157B7">
            <w:pPr>
              <w:spacing w:before="240" w:line="276" w:lineRule="auto"/>
            </w:pPr>
            <w:r>
              <w:t>Ongoing</w:t>
            </w:r>
          </w:p>
        </w:tc>
        <w:tc>
          <w:tcPr>
            <w:tcW w:w="1277" w:type="dxa"/>
            <w:tcBorders>
              <w:top w:val="single" w:sz="4" w:space="0" w:color="auto"/>
              <w:left w:val="single" w:sz="4" w:space="0" w:color="auto"/>
              <w:bottom w:val="single" w:sz="4" w:space="0" w:color="auto"/>
              <w:right w:val="single" w:sz="4" w:space="0" w:color="auto"/>
            </w:tcBorders>
            <w:hideMark/>
          </w:tcPr>
          <w:p w14:paraId="6183DC93" w14:textId="77777777" w:rsidR="00474BBD" w:rsidRDefault="00474BBD" w:rsidP="001157B7">
            <w:pPr>
              <w:spacing w:before="240" w:line="276" w:lineRule="auto"/>
            </w:pPr>
            <w:r>
              <w:t>BAU</w:t>
            </w:r>
          </w:p>
        </w:tc>
      </w:tr>
      <w:tr w:rsidR="00474BBD" w14:paraId="612666BC" w14:textId="77777777" w:rsidTr="001157B7">
        <w:trPr>
          <w:trHeight w:val="513"/>
        </w:trPr>
        <w:tc>
          <w:tcPr>
            <w:tcW w:w="567" w:type="dxa"/>
            <w:tcBorders>
              <w:top w:val="single" w:sz="4" w:space="0" w:color="auto"/>
              <w:left w:val="single" w:sz="4" w:space="0" w:color="auto"/>
              <w:bottom w:val="single" w:sz="4" w:space="0" w:color="auto"/>
              <w:right w:val="single" w:sz="4" w:space="0" w:color="auto"/>
            </w:tcBorders>
            <w:hideMark/>
          </w:tcPr>
          <w:p w14:paraId="35D8CA21" w14:textId="77777777" w:rsidR="00474BBD" w:rsidRDefault="00474BBD" w:rsidP="001157B7">
            <w:pPr>
              <w:spacing w:before="240" w:line="276" w:lineRule="auto"/>
            </w:pPr>
            <w:r>
              <w:t>3.</w:t>
            </w:r>
          </w:p>
        </w:tc>
        <w:tc>
          <w:tcPr>
            <w:tcW w:w="4537" w:type="dxa"/>
            <w:tcBorders>
              <w:top w:val="single" w:sz="4" w:space="0" w:color="auto"/>
              <w:left w:val="single" w:sz="4" w:space="0" w:color="auto"/>
              <w:bottom w:val="single" w:sz="4" w:space="0" w:color="auto"/>
              <w:right w:val="single" w:sz="4" w:space="0" w:color="auto"/>
            </w:tcBorders>
            <w:hideMark/>
          </w:tcPr>
          <w:p w14:paraId="58CF3625" w14:textId="77777777" w:rsidR="00474BBD" w:rsidRDefault="00474BBD" w:rsidP="001157B7">
            <w:pPr>
              <w:spacing w:before="240" w:line="276" w:lineRule="auto"/>
            </w:pPr>
            <w:r>
              <w:rPr>
                <w:lang w:bidi="th-TH"/>
              </w:rPr>
              <w:t>Retain closed items in the Registers for one meeting following closure.</w:t>
            </w:r>
          </w:p>
        </w:tc>
        <w:tc>
          <w:tcPr>
            <w:tcW w:w="1704" w:type="dxa"/>
            <w:tcBorders>
              <w:top w:val="single" w:sz="4" w:space="0" w:color="auto"/>
              <w:left w:val="single" w:sz="4" w:space="0" w:color="auto"/>
              <w:bottom w:val="single" w:sz="4" w:space="0" w:color="auto"/>
              <w:right w:val="single" w:sz="4" w:space="0" w:color="auto"/>
            </w:tcBorders>
            <w:hideMark/>
          </w:tcPr>
          <w:p w14:paraId="205D0156" w14:textId="77777777" w:rsidR="00474BBD" w:rsidRDefault="00474BBD" w:rsidP="001157B7">
            <w:pPr>
              <w:spacing w:before="240" w:line="276" w:lineRule="auto"/>
            </w:pPr>
            <w:r>
              <w:t>Business Manager</w:t>
            </w:r>
          </w:p>
        </w:tc>
        <w:tc>
          <w:tcPr>
            <w:tcW w:w="1560" w:type="dxa"/>
            <w:tcBorders>
              <w:top w:val="single" w:sz="4" w:space="0" w:color="auto"/>
              <w:left w:val="single" w:sz="4" w:space="0" w:color="auto"/>
              <w:bottom w:val="single" w:sz="4" w:space="0" w:color="auto"/>
              <w:right w:val="single" w:sz="4" w:space="0" w:color="auto"/>
            </w:tcBorders>
            <w:hideMark/>
          </w:tcPr>
          <w:p w14:paraId="2B08F631" w14:textId="77777777" w:rsidR="00474BBD" w:rsidRDefault="00474BBD" w:rsidP="001157B7">
            <w:pPr>
              <w:spacing w:before="240" w:line="276" w:lineRule="auto"/>
            </w:pPr>
            <w:r>
              <w:t>Ongoing</w:t>
            </w:r>
          </w:p>
        </w:tc>
        <w:tc>
          <w:tcPr>
            <w:tcW w:w="1277" w:type="dxa"/>
            <w:tcBorders>
              <w:top w:val="single" w:sz="4" w:space="0" w:color="auto"/>
              <w:left w:val="single" w:sz="4" w:space="0" w:color="auto"/>
              <w:bottom w:val="single" w:sz="4" w:space="0" w:color="auto"/>
              <w:right w:val="single" w:sz="4" w:space="0" w:color="auto"/>
            </w:tcBorders>
            <w:hideMark/>
          </w:tcPr>
          <w:p w14:paraId="11D98740" w14:textId="77777777" w:rsidR="00474BBD" w:rsidRDefault="00474BBD" w:rsidP="001157B7">
            <w:pPr>
              <w:spacing w:before="240" w:line="276" w:lineRule="auto"/>
            </w:pPr>
            <w:r>
              <w:t>BAU</w:t>
            </w:r>
          </w:p>
        </w:tc>
      </w:tr>
    </w:tbl>
    <w:p w14:paraId="194014E3" w14:textId="5F29B502" w:rsidR="00474BBD" w:rsidRDefault="00474BBD" w:rsidP="001157B7">
      <w:pPr>
        <w:spacing w:before="240" w:line="276" w:lineRule="auto"/>
      </w:pPr>
    </w:p>
    <w:p w14:paraId="5E11EF35" w14:textId="77777777" w:rsidR="00981E50" w:rsidRDefault="00981E50" w:rsidP="001157B7">
      <w:pPr>
        <w:spacing w:before="240" w:line="276" w:lineRule="auto"/>
      </w:pPr>
    </w:p>
    <w:tbl>
      <w:tblPr>
        <w:tblStyle w:val="TableGrid"/>
        <w:tblW w:w="9645" w:type="dxa"/>
        <w:tblInd w:w="-147" w:type="dxa"/>
        <w:tblLayout w:type="fixed"/>
        <w:tblLook w:val="06A0" w:firstRow="1" w:lastRow="0" w:firstColumn="1" w:lastColumn="0" w:noHBand="1" w:noVBand="1"/>
      </w:tblPr>
      <w:tblGrid>
        <w:gridCol w:w="567"/>
        <w:gridCol w:w="4395"/>
        <w:gridCol w:w="1704"/>
        <w:gridCol w:w="1702"/>
        <w:gridCol w:w="1277"/>
      </w:tblGrid>
      <w:tr w:rsidR="00474BBD" w14:paraId="7BDF5642" w14:textId="77777777" w:rsidTr="001157B7">
        <w:tc>
          <w:tcPr>
            <w:tcW w:w="9645"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A6E1318" w14:textId="77777777" w:rsidR="00474BBD" w:rsidRPr="001157B7" w:rsidRDefault="00474BBD" w:rsidP="00B92BEC">
            <w:pPr>
              <w:spacing w:before="240" w:line="360" w:lineRule="auto"/>
              <w:rPr>
                <w:b/>
                <w:bCs/>
              </w:rPr>
            </w:pPr>
            <w:r w:rsidRPr="001157B7">
              <w:rPr>
                <w:b/>
                <w:bCs/>
                <w:iCs/>
                <w:lang w:bidi="en-US"/>
              </w:rPr>
              <w:t xml:space="preserve">Agenda Item 4 – </w:t>
            </w:r>
            <w:r w:rsidRPr="00B92BEC">
              <w:rPr>
                <w:rFonts w:eastAsiaTheme="minorEastAsia"/>
                <w:b/>
                <w:bCs/>
              </w:rPr>
              <w:t>Business</w:t>
            </w:r>
            <w:r w:rsidRPr="001157B7">
              <w:rPr>
                <w:b/>
                <w:bCs/>
                <w:iCs/>
                <w:lang w:bidi="en-US"/>
              </w:rPr>
              <w:t xml:space="preserve"> Improvement Register</w:t>
            </w:r>
          </w:p>
        </w:tc>
      </w:tr>
      <w:tr w:rsidR="00474BBD" w14:paraId="02FBC091" w14:textId="77777777" w:rsidTr="001157B7">
        <w:tc>
          <w:tcPr>
            <w:tcW w:w="9645" w:type="dxa"/>
            <w:gridSpan w:val="5"/>
            <w:tcBorders>
              <w:top w:val="single" w:sz="4" w:space="0" w:color="auto"/>
              <w:left w:val="single" w:sz="4" w:space="0" w:color="auto"/>
              <w:bottom w:val="single" w:sz="4" w:space="0" w:color="auto"/>
              <w:right w:val="single" w:sz="4" w:space="0" w:color="auto"/>
            </w:tcBorders>
            <w:hideMark/>
          </w:tcPr>
          <w:p w14:paraId="41FD1A50" w14:textId="77777777" w:rsidR="00474BBD" w:rsidRDefault="00474BBD" w:rsidP="001157B7">
            <w:pPr>
              <w:spacing w:before="240" w:line="276" w:lineRule="auto"/>
            </w:pPr>
            <w:r>
              <w:t xml:space="preserve">Brian Bond provided an update on the upgraded Business Improvement Register and the related summary, incorporating actions captured from the E&amp;E reports. </w:t>
            </w:r>
          </w:p>
          <w:p w14:paraId="25E73E1D" w14:textId="77777777" w:rsidR="00474BBD" w:rsidRDefault="00474BBD" w:rsidP="001157B7">
            <w:pPr>
              <w:spacing w:before="240" w:line="276" w:lineRule="auto"/>
            </w:pPr>
            <w:r>
              <w:t xml:space="preserve">Actions and recommendations from the previous </w:t>
            </w:r>
            <w:proofErr w:type="spellStart"/>
            <w:r>
              <w:t>Pricewaterhouse</w:t>
            </w:r>
            <w:proofErr w:type="spellEnd"/>
            <w:r>
              <w:t xml:space="preserve"> Coopers external audit have been completed.</w:t>
            </w:r>
          </w:p>
          <w:p w14:paraId="3346AA37" w14:textId="77777777" w:rsidR="00474BBD" w:rsidRDefault="00474BBD" w:rsidP="001157B7">
            <w:pPr>
              <w:spacing w:before="240" w:line="276" w:lineRule="auto"/>
              <w:rPr>
                <w:lang w:bidi="en-US"/>
              </w:rPr>
            </w:pPr>
            <w:r>
              <w:rPr>
                <w:lang w:bidi="en-US"/>
              </w:rPr>
              <w:t>Enhancements suggested:</w:t>
            </w:r>
          </w:p>
          <w:p w14:paraId="38FCC4FD" w14:textId="77777777" w:rsidR="00474BBD" w:rsidRPr="00BB271F" w:rsidRDefault="00474BBD" w:rsidP="00BB271F">
            <w:pPr>
              <w:pStyle w:val="ListParagraph"/>
              <w:numPr>
                <w:ilvl w:val="0"/>
                <w:numId w:val="21"/>
              </w:numPr>
              <w:spacing w:before="240" w:line="276" w:lineRule="auto"/>
            </w:pPr>
            <w:r w:rsidRPr="00BB271F">
              <w:rPr>
                <w:lang w:bidi="th-TH"/>
              </w:rPr>
              <w:t>capture changes made to the report in “blue” for easy recognition and tracking</w:t>
            </w:r>
          </w:p>
          <w:p w14:paraId="541E02EA" w14:textId="7E367048" w:rsidR="00474BBD" w:rsidRDefault="00474BBD" w:rsidP="00BB271F">
            <w:pPr>
              <w:pStyle w:val="ListParagraph"/>
              <w:numPr>
                <w:ilvl w:val="0"/>
                <w:numId w:val="21"/>
              </w:numPr>
              <w:spacing w:before="240" w:line="276" w:lineRule="auto"/>
            </w:pPr>
            <w:r w:rsidRPr="00BB271F">
              <w:rPr>
                <w:lang w:bidi="th-TH"/>
              </w:rPr>
              <w:t>are there opportunities for improvements in relation to spatial strategy triggers and the extension of community self-management participation?</w:t>
            </w:r>
          </w:p>
          <w:p w14:paraId="097E6F1F" w14:textId="77777777" w:rsidR="00BF7D75" w:rsidRPr="00BB271F" w:rsidRDefault="00BF7D75" w:rsidP="00BF7D75">
            <w:pPr>
              <w:pStyle w:val="ListParagraph"/>
              <w:numPr>
                <w:ilvl w:val="0"/>
                <w:numId w:val="0"/>
              </w:numPr>
              <w:spacing w:before="240" w:line="276" w:lineRule="auto"/>
              <w:ind w:left="720"/>
            </w:pPr>
          </w:p>
          <w:p w14:paraId="1E629F28" w14:textId="77777777" w:rsidR="00474BBD" w:rsidRDefault="00474BBD" w:rsidP="001157B7">
            <w:pPr>
              <w:spacing w:before="240" w:line="276" w:lineRule="auto"/>
              <w:rPr>
                <w:lang w:bidi="en-US"/>
              </w:rPr>
            </w:pPr>
            <w:r>
              <w:rPr>
                <w:lang w:bidi="en-US"/>
              </w:rPr>
              <w:lastRenderedPageBreak/>
              <w:t>The Sub-Committee:</w:t>
            </w:r>
          </w:p>
          <w:p w14:paraId="48807455" w14:textId="77777777" w:rsidR="00474BBD" w:rsidRPr="001157B7" w:rsidRDefault="00474BBD" w:rsidP="001157B7">
            <w:pPr>
              <w:pStyle w:val="ListParagraph"/>
              <w:numPr>
                <w:ilvl w:val="0"/>
                <w:numId w:val="13"/>
              </w:numPr>
              <w:spacing w:before="240" w:line="276" w:lineRule="auto"/>
            </w:pPr>
            <w:r w:rsidRPr="001157B7">
              <w:rPr>
                <w:b/>
                <w:bCs/>
                <w:lang w:bidi="th-TH"/>
              </w:rPr>
              <w:t>NOTED</w:t>
            </w:r>
            <w:r w:rsidRPr="001157B7">
              <w:rPr>
                <w:lang w:bidi="th-TH"/>
              </w:rPr>
              <w:t xml:space="preserve"> the update on the Business Improvement Register.</w:t>
            </w:r>
          </w:p>
        </w:tc>
      </w:tr>
      <w:tr w:rsidR="00474BBD" w14:paraId="6C30507B" w14:textId="77777777" w:rsidTr="001157B7">
        <w:trPr>
          <w:tblHeader/>
        </w:trPr>
        <w:tc>
          <w:tcPr>
            <w:tcW w:w="496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F172C6E" w14:textId="77777777" w:rsidR="00474BBD" w:rsidRPr="001157B7" w:rsidRDefault="00474BBD" w:rsidP="001157B7">
            <w:pPr>
              <w:spacing w:before="240" w:line="276" w:lineRule="auto"/>
              <w:rPr>
                <w:b/>
                <w:bCs/>
              </w:rPr>
            </w:pPr>
            <w:r w:rsidRPr="001157B7">
              <w:rPr>
                <w:b/>
                <w:bCs/>
              </w:rPr>
              <w:lastRenderedPageBreak/>
              <w:t>Action items</w:t>
            </w:r>
          </w:p>
        </w:tc>
        <w:tc>
          <w:tcPr>
            <w:tcW w:w="17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71042D2" w14:textId="77777777" w:rsidR="00474BBD" w:rsidRPr="001157B7" w:rsidRDefault="00474BBD" w:rsidP="001157B7">
            <w:pPr>
              <w:spacing w:before="240" w:line="276" w:lineRule="auto"/>
              <w:rPr>
                <w:b/>
                <w:bCs/>
              </w:rPr>
            </w:pPr>
            <w:r w:rsidRPr="001157B7">
              <w:rPr>
                <w:rFonts w:eastAsia="Calibri"/>
                <w:b/>
                <w:bCs/>
              </w:rPr>
              <w:t>Responsibility</w:t>
            </w:r>
          </w:p>
        </w:tc>
        <w:tc>
          <w:tcPr>
            <w:tcW w:w="170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5E02804"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27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36BDDFF" w14:textId="77777777" w:rsidR="00474BBD" w:rsidRPr="001157B7" w:rsidRDefault="00474BBD" w:rsidP="001157B7">
            <w:pPr>
              <w:spacing w:before="240" w:line="276" w:lineRule="auto"/>
              <w:rPr>
                <w:b/>
                <w:bCs/>
              </w:rPr>
            </w:pPr>
            <w:r w:rsidRPr="001157B7">
              <w:rPr>
                <w:rFonts w:eastAsia="Calibri"/>
                <w:b/>
                <w:bCs/>
              </w:rPr>
              <w:t>Status</w:t>
            </w:r>
          </w:p>
        </w:tc>
      </w:tr>
      <w:tr w:rsidR="00474BBD" w14:paraId="71B55524" w14:textId="77777777" w:rsidTr="001157B7">
        <w:tc>
          <w:tcPr>
            <w:tcW w:w="567" w:type="dxa"/>
            <w:tcBorders>
              <w:top w:val="single" w:sz="4" w:space="0" w:color="auto"/>
              <w:left w:val="single" w:sz="4" w:space="0" w:color="auto"/>
              <w:bottom w:val="single" w:sz="4" w:space="0" w:color="auto"/>
              <w:right w:val="single" w:sz="4" w:space="0" w:color="auto"/>
            </w:tcBorders>
            <w:hideMark/>
          </w:tcPr>
          <w:p w14:paraId="148C7E84" w14:textId="77777777" w:rsidR="00474BBD" w:rsidRDefault="00474BBD" w:rsidP="001157B7">
            <w:pPr>
              <w:spacing w:before="240" w:line="276" w:lineRule="auto"/>
            </w:pPr>
            <w:r>
              <w:t>4.</w:t>
            </w:r>
          </w:p>
        </w:tc>
        <w:tc>
          <w:tcPr>
            <w:tcW w:w="4395" w:type="dxa"/>
            <w:tcBorders>
              <w:top w:val="single" w:sz="4" w:space="0" w:color="auto"/>
              <w:left w:val="single" w:sz="4" w:space="0" w:color="auto"/>
              <w:bottom w:val="single" w:sz="4" w:space="0" w:color="auto"/>
              <w:right w:val="single" w:sz="4" w:space="0" w:color="auto"/>
            </w:tcBorders>
            <w:hideMark/>
          </w:tcPr>
          <w:p w14:paraId="6CDE3CEE" w14:textId="77777777" w:rsidR="00474BBD" w:rsidRDefault="00474BBD" w:rsidP="001157B7">
            <w:pPr>
              <w:spacing w:before="240" w:line="276" w:lineRule="auto"/>
            </w:pPr>
            <w:r>
              <w:t xml:space="preserve">Follow up with C&amp;SE team whether </w:t>
            </w:r>
            <w:r>
              <w:rPr>
                <w:lang w:bidi="th-TH"/>
              </w:rPr>
              <w:t>there are opportunities for improvements in relation to spatial strategy triggers and the extension of community self-management participation.</w:t>
            </w:r>
          </w:p>
        </w:tc>
        <w:tc>
          <w:tcPr>
            <w:tcW w:w="1704" w:type="dxa"/>
            <w:tcBorders>
              <w:top w:val="single" w:sz="4" w:space="0" w:color="auto"/>
              <w:left w:val="single" w:sz="4" w:space="0" w:color="auto"/>
              <w:bottom w:val="single" w:sz="4" w:space="0" w:color="auto"/>
              <w:right w:val="single" w:sz="4" w:space="0" w:color="auto"/>
            </w:tcBorders>
            <w:hideMark/>
          </w:tcPr>
          <w:p w14:paraId="24D47265" w14:textId="77777777" w:rsidR="00474BBD" w:rsidRDefault="00474BBD" w:rsidP="001157B7">
            <w:pPr>
              <w:spacing w:before="240" w:line="276" w:lineRule="auto"/>
            </w:pPr>
            <w:r>
              <w:t>Business Manager/ C&amp;SE Manager</w:t>
            </w:r>
          </w:p>
        </w:tc>
        <w:tc>
          <w:tcPr>
            <w:tcW w:w="1702" w:type="dxa"/>
            <w:tcBorders>
              <w:top w:val="single" w:sz="4" w:space="0" w:color="auto"/>
              <w:left w:val="single" w:sz="4" w:space="0" w:color="auto"/>
              <w:bottom w:val="single" w:sz="4" w:space="0" w:color="auto"/>
              <w:right w:val="single" w:sz="4" w:space="0" w:color="auto"/>
            </w:tcBorders>
            <w:hideMark/>
          </w:tcPr>
          <w:p w14:paraId="053550F4" w14:textId="77777777" w:rsidR="00474BBD" w:rsidRDefault="00474BBD" w:rsidP="001157B7">
            <w:pPr>
              <w:spacing w:before="240" w:line="276" w:lineRule="auto"/>
            </w:pPr>
            <w:r>
              <w:t>April 2021</w:t>
            </w:r>
          </w:p>
        </w:tc>
        <w:tc>
          <w:tcPr>
            <w:tcW w:w="1277" w:type="dxa"/>
            <w:tcBorders>
              <w:top w:val="single" w:sz="4" w:space="0" w:color="auto"/>
              <w:left w:val="single" w:sz="4" w:space="0" w:color="auto"/>
              <w:bottom w:val="single" w:sz="4" w:space="0" w:color="auto"/>
              <w:right w:val="single" w:sz="4" w:space="0" w:color="auto"/>
            </w:tcBorders>
          </w:tcPr>
          <w:p w14:paraId="696F6652" w14:textId="77777777" w:rsidR="00474BBD" w:rsidRDefault="00474BBD" w:rsidP="001157B7">
            <w:pPr>
              <w:spacing w:before="240" w:line="276" w:lineRule="auto"/>
            </w:pPr>
          </w:p>
        </w:tc>
      </w:tr>
    </w:tbl>
    <w:p w14:paraId="3D3B7175" w14:textId="7112AA27" w:rsidR="00474BBD" w:rsidRDefault="00474BBD" w:rsidP="001157B7">
      <w:pPr>
        <w:spacing w:before="240" w:line="276" w:lineRule="auto"/>
      </w:pPr>
    </w:p>
    <w:p w14:paraId="74169B91" w14:textId="77777777" w:rsidR="00981E50" w:rsidRDefault="00981E50" w:rsidP="001157B7">
      <w:pPr>
        <w:spacing w:before="240" w:line="276" w:lineRule="auto"/>
      </w:pPr>
    </w:p>
    <w:tbl>
      <w:tblPr>
        <w:tblStyle w:val="TableGrid"/>
        <w:tblW w:w="9645" w:type="dxa"/>
        <w:tblInd w:w="-147" w:type="dxa"/>
        <w:tblLayout w:type="fixed"/>
        <w:tblLook w:val="06A0" w:firstRow="1" w:lastRow="0" w:firstColumn="1" w:lastColumn="0" w:noHBand="1" w:noVBand="1"/>
      </w:tblPr>
      <w:tblGrid>
        <w:gridCol w:w="567"/>
        <w:gridCol w:w="4538"/>
        <w:gridCol w:w="1702"/>
        <w:gridCol w:w="1419"/>
        <w:gridCol w:w="1419"/>
      </w:tblGrid>
      <w:tr w:rsidR="00474BBD" w14:paraId="3EA85F0B" w14:textId="77777777" w:rsidTr="001157B7">
        <w:tc>
          <w:tcPr>
            <w:tcW w:w="9640"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C7C7BDC" w14:textId="77777777" w:rsidR="00474BBD" w:rsidRPr="001157B7" w:rsidRDefault="00474BBD" w:rsidP="00B92BEC">
            <w:pPr>
              <w:spacing w:before="240" w:line="360" w:lineRule="auto"/>
              <w:rPr>
                <w:b/>
                <w:bCs/>
                <w:iCs/>
                <w:lang w:bidi="en-US"/>
              </w:rPr>
            </w:pPr>
            <w:r w:rsidRPr="001157B7">
              <w:rPr>
                <w:b/>
                <w:bCs/>
                <w:iCs/>
                <w:lang w:bidi="en-US"/>
              </w:rPr>
              <w:t xml:space="preserve">Agenda </w:t>
            </w:r>
            <w:r w:rsidRPr="00B92BEC">
              <w:rPr>
                <w:rFonts w:eastAsiaTheme="minorEastAsia"/>
                <w:b/>
                <w:bCs/>
              </w:rPr>
              <w:t>Item</w:t>
            </w:r>
            <w:r w:rsidRPr="001157B7">
              <w:rPr>
                <w:b/>
                <w:bCs/>
                <w:iCs/>
                <w:lang w:bidi="en-US"/>
              </w:rPr>
              <w:t xml:space="preserve"> 5 – 2021-22 Treatment Season</w:t>
            </w:r>
          </w:p>
        </w:tc>
      </w:tr>
      <w:tr w:rsidR="00474BBD" w14:paraId="60E913C4" w14:textId="77777777" w:rsidTr="00202714">
        <w:tc>
          <w:tcPr>
            <w:tcW w:w="9640" w:type="dxa"/>
            <w:gridSpan w:val="5"/>
            <w:tcBorders>
              <w:top w:val="single" w:sz="4" w:space="0" w:color="auto"/>
              <w:left w:val="single" w:sz="4" w:space="0" w:color="auto"/>
              <w:bottom w:val="single" w:sz="4" w:space="0" w:color="auto"/>
              <w:right w:val="single" w:sz="4" w:space="0" w:color="auto"/>
            </w:tcBorders>
          </w:tcPr>
          <w:p w14:paraId="5C5304B5" w14:textId="77777777" w:rsidR="00474BBD" w:rsidRDefault="00474BBD" w:rsidP="001157B7">
            <w:pPr>
              <w:spacing w:before="240" w:line="276" w:lineRule="auto"/>
              <w:rPr>
                <w:lang w:bidi="en-US"/>
              </w:rPr>
            </w:pPr>
            <w:r>
              <w:rPr>
                <w:lang w:bidi="en-US"/>
              </w:rPr>
              <w:t xml:space="preserve">Andrew Turley provided an update on the 2021-22 treatment season, flagging challenges with planning due to insufficient funds currently being available.  The $33M assigned in the forecast budget for 2021-22 is insufficient to continue eradicating fire ants within </w:t>
            </w:r>
            <w:proofErr w:type="gramStart"/>
            <w:r>
              <w:rPr>
                <w:lang w:bidi="en-US"/>
              </w:rPr>
              <w:t>South East</w:t>
            </w:r>
            <w:proofErr w:type="gramEnd"/>
            <w:r>
              <w:rPr>
                <w:lang w:bidi="en-US"/>
              </w:rPr>
              <w:t xml:space="preserve"> Queensland. The Program expects it will require approximately $60M, based on current costings, and has submitted a brief to the NBC to obtain members’ endorsement for seeking the additional $27M for the 2021-22FY.</w:t>
            </w:r>
          </w:p>
          <w:p w14:paraId="77E87A2E" w14:textId="77777777" w:rsidR="00474BBD" w:rsidRDefault="00474BBD" w:rsidP="001157B7">
            <w:pPr>
              <w:spacing w:before="240" w:line="276" w:lineRule="auto"/>
              <w:rPr>
                <w:lang w:bidi="en-US"/>
              </w:rPr>
            </w:pPr>
            <w:r>
              <w:rPr>
                <w:lang w:bidi="en-US"/>
              </w:rPr>
              <w:t xml:space="preserve">A 2021-22 work plan has been developed based on the $60M, with a contingency plan in case only $33M is available.  The work plan has been unitised to be scalable if some but not </w:t>
            </w:r>
            <w:proofErr w:type="gramStart"/>
            <w:r>
              <w:rPr>
                <w:lang w:bidi="en-US"/>
              </w:rPr>
              <w:t>all of</w:t>
            </w:r>
            <w:proofErr w:type="gramEnd"/>
            <w:r>
              <w:rPr>
                <w:lang w:bidi="en-US"/>
              </w:rPr>
              <w:t xml:space="preserve"> the additional funding required is received. </w:t>
            </w:r>
          </w:p>
          <w:p w14:paraId="2CA41C2A" w14:textId="77777777" w:rsidR="00474BBD" w:rsidRDefault="00474BBD" w:rsidP="001157B7">
            <w:pPr>
              <w:spacing w:before="240" w:line="276" w:lineRule="auto"/>
              <w:rPr>
                <w:lang w:bidi="en-US"/>
              </w:rPr>
            </w:pPr>
            <w:r>
              <w:rPr>
                <w:lang w:bidi="en-US"/>
              </w:rPr>
              <w:t>The funding shortfall does put at risk the eradication work to date and containment would need to continue, particularly the southern boundary and in Area 3. It is also important to not draw back on surveillance as it will be critical for future funding to be able to show efficacy. Overheads would have to be considerably scaled down.</w:t>
            </w:r>
          </w:p>
          <w:p w14:paraId="2ED94F00" w14:textId="77777777" w:rsidR="00474BBD" w:rsidRDefault="00474BBD" w:rsidP="001157B7">
            <w:pPr>
              <w:spacing w:before="240" w:line="276" w:lineRule="auto"/>
              <w:rPr>
                <w:lang w:bidi="en-US"/>
              </w:rPr>
            </w:pPr>
            <w:r>
              <w:rPr>
                <w:lang w:bidi="en-US"/>
              </w:rPr>
              <w:t>Should the extra funding be approved, it would likely not be available until later in the financial year.  There is discussion with the Queensland Cabinet Budget Review Committee to underwrite the extra funding until it is available.</w:t>
            </w:r>
          </w:p>
          <w:p w14:paraId="61B88160" w14:textId="77777777" w:rsidR="00474BBD" w:rsidRDefault="00474BBD" w:rsidP="001157B7">
            <w:pPr>
              <w:spacing w:before="240" w:line="276" w:lineRule="auto"/>
              <w:rPr>
                <w:lang w:bidi="en-US"/>
              </w:rPr>
            </w:pPr>
            <w:r>
              <w:rPr>
                <w:lang w:bidi="en-US"/>
              </w:rPr>
              <w:t>Treatments are planned in 10-week blocks, so the Program is looking at delaying one block at a time as required to match available funding. The funding risk should be reviewed from a timing perspective following the planning and analysis of the funding situation.</w:t>
            </w:r>
          </w:p>
          <w:p w14:paraId="7E481990" w14:textId="77777777" w:rsidR="00474BBD" w:rsidRDefault="00474BBD" w:rsidP="001157B7">
            <w:pPr>
              <w:spacing w:before="240" w:line="276" w:lineRule="auto"/>
              <w:rPr>
                <w:lang w:bidi="en-US"/>
              </w:rPr>
            </w:pPr>
            <w:r>
              <w:rPr>
                <w:lang w:bidi="en-US"/>
              </w:rPr>
              <w:t>The Sub-Committee</w:t>
            </w:r>
          </w:p>
          <w:p w14:paraId="1D6904C7" w14:textId="3E2A1531" w:rsidR="00474BBD" w:rsidRPr="00BF7D75" w:rsidRDefault="00474BBD" w:rsidP="001157B7">
            <w:pPr>
              <w:pStyle w:val="ListParagraph"/>
              <w:numPr>
                <w:ilvl w:val="0"/>
                <w:numId w:val="13"/>
              </w:numPr>
              <w:spacing w:before="240" w:line="276" w:lineRule="auto"/>
              <w:rPr>
                <w:lang w:bidi="th-TH"/>
              </w:rPr>
            </w:pPr>
            <w:r w:rsidRPr="001157B7">
              <w:rPr>
                <w:b/>
                <w:bCs/>
              </w:rPr>
              <w:t>NOTED</w:t>
            </w:r>
            <w:r w:rsidRPr="001157B7">
              <w:t xml:space="preserve"> the challenges in planning the 2021-22 Work Plan due to funding uncertainty.</w:t>
            </w:r>
          </w:p>
        </w:tc>
      </w:tr>
      <w:tr w:rsidR="00474BBD" w14:paraId="17FA8CEC" w14:textId="77777777" w:rsidTr="001157B7">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8A83F5C" w14:textId="77777777" w:rsidR="00474BBD" w:rsidRPr="001157B7" w:rsidRDefault="00474BBD" w:rsidP="001157B7">
            <w:pPr>
              <w:spacing w:before="240" w:line="276" w:lineRule="auto"/>
              <w:rPr>
                <w:b/>
                <w:bCs/>
              </w:rPr>
            </w:pPr>
            <w:r w:rsidRPr="001157B7">
              <w:rPr>
                <w:b/>
                <w:bCs/>
              </w:rPr>
              <w:t>Action items</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993A19D" w14:textId="77777777" w:rsidR="00474BBD" w:rsidRPr="001157B7" w:rsidRDefault="00474BBD" w:rsidP="001157B7">
            <w:pPr>
              <w:spacing w:before="240" w:line="276" w:lineRule="auto"/>
              <w:rPr>
                <w:b/>
                <w:bCs/>
              </w:rPr>
            </w:pPr>
            <w:r w:rsidRPr="001157B7">
              <w:rPr>
                <w:rFonts w:eastAsia="Calibri"/>
                <w:b/>
                <w:bCs/>
              </w:rPr>
              <w:t>Responsibility</w:t>
            </w:r>
          </w:p>
        </w:tc>
        <w:tc>
          <w:tcPr>
            <w:tcW w:w="141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FABBACF"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4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A2A6893" w14:textId="77777777" w:rsidR="00474BBD" w:rsidRPr="001157B7" w:rsidRDefault="00474BBD" w:rsidP="001157B7">
            <w:pPr>
              <w:spacing w:before="240" w:line="276" w:lineRule="auto"/>
              <w:rPr>
                <w:b/>
                <w:bCs/>
              </w:rPr>
            </w:pPr>
            <w:r w:rsidRPr="001157B7">
              <w:rPr>
                <w:rFonts w:eastAsia="Calibri"/>
                <w:b/>
                <w:bCs/>
              </w:rPr>
              <w:t>Status</w:t>
            </w:r>
          </w:p>
        </w:tc>
      </w:tr>
      <w:tr w:rsidR="00474BBD" w14:paraId="03D3315A" w14:textId="77777777" w:rsidTr="00202714">
        <w:tc>
          <w:tcPr>
            <w:tcW w:w="567" w:type="dxa"/>
            <w:tcBorders>
              <w:top w:val="single" w:sz="4" w:space="0" w:color="auto"/>
              <w:left w:val="single" w:sz="4" w:space="0" w:color="auto"/>
              <w:bottom w:val="single" w:sz="4" w:space="0" w:color="auto"/>
              <w:right w:val="single" w:sz="4" w:space="0" w:color="auto"/>
            </w:tcBorders>
          </w:tcPr>
          <w:p w14:paraId="01FCF216" w14:textId="77777777" w:rsidR="00474BBD" w:rsidRDefault="00474BBD" w:rsidP="001157B7">
            <w:pPr>
              <w:spacing w:before="240" w:line="276" w:lineRule="auto"/>
            </w:pPr>
          </w:p>
        </w:tc>
        <w:tc>
          <w:tcPr>
            <w:tcW w:w="4536" w:type="dxa"/>
            <w:tcBorders>
              <w:top w:val="single" w:sz="4" w:space="0" w:color="auto"/>
              <w:left w:val="single" w:sz="4" w:space="0" w:color="auto"/>
              <w:bottom w:val="single" w:sz="4" w:space="0" w:color="auto"/>
              <w:right w:val="single" w:sz="4" w:space="0" w:color="auto"/>
            </w:tcBorders>
            <w:hideMark/>
          </w:tcPr>
          <w:p w14:paraId="5FDFD9E2" w14:textId="77777777" w:rsidR="00474BBD" w:rsidRDefault="00474BBD" w:rsidP="001157B7">
            <w:pPr>
              <w:spacing w:before="240" w:line="276" w:lineRule="auto"/>
              <w:rPr>
                <w:lang w:bidi="en-US"/>
              </w:rPr>
            </w:pPr>
            <w:r>
              <w:rPr>
                <w:lang w:bidi="en-US"/>
              </w:rPr>
              <w:t>Nil</w:t>
            </w:r>
          </w:p>
        </w:tc>
        <w:tc>
          <w:tcPr>
            <w:tcW w:w="1701" w:type="dxa"/>
            <w:tcBorders>
              <w:top w:val="single" w:sz="4" w:space="0" w:color="auto"/>
              <w:left w:val="single" w:sz="4" w:space="0" w:color="auto"/>
              <w:bottom w:val="single" w:sz="4" w:space="0" w:color="auto"/>
              <w:right w:val="single" w:sz="4" w:space="0" w:color="auto"/>
            </w:tcBorders>
          </w:tcPr>
          <w:p w14:paraId="29B68D2B" w14:textId="77777777" w:rsidR="00474BBD" w:rsidRDefault="00474BBD" w:rsidP="001157B7">
            <w:pPr>
              <w:spacing w:before="240" w:line="276" w:lineRule="auto"/>
            </w:pPr>
          </w:p>
        </w:tc>
        <w:tc>
          <w:tcPr>
            <w:tcW w:w="1418" w:type="dxa"/>
            <w:tcBorders>
              <w:top w:val="single" w:sz="4" w:space="0" w:color="auto"/>
              <w:left w:val="single" w:sz="4" w:space="0" w:color="auto"/>
              <w:bottom w:val="single" w:sz="4" w:space="0" w:color="auto"/>
              <w:right w:val="single" w:sz="4" w:space="0" w:color="auto"/>
            </w:tcBorders>
          </w:tcPr>
          <w:p w14:paraId="5B5281D6" w14:textId="77777777" w:rsidR="00474BBD" w:rsidRDefault="00474BBD" w:rsidP="001157B7">
            <w:pPr>
              <w:spacing w:before="240" w:line="276" w:lineRule="auto"/>
            </w:pPr>
          </w:p>
        </w:tc>
        <w:tc>
          <w:tcPr>
            <w:tcW w:w="1418" w:type="dxa"/>
            <w:tcBorders>
              <w:top w:val="single" w:sz="4" w:space="0" w:color="auto"/>
              <w:left w:val="single" w:sz="4" w:space="0" w:color="auto"/>
              <w:bottom w:val="single" w:sz="4" w:space="0" w:color="auto"/>
              <w:right w:val="single" w:sz="4" w:space="0" w:color="auto"/>
            </w:tcBorders>
          </w:tcPr>
          <w:p w14:paraId="074BD912" w14:textId="77777777" w:rsidR="00474BBD" w:rsidRDefault="00474BBD" w:rsidP="001157B7">
            <w:pPr>
              <w:spacing w:before="240" w:line="276" w:lineRule="auto"/>
            </w:pPr>
          </w:p>
        </w:tc>
      </w:tr>
    </w:tbl>
    <w:p w14:paraId="53C07B1E" w14:textId="17C73934" w:rsidR="00474BBD" w:rsidRDefault="00474BBD" w:rsidP="001157B7">
      <w:pPr>
        <w:spacing w:before="240" w:line="276" w:lineRule="auto"/>
      </w:pPr>
    </w:p>
    <w:p w14:paraId="50EA5023" w14:textId="48113D29" w:rsidR="00981E50" w:rsidRDefault="00981E50" w:rsidP="001157B7">
      <w:pPr>
        <w:spacing w:before="240" w:line="276" w:lineRule="auto"/>
      </w:pPr>
    </w:p>
    <w:p w14:paraId="58641DB1" w14:textId="77777777" w:rsidR="00981E50" w:rsidRDefault="00981E50" w:rsidP="001157B7">
      <w:pPr>
        <w:spacing w:before="240" w:line="276" w:lineRule="auto"/>
      </w:pPr>
    </w:p>
    <w:tbl>
      <w:tblPr>
        <w:tblStyle w:val="TableGrid"/>
        <w:tblW w:w="9645" w:type="dxa"/>
        <w:tblInd w:w="-147" w:type="dxa"/>
        <w:tblLayout w:type="fixed"/>
        <w:tblLook w:val="06A0" w:firstRow="1" w:lastRow="0" w:firstColumn="1" w:lastColumn="0" w:noHBand="1" w:noVBand="1"/>
      </w:tblPr>
      <w:tblGrid>
        <w:gridCol w:w="567"/>
        <w:gridCol w:w="4538"/>
        <w:gridCol w:w="1702"/>
        <w:gridCol w:w="1419"/>
        <w:gridCol w:w="1419"/>
      </w:tblGrid>
      <w:tr w:rsidR="00474BBD" w14:paraId="27F9925D" w14:textId="77777777" w:rsidTr="001157B7">
        <w:tc>
          <w:tcPr>
            <w:tcW w:w="9640"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A401886" w14:textId="77777777" w:rsidR="00474BBD" w:rsidRPr="001157B7" w:rsidRDefault="00474BBD" w:rsidP="00B92BEC">
            <w:pPr>
              <w:spacing w:before="240" w:line="360" w:lineRule="auto"/>
              <w:rPr>
                <w:b/>
                <w:bCs/>
                <w:iCs/>
                <w:lang w:bidi="en-US"/>
              </w:rPr>
            </w:pPr>
            <w:r w:rsidRPr="00B92BEC">
              <w:rPr>
                <w:rFonts w:eastAsiaTheme="minorEastAsia"/>
                <w:b/>
                <w:bCs/>
              </w:rPr>
              <w:t>Agenda</w:t>
            </w:r>
            <w:r w:rsidRPr="001157B7">
              <w:rPr>
                <w:b/>
                <w:bCs/>
                <w:iCs/>
                <w:lang w:bidi="en-US"/>
              </w:rPr>
              <w:t xml:space="preserve"> Item 6 – Self Treatment</w:t>
            </w:r>
          </w:p>
        </w:tc>
      </w:tr>
      <w:tr w:rsidR="00474BBD" w14:paraId="796A5F3F" w14:textId="77777777" w:rsidTr="00202714">
        <w:tc>
          <w:tcPr>
            <w:tcW w:w="9640" w:type="dxa"/>
            <w:gridSpan w:val="5"/>
            <w:tcBorders>
              <w:top w:val="single" w:sz="4" w:space="0" w:color="auto"/>
              <w:left w:val="single" w:sz="4" w:space="0" w:color="auto"/>
              <w:bottom w:val="single" w:sz="4" w:space="0" w:color="auto"/>
              <w:right w:val="single" w:sz="4" w:space="0" w:color="auto"/>
            </w:tcBorders>
            <w:hideMark/>
          </w:tcPr>
          <w:p w14:paraId="2C70D0C7" w14:textId="77777777" w:rsidR="00474BBD" w:rsidRDefault="00474BBD" w:rsidP="001157B7">
            <w:pPr>
              <w:spacing w:before="240" w:line="276" w:lineRule="auto"/>
            </w:pPr>
            <w:r>
              <w:t xml:space="preserve">Andrew Turley provided an update on self-treatment and the Yarrabilba trial due to commence in late March 2021.  </w:t>
            </w:r>
          </w:p>
          <w:p w14:paraId="7F0637B5" w14:textId="77777777" w:rsidR="00474BBD" w:rsidRDefault="00474BBD" w:rsidP="001157B7">
            <w:pPr>
              <w:spacing w:before="240" w:line="276" w:lineRule="auto"/>
            </w:pPr>
            <w:r>
              <w:t xml:space="preserve">Planning for the Yarrabilba trial is progressing well.  The Program has been doing community engagement to encourage residents to sign up and register to participate in the project.  The participation portal closed on 15 March 2021, with 10 per cent of the community signing up, well below the target of 50 per cent.  However, there was an issue with the sign-up portal rejecting email addresses of people previously engaged with the Program.  That issue was rectified quickly but did have an impact on the initial sign-up.  The Community Engagement team went out into the community to encourage participation and advising that the portal issue was rectified and operational again.  </w:t>
            </w:r>
          </w:p>
          <w:p w14:paraId="2C941DA8" w14:textId="77777777" w:rsidR="00474BBD" w:rsidRDefault="00474BBD" w:rsidP="001157B7">
            <w:pPr>
              <w:spacing w:before="240" w:line="276" w:lineRule="auto"/>
            </w:pPr>
            <w:r>
              <w:t>The Program is currently engaging with the Gold Coast City Council and local schools to self-treat, simultaneously with community self-treatment, to suppress fire ants near the Southern Boundary. Collaboration has also commenced with a Landcare community group at Mt Tamborine.  Only a single round of treatment is scheduled for these areas, for suppression.</w:t>
            </w:r>
          </w:p>
          <w:p w14:paraId="49427618" w14:textId="77777777" w:rsidR="00474BBD" w:rsidRDefault="00474BBD" w:rsidP="001157B7">
            <w:pPr>
              <w:spacing w:before="240" w:line="276" w:lineRule="auto"/>
            </w:pPr>
            <w:r>
              <w:t xml:space="preserve">Discussions have been held with the Scenic Rim, Gold Coast, </w:t>
            </w:r>
            <w:proofErr w:type="gramStart"/>
            <w:r>
              <w:t>Redlands</w:t>
            </w:r>
            <w:proofErr w:type="gramEnd"/>
            <w:r>
              <w:t xml:space="preserve"> and Brisbane City Councils to encourage self-management of fire ants on land they manage, providing the fire ant bait at no cost for projects that are mutually beneficial to the Program and the respective organisation. </w:t>
            </w:r>
          </w:p>
          <w:p w14:paraId="15B95C2D" w14:textId="77777777" w:rsidR="00474BBD" w:rsidRDefault="00474BBD" w:rsidP="001157B7">
            <w:pPr>
              <w:spacing w:before="240" w:line="276" w:lineRule="auto"/>
            </w:pPr>
            <w:r>
              <w:t xml:space="preserve">The Program has been engaging with the Queensland Department of Education and individual schools regarding self-treating fire ants in the schools.  A message will be released in Term 2 by the Department of Education advising schools that they need to be treating fire ants as they treat other pests on their sites. </w:t>
            </w:r>
          </w:p>
          <w:p w14:paraId="0311DB94" w14:textId="77777777" w:rsidR="00474BBD" w:rsidRDefault="00474BBD" w:rsidP="001157B7">
            <w:pPr>
              <w:spacing w:before="240" w:line="276" w:lineRule="auto"/>
            </w:pPr>
            <w:r>
              <w:t>Risks associated with self-treatment include:</w:t>
            </w:r>
          </w:p>
          <w:p w14:paraId="5F217D34" w14:textId="77777777" w:rsidR="00474BBD" w:rsidRPr="00B92BEC" w:rsidRDefault="00474BBD" w:rsidP="00B92BEC">
            <w:pPr>
              <w:pStyle w:val="ListParagraph"/>
              <w:numPr>
                <w:ilvl w:val="0"/>
                <w:numId w:val="13"/>
              </w:numPr>
              <w:spacing w:before="240" w:line="276" w:lineRule="auto"/>
            </w:pPr>
            <w:r w:rsidRPr="00B92BEC">
              <w:t>the costs to treat fire-ants (Program will provide bait to councils and schools for some projects)</w:t>
            </w:r>
          </w:p>
          <w:p w14:paraId="22CD15D4" w14:textId="77777777" w:rsidR="00474BBD" w:rsidRPr="00B92BEC" w:rsidRDefault="00474BBD" w:rsidP="00B92BEC">
            <w:pPr>
              <w:pStyle w:val="ListParagraph"/>
              <w:numPr>
                <w:ilvl w:val="0"/>
                <w:numId w:val="13"/>
              </w:numPr>
              <w:spacing w:before="240" w:line="276" w:lineRule="auto"/>
            </w:pPr>
            <w:r w:rsidRPr="00B92BEC">
              <w:t xml:space="preserve">councils and schools may not know that they are responsible for treating fire ants on land they manage (the </w:t>
            </w:r>
            <w:r w:rsidRPr="00B92BEC">
              <w:rPr>
                <w:i/>
                <w:iCs/>
              </w:rPr>
              <w:t>Biosecurity Act 2014</w:t>
            </w:r>
            <w:r w:rsidRPr="00B92BEC">
              <w:t xml:space="preserve"> outlines the responsibility)</w:t>
            </w:r>
          </w:p>
          <w:p w14:paraId="7AA3882F" w14:textId="46117899" w:rsidR="00474BBD" w:rsidRPr="00B92BEC" w:rsidRDefault="00474BBD" w:rsidP="001157B7">
            <w:pPr>
              <w:pStyle w:val="ListParagraph"/>
              <w:numPr>
                <w:ilvl w:val="0"/>
                <w:numId w:val="13"/>
              </w:numPr>
              <w:spacing w:before="240" w:line="276" w:lineRule="auto"/>
            </w:pPr>
            <w:r w:rsidRPr="00B92BEC">
              <w:t xml:space="preserve">communities, </w:t>
            </w:r>
            <w:proofErr w:type="gramStart"/>
            <w:r w:rsidRPr="00B92BEC">
              <w:t>councils</w:t>
            </w:r>
            <w:proofErr w:type="gramEnd"/>
            <w:r w:rsidRPr="00B92BEC">
              <w:t xml:space="preserve"> and schools may perceive self-management as shifting the costs of treating fire ants (messaging around the Program’s strategy will make it clear that stakeholder participation was always part of the plan and without it, eradication would not be possible).</w:t>
            </w:r>
          </w:p>
          <w:p w14:paraId="6EAC6A95" w14:textId="77777777" w:rsidR="00474BBD" w:rsidRDefault="00474BBD" w:rsidP="001157B7">
            <w:pPr>
              <w:spacing w:before="240" w:line="276" w:lineRule="auto"/>
            </w:pPr>
            <w:r>
              <w:t xml:space="preserve">The Sub-Committee: </w:t>
            </w:r>
          </w:p>
          <w:p w14:paraId="6781CB8A" w14:textId="77777777" w:rsidR="00474BBD" w:rsidRPr="001157B7" w:rsidRDefault="00474BBD" w:rsidP="001157B7">
            <w:pPr>
              <w:pStyle w:val="ListParagraph"/>
              <w:numPr>
                <w:ilvl w:val="0"/>
                <w:numId w:val="13"/>
              </w:numPr>
              <w:spacing w:before="240" w:line="276" w:lineRule="auto"/>
            </w:pPr>
            <w:r w:rsidRPr="001157B7">
              <w:rPr>
                <w:b/>
                <w:bCs/>
                <w:lang w:bidi="th-TH"/>
              </w:rPr>
              <w:t>NOTED</w:t>
            </w:r>
            <w:r w:rsidRPr="001157B7">
              <w:rPr>
                <w:lang w:bidi="th-TH"/>
              </w:rPr>
              <w:t xml:space="preserve"> the update on self-treatment and the Yarrabilba trial to commence in March 2021 and the good focus on learnings to date.</w:t>
            </w:r>
          </w:p>
        </w:tc>
      </w:tr>
      <w:tr w:rsidR="00474BBD" w14:paraId="70DAF8C2" w14:textId="77777777" w:rsidTr="001157B7">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0D4E63B" w14:textId="77777777" w:rsidR="00474BBD" w:rsidRPr="001157B7" w:rsidRDefault="00474BBD" w:rsidP="001157B7">
            <w:pPr>
              <w:spacing w:before="240" w:line="276" w:lineRule="auto"/>
              <w:rPr>
                <w:b/>
                <w:bCs/>
              </w:rPr>
            </w:pPr>
            <w:r w:rsidRPr="001157B7">
              <w:rPr>
                <w:b/>
                <w:bCs/>
              </w:rPr>
              <w:t>Action items</w:t>
            </w: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291201B" w14:textId="77777777" w:rsidR="00474BBD" w:rsidRPr="001157B7" w:rsidRDefault="00474BBD" w:rsidP="001157B7">
            <w:pPr>
              <w:spacing w:before="240" w:line="276" w:lineRule="auto"/>
              <w:rPr>
                <w:b/>
                <w:bCs/>
              </w:rPr>
            </w:pPr>
            <w:r w:rsidRPr="001157B7">
              <w:rPr>
                <w:rFonts w:eastAsia="Calibri"/>
                <w:b/>
                <w:bCs/>
              </w:rPr>
              <w:t>Responsibility</w:t>
            </w:r>
          </w:p>
        </w:tc>
        <w:tc>
          <w:tcPr>
            <w:tcW w:w="141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48967E8"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418"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663E1D1" w14:textId="77777777" w:rsidR="00474BBD" w:rsidRPr="001157B7" w:rsidRDefault="00474BBD" w:rsidP="001157B7">
            <w:pPr>
              <w:spacing w:before="240" w:line="276" w:lineRule="auto"/>
              <w:rPr>
                <w:b/>
                <w:bCs/>
              </w:rPr>
            </w:pPr>
            <w:r w:rsidRPr="001157B7">
              <w:rPr>
                <w:rFonts w:eastAsia="Calibri"/>
                <w:b/>
                <w:bCs/>
              </w:rPr>
              <w:t>Status</w:t>
            </w:r>
          </w:p>
        </w:tc>
      </w:tr>
      <w:tr w:rsidR="00474BBD" w14:paraId="452F8017" w14:textId="77777777" w:rsidTr="00202714">
        <w:tc>
          <w:tcPr>
            <w:tcW w:w="567" w:type="dxa"/>
            <w:tcBorders>
              <w:top w:val="single" w:sz="4" w:space="0" w:color="auto"/>
              <w:left w:val="single" w:sz="4" w:space="0" w:color="auto"/>
              <w:bottom w:val="single" w:sz="4" w:space="0" w:color="auto"/>
              <w:right w:val="single" w:sz="4" w:space="0" w:color="auto"/>
            </w:tcBorders>
          </w:tcPr>
          <w:p w14:paraId="1B862D61" w14:textId="77777777" w:rsidR="00474BBD" w:rsidRDefault="00474BBD" w:rsidP="001157B7">
            <w:pPr>
              <w:spacing w:before="240" w:line="276" w:lineRule="auto"/>
            </w:pPr>
          </w:p>
        </w:tc>
        <w:tc>
          <w:tcPr>
            <w:tcW w:w="4536" w:type="dxa"/>
            <w:tcBorders>
              <w:top w:val="single" w:sz="4" w:space="0" w:color="auto"/>
              <w:left w:val="single" w:sz="4" w:space="0" w:color="auto"/>
              <w:bottom w:val="single" w:sz="4" w:space="0" w:color="auto"/>
              <w:right w:val="single" w:sz="4" w:space="0" w:color="auto"/>
            </w:tcBorders>
            <w:hideMark/>
          </w:tcPr>
          <w:p w14:paraId="0587A24E" w14:textId="77777777" w:rsidR="00474BBD" w:rsidRDefault="00474BBD" w:rsidP="001157B7">
            <w:pPr>
              <w:spacing w:before="240" w:line="276" w:lineRule="auto"/>
            </w:pPr>
            <w:r>
              <w:t>Nil</w:t>
            </w:r>
          </w:p>
        </w:tc>
        <w:tc>
          <w:tcPr>
            <w:tcW w:w="1701" w:type="dxa"/>
            <w:tcBorders>
              <w:top w:val="single" w:sz="4" w:space="0" w:color="auto"/>
              <w:left w:val="single" w:sz="4" w:space="0" w:color="auto"/>
              <w:bottom w:val="single" w:sz="4" w:space="0" w:color="auto"/>
              <w:right w:val="single" w:sz="4" w:space="0" w:color="auto"/>
            </w:tcBorders>
          </w:tcPr>
          <w:p w14:paraId="3F6A496D" w14:textId="77777777" w:rsidR="00474BBD" w:rsidRDefault="00474BBD" w:rsidP="001157B7">
            <w:pPr>
              <w:spacing w:before="240" w:line="276" w:lineRule="auto"/>
            </w:pPr>
          </w:p>
        </w:tc>
        <w:tc>
          <w:tcPr>
            <w:tcW w:w="1418" w:type="dxa"/>
            <w:tcBorders>
              <w:top w:val="single" w:sz="4" w:space="0" w:color="auto"/>
              <w:left w:val="single" w:sz="4" w:space="0" w:color="auto"/>
              <w:bottom w:val="single" w:sz="4" w:space="0" w:color="auto"/>
              <w:right w:val="single" w:sz="4" w:space="0" w:color="auto"/>
            </w:tcBorders>
          </w:tcPr>
          <w:p w14:paraId="6B8FB230" w14:textId="77777777" w:rsidR="00474BBD" w:rsidRDefault="00474BBD" w:rsidP="001157B7">
            <w:pPr>
              <w:spacing w:before="240" w:line="276" w:lineRule="auto"/>
            </w:pPr>
          </w:p>
        </w:tc>
        <w:tc>
          <w:tcPr>
            <w:tcW w:w="1418" w:type="dxa"/>
            <w:tcBorders>
              <w:top w:val="single" w:sz="4" w:space="0" w:color="auto"/>
              <w:left w:val="single" w:sz="4" w:space="0" w:color="auto"/>
              <w:bottom w:val="single" w:sz="4" w:space="0" w:color="auto"/>
              <w:right w:val="single" w:sz="4" w:space="0" w:color="auto"/>
            </w:tcBorders>
          </w:tcPr>
          <w:p w14:paraId="02B3C23E" w14:textId="77777777" w:rsidR="00474BBD" w:rsidRDefault="00474BBD" w:rsidP="001157B7">
            <w:pPr>
              <w:spacing w:before="240" w:line="276" w:lineRule="auto"/>
            </w:pPr>
          </w:p>
        </w:tc>
      </w:tr>
    </w:tbl>
    <w:p w14:paraId="41668812" w14:textId="13D3FA4D" w:rsidR="00474BBD" w:rsidRDefault="00474BBD" w:rsidP="001157B7">
      <w:pPr>
        <w:spacing w:before="240" w:line="276" w:lineRule="auto"/>
      </w:pPr>
    </w:p>
    <w:p w14:paraId="46361E22" w14:textId="252EE71A" w:rsidR="00981E50" w:rsidRDefault="00981E50" w:rsidP="001157B7">
      <w:pPr>
        <w:spacing w:before="240" w:line="276" w:lineRule="auto"/>
      </w:pPr>
    </w:p>
    <w:p w14:paraId="1364A7BD" w14:textId="77777777" w:rsidR="00981E50" w:rsidRDefault="00981E50" w:rsidP="001157B7">
      <w:pPr>
        <w:spacing w:before="240" w:line="276" w:lineRule="auto"/>
      </w:pPr>
    </w:p>
    <w:tbl>
      <w:tblPr>
        <w:tblStyle w:val="TableGrid"/>
        <w:tblW w:w="9645" w:type="dxa"/>
        <w:tblInd w:w="-147" w:type="dxa"/>
        <w:tblLayout w:type="fixed"/>
        <w:tblLook w:val="06A0" w:firstRow="1" w:lastRow="0" w:firstColumn="1" w:lastColumn="0" w:noHBand="1" w:noVBand="1"/>
      </w:tblPr>
      <w:tblGrid>
        <w:gridCol w:w="567"/>
        <w:gridCol w:w="4395"/>
        <w:gridCol w:w="1704"/>
        <w:gridCol w:w="1702"/>
        <w:gridCol w:w="1277"/>
      </w:tblGrid>
      <w:tr w:rsidR="00474BBD" w14:paraId="3FA91EFC" w14:textId="77777777" w:rsidTr="001157B7">
        <w:tc>
          <w:tcPr>
            <w:tcW w:w="9645"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57EE1CC" w14:textId="168C593B" w:rsidR="00474BBD" w:rsidRPr="001157B7" w:rsidRDefault="00474BBD" w:rsidP="00B92BEC">
            <w:pPr>
              <w:spacing w:before="240" w:line="360" w:lineRule="auto"/>
              <w:rPr>
                <w:b/>
                <w:bCs/>
              </w:rPr>
            </w:pPr>
            <w:r w:rsidRPr="001157B7">
              <w:rPr>
                <w:b/>
                <w:bCs/>
                <w:iCs/>
                <w:lang w:bidi="en-US"/>
              </w:rPr>
              <w:lastRenderedPageBreak/>
              <w:t xml:space="preserve">Agenda Item 7 – Community </w:t>
            </w:r>
            <w:r w:rsidRPr="00B92BEC">
              <w:rPr>
                <w:rFonts w:eastAsiaTheme="minorEastAsia"/>
                <w:b/>
                <w:bCs/>
              </w:rPr>
              <w:t>Attitudes</w:t>
            </w:r>
            <w:r w:rsidRPr="001157B7">
              <w:rPr>
                <w:b/>
                <w:bCs/>
                <w:iCs/>
                <w:lang w:bidi="en-US"/>
              </w:rPr>
              <w:t>, Compliance and Enforcement</w:t>
            </w:r>
          </w:p>
        </w:tc>
      </w:tr>
      <w:tr w:rsidR="00474BBD" w14:paraId="33322A23" w14:textId="77777777" w:rsidTr="001157B7">
        <w:trPr>
          <w:trHeight w:val="70"/>
        </w:trPr>
        <w:tc>
          <w:tcPr>
            <w:tcW w:w="9645" w:type="dxa"/>
            <w:gridSpan w:val="5"/>
            <w:tcBorders>
              <w:top w:val="single" w:sz="4" w:space="0" w:color="auto"/>
              <w:left w:val="single" w:sz="4" w:space="0" w:color="auto"/>
              <w:bottom w:val="single" w:sz="4" w:space="0" w:color="auto"/>
              <w:right w:val="single" w:sz="4" w:space="0" w:color="auto"/>
            </w:tcBorders>
            <w:hideMark/>
          </w:tcPr>
          <w:p w14:paraId="56167526" w14:textId="77777777" w:rsidR="00474BBD" w:rsidRDefault="00474BBD" w:rsidP="001157B7">
            <w:pPr>
              <w:spacing w:before="240" w:line="276" w:lineRule="auto"/>
              <w:rPr>
                <w:szCs w:val="18"/>
              </w:rPr>
            </w:pPr>
            <w:r>
              <w:rPr>
                <w:szCs w:val="18"/>
              </w:rPr>
              <w:t xml:space="preserve">CSIRO was commissioned to conduct an independent review into the Program’s movement controls and the scientific principles that underpin them. The Program received the final report in late December </w:t>
            </w:r>
            <w:proofErr w:type="gramStart"/>
            <w:r>
              <w:rPr>
                <w:szCs w:val="18"/>
              </w:rPr>
              <w:t>2020</w:t>
            </w:r>
            <w:proofErr w:type="gramEnd"/>
            <w:r>
              <w:rPr>
                <w:szCs w:val="18"/>
              </w:rPr>
              <w:t xml:space="preserve"> and it was published to a web-based engagement hub in January 2021 to obtain stakeholder feedback on the recommendations of the report.  In general, the scientific principles were accepted with minor refinement for clarification.   There were </w:t>
            </w:r>
            <w:proofErr w:type="gramStart"/>
            <w:r>
              <w:rPr>
                <w:szCs w:val="18"/>
              </w:rPr>
              <w:t>a number of</w:t>
            </w:r>
            <w:proofErr w:type="gramEnd"/>
            <w:r>
              <w:rPr>
                <w:szCs w:val="18"/>
              </w:rPr>
              <w:t xml:space="preserve"> recommendations on the Program’s movement controls, including improving the current mitigations.</w:t>
            </w:r>
          </w:p>
          <w:p w14:paraId="36991736" w14:textId="77777777" w:rsidR="00474BBD" w:rsidRDefault="00474BBD" w:rsidP="001157B7">
            <w:pPr>
              <w:spacing w:before="240" w:line="276" w:lineRule="auto"/>
              <w:rPr>
                <w:szCs w:val="18"/>
              </w:rPr>
            </w:pPr>
            <w:r>
              <w:rPr>
                <w:szCs w:val="18"/>
              </w:rPr>
              <w:t>Stakeholder feedback has now closed.  The Program will now consider and analyse the recommendations of the review, stakeholder feedback and the Program’s learnings over the last four years to inform future changes to movement controls that govern fire ant carriers.  The Science team is currently looking at the recommendations on research and analysis of data for those responses in relation to mitigation strategies.</w:t>
            </w:r>
          </w:p>
          <w:p w14:paraId="2A1C3561" w14:textId="77777777" w:rsidR="00474BBD" w:rsidRDefault="00474BBD" w:rsidP="001157B7">
            <w:pPr>
              <w:spacing w:before="240" w:line="276" w:lineRule="auto"/>
              <w:rPr>
                <w:szCs w:val="18"/>
              </w:rPr>
            </w:pPr>
            <w:r>
              <w:rPr>
                <w:szCs w:val="18"/>
              </w:rPr>
              <w:t>The Program is currently engaging with individual industries in a targeted way, to ensure the communication restrictions do not affect the ability to communicate with them.</w:t>
            </w:r>
          </w:p>
          <w:p w14:paraId="17389E03" w14:textId="77777777" w:rsidR="00474BBD" w:rsidRDefault="00474BBD" w:rsidP="001157B7">
            <w:pPr>
              <w:spacing w:before="240" w:line="276" w:lineRule="auto"/>
            </w:pPr>
            <w:r>
              <w:t xml:space="preserve">The Sub-Committee: </w:t>
            </w:r>
          </w:p>
          <w:p w14:paraId="72128F69" w14:textId="77777777" w:rsidR="00474BBD" w:rsidRDefault="00474BBD" w:rsidP="001157B7">
            <w:pPr>
              <w:spacing w:before="240" w:line="276" w:lineRule="auto"/>
            </w:pPr>
            <w:r w:rsidRPr="001157B7">
              <w:rPr>
                <w:b/>
                <w:bCs/>
              </w:rPr>
              <w:t>NOTED</w:t>
            </w:r>
            <w:r>
              <w:t>:</w:t>
            </w:r>
          </w:p>
          <w:p w14:paraId="4D14A36F" w14:textId="77777777" w:rsidR="00474BBD" w:rsidRPr="001157B7" w:rsidRDefault="00474BBD" w:rsidP="001157B7">
            <w:pPr>
              <w:pStyle w:val="ListParagraph"/>
              <w:numPr>
                <w:ilvl w:val="0"/>
                <w:numId w:val="13"/>
              </w:numPr>
              <w:spacing w:before="240" w:line="276" w:lineRule="auto"/>
              <w:rPr>
                <w:szCs w:val="18"/>
              </w:rPr>
            </w:pPr>
            <w:r w:rsidRPr="001157B7">
              <w:rPr>
                <w:lang w:bidi="th-TH"/>
              </w:rPr>
              <w:t>the completion and publication of the CSIRO Review of the Red Imported Fire Ant Scientific Principles and Movement Controls</w:t>
            </w:r>
          </w:p>
          <w:p w14:paraId="2BCEAF91" w14:textId="77777777" w:rsidR="00474BBD" w:rsidRPr="001157B7" w:rsidRDefault="00474BBD" w:rsidP="001157B7">
            <w:pPr>
              <w:pStyle w:val="ListParagraph"/>
              <w:numPr>
                <w:ilvl w:val="0"/>
                <w:numId w:val="13"/>
              </w:numPr>
              <w:spacing w:before="240" w:line="276" w:lineRule="auto"/>
              <w:rPr>
                <w:szCs w:val="18"/>
              </w:rPr>
            </w:pPr>
            <w:r w:rsidRPr="001157B7">
              <w:rPr>
                <w:lang w:bidi="th-TH"/>
              </w:rPr>
              <w:t>the Program has started reviewing the existing movement controls to ensure the Biosecurity Regulations 2016 is effective in preventing the human-assisted spread of fire ants.</w:t>
            </w:r>
          </w:p>
        </w:tc>
      </w:tr>
      <w:tr w:rsidR="00474BBD" w14:paraId="5D829FEF" w14:textId="77777777" w:rsidTr="001157B7">
        <w:trPr>
          <w:tblHeader/>
        </w:trPr>
        <w:tc>
          <w:tcPr>
            <w:tcW w:w="496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687601A" w14:textId="77777777" w:rsidR="00474BBD" w:rsidRPr="001157B7" w:rsidRDefault="00474BBD" w:rsidP="001157B7">
            <w:pPr>
              <w:spacing w:before="240" w:line="276" w:lineRule="auto"/>
              <w:rPr>
                <w:b/>
                <w:bCs/>
              </w:rPr>
            </w:pPr>
            <w:r w:rsidRPr="001157B7">
              <w:rPr>
                <w:b/>
                <w:bCs/>
              </w:rPr>
              <w:t>Action items</w:t>
            </w:r>
          </w:p>
        </w:tc>
        <w:tc>
          <w:tcPr>
            <w:tcW w:w="17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27E81B0" w14:textId="77777777" w:rsidR="00474BBD" w:rsidRPr="001157B7" w:rsidRDefault="00474BBD" w:rsidP="001157B7">
            <w:pPr>
              <w:spacing w:before="240" w:line="276" w:lineRule="auto"/>
              <w:rPr>
                <w:b/>
                <w:bCs/>
              </w:rPr>
            </w:pPr>
            <w:r w:rsidRPr="001157B7">
              <w:rPr>
                <w:rFonts w:eastAsia="Calibri"/>
                <w:b/>
                <w:bCs/>
              </w:rPr>
              <w:t>Responsibility</w:t>
            </w:r>
          </w:p>
        </w:tc>
        <w:tc>
          <w:tcPr>
            <w:tcW w:w="170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A421847"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27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4AA1F62" w14:textId="77777777" w:rsidR="00474BBD" w:rsidRPr="001157B7" w:rsidRDefault="00474BBD" w:rsidP="001157B7">
            <w:pPr>
              <w:spacing w:before="240" w:line="276" w:lineRule="auto"/>
              <w:rPr>
                <w:b/>
                <w:bCs/>
              </w:rPr>
            </w:pPr>
            <w:r w:rsidRPr="001157B7">
              <w:rPr>
                <w:rFonts w:eastAsia="Calibri"/>
                <w:b/>
                <w:bCs/>
              </w:rPr>
              <w:t>Status</w:t>
            </w:r>
          </w:p>
        </w:tc>
      </w:tr>
      <w:tr w:rsidR="00474BBD" w14:paraId="4396037A" w14:textId="77777777" w:rsidTr="001157B7">
        <w:tc>
          <w:tcPr>
            <w:tcW w:w="567" w:type="dxa"/>
            <w:tcBorders>
              <w:top w:val="single" w:sz="4" w:space="0" w:color="auto"/>
              <w:left w:val="single" w:sz="4" w:space="0" w:color="auto"/>
              <w:bottom w:val="single" w:sz="4" w:space="0" w:color="auto"/>
              <w:right w:val="single" w:sz="4" w:space="0" w:color="auto"/>
            </w:tcBorders>
          </w:tcPr>
          <w:p w14:paraId="773E698A" w14:textId="77777777" w:rsidR="00474BBD" w:rsidRDefault="00474BBD" w:rsidP="001157B7">
            <w:pPr>
              <w:spacing w:before="240" w:line="276" w:lineRule="auto"/>
            </w:pPr>
          </w:p>
        </w:tc>
        <w:tc>
          <w:tcPr>
            <w:tcW w:w="4395" w:type="dxa"/>
            <w:tcBorders>
              <w:top w:val="single" w:sz="4" w:space="0" w:color="auto"/>
              <w:left w:val="single" w:sz="4" w:space="0" w:color="auto"/>
              <w:bottom w:val="single" w:sz="4" w:space="0" w:color="auto"/>
              <w:right w:val="single" w:sz="4" w:space="0" w:color="auto"/>
            </w:tcBorders>
            <w:hideMark/>
          </w:tcPr>
          <w:p w14:paraId="3063CB8B" w14:textId="77777777" w:rsidR="00474BBD" w:rsidRDefault="00474BBD" w:rsidP="001157B7">
            <w:pPr>
              <w:spacing w:before="240" w:line="276" w:lineRule="auto"/>
            </w:pPr>
            <w:r>
              <w:t>Nil</w:t>
            </w:r>
          </w:p>
        </w:tc>
        <w:tc>
          <w:tcPr>
            <w:tcW w:w="1704" w:type="dxa"/>
            <w:tcBorders>
              <w:top w:val="single" w:sz="4" w:space="0" w:color="auto"/>
              <w:left w:val="single" w:sz="4" w:space="0" w:color="auto"/>
              <w:bottom w:val="single" w:sz="4" w:space="0" w:color="auto"/>
              <w:right w:val="single" w:sz="4" w:space="0" w:color="auto"/>
            </w:tcBorders>
          </w:tcPr>
          <w:p w14:paraId="7F84696F" w14:textId="77777777" w:rsidR="00474BBD" w:rsidRDefault="00474BBD" w:rsidP="001157B7">
            <w:pPr>
              <w:spacing w:before="240" w:line="276" w:lineRule="auto"/>
            </w:pPr>
          </w:p>
        </w:tc>
        <w:tc>
          <w:tcPr>
            <w:tcW w:w="1702" w:type="dxa"/>
            <w:tcBorders>
              <w:top w:val="single" w:sz="4" w:space="0" w:color="auto"/>
              <w:left w:val="single" w:sz="4" w:space="0" w:color="auto"/>
              <w:bottom w:val="single" w:sz="4" w:space="0" w:color="auto"/>
              <w:right w:val="single" w:sz="4" w:space="0" w:color="auto"/>
            </w:tcBorders>
          </w:tcPr>
          <w:p w14:paraId="15CDD4A4" w14:textId="77777777" w:rsidR="00474BBD" w:rsidRDefault="00474BBD" w:rsidP="001157B7">
            <w:pPr>
              <w:spacing w:before="240" w:line="276" w:lineRule="auto"/>
            </w:pPr>
          </w:p>
        </w:tc>
        <w:tc>
          <w:tcPr>
            <w:tcW w:w="1277" w:type="dxa"/>
            <w:tcBorders>
              <w:top w:val="single" w:sz="4" w:space="0" w:color="auto"/>
              <w:left w:val="single" w:sz="4" w:space="0" w:color="auto"/>
              <w:bottom w:val="single" w:sz="4" w:space="0" w:color="auto"/>
              <w:right w:val="single" w:sz="4" w:space="0" w:color="auto"/>
            </w:tcBorders>
          </w:tcPr>
          <w:p w14:paraId="1463613C" w14:textId="77777777" w:rsidR="00474BBD" w:rsidRDefault="00474BBD" w:rsidP="001157B7">
            <w:pPr>
              <w:spacing w:before="240" w:line="276" w:lineRule="auto"/>
            </w:pPr>
          </w:p>
        </w:tc>
      </w:tr>
    </w:tbl>
    <w:p w14:paraId="6D104080" w14:textId="225AFE31" w:rsidR="00474BBD" w:rsidRDefault="00474BBD" w:rsidP="001157B7">
      <w:pPr>
        <w:spacing w:before="240" w:line="276" w:lineRule="auto"/>
      </w:pPr>
    </w:p>
    <w:p w14:paraId="17D662AA" w14:textId="77777777" w:rsidR="00981E50" w:rsidRDefault="00981E50" w:rsidP="001157B7">
      <w:pPr>
        <w:spacing w:before="240" w:line="276" w:lineRule="auto"/>
      </w:pPr>
    </w:p>
    <w:tbl>
      <w:tblPr>
        <w:tblStyle w:val="TableGrid"/>
        <w:tblW w:w="9645" w:type="dxa"/>
        <w:tblInd w:w="-147" w:type="dxa"/>
        <w:tblLayout w:type="fixed"/>
        <w:tblLook w:val="06A0" w:firstRow="1" w:lastRow="0" w:firstColumn="1" w:lastColumn="0" w:noHBand="1" w:noVBand="1"/>
      </w:tblPr>
      <w:tblGrid>
        <w:gridCol w:w="567"/>
        <w:gridCol w:w="4395"/>
        <w:gridCol w:w="1704"/>
        <w:gridCol w:w="1702"/>
        <w:gridCol w:w="1277"/>
      </w:tblGrid>
      <w:tr w:rsidR="00474BBD" w14:paraId="1B503C5A" w14:textId="77777777" w:rsidTr="001157B7">
        <w:tc>
          <w:tcPr>
            <w:tcW w:w="9645"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3875EE5" w14:textId="6512C009" w:rsidR="00474BBD" w:rsidRPr="001157B7" w:rsidRDefault="00474BBD" w:rsidP="00B92BEC">
            <w:pPr>
              <w:spacing w:before="240" w:line="360" w:lineRule="auto"/>
              <w:rPr>
                <w:b/>
                <w:bCs/>
              </w:rPr>
            </w:pPr>
            <w:r w:rsidRPr="001157B7">
              <w:rPr>
                <w:b/>
                <w:bCs/>
                <w:iCs/>
                <w:lang w:bidi="en-US"/>
              </w:rPr>
              <w:t>Agenda Item 8</w:t>
            </w:r>
            <w:r w:rsidR="00B92BEC">
              <w:rPr>
                <w:b/>
                <w:bCs/>
                <w:iCs/>
                <w:lang w:bidi="en-US"/>
              </w:rPr>
              <w:t xml:space="preserve"> </w:t>
            </w:r>
            <w:r w:rsidRPr="001157B7">
              <w:rPr>
                <w:b/>
                <w:bCs/>
                <w:iCs/>
                <w:lang w:bidi="en-US"/>
              </w:rPr>
              <w:t>– Reporting and Communications</w:t>
            </w:r>
          </w:p>
        </w:tc>
      </w:tr>
      <w:tr w:rsidR="00474BBD" w14:paraId="133342BB" w14:textId="77777777" w:rsidTr="001157B7">
        <w:tc>
          <w:tcPr>
            <w:tcW w:w="9645" w:type="dxa"/>
            <w:gridSpan w:val="5"/>
            <w:tcBorders>
              <w:top w:val="single" w:sz="4" w:space="0" w:color="auto"/>
              <w:left w:val="single" w:sz="4" w:space="0" w:color="auto"/>
              <w:bottom w:val="single" w:sz="4" w:space="0" w:color="auto"/>
              <w:right w:val="single" w:sz="4" w:space="0" w:color="auto"/>
            </w:tcBorders>
            <w:hideMark/>
          </w:tcPr>
          <w:p w14:paraId="70281545" w14:textId="77777777" w:rsidR="00474BBD" w:rsidRDefault="00474BBD" w:rsidP="001157B7">
            <w:pPr>
              <w:spacing w:before="240" w:line="276" w:lineRule="auto"/>
            </w:pPr>
            <w:r>
              <w:t>Communication constraints have been placed on the Program by the Department of Agriculture and Fisheries and the Queensland Government Advertising and Communication Committee (GACC) governance, requiring a change to its communication approach.  Two major campaigns affected by these constraints include the “lifestyle” and “wildfire” campaigns as they could be considered alarmist or disrespectful. The Program is currently developing a new communication and engagement strategy to achieve the objectives needed to meet mobilisation KPIs.</w:t>
            </w:r>
          </w:p>
          <w:p w14:paraId="4CC4EA55" w14:textId="77777777" w:rsidR="00474BBD" w:rsidRDefault="00474BBD" w:rsidP="001157B7">
            <w:pPr>
              <w:spacing w:before="240" w:line="276" w:lineRule="auto"/>
            </w:pPr>
            <w:r>
              <w:t xml:space="preserve">A meeting held with GACC on 11 March 2021 was very positive, giving the Program a direct connection with GACC and a simple framework to work within which also accommodates the cost share arrangement.  A meeting is scheduled with the Minister for Agricultural Industry Development and Fisheries next week to work out the parameters around the messaging for self-management.  </w:t>
            </w:r>
          </w:p>
          <w:p w14:paraId="395E98DE" w14:textId="77777777" w:rsidR="00474BBD" w:rsidRDefault="00474BBD" w:rsidP="001157B7">
            <w:pPr>
              <w:spacing w:before="240" w:line="276" w:lineRule="auto"/>
            </w:pPr>
            <w:r>
              <w:t>There are learnings from the current self-management pilot (issues with the registration process) where the Program can improve to make it a practical and reliable process.</w:t>
            </w:r>
          </w:p>
          <w:p w14:paraId="7D1B5C41" w14:textId="77777777" w:rsidR="00474BBD" w:rsidRDefault="00474BBD" w:rsidP="001157B7">
            <w:pPr>
              <w:spacing w:before="240" w:line="276" w:lineRule="auto"/>
            </w:pPr>
            <w:r>
              <w:lastRenderedPageBreak/>
              <w:t>To assist with reporting delays, the Program has appointed a dedicated reporting officer and reviewed the reporting structure and detail in the reports. The Program is now providing weekly, monthly (by exception), quarterly and annual reports and reprioritising to meet deadlines.</w:t>
            </w:r>
          </w:p>
          <w:p w14:paraId="1DAF2120" w14:textId="77777777" w:rsidR="00474BBD" w:rsidRDefault="00474BBD" w:rsidP="001157B7">
            <w:pPr>
              <w:spacing w:before="240" w:line="276" w:lineRule="auto"/>
            </w:pPr>
            <w:r>
              <w:t xml:space="preserve">The Sub-Committee: </w:t>
            </w:r>
          </w:p>
          <w:p w14:paraId="629697AC" w14:textId="77777777" w:rsidR="00474BBD" w:rsidRDefault="00474BBD" w:rsidP="001157B7">
            <w:pPr>
              <w:spacing w:before="240" w:line="276" w:lineRule="auto"/>
            </w:pPr>
            <w:r w:rsidRPr="00BB271F">
              <w:rPr>
                <w:b/>
                <w:bCs/>
              </w:rPr>
              <w:t>NOTED</w:t>
            </w:r>
            <w:r>
              <w:t>:</w:t>
            </w:r>
          </w:p>
          <w:p w14:paraId="46459386" w14:textId="77777777" w:rsidR="00474BBD" w:rsidRPr="00BB271F" w:rsidRDefault="00474BBD" w:rsidP="00BB271F">
            <w:pPr>
              <w:pStyle w:val="ListParagraph"/>
              <w:numPr>
                <w:ilvl w:val="0"/>
                <w:numId w:val="16"/>
              </w:numPr>
              <w:spacing w:before="240" w:line="276" w:lineRule="auto"/>
            </w:pPr>
            <w:r w:rsidRPr="00BB271F">
              <w:t>constraints on communications affecting the ability of the Program to meet mobilisation KPIs</w:t>
            </w:r>
          </w:p>
          <w:p w14:paraId="7639670D" w14:textId="77777777" w:rsidR="00474BBD" w:rsidRPr="00BB271F" w:rsidRDefault="00474BBD" w:rsidP="00BB271F">
            <w:pPr>
              <w:pStyle w:val="ListParagraph"/>
              <w:numPr>
                <w:ilvl w:val="0"/>
                <w:numId w:val="16"/>
              </w:numPr>
              <w:spacing w:before="240" w:line="276" w:lineRule="auto"/>
            </w:pPr>
            <w:r w:rsidRPr="00BB271F">
              <w:t>delays in reporting, and actions implemented to resolve them.</w:t>
            </w:r>
          </w:p>
        </w:tc>
      </w:tr>
      <w:tr w:rsidR="00474BBD" w14:paraId="37F91661" w14:textId="77777777" w:rsidTr="001157B7">
        <w:trPr>
          <w:tblHeader/>
        </w:trPr>
        <w:tc>
          <w:tcPr>
            <w:tcW w:w="496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093ADB7" w14:textId="77777777" w:rsidR="00474BBD" w:rsidRPr="001157B7" w:rsidRDefault="00474BBD" w:rsidP="001157B7">
            <w:pPr>
              <w:spacing w:before="240" w:line="276" w:lineRule="auto"/>
              <w:rPr>
                <w:b/>
                <w:bCs/>
              </w:rPr>
            </w:pPr>
            <w:r w:rsidRPr="001157B7">
              <w:rPr>
                <w:b/>
                <w:bCs/>
              </w:rPr>
              <w:lastRenderedPageBreak/>
              <w:t>Action items</w:t>
            </w:r>
          </w:p>
        </w:tc>
        <w:tc>
          <w:tcPr>
            <w:tcW w:w="17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C7C1EA6" w14:textId="77777777" w:rsidR="00474BBD" w:rsidRPr="001157B7" w:rsidRDefault="00474BBD" w:rsidP="001157B7">
            <w:pPr>
              <w:spacing w:before="240" w:line="276" w:lineRule="auto"/>
              <w:rPr>
                <w:b/>
                <w:bCs/>
              </w:rPr>
            </w:pPr>
            <w:r w:rsidRPr="001157B7">
              <w:rPr>
                <w:rFonts w:eastAsia="Calibri"/>
                <w:b/>
                <w:bCs/>
              </w:rPr>
              <w:t>Responsibility</w:t>
            </w:r>
          </w:p>
        </w:tc>
        <w:tc>
          <w:tcPr>
            <w:tcW w:w="170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0B07FA0"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27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E1CF53D" w14:textId="77777777" w:rsidR="00474BBD" w:rsidRPr="001157B7" w:rsidRDefault="00474BBD" w:rsidP="001157B7">
            <w:pPr>
              <w:spacing w:before="240" w:line="276" w:lineRule="auto"/>
              <w:rPr>
                <w:b/>
                <w:bCs/>
              </w:rPr>
            </w:pPr>
            <w:r w:rsidRPr="001157B7">
              <w:rPr>
                <w:rFonts w:eastAsia="Calibri"/>
                <w:b/>
                <w:bCs/>
              </w:rPr>
              <w:t>Status</w:t>
            </w:r>
          </w:p>
        </w:tc>
      </w:tr>
      <w:tr w:rsidR="00474BBD" w14:paraId="3704626B" w14:textId="77777777" w:rsidTr="001157B7">
        <w:tc>
          <w:tcPr>
            <w:tcW w:w="567" w:type="dxa"/>
            <w:tcBorders>
              <w:top w:val="single" w:sz="4" w:space="0" w:color="auto"/>
              <w:left w:val="single" w:sz="4" w:space="0" w:color="auto"/>
              <w:bottom w:val="single" w:sz="4" w:space="0" w:color="auto"/>
              <w:right w:val="single" w:sz="4" w:space="0" w:color="auto"/>
            </w:tcBorders>
          </w:tcPr>
          <w:p w14:paraId="69DC4C65" w14:textId="77777777" w:rsidR="00474BBD" w:rsidRDefault="00474BBD" w:rsidP="001157B7">
            <w:pPr>
              <w:spacing w:before="240" w:line="276" w:lineRule="auto"/>
            </w:pPr>
          </w:p>
        </w:tc>
        <w:tc>
          <w:tcPr>
            <w:tcW w:w="4395" w:type="dxa"/>
            <w:tcBorders>
              <w:top w:val="single" w:sz="4" w:space="0" w:color="auto"/>
              <w:left w:val="single" w:sz="4" w:space="0" w:color="auto"/>
              <w:bottom w:val="single" w:sz="4" w:space="0" w:color="auto"/>
              <w:right w:val="single" w:sz="4" w:space="0" w:color="auto"/>
            </w:tcBorders>
            <w:hideMark/>
          </w:tcPr>
          <w:p w14:paraId="436BB1A2" w14:textId="77777777" w:rsidR="00474BBD" w:rsidRDefault="00474BBD" w:rsidP="001157B7">
            <w:pPr>
              <w:spacing w:before="240" w:line="276" w:lineRule="auto"/>
            </w:pPr>
            <w:r>
              <w:t>Nil</w:t>
            </w:r>
          </w:p>
        </w:tc>
        <w:tc>
          <w:tcPr>
            <w:tcW w:w="1704" w:type="dxa"/>
            <w:tcBorders>
              <w:top w:val="single" w:sz="4" w:space="0" w:color="auto"/>
              <w:left w:val="single" w:sz="4" w:space="0" w:color="auto"/>
              <w:bottom w:val="single" w:sz="4" w:space="0" w:color="auto"/>
              <w:right w:val="single" w:sz="4" w:space="0" w:color="auto"/>
            </w:tcBorders>
          </w:tcPr>
          <w:p w14:paraId="158A5FC2" w14:textId="77777777" w:rsidR="00474BBD" w:rsidRDefault="00474BBD" w:rsidP="001157B7">
            <w:pPr>
              <w:spacing w:before="240" w:line="276" w:lineRule="auto"/>
            </w:pPr>
          </w:p>
        </w:tc>
        <w:tc>
          <w:tcPr>
            <w:tcW w:w="1702" w:type="dxa"/>
            <w:tcBorders>
              <w:top w:val="single" w:sz="4" w:space="0" w:color="auto"/>
              <w:left w:val="single" w:sz="4" w:space="0" w:color="auto"/>
              <w:bottom w:val="single" w:sz="4" w:space="0" w:color="auto"/>
              <w:right w:val="single" w:sz="4" w:space="0" w:color="auto"/>
            </w:tcBorders>
          </w:tcPr>
          <w:p w14:paraId="78884906" w14:textId="77777777" w:rsidR="00474BBD" w:rsidRDefault="00474BBD" w:rsidP="001157B7">
            <w:pPr>
              <w:spacing w:before="240" w:line="276" w:lineRule="auto"/>
            </w:pPr>
          </w:p>
        </w:tc>
        <w:tc>
          <w:tcPr>
            <w:tcW w:w="1277" w:type="dxa"/>
            <w:tcBorders>
              <w:top w:val="single" w:sz="4" w:space="0" w:color="auto"/>
              <w:left w:val="single" w:sz="4" w:space="0" w:color="auto"/>
              <w:bottom w:val="single" w:sz="4" w:space="0" w:color="auto"/>
              <w:right w:val="single" w:sz="4" w:space="0" w:color="auto"/>
            </w:tcBorders>
          </w:tcPr>
          <w:p w14:paraId="1F666A2F" w14:textId="77777777" w:rsidR="00474BBD" w:rsidRDefault="00474BBD" w:rsidP="001157B7">
            <w:pPr>
              <w:spacing w:before="240" w:line="276" w:lineRule="auto"/>
            </w:pPr>
          </w:p>
        </w:tc>
      </w:tr>
    </w:tbl>
    <w:p w14:paraId="4A594B29" w14:textId="1693C477" w:rsidR="00474BBD" w:rsidRDefault="00474BBD" w:rsidP="001157B7">
      <w:pPr>
        <w:spacing w:before="240" w:line="276" w:lineRule="auto"/>
      </w:pPr>
    </w:p>
    <w:p w14:paraId="3DE4BF41" w14:textId="77777777" w:rsidR="00981E50" w:rsidRDefault="00981E50" w:rsidP="001157B7">
      <w:pPr>
        <w:spacing w:before="240" w:line="276" w:lineRule="auto"/>
      </w:pPr>
    </w:p>
    <w:tbl>
      <w:tblPr>
        <w:tblStyle w:val="TableGrid"/>
        <w:tblW w:w="9645" w:type="dxa"/>
        <w:tblInd w:w="-147" w:type="dxa"/>
        <w:tblLayout w:type="fixed"/>
        <w:tblLook w:val="06A0" w:firstRow="1" w:lastRow="0" w:firstColumn="1" w:lastColumn="0" w:noHBand="1" w:noVBand="1"/>
      </w:tblPr>
      <w:tblGrid>
        <w:gridCol w:w="567"/>
        <w:gridCol w:w="4395"/>
        <w:gridCol w:w="1704"/>
        <w:gridCol w:w="1702"/>
        <w:gridCol w:w="1277"/>
      </w:tblGrid>
      <w:tr w:rsidR="00474BBD" w14:paraId="04E1FF9A" w14:textId="77777777" w:rsidTr="001157B7">
        <w:tc>
          <w:tcPr>
            <w:tcW w:w="9645"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EA54201" w14:textId="77777777" w:rsidR="00474BBD" w:rsidRPr="001157B7" w:rsidRDefault="00474BBD" w:rsidP="00B92BEC">
            <w:pPr>
              <w:spacing w:before="240" w:line="360" w:lineRule="auto"/>
              <w:rPr>
                <w:b/>
                <w:bCs/>
              </w:rPr>
            </w:pPr>
            <w:r w:rsidRPr="001157B7">
              <w:rPr>
                <w:b/>
                <w:bCs/>
                <w:iCs/>
                <w:lang w:bidi="en-US"/>
              </w:rPr>
              <w:t>Agenda Item 9 – Efficiency and Effectiveness Review 2021</w:t>
            </w:r>
          </w:p>
        </w:tc>
      </w:tr>
      <w:tr w:rsidR="00474BBD" w14:paraId="15DFE37B" w14:textId="77777777" w:rsidTr="001157B7">
        <w:tc>
          <w:tcPr>
            <w:tcW w:w="9645" w:type="dxa"/>
            <w:gridSpan w:val="5"/>
            <w:tcBorders>
              <w:top w:val="single" w:sz="4" w:space="0" w:color="auto"/>
              <w:left w:val="single" w:sz="4" w:space="0" w:color="auto"/>
              <w:bottom w:val="single" w:sz="4" w:space="0" w:color="auto"/>
              <w:right w:val="single" w:sz="4" w:space="0" w:color="auto"/>
            </w:tcBorders>
            <w:hideMark/>
          </w:tcPr>
          <w:p w14:paraId="6D176540" w14:textId="77777777" w:rsidR="00474BBD" w:rsidRDefault="00474BBD" w:rsidP="001157B7">
            <w:pPr>
              <w:spacing w:before="240" w:line="276" w:lineRule="auto"/>
            </w:pPr>
            <w:r>
              <w:t>Wendy Craik advised that an independent review of the Program and the Steering Committee’s operations is to be conducted every two years as per the Ten-Year Plan.  At its February 2021 meeting, Steering Committee members discussed and canvassed potential candidates to conduct the 2021 review.  It was generally agreed that the panel would consist of at least two reviewers, with the possible addition of a scientist or with the Scientific Advisory Group assisting with the review.</w:t>
            </w:r>
          </w:p>
          <w:p w14:paraId="35942BD5" w14:textId="77777777" w:rsidR="00474BBD" w:rsidRDefault="00474BBD" w:rsidP="001157B7">
            <w:pPr>
              <w:spacing w:before="240" w:line="276" w:lineRule="auto"/>
            </w:pPr>
            <w:r>
              <w:t>The reviewers will build on the feedback from the 2019 review conducted by Bernie Wonder, with a greater emphasis on possibility of eradication, consider possible options for the Program and a cost benefit analysis of the future of the Program to be fed into NBC, AGSOC and the Agriculture Ministers.  Having a panel conduct this review will likely cost more than the budgeted $55 000.</w:t>
            </w:r>
          </w:p>
          <w:p w14:paraId="10624D4B" w14:textId="77777777" w:rsidR="00474BBD" w:rsidRDefault="00474BBD" w:rsidP="001157B7">
            <w:pPr>
              <w:spacing w:before="240" w:line="276" w:lineRule="auto"/>
            </w:pPr>
            <w:r>
              <w:t>The Sub-Committee:</w:t>
            </w:r>
          </w:p>
          <w:p w14:paraId="263BF197" w14:textId="77777777" w:rsidR="00474BBD" w:rsidRDefault="00474BBD" w:rsidP="001157B7">
            <w:pPr>
              <w:spacing w:before="240" w:line="276" w:lineRule="auto"/>
            </w:pPr>
            <w:r w:rsidRPr="00BB271F">
              <w:rPr>
                <w:b/>
                <w:bCs/>
              </w:rPr>
              <w:t>NOTED</w:t>
            </w:r>
            <w:r>
              <w:t>:</w:t>
            </w:r>
          </w:p>
          <w:p w14:paraId="64B0024C" w14:textId="77777777" w:rsidR="00474BBD" w:rsidRPr="00BB271F" w:rsidRDefault="00474BBD" w:rsidP="00BB271F">
            <w:pPr>
              <w:pStyle w:val="ListParagraph"/>
              <w:numPr>
                <w:ilvl w:val="0"/>
                <w:numId w:val="17"/>
              </w:numPr>
              <w:spacing w:before="240" w:line="276" w:lineRule="auto"/>
            </w:pPr>
            <w:r w:rsidRPr="00BB271F">
              <w:t>the bi-annual E&amp;E review of the Program and the Steering Committee operations is to be completed during 2021</w:t>
            </w:r>
          </w:p>
          <w:p w14:paraId="4F5512A6" w14:textId="77777777" w:rsidR="00474BBD" w:rsidRPr="00BB271F" w:rsidRDefault="00474BBD" w:rsidP="00BB271F">
            <w:pPr>
              <w:pStyle w:val="ListParagraph"/>
              <w:numPr>
                <w:ilvl w:val="0"/>
                <w:numId w:val="17"/>
              </w:numPr>
              <w:spacing w:before="240" w:line="276" w:lineRule="auto"/>
            </w:pPr>
            <w:r w:rsidRPr="00BB271F">
              <w:t>the process to identify and engage the person(s) to undertake the review</w:t>
            </w:r>
          </w:p>
          <w:p w14:paraId="0DB93982" w14:textId="3431268C" w:rsidR="00474BBD" w:rsidRPr="00BB271F" w:rsidRDefault="00474BBD" w:rsidP="00BB271F">
            <w:pPr>
              <w:pStyle w:val="ListParagraph"/>
              <w:numPr>
                <w:ilvl w:val="0"/>
                <w:numId w:val="17"/>
              </w:numPr>
              <w:spacing w:before="240" w:line="276" w:lineRule="auto"/>
            </w:pPr>
            <w:r w:rsidRPr="00BB271F">
              <w:t xml:space="preserve">the expected budgetary requirement for the review and that it will likely cost more than the   </w:t>
            </w:r>
            <w:r w:rsidR="00BB271F">
              <w:t xml:space="preserve">    </w:t>
            </w:r>
            <w:r w:rsidRPr="00BB271F">
              <w:t xml:space="preserve"> $55 000 budgeted.</w:t>
            </w:r>
          </w:p>
        </w:tc>
      </w:tr>
      <w:tr w:rsidR="00474BBD" w14:paraId="27FF29ED" w14:textId="77777777" w:rsidTr="001157B7">
        <w:trPr>
          <w:tblHeader/>
        </w:trPr>
        <w:tc>
          <w:tcPr>
            <w:tcW w:w="496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926A273" w14:textId="77777777" w:rsidR="00474BBD" w:rsidRPr="001157B7" w:rsidRDefault="00474BBD" w:rsidP="001157B7">
            <w:pPr>
              <w:spacing w:before="240" w:line="276" w:lineRule="auto"/>
              <w:rPr>
                <w:b/>
                <w:bCs/>
              </w:rPr>
            </w:pPr>
            <w:r w:rsidRPr="001157B7">
              <w:rPr>
                <w:b/>
                <w:bCs/>
              </w:rPr>
              <w:t>Action items</w:t>
            </w:r>
          </w:p>
        </w:tc>
        <w:tc>
          <w:tcPr>
            <w:tcW w:w="17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A32FB87" w14:textId="77777777" w:rsidR="00474BBD" w:rsidRPr="001157B7" w:rsidRDefault="00474BBD" w:rsidP="001157B7">
            <w:pPr>
              <w:spacing w:before="240" w:line="276" w:lineRule="auto"/>
              <w:rPr>
                <w:b/>
                <w:bCs/>
              </w:rPr>
            </w:pPr>
            <w:r w:rsidRPr="001157B7">
              <w:rPr>
                <w:rFonts w:eastAsia="Calibri"/>
                <w:b/>
                <w:bCs/>
              </w:rPr>
              <w:t>Responsibility</w:t>
            </w:r>
          </w:p>
        </w:tc>
        <w:tc>
          <w:tcPr>
            <w:tcW w:w="170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0E85D82"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27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D581A8C" w14:textId="77777777" w:rsidR="00474BBD" w:rsidRPr="001157B7" w:rsidRDefault="00474BBD" w:rsidP="001157B7">
            <w:pPr>
              <w:spacing w:before="240" w:line="276" w:lineRule="auto"/>
              <w:rPr>
                <w:b/>
                <w:bCs/>
              </w:rPr>
            </w:pPr>
            <w:r w:rsidRPr="001157B7">
              <w:rPr>
                <w:rFonts w:eastAsia="Calibri"/>
                <w:b/>
                <w:bCs/>
              </w:rPr>
              <w:t>Status</w:t>
            </w:r>
          </w:p>
        </w:tc>
      </w:tr>
      <w:tr w:rsidR="00474BBD" w14:paraId="6DB83FA8" w14:textId="77777777" w:rsidTr="001157B7">
        <w:tc>
          <w:tcPr>
            <w:tcW w:w="567" w:type="dxa"/>
            <w:tcBorders>
              <w:top w:val="single" w:sz="4" w:space="0" w:color="auto"/>
              <w:left w:val="single" w:sz="4" w:space="0" w:color="auto"/>
              <w:bottom w:val="single" w:sz="4" w:space="0" w:color="auto"/>
              <w:right w:val="single" w:sz="4" w:space="0" w:color="auto"/>
            </w:tcBorders>
          </w:tcPr>
          <w:p w14:paraId="02F8445D" w14:textId="77777777" w:rsidR="00474BBD" w:rsidRDefault="00474BBD" w:rsidP="001157B7">
            <w:pPr>
              <w:spacing w:before="240" w:line="276" w:lineRule="auto"/>
            </w:pPr>
          </w:p>
        </w:tc>
        <w:tc>
          <w:tcPr>
            <w:tcW w:w="4395" w:type="dxa"/>
            <w:tcBorders>
              <w:top w:val="single" w:sz="4" w:space="0" w:color="auto"/>
              <w:left w:val="single" w:sz="4" w:space="0" w:color="auto"/>
              <w:bottom w:val="single" w:sz="4" w:space="0" w:color="auto"/>
              <w:right w:val="single" w:sz="4" w:space="0" w:color="auto"/>
            </w:tcBorders>
            <w:hideMark/>
          </w:tcPr>
          <w:p w14:paraId="09636068" w14:textId="77777777" w:rsidR="00474BBD" w:rsidRDefault="00474BBD" w:rsidP="001157B7">
            <w:pPr>
              <w:spacing w:before="240" w:line="276" w:lineRule="auto"/>
            </w:pPr>
            <w:r>
              <w:t>Nil</w:t>
            </w:r>
          </w:p>
        </w:tc>
        <w:tc>
          <w:tcPr>
            <w:tcW w:w="1704" w:type="dxa"/>
            <w:tcBorders>
              <w:top w:val="single" w:sz="4" w:space="0" w:color="auto"/>
              <w:left w:val="single" w:sz="4" w:space="0" w:color="auto"/>
              <w:bottom w:val="single" w:sz="4" w:space="0" w:color="auto"/>
              <w:right w:val="single" w:sz="4" w:space="0" w:color="auto"/>
            </w:tcBorders>
          </w:tcPr>
          <w:p w14:paraId="4476273C" w14:textId="77777777" w:rsidR="00474BBD" w:rsidRDefault="00474BBD" w:rsidP="001157B7">
            <w:pPr>
              <w:spacing w:before="240" w:line="276" w:lineRule="auto"/>
            </w:pPr>
          </w:p>
        </w:tc>
        <w:tc>
          <w:tcPr>
            <w:tcW w:w="1702" w:type="dxa"/>
            <w:tcBorders>
              <w:top w:val="single" w:sz="4" w:space="0" w:color="auto"/>
              <w:left w:val="single" w:sz="4" w:space="0" w:color="auto"/>
              <w:bottom w:val="single" w:sz="4" w:space="0" w:color="auto"/>
              <w:right w:val="single" w:sz="4" w:space="0" w:color="auto"/>
            </w:tcBorders>
          </w:tcPr>
          <w:p w14:paraId="03CC1523" w14:textId="77777777" w:rsidR="00474BBD" w:rsidRDefault="00474BBD" w:rsidP="001157B7">
            <w:pPr>
              <w:spacing w:before="240" w:line="276" w:lineRule="auto"/>
            </w:pPr>
          </w:p>
        </w:tc>
        <w:tc>
          <w:tcPr>
            <w:tcW w:w="1277" w:type="dxa"/>
            <w:tcBorders>
              <w:top w:val="single" w:sz="4" w:space="0" w:color="auto"/>
              <w:left w:val="single" w:sz="4" w:space="0" w:color="auto"/>
              <w:bottom w:val="single" w:sz="4" w:space="0" w:color="auto"/>
              <w:right w:val="single" w:sz="4" w:space="0" w:color="auto"/>
            </w:tcBorders>
          </w:tcPr>
          <w:p w14:paraId="47539CEE" w14:textId="77777777" w:rsidR="00474BBD" w:rsidRDefault="00474BBD" w:rsidP="001157B7">
            <w:pPr>
              <w:spacing w:before="240" w:line="276" w:lineRule="auto"/>
            </w:pPr>
          </w:p>
        </w:tc>
      </w:tr>
    </w:tbl>
    <w:p w14:paraId="4FF11DFE" w14:textId="1783C897" w:rsidR="00474BBD" w:rsidRDefault="00474BBD" w:rsidP="001157B7">
      <w:pPr>
        <w:spacing w:before="240" w:line="276" w:lineRule="auto"/>
      </w:pPr>
    </w:p>
    <w:p w14:paraId="35B314E9" w14:textId="3235F022" w:rsidR="00981E50" w:rsidRDefault="00981E50" w:rsidP="001157B7">
      <w:pPr>
        <w:spacing w:before="240" w:line="276" w:lineRule="auto"/>
      </w:pPr>
    </w:p>
    <w:p w14:paraId="5A4A18C0" w14:textId="77777777" w:rsidR="00981E50" w:rsidRDefault="00981E50" w:rsidP="001157B7">
      <w:pPr>
        <w:spacing w:before="240" w:line="276" w:lineRule="auto"/>
      </w:pPr>
    </w:p>
    <w:tbl>
      <w:tblPr>
        <w:tblStyle w:val="TableGrid"/>
        <w:tblW w:w="9645" w:type="dxa"/>
        <w:tblInd w:w="-147" w:type="dxa"/>
        <w:tblLayout w:type="fixed"/>
        <w:tblLook w:val="06A0" w:firstRow="1" w:lastRow="0" w:firstColumn="1" w:lastColumn="0" w:noHBand="1" w:noVBand="1"/>
      </w:tblPr>
      <w:tblGrid>
        <w:gridCol w:w="567"/>
        <w:gridCol w:w="4395"/>
        <w:gridCol w:w="1704"/>
        <w:gridCol w:w="1702"/>
        <w:gridCol w:w="1277"/>
      </w:tblGrid>
      <w:tr w:rsidR="00474BBD" w14:paraId="74559918" w14:textId="77777777" w:rsidTr="001157B7">
        <w:tc>
          <w:tcPr>
            <w:tcW w:w="9645"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0186E8A" w14:textId="77777777" w:rsidR="00474BBD" w:rsidRPr="001157B7" w:rsidRDefault="00474BBD" w:rsidP="00B92BEC">
            <w:pPr>
              <w:spacing w:before="240" w:line="360" w:lineRule="auto"/>
              <w:rPr>
                <w:b/>
                <w:bCs/>
              </w:rPr>
            </w:pPr>
            <w:r w:rsidRPr="001157B7">
              <w:rPr>
                <w:b/>
                <w:bCs/>
                <w:iCs/>
                <w:lang w:bidi="en-US"/>
              </w:rPr>
              <w:t>Agenda Item 10 – Efficiency and Effectiveness Review Implementation Update</w:t>
            </w:r>
          </w:p>
        </w:tc>
      </w:tr>
      <w:tr w:rsidR="00474BBD" w14:paraId="3745579F" w14:textId="77777777" w:rsidTr="001157B7">
        <w:tc>
          <w:tcPr>
            <w:tcW w:w="9645" w:type="dxa"/>
            <w:gridSpan w:val="5"/>
            <w:tcBorders>
              <w:top w:val="single" w:sz="4" w:space="0" w:color="auto"/>
              <w:left w:val="single" w:sz="4" w:space="0" w:color="auto"/>
              <w:bottom w:val="single" w:sz="4" w:space="0" w:color="auto"/>
              <w:right w:val="single" w:sz="4" w:space="0" w:color="auto"/>
            </w:tcBorders>
          </w:tcPr>
          <w:p w14:paraId="12DF1C64" w14:textId="77777777" w:rsidR="00474BBD" w:rsidRDefault="00474BBD" w:rsidP="001157B7">
            <w:pPr>
              <w:spacing w:before="240" w:line="276" w:lineRule="auto"/>
            </w:pPr>
            <w:r>
              <w:t>Wendy Craik, as Chair of the E&amp;E Review Sub-Committee, provided an update on the implementation of the recommendations from the 2019 review.  The Sub-Committee is now meeting quarterly.  Most of the recommendations are complete and are now business as usual or included in regular reporting.  The remaining recommendations are under way or being completed.  A report has been published to the website on the progress of the implementation of recommendations from the 2019 review.</w:t>
            </w:r>
          </w:p>
          <w:p w14:paraId="7EB0EC9F" w14:textId="1B5E0D7C" w:rsidR="00474BBD" w:rsidRDefault="00474BBD" w:rsidP="001157B7">
            <w:pPr>
              <w:spacing w:before="240" w:line="276" w:lineRule="auto"/>
            </w:pPr>
            <w:r>
              <w:t>A further report will be prepared by 30 June 2021 on the progress of the 2019 recommendations.</w:t>
            </w:r>
          </w:p>
          <w:p w14:paraId="64729BA7" w14:textId="77777777" w:rsidR="00474BBD" w:rsidRDefault="00474BBD" w:rsidP="001157B7">
            <w:pPr>
              <w:spacing w:before="240" w:line="276" w:lineRule="auto"/>
            </w:pPr>
            <w:r>
              <w:t>The Sub-Committee:</w:t>
            </w:r>
          </w:p>
          <w:p w14:paraId="1BCA344E" w14:textId="77777777" w:rsidR="00474BBD" w:rsidRPr="00BB271F" w:rsidRDefault="00474BBD" w:rsidP="00BB271F">
            <w:pPr>
              <w:pStyle w:val="ListParagraph"/>
              <w:numPr>
                <w:ilvl w:val="0"/>
                <w:numId w:val="18"/>
              </w:numPr>
              <w:spacing w:before="240" w:line="276" w:lineRule="auto"/>
            </w:pPr>
            <w:r w:rsidRPr="00BB271F">
              <w:rPr>
                <w:b/>
                <w:bCs/>
              </w:rPr>
              <w:t>NOTED</w:t>
            </w:r>
            <w:r w:rsidRPr="00BB271F">
              <w:t xml:space="preserve"> the update and the minutes of the E&amp;E Review Sub-Committee meeting held in February 2021. </w:t>
            </w:r>
          </w:p>
        </w:tc>
      </w:tr>
      <w:tr w:rsidR="00474BBD" w14:paraId="34E555D4" w14:textId="77777777" w:rsidTr="001157B7">
        <w:trPr>
          <w:tblHeader/>
        </w:trPr>
        <w:tc>
          <w:tcPr>
            <w:tcW w:w="496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A3F4CF1" w14:textId="77777777" w:rsidR="00474BBD" w:rsidRPr="001157B7" w:rsidRDefault="00474BBD" w:rsidP="001157B7">
            <w:pPr>
              <w:spacing w:before="240" w:line="276" w:lineRule="auto"/>
              <w:rPr>
                <w:b/>
                <w:bCs/>
              </w:rPr>
            </w:pPr>
            <w:r w:rsidRPr="001157B7">
              <w:rPr>
                <w:b/>
                <w:bCs/>
              </w:rPr>
              <w:t>Action items</w:t>
            </w:r>
          </w:p>
        </w:tc>
        <w:tc>
          <w:tcPr>
            <w:tcW w:w="17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977C61D" w14:textId="77777777" w:rsidR="00474BBD" w:rsidRPr="001157B7" w:rsidRDefault="00474BBD" w:rsidP="001157B7">
            <w:pPr>
              <w:spacing w:before="240" w:line="276" w:lineRule="auto"/>
              <w:rPr>
                <w:b/>
                <w:bCs/>
              </w:rPr>
            </w:pPr>
            <w:r w:rsidRPr="001157B7">
              <w:rPr>
                <w:rFonts w:eastAsia="Calibri"/>
                <w:b/>
                <w:bCs/>
              </w:rPr>
              <w:t>Responsibility</w:t>
            </w:r>
          </w:p>
        </w:tc>
        <w:tc>
          <w:tcPr>
            <w:tcW w:w="170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2F83D73"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27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85A225E" w14:textId="77777777" w:rsidR="00474BBD" w:rsidRPr="001157B7" w:rsidRDefault="00474BBD" w:rsidP="001157B7">
            <w:pPr>
              <w:spacing w:before="240" w:line="276" w:lineRule="auto"/>
              <w:rPr>
                <w:b/>
                <w:bCs/>
              </w:rPr>
            </w:pPr>
            <w:r w:rsidRPr="001157B7">
              <w:rPr>
                <w:rFonts w:eastAsia="Calibri"/>
                <w:b/>
                <w:bCs/>
              </w:rPr>
              <w:t>Status</w:t>
            </w:r>
          </w:p>
        </w:tc>
      </w:tr>
      <w:tr w:rsidR="00474BBD" w14:paraId="6DFAAD43" w14:textId="77777777" w:rsidTr="001157B7">
        <w:tc>
          <w:tcPr>
            <w:tcW w:w="567" w:type="dxa"/>
            <w:tcBorders>
              <w:top w:val="single" w:sz="4" w:space="0" w:color="auto"/>
              <w:left w:val="single" w:sz="4" w:space="0" w:color="auto"/>
              <w:bottom w:val="single" w:sz="4" w:space="0" w:color="auto"/>
              <w:right w:val="single" w:sz="4" w:space="0" w:color="auto"/>
            </w:tcBorders>
          </w:tcPr>
          <w:p w14:paraId="5D1A6C39" w14:textId="77777777" w:rsidR="00474BBD" w:rsidRDefault="00474BBD" w:rsidP="001157B7">
            <w:pPr>
              <w:spacing w:before="240" w:line="276" w:lineRule="auto"/>
            </w:pPr>
          </w:p>
        </w:tc>
        <w:tc>
          <w:tcPr>
            <w:tcW w:w="4395" w:type="dxa"/>
            <w:tcBorders>
              <w:top w:val="single" w:sz="4" w:space="0" w:color="auto"/>
              <w:left w:val="single" w:sz="4" w:space="0" w:color="auto"/>
              <w:bottom w:val="single" w:sz="4" w:space="0" w:color="auto"/>
              <w:right w:val="single" w:sz="4" w:space="0" w:color="auto"/>
            </w:tcBorders>
            <w:hideMark/>
          </w:tcPr>
          <w:p w14:paraId="59B6A81D" w14:textId="77777777" w:rsidR="00474BBD" w:rsidRDefault="00474BBD" w:rsidP="001157B7">
            <w:pPr>
              <w:spacing w:before="240" w:line="276" w:lineRule="auto"/>
            </w:pPr>
            <w:r>
              <w:t>Nil</w:t>
            </w:r>
          </w:p>
        </w:tc>
        <w:tc>
          <w:tcPr>
            <w:tcW w:w="1704" w:type="dxa"/>
            <w:tcBorders>
              <w:top w:val="single" w:sz="4" w:space="0" w:color="auto"/>
              <w:left w:val="single" w:sz="4" w:space="0" w:color="auto"/>
              <w:bottom w:val="single" w:sz="4" w:space="0" w:color="auto"/>
              <w:right w:val="single" w:sz="4" w:space="0" w:color="auto"/>
            </w:tcBorders>
          </w:tcPr>
          <w:p w14:paraId="4F5C3F78" w14:textId="77777777" w:rsidR="00474BBD" w:rsidRDefault="00474BBD" w:rsidP="001157B7">
            <w:pPr>
              <w:spacing w:before="240" w:line="276" w:lineRule="auto"/>
            </w:pPr>
          </w:p>
        </w:tc>
        <w:tc>
          <w:tcPr>
            <w:tcW w:w="1702" w:type="dxa"/>
            <w:tcBorders>
              <w:top w:val="single" w:sz="4" w:space="0" w:color="auto"/>
              <w:left w:val="single" w:sz="4" w:space="0" w:color="auto"/>
              <w:bottom w:val="single" w:sz="4" w:space="0" w:color="auto"/>
              <w:right w:val="single" w:sz="4" w:space="0" w:color="auto"/>
            </w:tcBorders>
          </w:tcPr>
          <w:p w14:paraId="20FBBDC1" w14:textId="77777777" w:rsidR="00474BBD" w:rsidRDefault="00474BBD" w:rsidP="001157B7">
            <w:pPr>
              <w:spacing w:before="240" w:line="276" w:lineRule="auto"/>
            </w:pPr>
          </w:p>
        </w:tc>
        <w:tc>
          <w:tcPr>
            <w:tcW w:w="1277" w:type="dxa"/>
            <w:tcBorders>
              <w:top w:val="single" w:sz="4" w:space="0" w:color="auto"/>
              <w:left w:val="single" w:sz="4" w:space="0" w:color="auto"/>
              <w:bottom w:val="single" w:sz="4" w:space="0" w:color="auto"/>
              <w:right w:val="single" w:sz="4" w:space="0" w:color="auto"/>
            </w:tcBorders>
          </w:tcPr>
          <w:p w14:paraId="74AB62D0" w14:textId="77777777" w:rsidR="00474BBD" w:rsidRDefault="00474BBD" w:rsidP="001157B7">
            <w:pPr>
              <w:spacing w:before="240" w:line="276" w:lineRule="auto"/>
            </w:pPr>
          </w:p>
        </w:tc>
      </w:tr>
    </w:tbl>
    <w:p w14:paraId="59064597" w14:textId="0B89F908" w:rsidR="00474BBD" w:rsidRDefault="00474BBD" w:rsidP="001157B7">
      <w:pPr>
        <w:spacing w:before="240" w:line="276" w:lineRule="auto"/>
      </w:pPr>
    </w:p>
    <w:p w14:paraId="47236845" w14:textId="77777777" w:rsidR="00981E50" w:rsidRDefault="00981E50" w:rsidP="001157B7">
      <w:pPr>
        <w:spacing w:before="240" w:line="276" w:lineRule="auto"/>
      </w:pPr>
    </w:p>
    <w:tbl>
      <w:tblPr>
        <w:tblStyle w:val="TableGrid"/>
        <w:tblW w:w="9645" w:type="dxa"/>
        <w:tblInd w:w="-147" w:type="dxa"/>
        <w:tblLayout w:type="fixed"/>
        <w:tblLook w:val="06A0" w:firstRow="1" w:lastRow="0" w:firstColumn="1" w:lastColumn="0" w:noHBand="1" w:noVBand="1"/>
      </w:tblPr>
      <w:tblGrid>
        <w:gridCol w:w="567"/>
        <w:gridCol w:w="4395"/>
        <w:gridCol w:w="1704"/>
        <w:gridCol w:w="1702"/>
        <w:gridCol w:w="1277"/>
      </w:tblGrid>
      <w:tr w:rsidR="00474BBD" w14:paraId="40F4EFF1" w14:textId="77777777" w:rsidTr="001157B7">
        <w:tc>
          <w:tcPr>
            <w:tcW w:w="9645"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0A8A5FE" w14:textId="77777777" w:rsidR="00474BBD" w:rsidRPr="001157B7" w:rsidRDefault="00474BBD" w:rsidP="00B92BEC">
            <w:pPr>
              <w:spacing w:before="240" w:line="360" w:lineRule="auto"/>
              <w:rPr>
                <w:b/>
                <w:bCs/>
              </w:rPr>
            </w:pPr>
            <w:r w:rsidRPr="001157B7">
              <w:rPr>
                <w:b/>
                <w:bCs/>
                <w:iCs/>
                <w:lang w:bidi="en-US"/>
              </w:rPr>
              <w:t>Agenda Item 11 – Proof of Freedom – Area Clearance</w:t>
            </w:r>
          </w:p>
        </w:tc>
      </w:tr>
      <w:tr w:rsidR="00474BBD" w14:paraId="1B6E9B59" w14:textId="77777777" w:rsidTr="001157B7">
        <w:tc>
          <w:tcPr>
            <w:tcW w:w="9645" w:type="dxa"/>
            <w:gridSpan w:val="5"/>
            <w:tcBorders>
              <w:top w:val="single" w:sz="4" w:space="0" w:color="auto"/>
              <w:left w:val="single" w:sz="4" w:space="0" w:color="auto"/>
              <w:bottom w:val="single" w:sz="4" w:space="0" w:color="auto"/>
              <w:right w:val="single" w:sz="4" w:space="0" w:color="auto"/>
            </w:tcBorders>
            <w:hideMark/>
          </w:tcPr>
          <w:p w14:paraId="0FA5D542" w14:textId="77777777" w:rsidR="00474BBD" w:rsidRDefault="00474BBD" w:rsidP="001157B7">
            <w:pPr>
              <w:spacing w:before="240" w:line="276" w:lineRule="auto"/>
            </w:pPr>
            <w:r>
              <w:t>Andrew Turley provided an overview of the continued work by the science team to provide evidence of clearance in Area 1 and the Western Boundary through surveillance activities and to develop and update the Clearance and Proof of Freedom (POF) Strategy. The main progress has been around the structured expert elicitation process, designed to evaluate information gained by any further clearance surveillance in Area 1 and the Western Boundary, prior to its incorporation into future POF calculations.</w:t>
            </w:r>
          </w:p>
          <w:p w14:paraId="67F2FD3F" w14:textId="77777777" w:rsidR="00474BBD" w:rsidRDefault="00474BBD" w:rsidP="001157B7">
            <w:pPr>
              <w:spacing w:before="240" w:line="276" w:lineRule="auto"/>
            </w:pPr>
            <w:r>
              <w:t>The Program’s modeller has been working on the POF modelling and how decisions can be made using that model.  An internal working group has been established to discuss the Clearance and Proof of Freedom Strategy and to work on the model, for which many variables need to be validated.</w:t>
            </w:r>
          </w:p>
          <w:p w14:paraId="6FEA4388" w14:textId="77777777" w:rsidR="00474BBD" w:rsidRDefault="00474BBD" w:rsidP="001157B7">
            <w:pPr>
              <w:spacing w:before="240" w:line="276" w:lineRule="auto"/>
            </w:pPr>
            <w:r>
              <w:t>Remote sensing is critically important and will help determine when to stop treatment and start surveillance.</w:t>
            </w:r>
          </w:p>
          <w:p w14:paraId="092DBCF5" w14:textId="77777777" w:rsidR="00474BBD" w:rsidRDefault="00474BBD" w:rsidP="001157B7">
            <w:pPr>
              <w:spacing w:before="240" w:line="276" w:lineRule="auto"/>
            </w:pPr>
            <w:r>
              <w:t>The Program proposes to engage two independent experts to review the model and the Clearance and Proof of Freedom Strategy to ensure its suitability (proposal endorsed by the Scientific Advisory Group in 2020). The findings will be presented to the Steering Committee at its May 2021 meeting.</w:t>
            </w:r>
          </w:p>
          <w:p w14:paraId="3AB6C2EB" w14:textId="6F7BDE7A" w:rsidR="00474BBD" w:rsidRDefault="00474BBD" w:rsidP="001157B7">
            <w:pPr>
              <w:spacing w:before="240" w:line="276" w:lineRule="auto"/>
            </w:pPr>
            <w:r>
              <w:t>There are promising results from surveillance and no evidence to show what the Program is doing is not working.</w:t>
            </w:r>
          </w:p>
          <w:p w14:paraId="7E12DAD0" w14:textId="34615E5E" w:rsidR="00BF7D75" w:rsidRDefault="00BF7D75" w:rsidP="001157B7">
            <w:pPr>
              <w:spacing w:before="240" w:line="276" w:lineRule="auto"/>
            </w:pPr>
          </w:p>
          <w:p w14:paraId="166DF8EB" w14:textId="77777777" w:rsidR="00BF7D75" w:rsidRDefault="00BF7D75" w:rsidP="001157B7">
            <w:pPr>
              <w:spacing w:before="240" w:line="276" w:lineRule="auto"/>
            </w:pPr>
          </w:p>
          <w:p w14:paraId="106088E4" w14:textId="77777777" w:rsidR="00474BBD" w:rsidRDefault="00474BBD" w:rsidP="001157B7">
            <w:pPr>
              <w:spacing w:before="240" w:line="276" w:lineRule="auto"/>
            </w:pPr>
            <w:r>
              <w:lastRenderedPageBreak/>
              <w:t xml:space="preserve">The Sub-Committee:  </w:t>
            </w:r>
          </w:p>
          <w:p w14:paraId="62704C4C" w14:textId="77777777" w:rsidR="00474BBD" w:rsidRPr="00BB271F" w:rsidRDefault="00474BBD" w:rsidP="00BB271F">
            <w:pPr>
              <w:pStyle w:val="ListParagraph"/>
              <w:numPr>
                <w:ilvl w:val="0"/>
                <w:numId w:val="18"/>
              </w:numPr>
              <w:spacing w:before="240" w:line="276" w:lineRule="auto"/>
            </w:pPr>
            <w:r w:rsidRPr="00BB271F">
              <w:rPr>
                <w:b/>
                <w:bCs/>
              </w:rPr>
              <w:t>NOTED</w:t>
            </w:r>
            <w:r w:rsidRPr="00BB271F">
              <w:t xml:space="preserve"> the updated surveillance effort in Area 1 and the Western Boundary, and any new clearance detections</w:t>
            </w:r>
          </w:p>
          <w:p w14:paraId="092BE5AA" w14:textId="77777777" w:rsidR="00474BBD" w:rsidRPr="00BB271F" w:rsidRDefault="00474BBD" w:rsidP="00BB271F">
            <w:pPr>
              <w:pStyle w:val="ListParagraph"/>
              <w:numPr>
                <w:ilvl w:val="0"/>
                <w:numId w:val="18"/>
              </w:numPr>
              <w:spacing w:before="240" w:line="276" w:lineRule="auto"/>
            </w:pPr>
            <w:r w:rsidRPr="00BB271F">
              <w:rPr>
                <w:b/>
                <w:bCs/>
              </w:rPr>
              <w:t>NOTED</w:t>
            </w:r>
            <w:r w:rsidRPr="00BB271F">
              <w:t xml:space="preserve"> the establishment of the Proof of Freedom Working Group and structured expert elicitation process</w:t>
            </w:r>
          </w:p>
          <w:p w14:paraId="74166D5E" w14:textId="77777777" w:rsidR="00474BBD" w:rsidRPr="00BB271F" w:rsidRDefault="00474BBD" w:rsidP="00BB271F">
            <w:pPr>
              <w:pStyle w:val="ListParagraph"/>
              <w:numPr>
                <w:ilvl w:val="0"/>
                <w:numId w:val="18"/>
              </w:numPr>
              <w:spacing w:before="240" w:line="276" w:lineRule="auto"/>
            </w:pPr>
            <w:r w:rsidRPr="00BB271F">
              <w:rPr>
                <w:b/>
                <w:bCs/>
              </w:rPr>
              <w:t>DISCUSSED</w:t>
            </w:r>
            <w:r w:rsidRPr="00BB271F">
              <w:t xml:space="preserve"> the changes to the Clearance and Proof of Freedom Strategy.</w:t>
            </w:r>
          </w:p>
        </w:tc>
      </w:tr>
      <w:tr w:rsidR="00474BBD" w14:paraId="6EAB6F16" w14:textId="77777777" w:rsidTr="001157B7">
        <w:trPr>
          <w:tblHeader/>
        </w:trPr>
        <w:tc>
          <w:tcPr>
            <w:tcW w:w="4962"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D4A63E5" w14:textId="77777777" w:rsidR="00474BBD" w:rsidRPr="001157B7" w:rsidRDefault="00474BBD" w:rsidP="001157B7">
            <w:pPr>
              <w:spacing w:before="240" w:line="276" w:lineRule="auto"/>
              <w:rPr>
                <w:b/>
                <w:bCs/>
              </w:rPr>
            </w:pPr>
            <w:r w:rsidRPr="001157B7">
              <w:rPr>
                <w:b/>
                <w:bCs/>
              </w:rPr>
              <w:lastRenderedPageBreak/>
              <w:t>Action items</w:t>
            </w:r>
          </w:p>
        </w:tc>
        <w:tc>
          <w:tcPr>
            <w:tcW w:w="17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9E73BBC" w14:textId="77777777" w:rsidR="00474BBD" w:rsidRPr="001157B7" w:rsidRDefault="00474BBD" w:rsidP="001157B7">
            <w:pPr>
              <w:spacing w:before="240" w:line="276" w:lineRule="auto"/>
              <w:rPr>
                <w:b/>
                <w:bCs/>
              </w:rPr>
            </w:pPr>
            <w:r w:rsidRPr="001157B7">
              <w:rPr>
                <w:rFonts w:eastAsia="Calibri"/>
                <w:b/>
                <w:bCs/>
              </w:rPr>
              <w:t>Responsibility</w:t>
            </w:r>
          </w:p>
        </w:tc>
        <w:tc>
          <w:tcPr>
            <w:tcW w:w="170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6EB525F"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27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CC3CD65" w14:textId="77777777" w:rsidR="00474BBD" w:rsidRPr="001157B7" w:rsidRDefault="00474BBD" w:rsidP="001157B7">
            <w:pPr>
              <w:spacing w:before="240" w:line="276" w:lineRule="auto"/>
              <w:rPr>
                <w:b/>
                <w:bCs/>
              </w:rPr>
            </w:pPr>
            <w:r w:rsidRPr="001157B7">
              <w:rPr>
                <w:rFonts w:eastAsia="Calibri"/>
                <w:b/>
                <w:bCs/>
              </w:rPr>
              <w:t>Status</w:t>
            </w:r>
          </w:p>
        </w:tc>
      </w:tr>
      <w:tr w:rsidR="00474BBD" w14:paraId="60BF753E" w14:textId="77777777" w:rsidTr="001157B7">
        <w:tc>
          <w:tcPr>
            <w:tcW w:w="567" w:type="dxa"/>
            <w:tcBorders>
              <w:top w:val="single" w:sz="4" w:space="0" w:color="auto"/>
              <w:left w:val="single" w:sz="4" w:space="0" w:color="auto"/>
              <w:bottom w:val="single" w:sz="4" w:space="0" w:color="auto"/>
              <w:right w:val="single" w:sz="4" w:space="0" w:color="auto"/>
            </w:tcBorders>
          </w:tcPr>
          <w:p w14:paraId="41D17F33" w14:textId="77777777" w:rsidR="00474BBD" w:rsidRDefault="00474BBD" w:rsidP="001157B7">
            <w:pPr>
              <w:spacing w:before="240" w:line="276" w:lineRule="auto"/>
            </w:pPr>
          </w:p>
        </w:tc>
        <w:tc>
          <w:tcPr>
            <w:tcW w:w="4395" w:type="dxa"/>
            <w:tcBorders>
              <w:top w:val="single" w:sz="4" w:space="0" w:color="auto"/>
              <w:left w:val="single" w:sz="4" w:space="0" w:color="auto"/>
              <w:bottom w:val="single" w:sz="4" w:space="0" w:color="auto"/>
              <w:right w:val="single" w:sz="4" w:space="0" w:color="auto"/>
            </w:tcBorders>
            <w:hideMark/>
          </w:tcPr>
          <w:p w14:paraId="1D09AA0F" w14:textId="77777777" w:rsidR="00474BBD" w:rsidRDefault="00474BBD" w:rsidP="001157B7">
            <w:pPr>
              <w:spacing w:before="240" w:line="276" w:lineRule="auto"/>
            </w:pPr>
            <w:r>
              <w:t>Nil</w:t>
            </w:r>
          </w:p>
        </w:tc>
        <w:tc>
          <w:tcPr>
            <w:tcW w:w="1704" w:type="dxa"/>
            <w:tcBorders>
              <w:top w:val="single" w:sz="4" w:space="0" w:color="auto"/>
              <w:left w:val="single" w:sz="4" w:space="0" w:color="auto"/>
              <w:bottom w:val="single" w:sz="4" w:space="0" w:color="auto"/>
              <w:right w:val="single" w:sz="4" w:space="0" w:color="auto"/>
            </w:tcBorders>
          </w:tcPr>
          <w:p w14:paraId="16CDD5D2" w14:textId="77777777" w:rsidR="00474BBD" w:rsidRDefault="00474BBD" w:rsidP="001157B7">
            <w:pPr>
              <w:spacing w:before="240" w:line="276" w:lineRule="auto"/>
            </w:pPr>
          </w:p>
        </w:tc>
        <w:tc>
          <w:tcPr>
            <w:tcW w:w="1702" w:type="dxa"/>
            <w:tcBorders>
              <w:top w:val="single" w:sz="4" w:space="0" w:color="auto"/>
              <w:left w:val="single" w:sz="4" w:space="0" w:color="auto"/>
              <w:bottom w:val="single" w:sz="4" w:space="0" w:color="auto"/>
              <w:right w:val="single" w:sz="4" w:space="0" w:color="auto"/>
            </w:tcBorders>
          </w:tcPr>
          <w:p w14:paraId="7190A0FE" w14:textId="77777777" w:rsidR="00474BBD" w:rsidRDefault="00474BBD" w:rsidP="001157B7">
            <w:pPr>
              <w:spacing w:before="240" w:line="276" w:lineRule="auto"/>
            </w:pPr>
          </w:p>
        </w:tc>
        <w:tc>
          <w:tcPr>
            <w:tcW w:w="1277" w:type="dxa"/>
            <w:tcBorders>
              <w:top w:val="single" w:sz="4" w:space="0" w:color="auto"/>
              <w:left w:val="single" w:sz="4" w:space="0" w:color="auto"/>
              <w:bottom w:val="single" w:sz="4" w:space="0" w:color="auto"/>
              <w:right w:val="single" w:sz="4" w:space="0" w:color="auto"/>
            </w:tcBorders>
          </w:tcPr>
          <w:p w14:paraId="547D29F5" w14:textId="77777777" w:rsidR="00474BBD" w:rsidRDefault="00474BBD" w:rsidP="001157B7">
            <w:pPr>
              <w:spacing w:before="240" w:line="276" w:lineRule="auto"/>
            </w:pPr>
          </w:p>
        </w:tc>
      </w:tr>
    </w:tbl>
    <w:p w14:paraId="2C01B22D" w14:textId="77777777" w:rsidR="00474BBD" w:rsidRDefault="00474BBD" w:rsidP="001157B7">
      <w:pPr>
        <w:spacing w:before="240" w:line="276" w:lineRule="auto"/>
      </w:pPr>
    </w:p>
    <w:p w14:paraId="581D3C57" w14:textId="77777777" w:rsidR="00474BBD" w:rsidRDefault="00474BBD" w:rsidP="001157B7">
      <w:pPr>
        <w:spacing w:before="240" w:line="276" w:lineRule="auto"/>
      </w:pPr>
    </w:p>
    <w:tbl>
      <w:tblPr>
        <w:tblStyle w:val="TableGrid"/>
        <w:tblW w:w="9645" w:type="dxa"/>
        <w:tblInd w:w="-147" w:type="dxa"/>
        <w:tblLayout w:type="fixed"/>
        <w:tblLook w:val="06A0" w:firstRow="1" w:lastRow="0" w:firstColumn="1" w:lastColumn="0" w:noHBand="1" w:noVBand="1"/>
      </w:tblPr>
      <w:tblGrid>
        <w:gridCol w:w="567"/>
        <w:gridCol w:w="4538"/>
        <w:gridCol w:w="1844"/>
        <w:gridCol w:w="1419"/>
        <w:gridCol w:w="1277"/>
      </w:tblGrid>
      <w:tr w:rsidR="00474BBD" w14:paraId="5706B117" w14:textId="77777777" w:rsidTr="001157B7">
        <w:tc>
          <w:tcPr>
            <w:tcW w:w="9640"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4A0C732" w14:textId="77777777" w:rsidR="00474BBD" w:rsidRPr="001157B7" w:rsidRDefault="00474BBD" w:rsidP="00B92BEC">
            <w:pPr>
              <w:spacing w:before="240" w:line="360" w:lineRule="auto"/>
              <w:rPr>
                <w:b/>
                <w:bCs/>
              </w:rPr>
            </w:pPr>
            <w:r w:rsidRPr="001157B7">
              <w:rPr>
                <w:b/>
                <w:bCs/>
                <w:iCs/>
                <w:lang w:bidi="en-US"/>
              </w:rPr>
              <w:t>Agenda Item 12 – Development of an Audit Program</w:t>
            </w:r>
          </w:p>
        </w:tc>
      </w:tr>
      <w:tr w:rsidR="00474BBD" w14:paraId="57A41C8A" w14:textId="77777777" w:rsidTr="00202714">
        <w:tc>
          <w:tcPr>
            <w:tcW w:w="9640" w:type="dxa"/>
            <w:gridSpan w:val="5"/>
            <w:tcBorders>
              <w:top w:val="single" w:sz="4" w:space="0" w:color="auto"/>
              <w:left w:val="single" w:sz="4" w:space="0" w:color="auto"/>
              <w:bottom w:val="single" w:sz="4" w:space="0" w:color="auto"/>
              <w:right w:val="single" w:sz="4" w:space="0" w:color="auto"/>
            </w:tcBorders>
            <w:hideMark/>
          </w:tcPr>
          <w:p w14:paraId="36C496CC" w14:textId="77777777" w:rsidR="00474BBD" w:rsidRDefault="00474BBD" w:rsidP="001157B7">
            <w:pPr>
              <w:spacing w:before="240" w:line="276" w:lineRule="auto"/>
            </w:pPr>
            <w:r>
              <w:t xml:space="preserve">At its September 2020 meeting, the Sub-Committee discussed additional responsibilities being given to it to develop and recommend an audit program.  Program management was tasked to develop a draft and scope a follow-up audit to the 2018 internal audits of the operational planning, </w:t>
            </w:r>
            <w:proofErr w:type="gramStart"/>
            <w:r>
              <w:t>governance</w:t>
            </w:r>
            <w:proofErr w:type="gramEnd"/>
            <w:r>
              <w:t xml:space="preserve"> and procurement processes.</w:t>
            </w:r>
          </w:p>
          <w:p w14:paraId="2ED9E8FA" w14:textId="77777777" w:rsidR="00474BBD" w:rsidRDefault="00474BBD" w:rsidP="001157B7">
            <w:pPr>
              <w:spacing w:before="240" w:line="276" w:lineRule="auto"/>
            </w:pPr>
            <w:r>
              <w:t xml:space="preserve">Brian Bond advised that he has liaised with PWC </w:t>
            </w:r>
            <w:proofErr w:type="gramStart"/>
            <w:r>
              <w:t>with regard to</w:t>
            </w:r>
            <w:proofErr w:type="gramEnd"/>
            <w:r>
              <w:t xml:space="preserve"> a follow-up audit and the costings, which would need to be met from the Program’s budget.  </w:t>
            </w:r>
          </w:p>
          <w:p w14:paraId="78CB82A1" w14:textId="77777777" w:rsidR="00474BBD" w:rsidRDefault="00474BBD" w:rsidP="001157B7">
            <w:pPr>
              <w:spacing w:before="240" w:line="276" w:lineRule="auto"/>
            </w:pPr>
            <w:r>
              <w:t xml:space="preserve">Sub-Committee members were provided with the PWC proposal.  It was considered that, with the funding constraints and uncertainty with the strategic and operational planning, it was more important that there be a thorough cost-benefit analysis of the Program options to support cost share partners’ confidence in the Program delivery. The follow-up audit of operational planning, governance and procurement processes could be incorporated in the Terms of Reference of the upcoming E&amp;E Review.  </w:t>
            </w:r>
          </w:p>
          <w:p w14:paraId="325F4317" w14:textId="77777777" w:rsidR="00474BBD" w:rsidRDefault="00474BBD" w:rsidP="001157B7">
            <w:pPr>
              <w:spacing w:before="240" w:line="276" w:lineRule="auto"/>
            </w:pPr>
            <w:r>
              <w:t>Clarification was sought on the draft internal operational audit schedule.  The Committee was generally supportive of the visibility of the complete internal operational assurance plan. External reviews such as the CSIRO and E&amp;E Reviews also give independent assurance.</w:t>
            </w:r>
          </w:p>
          <w:p w14:paraId="0B9D92B7" w14:textId="77777777" w:rsidR="00474BBD" w:rsidRDefault="00474BBD" w:rsidP="001157B7">
            <w:pPr>
              <w:spacing w:before="240" w:line="276" w:lineRule="auto"/>
            </w:pPr>
            <w:r>
              <w:t>Areas identified for further consideration include:</w:t>
            </w:r>
          </w:p>
          <w:p w14:paraId="3712234A" w14:textId="77777777" w:rsidR="00474BBD" w:rsidRPr="00BB271F" w:rsidRDefault="00474BBD" w:rsidP="00BB271F">
            <w:pPr>
              <w:pStyle w:val="ListParagraph"/>
              <w:numPr>
                <w:ilvl w:val="0"/>
                <w:numId w:val="19"/>
              </w:numPr>
              <w:spacing w:before="240" w:line="276" w:lineRule="auto"/>
            </w:pPr>
            <w:r w:rsidRPr="00BB271F">
              <w:t>contract management – IP issues and how they are being managed</w:t>
            </w:r>
          </w:p>
          <w:p w14:paraId="4DE0992F" w14:textId="77777777" w:rsidR="00474BBD" w:rsidRPr="00BB271F" w:rsidRDefault="00474BBD" w:rsidP="00BB271F">
            <w:pPr>
              <w:pStyle w:val="ListParagraph"/>
              <w:numPr>
                <w:ilvl w:val="0"/>
                <w:numId w:val="19"/>
              </w:numPr>
              <w:spacing w:before="240" w:line="276" w:lineRule="auto"/>
            </w:pPr>
            <w:r w:rsidRPr="00BB271F">
              <w:t>compliance program – the Program’s enforcement capability and how the Program is responding to the CSIRO report</w:t>
            </w:r>
          </w:p>
          <w:p w14:paraId="3C618EF8" w14:textId="77777777" w:rsidR="00474BBD" w:rsidRPr="00BB271F" w:rsidRDefault="00474BBD" w:rsidP="00BB271F">
            <w:pPr>
              <w:pStyle w:val="ListParagraph"/>
              <w:numPr>
                <w:ilvl w:val="0"/>
                <w:numId w:val="19"/>
              </w:numPr>
              <w:spacing w:before="240" w:line="276" w:lineRule="auto"/>
            </w:pPr>
            <w:r w:rsidRPr="00BB271F">
              <w:t>financial management</w:t>
            </w:r>
          </w:p>
          <w:p w14:paraId="05B69358" w14:textId="77777777" w:rsidR="00474BBD" w:rsidRPr="00BB271F" w:rsidRDefault="00474BBD" w:rsidP="00BB271F">
            <w:pPr>
              <w:pStyle w:val="ListParagraph"/>
              <w:numPr>
                <w:ilvl w:val="0"/>
                <w:numId w:val="19"/>
              </w:numPr>
              <w:spacing w:before="240" w:line="276" w:lineRule="auto"/>
            </w:pPr>
            <w:r w:rsidRPr="00BB271F">
              <w:t>public reporting – accuracy and accessibility.</w:t>
            </w:r>
          </w:p>
          <w:p w14:paraId="483F42E0" w14:textId="77777777" w:rsidR="00474BBD" w:rsidRDefault="00474BBD" w:rsidP="001157B7">
            <w:pPr>
              <w:spacing w:before="240" w:line="276" w:lineRule="auto"/>
            </w:pPr>
            <w:r>
              <w:t xml:space="preserve">Graeme Dudgeon provided an overview of the DAF internal audit program and the internal controls reviews which are normal internal scrutinies that occur regularly </w:t>
            </w:r>
            <w:proofErr w:type="spellStart"/>
            <w:r>
              <w:t>eg.</w:t>
            </w:r>
            <w:proofErr w:type="spellEnd"/>
            <w:r>
              <w:t xml:space="preserve"> procurement, managing finances, correct authorisations etc.  The Auditor-General and the Ombudsman may also request reviews.</w:t>
            </w:r>
          </w:p>
          <w:p w14:paraId="3DF57626" w14:textId="77777777" w:rsidR="00474BBD" w:rsidRDefault="00474BBD" w:rsidP="001157B7">
            <w:pPr>
              <w:spacing w:before="240" w:line="276" w:lineRule="auto"/>
            </w:pPr>
            <w:r>
              <w:t xml:space="preserve">The Sub-Committee  </w:t>
            </w:r>
          </w:p>
          <w:p w14:paraId="0CC2636E" w14:textId="77777777" w:rsidR="00474BBD" w:rsidRPr="00BB271F" w:rsidRDefault="00474BBD" w:rsidP="00BB271F">
            <w:pPr>
              <w:pStyle w:val="ListParagraph"/>
              <w:numPr>
                <w:ilvl w:val="0"/>
                <w:numId w:val="20"/>
              </w:numPr>
              <w:spacing w:before="240" w:line="276" w:lineRule="auto"/>
            </w:pPr>
            <w:r w:rsidRPr="00BB271F">
              <w:rPr>
                <w:b/>
                <w:bCs/>
              </w:rPr>
              <w:lastRenderedPageBreak/>
              <w:t>DISCUSSED</w:t>
            </w:r>
            <w:r w:rsidRPr="00BB271F">
              <w:t xml:space="preserve"> the development of audits of program activities</w:t>
            </w:r>
          </w:p>
          <w:p w14:paraId="186D1B5A" w14:textId="77777777" w:rsidR="00474BBD" w:rsidRPr="00BB271F" w:rsidRDefault="00474BBD" w:rsidP="00BB271F">
            <w:pPr>
              <w:pStyle w:val="ListParagraph"/>
              <w:numPr>
                <w:ilvl w:val="0"/>
                <w:numId w:val="20"/>
              </w:numPr>
              <w:spacing w:before="240" w:line="276" w:lineRule="auto"/>
            </w:pPr>
            <w:r w:rsidRPr="00BB271F">
              <w:rPr>
                <w:b/>
                <w:bCs/>
              </w:rPr>
              <w:t>NOTED</w:t>
            </w:r>
            <w:r w:rsidRPr="00BB271F">
              <w:t xml:space="preserve"> a draft of an internal quality management program</w:t>
            </w:r>
          </w:p>
          <w:p w14:paraId="2CBEFB80" w14:textId="77777777" w:rsidR="00474BBD" w:rsidRPr="00BB271F" w:rsidRDefault="00474BBD" w:rsidP="00BB271F">
            <w:pPr>
              <w:pStyle w:val="ListParagraph"/>
              <w:numPr>
                <w:ilvl w:val="0"/>
                <w:numId w:val="20"/>
              </w:numPr>
              <w:spacing w:before="240" w:line="276" w:lineRule="auto"/>
            </w:pPr>
            <w:r w:rsidRPr="00BB271F">
              <w:rPr>
                <w:b/>
                <w:bCs/>
              </w:rPr>
              <w:t>IDENTIFIED</w:t>
            </w:r>
            <w:r w:rsidRPr="00BB271F">
              <w:t xml:space="preserve"> areas which might be considered for external review and requested the Program flesh out those items, noting the E&amp;E Review may incorporate them</w:t>
            </w:r>
          </w:p>
          <w:p w14:paraId="35C332FE" w14:textId="77777777" w:rsidR="00474BBD" w:rsidRPr="00BB271F" w:rsidRDefault="00474BBD" w:rsidP="00BB271F">
            <w:pPr>
              <w:pStyle w:val="ListParagraph"/>
              <w:numPr>
                <w:ilvl w:val="0"/>
                <w:numId w:val="20"/>
              </w:numPr>
              <w:spacing w:before="240" w:line="276" w:lineRule="auto"/>
            </w:pPr>
            <w:r w:rsidRPr="00BB271F">
              <w:rPr>
                <w:b/>
                <w:bCs/>
              </w:rPr>
              <w:t>AGREED</w:t>
            </w:r>
            <w:r w:rsidRPr="00BB271F">
              <w:t xml:space="preserve"> that the internal audit follow-up review of the December 2018 audits should not proceed</w:t>
            </w:r>
          </w:p>
          <w:p w14:paraId="1C881DC8" w14:textId="77777777" w:rsidR="00474BBD" w:rsidRPr="00BB271F" w:rsidRDefault="00474BBD" w:rsidP="00BB271F">
            <w:pPr>
              <w:pStyle w:val="ListParagraph"/>
              <w:numPr>
                <w:ilvl w:val="0"/>
                <w:numId w:val="20"/>
              </w:numPr>
              <w:spacing w:before="240" w:line="276" w:lineRule="auto"/>
            </w:pPr>
            <w:r w:rsidRPr="00BB271F">
              <w:rPr>
                <w:b/>
                <w:bCs/>
              </w:rPr>
              <w:t>AGREED</w:t>
            </w:r>
            <w:r w:rsidRPr="00BB271F">
              <w:t xml:space="preserve"> that the E&amp;E Review will assess whether the Program has appropriately addressed the recommendations from the December 2018 audits </w:t>
            </w:r>
          </w:p>
          <w:p w14:paraId="2CEB3D87" w14:textId="77777777" w:rsidR="00474BBD" w:rsidRPr="00BB271F" w:rsidRDefault="00474BBD" w:rsidP="00BB271F">
            <w:pPr>
              <w:pStyle w:val="ListParagraph"/>
              <w:numPr>
                <w:ilvl w:val="0"/>
                <w:numId w:val="20"/>
              </w:numPr>
              <w:spacing w:before="240" w:line="276" w:lineRule="auto"/>
            </w:pPr>
            <w:r w:rsidRPr="00BB271F">
              <w:rPr>
                <w:b/>
                <w:bCs/>
              </w:rPr>
              <w:t>AGREED</w:t>
            </w:r>
            <w:r w:rsidRPr="00BB271F">
              <w:t xml:space="preserve"> that the E&amp;E Review Terms of Reference should reflect the above decision.</w:t>
            </w:r>
          </w:p>
        </w:tc>
      </w:tr>
      <w:tr w:rsidR="00474BBD" w14:paraId="35B4E9DE" w14:textId="77777777" w:rsidTr="001157B7">
        <w:trPr>
          <w:tblHeader/>
        </w:trPr>
        <w:tc>
          <w:tcPr>
            <w:tcW w:w="5103"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DE7B253" w14:textId="77777777" w:rsidR="00474BBD" w:rsidRPr="001157B7" w:rsidRDefault="00474BBD" w:rsidP="001157B7">
            <w:pPr>
              <w:spacing w:before="240" w:line="276" w:lineRule="auto"/>
              <w:rPr>
                <w:b/>
                <w:bCs/>
              </w:rPr>
            </w:pPr>
            <w:r w:rsidRPr="001157B7">
              <w:rPr>
                <w:b/>
                <w:bCs/>
              </w:rPr>
              <w:lastRenderedPageBreak/>
              <w:t>Action items</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4CB0EBF9" w14:textId="77777777" w:rsidR="00474BBD" w:rsidRPr="001157B7" w:rsidRDefault="00474BBD" w:rsidP="001157B7">
            <w:pPr>
              <w:spacing w:before="240" w:line="276" w:lineRule="auto"/>
              <w:rPr>
                <w:b/>
                <w:bCs/>
              </w:rPr>
            </w:pPr>
            <w:r w:rsidRPr="001157B7">
              <w:rPr>
                <w:rFonts w:eastAsia="Calibri"/>
                <w:b/>
                <w:bCs/>
              </w:rPr>
              <w:t>Responsibility</w:t>
            </w:r>
          </w:p>
        </w:tc>
        <w:tc>
          <w:tcPr>
            <w:tcW w:w="141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A5996C9" w14:textId="77777777" w:rsidR="00474BBD" w:rsidRPr="001157B7" w:rsidRDefault="00474BBD" w:rsidP="001157B7">
            <w:pPr>
              <w:spacing w:before="240" w:line="276" w:lineRule="auto"/>
              <w:rPr>
                <w:rFonts w:eastAsia="Calibri"/>
                <w:b/>
                <w:bCs/>
              </w:rPr>
            </w:pPr>
            <w:r w:rsidRPr="001157B7">
              <w:rPr>
                <w:rFonts w:eastAsia="Calibri"/>
                <w:b/>
                <w:bCs/>
              </w:rPr>
              <w:t>Target</w:t>
            </w: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9FA6301" w14:textId="77777777" w:rsidR="00474BBD" w:rsidRPr="001157B7" w:rsidRDefault="00474BBD" w:rsidP="001157B7">
            <w:pPr>
              <w:spacing w:before="240" w:line="276" w:lineRule="auto"/>
              <w:rPr>
                <w:b/>
                <w:bCs/>
              </w:rPr>
            </w:pPr>
            <w:r w:rsidRPr="001157B7">
              <w:rPr>
                <w:rFonts w:eastAsia="Calibri"/>
                <w:b/>
                <w:bCs/>
              </w:rPr>
              <w:t>Status</w:t>
            </w:r>
          </w:p>
        </w:tc>
      </w:tr>
      <w:tr w:rsidR="00474BBD" w14:paraId="403C2109" w14:textId="77777777" w:rsidTr="00202714">
        <w:tc>
          <w:tcPr>
            <w:tcW w:w="567" w:type="dxa"/>
            <w:tcBorders>
              <w:top w:val="single" w:sz="4" w:space="0" w:color="auto"/>
              <w:left w:val="single" w:sz="4" w:space="0" w:color="auto"/>
              <w:bottom w:val="single" w:sz="4" w:space="0" w:color="auto"/>
              <w:right w:val="single" w:sz="4" w:space="0" w:color="auto"/>
            </w:tcBorders>
            <w:hideMark/>
          </w:tcPr>
          <w:p w14:paraId="787CAE94" w14:textId="77777777" w:rsidR="00474BBD" w:rsidRDefault="00474BBD" w:rsidP="001157B7">
            <w:pPr>
              <w:spacing w:before="240" w:line="276" w:lineRule="auto"/>
            </w:pPr>
            <w:r>
              <w:t>5.</w:t>
            </w:r>
          </w:p>
        </w:tc>
        <w:tc>
          <w:tcPr>
            <w:tcW w:w="4536" w:type="dxa"/>
            <w:tcBorders>
              <w:top w:val="single" w:sz="4" w:space="0" w:color="auto"/>
              <w:left w:val="single" w:sz="4" w:space="0" w:color="auto"/>
              <w:bottom w:val="single" w:sz="4" w:space="0" w:color="auto"/>
              <w:right w:val="single" w:sz="4" w:space="0" w:color="auto"/>
            </w:tcBorders>
            <w:hideMark/>
          </w:tcPr>
          <w:p w14:paraId="6242682A" w14:textId="77777777" w:rsidR="00474BBD" w:rsidRDefault="00474BBD" w:rsidP="001157B7">
            <w:pPr>
              <w:spacing w:before="240" w:line="276" w:lineRule="auto"/>
            </w:pPr>
            <w:r>
              <w:t>Seek clarity on allocation of departmental internal audits for the Program.</w:t>
            </w:r>
          </w:p>
        </w:tc>
        <w:tc>
          <w:tcPr>
            <w:tcW w:w="1843" w:type="dxa"/>
            <w:tcBorders>
              <w:top w:val="single" w:sz="4" w:space="0" w:color="auto"/>
              <w:left w:val="single" w:sz="4" w:space="0" w:color="auto"/>
              <w:bottom w:val="single" w:sz="4" w:space="0" w:color="auto"/>
              <w:right w:val="single" w:sz="4" w:space="0" w:color="auto"/>
            </w:tcBorders>
            <w:hideMark/>
          </w:tcPr>
          <w:p w14:paraId="28A2EB9A" w14:textId="77777777" w:rsidR="00474BBD" w:rsidRDefault="00474BBD" w:rsidP="001157B7">
            <w:pPr>
              <w:spacing w:before="240" w:line="276" w:lineRule="auto"/>
            </w:pPr>
            <w:r>
              <w:t>Program – Business Services Manager</w:t>
            </w:r>
          </w:p>
        </w:tc>
        <w:tc>
          <w:tcPr>
            <w:tcW w:w="1418" w:type="dxa"/>
            <w:tcBorders>
              <w:top w:val="single" w:sz="4" w:space="0" w:color="auto"/>
              <w:left w:val="single" w:sz="4" w:space="0" w:color="auto"/>
              <w:bottom w:val="single" w:sz="4" w:space="0" w:color="auto"/>
              <w:right w:val="single" w:sz="4" w:space="0" w:color="auto"/>
            </w:tcBorders>
            <w:hideMark/>
          </w:tcPr>
          <w:p w14:paraId="0D352C58" w14:textId="77777777" w:rsidR="00474BBD" w:rsidRDefault="00474BBD" w:rsidP="001157B7">
            <w:pPr>
              <w:spacing w:before="240" w:line="276" w:lineRule="auto"/>
            </w:pPr>
            <w:r>
              <w:t>April 2021</w:t>
            </w:r>
          </w:p>
        </w:tc>
        <w:tc>
          <w:tcPr>
            <w:tcW w:w="1276" w:type="dxa"/>
            <w:tcBorders>
              <w:top w:val="single" w:sz="4" w:space="0" w:color="auto"/>
              <w:left w:val="single" w:sz="4" w:space="0" w:color="auto"/>
              <w:bottom w:val="single" w:sz="4" w:space="0" w:color="auto"/>
              <w:right w:val="single" w:sz="4" w:space="0" w:color="auto"/>
            </w:tcBorders>
          </w:tcPr>
          <w:p w14:paraId="4BF2E4B0" w14:textId="77777777" w:rsidR="00474BBD" w:rsidRDefault="00474BBD" w:rsidP="001157B7">
            <w:pPr>
              <w:spacing w:before="240" w:line="276" w:lineRule="auto"/>
            </w:pPr>
          </w:p>
        </w:tc>
      </w:tr>
      <w:tr w:rsidR="00474BBD" w14:paraId="77606DC4" w14:textId="77777777" w:rsidTr="00202714">
        <w:tc>
          <w:tcPr>
            <w:tcW w:w="567" w:type="dxa"/>
            <w:tcBorders>
              <w:top w:val="single" w:sz="4" w:space="0" w:color="auto"/>
              <w:left w:val="single" w:sz="4" w:space="0" w:color="auto"/>
              <w:bottom w:val="single" w:sz="4" w:space="0" w:color="auto"/>
              <w:right w:val="single" w:sz="4" w:space="0" w:color="auto"/>
            </w:tcBorders>
            <w:hideMark/>
          </w:tcPr>
          <w:p w14:paraId="5DCC1BBA" w14:textId="77777777" w:rsidR="00474BBD" w:rsidRDefault="00474BBD" w:rsidP="001157B7">
            <w:pPr>
              <w:spacing w:before="240" w:line="276" w:lineRule="auto"/>
            </w:pPr>
            <w:r>
              <w:t>6.</w:t>
            </w:r>
          </w:p>
        </w:tc>
        <w:tc>
          <w:tcPr>
            <w:tcW w:w="4536" w:type="dxa"/>
            <w:tcBorders>
              <w:top w:val="single" w:sz="4" w:space="0" w:color="auto"/>
              <w:left w:val="single" w:sz="4" w:space="0" w:color="auto"/>
              <w:bottom w:val="single" w:sz="4" w:space="0" w:color="auto"/>
              <w:right w:val="single" w:sz="4" w:space="0" w:color="auto"/>
            </w:tcBorders>
            <w:hideMark/>
          </w:tcPr>
          <w:p w14:paraId="7A509704" w14:textId="77777777" w:rsidR="00474BBD" w:rsidRDefault="00474BBD" w:rsidP="001157B7">
            <w:pPr>
              <w:spacing w:before="240" w:line="276" w:lineRule="auto"/>
            </w:pPr>
            <w:r>
              <w:t>Provide further detail on items identified for consideration by external review.</w:t>
            </w:r>
          </w:p>
        </w:tc>
        <w:tc>
          <w:tcPr>
            <w:tcW w:w="1843" w:type="dxa"/>
            <w:tcBorders>
              <w:top w:val="single" w:sz="4" w:space="0" w:color="auto"/>
              <w:left w:val="single" w:sz="4" w:space="0" w:color="auto"/>
              <w:bottom w:val="single" w:sz="4" w:space="0" w:color="auto"/>
              <w:right w:val="single" w:sz="4" w:space="0" w:color="auto"/>
            </w:tcBorders>
            <w:hideMark/>
          </w:tcPr>
          <w:p w14:paraId="00BE7C9A" w14:textId="77777777" w:rsidR="00474BBD" w:rsidRDefault="00474BBD" w:rsidP="001157B7">
            <w:pPr>
              <w:spacing w:before="240" w:line="276" w:lineRule="auto"/>
            </w:pPr>
            <w:r>
              <w:t>Program – Business Services Manager</w:t>
            </w:r>
          </w:p>
        </w:tc>
        <w:tc>
          <w:tcPr>
            <w:tcW w:w="1418" w:type="dxa"/>
            <w:tcBorders>
              <w:top w:val="single" w:sz="4" w:space="0" w:color="auto"/>
              <w:left w:val="single" w:sz="4" w:space="0" w:color="auto"/>
              <w:bottom w:val="single" w:sz="4" w:space="0" w:color="auto"/>
              <w:right w:val="single" w:sz="4" w:space="0" w:color="auto"/>
            </w:tcBorders>
            <w:hideMark/>
          </w:tcPr>
          <w:p w14:paraId="26BED512" w14:textId="77777777" w:rsidR="00474BBD" w:rsidRDefault="00474BBD" w:rsidP="001157B7">
            <w:pPr>
              <w:spacing w:before="240" w:line="276" w:lineRule="auto"/>
            </w:pPr>
            <w:r>
              <w:t>May 2021</w:t>
            </w:r>
          </w:p>
        </w:tc>
        <w:tc>
          <w:tcPr>
            <w:tcW w:w="1276" w:type="dxa"/>
            <w:tcBorders>
              <w:top w:val="single" w:sz="4" w:space="0" w:color="auto"/>
              <w:left w:val="single" w:sz="4" w:space="0" w:color="auto"/>
              <w:bottom w:val="single" w:sz="4" w:space="0" w:color="auto"/>
              <w:right w:val="single" w:sz="4" w:space="0" w:color="auto"/>
            </w:tcBorders>
          </w:tcPr>
          <w:p w14:paraId="0200E511" w14:textId="77777777" w:rsidR="00474BBD" w:rsidRDefault="00474BBD" w:rsidP="001157B7">
            <w:pPr>
              <w:spacing w:before="240" w:line="276" w:lineRule="auto"/>
            </w:pPr>
          </w:p>
        </w:tc>
      </w:tr>
    </w:tbl>
    <w:p w14:paraId="495FDD52" w14:textId="3463FA08" w:rsidR="00474BBD" w:rsidRDefault="00474BBD" w:rsidP="001157B7">
      <w:pPr>
        <w:spacing w:before="240" w:line="276" w:lineRule="auto"/>
      </w:pPr>
    </w:p>
    <w:p w14:paraId="7A7BCC03" w14:textId="77777777" w:rsidR="00981E50" w:rsidRDefault="00981E50" w:rsidP="001157B7">
      <w:pPr>
        <w:spacing w:before="240" w:line="276" w:lineRule="auto"/>
      </w:pPr>
    </w:p>
    <w:tbl>
      <w:tblPr>
        <w:tblStyle w:val="TableGrid"/>
        <w:tblW w:w="9645" w:type="dxa"/>
        <w:tblInd w:w="-147" w:type="dxa"/>
        <w:tblLayout w:type="fixed"/>
        <w:tblLook w:val="06A0" w:firstRow="1" w:lastRow="0" w:firstColumn="1" w:lastColumn="0" w:noHBand="1" w:noVBand="1"/>
      </w:tblPr>
      <w:tblGrid>
        <w:gridCol w:w="9645"/>
      </w:tblGrid>
      <w:tr w:rsidR="00474BBD" w14:paraId="75339F28" w14:textId="77777777" w:rsidTr="001157B7">
        <w:tc>
          <w:tcPr>
            <w:tcW w:w="964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DBA7551" w14:textId="77777777" w:rsidR="00474BBD" w:rsidRPr="001157B7" w:rsidRDefault="00474BBD" w:rsidP="00B92BEC">
            <w:pPr>
              <w:spacing w:before="240" w:line="360" w:lineRule="auto"/>
              <w:rPr>
                <w:b/>
                <w:bCs/>
              </w:rPr>
            </w:pPr>
            <w:r w:rsidRPr="001157B7">
              <w:rPr>
                <w:b/>
                <w:bCs/>
                <w:iCs/>
                <w:lang w:bidi="en-US"/>
              </w:rPr>
              <w:t>Other Business</w:t>
            </w:r>
          </w:p>
        </w:tc>
      </w:tr>
      <w:tr w:rsidR="00474BBD" w14:paraId="214D0F99" w14:textId="77777777" w:rsidTr="00202714">
        <w:tc>
          <w:tcPr>
            <w:tcW w:w="9640" w:type="dxa"/>
            <w:tcBorders>
              <w:top w:val="single" w:sz="4" w:space="0" w:color="auto"/>
              <w:left w:val="single" w:sz="4" w:space="0" w:color="auto"/>
              <w:bottom w:val="single" w:sz="4" w:space="0" w:color="auto"/>
              <w:right w:val="single" w:sz="4" w:space="0" w:color="auto"/>
            </w:tcBorders>
            <w:hideMark/>
          </w:tcPr>
          <w:p w14:paraId="586DAFC0" w14:textId="77777777" w:rsidR="00474BBD" w:rsidRDefault="00474BBD" w:rsidP="001157B7">
            <w:pPr>
              <w:spacing w:before="240" w:line="276" w:lineRule="auto"/>
            </w:pPr>
            <w:r>
              <w:t>The Chair summarised the meeting, including the actions and decisions made.</w:t>
            </w:r>
          </w:p>
          <w:p w14:paraId="02FC3A16" w14:textId="77777777" w:rsidR="00474BBD" w:rsidRDefault="00474BBD" w:rsidP="001157B7">
            <w:pPr>
              <w:spacing w:before="240" w:line="276" w:lineRule="auto"/>
              <w:rPr>
                <w:rFonts w:cs="Segoe UI Light"/>
              </w:rPr>
            </w:pPr>
            <w:r>
              <w:rPr>
                <w:rFonts w:cs="Segoe UI Light"/>
              </w:rPr>
              <w:t>The next meeting is to be held in September 2021.</w:t>
            </w:r>
          </w:p>
        </w:tc>
      </w:tr>
    </w:tbl>
    <w:p w14:paraId="3E3132F2" w14:textId="77777777" w:rsidR="00474BBD" w:rsidRPr="00474BBD" w:rsidRDefault="00474BBD" w:rsidP="001157B7">
      <w:pPr>
        <w:spacing w:before="240"/>
        <w:ind w:firstLine="720"/>
      </w:pPr>
    </w:p>
    <w:sectPr w:rsidR="00474BBD" w:rsidRPr="00474BB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1BD9" w14:textId="77777777" w:rsidR="00D85085" w:rsidRDefault="00D85085" w:rsidP="00C71AE9">
      <w:r>
        <w:separator/>
      </w:r>
    </w:p>
    <w:p w14:paraId="47AE2F3F" w14:textId="77777777" w:rsidR="00D85085" w:rsidRDefault="00D85085" w:rsidP="00C71AE9"/>
    <w:p w14:paraId="00574E72" w14:textId="77777777" w:rsidR="00D85085" w:rsidRDefault="00D85085" w:rsidP="00C71AE9"/>
  </w:endnote>
  <w:endnote w:type="continuationSeparator" w:id="0">
    <w:p w14:paraId="4A491438" w14:textId="77777777" w:rsidR="00D85085" w:rsidRDefault="00D85085" w:rsidP="00C71AE9">
      <w:r>
        <w:continuationSeparator/>
      </w:r>
    </w:p>
    <w:p w14:paraId="70998541" w14:textId="77777777" w:rsidR="00D85085" w:rsidRDefault="00D85085" w:rsidP="00C71AE9"/>
    <w:p w14:paraId="4C99F171" w14:textId="77777777" w:rsidR="00D85085" w:rsidRDefault="00D85085" w:rsidP="00C71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928484"/>
      <w:docPartObj>
        <w:docPartGallery w:val="Page Numbers (Bottom of Page)"/>
        <w:docPartUnique/>
      </w:docPartObj>
    </w:sdtPr>
    <w:sdtEndPr>
      <w:rPr>
        <w:noProof/>
      </w:rPr>
    </w:sdtEndPr>
    <w:sdtContent>
      <w:p w14:paraId="052313FF" w14:textId="23D74218" w:rsidR="00DA2B5E" w:rsidRDefault="00C71AE9" w:rsidP="00C71AE9">
        <w:pPr>
          <w:pStyle w:val="Footer"/>
          <w:jc w:val="right"/>
        </w:pPr>
        <w:r w:rsidRPr="00485404">
          <w:fldChar w:fldCharType="begin"/>
        </w:r>
        <w:r w:rsidRPr="00485404">
          <w:instrText xml:space="preserve"> PAGE   \* MERGEFORMAT </w:instrText>
        </w:r>
        <w:r w:rsidRPr="00485404">
          <w:fldChar w:fldCharType="separate"/>
        </w:r>
        <w:r w:rsidRPr="00485404">
          <w:t>2</w:t>
        </w:r>
        <w:r w:rsidRPr="00485404">
          <w:fldChar w:fldCharType="end"/>
        </w:r>
      </w:p>
    </w:sdtContent>
  </w:sdt>
  <w:p w14:paraId="572FF7BB" w14:textId="77777777" w:rsidR="006501B0" w:rsidRDefault="006501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41FFE" w14:textId="77777777" w:rsidR="00D85085" w:rsidRDefault="00D85085" w:rsidP="00C71AE9">
      <w:r>
        <w:separator/>
      </w:r>
    </w:p>
    <w:p w14:paraId="318C3C2D" w14:textId="77777777" w:rsidR="00D85085" w:rsidRDefault="00D85085" w:rsidP="00C71AE9"/>
    <w:p w14:paraId="6BED4936" w14:textId="77777777" w:rsidR="00D85085" w:rsidRDefault="00D85085" w:rsidP="00C71AE9"/>
  </w:footnote>
  <w:footnote w:type="continuationSeparator" w:id="0">
    <w:p w14:paraId="72FABE12" w14:textId="77777777" w:rsidR="00D85085" w:rsidRDefault="00D85085" w:rsidP="00C71AE9">
      <w:r>
        <w:continuationSeparator/>
      </w:r>
    </w:p>
    <w:p w14:paraId="185AA749" w14:textId="77777777" w:rsidR="00D85085" w:rsidRDefault="00D85085" w:rsidP="00C71AE9"/>
    <w:p w14:paraId="68D060FA" w14:textId="77777777" w:rsidR="00D85085" w:rsidRDefault="00D85085" w:rsidP="00C71AE9"/>
  </w:footnote>
  <w:footnote w:id="1">
    <w:p w14:paraId="245C1D81" w14:textId="77777777" w:rsidR="00474BBD" w:rsidRDefault="00474BBD" w:rsidP="00474BBD">
      <w:pPr>
        <w:pStyle w:val="FootnoteText"/>
      </w:pPr>
      <w:r>
        <w:rPr>
          <w:rStyle w:val="FootnoteReference"/>
        </w:rPr>
        <w:footnoteRef/>
      </w:r>
      <w:r>
        <w:t xml:space="preserve"> Queensland Department of Agriculture and Fisheries, </w:t>
      </w:r>
      <w:r w:rsidRPr="00981E38">
        <w:rPr>
          <w:i/>
          <w:iCs/>
        </w:rPr>
        <w:t>CSIRO Fire Ant Report</w:t>
      </w:r>
      <w:r>
        <w:rPr>
          <w:i/>
          <w:iCs/>
        </w:rPr>
        <w:t xml:space="preserve"> [website], </w:t>
      </w:r>
      <w:hyperlink r:id="rId1" w:history="1">
        <w:r w:rsidRPr="00981E38">
          <w:rPr>
            <w:rStyle w:val="Hyperlink"/>
          </w:rPr>
          <w:t>https://daf.engagementhub.com.au/csiro-fire-ant-report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89E7" w14:textId="549CD34B" w:rsidR="00C262DA" w:rsidRDefault="00C262DA" w:rsidP="00C71AE9">
    <w:pPr>
      <w:pStyle w:val="Header"/>
    </w:pPr>
    <w:r w:rsidRPr="00C71AE9">
      <w:rPr>
        <w:noProof/>
      </w:rPr>
      <w:drawing>
        <wp:anchor distT="0" distB="0" distL="114300" distR="114300" simplePos="0" relativeHeight="251658240" behindDoc="1" locked="0" layoutInCell="1" allowOverlap="1" wp14:anchorId="1F62D1DE" wp14:editId="4C38C97E">
          <wp:simplePos x="0" y="0"/>
          <wp:positionH relativeFrom="column">
            <wp:posOffset>-914400</wp:posOffset>
          </wp:positionH>
          <wp:positionV relativeFrom="paragraph">
            <wp:posOffset>-455930</wp:posOffset>
          </wp:positionV>
          <wp:extent cx="7562850" cy="10697419"/>
          <wp:effectExtent l="0" t="0" r="0" b="889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697419"/>
                  </a:xfrm>
                  <a:prstGeom prst="rect">
                    <a:avLst/>
                  </a:prstGeom>
                </pic:spPr>
              </pic:pic>
            </a:graphicData>
          </a:graphic>
          <wp14:sizeRelH relativeFrom="page">
            <wp14:pctWidth>0</wp14:pctWidth>
          </wp14:sizeRelH>
          <wp14:sizeRelV relativeFrom="page">
            <wp14:pctHeight>0</wp14:pctHeight>
          </wp14:sizeRelV>
        </wp:anchor>
      </w:drawing>
    </w:r>
  </w:p>
  <w:p w14:paraId="57BB39AC" w14:textId="77777777" w:rsidR="00DA2B5E" w:rsidRDefault="00DA2B5E" w:rsidP="00C71AE9"/>
  <w:p w14:paraId="04E49ADB" w14:textId="77777777" w:rsidR="006501B0" w:rsidRDefault="006501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F3D"/>
    <w:multiLevelType w:val="hybridMultilevel"/>
    <w:tmpl w:val="4C3E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C3456"/>
    <w:multiLevelType w:val="hybridMultilevel"/>
    <w:tmpl w:val="0E760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627C8"/>
    <w:multiLevelType w:val="hybridMultilevel"/>
    <w:tmpl w:val="49FCB0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AD3B7C"/>
    <w:multiLevelType w:val="hybridMultilevel"/>
    <w:tmpl w:val="A18E6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93E63"/>
    <w:multiLevelType w:val="hybridMultilevel"/>
    <w:tmpl w:val="4DFC3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D0054"/>
    <w:multiLevelType w:val="hybridMultilevel"/>
    <w:tmpl w:val="5AA29596"/>
    <w:lvl w:ilvl="0" w:tplc="2766B636">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5DC3126"/>
    <w:multiLevelType w:val="hybridMultilevel"/>
    <w:tmpl w:val="9AD2D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C4F76"/>
    <w:multiLevelType w:val="hybridMultilevel"/>
    <w:tmpl w:val="6C2AF9F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A042830"/>
    <w:multiLevelType w:val="hybridMultilevel"/>
    <w:tmpl w:val="0004D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EF4191"/>
    <w:multiLevelType w:val="hybridMultilevel"/>
    <w:tmpl w:val="31B0B18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317390A"/>
    <w:multiLevelType w:val="hybridMultilevel"/>
    <w:tmpl w:val="C234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9B49D6"/>
    <w:multiLevelType w:val="hybridMultilevel"/>
    <w:tmpl w:val="AD22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1A6F4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AE0497"/>
    <w:multiLevelType w:val="hybridMultilevel"/>
    <w:tmpl w:val="A144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032CAE"/>
    <w:multiLevelType w:val="hybridMultilevel"/>
    <w:tmpl w:val="9992007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6B008DF"/>
    <w:multiLevelType w:val="hybridMultilevel"/>
    <w:tmpl w:val="16EEE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B27674"/>
    <w:multiLevelType w:val="hybridMultilevel"/>
    <w:tmpl w:val="DBD29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537396"/>
    <w:multiLevelType w:val="hybridMultilevel"/>
    <w:tmpl w:val="68FE4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124861"/>
    <w:multiLevelType w:val="hybridMultilevel"/>
    <w:tmpl w:val="499C3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A071CF"/>
    <w:multiLevelType w:val="hybridMultilevel"/>
    <w:tmpl w:val="A4D2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9F171B"/>
    <w:multiLevelType w:val="hybridMultilevel"/>
    <w:tmpl w:val="4552A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D055DC"/>
    <w:multiLevelType w:val="hybridMultilevel"/>
    <w:tmpl w:val="D16CB7E2"/>
    <w:lvl w:ilvl="0" w:tplc="0C090001">
      <w:start w:val="1"/>
      <w:numFmt w:val="bullet"/>
      <w:lvlText w:val=""/>
      <w:lvlJc w:val="left"/>
      <w:pPr>
        <w:tabs>
          <w:tab w:val="num" w:pos="720"/>
        </w:tabs>
        <w:ind w:left="720" w:hanging="360"/>
      </w:pPr>
      <w:rPr>
        <w:rFonts w:ascii="Symbol" w:hAnsi="Symbol" w:hint="default"/>
        <w:sz w:val="24"/>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5EB3463C"/>
    <w:multiLevelType w:val="hybridMultilevel"/>
    <w:tmpl w:val="CB18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9010A1"/>
    <w:multiLevelType w:val="hybridMultilevel"/>
    <w:tmpl w:val="381CE5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6F47B48"/>
    <w:multiLevelType w:val="multilevel"/>
    <w:tmpl w:val="74BE263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5" w15:restartNumberingAfterBreak="0">
    <w:nsid w:val="68415213"/>
    <w:multiLevelType w:val="hybridMultilevel"/>
    <w:tmpl w:val="B0D80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A47CA1"/>
    <w:multiLevelType w:val="hybridMultilevel"/>
    <w:tmpl w:val="02C6BF52"/>
    <w:lvl w:ilvl="0" w:tplc="0C090001">
      <w:start w:val="1"/>
      <w:numFmt w:val="bullet"/>
      <w:lvlText w:val=""/>
      <w:lvlJc w:val="left"/>
      <w:pPr>
        <w:tabs>
          <w:tab w:val="num" w:pos="720"/>
        </w:tabs>
        <w:ind w:left="720" w:hanging="360"/>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761A16D9"/>
    <w:multiLevelType w:val="hybridMultilevel"/>
    <w:tmpl w:val="8598C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F76CF0"/>
    <w:multiLevelType w:val="hybridMultilevel"/>
    <w:tmpl w:val="06AEB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D95E20"/>
    <w:multiLevelType w:val="hybridMultilevel"/>
    <w:tmpl w:val="780619A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CB9147A"/>
    <w:multiLevelType w:val="hybridMultilevel"/>
    <w:tmpl w:val="9BA21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FF1C88"/>
    <w:multiLevelType w:val="hybridMultilevel"/>
    <w:tmpl w:val="646E41F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6"/>
  </w:num>
  <w:num w:numId="7">
    <w:abstractNumId w:val="22"/>
  </w:num>
  <w:num w:numId="8">
    <w:abstractNumId w:val="1"/>
  </w:num>
  <w:num w:numId="9">
    <w:abstractNumId w:val="11"/>
  </w:num>
  <w:num w:numId="10">
    <w:abstractNumId w:val="0"/>
  </w:num>
  <w:num w:numId="11">
    <w:abstractNumId w:val="21"/>
  </w:num>
  <w:num w:numId="12">
    <w:abstractNumId w:val="27"/>
  </w:num>
  <w:num w:numId="13">
    <w:abstractNumId w:val="19"/>
  </w:num>
  <w:num w:numId="14">
    <w:abstractNumId w:val="18"/>
  </w:num>
  <w:num w:numId="15">
    <w:abstractNumId w:val="28"/>
  </w:num>
  <w:num w:numId="16">
    <w:abstractNumId w:val="30"/>
  </w:num>
  <w:num w:numId="17">
    <w:abstractNumId w:val="13"/>
  </w:num>
  <w:num w:numId="18">
    <w:abstractNumId w:val="17"/>
  </w:num>
  <w:num w:numId="19">
    <w:abstractNumId w:val="25"/>
  </w:num>
  <w:num w:numId="20">
    <w:abstractNumId w:val="8"/>
  </w:num>
  <w:num w:numId="21">
    <w:abstractNumId w:val="20"/>
  </w:num>
  <w:num w:numId="22">
    <w:abstractNumId w:val="12"/>
  </w:num>
  <w:num w:numId="23">
    <w:abstractNumId w:val="24"/>
  </w:num>
  <w:num w:numId="24">
    <w:abstractNumId w:val="14"/>
  </w:num>
  <w:num w:numId="25">
    <w:abstractNumId w:val="10"/>
  </w:num>
  <w:num w:numId="26">
    <w:abstractNumId w:val="4"/>
  </w:num>
  <w:num w:numId="27">
    <w:abstractNumId w:val="9"/>
  </w:num>
  <w:num w:numId="28">
    <w:abstractNumId w:val="29"/>
  </w:num>
  <w:num w:numId="29">
    <w:abstractNumId w:val="31"/>
  </w:num>
  <w:num w:numId="30">
    <w:abstractNumId w:val="7"/>
  </w:num>
  <w:num w:numId="31">
    <w:abstractNumId w:val="15"/>
  </w:num>
  <w:num w:numId="32">
    <w:abstractNumId w:val="1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DA"/>
    <w:rsid w:val="001157B7"/>
    <w:rsid w:val="002D0148"/>
    <w:rsid w:val="00341D9F"/>
    <w:rsid w:val="0038106E"/>
    <w:rsid w:val="00424307"/>
    <w:rsid w:val="00450F8B"/>
    <w:rsid w:val="00474BBD"/>
    <w:rsid w:val="00485404"/>
    <w:rsid w:val="004965FD"/>
    <w:rsid w:val="005669FB"/>
    <w:rsid w:val="006501B0"/>
    <w:rsid w:val="007D4BF4"/>
    <w:rsid w:val="00831C64"/>
    <w:rsid w:val="00981E50"/>
    <w:rsid w:val="00B92BEC"/>
    <w:rsid w:val="00BB271F"/>
    <w:rsid w:val="00BF7D75"/>
    <w:rsid w:val="00C262DA"/>
    <w:rsid w:val="00C71AE9"/>
    <w:rsid w:val="00D363A7"/>
    <w:rsid w:val="00D85085"/>
    <w:rsid w:val="00DA2B5E"/>
    <w:rsid w:val="00DC0BD8"/>
    <w:rsid w:val="00F21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6D054"/>
  <w15:chartTrackingRefBased/>
  <w15:docId w15:val="{DEF40CE7-E26A-430B-B92F-AD1EE686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E9"/>
    <w:rPr>
      <w:rFonts w:ascii="Arial" w:hAnsi="Arial" w:cs="Arial"/>
      <w:sz w:val="20"/>
      <w:szCs w:val="20"/>
    </w:rPr>
  </w:style>
  <w:style w:type="paragraph" w:styleId="Heading1">
    <w:name w:val="heading 1"/>
    <w:basedOn w:val="Normal"/>
    <w:next w:val="Normal"/>
    <w:link w:val="Heading1Char"/>
    <w:uiPriority w:val="9"/>
    <w:qFormat/>
    <w:rsid w:val="00C71AE9"/>
    <w:pPr>
      <w:outlineLvl w:val="0"/>
    </w:pPr>
    <w:rPr>
      <w:color w:val="F6A20E"/>
      <w:sz w:val="56"/>
      <w:szCs w:val="56"/>
    </w:rPr>
  </w:style>
  <w:style w:type="paragraph" w:styleId="Heading2">
    <w:name w:val="heading 2"/>
    <w:basedOn w:val="Normal"/>
    <w:next w:val="Normal"/>
    <w:link w:val="Heading2Char"/>
    <w:uiPriority w:val="9"/>
    <w:unhideWhenUsed/>
    <w:qFormat/>
    <w:rsid w:val="00C71AE9"/>
    <w:pPr>
      <w:outlineLvl w:val="1"/>
    </w:pPr>
    <w:rPr>
      <w:color w:val="000000" w:themeColor="text1"/>
      <w:sz w:val="42"/>
      <w:szCs w:val="42"/>
    </w:rPr>
  </w:style>
  <w:style w:type="paragraph" w:styleId="Heading3">
    <w:name w:val="heading 3"/>
    <w:basedOn w:val="Normal"/>
    <w:next w:val="Normal"/>
    <w:link w:val="Heading3Char"/>
    <w:uiPriority w:val="9"/>
    <w:unhideWhenUsed/>
    <w:qFormat/>
    <w:rsid w:val="00C71AE9"/>
    <w:pPr>
      <w:outlineLvl w:val="2"/>
    </w:pPr>
    <w:rPr>
      <w:color w:val="F6A20E"/>
      <w:sz w:val="40"/>
      <w:szCs w:val="40"/>
    </w:rPr>
  </w:style>
  <w:style w:type="paragraph" w:styleId="Heading4">
    <w:name w:val="heading 4"/>
    <w:basedOn w:val="Normal"/>
    <w:next w:val="Normal"/>
    <w:link w:val="Heading4Char"/>
    <w:uiPriority w:val="9"/>
    <w:unhideWhenUsed/>
    <w:qFormat/>
    <w:rsid w:val="00C71AE9"/>
    <w:pPr>
      <w:outlineLvl w:val="3"/>
    </w:pPr>
    <w:rPr>
      <w:color w:val="000000" w:themeColor="text1"/>
      <w:sz w:val="36"/>
      <w:szCs w:val="36"/>
    </w:rPr>
  </w:style>
  <w:style w:type="paragraph" w:styleId="Heading5">
    <w:name w:val="heading 5"/>
    <w:basedOn w:val="Normal"/>
    <w:next w:val="Normal"/>
    <w:link w:val="Heading5Char"/>
    <w:uiPriority w:val="9"/>
    <w:unhideWhenUsed/>
    <w:qFormat/>
    <w:rsid w:val="00C71AE9"/>
    <w:pPr>
      <w:outlineLvl w:val="4"/>
    </w:pPr>
    <w:rPr>
      <w:color w:val="65697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62DA"/>
    <w:pPr>
      <w:tabs>
        <w:tab w:val="center" w:pos="4513"/>
        <w:tab w:val="right" w:pos="9026"/>
      </w:tabs>
      <w:spacing w:after="0" w:line="240" w:lineRule="auto"/>
    </w:pPr>
  </w:style>
  <w:style w:type="character" w:customStyle="1" w:styleId="HeaderChar">
    <w:name w:val="Header Char"/>
    <w:basedOn w:val="DefaultParagraphFont"/>
    <w:link w:val="Header"/>
    <w:rsid w:val="00C262DA"/>
  </w:style>
  <w:style w:type="paragraph" w:styleId="Footer">
    <w:name w:val="footer"/>
    <w:basedOn w:val="Normal"/>
    <w:link w:val="FooterChar"/>
    <w:uiPriority w:val="99"/>
    <w:unhideWhenUsed/>
    <w:rsid w:val="00C26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2DA"/>
  </w:style>
  <w:style w:type="character" w:customStyle="1" w:styleId="Heading1Char">
    <w:name w:val="Heading 1 Char"/>
    <w:basedOn w:val="DefaultParagraphFont"/>
    <w:link w:val="Heading1"/>
    <w:uiPriority w:val="9"/>
    <w:rsid w:val="00C71AE9"/>
    <w:rPr>
      <w:rFonts w:ascii="Arial" w:hAnsi="Arial" w:cs="Arial"/>
      <w:color w:val="F6A20E"/>
      <w:sz w:val="56"/>
      <w:szCs w:val="56"/>
    </w:rPr>
  </w:style>
  <w:style w:type="character" w:customStyle="1" w:styleId="Heading2Char">
    <w:name w:val="Heading 2 Char"/>
    <w:basedOn w:val="DefaultParagraphFont"/>
    <w:link w:val="Heading2"/>
    <w:uiPriority w:val="9"/>
    <w:rsid w:val="00C71AE9"/>
    <w:rPr>
      <w:rFonts w:ascii="Arial" w:hAnsi="Arial" w:cs="Arial"/>
      <w:color w:val="000000" w:themeColor="text1"/>
      <w:sz w:val="42"/>
      <w:szCs w:val="42"/>
    </w:rPr>
  </w:style>
  <w:style w:type="character" w:customStyle="1" w:styleId="Heading3Char">
    <w:name w:val="Heading 3 Char"/>
    <w:basedOn w:val="DefaultParagraphFont"/>
    <w:link w:val="Heading3"/>
    <w:uiPriority w:val="9"/>
    <w:rsid w:val="00C71AE9"/>
    <w:rPr>
      <w:rFonts w:ascii="Arial" w:hAnsi="Arial" w:cs="Arial"/>
      <w:color w:val="F6A20E"/>
      <w:sz w:val="40"/>
      <w:szCs w:val="40"/>
    </w:rPr>
  </w:style>
  <w:style w:type="character" w:customStyle="1" w:styleId="Heading4Char">
    <w:name w:val="Heading 4 Char"/>
    <w:basedOn w:val="DefaultParagraphFont"/>
    <w:link w:val="Heading4"/>
    <w:uiPriority w:val="9"/>
    <w:rsid w:val="00C71AE9"/>
    <w:rPr>
      <w:rFonts w:ascii="Arial" w:hAnsi="Arial" w:cs="Arial"/>
      <w:color w:val="000000" w:themeColor="text1"/>
      <w:sz w:val="36"/>
      <w:szCs w:val="36"/>
    </w:rPr>
  </w:style>
  <w:style w:type="character" w:customStyle="1" w:styleId="Heading5Char">
    <w:name w:val="Heading 5 Char"/>
    <w:basedOn w:val="DefaultParagraphFont"/>
    <w:link w:val="Heading5"/>
    <w:uiPriority w:val="9"/>
    <w:rsid w:val="00C71AE9"/>
    <w:rPr>
      <w:rFonts w:ascii="Arial" w:hAnsi="Arial" w:cs="Arial"/>
      <w:color w:val="656976"/>
      <w:sz w:val="28"/>
      <w:szCs w:val="28"/>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C262DA"/>
    <w:pPr>
      <w:numPr>
        <w:numId w:val="1"/>
      </w:numPr>
      <w:ind w:left="709" w:hanging="283"/>
      <w:contextualSpacing/>
    </w:pPr>
  </w:style>
  <w:style w:type="table" w:styleId="TableGrid">
    <w:name w:val="Table Grid"/>
    <w:basedOn w:val="TableNormal"/>
    <w:rsid w:val="00474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474BBD"/>
    <w:rPr>
      <w:rFonts w:ascii="Arial" w:hAnsi="Arial" w:cs="Arial"/>
      <w:sz w:val="20"/>
      <w:szCs w:val="20"/>
    </w:rPr>
  </w:style>
  <w:style w:type="character" w:styleId="Hyperlink">
    <w:name w:val="Hyperlink"/>
    <w:basedOn w:val="DefaultParagraphFont"/>
    <w:rsid w:val="00474BBD"/>
    <w:rPr>
      <w:color w:val="0563C1" w:themeColor="hyperlink"/>
      <w:u w:val="single"/>
    </w:rPr>
  </w:style>
  <w:style w:type="paragraph" w:styleId="NoSpacing">
    <w:name w:val="No Spacing"/>
    <w:uiPriority w:val="1"/>
    <w:qFormat/>
    <w:rsid w:val="00474BBD"/>
    <w:pPr>
      <w:spacing w:after="0" w:line="240" w:lineRule="auto"/>
    </w:pPr>
    <w:rPr>
      <w:rFonts w:ascii="Arial" w:eastAsia="Times New Roman" w:hAnsi="Arial" w:cs="Arial"/>
      <w:sz w:val="18"/>
      <w:szCs w:val="18"/>
      <w:lang w:eastAsia="en-AU"/>
    </w:rPr>
  </w:style>
  <w:style w:type="paragraph" w:styleId="FootnoteText">
    <w:name w:val="footnote text"/>
    <w:basedOn w:val="Normal"/>
    <w:link w:val="FootnoteTextChar"/>
    <w:semiHidden/>
    <w:unhideWhenUsed/>
    <w:rsid w:val="00474BBD"/>
    <w:pPr>
      <w:spacing w:after="0" w:line="240" w:lineRule="auto"/>
    </w:pPr>
    <w:rPr>
      <w:rFonts w:ascii="Times New Roman" w:eastAsia="Times New Roman" w:hAnsi="Times New Roman" w:cs="Times New Roman"/>
    </w:rPr>
  </w:style>
  <w:style w:type="character" w:customStyle="1" w:styleId="FootnoteTextChar">
    <w:name w:val="Footnote Text Char"/>
    <w:basedOn w:val="DefaultParagraphFont"/>
    <w:link w:val="FootnoteText"/>
    <w:semiHidden/>
    <w:rsid w:val="00474BB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474BBD"/>
    <w:rPr>
      <w:vertAlign w:val="superscript"/>
    </w:rPr>
  </w:style>
  <w:style w:type="character" w:styleId="PlaceholderText">
    <w:name w:val="Placeholder Text"/>
    <w:basedOn w:val="DefaultParagraphFont"/>
    <w:uiPriority w:val="99"/>
    <w:semiHidden/>
    <w:rsid w:val="00D363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af.engagementhub.com.au/csiro-fire-ant-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335BE-AAD1-46A8-B152-72443D34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3570</Words>
  <Characters>20353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National Red Imported Fire Ant Eradication Program (SEQ) Steering Committee: Risk Management Sub-Committee (Sub-Committee) Minutes 16 March 2021</vt:lpstr>
    </vt:vector>
  </TitlesOfParts>
  <Company/>
  <LinksUpToDate>false</LinksUpToDate>
  <CharactersWithSpaces>23876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(SEQ) Steering Committee: Risk Management Sub-Committee (Sub-Committee) Minutes 16 March 2021</dc:title>
  <dc:subject/>
  <dc:creator>National Red Imported Fire Ant Eradication Program</dc:creator>
  <cp:keywords/>
  <dc:description/>
  <cp:lastModifiedBy>Dang, Van</cp:lastModifiedBy>
  <cp:revision>5</cp:revision>
  <dcterms:created xsi:type="dcterms:W3CDTF">2021-08-31T01:32:00Z</dcterms:created>
  <dcterms:modified xsi:type="dcterms:W3CDTF">2021-08-31T02:12:00Z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