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3AB6CA" w14:textId="77777777" w:rsidR="009F6FF1" w:rsidRPr="009F6FF1" w:rsidRDefault="009F6FF1" w:rsidP="009F6FF1">
      <w:pPr>
        <w:pStyle w:val="Heading1"/>
      </w:pPr>
      <w:r w:rsidRPr="009F6FF1">
        <w:t>May 2019—Steering Committee meeting</w:t>
      </w:r>
    </w:p>
    <w:p w14:paraId="6F8327A4" w14:textId="77777777" w:rsidR="009F6FF1" w:rsidRPr="009F6FF1" w:rsidRDefault="009F6FF1" w:rsidP="009F6FF1">
      <w:r w:rsidRPr="009F6FF1">
        <w:rPr>
          <w:i/>
          <w:iCs/>
        </w:rPr>
        <w:t xml:space="preserve">On Wednesday 22 May 2019, the Steering Committee </w:t>
      </w:r>
      <w:r w:rsidRPr="009F6FF1">
        <w:t xml:space="preserve">for the National Red Imported Fire Ant Eradication Program – South East Queensland (the Program) visited the Berrinba site to meet with Program staff and </w:t>
      </w:r>
      <w:proofErr w:type="gramStart"/>
      <w:r w:rsidRPr="009F6FF1">
        <w:t>volunteers, and</w:t>
      </w:r>
      <w:proofErr w:type="gramEnd"/>
      <w:r w:rsidRPr="009F6FF1">
        <w:t xml:space="preserve"> view the operational aspects of the Program.  During National Volunteers Week, the Steering Committee presented Program volunteers with awards for their service, which totalled over 900 volunteer hours in the last year.  They bring a wealth of skills and </w:t>
      </w:r>
      <w:proofErr w:type="gramStart"/>
      <w:r w:rsidRPr="009F6FF1">
        <w:t>experience, and</w:t>
      </w:r>
      <w:proofErr w:type="gramEnd"/>
      <w:r w:rsidRPr="009F6FF1">
        <w:t xml:space="preserve"> support the Program’s objectives and ultimate goal of eradication.  This was followed by a very informative field trip to Azalea Grove Nursery at Redland Bay.</w:t>
      </w:r>
    </w:p>
    <w:p w14:paraId="1594AAA1" w14:textId="77777777" w:rsidR="009F6FF1" w:rsidRPr="009F6FF1" w:rsidRDefault="009F6FF1" w:rsidP="009F6FF1">
      <w:r w:rsidRPr="009F6FF1">
        <w:t>The Steering Committee met for the quarterly meeting on Thursday, 23 May 2019.</w:t>
      </w:r>
    </w:p>
    <w:p w14:paraId="03629345" w14:textId="77777777" w:rsidR="009F6FF1" w:rsidRPr="009F6FF1" w:rsidRDefault="009F6FF1" w:rsidP="009F6FF1">
      <w:r w:rsidRPr="009F6FF1">
        <w:t>The attendees at the Steering Committee meeting were:</w:t>
      </w:r>
    </w:p>
    <w:tbl>
      <w:tblPr>
        <w:tblW w:w="5000" w:type="pct"/>
        <w:tblCellMar>
          <w:top w:w="15" w:type="dxa"/>
          <w:left w:w="15" w:type="dxa"/>
          <w:bottom w:w="15" w:type="dxa"/>
          <w:right w:w="15" w:type="dxa"/>
        </w:tblCellMar>
        <w:tblLook w:val="04A0" w:firstRow="1" w:lastRow="0" w:firstColumn="1" w:lastColumn="0" w:noHBand="0" w:noVBand="1"/>
      </w:tblPr>
      <w:tblGrid>
        <w:gridCol w:w="4513"/>
        <w:gridCol w:w="4513"/>
      </w:tblGrid>
      <w:tr w:rsidR="009F6FF1" w:rsidRPr="009F6FF1" w14:paraId="241CDA34" w14:textId="77777777" w:rsidTr="00366E98">
        <w:trPr>
          <w:tblHeader/>
        </w:trPr>
        <w:tc>
          <w:tcPr>
            <w:tcW w:w="2500" w:type="pct"/>
            <w:tcBorders>
              <w:bottom w:val="single" w:sz="18" w:space="0" w:color="0D5901"/>
            </w:tcBorders>
            <w:tcMar>
              <w:top w:w="240" w:type="dxa"/>
              <w:left w:w="240" w:type="dxa"/>
              <w:bottom w:w="240" w:type="dxa"/>
              <w:right w:w="240" w:type="dxa"/>
            </w:tcMar>
            <w:hideMark/>
          </w:tcPr>
          <w:p w14:paraId="77B87B0E" w14:textId="77777777" w:rsidR="009F6FF1" w:rsidRPr="009F6FF1" w:rsidRDefault="009F6FF1" w:rsidP="009F6FF1">
            <w:pPr>
              <w:rPr>
                <w:b/>
                <w:bCs/>
              </w:rPr>
            </w:pPr>
            <w:r w:rsidRPr="009F6FF1">
              <w:rPr>
                <w:b/>
                <w:bCs/>
              </w:rPr>
              <w:t>Name</w:t>
            </w:r>
          </w:p>
        </w:tc>
        <w:tc>
          <w:tcPr>
            <w:tcW w:w="0" w:type="auto"/>
            <w:tcBorders>
              <w:bottom w:val="single" w:sz="18" w:space="0" w:color="0D5901"/>
            </w:tcBorders>
            <w:tcMar>
              <w:top w:w="240" w:type="dxa"/>
              <w:left w:w="240" w:type="dxa"/>
              <w:bottom w:w="240" w:type="dxa"/>
              <w:right w:w="240" w:type="dxa"/>
            </w:tcMar>
            <w:hideMark/>
          </w:tcPr>
          <w:p w14:paraId="7B55C2BE" w14:textId="77777777" w:rsidR="009F6FF1" w:rsidRPr="009F6FF1" w:rsidRDefault="009F6FF1" w:rsidP="009F6FF1">
            <w:pPr>
              <w:rPr>
                <w:b/>
                <w:bCs/>
              </w:rPr>
            </w:pPr>
            <w:r w:rsidRPr="009F6FF1">
              <w:rPr>
                <w:b/>
                <w:bCs/>
              </w:rPr>
              <w:t>Position/Area</w:t>
            </w:r>
          </w:p>
        </w:tc>
      </w:tr>
      <w:tr w:rsidR="009F6FF1" w:rsidRPr="009F6FF1" w14:paraId="7A4711E6" w14:textId="77777777" w:rsidTr="00366E98">
        <w:tc>
          <w:tcPr>
            <w:tcW w:w="0" w:type="auto"/>
            <w:tcBorders>
              <w:bottom w:val="single" w:sz="6" w:space="0" w:color="DDDDDD"/>
            </w:tcBorders>
            <w:tcMar>
              <w:top w:w="240" w:type="dxa"/>
              <w:left w:w="240" w:type="dxa"/>
              <w:bottom w:w="240" w:type="dxa"/>
              <w:right w:w="240" w:type="dxa"/>
            </w:tcMar>
            <w:hideMark/>
          </w:tcPr>
          <w:p w14:paraId="01EBB504" w14:textId="77777777" w:rsidR="009F6FF1" w:rsidRPr="009F6FF1" w:rsidRDefault="009F6FF1" w:rsidP="009F6FF1">
            <w:r w:rsidRPr="009F6FF1">
              <w:t xml:space="preserve">Wendy Craik </w:t>
            </w:r>
          </w:p>
        </w:tc>
        <w:tc>
          <w:tcPr>
            <w:tcW w:w="0" w:type="auto"/>
            <w:tcBorders>
              <w:bottom w:val="single" w:sz="6" w:space="0" w:color="DDDDDD"/>
            </w:tcBorders>
            <w:tcMar>
              <w:top w:w="240" w:type="dxa"/>
              <w:left w:w="240" w:type="dxa"/>
              <w:bottom w:w="240" w:type="dxa"/>
              <w:right w:w="240" w:type="dxa"/>
            </w:tcMar>
            <w:hideMark/>
          </w:tcPr>
          <w:p w14:paraId="4A8C0FCD" w14:textId="77777777" w:rsidR="009F6FF1" w:rsidRPr="009F6FF1" w:rsidRDefault="009F6FF1" w:rsidP="009F6FF1">
            <w:r w:rsidRPr="009F6FF1">
              <w:t xml:space="preserve">Independent Chair </w:t>
            </w:r>
          </w:p>
        </w:tc>
      </w:tr>
      <w:tr w:rsidR="009F6FF1" w:rsidRPr="009F6FF1" w14:paraId="3F2F5488" w14:textId="77777777" w:rsidTr="00366E98">
        <w:tc>
          <w:tcPr>
            <w:tcW w:w="0" w:type="auto"/>
            <w:tcBorders>
              <w:bottom w:val="single" w:sz="6" w:space="0" w:color="DDDDDD"/>
            </w:tcBorders>
            <w:tcMar>
              <w:top w:w="240" w:type="dxa"/>
              <w:left w:w="240" w:type="dxa"/>
              <w:bottom w:w="240" w:type="dxa"/>
              <w:right w:w="240" w:type="dxa"/>
            </w:tcMar>
            <w:hideMark/>
          </w:tcPr>
          <w:p w14:paraId="1386A103" w14:textId="77777777" w:rsidR="009F6FF1" w:rsidRPr="009F6FF1" w:rsidRDefault="009F6FF1" w:rsidP="009F6FF1">
            <w:r w:rsidRPr="009F6FF1">
              <w:t xml:space="preserve">Josephine </w:t>
            </w:r>
            <w:proofErr w:type="spellStart"/>
            <w:r w:rsidRPr="009F6FF1">
              <w:t>Laduzko</w:t>
            </w:r>
            <w:proofErr w:type="spellEnd"/>
            <w:r w:rsidRPr="009F6FF1">
              <w:t xml:space="preserve"> </w:t>
            </w:r>
          </w:p>
        </w:tc>
        <w:tc>
          <w:tcPr>
            <w:tcW w:w="0" w:type="auto"/>
            <w:tcBorders>
              <w:bottom w:val="single" w:sz="6" w:space="0" w:color="DDDDDD"/>
            </w:tcBorders>
            <w:tcMar>
              <w:top w:w="240" w:type="dxa"/>
              <w:left w:w="240" w:type="dxa"/>
              <w:bottom w:w="240" w:type="dxa"/>
              <w:right w:w="240" w:type="dxa"/>
            </w:tcMar>
            <w:hideMark/>
          </w:tcPr>
          <w:p w14:paraId="2EDBBEB1" w14:textId="77777777" w:rsidR="009F6FF1" w:rsidRPr="009F6FF1" w:rsidRDefault="009F6FF1" w:rsidP="009F6FF1">
            <w:r w:rsidRPr="009F6FF1">
              <w:t xml:space="preserve">Australian Government </w:t>
            </w:r>
          </w:p>
        </w:tc>
      </w:tr>
      <w:tr w:rsidR="009F6FF1" w:rsidRPr="009F6FF1" w14:paraId="7284BAA7" w14:textId="77777777" w:rsidTr="00366E98">
        <w:tc>
          <w:tcPr>
            <w:tcW w:w="0" w:type="auto"/>
            <w:tcBorders>
              <w:bottom w:val="single" w:sz="6" w:space="0" w:color="DDDDDD"/>
            </w:tcBorders>
            <w:tcMar>
              <w:top w:w="240" w:type="dxa"/>
              <w:left w:w="240" w:type="dxa"/>
              <w:bottom w:w="240" w:type="dxa"/>
              <w:right w:w="240" w:type="dxa"/>
            </w:tcMar>
            <w:hideMark/>
          </w:tcPr>
          <w:p w14:paraId="15CAC325" w14:textId="77777777" w:rsidR="009F6FF1" w:rsidRPr="009F6FF1" w:rsidRDefault="009F6FF1" w:rsidP="009F6FF1">
            <w:r w:rsidRPr="009F6FF1">
              <w:t xml:space="preserve">John Robertson </w:t>
            </w:r>
          </w:p>
        </w:tc>
        <w:tc>
          <w:tcPr>
            <w:tcW w:w="0" w:type="auto"/>
            <w:tcBorders>
              <w:bottom w:val="single" w:sz="6" w:space="0" w:color="DDDDDD"/>
            </w:tcBorders>
            <w:tcMar>
              <w:top w:w="240" w:type="dxa"/>
              <w:left w:w="240" w:type="dxa"/>
              <w:bottom w:w="240" w:type="dxa"/>
              <w:right w:w="240" w:type="dxa"/>
            </w:tcMar>
            <w:hideMark/>
          </w:tcPr>
          <w:p w14:paraId="1EAD1ED6" w14:textId="77777777" w:rsidR="009F6FF1" w:rsidRPr="009F6FF1" w:rsidRDefault="009F6FF1" w:rsidP="009F6FF1">
            <w:r w:rsidRPr="009F6FF1">
              <w:t xml:space="preserve">Queensland </w:t>
            </w:r>
          </w:p>
        </w:tc>
      </w:tr>
      <w:tr w:rsidR="009F6FF1" w:rsidRPr="009F6FF1" w14:paraId="1F18DD77" w14:textId="77777777" w:rsidTr="00366E98">
        <w:tc>
          <w:tcPr>
            <w:tcW w:w="0" w:type="auto"/>
            <w:tcBorders>
              <w:bottom w:val="single" w:sz="6" w:space="0" w:color="DDDDDD"/>
            </w:tcBorders>
            <w:tcMar>
              <w:top w:w="240" w:type="dxa"/>
              <w:left w:w="240" w:type="dxa"/>
              <w:bottom w:w="240" w:type="dxa"/>
              <w:right w:w="240" w:type="dxa"/>
            </w:tcMar>
            <w:hideMark/>
          </w:tcPr>
          <w:p w14:paraId="68F97A5F" w14:textId="77777777" w:rsidR="009F6FF1" w:rsidRPr="009F6FF1" w:rsidRDefault="009F6FF1" w:rsidP="009F6FF1">
            <w:r w:rsidRPr="009F6FF1">
              <w:t xml:space="preserve">Scott Charlton </w:t>
            </w:r>
          </w:p>
        </w:tc>
        <w:tc>
          <w:tcPr>
            <w:tcW w:w="0" w:type="auto"/>
            <w:tcBorders>
              <w:bottom w:val="single" w:sz="6" w:space="0" w:color="DDDDDD"/>
            </w:tcBorders>
            <w:tcMar>
              <w:top w:w="240" w:type="dxa"/>
              <w:left w:w="240" w:type="dxa"/>
              <w:bottom w:w="240" w:type="dxa"/>
              <w:right w:w="240" w:type="dxa"/>
            </w:tcMar>
            <w:hideMark/>
          </w:tcPr>
          <w:p w14:paraId="45D88952" w14:textId="77777777" w:rsidR="009F6FF1" w:rsidRPr="009F6FF1" w:rsidRDefault="009F6FF1" w:rsidP="009F6FF1">
            <w:r w:rsidRPr="009F6FF1">
              <w:t>New South Wales (on behalf of Bruce Christie)</w:t>
            </w:r>
          </w:p>
        </w:tc>
      </w:tr>
      <w:tr w:rsidR="009F6FF1" w:rsidRPr="009F6FF1" w14:paraId="44AFE088" w14:textId="77777777" w:rsidTr="00366E98">
        <w:tc>
          <w:tcPr>
            <w:tcW w:w="0" w:type="auto"/>
            <w:tcBorders>
              <w:bottom w:val="single" w:sz="6" w:space="0" w:color="DDDDDD"/>
            </w:tcBorders>
            <w:tcMar>
              <w:top w:w="240" w:type="dxa"/>
              <w:left w:w="240" w:type="dxa"/>
              <w:bottom w:w="240" w:type="dxa"/>
              <w:right w:w="240" w:type="dxa"/>
            </w:tcMar>
            <w:hideMark/>
          </w:tcPr>
          <w:p w14:paraId="17F4ED6F" w14:textId="77777777" w:rsidR="009F6FF1" w:rsidRPr="009F6FF1" w:rsidRDefault="009F6FF1" w:rsidP="009F6FF1">
            <w:r w:rsidRPr="009F6FF1">
              <w:t xml:space="preserve">Michael Rosier </w:t>
            </w:r>
          </w:p>
        </w:tc>
        <w:tc>
          <w:tcPr>
            <w:tcW w:w="0" w:type="auto"/>
            <w:tcBorders>
              <w:bottom w:val="single" w:sz="6" w:space="0" w:color="DDDDDD"/>
            </w:tcBorders>
            <w:tcMar>
              <w:top w:w="240" w:type="dxa"/>
              <w:left w:w="240" w:type="dxa"/>
              <w:bottom w:w="240" w:type="dxa"/>
              <w:right w:w="240" w:type="dxa"/>
            </w:tcMar>
            <w:hideMark/>
          </w:tcPr>
          <w:p w14:paraId="2A456E94" w14:textId="77777777" w:rsidR="009F6FF1" w:rsidRPr="009F6FF1" w:rsidRDefault="009F6FF1" w:rsidP="009F6FF1">
            <w:r w:rsidRPr="009F6FF1">
              <w:t>Victoria</w:t>
            </w:r>
          </w:p>
        </w:tc>
      </w:tr>
      <w:tr w:rsidR="009F6FF1" w:rsidRPr="009F6FF1" w14:paraId="76D5B8F3" w14:textId="77777777" w:rsidTr="00366E98">
        <w:tc>
          <w:tcPr>
            <w:tcW w:w="0" w:type="auto"/>
            <w:tcBorders>
              <w:bottom w:val="single" w:sz="6" w:space="0" w:color="DDDDDD"/>
            </w:tcBorders>
            <w:tcMar>
              <w:top w:w="240" w:type="dxa"/>
              <w:left w:w="240" w:type="dxa"/>
              <w:bottom w:w="240" w:type="dxa"/>
              <w:right w:w="240" w:type="dxa"/>
            </w:tcMar>
            <w:hideMark/>
          </w:tcPr>
          <w:p w14:paraId="2A45A729" w14:textId="77777777" w:rsidR="009F6FF1" w:rsidRPr="009F6FF1" w:rsidRDefault="009F6FF1" w:rsidP="009F6FF1">
            <w:r w:rsidRPr="009F6FF1">
              <w:lastRenderedPageBreak/>
              <w:t xml:space="preserve">John van </w:t>
            </w:r>
            <w:proofErr w:type="spellStart"/>
            <w:r w:rsidRPr="009F6FF1">
              <w:t>Schagen</w:t>
            </w:r>
            <w:proofErr w:type="spellEnd"/>
            <w:r w:rsidRPr="009F6FF1">
              <w:t xml:space="preserve"> </w:t>
            </w:r>
          </w:p>
        </w:tc>
        <w:tc>
          <w:tcPr>
            <w:tcW w:w="0" w:type="auto"/>
            <w:tcBorders>
              <w:bottom w:val="single" w:sz="6" w:space="0" w:color="DDDDDD"/>
            </w:tcBorders>
            <w:tcMar>
              <w:top w:w="240" w:type="dxa"/>
              <w:left w:w="240" w:type="dxa"/>
              <w:bottom w:w="240" w:type="dxa"/>
              <w:right w:w="240" w:type="dxa"/>
            </w:tcMar>
            <w:hideMark/>
          </w:tcPr>
          <w:p w14:paraId="4D2A9CFF" w14:textId="77777777" w:rsidR="009F6FF1" w:rsidRPr="009F6FF1" w:rsidRDefault="009F6FF1" w:rsidP="009F6FF1">
            <w:r w:rsidRPr="009F6FF1">
              <w:t>Western Australia</w:t>
            </w:r>
          </w:p>
        </w:tc>
      </w:tr>
    </w:tbl>
    <w:p w14:paraId="00254C13" w14:textId="77777777" w:rsidR="009F6FF1" w:rsidRPr="009F6FF1" w:rsidRDefault="009F6FF1" w:rsidP="009F6FF1">
      <w:r w:rsidRPr="009F6FF1">
        <w:t>The Northern Territory provided comments on the agenda items.</w:t>
      </w:r>
    </w:p>
    <w:p w14:paraId="31E429E1" w14:textId="77777777" w:rsidR="009F6FF1" w:rsidRPr="009F6FF1" w:rsidRDefault="009F6FF1" w:rsidP="009F6FF1">
      <w:r w:rsidRPr="009F6FF1">
        <w:t>During its meeting, the Steering Committee:</w:t>
      </w:r>
    </w:p>
    <w:p w14:paraId="19276054" w14:textId="77777777" w:rsidR="009F6FF1" w:rsidRPr="009F6FF1" w:rsidRDefault="009F6FF1" w:rsidP="009F6FF1">
      <w:pPr>
        <w:numPr>
          <w:ilvl w:val="0"/>
          <w:numId w:val="12"/>
        </w:numPr>
      </w:pPr>
      <w:r w:rsidRPr="009F6FF1">
        <w:t xml:space="preserve">reviewed and provided feedback on the outline of the 2019-20 Work Plan.  The new work plan will continue much of the treatment and surveillance work described in the 2018-19 plan, including the continuation of treatment of Area 1 Eradication Treatment Area, Western Boundary Treatment Area, and the Western Suppression Area and include the adjustments described in the Addendum to the </w:t>
      </w:r>
      <w:proofErr w:type="gramStart"/>
      <w:r w:rsidRPr="009F6FF1">
        <w:t>Ten Year</w:t>
      </w:r>
      <w:proofErr w:type="gramEnd"/>
      <w:r w:rsidRPr="009F6FF1">
        <w:t xml:space="preserve"> Eradication Plan 2017-18 to 2026-27</w:t>
      </w:r>
    </w:p>
    <w:p w14:paraId="16A7323C" w14:textId="77777777" w:rsidR="009F6FF1" w:rsidRPr="009F6FF1" w:rsidRDefault="009F6FF1" w:rsidP="009F6FF1">
      <w:pPr>
        <w:numPr>
          <w:ilvl w:val="0"/>
          <w:numId w:val="12"/>
        </w:numPr>
      </w:pPr>
      <w:r w:rsidRPr="009F6FF1">
        <w:t>approved the amendment to the Western Boundary Treatment Plan</w:t>
      </w:r>
    </w:p>
    <w:p w14:paraId="273EF8B9" w14:textId="77777777" w:rsidR="009F6FF1" w:rsidRPr="009F6FF1" w:rsidRDefault="009F6FF1" w:rsidP="009F6FF1">
      <w:pPr>
        <w:numPr>
          <w:ilvl w:val="0"/>
          <w:numId w:val="12"/>
        </w:numPr>
      </w:pPr>
      <w:r w:rsidRPr="009F6FF1">
        <w:t xml:space="preserve">considered and approved the Terms of Reference of an Efficiency and Effectiveness Review to be undertaken.  As outlined in the </w:t>
      </w:r>
      <w:proofErr w:type="gramStart"/>
      <w:r w:rsidRPr="009F6FF1">
        <w:t>Ten Year</w:t>
      </w:r>
      <w:proofErr w:type="gramEnd"/>
      <w:r w:rsidRPr="009F6FF1">
        <w:t xml:space="preserve"> Plan, this type of review should take place every two years</w:t>
      </w:r>
    </w:p>
    <w:p w14:paraId="35D88B47" w14:textId="77777777" w:rsidR="009F6FF1" w:rsidRPr="009F6FF1" w:rsidRDefault="009F6FF1" w:rsidP="009F6FF1">
      <w:pPr>
        <w:numPr>
          <w:ilvl w:val="0"/>
          <w:numId w:val="12"/>
        </w:numPr>
      </w:pPr>
      <w:r w:rsidRPr="009F6FF1">
        <w:t>considered the format for the August Stakeholder Forum and noted the progress of the Community Partnership and Industry Collaboration Groups</w:t>
      </w:r>
    </w:p>
    <w:p w14:paraId="4F63F3DD" w14:textId="77777777" w:rsidR="009F6FF1" w:rsidRPr="009F6FF1" w:rsidRDefault="009F6FF1" w:rsidP="009F6FF1">
      <w:pPr>
        <w:numPr>
          <w:ilvl w:val="0"/>
          <w:numId w:val="12"/>
        </w:numPr>
      </w:pPr>
      <w:r w:rsidRPr="009F6FF1">
        <w:t>discussed the possibility of the National Biosecurity Website hosting a webpage for the NRIFAEP Steering Committee.</w:t>
      </w:r>
    </w:p>
    <w:p w14:paraId="488F53A8" w14:textId="77777777" w:rsidR="009F6FF1" w:rsidRPr="009F6FF1" w:rsidRDefault="009F6FF1" w:rsidP="009F6FF1">
      <w:r w:rsidRPr="009F6FF1">
        <w:t>The Steering Committee also discussed and noted:</w:t>
      </w:r>
    </w:p>
    <w:p w14:paraId="3D891CDD" w14:textId="77777777" w:rsidR="009F6FF1" w:rsidRPr="009F6FF1" w:rsidRDefault="009F6FF1" w:rsidP="009F6FF1">
      <w:pPr>
        <w:numPr>
          <w:ilvl w:val="0"/>
          <w:numId w:val="13"/>
        </w:numPr>
      </w:pPr>
      <w:r w:rsidRPr="009F6FF1">
        <w:t>the General Manager’s update in relation to the Program, including:</w:t>
      </w:r>
    </w:p>
    <w:p w14:paraId="5025130A" w14:textId="77777777" w:rsidR="009F6FF1" w:rsidRPr="009F6FF1" w:rsidRDefault="009F6FF1" w:rsidP="009F6FF1">
      <w:pPr>
        <w:numPr>
          <w:ilvl w:val="1"/>
          <w:numId w:val="13"/>
        </w:numPr>
      </w:pPr>
      <w:r w:rsidRPr="009F6FF1">
        <w:t>the Remote Sensing surveillance Project</w:t>
      </w:r>
    </w:p>
    <w:p w14:paraId="39584EC9" w14:textId="77777777" w:rsidR="009F6FF1" w:rsidRPr="009F6FF1" w:rsidRDefault="009F6FF1" w:rsidP="009F6FF1">
      <w:pPr>
        <w:numPr>
          <w:ilvl w:val="1"/>
          <w:numId w:val="13"/>
        </w:numPr>
      </w:pPr>
      <w:r w:rsidRPr="009F6FF1">
        <w:t>the 2</w:t>
      </w:r>
      <w:r w:rsidRPr="009F6FF1">
        <w:rPr>
          <w:vertAlign w:val="superscript"/>
        </w:rPr>
        <w:t>nd</w:t>
      </w:r>
      <w:r w:rsidRPr="009F6FF1">
        <w:t xml:space="preserve"> and 3</w:t>
      </w:r>
      <w:r w:rsidRPr="009F6FF1">
        <w:rPr>
          <w:vertAlign w:val="superscript"/>
        </w:rPr>
        <w:t>rd</w:t>
      </w:r>
      <w:r w:rsidRPr="009F6FF1">
        <w:t xml:space="preserve"> Quarterly Report for 2018-19</w:t>
      </w:r>
    </w:p>
    <w:p w14:paraId="0BD33AEE" w14:textId="77777777" w:rsidR="009F6FF1" w:rsidRPr="009F6FF1" w:rsidRDefault="009F6FF1" w:rsidP="009F6FF1">
      <w:pPr>
        <w:numPr>
          <w:ilvl w:val="1"/>
          <w:numId w:val="13"/>
        </w:numPr>
      </w:pPr>
      <w:r w:rsidRPr="009F6FF1">
        <w:t xml:space="preserve">the RIFA detection at </w:t>
      </w:r>
      <w:proofErr w:type="spellStart"/>
      <w:r w:rsidRPr="009F6FF1">
        <w:t>Bromelton</w:t>
      </w:r>
      <w:proofErr w:type="spellEnd"/>
    </w:p>
    <w:p w14:paraId="418881FF" w14:textId="77777777" w:rsidR="009F6FF1" w:rsidRPr="009F6FF1" w:rsidRDefault="009F6FF1" w:rsidP="009F6FF1">
      <w:pPr>
        <w:numPr>
          <w:ilvl w:val="1"/>
          <w:numId w:val="13"/>
        </w:numPr>
      </w:pPr>
      <w:r w:rsidRPr="009F6FF1">
        <w:t>treatment protocols for turf producers</w:t>
      </w:r>
    </w:p>
    <w:p w14:paraId="2CEFDCB1" w14:textId="77777777" w:rsidR="009F6FF1" w:rsidRPr="009F6FF1" w:rsidRDefault="009F6FF1" w:rsidP="009F6FF1">
      <w:pPr>
        <w:numPr>
          <w:ilvl w:val="1"/>
          <w:numId w:val="13"/>
        </w:numPr>
      </w:pPr>
      <w:r w:rsidRPr="009F6FF1">
        <w:t>Self-management pilots – Queensland Urban Utilities/Developers</w:t>
      </w:r>
    </w:p>
    <w:p w14:paraId="08F24FF7" w14:textId="77777777" w:rsidR="009F6FF1" w:rsidRPr="009F6FF1" w:rsidRDefault="009F6FF1" w:rsidP="009F6FF1">
      <w:pPr>
        <w:numPr>
          <w:ilvl w:val="0"/>
          <w:numId w:val="13"/>
        </w:numPr>
      </w:pPr>
      <w:r w:rsidRPr="009F6FF1">
        <w:t xml:space="preserve">the program’s financial report presenting the financial performance of the Program as </w:t>
      </w:r>
      <w:proofErr w:type="gramStart"/>
      <w:r w:rsidRPr="009F6FF1">
        <w:t>at</w:t>
      </w:r>
      <w:proofErr w:type="gramEnd"/>
      <w:r w:rsidRPr="009F6FF1">
        <w:t xml:space="preserve"> 31 March 2019</w:t>
      </w:r>
    </w:p>
    <w:p w14:paraId="52F26C27" w14:textId="77777777" w:rsidR="009F6FF1" w:rsidRPr="009F6FF1" w:rsidRDefault="009F6FF1" w:rsidP="009F6FF1">
      <w:pPr>
        <w:numPr>
          <w:ilvl w:val="0"/>
          <w:numId w:val="13"/>
        </w:numPr>
      </w:pPr>
      <w:r w:rsidRPr="009F6FF1">
        <w:t>the update on the performance review of the Program’s major contracts:</w:t>
      </w:r>
    </w:p>
    <w:p w14:paraId="392C0190" w14:textId="77777777" w:rsidR="009F6FF1" w:rsidRPr="009F6FF1" w:rsidRDefault="009F6FF1" w:rsidP="009F6FF1">
      <w:pPr>
        <w:numPr>
          <w:ilvl w:val="1"/>
          <w:numId w:val="13"/>
        </w:numPr>
      </w:pPr>
      <w:r w:rsidRPr="009F6FF1">
        <w:lastRenderedPageBreak/>
        <w:t>labour hire</w:t>
      </w:r>
    </w:p>
    <w:p w14:paraId="6844D2A4" w14:textId="77777777" w:rsidR="009F6FF1" w:rsidRPr="009F6FF1" w:rsidRDefault="009F6FF1" w:rsidP="009F6FF1">
      <w:pPr>
        <w:numPr>
          <w:ilvl w:val="1"/>
          <w:numId w:val="13"/>
        </w:numPr>
      </w:pPr>
      <w:r w:rsidRPr="009F6FF1">
        <w:t>manufacture and supply of bait</w:t>
      </w:r>
    </w:p>
    <w:p w14:paraId="3351DBE9" w14:textId="77777777" w:rsidR="009F6FF1" w:rsidRPr="009F6FF1" w:rsidRDefault="009F6FF1" w:rsidP="009F6FF1">
      <w:pPr>
        <w:numPr>
          <w:ilvl w:val="1"/>
          <w:numId w:val="13"/>
        </w:numPr>
      </w:pPr>
      <w:r w:rsidRPr="009F6FF1">
        <w:t>aircraft charter</w:t>
      </w:r>
    </w:p>
    <w:p w14:paraId="666E368F" w14:textId="77777777" w:rsidR="009F6FF1" w:rsidRPr="009F6FF1" w:rsidRDefault="009F6FF1" w:rsidP="009F6FF1">
      <w:pPr>
        <w:numPr>
          <w:ilvl w:val="0"/>
          <w:numId w:val="13"/>
        </w:numPr>
      </w:pPr>
      <w:r w:rsidRPr="009F6FF1">
        <w:t>the two Internal Audit Reports and the summary of actions:</w:t>
      </w:r>
    </w:p>
    <w:p w14:paraId="2D2FFFA4" w14:textId="77777777" w:rsidR="009F6FF1" w:rsidRPr="009F6FF1" w:rsidRDefault="009F6FF1" w:rsidP="009F6FF1">
      <w:pPr>
        <w:numPr>
          <w:ilvl w:val="1"/>
          <w:numId w:val="13"/>
        </w:numPr>
      </w:pPr>
      <w:r w:rsidRPr="009F6FF1">
        <w:t>National RIFA Eradication Program Review – Governance and Operational Planning</w:t>
      </w:r>
    </w:p>
    <w:p w14:paraId="256EFB70" w14:textId="77777777" w:rsidR="009F6FF1" w:rsidRPr="009F6FF1" w:rsidRDefault="009F6FF1" w:rsidP="009F6FF1">
      <w:pPr>
        <w:numPr>
          <w:ilvl w:val="1"/>
          <w:numId w:val="13"/>
        </w:numPr>
      </w:pPr>
      <w:r w:rsidRPr="009F6FF1">
        <w:t>NRIFAEP Procurement Review</w:t>
      </w:r>
    </w:p>
    <w:p w14:paraId="2DB0CEC1" w14:textId="77777777" w:rsidR="009F6FF1" w:rsidRPr="009F6FF1" w:rsidRDefault="009F6FF1" w:rsidP="009F6FF1">
      <w:pPr>
        <w:numPr>
          <w:ilvl w:val="0"/>
          <w:numId w:val="13"/>
        </w:numPr>
      </w:pPr>
      <w:r w:rsidRPr="009F6FF1">
        <w:t>matters discussed by the National Exotic Invasive Ant Scientific Advisory Group since their first face to face meeting held in February 2019, including:</w:t>
      </w:r>
    </w:p>
    <w:p w14:paraId="72F89E7F" w14:textId="77777777" w:rsidR="009F6FF1" w:rsidRPr="009F6FF1" w:rsidRDefault="009F6FF1" w:rsidP="009F6FF1">
      <w:pPr>
        <w:numPr>
          <w:ilvl w:val="1"/>
          <w:numId w:val="13"/>
        </w:numPr>
      </w:pPr>
      <w:r w:rsidRPr="009F6FF1">
        <w:t>movement controls and industry – nursery</w:t>
      </w:r>
    </w:p>
    <w:p w14:paraId="46E56CEA" w14:textId="77777777" w:rsidR="009F6FF1" w:rsidRPr="009F6FF1" w:rsidRDefault="009F6FF1" w:rsidP="009F6FF1">
      <w:pPr>
        <w:numPr>
          <w:ilvl w:val="1"/>
          <w:numId w:val="13"/>
        </w:numPr>
      </w:pPr>
      <w:r w:rsidRPr="009F6FF1">
        <w:t>scoping for proof of freedom</w:t>
      </w:r>
    </w:p>
    <w:p w14:paraId="6A9033BB" w14:textId="77777777" w:rsidR="009F6FF1" w:rsidRPr="009F6FF1" w:rsidRDefault="009F6FF1" w:rsidP="009F6FF1">
      <w:pPr>
        <w:numPr>
          <w:ilvl w:val="1"/>
          <w:numId w:val="13"/>
        </w:numPr>
      </w:pPr>
      <w:r w:rsidRPr="009F6FF1">
        <w:t>analysis of efficacy of six rounds of treatment</w:t>
      </w:r>
    </w:p>
    <w:p w14:paraId="391D8E43" w14:textId="77777777" w:rsidR="009F6FF1" w:rsidRPr="009F6FF1" w:rsidRDefault="009F6FF1" w:rsidP="009F6FF1">
      <w:pPr>
        <w:numPr>
          <w:ilvl w:val="1"/>
          <w:numId w:val="13"/>
        </w:numPr>
      </w:pPr>
      <w:r w:rsidRPr="009F6FF1">
        <w:t>risk assessment to be conducted on product and pathways</w:t>
      </w:r>
    </w:p>
    <w:p w14:paraId="3DE76772" w14:textId="77777777" w:rsidR="009F6FF1" w:rsidRPr="009F6FF1" w:rsidRDefault="009F6FF1" w:rsidP="009F6FF1">
      <w:pPr>
        <w:numPr>
          <w:ilvl w:val="1"/>
          <w:numId w:val="13"/>
        </w:numPr>
      </w:pPr>
      <w:r w:rsidRPr="009F6FF1">
        <w:t>second face to face meeting to be held in October 2019</w:t>
      </w:r>
    </w:p>
    <w:p w14:paraId="717868B6" w14:textId="77777777" w:rsidR="009F6FF1" w:rsidRPr="009F6FF1" w:rsidRDefault="009F6FF1" w:rsidP="009F6FF1">
      <w:pPr>
        <w:numPr>
          <w:ilvl w:val="0"/>
          <w:numId w:val="13"/>
        </w:numPr>
      </w:pPr>
      <w:r w:rsidRPr="009F6FF1">
        <w:t>the update on Risk Management by the Program.</w:t>
      </w:r>
    </w:p>
    <w:p w14:paraId="33560854" w14:textId="77777777" w:rsidR="009F6FF1" w:rsidRPr="009F6FF1" w:rsidRDefault="009F6FF1" w:rsidP="009F6FF1">
      <w:r w:rsidRPr="009F6FF1">
        <w:t>The Steering Committee will next meet in August 2019, when the Steering Committee will also host its second Stakeholder Forum.</w:t>
      </w:r>
    </w:p>
    <w:p w14:paraId="068A3BE3" w14:textId="63EEA0D1" w:rsidR="009F6FF1" w:rsidRPr="009F6FF1" w:rsidRDefault="009F6FF1" w:rsidP="009F6FF1">
      <w:r>
        <w:t xml:space="preserve">Visit </w:t>
      </w:r>
      <w:r w:rsidRPr="009F6FF1">
        <w:t>the</w:t>
      </w:r>
      <w:r>
        <w:t xml:space="preserve"> </w:t>
      </w:r>
      <w:hyperlink r:id="rId7" w:history="1">
        <w:r w:rsidRPr="009F6FF1">
          <w:rPr>
            <w:rStyle w:val="Hyperlink"/>
          </w:rPr>
          <w:t>Steering Committee</w:t>
        </w:r>
      </w:hyperlink>
      <w:r>
        <w:t xml:space="preserve"> page for more information. </w:t>
      </w:r>
      <w:r w:rsidRPr="009F6FF1">
        <w:t xml:space="preserve"> </w:t>
      </w:r>
    </w:p>
    <w:p w14:paraId="00281DE1" w14:textId="77777777" w:rsidR="009F6FF1" w:rsidRPr="009F6FF1" w:rsidRDefault="009F6FF1" w:rsidP="009F6FF1">
      <w:r w:rsidRPr="009F6FF1">
        <w:rPr>
          <w:b/>
          <w:bCs/>
        </w:rPr>
        <w:t>Last updated:</w:t>
      </w:r>
      <w:r w:rsidRPr="009F6FF1">
        <w:t xml:space="preserve"> 06 Aug 2019</w:t>
      </w:r>
    </w:p>
    <w:p w14:paraId="1E0EECE0" w14:textId="77777777" w:rsidR="009F6FF1" w:rsidRPr="009F6FF1" w:rsidRDefault="009F6FF1" w:rsidP="009F6FF1"/>
    <w:p w14:paraId="6F300C23" w14:textId="3DD214EE" w:rsidR="008436FD" w:rsidRPr="00AF708E" w:rsidRDefault="008436FD" w:rsidP="009F6FF1"/>
    <w:sectPr w:rsidR="008436FD" w:rsidRPr="00AF70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C4F25"/>
    <w:multiLevelType w:val="multilevel"/>
    <w:tmpl w:val="E7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16A8B"/>
    <w:multiLevelType w:val="multilevel"/>
    <w:tmpl w:val="6172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C598F"/>
    <w:multiLevelType w:val="multilevel"/>
    <w:tmpl w:val="068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44B95"/>
    <w:multiLevelType w:val="multilevel"/>
    <w:tmpl w:val="B4A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8156B"/>
    <w:multiLevelType w:val="multilevel"/>
    <w:tmpl w:val="B46E8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A05203"/>
    <w:multiLevelType w:val="multilevel"/>
    <w:tmpl w:val="242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2"/>
  </w:num>
  <w:num w:numId="3">
    <w:abstractNumId w:val="7"/>
  </w:num>
  <w:num w:numId="4">
    <w:abstractNumId w:val="9"/>
  </w:num>
  <w:num w:numId="5">
    <w:abstractNumId w:val="1"/>
  </w:num>
  <w:num w:numId="6">
    <w:abstractNumId w:val="10"/>
  </w:num>
  <w:num w:numId="7">
    <w:abstractNumId w:val="3"/>
  </w:num>
  <w:num w:numId="8">
    <w:abstractNumId w:val="8"/>
  </w:num>
  <w:num w:numId="9">
    <w:abstractNumId w:val="5"/>
  </w:num>
  <w:num w:numId="10">
    <w:abstractNumId w:val="0"/>
  </w:num>
  <w:num w:numId="11">
    <w:abstractNumId w:val="4"/>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40624"/>
    <w:rsid w:val="001872D0"/>
    <w:rsid w:val="003823A1"/>
    <w:rsid w:val="00413504"/>
    <w:rsid w:val="004D7B8D"/>
    <w:rsid w:val="00716F0C"/>
    <w:rsid w:val="007E2B5B"/>
    <w:rsid w:val="008436FD"/>
    <w:rsid w:val="00873F65"/>
    <w:rsid w:val="008D47D1"/>
    <w:rsid w:val="009F6FF1"/>
    <w:rsid w:val="00AF708E"/>
    <w:rsid w:val="00B64A75"/>
    <w:rsid w:val="00EA0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iPriority w:val="99"/>
    <w:unhideWhenUsed/>
    <w:rsid w:val="003823A1"/>
    <w:pPr>
      <w:tabs>
        <w:tab w:val="center" w:pos="4513"/>
        <w:tab w:val="right" w:pos="9026"/>
      </w:tabs>
      <w:spacing w:before="0" w:after="0"/>
    </w:pPr>
  </w:style>
  <w:style w:type="character" w:customStyle="1" w:styleId="HeaderChar">
    <w:name w:val="Header Char"/>
    <w:basedOn w:val="DefaultParagraphFont"/>
    <w:link w:val="Header"/>
    <w:uiPriority w:val="99"/>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 w:type="character" w:styleId="FollowedHyperlink">
    <w:name w:val="FollowedHyperlink"/>
    <w:basedOn w:val="DefaultParagraphFont"/>
    <w:uiPriority w:val="99"/>
    <w:semiHidden/>
    <w:unhideWhenUsed/>
    <w:rsid w:val="009F6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f.qld.gov.au/business-priorities/biosecurity/invasive-plants-animals/ants/fire-ants/eradication/10-year-plan/steering-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May 2019—Steering Committee meeting</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2019—Steering Committee meeting</dc:title>
  <dc:subject/>
  <dc:creator>National Red Imported Fire Ant Eradication Program</dc:creator>
  <cp:keywords/>
  <dc:description/>
  <cp:lastModifiedBy>LENNON Kelly</cp:lastModifiedBy>
  <cp:revision>2</cp:revision>
  <dcterms:created xsi:type="dcterms:W3CDTF">2021-04-20T05:18:00Z</dcterms:created>
  <dcterms:modified xsi:type="dcterms:W3CDTF">2021-04-20T05:18:00Z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20210420140804471</vt:lpwstr>
  </property>
</Properties>
</file>