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E34" w:rsidRDefault="00102E34" w:rsidP="00102E34">
      <w:pPr>
        <w:pStyle w:val="ReportTitle"/>
        <w:ind w:left="1361"/>
      </w:pPr>
    </w:p>
    <w:p w:rsidR="00102E34" w:rsidRPr="0036089D" w:rsidRDefault="001B7976" w:rsidP="00102E34">
      <w:pPr>
        <w:pStyle w:val="ReportTitle"/>
        <w:ind w:left="993"/>
      </w:pPr>
      <w:r w:rsidRPr="0036089D">
        <w:t>National Television and</w:t>
      </w:r>
      <w:bookmarkStart w:id="0" w:name="_GoBack"/>
      <w:bookmarkEnd w:id="0"/>
      <w:r w:rsidRPr="0036089D">
        <w:t xml:space="preserve"> Computer Recycling Scheme </w:t>
      </w:r>
    </w:p>
    <w:p w:rsidR="00102E34" w:rsidRPr="0036089D" w:rsidRDefault="00102E34" w:rsidP="00102E34">
      <w:pPr>
        <w:pStyle w:val="ReportTitle"/>
        <w:ind w:left="993"/>
      </w:pPr>
    </w:p>
    <w:p w:rsidR="00102E34" w:rsidRPr="0036089D" w:rsidRDefault="001B7976" w:rsidP="00102E34">
      <w:pPr>
        <w:pStyle w:val="ReportTitle"/>
        <w:ind w:left="993"/>
      </w:pPr>
      <w:r w:rsidRPr="0036089D">
        <w:t xml:space="preserve">Outcomes </w:t>
      </w:r>
      <w:r w:rsidR="00E47101" w:rsidRPr="0036089D">
        <w:t>2014</w:t>
      </w:r>
      <w:r w:rsidRPr="0036089D">
        <w:t>–</w:t>
      </w:r>
      <w:r w:rsidR="00E47101" w:rsidRPr="0036089D">
        <w:t>15</w:t>
      </w:r>
    </w:p>
    <w:p w:rsidR="00102E34" w:rsidRPr="0036089D" w:rsidRDefault="00102E34" w:rsidP="00102E34">
      <w:pPr>
        <w:pStyle w:val="Reportsubtitle"/>
        <w:ind w:left="993"/>
      </w:pPr>
    </w:p>
    <w:p w:rsidR="00102E34" w:rsidRPr="0036089D" w:rsidRDefault="00CA2D8F">
      <w:pPr>
        <w:pStyle w:val="Reportsubtitle"/>
      </w:pPr>
      <w:r w:rsidRPr="0036089D">
        <w:t>October</w:t>
      </w:r>
      <w:r w:rsidR="002C6854" w:rsidRPr="0036089D">
        <w:t xml:space="preserve"> </w:t>
      </w:r>
      <w:r w:rsidR="00D6713C" w:rsidRPr="0036089D">
        <w:t>2016</w:t>
      </w:r>
    </w:p>
    <w:p w:rsidR="00102E34" w:rsidRPr="0036089D" w:rsidRDefault="00102E34" w:rsidP="00102E34">
      <w:pPr>
        <w:pStyle w:val="Heading1"/>
      </w:pPr>
    </w:p>
    <w:p w:rsidR="00102E34" w:rsidRPr="0036089D" w:rsidRDefault="00EE7BFC" w:rsidP="00102E34">
      <w:pPr>
        <w:sectPr w:rsidR="00102E34" w:rsidRPr="0036089D" w:rsidSect="001B07FC">
          <w:headerReference w:type="even" r:id="rId7"/>
          <w:headerReference w:type="default" r:id="rId8"/>
          <w:footerReference w:type="even" r:id="rId9"/>
          <w:footerReference w:type="default" r:id="rId10"/>
          <w:headerReference w:type="first" r:id="rId11"/>
          <w:footerReference w:type="first" r:id="rId12"/>
          <w:pgSz w:w="11906" w:h="16838" w:code="9"/>
          <w:pgMar w:top="3969" w:right="1276" w:bottom="567" w:left="1418" w:header="425" w:footer="1421" w:gutter="0"/>
          <w:pgNumType w:start="1"/>
          <w:cols w:space="708"/>
          <w:titlePg/>
          <w:docGrid w:linePitch="360"/>
        </w:sectPr>
      </w:pPr>
      <w:r>
        <w:rPr>
          <w:noProof/>
          <w:lang w:eastAsia="en-AU"/>
        </w:rPr>
        <w:drawing>
          <wp:inline distT="0" distB="0" distL="0" distR="0" wp14:anchorId="538AC716" wp14:editId="0E047C4C">
            <wp:extent cx="5849620" cy="2771499"/>
            <wp:effectExtent l="19050" t="0" r="0" b="0"/>
            <wp:docPr id="12" name="Picture 9" descr="C:\Users\A14534\AppData\Local\Microsoft\Windows\Temporary Internet Files\Content.Outlook\W9ZP9EGM\eadig7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14534\AppData\Local\Microsoft\Windows\Temporary Internet Files\Content.Outlook\W9ZP9EGM\eadig71412.jpg"/>
                    <pic:cNvPicPr>
                      <a:picLocks noChangeAspect="1" noChangeArrowheads="1"/>
                    </pic:cNvPicPr>
                  </pic:nvPicPr>
                  <pic:blipFill>
                    <a:blip r:embed="rId13" cstate="print"/>
                    <a:srcRect/>
                    <a:stretch>
                      <a:fillRect/>
                    </a:stretch>
                  </pic:blipFill>
                  <pic:spPr bwMode="auto">
                    <a:xfrm>
                      <a:off x="0" y="0"/>
                      <a:ext cx="5849620" cy="2771499"/>
                    </a:xfrm>
                    <a:prstGeom prst="rect">
                      <a:avLst/>
                    </a:prstGeom>
                    <a:noFill/>
                    <a:ln w="9525">
                      <a:noFill/>
                      <a:miter lim="800000"/>
                      <a:headEnd/>
                      <a:tailEnd/>
                    </a:ln>
                  </pic:spPr>
                </pic:pic>
              </a:graphicData>
            </a:graphic>
          </wp:inline>
        </w:drawing>
      </w:r>
    </w:p>
    <w:sdt>
      <w:sdtPr>
        <w:rPr>
          <w:rFonts w:ascii="Arial" w:hAnsi="Arial" w:cs="Times New Roman"/>
          <w:b w:val="0"/>
          <w:bCs w:val="0"/>
          <w:caps w:val="0"/>
          <w:sz w:val="22"/>
          <w:szCs w:val="22"/>
          <w:lang w:val="en-AU"/>
        </w:rPr>
        <w:id w:val="9750151"/>
        <w:docPartObj>
          <w:docPartGallery w:val="Table of Contents"/>
          <w:docPartUnique/>
        </w:docPartObj>
      </w:sdtPr>
      <w:sdtContent>
        <w:p w:rsidR="00102E34" w:rsidRPr="0036089D" w:rsidRDefault="001B7976" w:rsidP="00102E34">
          <w:pPr>
            <w:pStyle w:val="TOCHeading"/>
          </w:pPr>
          <w:r w:rsidRPr="0036089D">
            <w:t>Contents</w:t>
          </w:r>
        </w:p>
        <w:p w:rsidR="00325F9E" w:rsidRPr="0036089D" w:rsidRDefault="0055178B">
          <w:pPr>
            <w:pStyle w:val="TOC1"/>
            <w:tabs>
              <w:tab w:val="right" w:leader="dot" w:pos="9202"/>
            </w:tabs>
            <w:rPr>
              <w:rFonts w:asciiTheme="minorHAnsi" w:eastAsiaTheme="minorEastAsia" w:hAnsiTheme="minorHAnsi" w:cstheme="minorBidi"/>
              <w:b w:val="0"/>
              <w:noProof/>
              <w:lang w:eastAsia="en-AU"/>
            </w:rPr>
          </w:pPr>
          <w:r w:rsidRPr="0036089D">
            <w:fldChar w:fldCharType="begin"/>
          </w:r>
          <w:r w:rsidR="001B7976" w:rsidRPr="0036089D">
            <w:instrText xml:space="preserve"> TOC \o "1-3" \h \z \u </w:instrText>
          </w:r>
          <w:r w:rsidRPr="0036089D">
            <w:fldChar w:fldCharType="separate"/>
          </w:r>
          <w:hyperlink w:anchor="_Toc450650980" w:history="1">
            <w:r w:rsidR="00325F9E" w:rsidRPr="0036089D">
              <w:rPr>
                <w:rStyle w:val="Hyperlink"/>
                <w:noProof/>
              </w:rPr>
              <w:t>Executive Summary</w:t>
            </w:r>
            <w:r w:rsidR="00325F9E" w:rsidRPr="0036089D">
              <w:rPr>
                <w:noProof/>
                <w:webHidden/>
              </w:rPr>
              <w:tab/>
            </w:r>
            <w:r w:rsidRPr="0036089D">
              <w:rPr>
                <w:noProof/>
                <w:webHidden/>
              </w:rPr>
              <w:fldChar w:fldCharType="begin"/>
            </w:r>
            <w:r w:rsidR="00325F9E" w:rsidRPr="0036089D">
              <w:rPr>
                <w:noProof/>
                <w:webHidden/>
              </w:rPr>
              <w:instrText xml:space="preserve"> PAGEREF _Toc450650980 \h </w:instrText>
            </w:r>
            <w:r w:rsidRPr="0036089D">
              <w:rPr>
                <w:noProof/>
                <w:webHidden/>
              </w:rPr>
            </w:r>
            <w:r w:rsidRPr="0036089D">
              <w:rPr>
                <w:noProof/>
                <w:webHidden/>
              </w:rPr>
              <w:fldChar w:fldCharType="separate"/>
            </w:r>
            <w:r w:rsidR="003A2863">
              <w:rPr>
                <w:noProof/>
                <w:webHidden/>
              </w:rPr>
              <w:t>3</w:t>
            </w:r>
            <w:r w:rsidRPr="0036089D">
              <w:rPr>
                <w:noProof/>
                <w:webHidden/>
              </w:rPr>
              <w:fldChar w:fldCharType="end"/>
            </w:r>
          </w:hyperlink>
        </w:p>
        <w:p w:rsidR="00325F9E" w:rsidRPr="0036089D" w:rsidRDefault="003A2863">
          <w:pPr>
            <w:pStyle w:val="TOC1"/>
            <w:tabs>
              <w:tab w:val="right" w:leader="dot" w:pos="9202"/>
            </w:tabs>
            <w:rPr>
              <w:rFonts w:asciiTheme="minorHAnsi" w:eastAsiaTheme="minorEastAsia" w:hAnsiTheme="minorHAnsi" w:cstheme="minorBidi"/>
              <w:b w:val="0"/>
              <w:noProof/>
              <w:lang w:eastAsia="en-AU"/>
            </w:rPr>
          </w:pPr>
          <w:hyperlink w:anchor="_Toc450650981" w:history="1">
            <w:r w:rsidR="00325F9E" w:rsidRPr="0036089D">
              <w:rPr>
                <w:rStyle w:val="Hyperlink"/>
                <w:noProof/>
              </w:rPr>
              <w:t>Background</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_Toc450650981 \h </w:instrText>
            </w:r>
            <w:r w:rsidR="0055178B" w:rsidRPr="0036089D">
              <w:rPr>
                <w:noProof/>
                <w:webHidden/>
              </w:rPr>
            </w:r>
            <w:r w:rsidR="0055178B" w:rsidRPr="0036089D">
              <w:rPr>
                <w:noProof/>
                <w:webHidden/>
              </w:rPr>
              <w:fldChar w:fldCharType="separate"/>
            </w:r>
            <w:r>
              <w:rPr>
                <w:noProof/>
                <w:webHidden/>
              </w:rPr>
              <w:t>4</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82" w:history="1">
            <w:r w:rsidR="00325F9E" w:rsidRPr="0036089D">
              <w:rPr>
                <w:rStyle w:val="Hyperlink"/>
                <w:noProof/>
              </w:rPr>
              <w:t>Product stewardship principles</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_Toc450650982 \h </w:instrText>
            </w:r>
            <w:r w:rsidR="0055178B" w:rsidRPr="0036089D">
              <w:rPr>
                <w:noProof/>
                <w:webHidden/>
              </w:rPr>
            </w:r>
            <w:r w:rsidR="0055178B" w:rsidRPr="0036089D">
              <w:rPr>
                <w:noProof/>
                <w:webHidden/>
              </w:rPr>
              <w:fldChar w:fldCharType="separate"/>
            </w:r>
            <w:r>
              <w:rPr>
                <w:noProof/>
                <w:webHidden/>
              </w:rPr>
              <w:t>4</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83" w:history="1">
            <w:r w:rsidR="00325F9E" w:rsidRPr="0036089D">
              <w:rPr>
                <w:rStyle w:val="Hyperlink"/>
                <w:noProof/>
              </w:rPr>
              <w:t>Why television and computer e-waste?</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_Toc450650983 \h </w:instrText>
            </w:r>
            <w:r w:rsidR="0055178B" w:rsidRPr="0036089D">
              <w:rPr>
                <w:noProof/>
                <w:webHidden/>
              </w:rPr>
            </w:r>
            <w:r w:rsidR="0055178B" w:rsidRPr="0036089D">
              <w:rPr>
                <w:noProof/>
                <w:webHidden/>
              </w:rPr>
              <w:fldChar w:fldCharType="separate"/>
            </w:r>
            <w:r>
              <w:rPr>
                <w:noProof/>
                <w:webHidden/>
              </w:rPr>
              <w:t>4</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84" w:history="1">
            <w:r w:rsidR="00325F9E" w:rsidRPr="0036089D">
              <w:rPr>
                <w:rStyle w:val="Hyperlink"/>
                <w:noProof/>
              </w:rPr>
              <w:t>Operation of the scheme</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_Toc450650984 \h </w:instrText>
            </w:r>
            <w:r w:rsidR="0055178B" w:rsidRPr="0036089D">
              <w:rPr>
                <w:noProof/>
                <w:webHidden/>
              </w:rPr>
            </w:r>
            <w:r w:rsidR="0055178B" w:rsidRPr="0036089D">
              <w:rPr>
                <w:noProof/>
                <w:webHidden/>
              </w:rPr>
              <w:fldChar w:fldCharType="separate"/>
            </w:r>
            <w:r>
              <w:rPr>
                <w:noProof/>
                <w:webHidden/>
              </w:rPr>
              <w:t>4</w:t>
            </w:r>
            <w:r w:rsidR="0055178B" w:rsidRPr="0036089D">
              <w:rPr>
                <w:noProof/>
                <w:webHidden/>
              </w:rPr>
              <w:fldChar w:fldCharType="end"/>
            </w:r>
          </w:hyperlink>
        </w:p>
        <w:p w:rsidR="00325F9E" w:rsidRPr="0036089D" w:rsidRDefault="003A2863">
          <w:pPr>
            <w:pStyle w:val="TOC1"/>
            <w:tabs>
              <w:tab w:val="right" w:leader="dot" w:pos="9202"/>
            </w:tabs>
            <w:rPr>
              <w:rFonts w:asciiTheme="minorHAnsi" w:eastAsiaTheme="minorEastAsia" w:hAnsiTheme="minorHAnsi" w:cstheme="minorBidi"/>
              <w:b w:val="0"/>
              <w:noProof/>
              <w:lang w:eastAsia="en-AU"/>
            </w:rPr>
          </w:pPr>
          <w:hyperlink w:anchor="_Toc450650985" w:history="1">
            <w:r w:rsidR="00325F9E" w:rsidRPr="0036089D">
              <w:rPr>
                <w:rStyle w:val="Hyperlink"/>
                <w:noProof/>
              </w:rPr>
              <w:t>Enhancements to the scheme in 2014–15</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_Toc450650985 \h </w:instrText>
            </w:r>
            <w:r w:rsidR="0055178B" w:rsidRPr="0036089D">
              <w:rPr>
                <w:noProof/>
                <w:webHidden/>
              </w:rPr>
            </w:r>
            <w:r w:rsidR="0055178B" w:rsidRPr="0036089D">
              <w:rPr>
                <w:noProof/>
                <w:webHidden/>
              </w:rPr>
              <w:fldChar w:fldCharType="separate"/>
            </w:r>
            <w:r>
              <w:rPr>
                <w:noProof/>
                <w:webHidden/>
              </w:rPr>
              <w:t>5</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86" w:history="1">
            <w:r w:rsidR="00325F9E" w:rsidRPr="0036089D">
              <w:rPr>
                <w:rStyle w:val="Hyperlink"/>
                <w:noProof/>
              </w:rPr>
              <w:t>Completion of the operational review</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_Toc450650986 \h </w:instrText>
            </w:r>
            <w:r w:rsidR="0055178B" w:rsidRPr="0036089D">
              <w:rPr>
                <w:noProof/>
                <w:webHidden/>
              </w:rPr>
            </w:r>
            <w:r w:rsidR="0055178B" w:rsidRPr="0036089D">
              <w:rPr>
                <w:noProof/>
                <w:webHidden/>
              </w:rPr>
              <w:fldChar w:fldCharType="separate"/>
            </w:r>
            <w:r>
              <w:rPr>
                <w:noProof/>
                <w:webHidden/>
              </w:rPr>
              <w:t>5</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87" w:history="1">
            <w:r w:rsidR="00325F9E" w:rsidRPr="0036089D">
              <w:rPr>
                <w:rStyle w:val="Hyperlink"/>
                <w:noProof/>
              </w:rPr>
              <w:t>Operational review consultation and stakeholder engagement</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_Toc450650987 \h </w:instrText>
            </w:r>
            <w:r w:rsidR="0055178B" w:rsidRPr="0036089D">
              <w:rPr>
                <w:noProof/>
                <w:webHidden/>
              </w:rPr>
            </w:r>
            <w:r w:rsidR="0055178B" w:rsidRPr="0036089D">
              <w:rPr>
                <w:noProof/>
                <w:webHidden/>
              </w:rPr>
              <w:fldChar w:fldCharType="separate"/>
            </w:r>
            <w:r>
              <w:rPr>
                <w:noProof/>
                <w:webHidden/>
              </w:rPr>
              <w:t>6</w:t>
            </w:r>
            <w:r w:rsidR="0055178B" w:rsidRPr="0036089D">
              <w:rPr>
                <w:noProof/>
                <w:webHidden/>
              </w:rPr>
              <w:fldChar w:fldCharType="end"/>
            </w:r>
          </w:hyperlink>
        </w:p>
        <w:p w:rsidR="00325F9E" w:rsidRPr="0036089D" w:rsidRDefault="003A2863">
          <w:pPr>
            <w:pStyle w:val="TOC1"/>
            <w:tabs>
              <w:tab w:val="right" w:leader="dot" w:pos="9202"/>
            </w:tabs>
            <w:rPr>
              <w:rFonts w:asciiTheme="minorHAnsi" w:eastAsiaTheme="minorEastAsia" w:hAnsiTheme="minorHAnsi" w:cstheme="minorBidi"/>
              <w:b w:val="0"/>
              <w:noProof/>
              <w:lang w:eastAsia="en-AU"/>
            </w:rPr>
          </w:pPr>
          <w:hyperlink w:anchor="_Toc450650988" w:history="1">
            <w:r w:rsidR="00325F9E" w:rsidRPr="0036089D">
              <w:rPr>
                <w:rStyle w:val="Hyperlink"/>
                <w:noProof/>
              </w:rPr>
              <w:t>Co-regulatory arrangement outcomes 2014–15</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_Toc450650988 \h </w:instrText>
            </w:r>
            <w:r w:rsidR="0055178B" w:rsidRPr="0036089D">
              <w:rPr>
                <w:noProof/>
                <w:webHidden/>
              </w:rPr>
            </w:r>
            <w:r w:rsidR="0055178B" w:rsidRPr="0036089D">
              <w:rPr>
                <w:noProof/>
                <w:webHidden/>
              </w:rPr>
              <w:fldChar w:fldCharType="separate"/>
            </w:r>
            <w:r>
              <w:rPr>
                <w:noProof/>
                <w:webHidden/>
              </w:rPr>
              <w:t>7</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89" w:history="1">
            <w:r w:rsidR="00325F9E" w:rsidRPr="0036089D">
              <w:rPr>
                <w:rStyle w:val="Hyperlink"/>
                <w:noProof/>
              </w:rPr>
              <w:t>Requirements for co-regulatory arrangements</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_Toc450650989 \h </w:instrText>
            </w:r>
            <w:r w:rsidR="0055178B" w:rsidRPr="0036089D">
              <w:rPr>
                <w:noProof/>
                <w:webHidden/>
              </w:rPr>
            </w:r>
            <w:r w:rsidR="0055178B" w:rsidRPr="0036089D">
              <w:rPr>
                <w:noProof/>
                <w:webHidden/>
              </w:rPr>
              <w:fldChar w:fldCharType="separate"/>
            </w:r>
            <w:r>
              <w:rPr>
                <w:noProof/>
                <w:webHidden/>
              </w:rPr>
              <w:t>7</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90" w:history="1">
            <w:r w:rsidR="00325F9E" w:rsidRPr="0036089D">
              <w:rPr>
                <w:rStyle w:val="Hyperlink"/>
                <w:noProof/>
              </w:rPr>
              <w:t>Outcome 1: Reasonable access to e-waste collection services</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_Toc450650990 \h </w:instrText>
            </w:r>
            <w:r w:rsidR="0055178B" w:rsidRPr="0036089D">
              <w:rPr>
                <w:noProof/>
                <w:webHidden/>
              </w:rPr>
            </w:r>
            <w:r w:rsidR="0055178B" w:rsidRPr="0036089D">
              <w:rPr>
                <w:noProof/>
                <w:webHidden/>
              </w:rPr>
              <w:fldChar w:fldCharType="separate"/>
            </w:r>
            <w:r>
              <w:rPr>
                <w:noProof/>
                <w:webHidden/>
              </w:rPr>
              <w:t>8</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91" w:history="1">
            <w:r w:rsidR="00325F9E" w:rsidRPr="0036089D">
              <w:rPr>
                <w:rStyle w:val="Hyperlink"/>
                <w:noProof/>
              </w:rPr>
              <w:t>Outcome 2: Meeting allocated recycling targets</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_Toc450650991 \h </w:instrText>
            </w:r>
            <w:r w:rsidR="0055178B" w:rsidRPr="0036089D">
              <w:rPr>
                <w:noProof/>
                <w:webHidden/>
              </w:rPr>
            </w:r>
            <w:r w:rsidR="0055178B" w:rsidRPr="0036089D">
              <w:rPr>
                <w:noProof/>
                <w:webHidden/>
              </w:rPr>
              <w:fldChar w:fldCharType="separate"/>
            </w:r>
            <w:r>
              <w:rPr>
                <w:noProof/>
                <w:webHidden/>
              </w:rPr>
              <w:t>11</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92" w:history="1">
            <w:r w:rsidR="00325F9E" w:rsidRPr="0036089D">
              <w:rPr>
                <w:rStyle w:val="Hyperlink"/>
                <w:noProof/>
              </w:rPr>
              <w:t>Outcome 3: Achieving the material recovery target</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_Toc450650992 \h </w:instrText>
            </w:r>
            <w:r w:rsidR="0055178B" w:rsidRPr="0036089D">
              <w:rPr>
                <w:noProof/>
                <w:webHidden/>
              </w:rPr>
            </w:r>
            <w:r w:rsidR="0055178B" w:rsidRPr="0036089D">
              <w:rPr>
                <w:noProof/>
                <w:webHidden/>
              </w:rPr>
              <w:fldChar w:fldCharType="separate"/>
            </w:r>
            <w:r>
              <w:rPr>
                <w:noProof/>
                <w:webHidden/>
              </w:rPr>
              <w:t>14</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93" w:history="1">
            <w:r w:rsidR="00325F9E" w:rsidRPr="0036089D">
              <w:rPr>
                <w:rStyle w:val="Hyperlink"/>
                <w:noProof/>
              </w:rPr>
              <w:t>Outcome 4: Governance and management of the arrangement’s activities</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_Toc450650993 \h </w:instrText>
            </w:r>
            <w:r w:rsidR="0055178B" w:rsidRPr="0036089D">
              <w:rPr>
                <w:noProof/>
                <w:webHidden/>
              </w:rPr>
            </w:r>
            <w:r w:rsidR="0055178B" w:rsidRPr="0036089D">
              <w:rPr>
                <w:noProof/>
                <w:webHidden/>
              </w:rPr>
              <w:fldChar w:fldCharType="separate"/>
            </w:r>
            <w:r>
              <w:rPr>
                <w:noProof/>
                <w:webHidden/>
              </w:rPr>
              <w:t>16</w:t>
            </w:r>
            <w:r w:rsidR="0055178B" w:rsidRPr="0036089D">
              <w:rPr>
                <w:noProof/>
                <w:webHidden/>
              </w:rPr>
              <w:fldChar w:fldCharType="end"/>
            </w:r>
          </w:hyperlink>
        </w:p>
        <w:p w:rsidR="00325F9E" w:rsidRPr="0036089D" w:rsidRDefault="003A2863">
          <w:pPr>
            <w:pStyle w:val="TOC1"/>
            <w:tabs>
              <w:tab w:val="right" w:leader="dot" w:pos="9202"/>
            </w:tabs>
            <w:rPr>
              <w:rFonts w:asciiTheme="minorHAnsi" w:eastAsiaTheme="minorEastAsia" w:hAnsiTheme="minorHAnsi" w:cstheme="minorBidi"/>
              <w:b w:val="0"/>
              <w:noProof/>
              <w:lang w:eastAsia="en-AU"/>
            </w:rPr>
          </w:pPr>
          <w:hyperlink w:anchor="_Toc450650994" w:history="1">
            <w:r w:rsidR="00325F9E" w:rsidRPr="0036089D">
              <w:rPr>
                <w:rStyle w:val="Hyperlink"/>
                <w:noProof/>
              </w:rPr>
              <w:t>Department of the environment - Operational activities 2014-2015</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_Toc450650994 \h </w:instrText>
            </w:r>
            <w:r w:rsidR="0055178B" w:rsidRPr="0036089D">
              <w:rPr>
                <w:noProof/>
                <w:webHidden/>
              </w:rPr>
            </w:r>
            <w:r w:rsidR="0055178B" w:rsidRPr="0036089D">
              <w:rPr>
                <w:noProof/>
                <w:webHidden/>
              </w:rPr>
              <w:fldChar w:fldCharType="separate"/>
            </w:r>
            <w:r>
              <w:rPr>
                <w:noProof/>
                <w:webHidden/>
              </w:rPr>
              <w:t>18</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95" w:history="1">
            <w:r w:rsidR="00325F9E" w:rsidRPr="0036089D">
              <w:rPr>
                <w:rStyle w:val="Hyperlink"/>
                <w:noProof/>
              </w:rPr>
              <w:t>Liable party compliance</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_Toc450650995 \h </w:instrText>
            </w:r>
            <w:r w:rsidR="0055178B" w:rsidRPr="0036089D">
              <w:rPr>
                <w:noProof/>
                <w:webHidden/>
              </w:rPr>
            </w:r>
            <w:r w:rsidR="0055178B" w:rsidRPr="0036089D">
              <w:rPr>
                <w:noProof/>
                <w:webHidden/>
              </w:rPr>
              <w:fldChar w:fldCharType="separate"/>
            </w:r>
            <w:r>
              <w:rPr>
                <w:noProof/>
                <w:webHidden/>
              </w:rPr>
              <w:t>18</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96" w:history="1">
            <w:r w:rsidR="00325F9E" w:rsidRPr="0036089D">
              <w:rPr>
                <w:rStyle w:val="Hyperlink"/>
                <w:noProof/>
              </w:rPr>
              <w:t>Co-regulatory arrangement compliance</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_Toc450650996 \h </w:instrText>
            </w:r>
            <w:r w:rsidR="0055178B" w:rsidRPr="0036089D">
              <w:rPr>
                <w:noProof/>
                <w:webHidden/>
              </w:rPr>
            </w:r>
            <w:r w:rsidR="0055178B" w:rsidRPr="0036089D">
              <w:rPr>
                <w:noProof/>
                <w:webHidden/>
              </w:rPr>
              <w:fldChar w:fldCharType="separate"/>
            </w:r>
            <w:r>
              <w:rPr>
                <w:noProof/>
                <w:webHidden/>
              </w:rPr>
              <w:t>19</w:t>
            </w:r>
            <w:r w:rsidR="0055178B" w:rsidRPr="0036089D">
              <w:rPr>
                <w:noProof/>
                <w:webHidden/>
              </w:rPr>
              <w:fldChar w:fldCharType="end"/>
            </w:r>
          </w:hyperlink>
        </w:p>
        <w:p w:rsidR="00325F9E" w:rsidRPr="0036089D" w:rsidRDefault="003A2863">
          <w:pPr>
            <w:pStyle w:val="TOC1"/>
            <w:tabs>
              <w:tab w:val="right" w:leader="dot" w:pos="9202"/>
            </w:tabs>
            <w:rPr>
              <w:rFonts w:asciiTheme="minorHAnsi" w:eastAsiaTheme="minorEastAsia" w:hAnsiTheme="minorHAnsi" w:cstheme="minorBidi"/>
              <w:b w:val="0"/>
              <w:noProof/>
              <w:lang w:eastAsia="en-AU"/>
            </w:rPr>
          </w:pPr>
          <w:hyperlink w:anchor="_Toc450650997" w:history="1">
            <w:r w:rsidR="00325F9E" w:rsidRPr="0036089D">
              <w:rPr>
                <w:rStyle w:val="Hyperlink"/>
                <w:noProof/>
              </w:rPr>
              <w:t>The scheme’s third target year: 2015–16</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_Toc450650997 \h </w:instrText>
            </w:r>
            <w:r w:rsidR="0055178B" w:rsidRPr="0036089D">
              <w:rPr>
                <w:noProof/>
                <w:webHidden/>
              </w:rPr>
            </w:r>
            <w:r w:rsidR="0055178B" w:rsidRPr="0036089D">
              <w:rPr>
                <w:noProof/>
                <w:webHidden/>
              </w:rPr>
              <w:fldChar w:fldCharType="separate"/>
            </w:r>
            <w:r>
              <w:rPr>
                <w:noProof/>
                <w:webHidden/>
              </w:rPr>
              <w:t>20</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98" w:history="1">
            <w:r w:rsidR="00325F9E" w:rsidRPr="0036089D">
              <w:rPr>
                <w:rStyle w:val="Hyperlink"/>
                <w:noProof/>
              </w:rPr>
              <w:t>Appendix A – List of liable party members for 2014–15, by co-regulatory arrangement</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_Toc450650998 \h </w:instrText>
            </w:r>
            <w:r w:rsidR="0055178B" w:rsidRPr="0036089D">
              <w:rPr>
                <w:noProof/>
                <w:webHidden/>
              </w:rPr>
            </w:r>
            <w:r w:rsidR="0055178B" w:rsidRPr="0036089D">
              <w:rPr>
                <w:noProof/>
                <w:webHidden/>
              </w:rPr>
              <w:fldChar w:fldCharType="separate"/>
            </w:r>
            <w:r>
              <w:rPr>
                <w:noProof/>
                <w:webHidden/>
              </w:rPr>
              <w:t>21</w:t>
            </w:r>
            <w:r w:rsidR="0055178B" w:rsidRPr="0036089D">
              <w:rPr>
                <w:noProof/>
                <w:webHidden/>
              </w:rPr>
              <w:fldChar w:fldCharType="end"/>
            </w:r>
          </w:hyperlink>
        </w:p>
        <w:p w:rsidR="00325F9E" w:rsidRPr="0036089D" w:rsidRDefault="003A2863">
          <w:pPr>
            <w:pStyle w:val="TOC2"/>
            <w:tabs>
              <w:tab w:val="right" w:leader="dot" w:pos="9202"/>
            </w:tabs>
            <w:rPr>
              <w:rFonts w:asciiTheme="minorHAnsi" w:eastAsiaTheme="minorEastAsia" w:hAnsiTheme="minorHAnsi" w:cstheme="minorBidi"/>
              <w:noProof/>
              <w:lang w:eastAsia="en-AU"/>
            </w:rPr>
          </w:pPr>
          <w:hyperlink w:anchor="_Toc450650999" w:history="1">
            <w:r w:rsidR="00325F9E" w:rsidRPr="0036089D">
              <w:rPr>
                <w:rStyle w:val="Hyperlink"/>
                <w:noProof/>
              </w:rPr>
              <w:t>Appendix B – Scheme Data Table</w:t>
            </w:r>
            <w:r w:rsidR="00325F9E" w:rsidRPr="0036089D">
              <w:rPr>
                <w:noProof/>
                <w:webHidden/>
              </w:rPr>
              <w:tab/>
            </w:r>
            <w:r w:rsidR="0055178B" w:rsidRPr="0036089D">
              <w:rPr>
                <w:noProof/>
                <w:webHidden/>
              </w:rPr>
              <w:fldChar w:fldCharType="begin"/>
            </w:r>
            <w:r w:rsidR="00325F9E" w:rsidRPr="0036089D">
              <w:rPr>
                <w:noProof/>
                <w:webHidden/>
              </w:rPr>
              <w:instrText xml:space="preserve"> PAGEREF _Toc450650999 \h </w:instrText>
            </w:r>
            <w:r w:rsidR="0055178B" w:rsidRPr="0036089D">
              <w:rPr>
                <w:noProof/>
                <w:webHidden/>
              </w:rPr>
            </w:r>
            <w:r w:rsidR="0055178B" w:rsidRPr="0036089D">
              <w:rPr>
                <w:noProof/>
                <w:webHidden/>
              </w:rPr>
              <w:fldChar w:fldCharType="separate"/>
            </w:r>
            <w:r>
              <w:rPr>
                <w:noProof/>
                <w:webHidden/>
              </w:rPr>
              <w:t>25</w:t>
            </w:r>
            <w:r w:rsidR="0055178B" w:rsidRPr="0036089D">
              <w:rPr>
                <w:noProof/>
                <w:webHidden/>
              </w:rPr>
              <w:fldChar w:fldCharType="end"/>
            </w:r>
          </w:hyperlink>
        </w:p>
        <w:p w:rsidR="00786520" w:rsidRPr="0036089D" w:rsidRDefault="0055178B" w:rsidP="00102E34">
          <w:r w:rsidRPr="0036089D">
            <w:fldChar w:fldCharType="end"/>
          </w:r>
        </w:p>
      </w:sdtContent>
    </w:sdt>
    <w:p w:rsidR="00102E34" w:rsidRPr="0036089D" w:rsidRDefault="00102E34" w:rsidP="00102E34"/>
    <w:p w:rsidR="00102E34" w:rsidRPr="0036089D" w:rsidRDefault="00102E34" w:rsidP="00102E34"/>
    <w:p w:rsidR="00102E34" w:rsidRPr="0036089D" w:rsidRDefault="00102E34" w:rsidP="00102E34">
      <w:pPr>
        <w:sectPr w:rsidR="00102E34" w:rsidRPr="0036089D" w:rsidSect="00102E34">
          <w:headerReference w:type="first" r:id="rId14"/>
          <w:footerReference w:type="first" r:id="rId15"/>
          <w:pgSz w:w="11906" w:h="16838" w:code="9"/>
          <w:pgMar w:top="1418" w:right="1276" w:bottom="567" w:left="1418" w:header="425" w:footer="425" w:gutter="0"/>
          <w:cols w:space="708"/>
          <w:titlePg/>
          <w:docGrid w:linePitch="360"/>
        </w:sectPr>
      </w:pPr>
    </w:p>
    <w:p w:rsidR="00894A74" w:rsidRPr="0036089D" w:rsidRDefault="00894A74">
      <w:pPr>
        <w:spacing w:after="0" w:line="240" w:lineRule="auto"/>
        <w:rPr>
          <w:rFonts w:ascii="Calibri" w:hAnsi="Calibri" w:cs="Arial"/>
          <w:b/>
          <w:caps/>
          <w:sz w:val="36"/>
          <w:szCs w:val="36"/>
        </w:rPr>
      </w:pPr>
      <w:bookmarkStart w:id="1" w:name="_Toc256000013"/>
      <w:bookmarkStart w:id="2" w:name="_Toc256000002"/>
      <w:bookmarkStart w:id="3" w:name="_Toc256000001"/>
      <w:bookmarkStart w:id="4" w:name="_Toc380491870"/>
      <w:r w:rsidRPr="0036089D">
        <w:rPr>
          <w:sz w:val="36"/>
          <w:szCs w:val="36"/>
        </w:rPr>
        <w:br w:type="page"/>
      </w:r>
    </w:p>
    <w:p w:rsidR="00102E34" w:rsidRPr="0036089D" w:rsidRDefault="001B7976" w:rsidP="00102E34">
      <w:pPr>
        <w:pStyle w:val="Heading1"/>
        <w:rPr>
          <w:sz w:val="36"/>
          <w:szCs w:val="36"/>
        </w:rPr>
      </w:pPr>
      <w:bookmarkStart w:id="5" w:name="_Toc450650980"/>
      <w:r w:rsidRPr="0036089D">
        <w:rPr>
          <w:sz w:val="36"/>
          <w:szCs w:val="36"/>
        </w:rPr>
        <w:lastRenderedPageBreak/>
        <w:t>Executive Summary</w:t>
      </w:r>
      <w:bookmarkEnd w:id="1"/>
      <w:bookmarkEnd w:id="2"/>
      <w:bookmarkEnd w:id="3"/>
      <w:bookmarkEnd w:id="4"/>
      <w:bookmarkEnd w:id="5"/>
      <w:r w:rsidRPr="0036089D">
        <w:rPr>
          <w:sz w:val="36"/>
          <w:szCs w:val="36"/>
        </w:rPr>
        <w:t xml:space="preserve"> </w:t>
      </w:r>
    </w:p>
    <w:p w:rsidR="00CF1229" w:rsidRPr="0036089D" w:rsidRDefault="00CF1229" w:rsidP="00102E34">
      <w:pPr>
        <w:rPr>
          <w:rFonts w:ascii="Calibri" w:hAnsi="Calibri" w:cs="Calibri"/>
        </w:rPr>
        <w:sectPr w:rsidR="00CF1229" w:rsidRPr="0036089D" w:rsidSect="004F3880">
          <w:type w:val="continuous"/>
          <w:pgSz w:w="11906" w:h="16838"/>
          <w:pgMar w:top="1440" w:right="1134" w:bottom="993" w:left="1440" w:header="709" w:footer="709" w:gutter="0"/>
          <w:cols w:space="708"/>
          <w:docGrid w:linePitch="360"/>
        </w:sectPr>
      </w:pPr>
    </w:p>
    <w:p w:rsidR="00AC00BA" w:rsidRPr="0036089D" w:rsidRDefault="00AC00BA" w:rsidP="00AC00BA">
      <w:pPr>
        <w:rPr>
          <w:rFonts w:ascii="Calibri" w:hAnsi="Calibri" w:cs="Arial"/>
          <w:lang w:eastAsia="en-AU"/>
        </w:rPr>
      </w:pPr>
      <w:r w:rsidRPr="0036089D">
        <w:rPr>
          <w:rFonts w:ascii="Calibri" w:hAnsi="Calibri" w:cs="Arial"/>
          <w:lang w:eastAsia="en-AU"/>
        </w:rPr>
        <w:t xml:space="preserve">The design of the </w:t>
      </w:r>
      <w:r w:rsidR="00E73023" w:rsidRPr="0036089D">
        <w:rPr>
          <w:rFonts w:ascii="Calibri" w:hAnsi="Calibri" w:cs="Arial"/>
          <w:lang w:eastAsia="en-AU"/>
        </w:rPr>
        <w:t>National Television and Computer Recycling Scheme</w:t>
      </w:r>
      <w:r w:rsidRPr="0036089D">
        <w:rPr>
          <w:rFonts w:ascii="Calibri" w:hAnsi="Calibri" w:cs="Arial"/>
          <w:lang w:eastAsia="en-AU"/>
        </w:rPr>
        <w:t xml:space="preserve"> is based on the principle</w:t>
      </w:r>
      <w:r w:rsidR="00E73023" w:rsidRPr="0036089D">
        <w:rPr>
          <w:rFonts w:ascii="Calibri" w:hAnsi="Calibri" w:cs="Arial"/>
          <w:lang w:eastAsia="en-AU"/>
        </w:rPr>
        <w:t>s</w:t>
      </w:r>
      <w:r w:rsidRPr="0036089D">
        <w:rPr>
          <w:rFonts w:ascii="Calibri" w:hAnsi="Calibri" w:cs="Arial"/>
          <w:lang w:eastAsia="en-AU"/>
        </w:rPr>
        <w:t xml:space="preserve"> of product stewardship, an </w:t>
      </w:r>
      <w:r w:rsidR="00E73023" w:rsidRPr="0036089D">
        <w:rPr>
          <w:rFonts w:ascii="Calibri" w:hAnsi="Calibri" w:cs="Arial"/>
          <w:lang w:eastAsia="en-AU"/>
        </w:rPr>
        <w:t>approach to managing the impact</w:t>
      </w:r>
      <w:r w:rsidRPr="0036089D">
        <w:rPr>
          <w:rFonts w:ascii="Calibri" w:hAnsi="Calibri" w:cs="Arial"/>
          <w:lang w:eastAsia="en-AU"/>
        </w:rPr>
        <w:t xml:space="preserve"> </w:t>
      </w:r>
      <w:r w:rsidR="00E73023" w:rsidRPr="0036089D">
        <w:rPr>
          <w:rFonts w:ascii="Calibri" w:hAnsi="Calibri" w:cs="Arial"/>
          <w:lang w:eastAsia="en-AU"/>
        </w:rPr>
        <w:t>that</w:t>
      </w:r>
      <w:r w:rsidRPr="0036089D">
        <w:rPr>
          <w:rFonts w:ascii="Calibri" w:hAnsi="Calibri" w:cs="Arial"/>
          <w:lang w:eastAsia="en-AU"/>
        </w:rPr>
        <w:t xml:space="preserve"> different products and materials </w:t>
      </w:r>
      <w:r w:rsidR="00E73023" w:rsidRPr="0036089D">
        <w:rPr>
          <w:rFonts w:ascii="Calibri" w:hAnsi="Calibri" w:cs="Arial"/>
          <w:lang w:eastAsia="en-AU"/>
        </w:rPr>
        <w:t xml:space="preserve">have on the environment and on human health </w:t>
      </w:r>
      <w:r w:rsidRPr="0036089D">
        <w:rPr>
          <w:rFonts w:ascii="Calibri" w:hAnsi="Calibri" w:cs="Arial"/>
          <w:lang w:eastAsia="en-AU"/>
        </w:rPr>
        <w:t xml:space="preserve">throughout their lifecycle. </w:t>
      </w:r>
    </w:p>
    <w:p w:rsidR="00A16B2F" w:rsidRPr="0036089D" w:rsidRDefault="00A041C0" w:rsidP="00102E34">
      <w:pPr>
        <w:rPr>
          <w:rFonts w:ascii="Calibri" w:hAnsi="Calibri" w:cs="Calibri"/>
        </w:rPr>
      </w:pPr>
      <w:r w:rsidRPr="0036089D">
        <w:rPr>
          <w:rFonts w:ascii="Calibri" w:hAnsi="Calibri" w:cs="Calibri"/>
        </w:rPr>
        <w:t xml:space="preserve">The National Television and Computer Recycling Scheme contributes to </w:t>
      </w:r>
      <w:r w:rsidR="00E73023" w:rsidRPr="0036089D">
        <w:rPr>
          <w:rFonts w:ascii="Calibri" w:hAnsi="Calibri" w:cs="Calibri"/>
        </w:rPr>
        <w:t>resource recovery</w:t>
      </w:r>
      <w:r w:rsidRPr="0036089D">
        <w:rPr>
          <w:rFonts w:ascii="Calibri" w:hAnsi="Calibri" w:cs="Calibri"/>
        </w:rPr>
        <w:t xml:space="preserve"> and hazardous waste</w:t>
      </w:r>
      <w:r w:rsidR="00576411" w:rsidRPr="0036089D">
        <w:rPr>
          <w:rFonts w:ascii="Calibri" w:hAnsi="Calibri" w:cs="Calibri"/>
        </w:rPr>
        <w:t xml:space="preserve"> management</w:t>
      </w:r>
      <w:r w:rsidRPr="0036089D">
        <w:rPr>
          <w:rFonts w:ascii="Calibri" w:hAnsi="Calibri" w:cs="Calibri"/>
        </w:rPr>
        <w:t xml:space="preserve">, requiring television and computer importers to fund the collection and recycling of a proportion of the electronic waste generated in Australia each year. </w:t>
      </w:r>
    </w:p>
    <w:p w:rsidR="00102E34" w:rsidRPr="0036089D" w:rsidRDefault="001B7976" w:rsidP="00102E34">
      <w:pPr>
        <w:rPr>
          <w:rFonts w:ascii="Calibri" w:hAnsi="Calibri" w:cs="Calibri"/>
        </w:rPr>
      </w:pPr>
      <w:r w:rsidRPr="0036089D">
        <w:rPr>
          <w:rFonts w:ascii="Calibri" w:hAnsi="Calibri" w:cs="Calibri"/>
        </w:rPr>
        <w:t>The scheme’s long-term goals include the diversion of hazardous television and computer waste from landfill, an increase in the recovery of useable materials</w:t>
      </w:r>
      <w:r w:rsidR="00A041C0" w:rsidRPr="0036089D">
        <w:rPr>
          <w:rFonts w:ascii="Calibri" w:hAnsi="Calibri" w:cs="Calibri"/>
        </w:rPr>
        <w:t>,</w:t>
      </w:r>
      <w:r w:rsidRPr="0036089D">
        <w:rPr>
          <w:rFonts w:ascii="Calibri" w:hAnsi="Calibri" w:cs="Calibri"/>
        </w:rPr>
        <w:t xml:space="preserve"> and greater access to recycling for communities across Australia. </w:t>
      </w:r>
    </w:p>
    <w:p w:rsidR="00A16B2F" w:rsidRPr="0036089D" w:rsidRDefault="00A16B2F" w:rsidP="00102E34">
      <w:pPr>
        <w:rPr>
          <w:rFonts w:ascii="Calibri" w:hAnsi="Calibri" w:cs="Calibri"/>
        </w:rPr>
      </w:pPr>
      <w:r w:rsidRPr="0036089D">
        <w:rPr>
          <w:rFonts w:ascii="Calibri" w:hAnsi="Calibri" w:cs="Calibri"/>
        </w:rPr>
        <w:t>I</w:t>
      </w:r>
      <w:r w:rsidR="001B7976" w:rsidRPr="0036089D">
        <w:rPr>
          <w:rFonts w:ascii="Calibri" w:hAnsi="Calibri" w:cs="Calibri"/>
        </w:rPr>
        <w:t xml:space="preserve">ndustry </w:t>
      </w:r>
      <w:r w:rsidRPr="0036089D">
        <w:rPr>
          <w:rFonts w:ascii="Calibri" w:hAnsi="Calibri" w:cs="Calibri"/>
        </w:rPr>
        <w:t>must take</w:t>
      </w:r>
      <w:r w:rsidR="001B7976" w:rsidRPr="0036089D">
        <w:rPr>
          <w:rFonts w:ascii="Calibri" w:hAnsi="Calibri" w:cs="Calibri"/>
        </w:rPr>
        <w:t xml:space="preserve"> responsibility for a progressively higher proportion of total waste each year</w:t>
      </w:r>
      <w:r w:rsidR="007779EC" w:rsidRPr="0036089D">
        <w:rPr>
          <w:rFonts w:ascii="Calibri" w:hAnsi="Calibri" w:cs="Calibri"/>
        </w:rPr>
        <w:t>, from</w:t>
      </w:r>
      <w:r w:rsidR="001B7976" w:rsidRPr="0036089D">
        <w:rPr>
          <w:rFonts w:ascii="Calibri" w:hAnsi="Calibri" w:cs="Calibri"/>
        </w:rPr>
        <w:t xml:space="preserve"> 30 per cent in 2012–13 to 80 per cent</w:t>
      </w:r>
      <w:r w:rsidR="007836A4" w:rsidRPr="0036089D">
        <w:rPr>
          <w:rFonts w:ascii="Calibri" w:hAnsi="Calibri" w:cs="Calibri"/>
        </w:rPr>
        <w:t xml:space="preserve"> </w:t>
      </w:r>
      <w:r w:rsidR="00A16C1A" w:rsidRPr="0036089D">
        <w:rPr>
          <w:rFonts w:ascii="Calibri" w:hAnsi="Calibri" w:cs="Calibri"/>
        </w:rPr>
        <w:t>at the peak of the scheme’s rollout</w:t>
      </w:r>
      <w:r w:rsidR="001B7976" w:rsidRPr="0036089D">
        <w:rPr>
          <w:rFonts w:ascii="Calibri" w:hAnsi="Calibri" w:cs="Calibri"/>
        </w:rPr>
        <w:t xml:space="preserve">. </w:t>
      </w:r>
    </w:p>
    <w:p w:rsidR="00102E34" w:rsidRPr="0036089D" w:rsidRDefault="00A16C1A" w:rsidP="00102E34">
      <w:pPr>
        <w:rPr>
          <w:rFonts w:ascii="Calibri" w:hAnsi="Calibri" w:cs="Calibri"/>
        </w:rPr>
      </w:pPr>
      <w:r w:rsidRPr="0036089D">
        <w:rPr>
          <w:rFonts w:ascii="Calibri" w:hAnsi="Calibri" w:cs="Calibri"/>
        </w:rPr>
        <w:t>In 2014–15</w:t>
      </w:r>
      <w:r w:rsidR="007779EC" w:rsidRPr="0036089D">
        <w:rPr>
          <w:rFonts w:ascii="Calibri" w:hAnsi="Calibri" w:cs="Calibri"/>
        </w:rPr>
        <w:t>, industry’s responsibility was to fund the recyclin</w:t>
      </w:r>
      <w:r w:rsidRPr="0036089D">
        <w:rPr>
          <w:rFonts w:ascii="Calibri" w:hAnsi="Calibri" w:cs="Calibri"/>
        </w:rPr>
        <w:t>g of 35</w:t>
      </w:r>
      <w:r w:rsidR="007779EC" w:rsidRPr="0036089D">
        <w:rPr>
          <w:rFonts w:ascii="Calibri" w:hAnsi="Calibri" w:cs="Calibri"/>
        </w:rPr>
        <w:t xml:space="preserve"> per cent of waste arising</w:t>
      </w:r>
      <w:r w:rsidR="007836A4" w:rsidRPr="0036089D">
        <w:rPr>
          <w:rFonts w:ascii="Calibri" w:hAnsi="Calibri" w:cs="Calibri"/>
        </w:rPr>
        <w:t>.</w:t>
      </w:r>
      <w:r w:rsidR="007779EC" w:rsidRPr="0036089D">
        <w:rPr>
          <w:rFonts w:ascii="Calibri" w:hAnsi="Calibri" w:cs="Calibri"/>
        </w:rPr>
        <w:t xml:space="preserve"> </w:t>
      </w:r>
      <w:r w:rsidR="0082547E" w:rsidRPr="0036089D">
        <w:rPr>
          <w:rFonts w:ascii="Calibri" w:hAnsi="Calibri" w:cs="Calibri"/>
        </w:rPr>
        <w:t>Management of t</w:t>
      </w:r>
      <w:r w:rsidR="001B7976" w:rsidRPr="0036089D">
        <w:rPr>
          <w:rFonts w:ascii="Calibri" w:hAnsi="Calibri" w:cs="Calibri"/>
        </w:rPr>
        <w:t xml:space="preserve">elevision and computer </w:t>
      </w:r>
      <w:r w:rsidR="00D65284" w:rsidRPr="0036089D">
        <w:rPr>
          <w:rFonts w:ascii="Calibri" w:hAnsi="Calibri" w:cs="Calibri"/>
        </w:rPr>
        <w:t>e</w:t>
      </w:r>
      <w:r w:rsidR="0050030E" w:rsidRPr="0036089D">
        <w:rPr>
          <w:rFonts w:ascii="Calibri" w:hAnsi="Calibri" w:cs="Calibri"/>
        </w:rPr>
        <w:noBreakHyphen/>
      </w:r>
      <w:r w:rsidR="001B7976" w:rsidRPr="0036089D">
        <w:rPr>
          <w:rFonts w:ascii="Calibri" w:hAnsi="Calibri" w:cs="Calibri"/>
        </w:rPr>
        <w:t>waste beyond these targets</w:t>
      </w:r>
      <w:r w:rsidR="00D65284" w:rsidRPr="0036089D">
        <w:rPr>
          <w:rFonts w:ascii="Calibri" w:hAnsi="Calibri" w:cs="Calibri"/>
        </w:rPr>
        <w:t xml:space="preserve">, </w:t>
      </w:r>
      <w:r w:rsidR="0050030E" w:rsidRPr="0036089D">
        <w:rPr>
          <w:rFonts w:ascii="Calibri" w:hAnsi="Calibri" w:cs="Calibri"/>
        </w:rPr>
        <w:t xml:space="preserve">as well as management of </w:t>
      </w:r>
      <w:r w:rsidR="00D65284" w:rsidRPr="0036089D">
        <w:rPr>
          <w:rFonts w:ascii="Calibri" w:hAnsi="Calibri" w:cs="Calibri"/>
        </w:rPr>
        <w:t>other waste,</w:t>
      </w:r>
      <w:r w:rsidR="001B7976" w:rsidRPr="0036089D">
        <w:rPr>
          <w:rFonts w:ascii="Calibri" w:hAnsi="Calibri" w:cs="Calibri"/>
        </w:rPr>
        <w:t xml:space="preserve"> </w:t>
      </w:r>
      <w:r w:rsidR="00102604" w:rsidRPr="0036089D">
        <w:rPr>
          <w:rFonts w:ascii="Calibri" w:hAnsi="Calibri" w:cs="Calibri"/>
        </w:rPr>
        <w:t xml:space="preserve">is </w:t>
      </w:r>
      <w:r w:rsidR="001B7976" w:rsidRPr="0036089D">
        <w:rPr>
          <w:rFonts w:ascii="Calibri" w:hAnsi="Calibri" w:cs="Calibri"/>
        </w:rPr>
        <w:t>the responsibility of state</w:t>
      </w:r>
      <w:r w:rsidR="007779EC" w:rsidRPr="0036089D">
        <w:rPr>
          <w:rFonts w:ascii="Calibri" w:hAnsi="Calibri" w:cs="Calibri"/>
        </w:rPr>
        <w:t xml:space="preserve"> and</w:t>
      </w:r>
      <w:r w:rsidR="001B7976" w:rsidRPr="0036089D">
        <w:rPr>
          <w:rFonts w:ascii="Calibri" w:hAnsi="Calibri" w:cs="Calibri"/>
        </w:rPr>
        <w:t xml:space="preserve"> territory </w:t>
      </w:r>
      <w:r w:rsidR="007779EC" w:rsidRPr="0036089D">
        <w:rPr>
          <w:rFonts w:ascii="Calibri" w:hAnsi="Calibri" w:cs="Calibri"/>
        </w:rPr>
        <w:t>governments and</w:t>
      </w:r>
      <w:r w:rsidR="0082547E" w:rsidRPr="0036089D">
        <w:rPr>
          <w:rFonts w:ascii="Calibri" w:hAnsi="Calibri" w:cs="Calibri"/>
        </w:rPr>
        <w:t>,</w:t>
      </w:r>
      <w:r w:rsidR="007779EC" w:rsidRPr="0036089D">
        <w:rPr>
          <w:rFonts w:ascii="Calibri" w:hAnsi="Calibri" w:cs="Calibri"/>
        </w:rPr>
        <w:t xml:space="preserve"> through them, </w:t>
      </w:r>
      <w:r w:rsidR="001B7976" w:rsidRPr="0036089D">
        <w:rPr>
          <w:rFonts w:ascii="Calibri" w:hAnsi="Calibri" w:cs="Calibri"/>
        </w:rPr>
        <w:t>local governments.</w:t>
      </w:r>
    </w:p>
    <w:p w:rsidR="00AF0D63" w:rsidRPr="0036089D" w:rsidRDefault="001B7976" w:rsidP="00102E34">
      <w:pPr>
        <w:rPr>
          <w:rFonts w:ascii="Calibri" w:hAnsi="Calibri" w:cs="Calibri"/>
        </w:rPr>
      </w:pPr>
      <w:r w:rsidRPr="0036089D">
        <w:rPr>
          <w:rFonts w:ascii="Calibri" w:hAnsi="Calibri"/>
          <w:bCs/>
        </w:rPr>
        <w:t>Companies importing or manufacturing over a threshold</w:t>
      </w:r>
      <w:r w:rsidR="00B41106" w:rsidRPr="0036089D">
        <w:rPr>
          <w:rFonts w:ascii="Calibri" w:hAnsi="Calibri"/>
          <w:bCs/>
        </w:rPr>
        <w:t xml:space="preserve"> amount</w:t>
      </w:r>
      <w:r w:rsidRPr="0036089D">
        <w:rPr>
          <w:rFonts w:ascii="Calibri" w:hAnsi="Calibri"/>
          <w:bCs/>
        </w:rPr>
        <w:t xml:space="preserve"> of television or computer products are liable under the scheme and must join and fund an approved co-regulatory arrangement to provide collection and recycling services on their behalf. </w:t>
      </w:r>
      <w:r w:rsidR="0082547E" w:rsidRPr="0036089D">
        <w:rPr>
          <w:rFonts w:ascii="Calibri" w:hAnsi="Calibri" w:cs="Calibri"/>
        </w:rPr>
        <w:t>There</w:t>
      </w:r>
      <w:r w:rsidR="00A16C1A" w:rsidRPr="0036089D">
        <w:rPr>
          <w:rFonts w:ascii="Calibri" w:hAnsi="Calibri" w:cs="Calibri"/>
        </w:rPr>
        <w:t xml:space="preserve"> were </w:t>
      </w:r>
      <w:r w:rsidR="00D920C3" w:rsidRPr="0036089D">
        <w:rPr>
          <w:rFonts w:ascii="Calibri" w:hAnsi="Calibri" w:cs="Calibri"/>
        </w:rPr>
        <w:t>130</w:t>
      </w:r>
      <w:r w:rsidR="00A16C1A" w:rsidRPr="0036089D">
        <w:rPr>
          <w:rFonts w:ascii="Calibri" w:hAnsi="Calibri" w:cs="Calibri"/>
        </w:rPr>
        <w:t xml:space="preserve"> liable parties in 2014–15</w:t>
      </w:r>
      <w:r w:rsidR="00D53A70" w:rsidRPr="0036089D">
        <w:rPr>
          <w:rFonts w:ascii="Calibri" w:hAnsi="Calibri" w:cs="Calibri"/>
        </w:rPr>
        <w:t xml:space="preserve">. </w:t>
      </w:r>
      <w:r w:rsidR="00F7136B" w:rsidRPr="0036089D">
        <w:rPr>
          <w:rFonts w:ascii="Calibri" w:hAnsi="Calibri" w:cs="Calibri"/>
        </w:rPr>
        <w:t xml:space="preserve">Liable party compliance as a proportion of the weight of liable imports was </w:t>
      </w:r>
      <w:r w:rsidR="008C0CEA" w:rsidRPr="0036089D">
        <w:rPr>
          <w:rFonts w:ascii="Calibri" w:hAnsi="Calibri" w:cs="Calibri"/>
        </w:rPr>
        <w:t>99.8</w:t>
      </w:r>
      <w:r w:rsidR="00F7136B" w:rsidRPr="0036089D">
        <w:rPr>
          <w:rFonts w:ascii="Calibri" w:hAnsi="Calibri" w:cs="Calibri"/>
        </w:rPr>
        <w:t xml:space="preserve"> per cent</w:t>
      </w:r>
      <w:r w:rsidR="0082547E" w:rsidRPr="0036089D">
        <w:rPr>
          <w:rFonts w:ascii="Calibri" w:hAnsi="Calibri" w:cs="Calibri"/>
        </w:rPr>
        <w:t xml:space="preserve"> at 30</w:t>
      </w:r>
      <w:r w:rsidR="00D53A70" w:rsidRPr="0036089D">
        <w:rPr>
          <w:rFonts w:ascii="Calibri" w:hAnsi="Calibri" w:cs="Calibri"/>
        </w:rPr>
        <w:t> </w:t>
      </w:r>
      <w:r w:rsidR="0082547E" w:rsidRPr="0036089D">
        <w:rPr>
          <w:rFonts w:ascii="Calibri" w:hAnsi="Calibri" w:cs="Calibri"/>
        </w:rPr>
        <w:t>June</w:t>
      </w:r>
      <w:r w:rsidR="00D53A70" w:rsidRPr="0036089D">
        <w:rPr>
          <w:rFonts w:ascii="Calibri" w:hAnsi="Calibri" w:cs="Calibri"/>
        </w:rPr>
        <w:t> </w:t>
      </w:r>
      <w:r w:rsidR="00A16C1A" w:rsidRPr="0036089D">
        <w:rPr>
          <w:rFonts w:ascii="Calibri" w:hAnsi="Calibri" w:cs="Calibri"/>
        </w:rPr>
        <w:t>2015</w:t>
      </w:r>
      <w:r w:rsidR="00F7136B" w:rsidRPr="0036089D">
        <w:rPr>
          <w:rFonts w:ascii="Calibri" w:hAnsi="Calibri" w:cs="Calibri"/>
        </w:rPr>
        <w:t>.</w:t>
      </w:r>
    </w:p>
    <w:p w:rsidR="00E73023" w:rsidRPr="0036089D" w:rsidRDefault="00A16B2F" w:rsidP="00D65284">
      <w:pPr>
        <w:rPr>
          <w:rFonts w:ascii="Calibri" w:hAnsi="Calibri" w:cs="Calibri"/>
        </w:rPr>
      </w:pPr>
      <w:r w:rsidRPr="0036089D">
        <w:rPr>
          <w:rFonts w:ascii="Calibri" w:hAnsi="Calibri" w:cs="Calibri"/>
        </w:rPr>
        <w:t>There were f</w:t>
      </w:r>
      <w:r w:rsidR="007779EC" w:rsidRPr="0036089D">
        <w:rPr>
          <w:rFonts w:ascii="Calibri" w:hAnsi="Calibri" w:cs="Calibri"/>
        </w:rPr>
        <w:t xml:space="preserve">ive </w:t>
      </w:r>
      <w:r w:rsidR="001B7976" w:rsidRPr="0036089D">
        <w:rPr>
          <w:rFonts w:ascii="Calibri" w:hAnsi="Calibri" w:cs="Calibri"/>
        </w:rPr>
        <w:t>co-regulatory arrangements operati</w:t>
      </w:r>
      <w:r w:rsidR="00FE4E07" w:rsidRPr="0036089D">
        <w:rPr>
          <w:rFonts w:ascii="Calibri" w:hAnsi="Calibri" w:cs="Calibri"/>
        </w:rPr>
        <w:t>ng</w:t>
      </w:r>
      <w:r w:rsidR="001B7976" w:rsidRPr="0036089D">
        <w:rPr>
          <w:rFonts w:ascii="Calibri" w:hAnsi="Calibri" w:cs="Calibri"/>
        </w:rPr>
        <w:t xml:space="preserve"> in 201</w:t>
      </w:r>
      <w:r w:rsidR="00001653" w:rsidRPr="0036089D">
        <w:rPr>
          <w:rFonts w:ascii="Calibri" w:hAnsi="Calibri" w:cs="Calibri"/>
        </w:rPr>
        <w:t>4</w:t>
      </w:r>
      <w:r w:rsidR="001B7976" w:rsidRPr="0036089D">
        <w:rPr>
          <w:rFonts w:ascii="Calibri" w:hAnsi="Calibri" w:cs="Calibri"/>
        </w:rPr>
        <w:t>–1</w:t>
      </w:r>
      <w:r w:rsidR="00001653" w:rsidRPr="0036089D">
        <w:rPr>
          <w:rFonts w:ascii="Calibri" w:hAnsi="Calibri" w:cs="Calibri"/>
        </w:rPr>
        <w:t>5</w:t>
      </w:r>
      <w:r w:rsidR="0093780B" w:rsidRPr="0036089D">
        <w:rPr>
          <w:rFonts w:ascii="Calibri" w:hAnsi="Calibri" w:cs="Calibri"/>
        </w:rPr>
        <w:t xml:space="preserve">: Australia </w:t>
      </w:r>
      <w:r w:rsidR="001B7976" w:rsidRPr="0036089D">
        <w:rPr>
          <w:rFonts w:ascii="Calibri" w:hAnsi="Calibri" w:cs="Calibri"/>
        </w:rPr>
        <w:t>and New Zealand Recycling Platform Limited (ANZRP)</w:t>
      </w:r>
      <w:r w:rsidR="00B41106" w:rsidRPr="0036089D">
        <w:rPr>
          <w:rFonts w:ascii="Calibri" w:hAnsi="Calibri" w:cs="Calibri"/>
        </w:rPr>
        <w:t>,</w:t>
      </w:r>
      <w:r w:rsidR="001B7976" w:rsidRPr="0036089D">
        <w:rPr>
          <w:rFonts w:ascii="Calibri" w:hAnsi="Calibri" w:cs="Calibri"/>
        </w:rPr>
        <w:t xml:space="preserve"> </w:t>
      </w:r>
      <w:r w:rsidR="00B41106" w:rsidRPr="0036089D">
        <w:rPr>
          <w:rFonts w:ascii="Calibri" w:hAnsi="Calibri" w:cs="Calibri"/>
        </w:rPr>
        <w:t>DHL Supply Chain (Australia) Pty Limited,</w:t>
      </w:r>
      <w:r w:rsidR="004E26B9" w:rsidRPr="0036089D">
        <w:rPr>
          <w:rFonts w:ascii="Calibri" w:hAnsi="Calibri" w:cs="Calibri"/>
        </w:rPr>
        <w:t xml:space="preserve"> </w:t>
      </w:r>
      <w:proofErr w:type="spellStart"/>
      <w:r w:rsidR="001B7976" w:rsidRPr="0036089D">
        <w:rPr>
          <w:rFonts w:ascii="Calibri" w:hAnsi="Calibri" w:cs="Calibri"/>
        </w:rPr>
        <w:t>E</w:t>
      </w:r>
      <w:r w:rsidR="00B41106" w:rsidRPr="0036089D">
        <w:rPr>
          <w:rFonts w:ascii="Calibri" w:hAnsi="Calibri" w:cs="Calibri"/>
        </w:rPr>
        <w:t>c</w:t>
      </w:r>
      <w:r w:rsidR="001B7976" w:rsidRPr="0036089D">
        <w:rPr>
          <w:rFonts w:ascii="Calibri" w:hAnsi="Calibri" w:cs="Calibri"/>
        </w:rPr>
        <w:t>ycle</w:t>
      </w:r>
      <w:proofErr w:type="spellEnd"/>
      <w:r w:rsidR="001B7976" w:rsidRPr="0036089D">
        <w:rPr>
          <w:rFonts w:ascii="Calibri" w:hAnsi="Calibri" w:cs="Calibri"/>
        </w:rPr>
        <w:t xml:space="preserve"> Solutions Pty Ltd</w:t>
      </w:r>
      <w:r w:rsidR="007779EC" w:rsidRPr="0036089D">
        <w:rPr>
          <w:rFonts w:ascii="Calibri" w:hAnsi="Calibri" w:cs="Calibri"/>
        </w:rPr>
        <w:t>, Electronic Product Stewardship Australasia (EPSA) and Reverse E</w:t>
      </w:r>
      <w:r w:rsidR="00C37D6D" w:rsidRPr="0036089D">
        <w:rPr>
          <w:rFonts w:ascii="Calibri" w:hAnsi="Calibri" w:cs="Calibri"/>
        </w:rPr>
        <w:noBreakHyphen/>
      </w:r>
      <w:r w:rsidR="007779EC" w:rsidRPr="0036089D">
        <w:rPr>
          <w:rFonts w:ascii="Calibri" w:hAnsi="Calibri" w:cs="Calibri"/>
        </w:rPr>
        <w:t>waste</w:t>
      </w:r>
      <w:r w:rsidR="001B7976" w:rsidRPr="0036089D">
        <w:rPr>
          <w:rFonts w:ascii="Calibri" w:hAnsi="Calibri" w:cs="Calibri"/>
        </w:rPr>
        <w:t>.</w:t>
      </w:r>
      <w:r w:rsidR="0076325D" w:rsidRPr="0036089D">
        <w:rPr>
          <w:rFonts w:ascii="Calibri" w:hAnsi="Calibri" w:cs="Calibri"/>
        </w:rPr>
        <w:t xml:space="preserve"> </w:t>
      </w:r>
      <w:r w:rsidR="00D65284" w:rsidRPr="0036089D">
        <w:rPr>
          <w:rFonts w:ascii="Calibri" w:hAnsi="Calibri" w:cs="Calibri"/>
        </w:rPr>
        <w:t xml:space="preserve"> </w:t>
      </w:r>
    </w:p>
    <w:p w:rsidR="00A16C1A" w:rsidRPr="0036089D" w:rsidRDefault="008C0CEA" w:rsidP="00D65284">
      <w:pPr>
        <w:rPr>
          <w:rFonts w:ascii="Calibri" w:hAnsi="Calibri" w:cs="Calibri"/>
        </w:rPr>
      </w:pPr>
      <w:r w:rsidRPr="0036089D">
        <w:rPr>
          <w:rFonts w:ascii="Calibri" w:hAnsi="Calibri" w:cs="Calibri"/>
        </w:rPr>
        <w:t>At the end of the financial year, t</w:t>
      </w:r>
      <w:r w:rsidR="00850529" w:rsidRPr="0036089D">
        <w:rPr>
          <w:rFonts w:ascii="Calibri" w:hAnsi="Calibri" w:cs="Calibri"/>
        </w:rPr>
        <w:t xml:space="preserve">he administrator of </w:t>
      </w:r>
      <w:r w:rsidR="00A16C1A" w:rsidRPr="0036089D">
        <w:rPr>
          <w:rFonts w:ascii="Calibri" w:hAnsi="Calibri" w:cs="Calibri"/>
        </w:rPr>
        <w:t xml:space="preserve">Reverse E-waste </w:t>
      </w:r>
      <w:r w:rsidR="00850529" w:rsidRPr="0036089D">
        <w:rPr>
          <w:rFonts w:ascii="Calibri" w:hAnsi="Calibri" w:cs="Calibri"/>
        </w:rPr>
        <w:t xml:space="preserve">made an application under 28(3) of the </w:t>
      </w:r>
      <w:r w:rsidR="00850529" w:rsidRPr="0036089D">
        <w:rPr>
          <w:rFonts w:ascii="Calibri" w:hAnsi="Calibri" w:cs="Calibri"/>
          <w:i/>
        </w:rPr>
        <w:t>Product Stewardship Act 2011</w:t>
      </w:r>
      <w:r w:rsidR="00850529" w:rsidRPr="0036089D">
        <w:rPr>
          <w:rFonts w:ascii="Calibri" w:hAnsi="Calibri" w:cs="Calibri"/>
        </w:rPr>
        <w:t xml:space="preserve"> for cancellation of the arrangement. This application was </w:t>
      </w:r>
      <w:r w:rsidR="00A16C1A" w:rsidRPr="0036089D">
        <w:rPr>
          <w:rFonts w:ascii="Calibri" w:hAnsi="Calibri" w:cs="Calibri"/>
        </w:rPr>
        <w:t xml:space="preserve">granted on </w:t>
      </w:r>
      <w:r w:rsidR="00FE6C65" w:rsidRPr="0036089D">
        <w:rPr>
          <w:rFonts w:ascii="Calibri" w:hAnsi="Calibri" w:cs="Calibri"/>
        </w:rPr>
        <w:t>7 </w:t>
      </w:r>
      <w:r w:rsidR="00A16C1A" w:rsidRPr="0036089D">
        <w:rPr>
          <w:rFonts w:ascii="Calibri" w:hAnsi="Calibri" w:cs="Calibri"/>
        </w:rPr>
        <w:t>August 2015.</w:t>
      </w:r>
    </w:p>
    <w:p w:rsidR="003D2378" w:rsidRPr="0036089D" w:rsidRDefault="00A10394" w:rsidP="00D65284">
      <w:pPr>
        <w:rPr>
          <w:rFonts w:asciiTheme="minorHAnsi" w:hAnsiTheme="minorHAnsi"/>
        </w:rPr>
      </w:pPr>
      <w:r w:rsidRPr="0036089D">
        <w:rPr>
          <w:rFonts w:asciiTheme="minorHAnsi" w:hAnsiTheme="minorHAnsi"/>
        </w:rPr>
        <w:t xml:space="preserve">A total of </w:t>
      </w:r>
      <w:r w:rsidR="002120E4" w:rsidRPr="0036089D">
        <w:rPr>
          <w:rFonts w:asciiTheme="minorHAnsi" w:hAnsiTheme="minorHAnsi"/>
        </w:rPr>
        <w:t>1,677</w:t>
      </w:r>
      <w:r w:rsidR="003D604E" w:rsidRPr="0036089D">
        <w:rPr>
          <w:rFonts w:asciiTheme="minorHAnsi" w:hAnsiTheme="minorHAnsi"/>
        </w:rPr>
        <w:t xml:space="preserve"> </w:t>
      </w:r>
      <w:r w:rsidR="00EE44EB" w:rsidRPr="0036089D">
        <w:rPr>
          <w:rFonts w:asciiTheme="minorHAnsi" w:hAnsiTheme="minorHAnsi"/>
        </w:rPr>
        <w:t>collection services</w:t>
      </w:r>
      <w:r w:rsidR="002120E4" w:rsidRPr="0036089D">
        <w:rPr>
          <w:rFonts w:asciiTheme="minorHAnsi" w:hAnsiTheme="minorHAnsi"/>
        </w:rPr>
        <w:t xml:space="preserve"> were provided to the public under the scheme</w:t>
      </w:r>
      <w:r w:rsidR="009B1DEF" w:rsidRPr="0036089D">
        <w:rPr>
          <w:rFonts w:asciiTheme="minorHAnsi" w:hAnsiTheme="minorHAnsi"/>
        </w:rPr>
        <w:t xml:space="preserve"> in 2014</w:t>
      </w:r>
      <w:r w:rsidR="00735612" w:rsidRPr="0036089D">
        <w:rPr>
          <w:rFonts w:asciiTheme="minorHAnsi" w:hAnsiTheme="minorHAnsi"/>
        </w:rPr>
        <w:noBreakHyphen/>
      </w:r>
      <w:r w:rsidR="009B1DEF" w:rsidRPr="0036089D">
        <w:rPr>
          <w:rFonts w:asciiTheme="minorHAnsi" w:hAnsiTheme="minorHAnsi"/>
        </w:rPr>
        <w:t>15</w:t>
      </w:r>
      <w:r w:rsidR="002120E4" w:rsidRPr="0036089D">
        <w:rPr>
          <w:rFonts w:asciiTheme="minorHAnsi" w:hAnsiTheme="minorHAnsi"/>
        </w:rPr>
        <w:t>, and 1,060 of these services were shared between one or more co-regulatory arrangements</w:t>
      </w:r>
      <w:r w:rsidRPr="0036089D">
        <w:rPr>
          <w:rFonts w:asciiTheme="minorHAnsi" w:hAnsiTheme="minorHAnsi"/>
        </w:rPr>
        <w:t>. These inc</w:t>
      </w:r>
      <w:r w:rsidR="003D2378" w:rsidRPr="0036089D">
        <w:rPr>
          <w:rFonts w:asciiTheme="minorHAnsi" w:hAnsiTheme="minorHAnsi"/>
        </w:rPr>
        <w:t>l</w:t>
      </w:r>
      <w:r w:rsidRPr="0036089D">
        <w:rPr>
          <w:rFonts w:asciiTheme="minorHAnsi" w:hAnsiTheme="minorHAnsi"/>
        </w:rPr>
        <w:t xml:space="preserve">uded </w:t>
      </w:r>
      <w:r w:rsidR="0004728F" w:rsidRPr="0036089D">
        <w:rPr>
          <w:rFonts w:asciiTheme="minorHAnsi" w:hAnsiTheme="minorHAnsi"/>
        </w:rPr>
        <w:t>longer</w:t>
      </w:r>
      <w:r w:rsidR="0082547E" w:rsidRPr="0036089D">
        <w:rPr>
          <w:rFonts w:asciiTheme="minorHAnsi" w:hAnsiTheme="minorHAnsi"/>
        </w:rPr>
        <w:t>-</w:t>
      </w:r>
      <w:r w:rsidR="0004728F" w:rsidRPr="0036089D">
        <w:rPr>
          <w:rFonts w:asciiTheme="minorHAnsi" w:hAnsiTheme="minorHAnsi"/>
        </w:rPr>
        <w:t>term services</w:t>
      </w:r>
      <w:r w:rsidR="003D2378" w:rsidRPr="0036089D">
        <w:rPr>
          <w:rFonts w:asciiTheme="minorHAnsi" w:hAnsiTheme="minorHAnsi"/>
        </w:rPr>
        <w:t xml:space="preserve">, such as </w:t>
      </w:r>
      <w:r w:rsidRPr="0036089D">
        <w:rPr>
          <w:rFonts w:asciiTheme="minorHAnsi" w:hAnsiTheme="minorHAnsi"/>
        </w:rPr>
        <w:t>drop off points at major electronics retailers</w:t>
      </w:r>
      <w:r w:rsidR="003D2378" w:rsidRPr="0036089D">
        <w:rPr>
          <w:rFonts w:asciiTheme="minorHAnsi" w:hAnsiTheme="minorHAnsi"/>
        </w:rPr>
        <w:t xml:space="preserve"> and</w:t>
      </w:r>
      <w:r w:rsidRPr="0036089D">
        <w:rPr>
          <w:rFonts w:asciiTheme="minorHAnsi" w:hAnsiTheme="minorHAnsi"/>
        </w:rPr>
        <w:t xml:space="preserve"> local government waste </w:t>
      </w:r>
      <w:r w:rsidR="00D65284" w:rsidRPr="0036089D">
        <w:rPr>
          <w:rFonts w:asciiTheme="minorHAnsi" w:hAnsiTheme="minorHAnsi"/>
        </w:rPr>
        <w:t>transfer stations</w:t>
      </w:r>
      <w:r w:rsidRPr="0036089D">
        <w:rPr>
          <w:rFonts w:asciiTheme="minorHAnsi" w:hAnsiTheme="minorHAnsi"/>
        </w:rPr>
        <w:t xml:space="preserve">, </w:t>
      </w:r>
      <w:r w:rsidR="0076325D" w:rsidRPr="0036089D">
        <w:rPr>
          <w:rFonts w:asciiTheme="minorHAnsi" w:hAnsiTheme="minorHAnsi"/>
        </w:rPr>
        <w:t>as well as</w:t>
      </w:r>
      <w:r w:rsidRPr="0036089D">
        <w:rPr>
          <w:rFonts w:asciiTheme="minorHAnsi" w:hAnsiTheme="minorHAnsi"/>
        </w:rPr>
        <w:t xml:space="preserve"> temporary collection events.</w:t>
      </w:r>
      <w:r w:rsidRPr="0036089D">
        <w:t xml:space="preserve"> </w:t>
      </w:r>
    </w:p>
    <w:p w:rsidR="00A16B2F" w:rsidRPr="0036089D" w:rsidRDefault="001B7976" w:rsidP="00102E34">
      <w:pPr>
        <w:rPr>
          <w:rFonts w:ascii="Calibri" w:hAnsi="Calibri" w:cs="Calibri"/>
        </w:rPr>
      </w:pPr>
      <w:r w:rsidRPr="0036089D">
        <w:rPr>
          <w:rFonts w:ascii="Calibri" w:hAnsi="Calibri" w:cs="Calibri"/>
        </w:rPr>
        <w:t xml:space="preserve">An estimated total of </w:t>
      </w:r>
      <w:r w:rsidR="007924BD" w:rsidRPr="0036089D">
        <w:rPr>
          <w:rFonts w:ascii="Calibri" w:hAnsi="Calibri" w:cs="Calibri"/>
        </w:rPr>
        <w:t>121,86</w:t>
      </w:r>
      <w:r w:rsidR="006375B5" w:rsidRPr="0036089D">
        <w:rPr>
          <w:rFonts w:ascii="Calibri" w:hAnsi="Calibri" w:cs="Calibri"/>
        </w:rPr>
        <w:t>6</w:t>
      </w:r>
      <w:r w:rsidR="007924BD" w:rsidRPr="0036089D">
        <w:rPr>
          <w:rFonts w:ascii="Calibri" w:hAnsi="Calibri" w:cs="Calibri"/>
        </w:rPr>
        <w:t>.</w:t>
      </w:r>
      <w:r w:rsidR="006375B5" w:rsidRPr="0036089D">
        <w:rPr>
          <w:rFonts w:ascii="Calibri" w:hAnsi="Calibri" w:cs="Calibri"/>
        </w:rPr>
        <w:t>3</w:t>
      </w:r>
      <w:r w:rsidR="003D604E" w:rsidRPr="0036089D">
        <w:rPr>
          <w:rFonts w:ascii="Calibri" w:hAnsi="Calibri" w:cs="Calibri"/>
        </w:rPr>
        <w:t xml:space="preserve"> </w:t>
      </w:r>
      <w:r w:rsidRPr="0036089D">
        <w:rPr>
          <w:rFonts w:ascii="Calibri" w:hAnsi="Calibri" w:cs="Calibri"/>
        </w:rPr>
        <w:t>tonnes of televisions and computers reached end</w:t>
      </w:r>
      <w:r w:rsidR="00D65284" w:rsidRPr="0036089D">
        <w:rPr>
          <w:rFonts w:ascii="Calibri" w:hAnsi="Calibri" w:cs="Calibri"/>
        </w:rPr>
        <w:t>-</w:t>
      </w:r>
      <w:r w:rsidRPr="0036089D">
        <w:rPr>
          <w:rFonts w:ascii="Calibri" w:hAnsi="Calibri" w:cs="Calibri"/>
        </w:rPr>
        <w:t>of</w:t>
      </w:r>
      <w:r w:rsidR="00D65284" w:rsidRPr="0036089D">
        <w:rPr>
          <w:rFonts w:ascii="Calibri" w:hAnsi="Calibri" w:cs="Calibri"/>
        </w:rPr>
        <w:t>-</w:t>
      </w:r>
      <w:r w:rsidRPr="0036089D">
        <w:rPr>
          <w:rFonts w:ascii="Calibri" w:hAnsi="Calibri" w:cs="Calibri"/>
        </w:rPr>
        <w:t>life in Australia in 201</w:t>
      </w:r>
      <w:r w:rsidR="009F143A" w:rsidRPr="0036089D">
        <w:rPr>
          <w:rFonts w:ascii="Calibri" w:hAnsi="Calibri" w:cs="Calibri"/>
        </w:rPr>
        <w:t>4</w:t>
      </w:r>
      <w:r w:rsidRPr="0036089D">
        <w:rPr>
          <w:rFonts w:ascii="Calibri" w:hAnsi="Calibri" w:cs="Calibri"/>
        </w:rPr>
        <w:t>–1</w:t>
      </w:r>
      <w:r w:rsidR="009F143A" w:rsidRPr="0036089D">
        <w:rPr>
          <w:rFonts w:ascii="Calibri" w:hAnsi="Calibri" w:cs="Calibri"/>
        </w:rPr>
        <w:t>5</w:t>
      </w:r>
      <w:r w:rsidRPr="0036089D">
        <w:rPr>
          <w:rFonts w:ascii="Calibri" w:hAnsi="Calibri" w:cs="Calibri"/>
        </w:rPr>
        <w:t>. Industry’s target under the scheme was to recycle 3</w:t>
      </w:r>
      <w:r w:rsidR="009F143A" w:rsidRPr="0036089D">
        <w:rPr>
          <w:rFonts w:ascii="Calibri" w:hAnsi="Calibri" w:cs="Calibri"/>
        </w:rPr>
        <w:t>5</w:t>
      </w:r>
      <w:r w:rsidRPr="0036089D">
        <w:rPr>
          <w:rFonts w:ascii="Calibri" w:hAnsi="Calibri" w:cs="Calibri"/>
        </w:rPr>
        <w:t xml:space="preserve"> per cent of this amount, or </w:t>
      </w:r>
      <w:r w:rsidR="00B36DBB" w:rsidRPr="0036089D">
        <w:rPr>
          <w:rFonts w:ascii="Calibri" w:hAnsi="Calibri" w:cs="Calibri"/>
        </w:rPr>
        <w:t>42,653.2</w:t>
      </w:r>
      <w:r w:rsidR="003D604E" w:rsidRPr="0036089D">
        <w:rPr>
          <w:rFonts w:ascii="Calibri" w:hAnsi="Calibri" w:cs="Calibri"/>
        </w:rPr>
        <w:t xml:space="preserve"> </w:t>
      </w:r>
      <w:r w:rsidRPr="0036089D">
        <w:rPr>
          <w:rFonts w:ascii="Calibri" w:hAnsi="Calibri" w:cs="Arial"/>
          <w:lang w:eastAsia="en-AU"/>
        </w:rPr>
        <w:t>tonnes</w:t>
      </w:r>
      <w:r w:rsidRPr="0036089D">
        <w:rPr>
          <w:rFonts w:ascii="Calibri" w:hAnsi="Calibri" w:cs="Calibri"/>
        </w:rPr>
        <w:t>. A total of</w:t>
      </w:r>
      <w:r w:rsidR="007426E2" w:rsidRPr="0036089D">
        <w:rPr>
          <w:rFonts w:asciiTheme="minorHAnsi" w:hAnsiTheme="minorHAnsi" w:cs="Calibri"/>
        </w:rPr>
        <w:t xml:space="preserve"> </w:t>
      </w:r>
      <w:r w:rsidR="007426E2" w:rsidRPr="0036089D">
        <w:rPr>
          <w:rFonts w:asciiTheme="minorHAnsi" w:hAnsiTheme="minorHAnsi" w:cs="Arial"/>
        </w:rPr>
        <w:t>44,</w:t>
      </w:r>
      <w:r w:rsidR="00307AD9" w:rsidRPr="0036089D">
        <w:rPr>
          <w:rFonts w:asciiTheme="minorHAnsi" w:hAnsiTheme="minorHAnsi" w:cs="Arial"/>
        </w:rPr>
        <w:t>730.5</w:t>
      </w:r>
      <w:r w:rsidR="007426E2" w:rsidRPr="0036089D">
        <w:rPr>
          <w:rFonts w:asciiTheme="minorHAnsi" w:hAnsiTheme="minorHAnsi" w:cs="Arial"/>
          <w:b/>
          <w:sz w:val="20"/>
          <w:szCs w:val="20"/>
        </w:rPr>
        <w:t xml:space="preserve"> </w:t>
      </w:r>
      <w:r w:rsidRPr="0036089D">
        <w:rPr>
          <w:rFonts w:ascii="Calibri" w:hAnsi="Calibri" w:cs="Calibri"/>
        </w:rPr>
        <w:t>to</w:t>
      </w:r>
      <w:r w:rsidR="00C37D6D" w:rsidRPr="0036089D">
        <w:rPr>
          <w:rFonts w:ascii="Calibri" w:hAnsi="Calibri" w:cs="Calibri"/>
        </w:rPr>
        <w:t xml:space="preserve">nnes of recycling was achieved </w:t>
      </w:r>
      <w:r w:rsidR="007867F5" w:rsidRPr="0036089D">
        <w:rPr>
          <w:rFonts w:ascii="Calibri" w:hAnsi="Calibri" w:cs="Calibri"/>
        </w:rPr>
        <w:t xml:space="preserve">in </w:t>
      </w:r>
      <w:r w:rsidR="00C37D6D" w:rsidRPr="0036089D">
        <w:rPr>
          <w:rFonts w:ascii="Calibri" w:hAnsi="Calibri" w:cs="Calibri"/>
        </w:rPr>
        <w:t>2014</w:t>
      </w:r>
      <w:r w:rsidR="00C37D6D" w:rsidRPr="0036089D">
        <w:rPr>
          <w:rFonts w:ascii="Calibri" w:hAnsi="Calibri" w:cs="Calibri"/>
        </w:rPr>
        <w:softHyphen/>
        <w:t>–15</w:t>
      </w:r>
      <w:r w:rsidRPr="0036089D">
        <w:rPr>
          <w:rFonts w:ascii="Calibri" w:hAnsi="Calibri" w:cs="Calibri"/>
        </w:rPr>
        <w:t xml:space="preserve">. </w:t>
      </w:r>
    </w:p>
    <w:p w:rsidR="00CF1229" w:rsidRPr="0036089D" w:rsidRDefault="0037095E" w:rsidP="00102E34">
      <w:pPr>
        <w:rPr>
          <w:rFonts w:ascii="Calibri" w:hAnsi="Calibri" w:cs="Calibri"/>
        </w:rPr>
        <w:sectPr w:rsidR="00CF1229" w:rsidRPr="0036089D" w:rsidSect="007A1EB4">
          <w:type w:val="continuous"/>
          <w:pgSz w:w="11906" w:h="16838"/>
          <w:pgMar w:top="1440" w:right="1133" w:bottom="993" w:left="1440" w:header="708" w:footer="708" w:gutter="0"/>
          <w:cols w:num="2" w:space="547"/>
          <w:docGrid w:linePitch="360"/>
        </w:sectPr>
      </w:pPr>
      <w:r>
        <w:rPr>
          <w:rFonts w:ascii="Calibri" w:hAnsi="Calibri"/>
          <w:bCs/>
          <w:noProof/>
          <w:lang w:eastAsia="en-AU"/>
        </w:rPr>
        <mc:AlternateContent>
          <mc:Choice Requires="wps">
            <w:drawing>
              <wp:inline distT="0" distB="0" distL="0" distR="0" wp14:anchorId="2F3AEC1D" wp14:editId="0280F186">
                <wp:extent cx="2787015" cy="2778760"/>
                <wp:effectExtent l="12700" t="6350" r="10160" b="24765"/>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277876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3A2863" w:rsidRDefault="003A2863" w:rsidP="007A1EB4">
                            <w:pPr>
                              <w:spacing w:before="240" w:after="120" w:line="240" w:lineRule="auto"/>
                              <w:jc w:val="center"/>
                              <w:rPr>
                                <w:rFonts w:cs="Arial"/>
                                <w:b/>
                                <w:sz w:val="20"/>
                                <w:szCs w:val="20"/>
                              </w:rPr>
                            </w:pPr>
                            <w:r>
                              <w:rPr>
                                <w:rFonts w:cs="Arial"/>
                                <w:b/>
                                <w:sz w:val="20"/>
                                <w:szCs w:val="20"/>
                              </w:rPr>
                              <w:t>ACHIEVEMENT SUMMARY</w:t>
                            </w:r>
                          </w:p>
                          <w:p w:rsidR="003A2863" w:rsidRPr="0093780B" w:rsidRDefault="003A2863" w:rsidP="00A16B2F">
                            <w:pPr>
                              <w:pStyle w:val="ListBullet"/>
                              <w:spacing w:after="120" w:line="240" w:lineRule="auto"/>
                              <w:ind w:hanging="227"/>
                              <w:rPr>
                                <w:rFonts w:ascii="Calibri" w:hAnsi="Calibri"/>
                                <w:bCs/>
                              </w:rPr>
                            </w:pPr>
                            <w:r w:rsidRPr="0036089D">
                              <w:rPr>
                                <w:rFonts w:cs="Arial"/>
                                <w:sz w:val="20"/>
                                <w:szCs w:val="20"/>
                              </w:rPr>
                              <w:t>44,730</w:t>
                            </w:r>
                            <w:r>
                              <w:rPr>
                                <w:rFonts w:cs="Arial"/>
                                <w:sz w:val="20"/>
                                <w:szCs w:val="20"/>
                              </w:rPr>
                              <w:t>.5</w:t>
                            </w:r>
                            <w:r w:rsidRPr="0093780B">
                              <w:rPr>
                                <w:rFonts w:cs="Arial"/>
                                <w:sz w:val="20"/>
                                <w:szCs w:val="20"/>
                              </w:rPr>
                              <w:t xml:space="preserve"> </w:t>
                            </w:r>
                            <w:r w:rsidRPr="0093780B">
                              <w:rPr>
                                <w:rFonts w:ascii="Calibri" w:hAnsi="Calibri"/>
                                <w:bCs/>
                              </w:rPr>
                              <w:t>tonnes of e-waste were recycled under the scheme in 2014–15</w:t>
                            </w:r>
                          </w:p>
                          <w:p w:rsidR="003A2863" w:rsidRPr="0093780B" w:rsidRDefault="003A2863" w:rsidP="00A16B2F">
                            <w:pPr>
                              <w:pStyle w:val="ListBullet"/>
                              <w:spacing w:after="120" w:line="240" w:lineRule="auto"/>
                              <w:ind w:hanging="227"/>
                              <w:rPr>
                                <w:rFonts w:ascii="Calibri" w:hAnsi="Calibri"/>
                                <w:bCs/>
                              </w:rPr>
                            </w:pPr>
                            <w:r>
                              <w:rPr>
                                <w:rFonts w:ascii="Calibri" w:hAnsi="Calibri"/>
                                <w:bCs/>
                              </w:rPr>
                              <w:t>1,677</w:t>
                            </w:r>
                            <w:r w:rsidRPr="0093780B">
                              <w:rPr>
                                <w:rFonts w:ascii="Calibri" w:hAnsi="Calibri"/>
                                <w:bCs/>
                              </w:rPr>
                              <w:t xml:space="preserve"> longer-term and  event-based collection services were made available around Australia</w:t>
                            </w:r>
                          </w:p>
                          <w:p w:rsidR="003A2863" w:rsidRDefault="003A2863" w:rsidP="00A16B2F">
                            <w:pPr>
                              <w:pStyle w:val="ListBullet"/>
                              <w:spacing w:after="120" w:line="240" w:lineRule="auto"/>
                              <w:ind w:hanging="227"/>
                              <w:rPr>
                                <w:rFonts w:ascii="Calibri" w:hAnsi="Calibri"/>
                                <w:bCs/>
                              </w:rPr>
                            </w:pPr>
                            <w:r w:rsidRPr="0093780B">
                              <w:rPr>
                                <w:rFonts w:ascii="Calibri" w:hAnsi="Calibri"/>
                                <w:bCs/>
                              </w:rPr>
                              <w:t xml:space="preserve">130 TV and computer companies were </w:t>
                            </w:r>
                            <w:r>
                              <w:rPr>
                                <w:rFonts w:ascii="Calibri" w:hAnsi="Calibri"/>
                                <w:bCs/>
                              </w:rPr>
                              <w:t xml:space="preserve">identified as </w:t>
                            </w:r>
                            <w:r w:rsidRPr="0093780B">
                              <w:rPr>
                                <w:rFonts w:ascii="Calibri" w:hAnsi="Calibri"/>
                                <w:bCs/>
                              </w:rPr>
                              <w:t>liable parties</w:t>
                            </w:r>
                            <w:r>
                              <w:rPr>
                                <w:rFonts w:ascii="Calibri" w:hAnsi="Calibri"/>
                                <w:bCs/>
                              </w:rPr>
                              <w:t xml:space="preserve"> with obligations under the scheme</w:t>
                            </w:r>
                          </w:p>
                          <w:p w:rsidR="003A2863" w:rsidRPr="0093780B" w:rsidRDefault="003A2863" w:rsidP="00A16B2F">
                            <w:pPr>
                              <w:pStyle w:val="ListBullet"/>
                              <w:spacing w:after="120" w:line="240" w:lineRule="auto"/>
                              <w:ind w:hanging="227"/>
                              <w:rPr>
                                <w:rFonts w:ascii="Calibri" w:hAnsi="Calibri"/>
                                <w:bCs/>
                              </w:rPr>
                            </w:pPr>
                            <w:r>
                              <w:rPr>
                                <w:rFonts w:ascii="Calibri" w:hAnsi="Calibri"/>
                                <w:bCs/>
                              </w:rPr>
                              <w:t>B</w:t>
                            </w:r>
                            <w:r w:rsidRPr="0093780B">
                              <w:rPr>
                                <w:rFonts w:ascii="Calibri" w:hAnsi="Calibri"/>
                                <w:bCs/>
                              </w:rPr>
                              <w:t>y 30 June 2015, 127 of these parties had met their obligation to join and fund a co-regulatory arrangement</w:t>
                            </w:r>
                            <w:r>
                              <w:rPr>
                                <w:rFonts w:ascii="Calibri" w:hAnsi="Calibri"/>
                                <w:bCs/>
                              </w:rPr>
                              <w:t>.</w:t>
                            </w:r>
                          </w:p>
                          <w:p w:rsidR="003A2863" w:rsidRPr="00E24056" w:rsidRDefault="003A2863" w:rsidP="00A16B2F"/>
                        </w:txbxContent>
                      </wps:txbx>
                      <wps:bodyPr rot="0" vert="horz" wrap="square" lIns="91440" tIns="45720" rIns="91440" bIns="45720" anchor="t" anchorCtr="0" upright="1">
                        <a:noAutofit/>
                      </wps:bodyPr>
                    </wps:wsp>
                  </a:graphicData>
                </a:graphic>
              </wp:inline>
            </w:drawing>
          </mc:Choice>
          <mc:Fallback>
            <w:pict>
              <v:shapetype w14:anchorId="2F3AEC1D" id="_x0000_t202" coordsize="21600,21600" o:spt="202" path="m,l,21600r21600,l21600,xe">
                <v:stroke joinstyle="miter"/>
                <v:path gradientshapeok="t" o:connecttype="rect"/>
              </v:shapetype>
              <v:shape id="Text Box 35" o:spid="_x0000_s1026" type="#_x0000_t202" style="width:219.45pt;height:2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" fillcolor="white [3201]" strokecolor="#95b3d7 [1940]" strokeweight="1pt">
                <v:fill color2="#b8cce4 [1300]" focus="100%" type="gradient"/>
                <v:shadow on="t" color="#243f60 [1604]" opacity=".5" offset="1pt"/>
                <v:textbox>
                  <w:txbxContent>
                    <w:p w:rsidR="003A2863" w:rsidRDefault="003A2863" w:rsidP="007A1EB4">
                      <w:pPr>
                        <w:spacing w:before="240" w:after="120" w:line="240" w:lineRule="auto"/>
                        <w:jc w:val="center"/>
                        <w:rPr>
                          <w:rFonts w:cs="Arial"/>
                          <w:b/>
                          <w:sz w:val="20"/>
                          <w:szCs w:val="20"/>
                        </w:rPr>
                      </w:pPr>
                      <w:r>
                        <w:rPr>
                          <w:rFonts w:cs="Arial"/>
                          <w:b/>
                          <w:sz w:val="20"/>
                          <w:szCs w:val="20"/>
                        </w:rPr>
                        <w:t>ACHIEVEMENT SUMMARY</w:t>
                      </w:r>
                    </w:p>
                    <w:p w:rsidR="003A2863" w:rsidRPr="0093780B" w:rsidRDefault="003A2863" w:rsidP="00A16B2F">
                      <w:pPr>
                        <w:pStyle w:val="ListBullet"/>
                        <w:spacing w:after="120" w:line="240" w:lineRule="auto"/>
                        <w:ind w:hanging="227"/>
                        <w:rPr>
                          <w:rFonts w:ascii="Calibri" w:hAnsi="Calibri"/>
                          <w:bCs/>
                        </w:rPr>
                      </w:pPr>
                      <w:r w:rsidRPr="0036089D">
                        <w:rPr>
                          <w:rFonts w:cs="Arial"/>
                          <w:sz w:val="20"/>
                          <w:szCs w:val="20"/>
                        </w:rPr>
                        <w:t>44,730</w:t>
                      </w:r>
                      <w:r>
                        <w:rPr>
                          <w:rFonts w:cs="Arial"/>
                          <w:sz w:val="20"/>
                          <w:szCs w:val="20"/>
                        </w:rPr>
                        <w:t>.5</w:t>
                      </w:r>
                      <w:r w:rsidRPr="0093780B">
                        <w:rPr>
                          <w:rFonts w:cs="Arial"/>
                          <w:sz w:val="20"/>
                          <w:szCs w:val="20"/>
                        </w:rPr>
                        <w:t xml:space="preserve"> </w:t>
                      </w:r>
                      <w:r w:rsidRPr="0093780B">
                        <w:rPr>
                          <w:rFonts w:ascii="Calibri" w:hAnsi="Calibri"/>
                          <w:bCs/>
                        </w:rPr>
                        <w:t>tonnes of e-waste were recycled under the scheme in 2014–15</w:t>
                      </w:r>
                    </w:p>
                    <w:p w:rsidR="003A2863" w:rsidRPr="0093780B" w:rsidRDefault="003A2863" w:rsidP="00A16B2F">
                      <w:pPr>
                        <w:pStyle w:val="ListBullet"/>
                        <w:spacing w:after="120" w:line="240" w:lineRule="auto"/>
                        <w:ind w:hanging="227"/>
                        <w:rPr>
                          <w:rFonts w:ascii="Calibri" w:hAnsi="Calibri"/>
                          <w:bCs/>
                        </w:rPr>
                      </w:pPr>
                      <w:r>
                        <w:rPr>
                          <w:rFonts w:ascii="Calibri" w:hAnsi="Calibri"/>
                          <w:bCs/>
                        </w:rPr>
                        <w:t>1,677</w:t>
                      </w:r>
                      <w:r w:rsidRPr="0093780B">
                        <w:rPr>
                          <w:rFonts w:ascii="Calibri" w:hAnsi="Calibri"/>
                          <w:bCs/>
                        </w:rPr>
                        <w:t xml:space="preserve"> longer-term and  event-based collection services were made available around Australia</w:t>
                      </w:r>
                    </w:p>
                    <w:p w:rsidR="003A2863" w:rsidRDefault="003A2863" w:rsidP="00A16B2F">
                      <w:pPr>
                        <w:pStyle w:val="ListBullet"/>
                        <w:spacing w:after="120" w:line="240" w:lineRule="auto"/>
                        <w:ind w:hanging="227"/>
                        <w:rPr>
                          <w:rFonts w:ascii="Calibri" w:hAnsi="Calibri"/>
                          <w:bCs/>
                        </w:rPr>
                      </w:pPr>
                      <w:r w:rsidRPr="0093780B">
                        <w:rPr>
                          <w:rFonts w:ascii="Calibri" w:hAnsi="Calibri"/>
                          <w:bCs/>
                        </w:rPr>
                        <w:t xml:space="preserve">130 TV and computer companies were </w:t>
                      </w:r>
                      <w:r>
                        <w:rPr>
                          <w:rFonts w:ascii="Calibri" w:hAnsi="Calibri"/>
                          <w:bCs/>
                        </w:rPr>
                        <w:t xml:space="preserve">identified as </w:t>
                      </w:r>
                      <w:r w:rsidRPr="0093780B">
                        <w:rPr>
                          <w:rFonts w:ascii="Calibri" w:hAnsi="Calibri"/>
                          <w:bCs/>
                        </w:rPr>
                        <w:t>liable parties</w:t>
                      </w:r>
                      <w:r>
                        <w:rPr>
                          <w:rFonts w:ascii="Calibri" w:hAnsi="Calibri"/>
                          <w:bCs/>
                        </w:rPr>
                        <w:t xml:space="preserve"> with obligations under the scheme</w:t>
                      </w:r>
                    </w:p>
                    <w:p w:rsidR="003A2863" w:rsidRPr="0093780B" w:rsidRDefault="003A2863" w:rsidP="00A16B2F">
                      <w:pPr>
                        <w:pStyle w:val="ListBullet"/>
                        <w:spacing w:after="120" w:line="240" w:lineRule="auto"/>
                        <w:ind w:hanging="227"/>
                        <w:rPr>
                          <w:rFonts w:ascii="Calibri" w:hAnsi="Calibri"/>
                          <w:bCs/>
                        </w:rPr>
                      </w:pPr>
                      <w:r>
                        <w:rPr>
                          <w:rFonts w:ascii="Calibri" w:hAnsi="Calibri"/>
                          <w:bCs/>
                        </w:rPr>
                        <w:t>B</w:t>
                      </w:r>
                      <w:r w:rsidRPr="0093780B">
                        <w:rPr>
                          <w:rFonts w:ascii="Calibri" w:hAnsi="Calibri"/>
                          <w:bCs/>
                        </w:rPr>
                        <w:t>y 30 June 2015, 127 of these parties had met their obligation to join and fund a co-regulatory arrangement</w:t>
                      </w:r>
                      <w:r>
                        <w:rPr>
                          <w:rFonts w:ascii="Calibri" w:hAnsi="Calibri"/>
                          <w:bCs/>
                        </w:rPr>
                        <w:t>.</w:t>
                      </w:r>
                    </w:p>
                    <w:p w:rsidR="003A2863" w:rsidRPr="00E24056" w:rsidRDefault="003A2863" w:rsidP="00A16B2F"/>
                  </w:txbxContent>
                </v:textbox>
                <w10:anchorlock/>
              </v:shape>
            </w:pict>
          </mc:Fallback>
        </mc:AlternateContent>
      </w:r>
    </w:p>
    <w:p w:rsidR="00CF1229" w:rsidRPr="0036089D" w:rsidRDefault="00CF1229" w:rsidP="002519B5">
      <w:pPr>
        <w:spacing w:after="0" w:line="240" w:lineRule="auto"/>
        <w:rPr>
          <w:bCs/>
          <w:sz w:val="20"/>
          <w:szCs w:val="18"/>
        </w:rPr>
        <w:sectPr w:rsidR="00CF1229" w:rsidRPr="0036089D" w:rsidSect="004F3880">
          <w:type w:val="continuous"/>
          <w:pgSz w:w="11906" w:h="16838"/>
          <w:pgMar w:top="1440" w:right="1133" w:bottom="993" w:left="1440" w:header="708" w:footer="708" w:gutter="0"/>
          <w:cols w:space="708"/>
          <w:docGrid w:linePitch="360"/>
        </w:sectPr>
      </w:pPr>
    </w:p>
    <w:p w:rsidR="00071E87" w:rsidRPr="0036089D" w:rsidRDefault="000566D6" w:rsidP="009B4DDF">
      <w:pPr>
        <w:pStyle w:val="Heading1"/>
      </w:pPr>
      <w:bookmarkStart w:id="6" w:name="_Toc256000029"/>
      <w:bookmarkStart w:id="7" w:name="_Toc256000016"/>
      <w:bookmarkStart w:id="8" w:name="_Toc256000003"/>
      <w:bookmarkStart w:id="9" w:name="_Toc380491871"/>
      <w:bookmarkStart w:id="10" w:name="_Toc450650981"/>
      <w:r w:rsidRPr="0036089D">
        <w:t>Background</w:t>
      </w:r>
      <w:bookmarkEnd w:id="6"/>
      <w:bookmarkEnd w:id="7"/>
      <w:bookmarkEnd w:id="8"/>
      <w:bookmarkEnd w:id="9"/>
      <w:bookmarkEnd w:id="10"/>
      <w:r w:rsidRPr="0036089D">
        <w:t xml:space="preserve"> </w:t>
      </w:r>
    </w:p>
    <w:p w:rsidR="00102E34" w:rsidRPr="0036089D" w:rsidRDefault="00001653" w:rsidP="00CE40F3">
      <w:pPr>
        <w:pStyle w:val="Heading2"/>
        <w:spacing w:before="240" w:after="120"/>
      </w:pPr>
      <w:bookmarkStart w:id="11" w:name="_Toc450650982"/>
      <w:r w:rsidRPr="0036089D">
        <w:t>Product stewardship</w:t>
      </w:r>
      <w:r w:rsidR="009B4DDF" w:rsidRPr="0036089D">
        <w:t xml:space="preserve"> principles</w:t>
      </w:r>
      <w:bookmarkEnd w:id="11"/>
    </w:p>
    <w:p w:rsidR="00115A6F" w:rsidRPr="0036089D" w:rsidRDefault="000D57AE" w:rsidP="00001653">
      <w:pPr>
        <w:rPr>
          <w:rFonts w:ascii="Calibri" w:hAnsi="Calibri" w:cs="Arial"/>
          <w:lang w:eastAsia="en-AU"/>
        </w:rPr>
      </w:pPr>
      <w:r w:rsidRPr="0036089D">
        <w:rPr>
          <w:rFonts w:ascii="Calibri" w:hAnsi="Calibri" w:cs="Arial"/>
          <w:lang w:eastAsia="en-AU"/>
        </w:rPr>
        <w:t xml:space="preserve">The </w:t>
      </w:r>
      <w:r w:rsidR="00F13DDD" w:rsidRPr="0036089D">
        <w:rPr>
          <w:rFonts w:ascii="Calibri" w:hAnsi="Calibri" w:cs="Arial"/>
          <w:lang w:eastAsia="en-AU"/>
        </w:rPr>
        <w:t xml:space="preserve">design of the scheme is based on </w:t>
      </w:r>
      <w:r w:rsidRPr="0036089D">
        <w:rPr>
          <w:rFonts w:ascii="Calibri" w:hAnsi="Calibri" w:cs="Arial"/>
          <w:lang w:eastAsia="en-AU"/>
        </w:rPr>
        <w:t>the principle of product stewardship</w:t>
      </w:r>
      <w:r w:rsidR="00115A6F" w:rsidRPr="0036089D">
        <w:rPr>
          <w:rFonts w:ascii="Calibri" w:hAnsi="Calibri" w:cs="Arial"/>
          <w:lang w:eastAsia="en-AU"/>
        </w:rPr>
        <w:t xml:space="preserve">, which is </w:t>
      </w:r>
      <w:r w:rsidR="00001653" w:rsidRPr="0036089D">
        <w:rPr>
          <w:rFonts w:ascii="Calibri" w:hAnsi="Calibri" w:cs="Arial"/>
          <w:lang w:eastAsia="en-AU"/>
        </w:rPr>
        <w:t>an approach to managing the impacts of different products and materials</w:t>
      </w:r>
      <w:r w:rsidR="00115A6F" w:rsidRPr="0036089D">
        <w:rPr>
          <w:rFonts w:ascii="Calibri" w:hAnsi="Calibri" w:cs="Arial"/>
          <w:lang w:eastAsia="en-AU"/>
        </w:rPr>
        <w:t xml:space="preserve"> throughout their lifecycle</w:t>
      </w:r>
      <w:r w:rsidR="00001653" w:rsidRPr="0036089D">
        <w:rPr>
          <w:rFonts w:ascii="Calibri" w:hAnsi="Calibri" w:cs="Arial"/>
          <w:lang w:eastAsia="en-AU"/>
        </w:rPr>
        <w:t xml:space="preserve">. It acknowledges that those involved in producing, selling, using and disposing of products have a shared responsibility to ensure those products are managed in a way that reduces their impact on the environment and on human health and safety. </w:t>
      </w:r>
    </w:p>
    <w:p w:rsidR="00001653" w:rsidRPr="0036089D" w:rsidRDefault="00001653" w:rsidP="00001653">
      <w:pPr>
        <w:rPr>
          <w:rFonts w:ascii="Calibri" w:hAnsi="Calibri" w:cs="Arial"/>
          <w:lang w:eastAsia="en-AU"/>
        </w:rPr>
      </w:pPr>
      <w:r w:rsidRPr="0036089D">
        <w:rPr>
          <w:rFonts w:ascii="Calibri" w:hAnsi="Calibri" w:cs="Arial"/>
          <w:lang w:eastAsia="en-AU"/>
        </w:rPr>
        <w:t>Televisions and computers are the first products to be regula</w:t>
      </w:r>
      <w:r w:rsidR="00115A6F" w:rsidRPr="0036089D">
        <w:rPr>
          <w:rFonts w:ascii="Calibri" w:hAnsi="Calibri" w:cs="Arial"/>
          <w:lang w:eastAsia="en-AU"/>
        </w:rPr>
        <w:t>ted</w:t>
      </w:r>
      <w:r w:rsidRPr="0036089D">
        <w:rPr>
          <w:rFonts w:ascii="Calibri" w:hAnsi="Calibri" w:cs="Arial"/>
          <w:lang w:eastAsia="en-AU"/>
        </w:rPr>
        <w:t xml:space="preserve"> </w:t>
      </w:r>
      <w:r w:rsidR="00115A6F" w:rsidRPr="0036089D">
        <w:rPr>
          <w:rFonts w:ascii="Calibri" w:hAnsi="Calibri" w:cs="Arial"/>
          <w:lang w:eastAsia="en-AU"/>
        </w:rPr>
        <w:t xml:space="preserve">under Australian product stewardship legislation </w:t>
      </w:r>
      <w:r w:rsidRPr="0036089D">
        <w:rPr>
          <w:rFonts w:ascii="Calibri" w:hAnsi="Calibri" w:cs="Arial"/>
          <w:lang w:eastAsia="en-AU"/>
        </w:rPr>
        <w:t>using a co-regulatory approach</w:t>
      </w:r>
      <w:r w:rsidR="00115A6F" w:rsidRPr="0036089D">
        <w:rPr>
          <w:rFonts w:ascii="Calibri" w:hAnsi="Calibri" w:cs="Arial"/>
          <w:lang w:eastAsia="en-AU"/>
        </w:rPr>
        <w:t xml:space="preserve">. </w:t>
      </w:r>
      <w:r w:rsidRPr="0036089D">
        <w:rPr>
          <w:rFonts w:ascii="Calibri" w:hAnsi="Calibri" w:cs="Arial"/>
          <w:lang w:eastAsia="en-AU"/>
        </w:rPr>
        <w:t xml:space="preserve">A co-regulatory approach involves a combination of government regulation and industry action, where government sets the outcomes to be met, and industry funds and implements </w:t>
      </w:r>
      <w:r w:rsidR="003F2584" w:rsidRPr="0036089D">
        <w:rPr>
          <w:rFonts w:ascii="Calibri" w:hAnsi="Calibri" w:cs="Arial"/>
          <w:lang w:eastAsia="en-AU"/>
        </w:rPr>
        <w:t>specified activities</w:t>
      </w:r>
      <w:r w:rsidRPr="0036089D">
        <w:rPr>
          <w:rFonts w:ascii="Calibri" w:hAnsi="Calibri" w:cs="Arial"/>
          <w:lang w:eastAsia="en-AU"/>
        </w:rPr>
        <w:t>.</w:t>
      </w:r>
      <w:r w:rsidR="003F2584" w:rsidRPr="0036089D">
        <w:rPr>
          <w:rFonts w:ascii="Calibri" w:hAnsi="Calibri" w:cs="Arial"/>
          <w:lang w:eastAsia="en-AU"/>
        </w:rPr>
        <w:t xml:space="preserve"> To maximise efficiency, i</w:t>
      </w:r>
      <w:r w:rsidRPr="0036089D">
        <w:rPr>
          <w:rFonts w:ascii="Calibri" w:hAnsi="Calibri" w:cs="Arial"/>
          <w:lang w:eastAsia="en-AU"/>
        </w:rPr>
        <w:t xml:space="preserve">ndustry has flexibility in determining how </w:t>
      </w:r>
      <w:r w:rsidR="003F2584" w:rsidRPr="0036089D">
        <w:rPr>
          <w:rFonts w:ascii="Calibri" w:hAnsi="Calibri" w:cs="Arial"/>
          <w:lang w:eastAsia="en-AU"/>
        </w:rPr>
        <w:t>best to achieve each outcome</w:t>
      </w:r>
      <w:r w:rsidRPr="0036089D">
        <w:rPr>
          <w:rFonts w:ascii="Calibri" w:hAnsi="Calibri" w:cs="Arial"/>
          <w:lang w:eastAsia="en-AU"/>
        </w:rPr>
        <w:t>.</w:t>
      </w:r>
    </w:p>
    <w:p w:rsidR="00BC00DC" w:rsidRPr="0036089D" w:rsidRDefault="00BC00DC" w:rsidP="00CE40F3">
      <w:pPr>
        <w:pStyle w:val="Heading2"/>
        <w:spacing w:before="240" w:after="120"/>
      </w:pPr>
      <w:bookmarkStart w:id="12" w:name="_Toc450650983"/>
      <w:r w:rsidRPr="0036089D">
        <w:t>Why television and computer e-waste?</w:t>
      </w:r>
      <w:bookmarkEnd w:id="12"/>
    </w:p>
    <w:p w:rsidR="00AD16FD" w:rsidRPr="0036089D" w:rsidRDefault="0044386D" w:rsidP="00AD16FD">
      <w:pPr>
        <w:rPr>
          <w:rFonts w:ascii="Calibri" w:hAnsi="Calibri" w:cs="Arial"/>
          <w:lang w:eastAsia="en-AU"/>
        </w:rPr>
      </w:pPr>
      <w:r w:rsidRPr="0036089D">
        <w:rPr>
          <w:rFonts w:ascii="Calibri" w:hAnsi="Calibri" w:cs="Arial"/>
          <w:lang w:eastAsia="en-AU"/>
        </w:rPr>
        <w:t>As uptake of technology has increased over time, so ha</w:t>
      </w:r>
      <w:r w:rsidR="0036089D">
        <w:rPr>
          <w:rFonts w:ascii="Calibri" w:hAnsi="Calibri" w:cs="Arial"/>
          <w:lang w:eastAsia="en-AU"/>
        </w:rPr>
        <w:t>ve</w:t>
      </w:r>
      <w:r w:rsidRPr="0036089D">
        <w:rPr>
          <w:rFonts w:ascii="Calibri" w:hAnsi="Calibri" w:cs="Arial"/>
          <w:lang w:eastAsia="en-AU"/>
        </w:rPr>
        <w:t xml:space="preserve"> the </w:t>
      </w:r>
      <w:r w:rsidR="00AD16FD" w:rsidRPr="0036089D">
        <w:rPr>
          <w:rFonts w:ascii="Calibri" w:hAnsi="Calibri" w:cs="Arial"/>
          <w:lang w:eastAsia="en-AU"/>
        </w:rPr>
        <w:t xml:space="preserve">number </w:t>
      </w:r>
      <w:r w:rsidRPr="0036089D">
        <w:rPr>
          <w:rFonts w:ascii="Calibri" w:hAnsi="Calibri" w:cs="Arial"/>
          <w:lang w:eastAsia="en-AU"/>
        </w:rPr>
        <w:t>televisions and computer products reaching end of life</w:t>
      </w:r>
      <w:r w:rsidR="000E59B4" w:rsidRPr="0036089D">
        <w:rPr>
          <w:rFonts w:ascii="Calibri" w:hAnsi="Calibri" w:cs="Arial"/>
          <w:lang w:eastAsia="en-AU"/>
        </w:rPr>
        <w:t xml:space="preserve"> in Australia</w:t>
      </w:r>
      <w:r w:rsidRPr="0036089D">
        <w:rPr>
          <w:rFonts w:ascii="Calibri" w:hAnsi="Calibri" w:cs="Arial"/>
          <w:lang w:eastAsia="en-AU"/>
        </w:rPr>
        <w:t xml:space="preserve">. </w:t>
      </w:r>
      <w:r w:rsidR="00AD16FD" w:rsidRPr="0036089D">
        <w:rPr>
          <w:rFonts w:ascii="Calibri" w:hAnsi="Calibri" w:cs="Arial"/>
          <w:lang w:eastAsia="en-AU"/>
        </w:rPr>
        <w:t>The recycling rate for these products has typically been low, with large amounts of e</w:t>
      </w:r>
      <w:r w:rsidRPr="0036089D">
        <w:rPr>
          <w:rFonts w:ascii="Calibri" w:hAnsi="Calibri" w:cs="Arial"/>
          <w:lang w:eastAsia="en-AU"/>
        </w:rPr>
        <w:noBreakHyphen/>
      </w:r>
      <w:r w:rsidR="00AD16FD" w:rsidRPr="0036089D">
        <w:rPr>
          <w:rFonts w:ascii="Calibri" w:hAnsi="Calibri" w:cs="Arial"/>
          <w:lang w:eastAsia="en-AU"/>
        </w:rPr>
        <w:t>waste sent to landfill each year. In landfill, the hazardous substances contained in e-waste</w:t>
      </w:r>
      <w:r w:rsidRPr="0036089D">
        <w:rPr>
          <w:rFonts w:ascii="Calibri" w:hAnsi="Calibri" w:cs="Arial"/>
          <w:lang w:eastAsia="en-AU"/>
        </w:rPr>
        <w:t xml:space="preserve"> such as lead, mercury, and a range of other toxic substances,</w:t>
      </w:r>
      <w:r w:rsidR="00D14A0E" w:rsidRPr="0036089D">
        <w:rPr>
          <w:rFonts w:ascii="Calibri" w:hAnsi="Calibri" w:cs="Arial"/>
          <w:lang w:eastAsia="en-AU"/>
        </w:rPr>
        <w:t xml:space="preserve"> can enter the environment and cause</w:t>
      </w:r>
      <w:r w:rsidR="00AD16FD" w:rsidRPr="0036089D">
        <w:rPr>
          <w:rFonts w:ascii="Calibri" w:hAnsi="Calibri" w:cs="Arial"/>
          <w:lang w:eastAsia="en-AU"/>
        </w:rPr>
        <w:t xml:space="preserve"> harm to ecosystems and human health. Landfilling of e-waste also means that valuable resources and material</w:t>
      </w:r>
      <w:r w:rsidR="005B374C" w:rsidRPr="0036089D">
        <w:rPr>
          <w:rFonts w:ascii="Calibri" w:hAnsi="Calibri" w:cs="Arial"/>
          <w:lang w:eastAsia="en-AU"/>
        </w:rPr>
        <w:t>s are lost and cannot be reused</w:t>
      </w:r>
      <w:r w:rsidR="007712E6" w:rsidRPr="0036089D">
        <w:rPr>
          <w:rFonts w:ascii="Calibri" w:hAnsi="Calibri" w:cs="Arial"/>
          <w:lang w:eastAsia="en-AU"/>
        </w:rPr>
        <w:t xml:space="preserve">. </w:t>
      </w:r>
    </w:p>
    <w:p w:rsidR="00001653" w:rsidRPr="0036089D" w:rsidRDefault="00001653" w:rsidP="00CE40F3">
      <w:pPr>
        <w:pStyle w:val="Heading2"/>
        <w:spacing w:before="240" w:after="120"/>
      </w:pPr>
      <w:bookmarkStart w:id="13" w:name="_Toc450650984"/>
      <w:r w:rsidRPr="0036089D">
        <w:t>Operation of the scheme</w:t>
      </w:r>
      <w:bookmarkEnd w:id="13"/>
    </w:p>
    <w:p w:rsidR="00EA49D2" w:rsidRPr="0036089D" w:rsidRDefault="00EA49D2" w:rsidP="00EA49D2">
      <w:pPr>
        <w:rPr>
          <w:rFonts w:ascii="Calibri" w:hAnsi="Calibri" w:cs="Arial"/>
          <w:lang w:eastAsia="en-AU"/>
        </w:rPr>
      </w:pPr>
      <w:r w:rsidRPr="0036089D">
        <w:rPr>
          <w:rFonts w:ascii="Calibri" w:hAnsi="Calibri" w:cs="Arial"/>
          <w:lang w:eastAsia="en-AU"/>
        </w:rPr>
        <w:t>Waste management</w:t>
      </w:r>
      <w:r w:rsidR="00A46D53" w:rsidRPr="0036089D">
        <w:rPr>
          <w:rFonts w:ascii="Calibri" w:hAnsi="Calibri" w:cs="Arial"/>
          <w:lang w:eastAsia="en-AU"/>
        </w:rPr>
        <w:t xml:space="preserve"> in Australia</w:t>
      </w:r>
      <w:r w:rsidRPr="0036089D">
        <w:rPr>
          <w:rFonts w:ascii="Calibri" w:hAnsi="Calibri" w:cs="Arial"/>
          <w:lang w:eastAsia="en-AU"/>
        </w:rPr>
        <w:t xml:space="preserve"> is primarily the responsibility </w:t>
      </w:r>
      <w:r w:rsidR="00A46D53" w:rsidRPr="0036089D">
        <w:rPr>
          <w:rFonts w:ascii="Calibri" w:hAnsi="Calibri" w:cs="Arial"/>
          <w:lang w:eastAsia="en-AU"/>
        </w:rPr>
        <w:t xml:space="preserve">of state, territory, and local </w:t>
      </w:r>
      <w:r w:rsidRPr="0036089D">
        <w:rPr>
          <w:rFonts w:ascii="Calibri" w:hAnsi="Calibri" w:cs="Arial"/>
          <w:lang w:eastAsia="en-AU"/>
        </w:rPr>
        <w:t xml:space="preserve">governments. The development of a national e-waste recycling programme arose in response to growing e-waste </w:t>
      </w:r>
      <w:r w:rsidR="00A46D53" w:rsidRPr="0036089D">
        <w:rPr>
          <w:rFonts w:ascii="Calibri" w:hAnsi="Calibri" w:cs="Arial"/>
          <w:lang w:eastAsia="en-AU"/>
        </w:rPr>
        <w:t>levels</w:t>
      </w:r>
      <w:r w:rsidRPr="0036089D">
        <w:rPr>
          <w:rFonts w:ascii="Calibri" w:hAnsi="Calibri" w:cs="Arial"/>
          <w:lang w:eastAsia="en-AU"/>
        </w:rPr>
        <w:t>, strong leadership from the IT and television industries, and the desire of industry, the community and governments for a coordinated and consistent approach to e-waste recycling.</w:t>
      </w:r>
    </w:p>
    <w:p w:rsidR="004271F8" w:rsidRPr="0036089D" w:rsidRDefault="004271F8" w:rsidP="00EA49D2">
      <w:pPr>
        <w:rPr>
          <w:rFonts w:ascii="Calibri" w:hAnsi="Calibri" w:cs="Arial"/>
          <w:lang w:eastAsia="en-AU"/>
        </w:rPr>
      </w:pPr>
      <w:r w:rsidRPr="0036089D">
        <w:rPr>
          <w:rFonts w:ascii="Calibri" w:hAnsi="Calibri" w:cs="Arial"/>
          <w:lang w:eastAsia="en-AU"/>
        </w:rPr>
        <w:t>A key design feature of the scheme is that the television and computer industries take on an increasing proportion of the responsibility for managing television and computer e-waste over a number of years. While industry’s actions have greatly increased the e-waste recycling rate across Australia; state, territory and local governments still have an important role to play in supplementing scheme services.</w:t>
      </w:r>
    </w:p>
    <w:p w:rsidR="008E4BBD" w:rsidRPr="0036089D" w:rsidRDefault="008E4BBD" w:rsidP="009F143A">
      <w:pPr>
        <w:rPr>
          <w:rFonts w:ascii="Calibri" w:hAnsi="Calibri" w:cs="Arial"/>
          <w:lang w:eastAsia="en-AU"/>
        </w:rPr>
      </w:pPr>
      <w:r w:rsidRPr="0036089D">
        <w:rPr>
          <w:rFonts w:ascii="Calibri" w:hAnsi="Calibri" w:cs="Arial"/>
          <w:lang w:eastAsia="en-AU"/>
        </w:rPr>
        <w:t xml:space="preserve">The scheme operates through the interaction and cooperation of a range of stakeholders, including television and computer importers, </w:t>
      </w:r>
      <w:r w:rsidR="00CD2695" w:rsidRPr="0036089D">
        <w:rPr>
          <w:rFonts w:ascii="Calibri" w:hAnsi="Calibri" w:cs="Arial"/>
          <w:lang w:eastAsia="en-AU"/>
        </w:rPr>
        <w:t xml:space="preserve">the </w:t>
      </w:r>
      <w:r w:rsidRPr="0036089D">
        <w:rPr>
          <w:rFonts w:ascii="Calibri" w:hAnsi="Calibri" w:cs="Arial"/>
          <w:lang w:eastAsia="en-AU"/>
        </w:rPr>
        <w:t>Australian Government, state and territory governments, local governments</w:t>
      </w:r>
      <w:r w:rsidR="00CD2695" w:rsidRPr="0036089D">
        <w:rPr>
          <w:rFonts w:ascii="Calibri" w:hAnsi="Calibri" w:cs="Arial"/>
          <w:lang w:eastAsia="en-AU"/>
        </w:rPr>
        <w:t>, and householders and small businesses. Each of these stakeholder groups has an important role to p</w:t>
      </w:r>
      <w:r w:rsidR="00960C24" w:rsidRPr="0036089D">
        <w:rPr>
          <w:rFonts w:ascii="Calibri" w:hAnsi="Calibri" w:cs="Arial"/>
          <w:lang w:eastAsia="en-AU"/>
        </w:rPr>
        <w:t>lay in e</w:t>
      </w:r>
      <w:r w:rsidR="00960C24" w:rsidRPr="0036089D">
        <w:rPr>
          <w:rFonts w:ascii="Calibri" w:hAnsi="Calibri" w:cs="Arial"/>
          <w:lang w:eastAsia="en-AU"/>
        </w:rPr>
        <w:noBreakHyphen/>
        <w:t>waste management. T</w:t>
      </w:r>
      <w:r w:rsidR="00CD2695" w:rsidRPr="0036089D">
        <w:rPr>
          <w:rFonts w:ascii="Calibri" w:hAnsi="Calibri" w:cs="Arial"/>
          <w:lang w:eastAsia="en-AU"/>
        </w:rPr>
        <w:t>hese roles and responsibilities are outlined in ‘Appendix C: Roles and responsibilities under the National Television and Computer Recycling Scheme’.</w:t>
      </w:r>
    </w:p>
    <w:p w:rsidR="00CA7A20" w:rsidRPr="0036089D" w:rsidRDefault="008B6AD5" w:rsidP="00CA7A20">
      <w:pPr>
        <w:rPr>
          <w:rFonts w:asciiTheme="minorHAnsi" w:hAnsiTheme="minorHAnsi" w:cs="Adobe Garamond Pro"/>
          <w:color w:val="000000"/>
        </w:rPr>
      </w:pPr>
      <w:r w:rsidRPr="0036089D">
        <w:rPr>
          <w:rFonts w:ascii="Calibri" w:hAnsi="Calibri" w:cs="Arial"/>
          <w:lang w:eastAsia="en-AU"/>
        </w:rPr>
        <w:t>The scheme is fully funded by liable importers of television and computer products, who must join and fund</w:t>
      </w:r>
      <w:r w:rsidR="001B7976" w:rsidRPr="0036089D">
        <w:rPr>
          <w:rFonts w:ascii="Calibri" w:hAnsi="Calibri" w:cs="Arial"/>
          <w:lang w:eastAsia="en-AU"/>
        </w:rPr>
        <w:t xml:space="preserve"> </w:t>
      </w:r>
      <w:r w:rsidRPr="0036089D">
        <w:rPr>
          <w:rFonts w:ascii="Calibri" w:hAnsi="Calibri" w:cs="Arial"/>
          <w:lang w:eastAsia="en-AU"/>
        </w:rPr>
        <w:t xml:space="preserve">a co-regulatory arrangement to enable it to plan and carry out e-waste collection and recycling activities across Australia. </w:t>
      </w:r>
      <w:r w:rsidR="00CA7A20" w:rsidRPr="0036089D">
        <w:rPr>
          <w:rFonts w:asciiTheme="minorHAnsi" w:hAnsiTheme="minorHAnsi" w:cs="Adobe Garamond Pro"/>
          <w:color w:val="000000"/>
        </w:rPr>
        <w:t>Each co-regulatory arrangement has an administrator; a body corporate responsible for administering the arrangement on behalf of members, who must ensure all reasonable steps are taken to meet outcomes specified in the Regulations. Co-regulatory arrangement administrators must be approved by the Minister for the Environment.</w:t>
      </w:r>
    </w:p>
    <w:p w:rsidR="00102E34" w:rsidRPr="0036089D" w:rsidRDefault="00075023" w:rsidP="00102E34">
      <w:pPr>
        <w:rPr>
          <w:rFonts w:ascii="Calibri" w:hAnsi="Calibri" w:cs="Arial"/>
          <w:lang w:eastAsia="en-AU"/>
        </w:rPr>
      </w:pPr>
      <w:r w:rsidRPr="0036089D">
        <w:rPr>
          <w:rFonts w:ascii="Calibri" w:hAnsi="Calibri" w:cs="Arial"/>
          <w:lang w:eastAsia="en-AU"/>
        </w:rPr>
        <w:t xml:space="preserve">The collection services </w:t>
      </w:r>
      <w:r w:rsidR="00CA7A20" w:rsidRPr="0036089D">
        <w:rPr>
          <w:rFonts w:ascii="Calibri" w:hAnsi="Calibri" w:cs="Arial"/>
          <w:lang w:eastAsia="en-AU"/>
        </w:rPr>
        <w:t xml:space="preserve">planned and managed by the co-regulatory arrangements </w:t>
      </w:r>
      <w:r w:rsidRPr="0036089D">
        <w:rPr>
          <w:rFonts w:ascii="Calibri" w:hAnsi="Calibri" w:cs="Arial"/>
          <w:lang w:eastAsia="en-AU"/>
        </w:rPr>
        <w:t xml:space="preserve">are offered free of charge to members of the public and small businesses, incentivising the responsible disposal of end-of-life television and computer products by the public. </w:t>
      </w:r>
    </w:p>
    <w:p w:rsidR="00E660BF" w:rsidRPr="0036089D" w:rsidRDefault="00E660BF" w:rsidP="00102E34">
      <w:pPr>
        <w:rPr>
          <w:rFonts w:ascii="Calibri" w:hAnsi="Calibri" w:cs="Arial"/>
          <w:lang w:eastAsia="en-AU"/>
        </w:rPr>
      </w:pPr>
      <w:r w:rsidRPr="0036089D">
        <w:rPr>
          <w:rFonts w:ascii="Calibri" w:hAnsi="Calibri" w:cs="Arial"/>
          <w:lang w:eastAsia="en-AU"/>
        </w:rPr>
        <w:t xml:space="preserve">The Regulations require </w:t>
      </w:r>
      <w:r w:rsidR="00D12E5F" w:rsidRPr="0036089D">
        <w:rPr>
          <w:rFonts w:ascii="Calibri" w:hAnsi="Calibri" w:cs="Arial"/>
          <w:lang w:eastAsia="en-AU"/>
        </w:rPr>
        <w:t>liable importers</w:t>
      </w:r>
      <w:r w:rsidRPr="0036089D">
        <w:rPr>
          <w:rFonts w:ascii="Calibri" w:hAnsi="Calibri" w:cs="Arial"/>
          <w:lang w:eastAsia="en-AU"/>
        </w:rPr>
        <w:t xml:space="preserve"> to fund collection and recycling services to meet progressively increasing annual recycling targets, set as a proportion of the estimated total television and computer waste arising in Australia. These targets started at 30 per cent in 2012–13 and will increase to 80 per cent at the peak of the scheme’s rollout. </w:t>
      </w:r>
      <w:r w:rsidR="00D12E5F" w:rsidRPr="0036089D">
        <w:rPr>
          <w:rFonts w:ascii="Calibri" w:hAnsi="Calibri" w:cs="Arial"/>
          <w:lang w:eastAsia="en-AU"/>
        </w:rPr>
        <w:t>Industry’s target in 2014–15 was 35 per cent of waste arising.</w:t>
      </w:r>
    </w:p>
    <w:p w:rsidR="00EC22B8" w:rsidRPr="0036089D" w:rsidRDefault="00EC22B8" w:rsidP="00D0445D">
      <w:pPr>
        <w:pStyle w:val="Heading1"/>
      </w:pPr>
      <w:bookmarkStart w:id="14" w:name="_Toc450650985"/>
      <w:r w:rsidRPr="0036089D">
        <w:t>Enhancements to the scheme</w:t>
      </w:r>
      <w:r w:rsidR="00D0445D" w:rsidRPr="0036089D">
        <w:t xml:space="preserve"> in 2014</w:t>
      </w:r>
      <w:r w:rsidR="008555D1" w:rsidRPr="0036089D">
        <w:t>–</w:t>
      </w:r>
      <w:r w:rsidR="00D0445D" w:rsidRPr="0036089D">
        <w:t>15</w:t>
      </w:r>
      <w:bookmarkEnd w:id="14"/>
    </w:p>
    <w:p w:rsidR="00C25538" w:rsidRPr="0036089D" w:rsidRDefault="00C25538" w:rsidP="00CE40F3">
      <w:pPr>
        <w:pStyle w:val="Heading2"/>
        <w:spacing w:before="240" w:after="120"/>
      </w:pPr>
      <w:bookmarkStart w:id="15" w:name="_Toc450650986"/>
      <w:bookmarkStart w:id="16" w:name="_Toc256000031"/>
      <w:bookmarkStart w:id="17" w:name="_Toc256000018"/>
      <w:bookmarkStart w:id="18" w:name="_Toc256000005"/>
      <w:bookmarkStart w:id="19" w:name="_Toc380491873"/>
      <w:r w:rsidRPr="0036089D">
        <w:t>Completion of the operational review</w:t>
      </w:r>
      <w:bookmarkEnd w:id="15"/>
    </w:p>
    <w:p w:rsidR="00DF3A3F" w:rsidRPr="0036089D" w:rsidRDefault="00DF3A3F" w:rsidP="00DF3A3F">
      <w:pPr>
        <w:rPr>
          <w:rFonts w:ascii="Calibri" w:hAnsi="Calibri" w:cs="Arial"/>
          <w:lang w:eastAsia="en-AU"/>
        </w:rPr>
      </w:pPr>
      <w:r w:rsidRPr="0036089D">
        <w:rPr>
          <w:rFonts w:ascii="Calibri" w:hAnsi="Calibri" w:cs="Arial"/>
          <w:lang w:eastAsia="en-AU"/>
        </w:rPr>
        <w:t>On 22 September 2014, Environment Minister Greg Hunt announced an operational review of the scheme. This review</w:t>
      </w:r>
      <w:r w:rsidR="00495E32" w:rsidRPr="0036089D">
        <w:rPr>
          <w:rFonts w:ascii="Calibri" w:hAnsi="Calibri" w:cs="Arial"/>
          <w:lang w:eastAsia="en-AU"/>
        </w:rPr>
        <w:t xml:space="preserve"> was initiated to enable </w:t>
      </w:r>
      <w:r w:rsidRPr="0036089D">
        <w:rPr>
          <w:rFonts w:ascii="Calibri" w:hAnsi="Calibri" w:cs="Arial"/>
          <w:lang w:eastAsia="en-AU"/>
        </w:rPr>
        <w:t>consider</w:t>
      </w:r>
      <w:r w:rsidR="00495E32" w:rsidRPr="0036089D">
        <w:rPr>
          <w:rFonts w:ascii="Calibri" w:hAnsi="Calibri" w:cs="Arial"/>
          <w:lang w:eastAsia="en-AU"/>
        </w:rPr>
        <w:t>ation of</w:t>
      </w:r>
      <w:r w:rsidRPr="0036089D">
        <w:rPr>
          <w:rFonts w:ascii="Calibri" w:hAnsi="Calibri" w:cs="Arial"/>
          <w:lang w:eastAsia="en-AU"/>
        </w:rPr>
        <w:t xml:space="preserve"> options to strengthen the scheme</w:t>
      </w:r>
      <w:r w:rsidR="00495E32" w:rsidRPr="0036089D">
        <w:rPr>
          <w:rFonts w:ascii="Calibri" w:hAnsi="Calibri" w:cs="Arial"/>
          <w:lang w:eastAsia="en-AU"/>
        </w:rPr>
        <w:t>,</w:t>
      </w:r>
      <w:r w:rsidRPr="0036089D">
        <w:rPr>
          <w:rFonts w:ascii="Calibri" w:hAnsi="Calibri" w:cs="Arial"/>
          <w:lang w:eastAsia="en-AU"/>
        </w:rPr>
        <w:t xml:space="preserve"> and ensure that its settings and administration were effective and efficient.</w:t>
      </w:r>
    </w:p>
    <w:p w:rsidR="002947A1" w:rsidRPr="0036089D" w:rsidRDefault="007358EE" w:rsidP="00AB66CC">
      <w:pPr>
        <w:rPr>
          <w:rFonts w:ascii="Calibri" w:hAnsi="Calibri" w:cs="Arial"/>
          <w:lang w:eastAsia="en-AU"/>
        </w:rPr>
      </w:pPr>
      <w:r w:rsidRPr="0036089D">
        <w:rPr>
          <w:rFonts w:ascii="Calibri" w:hAnsi="Calibri" w:cs="Arial"/>
          <w:lang w:eastAsia="en-AU"/>
        </w:rPr>
        <w:t xml:space="preserve">Following the announcement of </w:t>
      </w:r>
      <w:r w:rsidR="008441C3" w:rsidRPr="0036089D">
        <w:rPr>
          <w:rFonts w:ascii="Calibri" w:hAnsi="Calibri" w:cs="Arial"/>
          <w:lang w:eastAsia="en-AU"/>
        </w:rPr>
        <w:t>the</w:t>
      </w:r>
      <w:r w:rsidRPr="0036089D">
        <w:rPr>
          <w:rFonts w:ascii="Calibri" w:hAnsi="Calibri" w:cs="Arial"/>
          <w:lang w:eastAsia="en-AU"/>
        </w:rPr>
        <w:t xml:space="preserve"> operational review, the Department undertook the following work to </w:t>
      </w:r>
      <w:r w:rsidR="002947A1" w:rsidRPr="0036089D">
        <w:rPr>
          <w:rFonts w:ascii="Calibri" w:hAnsi="Calibri" w:cs="Arial"/>
          <w:lang w:eastAsia="en-AU"/>
        </w:rPr>
        <w:t>develop publicly supported enhancements</w:t>
      </w:r>
      <w:r w:rsidRPr="0036089D">
        <w:rPr>
          <w:rFonts w:ascii="Calibri" w:hAnsi="Calibri" w:cs="Arial"/>
          <w:lang w:eastAsia="en-AU"/>
        </w:rPr>
        <w:t xml:space="preserve"> </w:t>
      </w:r>
      <w:r w:rsidR="00B15276" w:rsidRPr="0036089D">
        <w:rPr>
          <w:rFonts w:ascii="Calibri" w:hAnsi="Calibri" w:cs="Arial"/>
          <w:lang w:eastAsia="en-AU"/>
        </w:rPr>
        <w:t xml:space="preserve">to the scheme </w:t>
      </w:r>
      <w:r w:rsidR="002947A1" w:rsidRPr="0036089D">
        <w:rPr>
          <w:rFonts w:ascii="Calibri" w:hAnsi="Calibri" w:cs="Arial"/>
          <w:lang w:eastAsia="en-AU"/>
        </w:rPr>
        <w:t>by 1</w:t>
      </w:r>
      <w:r w:rsidR="000523ED" w:rsidRPr="0036089D">
        <w:rPr>
          <w:rFonts w:ascii="Calibri" w:hAnsi="Calibri" w:cs="Arial"/>
          <w:lang w:eastAsia="en-AU"/>
        </w:rPr>
        <w:t> </w:t>
      </w:r>
      <w:r w:rsidR="002947A1" w:rsidRPr="0036089D">
        <w:rPr>
          <w:rFonts w:ascii="Calibri" w:hAnsi="Calibri" w:cs="Arial"/>
          <w:lang w:eastAsia="en-AU"/>
        </w:rPr>
        <w:t>July 2015:</w:t>
      </w:r>
    </w:p>
    <w:p w:rsidR="002947A1" w:rsidRPr="0036089D" w:rsidRDefault="009B634C" w:rsidP="002947A1">
      <w:pPr>
        <w:pStyle w:val="ListParagraph"/>
        <w:numPr>
          <w:ilvl w:val="0"/>
          <w:numId w:val="19"/>
        </w:numPr>
        <w:rPr>
          <w:rFonts w:ascii="Calibri" w:hAnsi="Calibri" w:cs="Arial"/>
          <w:lang w:eastAsia="en-AU"/>
        </w:rPr>
      </w:pPr>
      <w:r w:rsidRPr="0036089D">
        <w:rPr>
          <w:rFonts w:ascii="Calibri" w:hAnsi="Calibri" w:cs="Arial"/>
          <w:lang w:eastAsia="en-AU"/>
        </w:rPr>
        <w:t>Development of a review paper outlining a range of options and proposals for public comment. This paper received 85 submissions, which were used to inform the outcomes of the review</w:t>
      </w:r>
      <w:r w:rsidR="00E53C41" w:rsidRPr="0036089D">
        <w:rPr>
          <w:rFonts w:ascii="Calibri" w:hAnsi="Calibri" w:cs="Arial"/>
          <w:lang w:eastAsia="en-AU"/>
        </w:rPr>
        <w:t xml:space="preserve">. The review paper and submissions are available at </w:t>
      </w:r>
      <w:hyperlink r:id="rId16" w:history="1">
        <w:r w:rsidR="00E53C41" w:rsidRPr="0036089D">
          <w:rPr>
            <w:rStyle w:val="Hyperlink"/>
            <w:rFonts w:ascii="Calibri" w:hAnsi="Calibri" w:cs="Arial"/>
            <w:lang w:eastAsia="en-AU"/>
          </w:rPr>
          <w:t>www.environment.gov.au/protection/national-waste-policy/television-and-computer-recycling-scheme/review</w:t>
        </w:r>
      </w:hyperlink>
      <w:r w:rsidR="00E53C41" w:rsidRPr="0036089D">
        <w:rPr>
          <w:rFonts w:ascii="Calibri" w:hAnsi="Calibri" w:cs="Arial"/>
          <w:lang w:eastAsia="en-AU"/>
        </w:rPr>
        <w:t xml:space="preserve"> </w:t>
      </w:r>
    </w:p>
    <w:p w:rsidR="000C368F" w:rsidRPr="0036089D" w:rsidRDefault="00AB66CC" w:rsidP="002947A1">
      <w:pPr>
        <w:pStyle w:val="ListParagraph"/>
        <w:numPr>
          <w:ilvl w:val="0"/>
          <w:numId w:val="19"/>
        </w:numPr>
        <w:rPr>
          <w:rFonts w:ascii="Calibri" w:hAnsi="Calibri" w:cs="Arial"/>
          <w:lang w:eastAsia="en-AU"/>
        </w:rPr>
      </w:pPr>
      <w:r w:rsidRPr="0036089D">
        <w:rPr>
          <w:rFonts w:ascii="Calibri" w:hAnsi="Calibri" w:cs="Arial"/>
          <w:lang w:eastAsia="en-AU"/>
        </w:rPr>
        <w:t>A</w:t>
      </w:r>
      <w:r w:rsidR="000C368F" w:rsidRPr="0036089D">
        <w:rPr>
          <w:rFonts w:ascii="Calibri" w:hAnsi="Calibri" w:cs="Arial"/>
          <w:lang w:eastAsia="en-AU"/>
        </w:rPr>
        <w:t xml:space="preserve"> project to gather actual product weight data from television and computer importers, to update weighted conversion factors to reflect </w:t>
      </w:r>
      <w:r w:rsidR="00E53C41" w:rsidRPr="0036089D">
        <w:rPr>
          <w:rFonts w:ascii="Calibri" w:hAnsi="Calibri" w:cs="Arial"/>
          <w:lang w:eastAsia="en-AU"/>
        </w:rPr>
        <w:t>current</w:t>
      </w:r>
      <w:r w:rsidR="000C368F" w:rsidRPr="0036089D">
        <w:rPr>
          <w:rFonts w:ascii="Calibri" w:hAnsi="Calibri" w:cs="Arial"/>
          <w:lang w:eastAsia="en-AU"/>
        </w:rPr>
        <w:t xml:space="preserve"> average product weights</w:t>
      </w:r>
    </w:p>
    <w:p w:rsidR="009B634C" w:rsidRPr="0036089D" w:rsidRDefault="009B634C" w:rsidP="002947A1">
      <w:pPr>
        <w:pStyle w:val="ListParagraph"/>
        <w:numPr>
          <w:ilvl w:val="0"/>
          <w:numId w:val="19"/>
        </w:numPr>
        <w:rPr>
          <w:rFonts w:ascii="Calibri" w:hAnsi="Calibri" w:cs="Arial"/>
          <w:lang w:eastAsia="en-AU"/>
        </w:rPr>
      </w:pPr>
      <w:r w:rsidRPr="0036089D">
        <w:rPr>
          <w:rFonts w:ascii="Calibri" w:hAnsi="Calibri" w:cs="Arial"/>
          <w:lang w:eastAsia="en-AU"/>
        </w:rPr>
        <w:t>Projects to consider cost implications for stakeholders under a range of proposed options</w:t>
      </w:r>
      <w:r w:rsidR="00CC03B6" w:rsidRPr="0036089D">
        <w:rPr>
          <w:rFonts w:ascii="Calibri" w:hAnsi="Calibri" w:cs="Arial"/>
          <w:lang w:eastAsia="en-AU"/>
        </w:rPr>
        <w:t xml:space="preserve">, and assess the operation of the Australian e-waste recycling industry </w:t>
      </w:r>
    </w:p>
    <w:p w:rsidR="009B634C" w:rsidRPr="0036089D" w:rsidRDefault="009B634C" w:rsidP="002947A1">
      <w:pPr>
        <w:pStyle w:val="ListParagraph"/>
        <w:numPr>
          <w:ilvl w:val="0"/>
          <w:numId w:val="19"/>
        </w:numPr>
        <w:rPr>
          <w:rFonts w:ascii="Calibri" w:hAnsi="Calibri" w:cs="Arial"/>
          <w:lang w:eastAsia="en-AU"/>
        </w:rPr>
      </w:pPr>
      <w:r w:rsidRPr="0036089D">
        <w:rPr>
          <w:rFonts w:ascii="Calibri" w:hAnsi="Calibri" w:cs="Arial"/>
          <w:lang w:eastAsia="en-AU"/>
        </w:rPr>
        <w:t xml:space="preserve">Extensive consultation activities, including </w:t>
      </w:r>
      <w:r w:rsidR="00CC03B6" w:rsidRPr="0036089D">
        <w:rPr>
          <w:rFonts w:ascii="Calibri" w:hAnsi="Calibri" w:cs="Arial"/>
          <w:lang w:eastAsia="en-AU"/>
        </w:rPr>
        <w:t xml:space="preserve">roundtable meetings with </w:t>
      </w:r>
      <w:r w:rsidR="008A7B8B" w:rsidRPr="0036089D">
        <w:rPr>
          <w:rFonts w:ascii="Calibri" w:hAnsi="Calibri" w:cs="Arial"/>
          <w:lang w:eastAsia="en-AU"/>
        </w:rPr>
        <w:t>co-regulatory arrangements</w:t>
      </w:r>
      <w:r w:rsidR="00CC03B6" w:rsidRPr="0036089D">
        <w:rPr>
          <w:rFonts w:ascii="Calibri" w:hAnsi="Calibri" w:cs="Arial"/>
          <w:lang w:eastAsia="en-AU"/>
        </w:rPr>
        <w:t>,</w:t>
      </w:r>
      <w:r w:rsidR="008A7B8B" w:rsidRPr="0036089D">
        <w:rPr>
          <w:rFonts w:ascii="Calibri" w:hAnsi="Calibri" w:cs="Arial"/>
          <w:lang w:eastAsia="en-AU"/>
        </w:rPr>
        <w:t xml:space="preserve"> peak industry bodies, the recycling industry, and state and territory regulatory bodies. P</w:t>
      </w:r>
      <w:r w:rsidR="00CC03B6" w:rsidRPr="0036089D">
        <w:rPr>
          <w:rFonts w:ascii="Calibri" w:hAnsi="Calibri" w:cs="Arial"/>
          <w:lang w:eastAsia="en-AU"/>
        </w:rPr>
        <w:t xml:space="preserve">ublic information </w:t>
      </w:r>
      <w:r w:rsidRPr="0036089D">
        <w:rPr>
          <w:rFonts w:ascii="Calibri" w:hAnsi="Calibri" w:cs="Arial"/>
          <w:lang w:eastAsia="en-AU"/>
        </w:rPr>
        <w:t xml:space="preserve">sessions </w:t>
      </w:r>
      <w:r w:rsidR="008A7B8B" w:rsidRPr="0036089D">
        <w:rPr>
          <w:rFonts w:ascii="Calibri" w:hAnsi="Calibri" w:cs="Arial"/>
          <w:lang w:eastAsia="en-AU"/>
        </w:rPr>
        <w:t xml:space="preserve">were also held </w:t>
      </w:r>
      <w:r w:rsidRPr="0036089D">
        <w:rPr>
          <w:rFonts w:ascii="Calibri" w:hAnsi="Calibri" w:cs="Arial"/>
          <w:lang w:eastAsia="en-AU"/>
        </w:rPr>
        <w:t>in five capital cities</w:t>
      </w:r>
      <w:r w:rsidR="008A7B8B" w:rsidRPr="0036089D">
        <w:rPr>
          <w:rFonts w:ascii="Calibri" w:hAnsi="Calibri" w:cs="Arial"/>
          <w:lang w:eastAsia="en-AU"/>
        </w:rPr>
        <w:t xml:space="preserve"> across Australia.</w:t>
      </w:r>
    </w:p>
    <w:p w:rsidR="00FA7D89" w:rsidRPr="0036089D" w:rsidRDefault="00DD7A66" w:rsidP="002947A1">
      <w:pPr>
        <w:pStyle w:val="ListParagraph"/>
        <w:numPr>
          <w:ilvl w:val="0"/>
          <w:numId w:val="19"/>
        </w:numPr>
        <w:rPr>
          <w:rFonts w:ascii="Calibri" w:hAnsi="Calibri" w:cs="Arial"/>
          <w:lang w:eastAsia="en-AU"/>
        </w:rPr>
      </w:pPr>
      <w:r w:rsidRPr="0036089D">
        <w:rPr>
          <w:rFonts w:ascii="Calibri" w:hAnsi="Calibri" w:cs="Arial"/>
          <w:lang w:eastAsia="en-AU"/>
        </w:rPr>
        <w:t>Development of a Regulatory Impact Statement for approval by the Office of Best Practice Regulation</w:t>
      </w:r>
      <w:r w:rsidR="00FA7D89" w:rsidRPr="0036089D">
        <w:rPr>
          <w:rFonts w:ascii="Calibri" w:hAnsi="Calibri" w:cs="Arial"/>
          <w:lang w:eastAsia="en-AU"/>
        </w:rPr>
        <w:t xml:space="preserve">, available at </w:t>
      </w:r>
      <w:hyperlink r:id="rId17" w:history="1">
        <w:r w:rsidR="00FA7D89" w:rsidRPr="0036089D">
          <w:rPr>
            <w:rStyle w:val="Hyperlink"/>
            <w:rFonts w:asciiTheme="minorHAnsi" w:hAnsiTheme="minorHAnsi" w:cs="Adobe Garamond Pro"/>
            <w:lang w:eastAsia="en-AU"/>
          </w:rPr>
          <w:t>ris.dpmc.gov.au/2015/09/29/changes-to-the-national-television-and-computer-recycling-scheme/</w:t>
        </w:r>
      </w:hyperlink>
    </w:p>
    <w:p w:rsidR="00DD7A66" w:rsidRPr="0036089D" w:rsidRDefault="004F19DB" w:rsidP="004F19DB">
      <w:pPr>
        <w:pStyle w:val="ListParagraph"/>
        <w:numPr>
          <w:ilvl w:val="0"/>
          <w:numId w:val="19"/>
        </w:numPr>
        <w:rPr>
          <w:rFonts w:ascii="Calibri" w:hAnsi="Calibri" w:cs="Arial"/>
          <w:lang w:eastAsia="en-AU"/>
        </w:rPr>
      </w:pPr>
      <w:r w:rsidRPr="0036089D">
        <w:rPr>
          <w:rFonts w:asciiTheme="minorHAnsi" w:hAnsiTheme="minorHAnsi" w:cs="Adobe Garamond Pro"/>
          <w:color w:val="000000"/>
          <w:lang w:eastAsia="en-AU"/>
        </w:rPr>
        <w:t>Supported</w:t>
      </w:r>
      <w:r w:rsidR="00672240" w:rsidRPr="0036089D">
        <w:rPr>
          <w:rFonts w:asciiTheme="minorHAnsi" w:hAnsiTheme="minorHAnsi" w:cs="Adobe Garamond Pro"/>
          <w:color w:val="000000"/>
          <w:lang w:eastAsia="en-AU"/>
        </w:rPr>
        <w:t xml:space="preserve"> the Office of Parliamentary Council </w:t>
      </w:r>
      <w:r w:rsidRPr="0036089D">
        <w:rPr>
          <w:rFonts w:asciiTheme="minorHAnsi" w:hAnsiTheme="minorHAnsi" w:cs="Adobe Garamond Pro"/>
          <w:color w:val="000000"/>
          <w:lang w:eastAsia="en-AU"/>
        </w:rPr>
        <w:t>to draft</w:t>
      </w:r>
      <w:r w:rsidR="00672240" w:rsidRPr="0036089D">
        <w:rPr>
          <w:rFonts w:asciiTheme="minorHAnsi" w:hAnsiTheme="minorHAnsi" w:cs="Adobe Garamond Pro"/>
          <w:color w:val="000000"/>
          <w:lang w:eastAsia="en-AU"/>
        </w:rPr>
        <w:t xml:space="preserve"> amendments to the Product Stewardship (Televisions and Computer) Regulations 2011. The Regulations are available at </w:t>
      </w:r>
      <w:hyperlink r:id="rId18" w:history="1">
        <w:r w:rsidR="00672240" w:rsidRPr="0036089D">
          <w:rPr>
            <w:rStyle w:val="Hyperlink"/>
            <w:rFonts w:asciiTheme="minorHAnsi" w:hAnsiTheme="minorHAnsi" w:cs="Adobe Garamond Pro"/>
            <w:lang w:eastAsia="en-AU"/>
          </w:rPr>
          <w:t>https://www.comlaw.gov.au/Details/F2015C00726</w:t>
        </w:r>
      </w:hyperlink>
      <w:r w:rsidR="00E53C41" w:rsidRPr="0036089D">
        <w:rPr>
          <w:rFonts w:asciiTheme="minorHAnsi" w:hAnsiTheme="minorHAnsi" w:cs="Adobe Garamond Pro"/>
          <w:color w:val="000000"/>
          <w:lang w:eastAsia="en-AU"/>
        </w:rPr>
        <w:t>.</w:t>
      </w:r>
      <w:r w:rsidR="00672240" w:rsidRPr="0036089D">
        <w:rPr>
          <w:rFonts w:asciiTheme="minorHAnsi" w:hAnsiTheme="minorHAnsi" w:cs="Adobe Garamond Pro"/>
          <w:color w:val="000000"/>
          <w:lang w:eastAsia="en-AU"/>
        </w:rPr>
        <w:t xml:space="preserve"> </w:t>
      </w:r>
    </w:p>
    <w:p w:rsidR="00B817E7" w:rsidRPr="0036089D" w:rsidRDefault="00B817E7" w:rsidP="00C63A43">
      <w:pPr>
        <w:rPr>
          <w:rFonts w:ascii="Calibri" w:hAnsi="Calibri" w:cs="Arial"/>
          <w:lang w:eastAsia="en-AU"/>
        </w:rPr>
      </w:pPr>
      <w:r w:rsidRPr="0036089D">
        <w:rPr>
          <w:rFonts w:ascii="Calibri" w:hAnsi="Calibri" w:cs="Arial"/>
          <w:lang w:eastAsia="en-AU"/>
        </w:rPr>
        <w:t xml:space="preserve">The </w:t>
      </w:r>
      <w:r w:rsidR="00E94D92" w:rsidRPr="0036089D">
        <w:rPr>
          <w:rFonts w:ascii="Calibri" w:hAnsi="Calibri" w:cs="Arial"/>
          <w:lang w:eastAsia="en-AU"/>
        </w:rPr>
        <w:t xml:space="preserve">regulatory changes arising from </w:t>
      </w:r>
      <w:r w:rsidR="00CC03B6" w:rsidRPr="0036089D">
        <w:rPr>
          <w:rFonts w:ascii="Calibri" w:hAnsi="Calibri" w:cs="Arial"/>
          <w:lang w:eastAsia="en-AU"/>
        </w:rPr>
        <w:t xml:space="preserve">the </w:t>
      </w:r>
      <w:r w:rsidR="00E94D92" w:rsidRPr="0036089D">
        <w:rPr>
          <w:rFonts w:ascii="Calibri" w:hAnsi="Calibri" w:cs="Arial"/>
          <w:lang w:eastAsia="en-AU"/>
        </w:rPr>
        <w:t>c</w:t>
      </w:r>
      <w:r w:rsidR="00742CA7" w:rsidRPr="0036089D">
        <w:rPr>
          <w:rFonts w:ascii="Calibri" w:hAnsi="Calibri" w:cs="Arial"/>
          <w:lang w:eastAsia="en-AU"/>
        </w:rPr>
        <w:t>ompletion of the review include</w:t>
      </w:r>
      <w:r w:rsidR="00E94D92" w:rsidRPr="0036089D">
        <w:rPr>
          <w:rFonts w:ascii="Calibri" w:hAnsi="Calibri" w:cs="Arial"/>
          <w:lang w:eastAsia="en-AU"/>
        </w:rPr>
        <w:t>:</w:t>
      </w:r>
      <w:r w:rsidRPr="0036089D">
        <w:rPr>
          <w:rFonts w:ascii="Calibri" w:hAnsi="Calibri" w:cs="Arial"/>
          <w:lang w:eastAsia="en-AU"/>
        </w:rPr>
        <w:t xml:space="preserve"> </w:t>
      </w:r>
    </w:p>
    <w:p w:rsidR="00B817E7" w:rsidRPr="0036089D" w:rsidRDefault="00B817E7" w:rsidP="00C63A43">
      <w:pPr>
        <w:pStyle w:val="ListParagraph"/>
        <w:numPr>
          <w:ilvl w:val="0"/>
          <w:numId w:val="19"/>
        </w:numPr>
        <w:rPr>
          <w:rFonts w:ascii="Calibri" w:hAnsi="Calibri" w:cs="Arial"/>
          <w:lang w:eastAsia="en-AU"/>
        </w:rPr>
      </w:pPr>
      <w:r w:rsidRPr="0036089D">
        <w:rPr>
          <w:rFonts w:ascii="Calibri" w:hAnsi="Calibri" w:cs="Arial"/>
          <w:lang w:eastAsia="en-AU"/>
        </w:rPr>
        <w:t xml:space="preserve">Adjustment to </w:t>
      </w:r>
      <w:r w:rsidR="00E94D92" w:rsidRPr="0036089D">
        <w:rPr>
          <w:rFonts w:ascii="Calibri" w:hAnsi="Calibri" w:cs="Arial"/>
          <w:lang w:eastAsia="en-AU"/>
        </w:rPr>
        <w:t>industry’s</w:t>
      </w:r>
      <w:r w:rsidRPr="0036089D">
        <w:rPr>
          <w:rFonts w:ascii="Calibri" w:hAnsi="Calibri" w:cs="Arial"/>
          <w:lang w:eastAsia="en-AU"/>
        </w:rPr>
        <w:t xml:space="preserve"> recycling target</w:t>
      </w:r>
      <w:r w:rsidR="00E94D92" w:rsidRPr="0036089D">
        <w:rPr>
          <w:rFonts w:ascii="Calibri" w:hAnsi="Calibri" w:cs="Arial"/>
          <w:lang w:eastAsia="en-AU"/>
        </w:rPr>
        <w:t xml:space="preserve">, bringing forward recycling volumes to meet public demand for recycling services and </w:t>
      </w:r>
      <w:r w:rsidR="000523ED" w:rsidRPr="0036089D">
        <w:rPr>
          <w:rFonts w:ascii="Calibri" w:hAnsi="Calibri" w:cs="Arial"/>
          <w:lang w:eastAsia="en-AU"/>
        </w:rPr>
        <w:t xml:space="preserve">to </w:t>
      </w:r>
      <w:r w:rsidR="00E94D92" w:rsidRPr="0036089D">
        <w:rPr>
          <w:rFonts w:ascii="Calibri" w:hAnsi="Calibri" w:cs="Arial"/>
          <w:lang w:eastAsia="en-AU"/>
        </w:rPr>
        <w:t>ensure stability in the e-waste recycling industry</w:t>
      </w:r>
    </w:p>
    <w:p w:rsidR="00E94D92" w:rsidRPr="0036089D" w:rsidRDefault="000523ED" w:rsidP="00C63A43">
      <w:pPr>
        <w:pStyle w:val="ListParagraph"/>
        <w:numPr>
          <w:ilvl w:val="0"/>
          <w:numId w:val="19"/>
        </w:numPr>
        <w:rPr>
          <w:rFonts w:ascii="Calibri" w:hAnsi="Calibri" w:cs="Arial"/>
          <w:lang w:eastAsia="en-AU"/>
        </w:rPr>
      </w:pPr>
      <w:r w:rsidRPr="0036089D">
        <w:rPr>
          <w:rFonts w:ascii="Calibri" w:hAnsi="Calibri" w:cs="Arial"/>
          <w:lang w:eastAsia="en-AU"/>
        </w:rPr>
        <w:t>A</w:t>
      </w:r>
      <w:r w:rsidR="00E94D92" w:rsidRPr="0036089D">
        <w:rPr>
          <w:rFonts w:ascii="Calibri" w:hAnsi="Calibri" w:cs="Arial"/>
          <w:lang w:eastAsia="en-AU"/>
        </w:rPr>
        <w:t xml:space="preserve"> waste arising scaling factor of 0.8 for computers, reflecting higher exports of these products, and a waste arising scaling factor of 0.88 for </w:t>
      </w:r>
      <w:r w:rsidR="00B064D5" w:rsidRPr="0036089D">
        <w:rPr>
          <w:rFonts w:ascii="Calibri" w:hAnsi="Calibri" w:cs="Arial"/>
          <w:lang w:eastAsia="en-AU"/>
        </w:rPr>
        <w:t xml:space="preserve">printers, </w:t>
      </w:r>
      <w:r w:rsidR="00E94D92" w:rsidRPr="0036089D">
        <w:rPr>
          <w:rFonts w:ascii="Calibri" w:hAnsi="Calibri" w:cs="Arial"/>
          <w:lang w:eastAsia="en-AU"/>
        </w:rPr>
        <w:t>computer parts and peripherals</w:t>
      </w:r>
    </w:p>
    <w:p w:rsidR="00A83CF5" w:rsidRPr="0036089D" w:rsidRDefault="00A83CF5" w:rsidP="00C63A43">
      <w:pPr>
        <w:pStyle w:val="ListParagraph"/>
        <w:numPr>
          <w:ilvl w:val="0"/>
          <w:numId w:val="19"/>
        </w:numPr>
        <w:rPr>
          <w:rFonts w:ascii="Calibri" w:hAnsi="Calibri" w:cs="Arial"/>
          <w:lang w:eastAsia="en-AU"/>
        </w:rPr>
      </w:pPr>
      <w:r w:rsidRPr="0036089D">
        <w:rPr>
          <w:rFonts w:ascii="Calibri" w:hAnsi="Calibri" w:cs="Arial"/>
          <w:lang w:eastAsia="en-AU"/>
        </w:rPr>
        <w:t>Introduction of a settlement date for liable parties to have amendments to their import data finalised in order for any changes to be factored into their scheme liability</w:t>
      </w:r>
    </w:p>
    <w:p w:rsidR="00A83CF5" w:rsidRPr="0036089D" w:rsidRDefault="00A83CF5" w:rsidP="00C63A43">
      <w:pPr>
        <w:pStyle w:val="ListParagraph"/>
        <w:numPr>
          <w:ilvl w:val="0"/>
          <w:numId w:val="19"/>
        </w:numPr>
        <w:rPr>
          <w:rFonts w:ascii="Calibri" w:hAnsi="Calibri" w:cs="Arial"/>
          <w:lang w:eastAsia="en-AU"/>
        </w:rPr>
      </w:pPr>
      <w:r w:rsidRPr="0036089D">
        <w:rPr>
          <w:rFonts w:ascii="Calibri" w:hAnsi="Calibri" w:cs="Arial"/>
          <w:lang w:eastAsia="en-AU"/>
        </w:rPr>
        <w:t>A requirement that from 1 July 2016, co-regulatory arrangements must only contract with recycling service providers that are certified to A</w:t>
      </w:r>
      <w:r w:rsidR="00CC03B6" w:rsidRPr="0036089D">
        <w:rPr>
          <w:rFonts w:ascii="Calibri" w:hAnsi="Calibri" w:cs="Arial"/>
          <w:lang w:eastAsia="en-AU"/>
        </w:rPr>
        <w:t xml:space="preserve">ustralian </w:t>
      </w:r>
      <w:r w:rsidRPr="0036089D">
        <w:rPr>
          <w:rFonts w:ascii="Calibri" w:hAnsi="Calibri" w:cs="Arial"/>
          <w:lang w:eastAsia="en-AU"/>
        </w:rPr>
        <w:t>S</w:t>
      </w:r>
      <w:r w:rsidR="00CC03B6" w:rsidRPr="0036089D">
        <w:rPr>
          <w:rFonts w:ascii="Calibri" w:hAnsi="Calibri" w:cs="Arial"/>
          <w:lang w:eastAsia="en-AU"/>
        </w:rPr>
        <w:t xml:space="preserve">tandard 5377 </w:t>
      </w:r>
      <w:r w:rsidRPr="0036089D">
        <w:rPr>
          <w:rFonts w:ascii="Calibri" w:hAnsi="Calibri" w:cs="Arial"/>
          <w:lang w:eastAsia="en-AU"/>
        </w:rPr>
        <w:t xml:space="preserve">for the collection, storage, transport and treatment of end-of-life electrical and electronic equipment. </w:t>
      </w:r>
    </w:p>
    <w:p w:rsidR="00A83CF5" w:rsidRPr="0036089D" w:rsidRDefault="00A83CF5" w:rsidP="00C63A43">
      <w:pPr>
        <w:rPr>
          <w:rFonts w:asciiTheme="minorHAnsi" w:hAnsiTheme="minorHAnsi" w:cs="Adobe Garamond Pro"/>
          <w:color w:val="000000"/>
          <w:lang w:eastAsia="en-AU"/>
        </w:rPr>
      </w:pPr>
      <w:r w:rsidRPr="0036089D">
        <w:rPr>
          <w:rFonts w:ascii="Calibri" w:hAnsi="Calibri" w:cs="Arial"/>
          <w:lang w:eastAsia="en-AU"/>
        </w:rPr>
        <w:t xml:space="preserve">More information regarding these regulatory changes is available on the Department’s </w:t>
      </w:r>
      <w:r w:rsidR="00C63A43" w:rsidRPr="0036089D">
        <w:rPr>
          <w:rFonts w:ascii="Calibri" w:hAnsi="Calibri" w:cs="Arial"/>
          <w:lang w:eastAsia="en-AU"/>
        </w:rPr>
        <w:t xml:space="preserve">website </w:t>
      </w:r>
      <w:r w:rsidRPr="0036089D">
        <w:rPr>
          <w:rFonts w:ascii="Calibri" w:hAnsi="Calibri" w:cs="Arial"/>
          <w:lang w:eastAsia="en-AU"/>
        </w:rPr>
        <w:t>at</w:t>
      </w:r>
      <w:r w:rsidRPr="0036089D">
        <w:rPr>
          <w:rFonts w:ascii="Adobe Garamond Pro" w:hAnsi="Adobe Garamond Pro" w:cs="Adobe Garamond Pro"/>
          <w:color w:val="000000"/>
          <w:sz w:val="20"/>
          <w:szCs w:val="20"/>
          <w:lang w:eastAsia="en-AU"/>
        </w:rPr>
        <w:t xml:space="preserve"> </w:t>
      </w:r>
      <w:hyperlink r:id="rId19" w:history="1">
        <w:r w:rsidR="00C63A43" w:rsidRPr="0036089D">
          <w:rPr>
            <w:rStyle w:val="Hyperlink"/>
            <w:rFonts w:asciiTheme="minorHAnsi" w:hAnsiTheme="minorHAnsi" w:cs="Adobe Garamond Pro"/>
            <w:lang w:eastAsia="en-AU"/>
          </w:rPr>
          <w:t>http://www.environment.gov.au/protection/national-waste-policy/publications/factsheet-national-television-and-computer-recycling-scheme-changes</w:t>
        </w:r>
      </w:hyperlink>
      <w:r w:rsidR="00C8425F" w:rsidRPr="0036089D">
        <w:t>.</w:t>
      </w:r>
      <w:r w:rsidR="00C63A43" w:rsidRPr="0036089D">
        <w:rPr>
          <w:rFonts w:asciiTheme="minorHAnsi" w:hAnsiTheme="minorHAnsi" w:cs="Adobe Garamond Pro"/>
          <w:color w:val="000000"/>
          <w:lang w:eastAsia="en-AU"/>
        </w:rPr>
        <w:t xml:space="preserve"> </w:t>
      </w:r>
    </w:p>
    <w:p w:rsidR="00C25538" w:rsidRPr="0036089D" w:rsidRDefault="00C8425F" w:rsidP="00CE40F3">
      <w:pPr>
        <w:pStyle w:val="Heading2"/>
        <w:spacing w:before="240" w:after="120"/>
      </w:pPr>
      <w:bookmarkStart w:id="20" w:name="_Toc450650987"/>
      <w:r w:rsidRPr="0036089D">
        <w:t>O</w:t>
      </w:r>
      <w:r w:rsidR="004E3750" w:rsidRPr="0036089D">
        <w:t>perational review c</w:t>
      </w:r>
      <w:r w:rsidR="00C25538" w:rsidRPr="0036089D">
        <w:t>onsultation and stakeholder engagement</w:t>
      </w:r>
      <w:bookmarkEnd w:id="16"/>
      <w:bookmarkEnd w:id="17"/>
      <w:bookmarkEnd w:id="18"/>
      <w:bookmarkEnd w:id="19"/>
      <w:bookmarkEnd w:id="20"/>
    </w:p>
    <w:p w:rsidR="00346157" w:rsidRPr="0036089D" w:rsidRDefault="00B817E7" w:rsidP="004E3750">
      <w:pPr>
        <w:rPr>
          <w:rFonts w:ascii="Calibri" w:hAnsi="Calibri" w:cs="Arial"/>
          <w:lang w:eastAsia="en-AU"/>
        </w:rPr>
      </w:pPr>
      <w:r w:rsidRPr="0036089D">
        <w:rPr>
          <w:rFonts w:ascii="Calibri" w:hAnsi="Calibri" w:cs="Arial"/>
          <w:lang w:eastAsia="en-AU"/>
        </w:rPr>
        <w:t xml:space="preserve">Consultation informing the </w:t>
      </w:r>
      <w:r w:rsidR="00C25538" w:rsidRPr="0036089D">
        <w:rPr>
          <w:rFonts w:ascii="Calibri" w:hAnsi="Calibri" w:cs="Arial"/>
          <w:lang w:eastAsia="en-AU"/>
        </w:rPr>
        <w:t xml:space="preserve">operational review </w:t>
      </w:r>
      <w:r w:rsidR="000523ED" w:rsidRPr="0036089D">
        <w:rPr>
          <w:rFonts w:ascii="Calibri" w:hAnsi="Calibri" w:cs="Arial"/>
          <w:lang w:eastAsia="en-AU"/>
        </w:rPr>
        <w:t>included</w:t>
      </w:r>
      <w:r w:rsidR="004E3750" w:rsidRPr="0036089D">
        <w:rPr>
          <w:rFonts w:ascii="Calibri" w:hAnsi="Calibri" w:cs="Arial"/>
          <w:lang w:eastAsia="en-AU"/>
        </w:rPr>
        <w:t xml:space="preserve"> preliminary industry </w:t>
      </w:r>
      <w:r w:rsidR="000523ED" w:rsidRPr="0036089D">
        <w:rPr>
          <w:rFonts w:ascii="Calibri" w:hAnsi="Calibri" w:cs="Arial"/>
          <w:lang w:eastAsia="en-AU"/>
        </w:rPr>
        <w:t>engagement</w:t>
      </w:r>
      <w:r w:rsidR="004E3750" w:rsidRPr="0036089D">
        <w:rPr>
          <w:rFonts w:ascii="Calibri" w:hAnsi="Calibri" w:cs="Arial"/>
          <w:lang w:eastAsia="en-AU"/>
        </w:rPr>
        <w:t xml:space="preserve">, </w:t>
      </w:r>
      <w:r w:rsidR="00FD3CC1" w:rsidRPr="0036089D">
        <w:rPr>
          <w:rFonts w:ascii="Calibri" w:hAnsi="Calibri" w:cs="Arial"/>
          <w:lang w:eastAsia="en-AU"/>
        </w:rPr>
        <w:t xml:space="preserve">public consultation on </w:t>
      </w:r>
      <w:r w:rsidR="000523ED" w:rsidRPr="0036089D">
        <w:rPr>
          <w:rFonts w:ascii="Calibri" w:hAnsi="Calibri" w:cs="Arial"/>
          <w:lang w:eastAsia="en-AU"/>
        </w:rPr>
        <w:t xml:space="preserve">the </w:t>
      </w:r>
      <w:r w:rsidR="004E3750" w:rsidRPr="0036089D">
        <w:rPr>
          <w:rFonts w:ascii="Calibri" w:hAnsi="Calibri" w:cs="Arial"/>
          <w:lang w:eastAsia="en-AU"/>
        </w:rPr>
        <w:t xml:space="preserve">operational review paper, and </w:t>
      </w:r>
      <w:r w:rsidR="00FD3CC1" w:rsidRPr="0036089D">
        <w:rPr>
          <w:rFonts w:ascii="Calibri" w:hAnsi="Calibri" w:cs="Arial"/>
          <w:lang w:eastAsia="en-AU"/>
        </w:rPr>
        <w:t>c</w:t>
      </w:r>
      <w:r w:rsidR="004E3750" w:rsidRPr="0036089D">
        <w:rPr>
          <w:rFonts w:ascii="Calibri" w:hAnsi="Calibri" w:cs="Arial"/>
          <w:lang w:eastAsia="en-AU"/>
        </w:rPr>
        <w:t>onsultation on regulatory costs.</w:t>
      </w:r>
      <w:r w:rsidR="00C8425F" w:rsidRPr="0036089D">
        <w:rPr>
          <w:rFonts w:ascii="Calibri" w:hAnsi="Calibri" w:cs="Arial"/>
          <w:lang w:eastAsia="en-AU"/>
        </w:rPr>
        <w:t xml:space="preserve"> A summary of these activities is provided in Table 1 below.</w:t>
      </w:r>
    </w:p>
    <w:p w:rsidR="005535D0" w:rsidRPr="0036089D" w:rsidRDefault="005535D0" w:rsidP="005535D0">
      <w:pPr>
        <w:pStyle w:val="Caption"/>
        <w:rPr>
          <w:rFonts w:ascii="Calibri" w:hAnsi="Calibri" w:cs="Arial"/>
          <w:b w:val="0"/>
          <w:i/>
          <w:lang w:eastAsia="en-AU"/>
        </w:rPr>
      </w:pPr>
      <w:r w:rsidRPr="0036089D">
        <w:rPr>
          <w:b w:val="0"/>
        </w:rPr>
        <w:t xml:space="preserve">Table </w:t>
      </w:r>
      <w:r w:rsidR="0055178B" w:rsidRPr="0036089D">
        <w:rPr>
          <w:b w:val="0"/>
        </w:rPr>
        <w:fldChar w:fldCharType="begin"/>
      </w:r>
      <w:r w:rsidR="00261484" w:rsidRPr="0036089D">
        <w:rPr>
          <w:b w:val="0"/>
        </w:rPr>
        <w:instrText xml:space="preserve"> SEQ Appendix \* ARABIC </w:instrText>
      </w:r>
      <w:r w:rsidR="0055178B" w:rsidRPr="0036089D">
        <w:rPr>
          <w:b w:val="0"/>
        </w:rPr>
        <w:fldChar w:fldCharType="separate"/>
      </w:r>
      <w:r w:rsidR="003A2863">
        <w:rPr>
          <w:b w:val="0"/>
          <w:noProof/>
        </w:rPr>
        <w:t>1</w:t>
      </w:r>
      <w:r w:rsidR="0055178B" w:rsidRPr="0036089D">
        <w:rPr>
          <w:b w:val="0"/>
        </w:rPr>
        <w:fldChar w:fldCharType="end"/>
      </w:r>
      <w:r w:rsidRPr="0036089D">
        <w:rPr>
          <w:b w:val="0"/>
        </w:rPr>
        <w:t xml:space="preserve">: </w:t>
      </w:r>
      <w:r w:rsidRPr="0036089D">
        <w:rPr>
          <w:b w:val="0"/>
          <w:i/>
        </w:rPr>
        <w:t xml:space="preserve">Summary of </w:t>
      </w:r>
      <w:r w:rsidR="00CE6641" w:rsidRPr="0036089D">
        <w:rPr>
          <w:b w:val="0"/>
          <w:i/>
        </w:rPr>
        <w:t xml:space="preserve">2014–15 </w:t>
      </w:r>
      <w:r w:rsidR="00C8425F" w:rsidRPr="0036089D">
        <w:rPr>
          <w:b w:val="0"/>
          <w:i/>
        </w:rPr>
        <w:t xml:space="preserve">operational review </w:t>
      </w:r>
      <w:r w:rsidRPr="0036089D">
        <w:rPr>
          <w:b w:val="0"/>
          <w:i/>
        </w:rPr>
        <w:t>consultation activities</w:t>
      </w:r>
    </w:p>
    <w:tbl>
      <w:tblPr>
        <w:tblStyle w:val="LightShading-Accent11"/>
        <w:tblW w:w="0" w:type="auto"/>
        <w:tblLook w:val="04A0" w:firstRow="1" w:lastRow="0" w:firstColumn="1" w:lastColumn="0" w:noHBand="0" w:noVBand="1"/>
      </w:tblPr>
      <w:tblGrid>
        <w:gridCol w:w="3227"/>
        <w:gridCol w:w="5812"/>
      </w:tblGrid>
      <w:tr w:rsidR="000523ED" w:rsidRPr="0036089D" w:rsidTr="000523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bottom w:val="nil"/>
            </w:tcBorders>
            <w:vAlign w:val="center"/>
          </w:tcPr>
          <w:p w:rsidR="000523ED" w:rsidRPr="0036089D" w:rsidRDefault="000523ED" w:rsidP="000523ED">
            <w:pPr>
              <w:pStyle w:val="Heading4"/>
              <w:spacing w:after="120"/>
              <w:outlineLvl w:val="3"/>
              <w:rPr>
                <w:b w:val="0"/>
                <w:i w:val="0"/>
                <w:color w:val="auto"/>
                <w:lang w:eastAsia="en-AU"/>
              </w:rPr>
            </w:pPr>
            <w:r w:rsidRPr="0036089D">
              <w:rPr>
                <w:b w:val="0"/>
                <w:i w:val="0"/>
                <w:color w:val="auto"/>
                <w:lang w:eastAsia="en-AU"/>
              </w:rPr>
              <w:t>September to November 2014</w:t>
            </w:r>
          </w:p>
        </w:tc>
        <w:tc>
          <w:tcPr>
            <w:tcW w:w="5812" w:type="dxa"/>
            <w:tcBorders>
              <w:bottom w:val="nil"/>
            </w:tcBorders>
          </w:tcPr>
          <w:p w:rsidR="000523ED" w:rsidRPr="0036089D" w:rsidRDefault="000523ED" w:rsidP="000523ED">
            <w:pPr>
              <w:pStyle w:val="Heading4"/>
              <w:spacing w:after="120"/>
              <w:outlineLvl w:val="3"/>
              <w:cnfStyle w:val="100000000000" w:firstRow="1" w:lastRow="0" w:firstColumn="0" w:lastColumn="0" w:oddVBand="0" w:evenVBand="0" w:oddHBand="0" w:evenHBand="0" w:firstRowFirstColumn="0" w:firstRowLastColumn="0" w:lastRowFirstColumn="0" w:lastRowLastColumn="0"/>
              <w:rPr>
                <w:b w:val="0"/>
                <w:i w:val="0"/>
                <w:color w:val="auto"/>
                <w:lang w:eastAsia="en-AU"/>
              </w:rPr>
            </w:pPr>
            <w:r w:rsidRPr="0036089D">
              <w:rPr>
                <w:b w:val="0"/>
                <w:i w:val="0"/>
                <w:color w:val="auto"/>
              </w:rPr>
              <w:t xml:space="preserve">Roundtables hosted with state, territory and local governments, industry associations and other stakeholders </w:t>
            </w:r>
          </w:p>
        </w:tc>
      </w:tr>
      <w:tr w:rsidR="000523ED" w:rsidRPr="0036089D" w:rsidTr="00052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nil"/>
            </w:tcBorders>
            <w:vAlign w:val="center"/>
          </w:tcPr>
          <w:p w:rsidR="000523ED" w:rsidRPr="0036089D" w:rsidRDefault="000523ED" w:rsidP="000523ED">
            <w:pPr>
              <w:pStyle w:val="Heading4"/>
              <w:spacing w:after="120"/>
              <w:jc w:val="center"/>
              <w:outlineLvl w:val="3"/>
              <w:rPr>
                <w:b w:val="0"/>
                <w:i w:val="0"/>
                <w:color w:val="auto"/>
                <w:lang w:eastAsia="en-AU"/>
              </w:rPr>
            </w:pPr>
            <w:r w:rsidRPr="0036089D">
              <w:rPr>
                <w:b w:val="0"/>
                <w:i w:val="0"/>
                <w:color w:val="auto"/>
                <w:lang w:eastAsia="en-AU"/>
              </w:rPr>
              <w:t>November 2014</w:t>
            </w:r>
          </w:p>
        </w:tc>
        <w:tc>
          <w:tcPr>
            <w:tcW w:w="5812" w:type="dxa"/>
            <w:tcBorders>
              <w:top w:val="nil"/>
            </w:tcBorders>
          </w:tcPr>
          <w:p w:rsidR="000523ED" w:rsidRPr="0036089D" w:rsidRDefault="000523ED" w:rsidP="000523ED">
            <w:pPr>
              <w:pStyle w:val="Heading4"/>
              <w:spacing w:after="120"/>
              <w:outlineLvl w:val="3"/>
              <w:cnfStyle w:val="000000100000" w:firstRow="0" w:lastRow="0" w:firstColumn="0" w:lastColumn="0" w:oddVBand="0" w:evenVBand="0" w:oddHBand="1" w:evenHBand="0" w:firstRowFirstColumn="0" w:firstRowLastColumn="0" w:lastRowFirstColumn="0" w:lastRowLastColumn="0"/>
              <w:rPr>
                <w:i w:val="0"/>
                <w:color w:val="auto"/>
                <w:lang w:eastAsia="en-AU"/>
              </w:rPr>
            </w:pPr>
            <w:r w:rsidRPr="0036089D">
              <w:rPr>
                <w:i w:val="0"/>
                <w:color w:val="auto"/>
              </w:rPr>
              <w:t xml:space="preserve">Review paper released, proposing possible regulatory and non-regulatory response options </w:t>
            </w:r>
          </w:p>
        </w:tc>
      </w:tr>
      <w:tr w:rsidR="000523ED" w:rsidRPr="0036089D" w:rsidTr="000523ED">
        <w:tc>
          <w:tcPr>
            <w:cnfStyle w:val="001000000000" w:firstRow="0" w:lastRow="0" w:firstColumn="1" w:lastColumn="0" w:oddVBand="0" w:evenVBand="0" w:oddHBand="0" w:evenHBand="0" w:firstRowFirstColumn="0" w:firstRowLastColumn="0" w:lastRowFirstColumn="0" w:lastRowLastColumn="0"/>
            <w:tcW w:w="3227" w:type="dxa"/>
            <w:vAlign w:val="center"/>
          </w:tcPr>
          <w:p w:rsidR="000523ED" w:rsidRPr="0036089D" w:rsidRDefault="000523ED" w:rsidP="000523ED">
            <w:pPr>
              <w:pStyle w:val="Heading4"/>
              <w:spacing w:after="120"/>
              <w:jc w:val="center"/>
              <w:outlineLvl w:val="3"/>
              <w:rPr>
                <w:b w:val="0"/>
                <w:i w:val="0"/>
                <w:color w:val="auto"/>
                <w:lang w:eastAsia="en-AU"/>
              </w:rPr>
            </w:pPr>
            <w:r w:rsidRPr="0036089D">
              <w:rPr>
                <w:b w:val="0"/>
                <w:i w:val="0"/>
                <w:color w:val="auto"/>
                <w:lang w:eastAsia="en-AU"/>
              </w:rPr>
              <w:t>December 2014</w:t>
            </w:r>
          </w:p>
        </w:tc>
        <w:tc>
          <w:tcPr>
            <w:tcW w:w="5812" w:type="dxa"/>
          </w:tcPr>
          <w:p w:rsidR="000523ED" w:rsidRPr="0036089D" w:rsidRDefault="000523ED" w:rsidP="000523ED">
            <w:pPr>
              <w:pStyle w:val="Heading4"/>
              <w:spacing w:after="120"/>
              <w:outlineLvl w:val="3"/>
              <w:cnfStyle w:val="000000000000" w:firstRow="0" w:lastRow="0" w:firstColumn="0" w:lastColumn="0" w:oddVBand="0" w:evenVBand="0" w:oddHBand="0" w:evenHBand="0" w:firstRowFirstColumn="0" w:firstRowLastColumn="0" w:lastRowFirstColumn="0" w:lastRowLastColumn="0"/>
              <w:rPr>
                <w:i w:val="0"/>
                <w:color w:val="auto"/>
                <w:lang w:eastAsia="en-AU"/>
              </w:rPr>
            </w:pPr>
            <w:r w:rsidRPr="0036089D">
              <w:rPr>
                <w:i w:val="0"/>
                <w:color w:val="auto"/>
              </w:rPr>
              <w:t>Roundtable meetings with industry associations and other stakeholders in the television and computer industries</w:t>
            </w:r>
          </w:p>
        </w:tc>
      </w:tr>
      <w:tr w:rsidR="000523ED" w:rsidRPr="0036089D" w:rsidTr="00052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Align w:val="center"/>
          </w:tcPr>
          <w:p w:rsidR="000523ED" w:rsidRPr="0036089D" w:rsidRDefault="000523ED" w:rsidP="000523ED">
            <w:pPr>
              <w:pStyle w:val="Heading4"/>
              <w:spacing w:after="120"/>
              <w:jc w:val="center"/>
              <w:outlineLvl w:val="3"/>
              <w:rPr>
                <w:b w:val="0"/>
                <w:i w:val="0"/>
                <w:color w:val="auto"/>
                <w:lang w:eastAsia="en-AU"/>
              </w:rPr>
            </w:pPr>
            <w:r w:rsidRPr="0036089D">
              <w:rPr>
                <w:b w:val="0"/>
                <w:i w:val="0"/>
                <w:color w:val="auto"/>
                <w:lang w:eastAsia="en-AU"/>
              </w:rPr>
              <w:t>January to February 2015</w:t>
            </w:r>
          </w:p>
        </w:tc>
        <w:tc>
          <w:tcPr>
            <w:tcW w:w="5812" w:type="dxa"/>
          </w:tcPr>
          <w:p w:rsidR="000523ED" w:rsidRPr="0036089D" w:rsidRDefault="000523ED" w:rsidP="000523ED">
            <w:pPr>
              <w:pStyle w:val="Heading4"/>
              <w:spacing w:after="120"/>
              <w:outlineLvl w:val="3"/>
              <w:cnfStyle w:val="000000100000" w:firstRow="0" w:lastRow="0" w:firstColumn="0" w:lastColumn="0" w:oddVBand="0" w:evenVBand="0" w:oddHBand="1" w:evenHBand="0" w:firstRowFirstColumn="0" w:firstRowLastColumn="0" w:lastRowFirstColumn="0" w:lastRowLastColumn="0"/>
              <w:rPr>
                <w:i w:val="0"/>
                <w:color w:val="auto"/>
                <w:lang w:eastAsia="en-AU"/>
              </w:rPr>
            </w:pPr>
            <w:r w:rsidRPr="0036089D">
              <w:rPr>
                <w:i w:val="0"/>
                <w:color w:val="auto"/>
              </w:rPr>
              <w:t>Public consultation sessions on the operational review paper held in Brisbane, Sydney, Melbourne, Adelaide and Perth.</w:t>
            </w:r>
          </w:p>
        </w:tc>
      </w:tr>
      <w:tr w:rsidR="000523ED" w:rsidRPr="0036089D" w:rsidTr="000523ED">
        <w:tc>
          <w:tcPr>
            <w:cnfStyle w:val="001000000000" w:firstRow="0" w:lastRow="0" w:firstColumn="1" w:lastColumn="0" w:oddVBand="0" w:evenVBand="0" w:oddHBand="0" w:evenHBand="0" w:firstRowFirstColumn="0" w:firstRowLastColumn="0" w:lastRowFirstColumn="0" w:lastRowLastColumn="0"/>
            <w:tcW w:w="3227" w:type="dxa"/>
            <w:vAlign w:val="center"/>
          </w:tcPr>
          <w:p w:rsidR="000523ED" w:rsidRPr="0036089D" w:rsidRDefault="000523ED" w:rsidP="000523ED">
            <w:pPr>
              <w:pStyle w:val="Heading4"/>
              <w:spacing w:after="120"/>
              <w:jc w:val="center"/>
              <w:outlineLvl w:val="3"/>
              <w:rPr>
                <w:b w:val="0"/>
                <w:i w:val="0"/>
                <w:color w:val="auto"/>
                <w:lang w:eastAsia="en-AU"/>
              </w:rPr>
            </w:pPr>
            <w:r w:rsidRPr="0036089D">
              <w:rPr>
                <w:b w:val="0"/>
                <w:i w:val="0"/>
                <w:color w:val="auto"/>
                <w:lang w:eastAsia="en-AU"/>
              </w:rPr>
              <w:t>February 2015</w:t>
            </w:r>
          </w:p>
        </w:tc>
        <w:tc>
          <w:tcPr>
            <w:tcW w:w="5812" w:type="dxa"/>
          </w:tcPr>
          <w:p w:rsidR="000523ED" w:rsidRPr="0036089D" w:rsidRDefault="000523ED" w:rsidP="00D30538">
            <w:pPr>
              <w:pStyle w:val="Heading4"/>
              <w:spacing w:after="120"/>
              <w:outlineLvl w:val="3"/>
              <w:cnfStyle w:val="000000000000" w:firstRow="0" w:lastRow="0" w:firstColumn="0" w:lastColumn="0" w:oddVBand="0" w:evenVBand="0" w:oddHBand="0" w:evenHBand="0" w:firstRowFirstColumn="0" w:firstRowLastColumn="0" w:lastRowFirstColumn="0" w:lastRowLastColumn="0"/>
              <w:rPr>
                <w:i w:val="0"/>
                <w:color w:val="auto"/>
                <w:lang w:eastAsia="en-AU"/>
              </w:rPr>
            </w:pPr>
            <w:r w:rsidRPr="0036089D">
              <w:rPr>
                <w:i w:val="0"/>
                <w:color w:val="auto"/>
              </w:rPr>
              <w:t xml:space="preserve">85 written submissions received from stakeholders in response to the operational review paper </w:t>
            </w:r>
          </w:p>
        </w:tc>
      </w:tr>
      <w:tr w:rsidR="000523ED" w:rsidRPr="0036089D" w:rsidTr="00052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Align w:val="center"/>
          </w:tcPr>
          <w:p w:rsidR="000523ED" w:rsidRPr="0036089D" w:rsidRDefault="000523ED" w:rsidP="000523ED">
            <w:pPr>
              <w:pStyle w:val="Heading4"/>
              <w:spacing w:after="120"/>
              <w:jc w:val="center"/>
              <w:outlineLvl w:val="3"/>
              <w:rPr>
                <w:b w:val="0"/>
                <w:i w:val="0"/>
                <w:color w:val="auto"/>
                <w:lang w:eastAsia="en-AU"/>
              </w:rPr>
            </w:pPr>
            <w:r w:rsidRPr="0036089D">
              <w:rPr>
                <w:b w:val="0"/>
                <w:i w:val="0"/>
                <w:color w:val="auto"/>
                <w:lang w:eastAsia="en-AU"/>
              </w:rPr>
              <w:t>February 2015</w:t>
            </w:r>
          </w:p>
        </w:tc>
        <w:tc>
          <w:tcPr>
            <w:tcW w:w="5812" w:type="dxa"/>
          </w:tcPr>
          <w:p w:rsidR="000523ED" w:rsidRPr="0036089D" w:rsidRDefault="000523ED" w:rsidP="000523ED">
            <w:pPr>
              <w:pStyle w:val="ListBullet"/>
              <w:numPr>
                <w:ilvl w:val="0"/>
                <w:numId w:val="0"/>
              </w:numPr>
              <w:spacing w:after="120"/>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Environment ministers from all jurisdictions informed of outcomes of consultation, and progress of regulatory impact analysis</w:t>
            </w:r>
          </w:p>
        </w:tc>
      </w:tr>
      <w:tr w:rsidR="000523ED" w:rsidRPr="0036089D" w:rsidTr="000523ED">
        <w:tc>
          <w:tcPr>
            <w:cnfStyle w:val="001000000000" w:firstRow="0" w:lastRow="0" w:firstColumn="1" w:lastColumn="0" w:oddVBand="0" w:evenVBand="0" w:oddHBand="0" w:evenHBand="0" w:firstRowFirstColumn="0" w:firstRowLastColumn="0" w:lastRowFirstColumn="0" w:lastRowLastColumn="0"/>
            <w:tcW w:w="3227" w:type="dxa"/>
            <w:vAlign w:val="center"/>
          </w:tcPr>
          <w:p w:rsidR="000523ED" w:rsidRPr="0036089D" w:rsidRDefault="000523ED" w:rsidP="000523ED">
            <w:pPr>
              <w:pStyle w:val="Heading4"/>
              <w:spacing w:after="120"/>
              <w:jc w:val="center"/>
              <w:outlineLvl w:val="3"/>
              <w:rPr>
                <w:b w:val="0"/>
                <w:i w:val="0"/>
                <w:color w:val="auto"/>
                <w:lang w:eastAsia="en-AU"/>
              </w:rPr>
            </w:pPr>
            <w:r w:rsidRPr="0036089D">
              <w:rPr>
                <w:b w:val="0"/>
                <w:i w:val="0"/>
                <w:color w:val="auto"/>
                <w:lang w:eastAsia="en-AU"/>
              </w:rPr>
              <w:t>December 2014 to March 2015</w:t>
            </w:r>
          </w:p>
        </w:tc>
        <w:tc>
          <w:tcPr>
            <w:tcW w:w="5812" w:type="dxa"/>
          </w:tcPr>
          <w:p w:rsidR="000523ED" w:rsidRPr="0036089D" w:rsidRDefault="000523ED" w:rsidP="000523ED">
            <w:pPr>
              <w:pStyle w:val="Heading4"/>
              <w:spacing w:after="120"/>
              <w:outlineLvl w:val="3"/>
              <w:cnfStyle w:val="000000000000" w:firstRow="0" w:lastRow="0" w:firstColumn="0" w:lastColumn="0" w:oddVBand="0" w:evenVBand="0" w:oddHBand="0" w:evenHBand="0" w:firstRowFirstColumn="0" w:firstRowLastColumn="0" w:lastRowFirstColumn="0" w:lastRowLastColumn="0"/>
              <w:rPr>
                <w:i w:val="0"/>
                <w:color w:val="auto"/>
                <w:lang w:eastAsia="en-AU"/>
              </w:rPr>
            </w:pPr>
            <w:r w:rsidRPr="0036089D">
              <w:rPr>
                <w:i w:val="0"/>
                <w:color w:val="auto"/>
                <w:lang w:eastAsia="en-AU"/>
              </w:rPr>
              <w:t>Consultation with co-regulatory arrangements, liable parties and industry to develop product codes and conversion factors</w:t>
            </w:r>
          </w:p>
        </w:tc>
      </w:tr>
      <w:tr w:rsidR="000523ED" w:rsidRPr="0036089D" w:rsidTr="00052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Align w:val="center"/>
          </w:tcPr>
          <w:p w:rsidR="000523ED" w:rsidRPr="0036089D" w:rsidRDefault="000523ED" w:rsidP="000523ED">
            <w:pPr>
              <w:pStyle w:val="Heading4"/>
              <w:spacing w:after="120"/>
              <w:jc w:val="center"/>
              <w:outlineLvl w:val="3"/>
              <w:rPr>
                <w:b w:val="0"/>
                <w:i w:val="0"/>
                <w:color w:val="auto"/>
                <w:lang w:eastAsia="en-AU"/>
              </w:rPr>
            </w:pPr>
            <w:r w:rsidRPr="0036089D">
              <w:rPr>
                <w:b w:val="0"/>
                <w:i w:val="0"/>
                <w:color w:val="auto"/>
                <w:lang w:eastAsia="en-AU"/>
              </w:rPr>
              <w:t>April 2015</w:t>
            </w:r>
          </w:p>
        </w:tc>
        <w:tc>
          <w:tcPr>
            <w:tcW w:w="5812" w:type="dxa"/>
          </w:tcPr>
          <w:p w:rsidR="000523ED" w:rsidRPr="0036089D" w:rsidRDefault="000523ED" w:rsidP="000523ED">
            <w:pPr>
              <w:pStyle w:val="Heading4"/>
              <w:spacing w:after="120"/>
              <w:outlineLvl w:val="3"/>
              <w:cnfStyle w:val="000000100000" w:firstRow="0" w:lastRow="0" w:firstColumn="0" w:lastColumn="0" w:oddVBand="0" w:evenVBand="0" w:oddHBand="1" w:evenHBand="0" w:firstRowFirstColumn="0" w:firstRowLastColumn="0" w:lastRowFirstColumn="0" w:lastRowLastColumn="0"/>
              <w:rPr>
                <w:i w:val="0"/>
                <w:color w:val="auto"/>
                <w:lang w:eastAsia="en-AU"/>
              </w:rPr>
            </w:pPr>
            <w:r w:rsidRPr="0036089D">
              <w:rPr>
                <w:i w:val="0"/>
                <w:color w:val="auto"/>
                <w:lang w:eastAsia="en-AU"/>
              </w:rPr>
              <w:t>Released a consultation paper on costing of options in the Regulatory Impact Statement (RIS)</w:t>
            </w:r>
          </w:p>
        </w:tc>
      </w:tr>
      <w:tr w:rsidR="000523ED" w:rsidRPr="0036089D" w:rsidTr="000523ED">
        <w:tc>
          <w:tcPr>
            <w:cnfStyle w:val="001000000000" w:firstRow="0" w:lastRow="0" w:firstColumn="1" w:lastColumn="0" w:oddVBand="0" w:evenVBand="0" w:oddHBand="0" w:evenHBand="0" w:firstRowFirstColumn="0" w:firstRowLastColumn="0" w:lastRowFirstColumn="0" w:lastRowLastColumn="0"/>
            <w:tcW w:w="3227" w:type="dxa"/>
            <w:vAlign w:val="center"/>
          </w:tcPr>
          <w:p w:rsidR="000523ED" w:rsidRPr="0036089D" w:rsidRDefault="000523ED" w:rsidP="000523ED">
            <w:pPr>
              <w:pStyle w:val="Heading4"/>
              <w:spacing w:after="120"/>
              <w:jc w:val="center"/>
              <w:outlineLvl w:val="3"/>
              <w:rPr>
                <w:b w:val="0"/>
                <w:i w:val="0"/>
                <w:color w:val="auto"/>
                <w:lang w:eastAsia="en-AU"/>
              </w:rPr>
            </w:pPr>
            <w:r w:rsidRPr="0036089D">
              <w:rPr>
                <w:b w:val="0"/>
                <w:i w:val="0"/>
                <w:color w:val="auto"/>
                <w:lang w:eastAsia="en-AU"/>
              </w:rPr>
              <w:t>May 2015</w:t>
            </w:r>
          </w:p>
        </w:tc>
        <w:tc>
          <w:tcPr>
            <w:tcW w:w="5812" w:type="dxa"/>
          </w:tcPr>
          <w:p w:rsidR="000523ED" w:rsidRPr="0036089D" w:rsidRDefault="000523ED" w:rsidP="000523ED">
            <w:pPr>
              <w:pStyle w:val="Heading4"/>
              <w:spacing w:after="120"/>
              <w:outlineLvl w:val="3"/>
              <w:cnfStyle w:val="000000000000" w:firstRow="0" w:lastRow="0" w:firstColumn="0" w:lastColumn="0" w:oddVBand="0" w:evenVBand="0" w:oddHBand="0" w:evenHBand="0" w:firstRowFirstColumn="0" w:firstRowLastColumn="0" w:lastRowFirstColumn="0" w:lastRowLastColumn="0"/>
              <w:rPr>
                <w:i w:val="0"/>
                <w:color w:val="auto"/>
                <w:lang w:eastAsia="en-AU"/>
              </w:rPr>
            </w:pPr>
            <w:r w:rsidRPr="0036089D">
              <w:rPr>
                <w:i w:val="0"/>
                <w:color w:val="auto"/>
                <w:lang w:eastAsia="en-AU"/>
              </w:rPr>
              <w:t>Revisions to costings consultation paper taking into account industry feedback</w:t>
            </w:r>
          </w:p>
        </w:tc>
      </w:tr>
    </w:tbl>
    <w:p w:rsidR="00D65284" w:rsidRPr="0036089D" w:rsidRDefault="008B22CC" w:rsidP="00C8425F">
      <w:pPr>
        <w:pStyle w:val="Heading1"/>
        <w:rPr>
          <w:sz w:val="36"/>
          <w:szCs w:val="36"/>
        </w:rPr>
      </w:pPr>
      <w:bookmarkStart w:id="21" w:name="_Toc256000034"/>
      <w:bookmarkStart w:id="22" w:name="_Toc256000021"/>
      <w:bookmarkStart w:id="23" w:name="_Toc256000008"/>
      <w:bookmarkStart w:id="24" w:name="_Toc380491876"/>
      <w:r w:rsidRPr="0036089D">
        <w:rPr>
          <w:sz w:val="36"/>
          <w:szCs w:val="36"/>
        </w:rPr>
        <w:br w:type="page"/>
      </w:r>
      <w:bookmarkStart w:id="25" w:name="_Toc450650988"/>
      <w:r w:rsidR="001D2679" w:rsidRPr="0036089D">
        <w:t xml:space="preserve">Co-regulatory arrangement </w:t>
      </w:r>
      <w:r w:rsidR="00001653" w:rsidRPr="0036089D">
        <w:t>outcomes 2014</w:t>
      </w:r>
      <w:r w:rsidR="000566D6" w:rsidRPr="0036089D">
        <w:t>–1</w:t>
      </w:r>
      <w:bookmarkEnd w:id="21"/>
      <w:bookmarkEnd w:id="22"/>
      <w:bookmarkEnd w:id="23"/>
      <w:bookmarkEnd w:id="24"/>
      <w:r w:rsidR="00001653" w:rsidRPr="0036089D">
        <w:t>5</w:t>
      </w:r>
      <w:bookmarkEnd w:id="25"/>
    </w:p>
    <w:p w:rsidR="00915466" w:rsidRPr="0036089D" w:rsidRDefault="00915466" w:rsidP="00C8425F">
      <w:pPr>
        <w:pStyle w:val="Heading2"/>
      </w:pPr>
      <w:bookmarkStart w:id="26" w:name="_Toc450650989"/>
      <w:r w:rsidRPr="0036089D">
        <w:t>Requirements for co-regulatory arrangements</w:t>
      </w:r>
      <w:bookmarkEnd w:id="26"/>
    </w:p>
    <w:p w:rsidR="00E23B6B" w:rsidRPr="0036089D" w:rsidRDefault="00915466" w:rsidP="00E23B6B">
      <w:pPr>
        <w:rPr>
          <w:rFonts w:ascii="Calibri" w:hAnsi="Calibri" w:cs="Arial"/>
          <w:lang w:eastAsia="en-AU"/>
        </w:rPr>
      </w:pPr>
      <w:r w:rsidRPr="0036089D">
        <w:rPr>
          <w:rFonts w:ascii="Calibri" w:hAnsi="Calibri" w:cs="Arial"/>
          <w:lang w:eastAsia="en-AU"/>
        </w:rPr>
        <w:t xml:space="preserve">The </w:t>
      </w:r>
      <w:r w:rsidRPr="0036089D">
        <w:rPr>
          <w:rFonts w:ascii="Calibri" w:hAnsi="Calibri" w:cs="Arial"/>
          <w:i/>
          <w:lang w:eastAsia="en-AU"/>
        </w:rPr>
        <w:t>Product Stewardship Act 2011</w:t>
      </w:r>
      <w:r w:rsidRPr="0036089D">
        <w:rPr>
          <w:rFonts w:ascii="Calibri" w:hAnsi="Calibri" w:cs="Arial"/>
          <w:lang w:eastAsia="en-AU"/>
        </w:rPr>
        <w:t xml:space="preserve"> (the Act) provides a legislative framework for national product stewardship, and the Product Stewardship (Televisions and Computers) Regulations 2011 (the Regulations) establish the National Television and Computer Recycling Scheme. </w:t>
      </w:r>
      <w:r w:rsidR="00495E32" w:rsidRPr="0036089D">
        <w:rPr>
          <w:rFonts w:ascii="Calibri" w:hAnsi="Calibri" w:cs="Arial"/>
          <w:lang w:eastAsia="en-AU"/>
        </w:rPr>
        <w:t>The Regulations set out a number of requirements for co-regulatory arrangements to meet</w:t>
      </w:r>
      <w:r w:rsidR="000F2C99" w:rsidRPr="0036089D">
        <w:rPr>
          <w:rFonts w:ascii="Calibri" w:hAnsi="Calibri" w:cs="Arial"/>
          <w:lang w:eastAsia="en-AU"/>
        </w:rPr>
        <w:t xml:space="preserve"> on behalf of their members each financial year.</w:t>
      </w:r>
      <w:r w:rsidR="00495E32" w:rsidRPr="0036089D">
        <w:rPr>
          <w:rFonts w:ascii="Calibri" w:hAnsi="Calibri" w:cs="Arial"/>
          <w:lang w:eastAsia="en-AU"/>
        </w:rPr>
        <w:t xml:space="preserve"> </w:t>
      </w:r>
    </w:p>
    <w:p w:rsidR="00AB2DD9" w:rsidRPr="0036089D" w:rsidRDefault="004D2255" w:rsidP="000F2C99">
      <w:pPr>
        <w:rPr>
          <w:rFonts w:ascii="Calibri" w:hAnsi="Calibri" w:cs="Arial"/>
          <w:lang w:eastAsia="en-AU"/>
        </w:rPr>
      </w:pPr>
      <w:r w:rsidRPr="0036089D">
        <w:rPr>
          <w:rFonts w:ascii="Calibri" w:hAnsi="Calibri" w:cs="Arial"/>
          <w:lang w:eastAsia="en-AU"/>
        </w:rPr>
        <w:t>Meeting these outcomes is a significant undertaking</w:t>
      </w:r>
      <w:r w:rsidR="00740E2C" w:rsidRPr="0036089D">
        <w:rPr>
          <w:rFonts w:ascii="Calibri" w:hAnsi="Calibri" w:cs="Arial"/>
          <w:lang w:eastAsia="en-AU"/>
        </w:rPr>
        <w:t xml:space="preserve"> for each co-regulatory arrangement</w:t>
      </w:r>
      <w:r w:rsidRPr="0036089D">
        <w:rPr>
          <w:rFonts w:ascii="Calibri" w:hAnsi="Calibri" w:cs="Arial"/>
          <w:lang w:eastAsia="en-AU"/>
        </w:rPr>
        <w:t xml:space="preserve">, </w:t>
      </w:r>
      <w:r w:rsidR="00740E2C" w:rsidRPr="0036089D">
        <w:rPr>
          <w:rFonts w:ascii="Calibri" w:hAnsi="Calibri" w:cs="Arial"/>
          <w:lang w:eastAsia="en-AU"/>
        </w:rPr>
        <w:t>requiring</w:t>
      </w:r>
      <w:r w:rsidRPr="0036089D">
        <w:rPr>
          <w:rFonts w:ascii="Calibri" w:hAnsi="Calibri" w:cs="Arial"/>
          <w:lang w:eastAsia="en-AU"/>
        </w:rPr>
        <w:t xml:space="preserve"> strategic and responsive operational planning throughout the year.</w:t>
      </w:r>
      <w:r w:rsidR="00E23B6B" w:rsidRPr="0036089D">
        <w:rPr>
          <w:rFonts w:ascii="Calibri" w:hAnsi="Calibri" w:cs="Arial"/>
          <w:lang w:eastAsia="en-AU"/>
        </w:rPr>
        <w:t xml:space="preserve"> Organisations applying to establish co</w:t>
      </w:r>
      <w:r w:rsidR="00E23B6B" w:rsidRPr="0036089D">
        <w:rPr>
          <w:rFonts w:ascii="Calibri" w:hAnsi="Calibri" w:cs="Arial"/>
          <w:lang w:eastAsia="en-AU"/>
        </w:rPr>
        <w:noBreakHyphen/>
        <w:t xml:space="preserve">regulatory arrangements are assessed by the Department, and are required to demonstrate capacity to achieve collection and recycling outcomes, address environmental, health and safety matters, and administer governance arrangements for liable importers and manufacturers. </w:t>
      </w:r>
    </w:p>
    <w:p w:rsidR="000F2C99" w:rsidRPr="0036089D" w:rsidRDefault="000F2C99" w:rsidP="000F2C99">
      <w:pPr>
        <w:rPr>
          <w:rFonts w:asciiTheme="minorHAnsi" w:hAnsiTheme="minorHAnsi" w:cs="Adobe Garamond Pro"/>
          <w:color w:val="000000"/>
        </w:rPr>
      </w:pPr>
      <w:r w:rsidRPr="0036089D">
        <w:rPr>
          <w:rFonts w:ascii="Calibri" w:hAnsi="Calibri" w:cs="Arial"/>
          <w:lang w:eastAsia="en-AU"/>
        </w:rPr>
        <w:t>I</w:t>
      </w:r>
      <w:r w:rsidR="00495E32" w:rsidRPr="0036089D">
        <w:rPr>
          <w:rFonts w:ascii="Calibri" w:hAnsi="Calibri" w:cs="Arial"/>
          <w:lang w:eastAsia="en-AU"/>
        </w:rPr>
        <w:t xml:space="preserve">n </w:t>
      </w:r>
      <w:r w:rsidRPr="0036089D">
        <w:rPr>
          <w:rFonts w:asciiTheme="minorHAnsi" w:hAnsiTheme="minorHAnsi" w:cs="Adobe Garamond Pro"/>
          <w:color w:val="000000"/>
        </w:rPr>
        <w:t>2014–1</w:t>
      </w:r>
      <w:r w:rsidR="00E660BF" w:rsidRPr="0036089D">
        <w:rPr>
          <w:rFonts w:asciiTheme="minorHAnsi" w:hAnsiTheme="minorHAnsi" w:cs="Adobe Garamond Pro"/>
          <w:color w:val="000000"/>
        </w:rPr>
        <w:t>5</w:t>
      </w:r>
      <w:r w:rsidRPr="0036089D">
        <w:rPr>
          <w:rFonts w:asciiTheme="minorHAnsi" w:hAnsiTheme="minorHAnsi" w:cs="Adobe Garamond Pro"/>
          <w:color w:val="000000"/>
        </w:rPr>
        <w:t>, co-regulatory arrangements were required to deliver on four key outcomes:</w:t>
      </w:r>
    </w:p>
    <w:p w:rsidR="000F2C99" w:rsidRPr="0036089D" w:rsidRDefault="000F2C99" w:rsidP="000F2C99">
      <w:pPr>
        <w:pStyle w:val="ListBullet"/>
        <w:numPr>
          <w:ilvl w:val="0"/>
          <w:numId w:val="14"/>
        </w:numPr>
        <w:spacing w:after="120"/>
        <w:ind w:left="709" w:hanging="284"/>
        <w:rPr>
          <w:rFonts w:asciiTheme="minorHAnsi" w:hAnsiTheme="minorHAnsi"/>
        </w:rPr>
      </w:pPr>
      <w:r w:rsidRPr="0036089D">
        <w:rPr>
          <w:rFonts w:asciiTheme="minorHAnsi" w:hAnsiTheme="minorHAnsi"/>
        </w:rPr>
        <w:t>provisions of reasonable access to collection services in metropolitan, inner regional, outer regional and remote areas</w:t>
      </w:r>
    </w:p>
    <w:p w:rsidR="000F2C99" w:rsidRPr="0036089D" w:rsidRDefault="000F2C99" w:rsidP="000F2C99">
      <w:pPr>
        <w:pStyle w:val="ListBullet"/>
        <w:numPr>
          <w:ilvl w:val="0"/>
          <w:numId w:val="14"/>
        </w:numPr>
        <w:spacing w:before="120" w:after="120"/>
        <w:ind w:left="709" w:hanging="284"/>
        <w:rPr>
          <w:rFonts w:asciiTheme="minorHAnsi" w:hAnsiTheme="minorHAnsi"/>
        </w:rPr>
      </w:pPr>
      <w:r w:rsidRPr="0036089D">
        <w:rPr>
          <w:rFonts w:asciiTheme="minorHAnsi" w:hAnsiTheme="minorHAnsi"/>
        </w:rPr>
        <w:t>meeting annual recycling targets</w:t>
      </w:r>
      <w:r w:rsidR="00E660BF" w:rsidRPr="0036089D">
        <w:rPr>
          <w:rFonts w:asciiTheme="minorHAnsi" w:hAnsiTheme="minorHAnsi"/>
        </w:rPr>
        <w:t xml:space="preserve"> allocated in proportion to their members’ import liability</w:t>
      </w:r>
    </w:p>
    <w:p w:rsidR="000F2C99" w:rsidRPr="0036089D" w:rsidRDefault="000F2C99" w:rsidP="000F2C99">
      <w:pPr>
        <w:pStyle w:val="ListBullet"/>
        <w:numPr>
          <w:ilvl w:val="0"/>
          <w:numId w:val="14"/>
        </w:numPr>
        <w:spacing w:before="120" w:after="120"/>
        <w:ind w:left="709" w:hanging="284"/>
        <w:rPr>
          <w:rFonts w:asciiTheme="minorHAnsi" w:hAnsiTheme="minorHAnsi"/>
        </w:rPr>
      </w:pPr>
      <w:r w:rsidRPr="0036089D">
        <w:rPr>
          <w:rFonts w:asciiTheme="minorHAnsi" w:hAnsiTheme="minorHAnsi"/>
        </w:rPr>
        <w:t>achievement of a material recovery rate of at least 90 per cent from recycled products</w:t>
      </w:r>
    </w:p>
    <w:p w:rsidR="000F2C99" w:rsidRPr="0036089D" w:rsidRDefault="00E660BF" w:rsidP="00915466">
      <w:pPr>
        <w:pStyle w:val="ListBullet"/>
        <w:numPr>
          <w:ilvl w:val="0"/>
          <w:numId w:val="14"/>
        </w:numPr>
        <w:spacing w:before="120" w:after="120"/>
        <w:ind w:left="709" w:hanging="284"/>
        <w:rPr>
          <w:rFonts w:asciiTheme="minorHAnsi" w:hAnsiTheme="minorHAnsi"/>
        </w:rPr>
      </w:pPr>
      <w:proofErr w:type="gramStart"/>
      <w:r w:rsidRPr="0036089D">
        <w:rPr>
          <w:rFonts w:asciiTheme="minorHAnsi" w:hAnsiTheme="minorHAnsi"/>
        </w:rPr>
        <w:t>effective</w:t>
      </w:r>
      <w:proofErr w:type="gramEnd"/>
      <w:r w:rsidRPr="0036089D">
        <w:rPr>
          <w:rFonts w:asciiTheme="minorHAnsi" w:hAnsiTheme="minorHAnsi"/>
        </w:rPr>
        <w:t xml:space="preserve"> governance and management of the arrangement</w:t>
      </w:r>
      <w:r w:rsidR="00B67152" w:rsidRPr="0036089D">
        <w:rPr>
          <w:rFonts w:asciiTheme="minorHAnsi" w:hAnsiTheme="minorHAnsi"/>
        </w:rPr>
        <w:t>’s activities</w:t>
      </w:r>
      <w:r w:rsidRPr="0036089D">
        <w:rPr>
          <w:rFonts w:asciiTheme="minorHAnsi" w:hAnsiTheme="minorHAnsi"/>
        </w:rPr>
        <w:t xml:space="preserve">, including oversight of work health and safety, environmental performance, and communication </w:t>
      </w:r>
      <w:r w:rsidR="005C734B" w:rsidRPr="0036089D">
        <w:rPr>
          <w:rFonts w:asciiTheme="minorHAnsi" w:hAnsiTheme="minorHAnsi"/>
        </w:rPr>
        <w:t>activities</w:t>
      </w:r>
      <w:r w:rsidRPr="0036089D">
        <w:rPr>
          <w:rFonts w:asciiTheme="minorHAnsi" w:hAnsiTheme="minorHAnsi"/>
        </w:rPr>
        <w:t>.</w:t>
      </w:r>
    </w:p>
    <w:p w:rsidR="00A427BA" w:rsidRPr="0036089D" w:rsidRDefault="00A427BA" w:rsidP="000F2C99">
      <w:pPr>
        <w:rPr>
          <w:rFonts w:asciiTheme="minorHAnsi" w:hAnsiTheme="minorHAnsi"/>
        </w:rPr>
      </w:pPr>
      <w:r w:rsidRPr="0036089D">
        <w:rPr>
          <w:rFonts w:asciiTheme="minorHAnsi" w:hAnsiTheme="minorHAnsi" w:cs="Arial"/>
        </w:rPr>
        <w:t xml:space="preserve">The </w:t>
      </w:r>
      <w:r w:rsidR="005C734B" w:rsidRPr="0036089D">
        <w:rPr>
          <w:rFonts w:asciiTheme="minorHAnsi" w:hAnsiTheme="minorHAnsi" w:cs="Arial"/>
        </w:rPr>
        <w:t xml:space="preserve">performance </w:t>
      </w:r>
      <w:r w:rsidRPr="0036089D">
        <w:rPr>
          <w:rFonts w:asciiTheme="minorHAnsi" w:hAnsiTheme="minorHAnsi" w:cs="Arial"/>
        </w:rPr>
        <w:t xml:space="preserve">of co-regulatory arrangements </w:t>
      </w:r>
      <w:r w:rsidR="005C734B" w:rsidRPr="0036089D">
        <w:rPr>
          <w:rFonts w:asciiTheme="minorHAnsi" w:hAnsiTheme="minorHAnsi" w:cs="Arial"/>
        </w:rPr>
        <w:t xml:space="preserve">is </w:t>
      </w:r>
      <w:r w:rsidRPr="0036089D">
        <w:rPr>
          <w:rFonts w:asciiTheme="minorHAnsi" w:hAnsiTheme="minorHAnsi" w:cs="Arial"/>
        </w:rPr>
        <w:t xml:space="preserve">monitored </w:t>
      </w:r>
      <w:r w:rsidR="00A2762D" w:rsidRPr="0036089D">
        <w:rPr>
          <w:rFonts w:asciiTheme="minorHAnsi" w:hAnsiTheme="minorHAnsi" w:cs="Arial"/>
        </w:rPr>
        <w:t xml:space="preserve">and assessed </w:t>
      </w:r>
      <w:r w:rsidRPr="0036089D">
        <w:rPr>
          <w:rFonts w:asciiTheme="minorHAnsi" w:hAnsiTheme="minorHAnsi" w:cs="Arial"/>
        </w:rPr>
        <w:t>by the Department through regular meetings</w:t>
      </w:r>
      <w:r w:rsidR="00A2762D" w:rsidRPr="0036089D">
        <w:rPr>
          <w:rFonts w:asciiTheme="minorHAnsi" w:hAnsiTheme="minorHAnsi" w:cs="Arial"/>
        </w:rPr>
        <w:t xml:space="preserve"> and correspondence,</w:t>
      </w:r>
      <w:r w:rsidRPr="0036089D">
        <w:rPr>
          <w:rFonts w:asciiTheme="minorHAnsi" w:hAnsiTheme="minorHAnsi" w:cs="Arial"/>
        </w:rPr>
        <w:t xml:space="preserve"> and </w:t>
      </w:r>
      <w:r w:rsidR="00A2762D" w:rsidRPr="0036089D">
        <w:rPr>
          <w:rFonts w:asciiTheme="minorHAnsi" w:hAnsiTheme="minorHAnsi" w:cs="Arial"/>
        </w:rPr>
        <w:t xml:space="preserve">through reporting </w:t>
      </w:r>
      <w:r w:rsidRPr="0036089D">
        <w:rPr>
          <w:rFonts w:asciiTheme="minorHAnsi" w:hAnsiTheme="minorHAnsi" w:cs="Arial"/>
        </w:rPr>
        <w:t>provided on a quarterly and annual basis. Co</w:t>
      </w:r>
      <w:r w:rsidR="003B0392" w:rsidRPr="0036089D">
        <w:rPr>
          <w:rFonts w:asciiTheme="minorHAnsi" w:hAnsiTheme="minorHAnsi" w:cs="Arial"/>
        </w:rPr>
        <w:noBreakHyphen/>
      </w:r>
      <w:r w:rsidRPr="0036089D">
        <w:rPr>
          <w:rFonts w:asciiTheme="minorHAnsi" w:hAnsiTheme="minorHAnsi" w:cs="Arial"/>
        </w:rPr>
        <w:t>regulatory arrangement annual reports to the Departm</w:t>
      </w:r>
      <w:r w:rsidR="00A2762D" w:rsidRPr="0036089D">
        <w:rPr>
          <w:rFonts w:asciiTheme="minorHAnsi" w:hAnsiTheme="minorHAnsi" w:cs="Arial"/>
        </w:rPr>
        <w:t xml:space="preserve">ent are required to be audited </w:t>
      </w:r>
      <w:r w:rsidR="003B0392" w:rsidRPr="0036089D">
        <w:rPr>
          <w:rFonts w:asciiTheme="minorHAnsi" w:hAnsiTheme="minorHAnsi" w:cs="Arial"/>
        </w:rPr>
        <w:t>by an accredited audit</w:t>
      </w:r>
      <w:r w:rsidR="00B67152" w:rsidRPr="0036089D">
        <w:rPr>
          <w:rFonts w:asciiTheme="minorHAnsi" w:hAnsiTheme="minorHAnsi" w:cs="Arial"/>
        </w:rPr>
        <w:t>or</w:t>
      </w:r>
      <w:r w:rsidR="003B0392" w:rsidRPr="0036089D">
        <w:rPr>
          <w:rFonts w:asciiTheme="minorHAnsi" w:hAnsiTheme="minorHAnsi" w:cs="Arial"/>
        </w:rPr>
        <w:t xml:space="preserve">. </w:t>
      </w:r>
      <w:r w:rsidRPr="0036089D">
        <w:rPr>
          <w:rFonts w:asciiTheme="minorHAnsi" w:hAnsiTheme="minorHAnsi" w:cs="Arial"/>
        </w:rPr>
        <w:t xml:space="preserve">Arrangements also provide </w:t>
      </w:r>
      <w:r w:rsidR="003B0392" w:rsidRPr="0036089D">
        <w:rPr>
          <w:rFonts w:asciiTheme="minorHAnsi" w:hAnsiTheme="minorHAnsi" w:cs="Arial"/>
        </w:rPr>
        <w:t xml:space="preserve">public-facing </w:t>
      </w:r>
      <w:r w:rsidRPr="0036089D">
        <w:rPr>
          <w:rFonts w:asciiTheme="minorHAnsi" w:hAnsiTheme="minorHAnsi" w:cs="Arial"/>
        </w:rPr>
        <w:t>annual report</w:t>
      </w:r>
      <w:r w:rsidR="003B0392" w:rsidRPr="0036089D">
        <w:rPr>
          <w:rFonts w:asciiTheme="minorHAnsi" w:hAnsiTheme="minorHAnsi" w:cs="Arial"/>
        </w:rPr>
        <w:t>s, which are made available on the</w:t>
      </w:r>
      <w:r w:rsidRPr="0036089D">
        <w:rPr>
          <w:rFonts w:asciiTheme="minorHAnsi" w:hAnsiTheme="minorHAnsi" w:cs="Arial"/>
        </w:rPr>
        <w:t xml:space="preserve"> Department’s website. </w:t>
      </w:r>
    </w:p>
    <w:p w:rsidR="00102E34" w:rsidRPr="0036089D" w:rsidRDefault="008B22CC" w:rsidP="00102E34">
      <w:pPr>
        <w:rPr>
          <w:rFonts w:ascii="Calibri" w:hAnsi="Calibri" w:cs="Arial"/>
          <w:lang w:eastAsia="en-AU"/>
        </w:rPr>
      </w:pPr>
      <w:r w:rsidRPr="0036089D">
        <w:rPr>
          <w:rFonts w:ascii="Calibri" w:hAnsi="Calibri" w:cs="Arial"/>
          <w:lang w:eastAsia="en-AU"/>
        </w:rPr>
        <w:t>The following overview</w:t>
      </w:r>
      <w:r w:rsidR="00153CAA" w:rsidRPr="0036089D">
        <w:rPr>
          <w:rFonts w:ascii="Calibri" w:hAnsi="Calibri" w:cs="Arial"/>
          <w:lang w:eastAsia="en-AU"/>
        </w:rPr>
        <w:t xml:space="preserve"> </w:t>
      </w:r>
      <w:r w:rsidRPr="0036089D">
        <w:rPr>
          <w:rFonts w:ascii="Calibri" w:hAnsi="Calibri" w:cs="Arial"/>
          <w:lang w:eastAsia="en-AU"/>
        </w:rPr>
        <w:t>of</w:t>
      </w:r>
      <w:r w:rsidR="001B7976" w:rsidRPr="0036089D">
        <w:rPr>
          <w:rFonts w:ascii="Calibri" w:hAnsi="Calibri" w:cs="Arial"/>
          <w:lang w:eastAsia="en-AU"/>
        </w:rPr>
        <w:t xml:space="preserve"> scheme outcomes </w:t>
      </w:r>
      <w:r w:rsidRPr="0036089D">
        <w:rPr>
          <w:rFonts w:ascii="Calibri" w:hAnsi="Calibri" w:cs="Arial"/>
          <w:lang w:eastAsia="en-AU"/>
        </w:rPr>
        <w:t>is</w:t>
      </w:r>
      <w:r w:rsidR="001B7976" w:rsidRPr="0036089D">
        <w:rPr>
          <w:rFonts w:ascii="Calibri" w:hAnsi="Calibri" w:cs="Arial"/>
          <w:lang w:eastAsia="en-AU"/>
        </w:rPr>
        <w:t xml:space="preserve"> </w:t>
      </w:r>
      <w:r w:rsidRPr="0036089D">
        <w:rPr>
          <w:rFonts w:ascii="Calibri" w:hAnsi="Calibri" w:cs="Arial"/>
          <w:lang w:eastAsia="en-AU"/>
        </w:rPr>
        <w:t>based</w:t>
      </w:r>
      <w:r w:rsidR="001B7976" w:rsidRPr="0036089D">
        <w:rPr>
          <w:rFonts w:ascii="Calibri" w:hAnsi="Calibri" w:cs="Arial"/>
          <w:lang w:eastAsia="en-AU"/>
        </w:rPr>
        <w:t xml:space="preserve"> </w:t>
      </w:r>
      <w:r w:rsidRPr="0036089D">
        <w:rPr>
          <w:rFonts w:ascii="Calibri" w:hAnsi="Calibri" w:cs="Arial"/>
          <w:lang w:eastAsia="en-AU"/>
        </w:rPr>
        <w:t>on</w:t>
      </w:r>
      <w:r w:rsidR="001B7976" w:rsidRPr="0036089D">
        <w:rPr>
          <w:rFonts w:ascii="Calibri" w:hAnsi="Calibri" w:cs="Arial"/>
          <w:lang w:eastAsia="en-AU"/>
        </w:rPr>
        <w:t xml:space="preserve"> information</w:t>
      </w:r>
      <w:r w:rsidR="00AF47F2" w:rsidRPr="0036089D">
        <w:rPr>
          <w:rFonts w:ascii="Calibri" w:hAnsi="Calibri" w:cs="Arial"/>
          <w:lang w:eastAsia="en-AU"/>
        </w:rPr>
        <w:t xml:space="preserve"> provided</w:t>
      </w:r>
      <w:r w:rsidR="001B7976" w:rsidRPr="0036089D">
        <w:rPr>
          <w:rFonts w:ascii="Calibri" w:hAnsi="Calibri" w:cs="Arial"/>
          <w:lang w:eastAsia="en-AU"/>
        </w:rPr>
        <w:t xml:space="preserve"> </w:t>
      </w:r>
      <w:r w:rsidRPr="0036089D">
        <w:rPr>
          <w:rFonts w:ascii="Calibri" w:hAnsi="Calibri" w:cs="Arial"/>
          <w:lang w:eastAsia="en-AU"/>
        </w:rPr>
        <w:t xml:space="preserve">by each co-regulatory arrangement in their 2014–15 annual report. </w:t>
      </w:r>
      <w:r w:rsidR="00B67152" w:rsidRPr="0036089D">
        <w:rPr>
          <w:rFonts w:ascii="Calibri" w:hAnsi="Calibri" w:cs="Arial"/>
          <w:lang w:eastAsia="en-AU"/>
        </w:rPr>
        <w:t>T</w:t>
      </w:r>
      <w:r w:rsidR="00CD4E05" w:rsidRPr="0036089D">
        <w:rPr>
          <w:rFonts w:ascii="Calibri" w:hAnsi="Calibri" w:cs="Arial"/>
          <w:lang w:eastAsia="en-AU"/>
        </w:rPr>
        <w:t xml:space="preserve">he </w:t>
      </w:r>
      <w:r w:rsidR="00B67152" w:rsidRPr="0036089D">
        <w:rPr>
          <w:rFonts w:ascii="Calibri" w:hAnsi="Calibri" w:cs="Arial"/>
          <w:lang w:eastAsia="en-AU"/>
        </w:rPr>
        <w:t xml:space="preserve">public-facing </w:t>
      </w:r>
      <w:r w:rsidR="00CD4E05" w:rsidRPr="0036089D">
        <w:rPr>
          <w:rFonts w:ascii="Calibri" w:hAnsi="Calibri" w:cs="Arial"/>
          <w:lang w:eastAsia="en-AU"/>
        </w:rPr>
        <w:t xml:space="preserve">annual reports provided to the Department are available at </w:t>
      </w:r>
      <w:hyperlink r:id="rId20" w:history="1">
        <w:r w:rsidR="00C8425F" w:rsidRPr="0036089D">
          <w:rPr>
            <w:rStyle w:val="Hyperlink"/>
            <w:rFonts w:ascii="Calibri" w:hAnsi="Calibri" w:cs="Arial"/>
            <w:lang w:eastAsia="en-AU"/>
          </w:rPr>
          <w:t>www.environment.gov.au/ewaste</w:t>
        </w:r>
      </w:hyperlink>
      <w:r w:rsidR="001B7976" w:rsidRPr="0036089D">
        <w:rPr>
          <w:rFonts w:ascii="Calibri" w:hAnsi="Calibri" w:cs="Arial"/>
          <w:lang w:eastAsia="en-AU"/>
        </w:rPr>
        <w:t>.</w:t>
      </w:r>
    </w:p>
    <w:p w:rsidR="008F53BB" w:rsidRPr="0036089D" w:rsidRDefault="008F53BB">
      <w:pPr>
        <w:spacing w:after="0" w:line="240" w:lineRule="auto"/>
        <w:rPr>
          <w:rFonts w:cs="Arial"/>
          <w:b/>
        </w:rPr>
      </w:pPr>
      <w:bookmarkStart w:id="27" w:name="_Toc256000035"/>
      <w:bookmarkStart w:id="28" w:name="_Toc256000022"/>
      <w:bookmarkStart w:id="29" w:name="_Toc256000009"/>
      <w:bookmarkStart w:id="30" w:name="_Toc380491877"/>
      <w:r w:rsidRPr="0036089D">
        <w:br w:type="page"/>
      </w:r>
    </w:p>
    <w:p w:rsidR="00267F5C" w:rsidRPr="0036089D" w:rsidRDefault="00267F5C" w:rsidP="00102E34">
      <w:pPr>
        <w:pStyle w:val="Heading2"/>
      </w:pPr>
      <w:bookmarkStart w:id="31" w:name="_Toc450650990"/>
      <w:r w:rsidRPr="0036089D">
        <w:t xml:space="preserve">Outcome 1: Reasonable access to </w:t>
      </w:r>
      <w:r w:rsidR="005B5A18" w:rsidRPr="0036089D">
        <w:t xml:space="preserve">e-waste </w:t>
      </w:r>
      <w:r w:rsidRPr="0036089D">
        <w:t>collection services</w:t>
      </w:r>
      <w:bookmarkEnd w:id="31"/>
    </w:p>
    <w:tbl>
      <w:tblPr>
        <w:tblStyle w:val="MediumShading1-Accent11"/>
        <w:tblW w:w="0" w:type="auto"/>
        <w:tblLook w:val="04A0" w:firstRow="1" w:lastRow="0" w:firstColumn="1" w:lastColumn="0" w:noHBand="0" w:noVBand="1"/>
      </w:tblPr>
      <w:tblGrid>
        <w:gridCol w:w="1862"/>
        <w:gridCol w:w="1860"/>
        <w:gridCol w:w="1860"/>
        <w:gridCol w:w="1866"/>
        <w:gridCol w:w="1865"/>
      </w:tblGrid>
      <w:tr w:rsidR="008F53BB" w:rsidRPr="0036089D" w:rsidTr="00A73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8" w:type="dxa"/>
            <w:gridSpan w:val="5"/>
            <w:vAlign w:val="center"/>
          </w:tcPr>
          <w:p w:rsidR="008F53BB" w:rsidRPr="0036089D" w:rsidRDefault="008F53BB" w:rsidP="00007BCB">
            <w:pPr>
              <w:spacing w:before="120" w:after="120"/>
              <w:jc w:val="center"/>
              <w:rPr>
                <w:sz w:val="20"/>
                <w:szCs w:val="20"/>
              </w:rPr>
            </w:pPr>
            <w:r w:rsidRPr="0036089D">
              <w:rPr>
                <w:sz w:val="20"/>
                <w:szCs w:val="20"/>
              </w:rPr>
              <w:t xml:space="preserve">Co-regulatory arrangements achievement </w:t>
            </w:r>
            <w:r w:rsidR="00007BCB" w:rsidRPr="0036089D">
              <w:rPr>
                <w:sz w:val="20"/>
                <w:szCs w:val="20"/>
              </w:rPr>
              <w:t>in</w:t>
            </w:r>
            <w:r w:rsidRPr="0036089D">
              <w:rPr>
                <w:sz w:val="20"/>
                <w:szCs w:val="20"/>
              </w:rPr>
              <w:t xml:space="preserve"> delivering reasonable access to collection services</w:t>
            </w:r>
          </w:p>
        </w:tc>
      </w:tr>
      <w:tr w:rsidR="008F53BB" w:rsidRPr="0036089D" w:rsidTr="00A73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rsidR="008F53BB" w:rsidRPr="0036089D" w:rsidRDefault="008F53BB" w:rsidP="00A73C9B">
            <w:pPr>
              <w:spacing w:before="120" w:after="120"/>
              <w:jc w:val="center"/>
              <w:rPr>
                <w:b w:val="0"/>
                <w:sz w:val="20"/>
                <w:szCs w:val="20"/>
              </w:rPr>
            </w:pPr>
            <w:r w:rsidRPr="0036089D">
              <w:rPr>
                <w:b w:val="0"/>
                <w:sz w:val="20"/>
                <w:szCs w:val="20"/>
              </w:rPr>
              <w:t>ANZRP</w:t>
            </w:r>
          </w:p>
        </w:tc>
        <w:tc>
          <w:tcPr>
            <w:tcW w:w="1885" w:type="dxa"/>
            <w:vAlign w:val="center"/>
          </w:tcPr>
          <w:p w:rsidR="008F53BB" w:rsidRPr="0036089D" w:rsidRDefault="008F53BB" w:rsidP="00A73C9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DHL Supply Chain</w:t>
            </w:r>
          </w:p>
        </w:tc>
        <w:tc>
          <w:tcPr>
            <w:tcW w:w="1886" w:type="dxa"/>
            <w:vAlign w:val="center"/>
          </w:tcPr>
          <w:p w:rsidR="008F53BB" w:rsidRPr="0036089D" w:rsidRDefault="008F53BB" w:rsidP="00A73C9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EPSA</w:t>
            </w:r>
          </w:p>
        </w:tc>
        <w:tc>
          <w:tcPr>
            <w:tcW w:w="1886" w:type="dxa"/>
            <w:vAlign w:val="center"/>
          </w:tcPr>
          <w:p w:rsidR="008F53BB" w:rsidRPr="0036089D" w:rsidRDefault="008F53BB" w:rsidP="00A73C9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E-Cycle Solutions</w:t>
            </w:r>
          </w:p>
        </w:tc>
        <w:tc>
          <w:tcPr>
            <w:tcW w:w="1886" w:type="dxa"/>
            <w:vAlign w:val="center"/>
          </w:tcPr>
          <w:p w:rsidR="008F53BB" w:rsidRPr="0036089D" w:rsidRDefault="008F53BB" w:rsidP="00A73C9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Reverse E</w:t>
            </w:r>
            <w:r w:rsidRPr="0036089D">
              <w:rPr>
                <w:sz w:val="20"/>
                <w:szCs w:val="20"/>
              </w:rPr>
              <w:noBreakHyphen/>
            </w:r>
            <w:r w:rsidR="003A0B92" w:rsidRPr="0036089D">
              <w:rPr>
                <w:sz w:val="20"/>
                <w:szCs w:val="20"/>
              </w:rPr>
              <w:t>W</w:t>
            </w:r>
            <w:r w:rsidRPr="0036089D">
              <w:rPr>
                <w:sz w:val="20"/>
                <w:szCs w:val="20"/>
              </w:rPr>
              <w:t>aste</w:t>
            </w:r>
          </w:p>
        </w:tc>
      </w:tr>
      <w:tr w:rsidR="008F53BB" w:rsidRPr="0036089D" w:rsidTr="00A73C9B">
        <w:trPr>
          <w:cnfStyle w:val="000000010000" w:firstRow="0" w:lastRow="0" w:firstColumn="0" w:lastColumn="0" w:oddVBand="0" w:evenVBand="0" w:oddHBand="0" w:evenHBand="1"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885" w:type="dxa"/>
            <w:vAlign w:val="center"/>
          </w:tcPr>
          <w:p w:rsidR="008F53BB" w:rsidRPr="0036089D" w:rsidRDefault="008F53BB" w:rsidP="00A73C9B">
            <w:pPr>
              <w:spacing w:before="240"/>
              <w:jc w:val="center"/>
              <w:rPr>
                <w:b w:val="0"/>
                <w:color w:val="1F497D" w:themeColor="text2"/>
                <w:sz w:val="32"/>
                <w:szCs w:val="32"/>
              </w:rPr>
            </w:pPr>
            <w:r w:rsidRPr="0036089D">
              <w:rPr>
                <w:b w:val="0"/>
                <w:color w:val="1F497D" w:themeColor="text2"/>
                <w:sz w:val="32"/>
                <w:szCs w:val="32"/>
              </w:rPr>
              <w:sym w:font="Wingdings" w:char="F0FC"/>
            </w:r>
          </w:p>
        </w:tc>
        <w:tc>
          <w:tcPr>
            <w:tcW w:w="1885" w:type="dxa"/>
            <w:vAlign w:val="center"/>
          </w:tcPr>
          <w:p w:rsidR="008F53BB" w:rsidRPr="0036089D" w:rsidRDefault="008F53BB" w:rsidP="00A73C9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C"/>
            </w:r>
          </w:p>
        </w:tc>
        <w:tc>
          <w:tcPr>
            <w:tcW w:w="1886" w:type="dxa"/>
            <w:vAlign w:val="center"/>
          </w:tcPr>
          <w:p w:rsidR="008F53BB" w:rsidRPr="0036089D" w:rsidRDefault="008F53BB" w:rsidP="00A73C9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C"/>
            </w:r>
          </w:p>
        </w:tc>
        <w:tc>
          <w:tcPr>
            <w:tcW w:w="1886" w:type="dxa"/>
            <w:vAlign w:val="center"/>
          </w:tcPr>
          <w:p w:rsidR="008F53BB" w:rsidRPr="0036089D" w:rsidRDefault="008F53BB" w:rsidP="00A73C9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C"/>
            </w:r>
          </w:p>
        </w:tc>
        <w:tc>
          <w:tcPr>
            <w:tcW w:w="1886" w:type="dxa"/>
            <w:vAlign w:val="center"/>
          </w:tcPr>
          <w:p w:rsidR="008F53BB" w:rsidRPr="0036089D" w:rsidRDefault="008F53BB" w:rsidP="00A73C9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B"/>
            </w:r>
          </w:p>
        </w:tc>
      </w:tr>
    </w:tbl>
    <w:p w:rsidR="001262E8" w:rsidRPr="0036089D" w:rsidRDefault="001262E8" w:rsidP="001262E8">
      <w:pPr>
        <w:pStyle w:val="ListBullet"/>
        <w:numPr>
          <w:ilvl w:val="0"/>
          <w:numId w:val="0"/>
        </w:numPr>
        <w:ind w:right="259"/>
        <w:rPr>
          <w:rFonts w:cs="Arial"/>
          <w:bCs/>
          <w:i/>
          <w:sz w:val="20"/>
          <w:szCs w:val="20"/>
        </w:rPr>
      </w:pPr>
      <w:r w:rsidRPr="0036089D">
        <w:rPr>
          <w:rFonts w:cs="Arial"/>
          <w:bCs/>
          <w:i/>
          <w:sz w:val="20"/>
          <w:szCs w:val="20"/>
        </w:rPr>
        <w:t xml:space="preserve">A total of </w:t>
      </w:r>
      <w:r w:rsidR="00C37D6D" w:rsidRPr="0036089D">
        <w:rPr>
          <w:rFonts w:cs="Arial"/>
          <w:bCs/>
          <w:i/>
          <w:sz w:val="20"/>
          <w:szCs w:val="20"/>
        </w:rPr>
        <w:t>1,522</w:t>
      </w:r>
      <w:r w:rsidRPr="0036089D">
        <w:rPr>
          <w:rFonts w:cs="Arial"/>
          <w:bCs/>
          <w:i/>
          <w:sz w:val="20"/>
          <w:szCs w:val="20"/>
        </w:rPr>
        <w:t xml:space="preserve"> longer term and </w:t>
      </w:r>
      <w:r w:rsidR="00C37D6D" w:rsidRPr="0036089D">
        <w:rPr>
          <w:rFonts w:cs="Arial"/>
          <w:bCs/>
          <w:i/>
          <w:sz w:val="20"/>
          <w:szCs w:val="20"/>
        </w:rPr>
        <w:t xml:space="preserve">155 </w:t>
      </w:r>
      <w:r w:rsidR="000B28EC" w:rsidRPr="0036089D">
        <w:rPr>
          <w:rFonts w:cs="Arial"/>
          <w:bCs/>
          <w:i/>
          <w:sz w:val="20"/>
          <w:szCs w:val="20"/>
        </w:rPr>
        <w:t>shorter term</w:t>
      </w:r>
      <w:r w:rsidR="00C37D6D" w:rsidRPr="0036089D">
        <w:rPr>
          <w:rFonts w:cs="Arial"/>
          <w:bCs/>
          <w:i/>
          <w:sz w:val="20"/>
          <w:szCs w:val="20"/>
        </w:rPr>
        <w:t xml:space="preserve"> collections </w:t>
      </w:r>
      <w:r w:rsidRPr="0036089D">
        <w:rPr>
          <w:rFonts w:cs="Arial"/>
          <w:bCs/>
          <w:i/>
          <w:sz w:val="20"/>
          <w:szCs w:val="20"/>
        </w:rPr>
        <w:t>were made available to households and small businesses across A</w:t>
      </w:r>
      <w:r w:rsidR="00242E8E" w:rsidRPr="0036089D">
        <w:rPr>
          <w:rFonts w:cs="Arial"/>
          <w:bCs/>
          <w:i/>
          <w:sz w:val="20"/>
          <w:szCs w:val="20"/>
        </w:rPr>
        <w:t>ustralia in 2014-</w:t>
      </w:r>
      <w:r w:rsidRPr="0036089D">
        <w:rPr>
          <w:rFonts w:cs="Arial"/>
          <w:bCs/>
          <w:i/>
          <w:sz w:val="20"/>
          <w:szCs w:val="20"/>
        </w:rPr>
        <w:t>15.</w:t>
      </w:r>
    </w:p>
    <w:p w:rsidR="001D2679" w:rsidRPr="0036089D" w:rsidRDefault="006819D9" w:rsidP="001D2679">
      <w:pPr>
        <w:rPr>
          <w:rFonts w:ascii="Calibri" w:hAnsi="Calibri" w:cs="Arial"/>
          <w:lang w:eastAsia="en-AU"/>
        </w:rPr>
      </w:pPr>
      <w:r w:rsidRPr="0036089D">
        <w:rPr>
          <w:rFonts w:ascii="Calibri" w:hAnsi="Calibri" w:cs="Arial"/>
          <w:lang w:eastAsia="en-AU"/>
        </w:rPr>
        <w:t>C</w:t>
      </w:r>
      <w:r w:rsidR="001D2679" w:rsidRPr="0036089D">
        <w:rPr>
          <w:rFonts w:ascii="Calibri" w:hAnsi="Calibri" w:cs="Arial"/>
          <w:lang w:eastAsia="en-AU"/>
        </w:rPr>
        <w:t>o-regulatory arrangement</w:t>
      </w:r>
      <w:r w:rsidRPr="0036089D">
        <w:rPr>
          <w:rFonts w:ascii="Calibri" w:hAnsi="Calibri" w:cs="Arial"/>
          <w:lang w:eastAsia="en-AU"/>
        </w:rPr>
        <w:t>s</w:t>
      </w:r>
      <w:r w:rsidR="001D2679" w:rsidRPr="0036089D">
        <w:rPr>
          <w:rFonts w:ascii="Calibri" w:hAnsi="Calibri" w:cs="Arial"/>
          <w:lang w:eastAsia="en-AU"/>
        </w:rPr>
        <w:t xml:space="preserve"> </w:t>
      </w:r>
      <w:r w:rsidRPr="0036089D">
        <w:rPr>
          <w:rFonts w:ascii="Calibri" w:hAnsi="Calibri" w:cs="Arial"/>
          <w:lang w:eastAsia="en-AU"/>
        </w:rPr>
        <w:t>are</w:t>
      </w:r>
      <w:r w:rsidR="001D2679" w:rsidRPr="0036089D">
        <w:rPr>
          <w:rFonts w:ascii="Calibri" w:hAnsi="Calibri" w:cs="Arial"/>
          <w:lang w:eastAsia="en-AU"/>
        </w:rPr>
        <w:t xml:space="preserve"> required to provide collection services for was</w:t>
      </w:r>
      <w:r w:rsidRPr="0036089D">
        <w:rPr>
          <w:rFonts w:ascii="Calibri" w:hAnsi="Calibri" w:cs="Arial"/>
          <w:lang w:eastAsia="en-AU"/>
        </w:rPr>
        <w:t xml:space="preserve">te televisions and computers </w:t>
      </w:r>
      <w:r w:rsidR="001D2679" w:rsidRPr="0036089D">
        <w:rPr>
          <w:rFonts w:ascii="Calibri" w:hAnsi="Calibri" w:cs="Arial"/>
          <w:lang w:eastAsia="en-AU"/>
        </w:rPr>
        <w:t xml:space="preserve">across metropolitan, </w:t>
      </w:r>
      <w:r w:rsidR="000B28EC" w:rsidRPr="0036089D">
        <w:rPr>
          <w:rFonts w:ascii="Calibri" w:hAnsi="Calibri" w:cs="Arial"/>
          <w:lang w:eastAsia="en-AU"/>
        </w:rPr>
        <w:t xml:space="preserve">inner and outer </w:t>
      </w:r>
      <w:r w:rsidR="001D2679" w:rsidRPr="0036089D">
        <w:rPr>
          <w:rFonts w:ascii="Calibri" w:hAnsi="Calibri" w:cs="Arial"/>
          <w:lang w:eastAsia="en-AU"/>
        </w:rPr>
        <w:t>regional and remote Australia. A co</w:t>
      </w:r>
      <w:r w:rsidR="001D2679" w:rsidRPr="0036089D">
        <w:rPr>
          <w:rFonts w:ascii="Calibri" w:hAnsi="Calibri" w:cs="Arial"/>
          <w:lang w:eastAsia="en-AU"/>
        </w:rPr>
        <w:noBreakHyphen/>
        <w:t xml:space="preserve">regulatory arrangement may do this in a variety of ways, such as by partnering with an existing recycling service or facility or holding periodic collection events. Temporary or event-based collection services are treated the same as ongoing collection services, provided that they meet reasonable access requirements. </w:t>
      </w:r>
    </w:p>
    <w:p w:rsidR="00E44B27" w:rsidRPr="0036089D" w:rsidRDefault="001D2679" w:rsidP="001D2679">
      <w:pPr>
        <w:rPr>
          <w:rFonts w:ascii="Calibri" w:hAnsi="Calibri" w:cs="Arial"/>
          <w:lang w:eastAsia="en-AU"/>
        </w:rPr>
      </w:pPr>
      <w:r w:rsidRPr="0036089D">
        <w:rPr>
          <w:rFonts w:ascii="Calibri" w:hAnsi="Calibri" w:cs="Arial"/>
          <w:lang w:eastAsia="en-AU"/>
        </w:rPr>
        <w:t>Householders and small businesses must not be charged for the disposal of television and computer e</w:t>
      </w:r>
      <w:r w:rsidRPr="0036089D">
        <w:rPr>
          <w:rFonts w:ascii="Calibri" w:hAnsi="Calibri" w:cs="Arial"/>
          <w:lang w:eastAsia="en-AU"/>
        </w:rPr>
        <w:noBreakHyphen/>
        <w:t xml:space="preserve">waste to a scheme collection service. This requirement does not prevent local councils </w:t>
      </w:r>
      <w:r w:rsidR="00B044EA" w:rsidRPr="0036089D">
        <w:rPr>
          <w:rFonts w:ascii="Calibri" w:hAnsi="Calibri" w:cs="Arial"/>
          <w:lang w:eastAsia="en-AU"/>
        </w:rPr>
        <w:t xml:space="preserve">providing an independent service </w:t>
      </w:r>
      <w:r w:rsidRPr="0036089D">
        <w:rPr>
          <w:rFonts w:ascii="Calibri" w:hAnsi="Calibri" w:cs="Arial"/>
          <w:lang w:eastAsia="en-AU"/>
        </w:rPr>
        <w:t>from charging customers for disposal as part of their management of e-waste outside of scheme targets.</w:t>
      </w:r>
    </w:p>
    <w:p w:rsidR="00A42F07" w:rsidRPr="0036089D" w:rsidRDefault="00A42F07" w:rsidP="00A42F07">
      <w:pPr>
        <w:spacing w:after="240"/>
        <w:rPr>
          <w:rFonts w:ascii="Calibri" w:hAnsi="Calibri" w:cs="Arial"/>
          <w:lang w:eastAsia="en-AU"/>
        </w:rPr>
      </w:pPr>
      <w:r w:rsidRPr="0036089D">
        <w:rPr>
          <w:rFonts w:ascii="Calibri" w:hAnsi="Calibri" w:cs="Arial"/>
          <w:lang w:eastAsia="en-AU"/>
        </w:rPr>
        <w:t>Collection locations have been provided at local government waste facilities, other transfer stations and recycling facilities an</w:t>
      </w:r>
      <w:r w:rsidR="00016775" w:rsidRPr="0036089D">
        <w:rPr>
          <w:rFonts w:ascii="Calibri" w:hAnsi="Calibri" w:cs="Arial"/>
          <w:lang w:eastAsia="en-AU"/>
        </w:rPr>
        <w:t>d at a number of major retail outlets</w:t>
      </w:r>
      <w:r w:rsidRPr="0036089D">
        <w:rPr>
          <w:rFonts w:ascii="Calibri" w:hAnsi="Calibri" w:cs="Arial"/>
          <w:lang w:eastAsia="en-AU"/>
        </w:rPr>
        <w:t>. Table 2 provides a summary of collection services in each state and territory</w:t>
      </w:r>
      <w:r w:rsidR="00016775" w:rsidRPr="0036089D">
        <w:rPr>
          <w:rFonts w:ascii="Calibri" w:hAnsi="Calibri" w:cs="Arial"/>
          <w:lang w:eastAsia="en-AU"/>
        </w:rPr>
        <w:t>, including both longer term services (e.g. waste transfer stations and retail sites) and shorter term services (periodic events)</w:t>
      </w:r>
      <w:r w:rsidRPr="0036089D">
        <w:rPr>
          <w:rFonts w:ascii="Calibri" w:hAnsi="Calibri" w:cs="Arial"/>
          <w:lang w:eastAsia="en-AU"/>
        </w:rPr>
        <w:t>.</w:t>
      </w:r>
    </w:p>
    <w:p w:rsidR="00A42F07" w:rsidRPr="0036089D" w:rsidRDefault="00A42F07" w:rsidP="00A42F07">
      <w:pPr>
        <w:pStyle w:val="Caption"/>
        <w:rPr>
          <w:b w:val="0"/>
          <w:i/>
          <w:lang w:eastAsia="en-AU"/>
        </w:rPr>
      </w:pPr>
      <w:r w:rsidRPr="0036089D">
        <w:rPr>
          <w:b w:val="0"/>
          <w:lang w:eastAsia="en-AU"/>
        </w:rPr>
        <w:t>Table 2:</w:t>
      </w:r>
      <w:r w:rsidRPr="0036089D">
        <w:rPr>
          <w:b w:val="0"/>
          <w:i/>
          <w:lang w:eastAsia="en-AU"/>
        </w:rPr>
        <w:t xml:space="preserve"> Number of scheme collection services in each state and territory, by type of collection service</w:t>
      </w:r>
    </w:p>
    <w:tbl>
      <w:tblPr>
        <w:tblStyle w:val="LightShading-Accent11"/>
        <w:tblW w:w="9344" w:type="dxa"/>
        <w:tblLayout w:type="fixed"/>
        <w:tblLook w:val="04A0" w:firstRow="1" w:lastRow="0" w:firstColumn="1" w:lastColumn="0" w:noHBand="0" w:noVBand="1"/>
      </w:tblPr>
      <w:tblGrid>
        <w:gridCol w:w="2802"/>
        <w:gridCol w:w="2180"/>
        <w:gridCol w:w="2181"/>
        <w:gridCol w:w="2181"/>
      </w:tblGrid>
      <w:tr w:rsidR="00A42F07" w:rsidRPr="0036089D" w:rsidTr="004B22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vAlign w:val="center"/>
            <w:hideMark/>
          </w:tcPr>
          <w:p w:rsidR="00A42F07" w:rsidRPr="0036089D" w:rsidRDefault="00A42F07" w:rsidP="004B2255">
            <w:pPr>
              <w:spacing w:after="0" w:line="240" w:lineRule="auto"/>
              <w:jc w:val="center"/>
              <w:rPr>
                <w:rFonts w:eastAsia="Times New Roman" w:cs="Arial"/>
                <w:b w:val="0"/>
                <w:bCs w:val="0"/>
                <w:color w:val="auto"/>
                <w:lang w:eastAsia="en-AU"/>
              </w:rPr>
            </w:pPr>
            <w:r w:rsidRPr="0036089D">
              <w:rPr>
                <w:rFonts w:eastAsia="Times New Roman" w:cs="Arial"/>
                <w:b w:val="0"/>
                <w:bCs w:val="0"/>
                <w:color w:val="auto"/>
                <w:lang w:eastAsia="en-AU"/>
              </w:rPr>
              <w:t>State/Territory</w:t>
            </w:r>
          </w:p>
        </w:tc>
        <w:tc>
          <w:tcPr>
            <w:tcW w:w="2180" w:type="dxa"/>
            <w:noWrap/>
            <w:vAlign w:val="center"/>
            <w:hideMark/>
          </w:tcPr>
          <w:p w:rsidR="00A42F07" w:rsidRPr="0036089D" w:rsidRDefault="00A42F07" w:rsidP="004B22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auto"/>
                <w:lang w:eastAsia="en-AU"/>
              </w:rPr>
            </w:pPr>
            <w:r w:rsidRPr="0036089D">
              <w:rPr>
                <w:rFonts w:eastAsia="Times New Roman" w:cs="Arial"/>
                <w:b w:val="0"/>
                <w:bCs w:val="0"/>
                <w:color w:val="auto"/>
                <w:lang w:eastAsia="en-AU"/>
              </w:rPr>
              <w:t>Number of longer term services</w:t>
            </w:r>
          </w:p>
        </w:tc>
        <w:tc>
          <w:tcPr>
            <w:tcW w:w="2181" w:type="dxa"/>
            <w:vAlign w:val="center"/>
          </w:tcPr>
          <w:p w:rsidR="00A42F07" w:rsidRPr="0036089D" w:rsidRDefault="00A42F07" w:rsidP="004B22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auto"/>
                <w:lang w:eastAsia="en-AU"/>
              </w:rPr>
            </w:pPr>
            <w:r w:rsidRPr="0036089D">
              <w:rPr>
                <w:rFonts w:eastAsia="Times New Roman" w:cs="Arial"/>
                <w:b w:val="0"/>
                <w:bCs w:val="0"/>
                <w:color w:val="auto"/>
                <w:lang w:eastAsia="en-AU"/>
              </w:rPr>
              <w:t>Number of short term/event based services</w:t>
            </w:r>
          </w:p>
        </w:tc>
        <w:tc>
          <w:tcPr>
            <w:tcW w:w="2181" w:type="dxa"/>
            <w:vAlign w:val="center"/>
          </w:tcPr>
          <w:p w:rsidR="00A42F07" w:rsidRPr="0036089D" w:rsidRDefault="00A42F07" w:rsidP="004B22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auto"/>
                <w:lang w:eastAsia="en-AU"/>
              </w:rPr>
            </w:pPr>
            <w:r w:rsidRPr="0036089D">
              <w:rPr>
                <w:rFonts w:eastAsia="Times New Roman" w:cs="Arial"/>
                <w:b w:val="0"/>
                <w:bCs w:val="0"/>
                <w:color w:val="auto"/>
                <w:lang w:eastAsia="en-AU"/>
              </w:rPr>
              <w:t>Total collections</w:t>
            </w:r>
          </w:p>
        </w:tc>
      </w:tr>
      <w:tr w:rsidR="00A42F07" w:rsidRPr="0036089D" w:rsidTr="004B225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02" w:type="dxa"/>
            <w:tcBorders>
              <w:top w:val="single" w:sz="8" w:space="0" w:color="4F81BD" w:themeColor="accent1"/>
              <w:bottom w:val="nil"/>
              <w:right w:val="single" w:sz="8" w:space="0" w:color="4F81BD" w:themeColor="accent1"/>
            </w:tcBorders>
            <w:noWrap/>
            <w:vAlign w:val="center"/>
            <w:hideMark/>
          </w:tcPr>
          <w:p w:rsidR="00A42F07" w:rsidRPr="0036089D" w:rsidRDefault="00A42F07" w:rsidP="004B2255">
            <w:pPr>
              <w:spacing w:after="0" w:line="240" w:lineRule="auto"/>
              <w:rPr>
                <w:rFonts w:eastAsia="Times New Roman" w:cs="Arial"/>
                <w:b w:val="0"/>
                <w:color w:val="000000"/>
                <w:lang w:eastAsia="en-AU"/>
              </w:rPr>
            </w:pPr>
            <w:r w:rsidRPr="0036089D">
              <w:rPr>
                <w:rFonts w:eastAsia="Times New Roman" w:cs="Arial"/>
                <w:b w:val="0"/>
                <w:color w:val="000000"/>
                <w:lang w:eastAsia="en-AU"/>
              </w:rPr>
              <w:t>Australian Capital Territory</w:t>
            </w:r>
          </w:p>
        </w:tc>
        <w:tc>
          <w:tcPr>
            <w:tcW w:w="2180" w:type="dxa"/>
            <w:tcBorders>
              <w:left w:val="single" w:sz="8" w:space="0" w:color="4F81BD" w:themeColor="accent1"/>
              <w:right w:val="single" w:sz="4" w:space="0" w:color="4F81BD" w:themeColor="accent1"/>
            </w:tcBorders>
            <w:noWrap/>
            <w:vAlign w:val="center"/>
            <w:hideMark/>
          </w:tcPr>
          <w:p w:rsidR="00A42F07" w:rsidRPr="0036089D" w:rsidRDefault="00A42F07" w:rsidP="004B225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17</w:t>
            </w:r>
          </w:p>
        </w:tc>
        <w:tc>
          <w:tcPr>
            <w:tcW w:w="2181" w:type="dxa"/>
            <w:tcBorders>
              <w:top w:val="single" w:sz="8" w:space="0" w:color="4F81BD" w:themeColor="accent1"/>
              <w:left w:val="single" w:sz="4" w:space="0" w:color="4F81BD" w:themeColor="accent1"/>
              <w:bottom w:val="nil"/>
            </w:tcBorders>
            <w:vAlign w:val="center"/>
          </w:tcPr>
          <w:p w:rsidR="00A42F07" w:rsidRPr="0036089D" w:rsidRDefault="00A42F07" w:rsidP="004B225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1</w:t>
            </w:r>
          </w:p>
        </w:tc>
        <w:tc>
          <w:tcPr>
            <w:tcW w:w="2181" w:type="dxa"/>
            <w:tcBorders>
              <w:top w:val="single" w:sz="8" w:space="0" w:color="4F81BD" w:themeColor="accent1"/>
              <w:left w:val="single" w:sz="4" w:space="0" w:color="4F81BD" w:themeColor="accent1"/>
              <w:bottom w:val="nil"/>
            </w:tcBorders>
          </w:tcPr>
          <w:p w:rsidR="00A42F07" w:rsidRPr="0036089D" w:rsidRDefault="00A42F07" w:rsidP="004B2255">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18</w:t>
            </w:r>
          </w:p>
        </w:tc>
      </w:tr>
      <w:tr w:rsidR="00A42F07" w:rsidRPr="0036089D" w:rsidTr="004B2255">
        <w:trPr>
          <w:trHeight w:val="55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right w:val="single" w:sz="8" w:space="0" w:color="4F81BD" w:themeColor="accent1"/>
            </w:tcBorders>
            <w:noWrap/>
            <w:vAlign w:val="center"/>
            <w:hideMark/>
          </w:tcPr>
          <w:p w:rsidR="00A42F07" w:rsidRPr="0036089D" w:rsidRDefault="00A42F07" w:rsidP="004B2255">
            <w:pPr>
              <w:spacing w:after="0" w:line="240" w:lineRule="auto"/>
              <w:rPr>
                <w:rFonts w:eastAsia="Times New Roman" w:cs="Arial"/>
                <w:b w:val="0"/>
                <w:color w:val="000000"/>
                <w:lang w:eastAsia="en-AU"/>
              </w:rPr>
            </w:pPr>
            <w:r w:rsidRPr="0036089D">
              <w:rPr>
                <w:rFonts w:eastAsia="Times New Roman" w:cs="Arial"/>
                <w:b w:val="0"/>
                <w:color w:val="000000"/>
                <w:lang w:eastAsia="en-AU"/>
              </w:rPr>
              <w:t>New South Wales</w:t>
            </w:r>
          </w:p>
        </w:tc>
        <w:tc>
          <w:tcPr>
            <w:tcW w:w="2180" w:type="dxa"/>
            <w:tcBorders>
              <w:left w:val="single" w:sz="8" w:space="0" w:color="4F81BD" w:themeColor="accent1"/>
              <w:right w:val="single" w:sz="4" w:space="0" w:color="4F81BD" w:themeColor="accent1"/>
            </w:tcBorders>
            <w:noWrap/>
            <w:vAlign w:val="center"/>
            <w:hideMark/>
          </w:tcPr>
          <w:p w:rsidR="00A42F07" w:rsidRPr="0036089D" w:rsidRDefault="00A42F07" w:rsidP="004B225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480</w:t>
            </w:r>
          </w:p>
        </w:tc>
        <w:tc>
          <w:tcPr>
            <w:tcW w:w="2181" w:type="dxa"/>
            <w:tcBorders>
              <w:top w:val="nil"/>
              <w:left w:val="single" w:sz="4" w:space="0" w:color="4F81BD" w:themeColor="accent1"/>
              <w:bottom w:val="nil"/>
            </w:tcBorders>
            <w:vAlign w:val="center"/>
          </w:tcPr>
          <w:p w:rsidR="00A42F07" w:rsidRPr="0036089D" w:rsidRDefault="00A42F07" w:rsidP="004B225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21</w:t>
            </w:r>
          </w:p>
        </w:tc>
        <w:tc>
          <w:tcPr>
            <w:tcW w:w="2181" w:type="dxa"/>
            <w:tcBorders>
              <w:top w:val="nil"/>
              <w:left w:val="single" w:sz="4" w:space="0" w:color="4F81BD" w:themeColor="accent1"/>
              <w:bottom w:val="nil"/>
            </w:tcBorders>
          </w:tcPr>
          <w:p w:rsidR="00A42F07" w:rsidRPr="0036089D" w:rsidRDefault="00A42F07" w:rsidP="004B2255">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501</w:t>
            </w:r>
          </w:p>
        </w:tc>
      </w:tr>
      <w:tr w:rsidR="00A42F07" w:rsidRPr="0036089D" w:rsidTr="004B225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right w:val="single" w:sz="8" w:space="0" w:color="4F81BD" w:themeColor="accent1"/>
            </w:tcBorders>
            <w:noWrap/>
            <w:vAlign w:val="center"/>
            <w:hideMark/>
          </w:tcPr>
          <w:p w:rsidR="00A42F07" w:rsidRPr="0036089D" w:rsidRDefault="00A42F07" w:rsidP="004B2255">
            <w:pPr>
              <w:spacing w:after="0" w:line="240" w:lineRule="auto"/>
              <w:rPr>
                <w:rFonts w:eastAsia="Times New Roman" w:cs="Arial"/>
                <w:b w:val="0"/>
                <w:color w:val="000000"/>
                <w:lang w:eastAsia="en-AU"/>
              </w:rPr>
            </w:pPr>
            <w:r w:rsidRPr="0036089D">
              <w:rPr>
                <w:rFonts w:eastAsia="Times New Roman" w:cs="Arial"/>
                <w:b w:val="0"/>
                <w:color w:val="000000"/>
                <w:lang w:eastAsia="en-AU"/>
              </w:rPr>
              <w:t>Northern Territory</w:t>
            </w:r>
          </w:p>
        </w:tc>
        <w:tc>
          <w:tcPr>
            <w:tcW w:w="2180" w:type="dxa"/>
            <w:tcBorders>
              <w:left w:val="single" w:sz="8" w:space="0" w:color="4F81BD" w:themeColor="accent1"/>
              <w:right w:val="single" w:sz="4" w:space="0" w:color="4F81BD" w:themeColor="accent1"/>
            </w:tcBorders>
            <w:noWrap/>
            <w:vAlign w:val="center"/>
            <w:hideMark/>
          </w:tcPr>
          <w:p w:rsidR="00A42F07" w:rsidRPr="0036089D" w:rsidRDefault="00A42F07" w:rsidP="004B225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30</w:t>
            </w:r>
          </w:p>
        </w:tc>
        <w:tc>
          <w:tcPr>
            <w:tcW w:w="2181" w:type="dxa"/>
            <w:tcBorders>
              <w:top w:val="nil"/>
              <w:left w:val="single" w:sz="4" w:space="0" w:color="4F81BD" w:themeColor="accent1"/>
              <w:bottom w:val="nil"/>
            </w:tcBorders>
            <w:vAlign w:val="center"/>
          </w:tcPr>
          <w:p w:rsidR="00A42F07" w:rsidRPr="0036089D" w:rsidRDefault="00A42F07" w:rsidP="004B225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8</w:t>
            </w:r>
          </w:p>
        </w:tc>
        <w:tc>
          <w:tcPr>
            <w:tcW w:w="2181" w:type="dxa"/>
            <w:tcBorders>
              <w:top w:val="nil"/>
              <w:left w:val="single" w:sz="4" w:space="0" w:color="4F81BD" w:themeColor="accent1"/>
              <w:bottom w:val="nil"/>
            </w:tcBorders>
          </w:tcPr>
          <w:p w:rsidR="00A42F07" w:rsidRPr="0036089D" w:rsidRDefault="00A42F07" w:rsidP="004B2255">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38</w:t>
            </w:r>
          </w:p>
        </w:tc>
      </w:tr>
      <w:tr w:rsidR="00A42F07" w:rsidRPr="0036089D" w:rsidTr="004B2255">
        <w:trPr>
          <w:trHeight w:val="55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right w:val="single" w:sz="8" w:space="0" w:color="4F81BD" w:themeColor="accent1"/>
            </w:tcBorders>
            <w:noWrap/>
            <w:vAlign w:val="center"/>
            <w:hideMark/>
          </w:tcPr>
          <w:p w:rsidR="00A42F07" w:rsidRPr="0036089D" w:rsidRDefault="00A42F07" w:rsidP="004B2255">
            <w:pPr>
              <w:spacing w:after="0" w:line="240" w:lineRule="auto"/>
              <w:rPr>
                <w:rFonts w:eastAsia="Times New Roman" w:cs="Arial"/>
                <w:b w:val="0"/>
                <w:color w:val="000000"/>
                <w:lang w:eastAsia="en-AU"/>
              </w:rPr>
            </w:pPr>
            <w:r w:rsidRPr="0036089D">
              <w:rPr>
                <w:rFonts w:eastAsia="Times New Roman" w:cs="Arial"/>
                <w:b w:val="0"/>
                <w:color w:val="000000"/>
                <w:lang w:eastAsia="en-AU"/>
              </w:rPr>
              <w:t>Queensland</w:t>
            </w:r>
          </w:p>
        </w:tc>
        <w:tc>
          <w:tcPr>
            <w:tcW w:w="2180" w:type="dxa"/>
            <w:tcBorders>
              <w:left w:val="single" w:sz="8" w:space="0" w:color="4F81BD" w:themeColor="accent1"/>
              <w:right w:val="single" w:sz="4" w:space="0" w:color="4F81BD" w:themeColor="accent1"/>
            </w:tcBorders>
            <w:noWrap/>
            <w:vAlign w:val="center"/>
            <w:hideMark/>
          </w:tcPr>
          <w:p w:rsidR="00A42F07" w:rsidRPr="0036089D" w:rsidRDefault="00A42F07" w:rsidP="004B225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322</w:t>
            </w:r>
          </w:p>
        </w:tc>
        <w:tc>
          <w:tcPr>
            <w:tcW w:w="2181" w:type="dxa"/>
            <w:tcBorders>
              <w:top w:val="nil"/>
              <w:left w:val="single" w:sz="4" w:space="0" w:color="4F81BD" w:themeColor="accent1"/>
              <w:bottom w:val="nil"/>
            </w:tcBorders>
            <w:vAlign w:val="center"/>
          </w:tcPr>
          <w:p w:rsidR="00A42F07" w:rsidRPr="0036089D" w:rsidRDefault="00A42F07" w:rsidP="004B225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12</w:t>
            </w:r>
          </w:p>
        </w:tc>
        <w:tc>
          <w:tcPr>
            <w:tcW w:w="2181" w:type="dxa"/>
            <w:tcBorders>
              <w:top w:val="nil"/>
              <w:left w:val="single" w:sz="4" w:space="0" w:color="4F81BD" w:themeColor="accent1"/>
              <w:bottom w:val="nil"/>
            </w:tcBorders>
          </w:tcPr>
          <w:p w:rsidR="00A42F07" w:rsidRPr="0036089D" w:rsidRDefault="00A42F07" w:rsidP="004B2255">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334</w:t>
            </w:r>
          </w:p>
        </w:tc>
      </w:tr>
      <w:tr w:rsidR="00A42F07" w:rsidRPr="0036089D" w:rsidTr="004B225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right w:val="single" w:sz="8" w:space="0" w:color="4F81BD" w:themeColor="accent1"/>
            </w:tcBorders>
            <w:noWrap/>
            <w:vAlign w:val="center"/>
            <w:hideMark/>
          </w:tcPr>
          <w:p w:rsidR="00A42F07" w:rsidRPr="0036089D" w:rsidRDefault="00A42F07" w:rsidP="004B2255">
            <w:pPr>
              <w:spacing w:after="0" w:line="240" w:lineRule="auto"/>
              <w:rPr>
                <w:rFonts w:eastAsia="Times New Roman" w:cs="Arial"/>
                <w:b w:val="0"/>
                <w:color w:val="000000"/>
                <w:lang w:eastAsia="en-AU"/>
              </w:rPr>
            </w:pPr>
            <w:r w:rsidRPr="0036089D">
              <w:rPr>
                <w:rFonts w:eastAsia="Times New Roman" w:cs="Arial"/>
                <w:b w:val="0"/>
                <w:color w:val="000000"/>
                <w:lang w:eastAsia="en-AU"/>
              </w:rPr>
              <w:t>South Australia</w:t>
            </w:r>
          </w:p>
        </w:tc>
        <w:tc>
          <w:tcPr>
            <w:tcW w:w="2180" w:type="dxa"/>
            <w:tcBorders>
              <w:left w:val="single" w:sz="8" w:space="0" w:color="4F81BD" w:themeColor="accent1"/>
              <w:right w:val="single" w:sz="4" w:space="0" w:color="4F81BD" w:themeColor="accent1"/>
            </w:tcBorders>
            <w:noWrap/>
            <w:vAlign w:val="center"/>
            <w:hideMark/>
          </w:tcPr>
          <w:p w:rsidR="00A42F07" w:rsidRPr="0036089D" w:rsidRDefault="00A42F07" w:rsidP="004B225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144</w:t>
            </w:r>
          </w:p>
        </w:tc>
        <w:tc>
          <w:tcPr>
            <w:tcW w:w="2181" w:type="dxa"/>
            <w:tcBorders>
              <w:top w:val="nil"/>
              <w:left w:val="single" w:sz="4" w:space="0" w:color="4F81BD" w:themeColor="accent1"/>
              <w:bottom w:val="nil"/>
            </w:tcBorders>
            <w:vAlign w:val="center"/>
          </w:tcPr>
          <w:p w:rsidR="00A42F07" w:rsidRPr="0036089D" w:rsidRDefault="00A42F07" w:rsidP="004B225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11</w:t>
            </w:r>
          </w:p>
        </w:tc>
        <w:tc>
          <w:tcPr>
            <w:tcW w:w="2181" w:type="dxa"/>
            <w:tcBorders>
              <w:top w:val="nil"/>
              <w:left w:val="single" w:sz="4" w:space="0" w:color="4F81BD" w:themeColor="accent1"/>
              <w:bottom w:val="nil"/>
            </w:tcBorders>
          </w:tcPr>
          <w:p w:rsidR="00A42F07" w:rsidRPr="0036089D" w:rsidRDefault="00A42F07" w:rsidP="004B2255">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155</w:t>
            </w:r>
          </w:p>
        </w:tc>
      </w:tr>
      <w:tr w:rsidR="00A42F07" w:rsidRPr="0036089D" w:rsidTr="004B2255">
        <w:trPr>
          <w:trHeight w:val="55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right w:val="single" w:sz="8" w:space="0" w:color="4F81BD" w:themeColor="accent1"/>
            </w:tcBorders>
            <w:noWrap/>
            <w:vAlign w:val="center"/>
            <w:hideMark/>
          </w:tcPr>
          <w:p w:rsidR="00A42F07" w:rsidRPr="0036089D" w:rsidRDefault="00A42F07" w:rsidP="004B2255">
            <w:pPr>
              <w:spacing w:after="0" w:line="240" w:lineRule="auto"/>
              <w:rPr>
                <w:rFonts w:eastAsia="Times New Roman" w:cs="Arial"/>
                <w:b w:val="0"/>
                <w:color w:val="000000"/>
                <w:lang w:eastAsia="en-AU"/>
              </w:rPr>
            </w:pPr>
            <w:r w:rsidRPr="0036089D">
              <w:rPr>
                <w:rFonts w:eastAsia="Times New Roman" w:cs="Arial"/>
                <w:b w:val="0"/>
                <w:color w:val="000000"/>
                <w:lang w:eastAsia="en-AU"/>
              </w:rPr>
              <w:t>Tasmania</w:t>
            </w:r>
          </w:p>
        </w:tc>
        <w:tc>
          <w:tcPr>
            <w:tcW w:w="2180" w:type="dxa"/>
            <w:tcBorders>
              <w:left w:val="single" w:sz="8" w:space="0" w:color="4F81BD" w:themeColor="accent1"/>
              <w:right w:val="single" w:sz="4" w:space="0" w:color="4F81BD" w:themeColor="accent1"/>
            </w:tcBorders>
            <w:noWrap/>
            <w:vAlign w:val="center"/>
            <w:hideMark/>
          </w:tcPr>
          <w:p w:rsidR="00A42F07" w:rsidRPr="0036089D" w:rsidRDefault="00A42F07" w:rsidP="004B225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41</w:t>
            </w:r>
          </w:p>
        </w:tc>
        <w:tc>
          <w:tcPr>
            <w:tcW w:w="2181" w:type="dxa"/>
            <w:tcBorders>
              <w:top w:val="nil"/>
              <w:left w:val="single" w:sz="4" w:space="0" w:color="4F81BD" w:themeColor="accent1"/>
              <w:bottom w:val="nil"/>
            </w:tcBorders>
            <w:vAlign w:val="center"/>
          </w:tcPr>
          <w:p w:rsidR="00A42F07" w:rsidRPr="0036089D" w:rsidRDefault="00A42F07" w:rsidP="004B225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0</w:t>
            </w:r>
          </w:p>
        </w:tc>
        <w:tc>
          <w:tcPr>
            <w:tcW w:w="2181" w:type="dxa"/>
            <w:tcBorders>
              <w:top w:val="nil"/>
              <w:left w:val="single" w:sz="4" w:space="0" w:color="4F81BD" w:themeColor="accent1"/>
              <w:bottom w:val="nil"/>
            </w:tcBorders>
          </w:tcPr>
          <w:p w:rsidR="00A42F07" w:rsidRPr="0036089D" w:rsidRDefault="00A42F07" w:rsidP="004B2255">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41</w:t>
            </w:r>
          </w:p>
        </w:tc>
      </w:tr>
      <w:tr w:rsidR="00A42F07" w:rsidRPr="0036089D" w:rsidTr="004B225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right w:val="single" w:sz="8" w:space="0" w:color="4F81BD" w:themeColor="accent1"/>
            </w:tcBorders>
            <w:noWrap/>
            <w:vAlign w:val="center"/>
            <w:hideMark/>
          </w:tcPr>
          <w:p w:rsidR="00A42F07" w:rsidRPr="0036089D" w:rsidRDefault="00A42F07" w:rsidP="004B2255">
            <w:pPr>
              <w:spacing w:after="0" w:line="240" w:lineRule="auto"/>
              <w:rPr>
                <w:rFonts w:eastAsia="Times New Roman" w:cs="Arial"/>
                <w:b w:val="0"/>
                <w:color w:val="000000"/>
                <w:lang w:eastAsia="en-AU"/>
              </w:rPr>
            </w:pPr>
            <w:r w:rsidRPr="0036089D">
              <w:rPr>
                <w:rFonts w:eastAsia="Times New Roman" w:cs="Arial"/>
                <w:b w:val="0"/>
                <w:color w:val="000000"/>
                <w:lang w:eastAsia="en-AU"/>
              </w:rPr>
              <w:t>Victoria</w:t>
            </w:r>
          </w:p>
        </w:tc>
        <w:tc>
          <w:tcPr>
            <w:tcW w:w="2180" w:type="dxa"/>
            <w:tcBorders>
              <w:left w:val="single" w:sz="8" w:space="0" w:color="4F81BD" w:themeColor="accent1"/>
              <w:right w:val="single" w:sz="4" w:space="0" w:color="4F81BD" w:themeColor="accent1"/>
            </w:tcBorders>
            <w:noWrap/>
            <w:vAlign w:val="center"/>
            <w:hideMark/>
          </w:tcPr>
          <w:p w:rsidR="00A42F07" w:rsidRPr="0036089D" w:rsidRDefault="00A42F07" w:rsidP="004B225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340</w:t>
            </w:r>
          </w:p>
        </w:tc>
        <w:tc>
          <w:tcPr>
            <w:tcW w:w="2181" w:type="dxa"/>
            <w:tcBorders>
              <w:top w:val="nil"/>
              <w:left w:val="single" w:sz="4" w:space="0" w:color="4F81BD" w:themeColor="accent1"/>
              <w:bottom w:val="nil"/>
            </w:tcBorders>
            <w:vAlign w:val="center"/>
          </w:tcPr>
          <w:p w:rsidR="00A42F07" w:rsidRPr="0036089D" w:rsidRDefault="00A42F07" w:rsidP="004B225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93</w:t>
            </w:r>
          </w:p>
        </w:tc>
        <w:tc>
          <w:tcPr>
            <w:tcW w:w="2181" w:type="dxa"/>
            <w:tcBorders>
              <w:top w:val="nil"/>
              <w:left w:val="single" w:sz="4" w:space="0" w:color="4F81BD" w:themeColor="accent1"/>
              <w:bottom w:val="nil"/>
            </w:tcBorders>
          </w:tcPr>
          <w:p w:rsidR="00A42F07" w:rsidRPr="0036089D" w:rsidRDefault="00A42F07" w:rsidP="004B2255">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433</w:t>
            </w:r>
          </w:p>
        </w:tc>
      </w:tr>
      <w:tr w:rsidR="00A42F07" w:rsidRPr="0036089D" w:rsidTr="004B2255">
        <w:trPr>
          <w:trHeight w:val="55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right w:val="single" w:sz="8" w:space="0" w:color="4F81BD" w:themeColor="accent1"/>
            </w:tcBorders>
            <w:noWrap/>
            <w:vAlign w:val="center"/>
            <w:hideMark/>
          </w:tcPr>
          <w:p w:rsidR="00A42F07" w:rsidRPr="0036089D" w:rsidRDefault="00A42F07" w:rsidP="004B2255">
            <w:pPr>
              <w:spacing w:after="0" w:line="240" w:lineRule="auto"/>
              <w:rPr>
                <w:rFonts w:eastAsia="Times New Roman" w:cs="Arial"/>
                <w:b w:val="0"/>
                <w:color w:val="000000"/>
                <w:lang w:eastAsia="en-AU"/>
              </w:rPr>
            </w:pPr>
            <w:r w:rsidRPr="0036089D">
              <w:rPr>
                <w:rFonts w:eastAsia="Times New Roman" w:cs="Arial"/>
                <w:b w:val="0"/>
                <w:color w:val="000000"/>
                <w:lang w:eastAsia="en-AU"/>
              </w:rPr>
              <w:t>Western Australia</w:t>
            </w:r>
          </w:p>
        </w:tc>
        <w:tc>
          <w:tcPr>
            <w:tcW w:w="2180" w:type="dxa"/>
            <w:tcBorders>
              <w:left w:val="single" w:sz="8" w:space="0" w:color="4F81BD" w:themeColor="accent1"/>
              <w:right w:val="single" w:sz="4" w:space="0" w:color="4F81BD" w:themeColor="accent1"/>
            </w:tcBorders>
            <w:noWrap/>
            <w:vAlign w:val="center"/>
            <w:hideMark/>
          </w:tcPr>
          <w:p w:rsidR="00A42F07" w:rsidRPr="0036089D" w:rsidRDefault="00A42F07" w:rsidP="004B225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148</w:t>
            </w:r>
          </w:p>
        </w:tc>
        <w:tc>
          <w:tcPr>
            <w:tcW w:w="2181" w:type="dxa"/>
            <w:tcBorders>
              <w:top w:val="nil"/>
              <w:left w:val="single" w:sz="4" w:space="0" w:color="4F81BD" w:themeColor="accent1"/>
              <w:bottom w:val="nil"/>
            </w:tcBorders>
            <w:vAlign w:val="center"/>
          </w:tcPr>
          <w:p w:rsidR="00A42F07" w:rsidRPr="0036089D" w:rsidRDefault="00A42F07" w:rsidP="004B225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9</w:t>
            </w:r>
          </w:p>
        </w:tc>
        <w:tc>
          <w:tcPr>
            <w:tcW w:w="2181" w:type="dxa"/>
            <w:tcBorders>
              <w:top w:val="nil"/>
              <w:left w:val="single" w:sz="4" w:space="0" w:color="4F81BD" w:themeColor="accent1"/>
              <w:bottom w:val="nil"/>
            </w:tcBorders>
          </w:tcPr>
          <w:p w:rsidR="00A42F07" w:rsidRPr="0036089D" w:rsidRDefault="00A42F07" w:rsidP="004B2255">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157</w:t>
            </w:r>
          </w:p>
        </w:tc>
      </w:tr>
      <w:tr w:rsidR="00A42F07" w:rsidRPr="0036089D" w:rsidTr="004B225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single" w:sz="8" w:space="0" w:color="4F81BD" w:themeColor="accent1"/>
              <w:right w:val="single" w:sz="8" w:space="0" w:color="4F81BD" w:themeColor="accent1"/>
            </w:tcBorders>
            <w:noWrap/>
            <w:vAlign w:val="center"/>
            <w:hideMark/>
          </w:tcPr>
          <w:p w:rsidR="00A42F07" w:rsidRPr="0036089D" w:rsidRDefault="00A42F07" w:rsidP="004B2255">
            <w:pPr>
              <w:spacing w:after="0" w:line="240" w:lineRule="auto"/>
              <w:rPr>
                <w:rFonts w:eastAsia="Times New Roman" w:cs="Arial"/>
                <w:color w:val="000000"/>
                <w:lang w:eastAsia="en-AU"/>
              </w:rPr>
            </w:pPr>
            <w:r w:rsidRPr="0036089D">
              <w:rPr>
                <w:rFonts w:eastAsia="Times New Roman" w:cs="Arial"/>
                <w:color w:val="000000"/>
                <w:lang w:eastAsia="en-AU"/>
              </w:rPr>
              <w:t>Total</w:t>
            </w:r>
          </w:p>
        </w:tc>
        <w:tc>
          <w:tcPr>
            <w:tcW w:w="2180" w:type="dxa"/>
            <w:tcBorders>
              <w:left w:val="single" w:sz="8" w:space="0" w:color="4F81BD" w:themeColor="accent1"/>
              <w:right w:val="single" w:sz="4" w:space="0" w:color="4F81BD" w:themeColor="accent1"/>
            </w:tcBorders>
            <w:noWrap/>
            <w:vAlign w:val="center"/>
            <w:hideMark/>
          </w:tcPr>
          <w:p w:rsidR="00A42F07" w:rsidRPr="0036089D" w:rsidRDefault="00A42F07" w:rsidP="004B225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auto"/>
              </w:rPr>
            </w:pPr>
            <w:r w:rsidRPr="0036089D">
              <w:rPr>
                <w:rFonts w:cs="Arial"/>
                <w:b/>
                <w:color w:val="auto"/>
              </w:rPr>
              <w:t>1522</w:t>
            </w:r>
          </w:p>
        </w:tc>
        <w:tc>
          <w:tcPr>
            <w:tcW w:w="2181" w:type="dxa"/>
            <w:tcBorders>
              <w:top w:val="nil"/>
              <w:left w:val="single" w:sz="4" w:space="0" w:color="4F81BD" w:themeColor="accent1"/>
              <w:bottom w:val="single" w:sz="8" w:space="0" w:color="4F81BD" w:themeColor="accent1"/>
            </w:tcBorders>
            <w:vAlign w:val="center"/>
          </w:tcPr>
          <w:p w:rsidR="00A42F07" w:rsidRPr="0036089D" w:rsidRDefault="00A42F07" w:rsidP="004B225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auto"/>
              </w:rPr>
            </w:pPr>
            <w:r w:rsidRPr="0036089D">
              <w:rPr>
                <w:rFonts w:cs="Arial"/>
                <w:b/>
                <w:color w:val="auto"/>
              </w:rPr>
              <w:t>155</w:t>
            </w:r>
          </w:p>
        </w:tc>
        <w:tc>
          <w:tcPr>
            <w:tcW w:w="2181" w:type="dxa"/>
            <w:tcBorders>
              <w:top w:val="nil"/>
              <w:left w:val="single" w:sz="4" w:space="0" w:color="4F81BD" w:themeColor="accent1"/>
              <w:bottom w:val="single" w:sz="8" w:space="0" w:color="4F81BD" w:themeColor="accent1"/>
            </w:tcBorders>
          </w:tcPr>
          <w:p w:rsidR="00A42F07" w:rsidRPr="0036089D" w:rsidRDefault="00A42F07" w:rsidP="004B2255">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b/>
                <w:color w:val="auto"/>
              </w:rPr>
            </w:pPr>
            <w:r w:rsidRPr="0036089D">
              <w:rPr>
                <w:b/>
                <w:color w:val="auto"/>
              </w:rPr>
              <w:t>1677</w:t>
            </w:r>
          </w:p>
        </w:tc>
      </w:tr>
    </w:tbl>
    <w:p w:rsidR="00A42F07" w:rsidRPr="0036089D" w:rsidRDefault="00F11B9F" w:rsidP="001D2679">
      <w:pPr>
        <w:rPr>
          <w:rFonts w:ascii="Calibri" w:hAnsi="Calibri" w:cs="Arial"/>
          <w:lang w:eastAsia="en-AU"/>
        </w:rPr>
      </w:pPr>
      <w:r w:rsidRPr="0036089D">
        <w:rPr>
          <w:rFonts w:ascii="Calibri" w:hAnsi="Calibri" w:cs="Arial"/>
          <w:lang w:eastAsia="en-AU"/>
        </w:rPr>
        <w:t>The Product Stewardship (Televisions and Computers) Regulations 2011</w:t>
      </w:r>
      <w:r w:rsidR="00263053" w:rsidRPr="0036089D">
        <w:rPr>
          <w:rFonts w:ascii="Calibri" w:hAnsi="Calibri" w:cs="Arial"/>
          <w:lang w:eastAsia="en-AU"/>
        </w:rPr>
        <w:t xml:space="preserve"> </w:t>
      </w:r>
      <w:r w:rsidR="006819D9" w:rsidRPr="0036089D">
        <w:rPr>
          <w:rFonts w:ascii="Calibri" w:hAnsi="Calibri" w:cs="Arial"/>
          <w:lang w:eastAsia="en-AU"/>
        </w:rPr>
        <w:t xml:space="preserve">also </w:t>
      </w:r>
      <w:r w:rsidRPr="0036089D">
        <w:rPr>
          <w:rFonts w:ascii="Calibri" w:hAnsi="Calibri" w:cs="Arial"/>
          <w:lang w:eastAsia="en-AU"/>
        </w:rPr>
        <w:t xml:space="preserve">set out </w:t>
      </w:r>
      <w:r w:rsidR="00263053" w:rsidRPr="0036089D">
        <w:rPr>
          <w:rFonts w:ascii="Calibri" w:hAnsi="Calibri" w:cs="Arial"/>
          <w:lang w:eastAsia="en-AU"/>
        </w:rPr>
        <w:t xml:space="preserve">a minimum number of collection services </w:t>
      </w:r>
      <w:r w:rsidRPr="0036089D">
        <w:rPr>
          <w:rFonts w:ascii="Calibri" w:hAnsi="Calibri" w:cs="Arial"/>
          <w:lang w:eastAsia="en-AU"/>
        </w:rPr>
        <w:t xml:space="preserve">that must be provided across geographic areas to enable a co-regulatory arrangement to </w:t>
      </w:r>
      <w:r w:rsidR="006819D9" w:rsidRPr="0036089D">
        <w:rPr>
          <w:rFonts w:ascii="Calibri" w:hAnsi="Calibri" w:cs="Arial"/>
          <w:lang w:eastAsia="en-AU"/>
        </w:rPr>
        <w:t xml:space="preserve">meet reasonable access requirements. The regional areas used are based on remoteness classifications </w:t>
      </w:r>
      <w:r w:rsidR="004B2255" w:rsidRPr="0036089D">
        <w:rPr>
          <w:rFonts w:ascii="Calibri" w:hAnsi="Calibri" w:cs="Arial"/>
          <w:lang w:eastAsia="en-AU"/>
        </w:rPr>
        <w:t>developed</w:t>
      </w:r>
      <w:r w:rsidR="006819D9" w:rsidRPr="0036089D">
        <w:rPr>
          <w:rFonts w:ascii="Calibri" w:hAnsi="Calibri" w:cs="Arial"/>
          <w:lang w:eastAsia="en-AU"/>
        </w:rPr>
        <w:t xml:space="preserve"> by the Australian Bureau of Statistics.</w:t>
      </w:r>
      <w:r w:rsidR="00263053" w:rsidRPr="0036089D">
        <w:rPr>
          <w:rFonts w:ascii="Calibri" w:hAnsi="Calibri" w:cs="Arial"/>
          <w:lang w:eastAsia="en-AU"/>
        </w:rPr>
        <w:t xml:space="preserve"> </w:t>
      </w:r>
    </w:p>
    <w:p w:rsidR="000B28EC" w:rsidRPr="0036089D" w:rsidRDefault="000B28EC" w:rsidP="000B28EC">
      <w:pPr>
        <w:pStyle w:val="Caption"/>
        <w:keepNext/>
        <w:rPr>
          <w:b w:val="0"/>
        </w:rPr>
      </w:pPr>
      <w:r w:rsidRPr="0036089D">
        <w:rPr>
          <w:b w:val="0"/>
        </w:rPr>
        <w:t xml:space="preserve">Figure </w:t>
      </w:r>
      <w:r w:rsidR="0055178B" w:rsidRPr="0036089D">
        <w:rPr>
          <w:b w:val="0"/>
        </w:rPr>
        <w:fldChar w:fldCharType="begin"/>
      </w:r>
      <w:r w:rsidRPr="0036089D">
        <w:rPr>
          <w:b w:val="0"/>
        </w:rPr>
        <w:instrText xml:space="preserve"> SEQ Figure \* ARABIC </w:instrText>
      </w:r>
      <w:r w:rsidR="0055178B" w:rsidRPr="0036089D">
        <w:rPr>
          <w:b w:val="0"/>
        </w:rPr>
        <w:fldChar w:fldCharType="separate"/>
      </w:r>
      <w:r w:rsidR="003A2863">
        <w:rPr>
          <w:b w:val="0"/>
          <w:noProof/>
        </w:rPr>
        <w:t>1</w:t>
      </w:r>
      <w:r w:rsidR="0055178B" w:rsidRPr="0036089D">
        <w:rPr>
          <w:b w:val="0"/>
        </w:rPr>
        <w:fldChar w:fldCharType="end"/>
      </w:r>
      <w:r w:rsidRPr="0036089D">
        <w:rPr>
          <w:rFonts w:cs="Arial"/>
          <w:b w:val="0"/>
          <w:szCs w:val="20"/>
          <w:lang w:eastAsia="en-AU"/>
        </w:rPr>
        <w:t>:</w:t>
      </w:r>
      <w:r w:rsidRPr="0036089D">
        <w:rPr>
          <w:rFonts w:cs="Arial"/>
          <w:szCs w:val="20"/>
          <w:lang w:eastAsia="en-AU"/>
        </w:rPr>
        <w:t xml:space="preserve"> </w:t>
      </w:r>
      <w:r w:rsidRPr="0036089D">
        <w:rPr>
          <w:rFonts w:cs="Arial"/>
          <w:b w:val="0"/>
          <w:i/>
          <w:szCs w:val="20"/>
          <w:lang w:eastAsia="en-AU"/>
        </w:rPr>
        <w:t>Minimum number of collection services that must be delivered by co-regulatory arrangements in order to meet reasonable access requirements</w:t>
      </w:r>
    </w:p>
    <w:p w:rsidR="000B28EC" w:rsidRPr="0036089D" w:rsidRDefault="0037095E" w:rsidP="000B28EC">
      <w:pPr>
        <w:rPr>
          <w:rFonts w:cs="Arial"/>
          <w:sz w:val="20"/>
          <w:szCs w:val="20"/>
        </w:rPr>
      </w:pPr>
      <w:r>
        <w:rPr>
          <w:rFonts w:cs="Arial"/>
          <w:noProof/>
          <w:sz w:val="20"/>
          <w:szCs w:val="20"/>
          <w:lang w:eastAsia="en-AU"/>
        </w:rPr>
        <mc:AlternateContent>
          <mc:Choice Requires="wps">
            <w:drawing>
              <wp:anchor distT="0" distB="0" distL="114300" distR="114300" simplePos="0" relativeHeight="251655680" behindDoc="0" locked="0" layoutInCell="1" allowOverlap="1" wp14:anchorId="27BE651E" wp14:editId="4E39F5A9">
                <wp:simplePos x="0" y="0"/>
                <wp:positionH relativeFrom="column">
                  <wp:posOffset>1274445</wp:posOffset>
                </wp:positionH>
                <wp:positionV relativeFrom="paragraph">
                  <wp:posOffset>989330</wp:posOffset>
                </wp:positionV>
                <wp:extent cx="409575" cy="438150"/>
                <wp:effectExtent l="0" t="1270" r="1905" b="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863" w:rsidRPr="00FF4E82" w:rsidRDefault="003A2863" w:rsidP="000B28EC">
                            <w:pPr>
                              <w:spacing w:after="0" w:line="240" w:lineRule="auto"/>
                              <w:rPr>
                                <w:b/>
                                <w:sz w:val="28"/>
                                <w:szCs w:val="28"/>
                              </w:rPr>
                            </w:pPr>
                            <w:r w:rsidRPr="00FF4E82">
                              <w:rPr>
                                <w:b/>
                                <w:sz w:val="28"/>
                                <w:szCs w:val="28"/>
                              </w:rPr>
                              <w:t>217</w:t>
                            </w:r>
                          </w:p>
                        </w:txbxContent>
                      </wps:txbx>
                      <wps:bodyPr rot="0" vert="horz" wrap="square" lIns="54000" tIns="45720" rIns="54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E651E" id="Text Box 33" o:spid="_x0000_s1027" type="#_x0000_t202" style="position:absolute;margin-left:100.35pt;margin-top:77.9pt;width:32.2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" stroked="f">
                <v:textbox inset="1.5mm,,1.5mm">
                  <w:txbxContent>
                    <w:p w:rsidR="003A2863" w:rsidRPr="00FF4E82" w:rsidRDefault="003A2863" w:rsidP="000B28EC">
                      <w:pPr>
                        <w:spacing w:after="0" w:line="240" w:lineRule="auto"/>
                        <w:rPr>
                          <w:b/>
                          <w:sz w:val="28"/>
                          <w:szCs w:val="28"/>
                        </w:rPr>
                      </w:pPr>
                      <w:r w:rsidRPr="00FF4E82">
                        <w:rPr>
                          <w:b/>
                          <w:sz w:val="28"/>
                          <w:szCs w:val="28"/>
                        </w:rPr>
                        <w:t>217</w:t>
                      </w:r>
                    </w:p>
                  </w:txbxContent>
                </v:textbox>
              </v:shape>
            </w:pict>
          </mc:Fallback>
        </mc:AlternateContent>
      </w:r>
      <w:r w:rsidR="000B28EC" w:rsidRPr="0036089D">
        <w:rPr>
          <w:rFonts w:cs="Arial"/>
          <w:noProof/>
          <w:sz w:val="20"/>
          <w:szCs w:val="20"/>
          <w:lang w:eastAsia="en-AU"/>
        </w:rPr>
        <w:drawing>
          <wp:inline distT="0" distB="0" distL="0" distR="0" wp14:anchorId="209222FF" wp14:editId="215558DF">
            <wp:extent cx="3867150" cy="2457450"/>
            <wp:effectExtent l="0" t="0" r="0" b="0"/>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B28EC" w:rsidRPr="0036089D" w:rsidRDefault="007325B9" w:rsidP="000B28EC">
      <w:pPr>
        <w:pStyle w:val="Caption"/>
        <w:rPr>
          <w:rFonts w:cs="Arial"/>
          <w:b w:val="0"/>
          <w:i/>
          <w:szCs w:val="20"/>
        </w:rPr>
      </w:pPr>
      <w:r w:rsidRPr="0036089D">
        <w:rPr>
          <w:b w:val="0"/>
        </w:rPr>
        <w:t>Table 3</w:t>
      </w:r>
      <w:r w:rsidR="000B28EC" w:rsidRPr="0036089D">
        <w:rPr>
          <w:b w:val="0"/>
        </w:rPr>
        <w:t xml:space="preserve">: </w:t>
      </w:r>
      <w:r w:rsidR="000B28EC" w:rsidRPr="0036089D">
        <w:rPr>
          <w:b w:val="0"/>
          <w:i/>
        </w:rPr>
        <w:t>Number of collection services provided in 2014</w:t>
      </w:r>
      <w:r w:rsidR="000B28EC" w:rsidRPr="0036089D">
        <w:rPr>
          <w:b w:val="0"/>
          <w:i/>
        </w:rPr>
        <w:noBreakHyphen/>
        <w:t xml:space="preserve">15, by geographic region </w:t>
      </w:r>
      <w:r w:rsidR="000B28EC" w:rsidRPr="0036089D">
        <w:rPr>
          <w:b w:val="0"/>
          <w:lang w:eastAsia="en-AU"/>
        </w:rPr>
        <w:t>(Reverse E-waste collection data not available)</w:t>
      </w:r>
    </w:p>
    <w:tbl>
      <w:tblPr>
        <w:tblStyle w:val="LightShading-Accent11"/>
        <w:tblW w:w="9699" w:type="dxa"/>
        <w:tblLook w:val="04A0" w:firstRow="1" w:lastRow="0" w:firstColumn="1" w:lastColumn="0" w:noHBand="0" w:noVBand="1"/>
      </w:tblPr>
      <w:tblGrid>
        <w:gridCol w:w="2567"/>
        <w:gridCol w:w="1780"/>
        <w:gridCol w:w="1416"/>
        <w:gridCol w:w="1560"/>
        <w:gridCol w:w="950"/>
        <w:gridCol w:w="1333"/>
        <w:gridCol w:w="93"/>
      </w:tblGrid>
      <w:tr w:rsidR="000B28EC" w:rsidRPr="0036089D" w:rsidTr="000B28EC">
        <w:trPr>
          <w:gridAfter w:val="1"/>
          <w:cnfStyle w:val="100000000000" w:firstRow="1" w:lastRow="0" w:firstColumn="0" w:lastColumn="0" w:oddVBand="0" w:evenVBand="0" w:oddHBand="0" w:evenHBand="0" w:firstRowFirstColumn="0" w:firstRowLastColumn="0" w:lastRowFirstColumn="0" w:lastRowLastColumn="0"/>
          <w:wAfter w:w="93" w:type="dxa"/>
          <w:trHeight w:val="255"/>
        </w:trPr>
        <w:tc>
          <w:tcPr>
            <w:cnfStyle w:val="001000000000" w:firstRow="0" w:lastRow="0" w:firstColumn="1" w:lastColumn="0" w:oddVBand="0" w:evenVBand="0" w:oddHBand="0" w:evenHBand="0" w:firstRowFirstColumn="0" w:firstRowLastColumn="0" w:lastRowFirstColumn="0" w:lastRowLastColumn="0"/>
            <w:tcW w:w="2567" w:type="dxa"/>
            <w:noWrap/>
            <w:hideMark/>
          </w:tcPr>
          <w:p w:rsidR="000B28EC" w:rsidRPr="0036089D" w:rsidRDefault="000B28EC" w:rsidP="000B28EC">
            <w:pPr>
              <w:spacing w:after="0" w:line="240" w:lineRule="auto"/>
              <w:rPr>
                <w:rFonts w:eastAsia="Times New Roman" w:cs="Arial"/>
                <w:b w:val="0"/>
                <w:color w:val="auto"/>
                <w:lang w:eastAsia="en-AU"/>
              </w:rPr>
            </w:pPr>
            <w:r w:rsidRPr="0036089D">
              <w:rPr>
                <w:rFonts w:eastAsia="Times New Roman" w:cs="Arial"/>
                <w:b w:val="0"/>
                <w:color w:val="auto"/>
                <w:lang w:eastAsia="en-AU"/>
              </w:rPr>
              <w:t>Co-regulatory arrangement</w:t>
            </w:r>
          </w:p>
        </w:tc>
        <w:tc>
          <w:tcPr>
            <w:tcW w:w="1780" w:type="dxa"/>
            <w:noWrap/>
            <w:hideMark/>
          </w:tcPr>
          <w:p w:rsidR="000B28EC" w:rsidRPr="0036089D" w:rsidRDefault="000B28EC" w:rsidP="000B28E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en-AU"/>
              </w:rPr>
            </w:pPr>
            <w:r w:rsidRPr="0036089D">
              <w:rPr>
                <w:rFonts w:eastAsia="Times New Roman" w:cs="Arial"/>
                <w:b w:val="0"/>
                <w:color w:val="auto"/>
                <w:lang w:eastAsia="en-AU"/>
              </w:rPr>
              <w:t>Inner Regional</w:t>
            </w:r>
          </w:p>
        </w:tc>
        <w:tc>
          <w:tcPr>
            <w:tcW w:w="1416" w:type="dxa"/>
            <w:noWrap/>
            <w:hideMark/>
          </w:tcPr>
          <w:p w:rsidR="000B28EC" w:rsidRPr="0036089D" w:rsidRDefault="000B28EC" w:rsidP="000B28E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en-AU"/>
              </w:rPr>
            </w:pPr>
            <w:r w:rsidRPr="0036089D">
              <w:rPr>
                <w:rFonts w:eastAsia="Times New Roman" w:cs="Arial"/>
                <w:b w:val="0"/>
                <w:color w:val="auto"/>
                <w:lang w:eastAsia="en-AU"/>
              </w:rPr>
              <w:t>Metropolitan</w:t>
            </w:r>
          </w:p>
        </w:tc>
        <w:tc>
          <w:tcPr>
            <w:tcW w:w="1560" w:type="dxa"/>
            <w:noWrap/>
            <w:hideMark/>
          </w:tcPr>
          <w:p w:rsidR="000B28EC" w:rsidRPr="0036089D" w:rsidRDefault="000B28EC" w:rsidP="000B28E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en-AU"/>
              </w:rPr>
            </w:pPr>
            <w:r w:rsidRPr="0036089D">
              <w:rPr>
                <w:rFonts w:eastAsia="Times New Roman" w:cs="Arial"/>
                <w:b w:val="0"/>
                <w:color w:val="auto"/>
                <w:lang w:eastAsia="en-AU"/>
              </w:rPr>
              <w:t>Outer Regional</w:t>
            </w:r>
          </w:p>
        </w:tc>
        <w:tc>
          <w:tcPr>
            <w:tcW w:w="950" w:type="dxa"/>
            <w:noWrap/>
            <w:hideMark/>
          </w:tcPr>
          <w:p w:rsidR="000B28EC" w:rsidRPr="0036089D" w:rsidRDefault="000B28EC" w:rsidP="000B28E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en-AU"/>
              </w:rPr>
            </w:pPr>
            <w:r w:rsidRPr="0036089D">
              <w:rPr>
                <w:rFonts w:eastAsia="Times New Roman" w:cs="Arial"/>
                <w:b w:val="0"/>
                <w:color w:val="auto"/>
                <w:lang w:eastAsia="en-AU"/>
              </w:rPr>
              <w:t>Remote</w:t>
            </w:r>
          </w:p>
        </w:tc>
        <w:tc>
          <w:tcPr>
            <w:tcW w:w="1333" w:type="dxa"/>
            <w:noWrap/>
            <w:hideMark/>
          </w:tcPr>
          <w:p w:rsidR="000B28EC" w:rsidRPr="0036089D" w:rsidRDefault="000B28EC" w:rsidP="000B28E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en-AU"/>
              </w:rPr>
            </w:pPr>
            <w:r w:rsidRPr="0036089D">
              <w:rPr>
                <w:rFonts w:eastAsia="Times New Roman" w:cs="Arial"/>
                <w:b w:val="0"/>
                <w:color w:val="auto"/>
                <w:lang w:eastAsia="en-AU"/>
              </w:rPr>
              <w:t>Grand Total</w:t>
            </w:r>
          </w:p>
        </w:tc>
      </w:tr>
      <w:tr w:rsidR="000B28EC" w:rsidRPr="0036089D" w:rsidTr="000B28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67" w:type="dxa"/>
            <w:noWrap/>
            <w:hideMark/>
          </w:tcPr>
          <w:p w:rsidR="000B28EC" w:rsidRPr="0036089D" w:rsidRDefault="000B28EC" w:rsidP="000B28EC">
            <w:pPr>
              <w:spacing w:after="0" w:line="240" w:lineRule="auto"/>
              <w:rPr>
                <w:rFonts w:eastAsia="Times New Roman" w:cs="Arial"/>
                <w:b w:val="0"/>
                <w:color w:val="auto"/>
                <w:lang w:eastAsia="en-AU"/>
              </w:rPr>
            </w:pPr>
            <w:r w:rsidRPr="0036089D">
              <w:rPr>
                <w:rFonts w:eastAsia="Times New Roman" w:cs="Arial"/>
                <w:b w:val="0"/>
                <w:color w:val="auto"/>
                <w:lang w:eastAsia="en-AU"/>
              </w:rPr>
              <w:t>ANZRP</w:t>
            </w:r>
          </w:p>
        </w:tc>
        <w:tc>
          <w:tcPr>
            <w:tcW w:w="1780"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59</w:t>
            </w:r>
          </w:p>
        </w:tc>
        <w:tc>
          <w:tcPr>
            <w:tcW w:w="1416"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117</w:t>
            </w:r>
          </w:p>
        </w:tc>
        <w:tc>
          <w:tcPr>
            <w:tcW w:w="1560"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45</w:t>
            </w:r>
          </w:p>
        </w:tc>
        <w:tc>
          <w:tcPr>
            <w:tcW w:w="950"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47</w:t>
            </w:r>
          </w:p>
        </w:tc>
        <w:tc>
          <w:tcPr>
            <w:tcW w:w="1426" w:type="dxa"/>
            <w:gridSpan w:val="2"/>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268</w:t>
            </w:r>
          </w:p>
        </w:tc>
      </w:tr>
      <w:tr w:rsidR="000B28EC" w:rsidRPr="0036089D" w:rsidTr="000B28EC">
        <w:trPr>
          <w:trHeight w:val="255"/>
        </w:trPr>
        <w:tc>
          <w:tcPr>
            <w:cnfStyle w:val="001000000000" w:firstRow="0" w:lastRow="0" w:firstColumn="1" w:lastColumn="0" w:oddVBand="0" w:evenVBand="0" w:oddHBand="0" w:evenHBand="0" w:firstRowFirstColumn="0" w:firstRowLastColumn="0" w:lastRowFirstColumn="0" w:lastRowLastColumn="0"/>
            <w:tcW w:w="2567" w:type="dxa"/>
            <w:noWrap/>
            <w:hideMark/>
          </w:tcPr>
          <w:p w:rsidR="000B28EC" w:rsidRPr="0036089D" w:rsidRDefault="000B28EC" w:rsidP="000B28EC">
            <w:pPr>
              <w:spacing w:after="0" w:line="240" w:lineRule="auto"/>
              <w:rPr>
                <w:rFonts w:eastAsia="Times New Roman" w:cs="Arial"/>
                <w:b w:val="0"/>
                <w:color w:val="auto"/>
                <w:lang w:eastAsia="en-AU"/>
              </w:rPr>
            </w:pPr>
            <w:r w:rsidRPr="0036089D">
              <w:rPr>
                <w:rFonts w:eastAsia="Times New Roman" w:cs="Arial"/>
                <w:b w:val="0"/>
                <w:color w:val="auto"/>
                <w:lang w:eastAsia="en-AU"/>
              </w:rPr>
              <w:t>DHL</w:t>
            </w:r>
          </w:p>
        </w:tc>
        <w:tc>
          <w:tcPr>
            <w:tcW w:w="1780" w:type="dxa"/>
            <w:noWrap/>
            <w:hideMark/>
          </w:tcPr>
          <w:p w:rsidR="000B28EC" w:rsidRPr="0036089D" w:rsidRDefault="000B28EC" w:rsidP="000B28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163</w:t>
            </w:r>
          </w:p>
        </w:tc>
        <w:tc>
          <w:tcPr>
            <w:tcW w:w="1416" w:type="dxa"/>
            <w:noWrap/>
            <w:hideMark/>
          </w:tcPr>
          <w:p w:rsidR="000B28EC" w:rsidRPr="0036089D" w:rsidRDefault="000B28EC" w:rsidP="000B28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241</w:t>
            </w:r>
          </w:p>
        </w:tc>
        <w:tc>
          <w:tcPr>
            <w:tcW w:w="1560" w:type="dxa"/>
            <w:noWrap/>
            <w:hideMark/>
          </w:tcPr>
          <w:p w:rsidR="000B28EC" w:rsidRPr="0036089D" w:rsidRDefault="000B28EC" w:rsidP="000B28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65</w:t>
            </w:r>
          </w:p>
        </w:tc>
        <w:tc>
          <w:tcPr>
            <w:tcW w:w="950" w:type="dxa"/>
            <w:noWrap/>
            <w:hideMark/>
          </w:tcPr>
          <w:p w:rsidR="000B28EC" w:rsidRPr="0036089D" w:rsidRDefault="000B28EC" w:rsidP="000B28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21</w:t>
            </w:r>
          </w:p>
        </w:tc>
        <w:tc>
          <w:tcPr>
            <w:tcW w:w="1426" w:type="dxa"/>
            <w:gridSpan w:val="2"/>
            <w:noWrap/>
            <w:hideMark/>
          </w:tcPr>
          <w:p w:rsidR="000B28EC" w:rsidRPr="0036089D" w:rsidRDefault="000B28EC" w:rsidP="000B28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490</w:t>
            </w:r>
          </w:p>
        </w:tc>
      </w:tr>
      <w:tr w:rsidR="000B28EC" w:rsidRPr="0036089D" w:rsidTr="000B28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67" w:type="dxa"/>
            <w:noWrap/>
            <w:hideMark/>
          </w:tcPr>
          <w:p w:rsidR="000B28EC" w:rsidRPr="0036089D" w:rsidRDefault="000B28EC" w:rsidP="000B28EC">
            <w:pPr>
              <w:spacing w:after="0" w:line="240" w:lineRule="auto"/>
              <w:rPr>
                <w:rFonts w:eastAsia="Times New Roman" w:cs="Arial"/>
                <w:b w:val="0"/>
                <w:color w:val="auto"/>
                <w:lang w:eastAsia="en-AU"/>
              </w:rPr>
            </w:pPr>
            <w:proofErr w:type="spellStart"/>
            <w:r w:rsidRPr="0036089D">
              <w:rPr>
                <w:rFonts w:eastAsia="Times New Roman" w:cs="Arial"/>
                <w:b w:val="0"/>
                <w:color w:val="auto"/>
                <w:lang w:eastAsia="en-AU"/>
              </w:rPr>
              <w:t>Ecycle</w:t>
            </w:r>
            <w:proofErr w:type="spellEnd"/>
          </w:p>
        </w:tc>
        <w:tc>
          <w:tcPr>
            <w:tcW w:w="1780"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118</w:t>
            </w:r>
          </w:p>
        </w:tc>
        <w:tc>
          <w:tcPr>
            <w:tcW w:w="1416"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290</w:t>
            </w:r>
          </w:p>
        </w:tc>
        <w:tc>
          <w:tcPr>
            <w:tcW w:w="1560"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74</w:t>
            </w:r>
          </w:p>
        </w:tc>
        <w:tc>
          <w:tcPr>
            <w:tcW w:w="950"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58</w:t>
            </w:r>
          </w:p>
        </w:tc>
        <w:tc>
          <w:tcPr>
            <w:tcW w:w="1426" w:type="dxa"/>
            <w:gridSpan w:val="2"/>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540</w:t>
            </w:r>
          </w:p>
        </w:tc>
      </w:tr>
      <w:tr w:rsidR="000B28EC" w:rsidRPr="0036089D" w:rsidTr="000B28EC">
        <w:trPr>
          <w:trHeight w:val="255"/>
        </w:trPr>
        <w:tc>
          <w:tcPr>
            <w:cnfStyle w:val="001000000000" w:firstRow="0" w:lastRow="0" w:firstColumn="1" w:lastColumn="0" w:oddVBand="0" w:evenVBand="0" w:oddHBand="0" w:evenHBand="0" w:firstRowFirstColumn="0" w:firstRowLastColumn="0" w:lastRowFirstColumn="0" w:lastRowLastColumn="0"/>
            <w:tcW w:w="2567" w:type="dxa"/>
            <w:noWrap/>
            <w:hideMark/>
          </w:tcPr>
          <w:p w:rsidR="000B28EC" w:rsidRPr="0036089D" w:rsidRDefault="000B28EC" w:rsidP="000B28EC">
            <w:pPr>
              <w:spacing w:after="0" w:line="240" w:lineRule="auto"/>
              <w:rPr>
                <w:rFonts w:eastAsia="Times New Roman" w:cs="Arial"/>
                <w:b w:val="0"/>
                <w:color w:val="auto"/>
                <w:lang w:eastAsia="en-AU"/>
              </w:rPr>
            </w:pPr>
            <w:r w:rsidRPr="0036089D">
              <w:rPr>
                <w:rFonts w:eastAsia="Times New Roman" w:cs="Arial"/>
                <w:b w:val="0"/>
                <w:color w:val="auto"/>
                <w:lang w:eastAsia="en-AU"/>
              </w:rPr>
              <w:t>EPSA</w:t>
            </w:r>
          </w:p>
        </w:tc>
        <w:tc>
          <w:tcPr>
            <w:tcW w:w="1780" w:type="dxa"/>
            <w:noWrap/>
            <w:hideMark/>
          </w:tcPr>
          <w:p w:rsidR="000B28EC" w:rsidRPr="0036089D" w:rsidRDefault="000B28EC" w:rsidP="000B28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91</w:t>
            </w:r>
          </w:p>
        </w:tc>
        <w:tc>
          <w:tcPr>
            <w:tcW w:w="1416" w:type="dxa"/>
            <w:noWrap/>
            <w:hideMark/>
          </w:tcPr>
          <w:p w:rsidR="000B28EC" w:rsidRPr="0036089D" w:rsidRDefault="000B28EC" w:rsidP="000B28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197</w:t>
            </w:r>
          </w:p>
        </w:tc>
        <w:tc>
          <w:tcPr>
            <w:tcW w:w="1560" w:type="dxa"/>
            <w:noWrap/>
            <w:hideMark/>
          </w:tcPr>
          <w:p w:rsidR="000B28EC" w:rsidRPr="0036089D" w:rsidRDefault="000B28EC" w:rsidP="000B28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56</w:t>
            </w:r>
          </w:p>
        </w:tc>
        <w:tc>
          <w:tcPr>
            <w:tcW w:w="950" w:type="dxa"/>
            <w:noWrap/>
            <w:hideMark/>
          </w:tcPr>
          <w:p w:rsidR="000B28EC" w:rsidRPr="0036089D" w:rsidRDefault="000B28EC" w:rsidP="000B28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35</w:t>
            </w:r>
          </w:p>
        </w:tc>
        <w:tc>
          <w:tcPr>
            <w:tcW w:w="1426" w:type="dxa"/>
            <w:gridSpan w:val="2"/>
            <w:noWrap/>
            <w:hideMark/>
          </w:tcPr>
          <w:p w:rsidR="000B28EC" w:rsidRPr="0036089D" w:rsidRDefault="000B28EC" w:rsidP="000B28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Times New Roman" w:cs="Arial"/>
                <w:color w:val="auto"/>
                <w:lang w:eastAsia="en-AU"/>
              </w:rPr>
              <w:t>379</w:t>
            </w:r>
          </w:p>
        </w:tc>
      </w:tr>
      <w:tr w:rsidR="000B28EC" w:rsidRPr="0036089D" w:rsidTr="000B28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67" w:type="dxa"/>
            <w:noWrap/>
            <w:hideMark/>
          </w:tcPr>
          <w:p w:rsidR="000B28EC" w:rsidRPr="0036089D" w:rsidRDefault="000B28EC" w:rsidP="000B28EC">
            <w:pPr>
              <w:spacing w:after="0" w:line="240" w:lineRule="auto"/>
              <w:rPr>
                <w:rFonts w:eastAsia="Times New Roman" w:cs="Arial"/>
                <w:color w:val="auto"/>
                <w:lang w:eastAsia="en-AU"/>
              </w:rPr>
            </w:pPr>
            <w:r w:rsidRPr="0036089D">
              <w:rPr>
                <w:rFonts w:eastAsia="Times New Roman" w:cs="Arial"/>
                <w:color w:val="auto"/>
                <w:lang w:eastAsia="en-AU"/>
              </w:rPr>
              <w:t>Grand Total</w:t>
            </w:r>
          </w:p>
        </w:tc>
        <w:tc>
          <w:tcPr>
            <w:tcW w:w="1780"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lang w:eastAsia="en-AU"/>
              </w:rPr>
            </w:pPr>
            <w:r w:rsidRPr="0036089D">
              <w:rPr>
                <w:rFonts w:eastAsia="Times New Roman" w:cs="Arial"/>
                <w:b/>
                <w:bCs/>
                <w:color w:val="auto"/>
                <w:lang w:eastAsia="en-AU"/>
              </w:rPr>
              <w:t>431</w:t>
            </w:r>
          </w:p>
        </w:tc>
        <w:tc>
          <w:tcPr>
            <w:tcW w:w="1416"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lang w:eastAsia="en-AU"/>
              </w:rPr>
            </w:pPr>
            <w:r w:rsidRPr="0036089D">
              <w:rPr>
                <w:rFonts w:eastAsia="Times New Roman" w:cs="Arial"/>
                <w:b/>
                <w:bCs/>
                <w:color w:val="auto"/>
                <w:lang w:eastAsia="en-AU"/>
              </w:rPr>
              <w:t>845</w:t>
            </w:r>
          </w:p>
        </w:tc>
        <w:tc>
          <w:tcPr>
            <w:tcW w:w="1560"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lang w:eastAsia="en-AU"/>
              </w:rPr>
            </w:pPr>
            <w:r w:rsidRPr="0036089D">
              <w:rPr>
                <w:rFonts w:eastAsia="Times New Roman" w:cs="Arial"/>
                <w:b/>
                <w:bCs/>
                <w:color w:val="auto"/>
                <w:lang w:eastAsia="en-AU"/>
              </w:rPr>
              <w:t>240</w:t>
            </w:r>
          </w:p>
        </w:tc>
        <w:tc>
          <w:tcPr>
            <w:tcW w:w="950" w:type="dxa"/>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lang w:eastAsia="en-AU"/>
              </w:rPr>
            </w:pPr>
            <w:r w:rsidRPr="0036089D">
              <w:rPr>
                <w:rFonts w:eastAsia="Times New Roman" w:cs="Arial"/>
                <w:b/>
                <w:bCs/>
                <w:color w:val="auto"/>
                <w:lang w:eastAsia="en-AU"/>
              </w:rPr>
              <w:t>161</w:t>
            </w:r>
          </w:p>
        </w:tc>
        <w:tc>
          <w:tcPr>
            <w:tcW w:w="1426" w:type="dxa"/>
            <w:gridSpan w:val="2"/>
            <w:noWrap/>
            <w:hideMark/>
          </w:tcPr>
          <w:p w:rsidR="000B28EC" w:rsidRPr="0036089D" w:rsidRDefault="000B28EC" w:rsidP="000B28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lang w:eastAsia="en-AU"/>
              </w:rPr>
            </w:pPr>
            <w:r w:rsidRPr="0036089D">
              <w:rPr>
                <w:rFonts w:eastAsia="Times New Roman" w:cs="Arial"/>
                <w:b/>
                <w:bCs/>
                <w:color w:val="auto"/>
                <w:lang w:eastAsia="en-AU"/>
              </w:rPr>
              <w:t>1677</w:t>
            </w:r>
          </w:p>
        </w:tc>
      </w:tr>
    </w:tbl>
    <w:p w:rsidR="000B28EC" w:rsidRPr="0036089D" w:rsidRDefault="000B28EC" w:rsidP="001D2679">
      <w:pPr>
        <w:rPr>
          <w:rFonts w:ascii="Calibri" w:hAnsi="Calibri" w:cs="Arial"/>
          <w:lang w:eastAsia="en-AU"/>
        </w:rPr>
      </w:pPr>
    </w:p>
    <w:p w:rsidR="00B97029" w:rsidRPr="0036089D" w:rsidRDefault="001D2679" w:rsidP="001D2679">
      <w:pPr>
        <w:spacing w:after="0"/>
        <w:rPr>
          <w:rFonts w:ascii="Calibri" w:hAnsi="Calibri" w:cs="Arial"/>
          <w:lang w:eastAsia="en-AU"/>
        </w:rPr>
      </w:pPr>
      <w:r w:rsidRPr="0036089D">
        <w:rPr>
          <w:rFonts w:ascii="Calibri" w:hAnsi="Calibri" w:cs="Arial"/>
          <w:lang w:eastAsia="en-AU"/>
        </w:rPr>
        <w:t xml:space="preserve">In addition to the e-waste collected </w:t>
      </w:r>
      <w:r w:rsidR="004B2255" w:rsidRPr="0036089D">
        <w:rPr>
          <w:rFonts w:ascii="Calibri" w:hAnsi="Calibri" w:cs="Arial"/>
          <w:lang w:eastAsia="en-AU"/>
        </w:rPr>
        <w:t xml:space="preserve">by service providers contracted to co-regulatory arrangements, total scheme recycling </w:t>
      </w:r>
      <w:r w:rsidRPr="0036089D">
        <w:rPr>
          <w:rFonts w:ascii="Calibri" w:hAnsi="Calibri" w:cs="Arial"/>
          <w:lang w:eastAsia="en-AU"/>
        </w:rPr>
        <w:t xml:space="preserve">also includes recycling which is undertaken independently by </w:t>
      </w:r>
      <w:r w:rsidR="004B2255" w:rsidRPr="0036089D">
        <w:rPr>
          <w:rFonts w:ascii="Calibri" w:hAnsi="Calibri" w:cs="Arial"/>
          <w:lang w:eastAsia="en-AU"/>
        </w:rPr>
        <w:t xml:space="preserve">liable party </w:t>
      </w:r>
      <w:r w:rsidRPr="0036089D">
        <w:rPr>
          <w:rFonts w:ascii="Calibri" w:hAnsi="Calibri" w:cs="Arial"/>
          <w:lang w:eastAsia="en-AU"/>
        </w:rPr>
        <w:t>members of the co</w:t>
      </w:r>
      <w:r w:rsidR="00E44B27" w:rsidRPr="0036089D">
        <w:rPr>
          <w:rFonts w:ascii="Calibri" w:hAnsi="Calibri" w:cs="Arial"/>
          <w:lang w:eastAsia="en-AU"/>
        </w:rPr>
        <w:noBreakHyphen/>
      </w:r>
      <w:r w:rsidR="004B2255" w:rsidRPr="0036089D">
        <w:rPr>
          <w:rFonts w:ascii="Calibri" w:hAnsi="Calibri" w:cs="Arial"/>
          <w:lang w:eastAsia="en-AU"/>
        </w:rPr>
        <w:t>regulatory arrangement</w:t>
      </w:r>
      <w:r w:rsidRPr="0036089D">
        <w:rPr>
          <w:rFonts w:ascii="Calibri" w:hAnsi="Calibri" w:cs="Arial"/>
          <w:lang w:eastAsia="en-AU"/>
        </w:rPr>
        <w:t xml:space="preserve"> (i.e. television and computer </w:t>
      </w:r>
      <w:r w:rsidR="004B2255" w:rsidRPr="0036089D">
        <w:rPr>
          <w:rFonts w:ascii="Calibri" w:hAnsi="Calibri" w:cs="Arial"/>
          <w:lang w:eastAsia="en-AU"/>
        </w:rPr>
        <w:t>importers</w:t>
      </w:r>
      <w:r w:rsidRPr="0036089D">
        <w:rPr>
          <w:rFonts w:ascii="Calibri" w:hAnsi="Calibri" w:cs="Arial"/>
          <w:lang w:eastAsia="en-AU"/>
        </w:rPr>
        <w:t xml:space="preserve">), or e-waste which is sourced directly from businesses. This </w:t>
      </w:r>
      <w:r w:rsidR="004B2255" w:rsidRPr="0036089D">
        <w:rPr>
          <w:rFonts w:ascii="Calibri" w:hAnsi="Calibri" w:cs="Arial"/>
          <w:lang w:eastAsia="en-AU"/>
        </w:rPr>
        <w:t>material</w:t>
      </w:r>
      <w:r w:rsidRPr="0036089D">
        <w:rPr>
          <w:rFonts w:ascii="Calibri" w:hAnsi="Calibri" w:cs="Arial"/>
          <w:lang w:eastAsia="en-AU"/>
        </w:rPr>
        <w:t xml:space="preserve"> is </w:t>
      </w:r>
      <w:r w:rsidR="004B2255" w:rsidRPr="0036089D">
        <w:rPr>
          <w:rFonts w:ascii="Calibri" w:hAnsi="Calibri" w:cs="Arial"/>
          <w:lang w:eastAsia="en-AU"/>
        </w:rPr>
        <w:t>able to be</w:t>
      </w:r>
      <w:r w:rsidRPr="0036089D">
        <w:rPr>
          <w:rFonts w:ascii="Calibri" w:hAnsi="Calibri" w:cs="Arial"/>
          <w:lang w:eastAsia="en-AU"/>
        </w:rPr>
        <w:t xml:space="preserve"> counted against scheme targets</w:t>
      </w:r>
      <w:r w:rsidR="004B2255" w:rsidRPr="0036089D">
        <w:rPr>
          <w:rFonts w:ascii="Calibri" w:hAnsi="Calibri" w:cs="Arial"/>
          <w:lang w:eastAsia="en-AU"/>
        </w:rPr>
        <w:t>, once it is recycled by the co-regulatory arrangement</w:t>
      </w:r>
      <w:r w:rsidRPr="0036089D">
        <w:rPr>
          <w:rFonts w:ascii="Calibri" w:hAnsi="Calibri" w:cs="Arial"/>
          <w:lang w:eastAsia="en-AU"/>
        </w:rPr>
        <w:t xml:space="preserve">. The weight of material collected through </w:t>
      </w:r>
      <w:r w:rsidR="004B2255" w:rsidRPr="0036089D">
        <w:rPr>
          <w:rFonts w:ascii="Calibri" w:hAnsi="Calibri" w:cs="Arial"/>
          <w:lang w:eastAsia="en-AU"/>
        </w:rPr>
        <w:t xml:space="preserve">these different sources is </w:t>
      </w:r>
      <w:r w:rsidR="00B97029" w:rsidRPr="0036089D">
        <w:rPr>
          <w:rFonts w:ascii="Calibri" w:hAnsi="Calibri" w:cs="Arial"/>
          <w:lang w:eastAsia="en-AU"/>
        </w:rPr>
        <w:t>shown in</w:t>
      </w:r>
      <w:r w:rsidR="004B2255" w:rsidRPr="0036089D">
        <w:rPr>
          <w:rFonts w:ascii="Calibri" w:hAnsi="Calibri" w:cs="Arial"/>
          <w:lang w:eastAsia="en-AU"/>
        </w:rPr>
        <w:t xml:space="preserve"> Table 3</w:t>
      </w:r>
      <w:r w:rsidRPr="0036089D">
        <w:rPr>
          <w:rFonts w:ascii="Calibri" w:hAnsi="Calibri" w:cs="Arial"/>
          <w:lang w:eastAsia="en-AU"/>
        </w:rPr>
        <w:t>.</w:t>
      </w:r>
    </w:p>
    <w:p w:rsidR="00B97029" w:rsidRPr="0036089D" w:rsidRDefault="00B97029">
      <w:pPr>
        <w:spacing w:after="0" w:line="240" w:lineRule="auto"/>
        <w:rPr>
          <w:rFonts w:ascii="Calibri" w:hAnsi="Calibri" w:cs="Arial"/>
          <w:lang w:eastAsia="en-AU"/>
        </w:rPr>
      </w:pPr>
      <w:r w:rsidRPr="0036089D">
        <w:rPr>
          <w:rFonts w:ascii="Calibri" w:hAnsi="Calibri" w:cs="Arial"/>
          <w:lang w:eastAsia="en-AU"/>
        </w:rPr>
        <w:br w:type="page"/>
      </w:r>
    </w:p>
    <w:p w:rsidR="001D2679" w:rsidRPr="0036089D" w:rsidRDefault="00762693" w:rsidP="001D2679">
      <w:pPr>
        <w:pStyle w:val="Caption"/>
      </w:pPr>
      <w:r w:rsidRPr="0036089D">
        <w:rPr>
          <w:b w:val="0"/>
          <w:lang w:eastAsia="en-AU"/>
        </w:rPr>
        <w:t>Table 4</w:t>
      </w:r>
      <w:r w:rsidR="001D2679" w:rsidRPr="0036089D">
        <w:rPr>
          <w:b w:val="0"/>
          <w:lang w:eastAsia="en-AU"/>
        </w:rPr>
        <w:t>:</w:t>
      </w:r>
      <w:r w:rsidR="001D2679" w:rsidRPr="0036089D">
        <w:rPr>
          <w:b w:val="0"/>
          <w:i/>
          <w:lang w:eastAsia="en-AU"/>
        </w:rPr>
        <w:t xml:space="preserve"> Weight of material collected from 1 July 201</w:t>
      </w:r>
      <w:r w:rsidR="00E72D20" w:rsidRPr="0036089D">
        <w:rPr>
          <w:b w:val="0"/>
          <w:i/>
          <w:lang w:eastAsia="en-AU"/>
        </w:rPr>
        <w:t>4</w:t>
      </w:r>
      <w:r w:rsidR="001D2679" w:rsidRPr="0036089D">
        <w:rPr>
          <w:b w:val="0"/>
          <w:i/>
          <w:lang w:eastAsia="en-AU"/>
        </w:rPr>
        <w:t xml:space="preserve"> to end June 201</w:t>
      </w:r>
      <w:r w:rsidR="00E72D20" w:rsidRPr="0036089D">
        <w:rPr>
          <w:b w:val="0"/>
          <w:i/>
          <w:lang w:eastAsia="en-AU"/>
        </w:rPr>
        <w:t>5</w:t>
      </w:r>
      <w:r w:rsidR="007432D1" w:rsidRPr="0036089D">
        <w:rPr>
          <w:b w:val="0"/>
          <w:i/>
          <w:lang w:eastAsia="en-AU"/>
        </w:rPr>
        <w:t>, by type of collection (kg)</w:t>
      </w:r>
      <w:r w:rsidR="00804815" w:rsidRPr="0036089D">
        <w:rPr>
          <w:b w:val="0"/>
          <w:i/>
          <w:lang w:eastAsia="en-AU"/>
        </w:rPr>
        <w:t xml:space="preserve"> </w:t>
      </w:r>
      <w:bookmarkStart w:id="32" w:name="OLE_LINK1"/>
      <w:r w:rsidR="00804815" w:rsidRPr="0036089D">
        <w:rPr>
          <w:b w:val="0"/>
          <w:lang w:eastAsia="en-AU"/>
        </w:rPr>
        <w:t>(Reverse E-waste collection data not available)</w:t>
      </w:r>
      <w:bookmarkEnd w:id="32"/>
    </w:p>
    <w:tbl>
      <w:tblPr>
        <w:tblStyle w:val="LightShading-Accent11"/>
        <w:tblW w:w="0" w:type="auto"/>
        <w:tblLayout w:type="fixed"/>
        <w:tblLook w:val="04A0" w:firstRow="1" w:lastRow="0" w:firstColumn="1" w:lastColumn="0" w:noHBand="0" w:noVBand="1"/>
      </w:tblPr>
      <w:tblGrid>
        <w:gridCol w:w="1101"/>
        <w:gridCol w:w="2126"/>
        <w:gridCol w:w="2126"/>
        <w:gridCol w:w="1843"/>
        <w:gridCol w:w="1843"/>
      </w:tblGrid>
      <w:tr w:rsidR="007432D1" w:rsidRPr="0036089D" w:rsidTr="007432D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101" w:type="dxa"/>
          </w:tcPr>
          <w:p w:rsidR="007432D1" w:rsidRPr="0036089D" w:rsidRDefault="007432D1" w:rsidP="001D2679">
            <w:pPr>
              <w:spacing w:after="0" w:line="240" w:lineRule="auto"/>
              <w:rPr>
                <w:rFonts w:eastAsia="Times New Roman" w:cs="Arial"/>
                <w:b w:val="0"/>
                <w:bCs w:val="0"/>
                <w:color w:val="000000"/>
                <w:lang w:eastAsia="en-AU"/>
              </w:rPr>
            </w:pPr>
            <w:r w:rsidRPr="0036089D">
              <w:rPr>
                <w:rFonts w:eastAsia="Times New Roman" w:cs="Arial"/>
                <w:b w:val="0"/>
                <w:bCs w:val="0"/>
                <w:color w:val="000000"/>
                <w:lang w:eastAsia="en-AU"/>
              </w:rPr>
              <w:t>State/</w:t>
            </w:r>
          </w:p>
          <w:p w:rsidR="007432D1" w:rsidRPr="0036089D" w:rsidRDefault="007432D1" w:rsidP="001D2679">
            <w:pPr>
              <w:spacing w:after="0" w:line="240" w:lineRule="auto"/>
              <w:rPr>
                <w:rFonts w:cs="Arial"/>
                <w:lang w:eastAsia="en-AU"/>
              </w:rPr>
            </w:pPr>
            <w:r w:rsidRPr="0036089D">
              <w:rPr>
                <w:rFonts w:eastAsia="Times New Roman" w:cs="Arial"/>
                <w:b w:val="0"/>
                <w:bCs w:val="0"/>
                <w:color w:val="000000"/>
                <w:lang w:eastAsia="en-AU"/>
              </w:rPr>
              <w:t>Territory</w:t>
            </w:r>
          </w:p>
        </w:tc>
        <w:tc>
          <w:tcPr>
            <w:tcW w:w="2126" w:type="dxa"/>
          </w:tcPr>
          <w:p w:rsidR="007432D1" w:rsidRPr="0036089D" w:rsidRDefault="007432D1" w:rsidP="00276A1F">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lang w:eastAsia="en-AU"/>
              </w:rPr>
            </w:pPr>
            <w:r w:rsidRPr="0036089D">
              <w:rPr>
                <w:rFonts w:eastAsia="Times New Roman" w:cs="Arial"/>
                <w:b w:val="0"/>
                <w:bCs w:val="0"/>
                <w:color w:val="000000"/>
                <w:lang w:eastAsia="en-AU"/>
              </w:rPr>
              <w:t>Weight of material collected by CA service providers</w:t>
            </w:r>
          </w:p>
        </w:tc>
        <w:tc>
          <w:tcPr>
            <w:tcW w:w="2126" w:type="dxa"/>
          </w:tcPr>
          <w:p w:rsidR="007432D1" w:rsidRPr="0036089D" w:rsidRDefault="007432D1" w:rsidP="00276A1F">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lang w:eastAsia="en-AU"/>
              </w:rPr>
            </w:pPr>
            <w:r w:rsidRPr="0036089D">
              <w:rPr>
                <w:rFonts w:eastAsia="Times New Roman" w:cs="Arial"/>
                <w:b w:val="0"/>
                <w:bCs w:val="0"/>
                <w:color w:val="000000"/>
                <w:lang w:eastAsia="en-AU"/>
              </w:rPr>
              <w:t>Weight of material collected by liable party members</w:t>
            </w:r>
          </w:p>
        </w:tc>
        <w:tc>
          <w:tcPr>
            <w:tcW w:w="1843" w:type="dxa"/>
          </w:tcPr>
          <w:p w:rsidR="007432D1" w:rsidRPr="0036089D" w:rsidRDefault="007432D1" w:rsidP="00276A1F">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lang w:eastAsia="en-AU"/>
              </w:rPr>
            </w:pPr>
            <w:r w:rsidRPr="0036089D">
              <w:rPr>
                <w:rFonts w:eastAsia="Times New Roman" w:cs="Arial"/>
                <w:b w:val="0"/>
                <w:bCs w:val="0"/>
                <w:color w:val="000000"/>
                <w:lang w:eastAsia="en-AU"/>
              </w:rPr>
              <w:t>Weight of material collected from business</w:t>
            </w:r>
          </w:p>
        </w:tc>
        <w:tc>
          <w:tcPr>
            <w:tcW w:w="1843" w:type="dxa"/>
          </w:tcPr>
          <w:p w:rsidR="007432D1" w:rsidRPr="0036089D" w:rsidRDefault="00DC3EA6" w:rsidP="00276A1F">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lang w:eastAsia="en-AU"/>
              </w:rPr>
            </w:pPr>
            <w:r w:rsidRPr="0036089D">
              <w:rPr>
                <w:rFonts w:eastAsia="Times New Roman" w:cs="Arial"/>
                <w:b w:val="0"/>
                <w:bCs w:val="0"/>
                <w:color w:val="000000"/>
                <w:lang w:eastAsia="en-AU"/>
              </w:rPr>
              <w:t>Total weight from all sources</w:t>
            </w:r>
          </w:p>
        </w:tc>
      </w:tr>
      <w:tr w:rsidR="00DC3EA6" w:rsidRPr="0036089D" w:rsidTr="007432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Borders>
              <w:top w:val="single" w:sz="8" w:space="0" w:color="4F81BD" w:themeColor="accent1"/>
              <w:bottom w:val="nil"/>
              <w:right w:val="single" w:sz="8" w:space="0" w:color="4F81BD" w:themeColor="accent1"/>
            </w:tcBorders>
            <w:vAlign w:val="center"/>
          </w:tcPr>
          <w:p w:rsidR="00DC3EA6" w:rsidRPr="0036089D" w:rsidRDefault="00DC3EA6" w:rsidP="00276A1F">
            <w:pPr>
              <w:spacing w:after="120" w:line="240" w:lineRule="auto"/>
              <w:rPr>
                <w:rFonts w:eastAsia="Times New Roman" w:cs="Arial"/>
                <w:b w:val="0"/>
                <w:color w:val="auto"/>
                <w:lang w:eastAsia="en-AU"/>
              </w:rPr>
            </w:pPr>
            <w:r w:rsidRPr="0036089D">
              <w:rPr>
                <w:rFonts w:eastAsia="Times New Roman" w:cs="Arial"/>
                <w:b w:val="0"/>
                <w:color w:val="auto"/>
                <w:lang w:eastAsia="en-AU"/>
              </w:rPr>
              <w:t>ACT</w:t>
            </w:r>
          </w:p>
        </w:tc>
        <w:tc>
          <w:tcPr>
            <w:tcW w:w="2126" w:type="dxa"/>
            <w:tcBorders>
              <w:right w:val="single" w:sz="8" w:space="0" w:color="4F81BD" w:themeColor="accent1"/>
            </w:tcBorders>
            <w:vAlign w:val="center"/>
          </w:tcPr>
          <w:p w:rsidR="00DC3EA6" w:rsidRPr="0036089D" w:rsidRDefault="00DC3EA6" w:rsidP="00274FE6">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367,852.00</w:t>
            </w:r>
          </w:p>
        </w:tc>
        <w:tc>
          <w:tcPr>
            <w:tcW w:w="2126" w:type="dxa"/>
            <w:tcBorders>
              <w:top w:val="single" w:sz="8" w:space="0" w:color="4F81BD" w:themeColor="accent1"/>
              <w:left w:val="single" w:sz="8" w:space="0" w:color="4F81BD" w:themeColor="accent1"/>
              <w:bottom w:val="nil"/>
              <w:right w:val="single" w:sz="4" w:space="0" w:color="4F81BD" w:themeColor="accent1"/>
            </w:tcBorders>
          </w:tcPr>
          <w:p w:rsidR="00DC3EA6" w:rsidRPr="0036089D" w:rsidRDefault="00DC3EA6" w:rsidP="00274F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Calibri" w:cs="Times New Roman"/>
                <w:bCs/>
                <w:color w:val="auto"/>
              </w:rPr>
              <w:t>277,690.00</w:t>
            </w:r>
          </w:p>
        </w:tc>
        <w:tc>
          <w:tcPr>
            <w:tcW w:w="1843" w:type="dxa"/>
            <w:tcBorders>
              <w:left w:val="single" w:sz="4" w:space="0" w:color="4F81BD" w:themeColor="accent1"/>
            </w:tcBorders>
            <w:vAlign w:val="bottom"/>
          </w:tcPr>
          <w:p w:rsidR="00DC3EA6" w:rsidRPr="0036089D" w:rsidRDefault="00DC3EA6" w:rsidP="00274FE6">
            <w:pPr>
              <w:jc w:val="center"/>
              <w:cnfStyle w:val="000000100000" w:firstRow="0" w:lastRow="0" w:firstColumn="0" w:lastColumn="0" w:oddVBand="0" w:evenVBand="0" w:oddHBand="1" w:evenHBand="0" w:firstRowFirstColumn="0" w:firstRowLastColumn="0" w:lastRowFirstColumn="0" w:lastRowLastColumn="0"/>
              <w:rPr>
                <w:rFonts w:cs="Arial"/>
                <w:bCs/>
                <w:color w:val="auto"/>
              </w:rPr>
            </w:pPr>
            <w:r w:rsidRPr="0036089D">
              <w:rPr>
                <w:rFonts w:cs="Arial"/>
                <w:bCs/>
                <w:color w:val="auto"/>
              </w:rPr>
              <w:t>1,220.00</w:t>
            </w:r>
          </w:p>
        </w:tc>
        <w:tc>
          <w:tcPr>
            <w:tcW w:w="1843" w:type="dxa"/>
            <w:tcBorders>
              <w:left w:val="single" w:sz="4" w:space="0" w:color="4F81BD" w:themeColor="accent1"/>
            </w:tcBorders>
          </w:tcPr>
          <w:p w:rsidR="00DC3EA6" w:rsidRPr="0036089D" w:rsidRDefault="00DC3EA6">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color w:val="auto"/>
              </w:rPr>
            </w:pPr>
            <w:r w:rsidRPr="0036089D">
              <w:rPr>
                <w:rFonts w:ascii="Calibri" w:hAnsi="Calibri" w:cs="Arial"/>
                <w:b/>
                <w:bCs/>
                <w:color w:val="auto"/>
              </w:rPr>
              <w:t>646,762.00</w:t>
            </w:r>
          </w:p>
        </w:tc>
      </w:tr>
      <w:tr w:rsidR="00DC3EA6" w:rsidRPr="0036089D" w:rsidTr="007432D1">
        <w:trPr>
          <w:cantSplit/>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right w:val="single" w:sz="8" w:space="0" w:color="4F81BD" w:themeColor="accent1"/>
            </w:tcBorders>
            <w:vAlign w:val="center"/>
          </w:tcPr>
          <w:p w:rsidR="00DC3EA6" w:rsidRPr="0036089D" w:rsidRDefault="00DC3EA6" w:rsidP="00276A1F">
            <w:pPr>
              <w:spacing w:after="120" w:line="240" w:lineRule="auto"/>
              <w:rPr>
                <w:rFonts w:eastAsia="Times New Roman" w:cs="Arial"/>
                <w:b w:val="0"/>
                <w:color w:val="auto"/>
                <w:lang w:eastAsia="en-AU"/>
              </w:rPr>
            </w:pPr>
            <w:r w:rsidRPr="0036089D">
              <w:rPr>
                <w:rFonts w:eastAsia="Times New Roman" w:cs="Arial"/>
                <w:b w:val="0"/>
                <w:color w:val="auto"/>
                <w:lang w:eastAsia="en-AU"/>
              </w:rPr>
              <w:t>NSW</w:t>
            </w:r>
          </w:p>
        </w:tc>
        <w:tc>
          <w:tcPr>
            <w:tcW w:w="2126" w:type="dxa"/>
            <w:tcBorders>
              <w:right w:val="single" w:sz="8" w:space="0" w:color="4F81BD" w:themeColor="accent1"/>
            </w:tcBorders>
            <w:vAlign w:val="center"/>
          </w:tcPr>
          <w:p w:rsidR="00DC3EA6" w:rsidRPr="0036089D" w:rsidRDefault="00DC3EA6" w:rsidP="00274FE6">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8,960,533.20</w:t>
            </w:r>
          </w:p>
        </w:tc>
        <w:tc>
          <w:tcPr>
            <w:tcW w:w="2126" w:type="dxa"/>
            <w:tcBorders>
              <w:top w:val="nil"/>
              <w:left w:val="single" w:sz="8" w:space="0" w:color="4F81BD" w:themeColor="accent1"/>
              <w:bottom w:val="nil"/>
              <w:right w:val="single" w:sz="4" w:space="0" w:color="4F81BD" w:themeColor="accent1"/>
            </w:tcBorders>
          </w:tcPr>
          <w:p w:rsidR="00DC3EA6" w:rsidRPr="0036089D" w:rsidRDefault="00DC3EA6" w:rsidP="00274F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Calibri" w:cs="Times New Roman"/>
                <w:bCs/>
                <w:color w:val="auto"/>
              </w:rPr>
              <w:t>3,905,760.00</w:t>
            </w:r>
          </w:p>
        </w:tc>
        <w:tc>
          <w:tcPr>
            <w:tcW w:w="1843" w:type="dxa"/>
            <w:tcBorders>
              <w:left w:val="single" w:sz="4" w:space="0" w:color="4F81BD" w:themeColor="accent1"/>
            </w:tcBorders>
            <w:vAlign w:val="bottom"/>
          </w:tcPr>
          <w:p w:rsidR="00DC3EA6" w:rsidRPr="0036089D" w:rsidRDefault="00DC3EA6" w:rsidP="00274FE6">
            <w:pPr>
              <w:jc w:val="center"/>
              <w:cnfStyle w:val="000000000000" w:firstRow="0" w:lastRow="0" w:firstColumn="0" w:lastColumn="0" w:oddVBand="0" w:evenVBand="0" w:oddHBand="0" w:evenHBand="0" w:firstRowFirstColumn="0" w:firstRowLastColumn="0" w:lastRowFirstColumn="0" w:lastRowLastColumn="0"/>
              <w:rPr>
                <w:rFonts w:cs="Arial"/>
                <w:bCs/>
                <w:color w:val="auto"/>
              </w:rPr>
            </w:pPr>
            <w:r w:rsidRPr="0036089D">
              <w:rPr>
                <w:rFonts w:cs="Arial"/>
                <w:bCs/>
                <w:color w:val="auto"/>
              </w:rPr>
              <w:t>1,843,670.00</w:t>
            </w:r>
          </w:p>
        </w:tc>
        <w:tc>
          <w:tcPr>
            <w:tcW w:w="1843" w:type="dxa"/>
            <w:tcBorders>
              <w:left w:val="single" w:sz="4" w:space="0" w:color="4F81BD" w:themeColor="accent1"/>
            </w:tcBorders>
          </w:tcPr>
          <w:p w:rsidR="00DC3EA6" w:rsidRPr="0036089D" w:rsidRDefault="00DC3EA6">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bCs/>
                <w:color w:val="auto"/>
              </w:rPr>
            </w:pPr>
            <w:r w:rsidRPr="0036089D">
              <w:rPr>
                <w:rFonts w:ascii="Calibri" w:hAnsi="Calibri" w:cs="Arial"/>
                <w:b/>
                <w:bCs/>
                <w:color w:val="auto"/>
              </w:rPr>
              <w:t>14,709,963.20</w:t>
            </w:r>
          </w:p>
        </w:tc>
      </w:tr>
      <w:tr w:rsidR="00DC3EA6" w:rsidRPr="0036089D" w:rsidTr="007432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right w:val="single" w:sz="8" w:space="0" w:color="4F81BD" w:themeColor="accent1"/>
            </w:tcBorders>
            <w:vAlign w:val="center"/>
          </w:tcPr>
          <w:p w:rsidR="00DC3EA6" w:rsidRPr="0036089D" w:rsidRDefault="00DC3EA6" w:rsidP="00276A1F">
            <w:pPr>
              <w:spacing w:after="120" w:line="240" w:lineRule="auto"/>
              <w:rPr>
                <w:rFonts w:eastAsia="Times New Roman" w:cs="Arial"/>
                <w:b w:val="0"/>
                <w:color w:val="auto"/>
                <w:lang w:eastAsia="en-AU"/>
              </w:rPr>
            </w:pPr>
            <w:r w:rsidRPr="0036089D">
              <w:rPr>
                <w:rFonts w:eastAsia="Times New Roman" w:cs="Arial"/>
                <w:b w:val="0"/>
                <w:color w:val="auto"/>
                <w:lang w:eastAsia="en-AU"/>
              </w:rPr>
              <w:t>NT</w:t>
            </w:r>
          </w:p>
        </w:tc>
        <w:tc>
          <w:tcPr>
            <w:tcW w:w="2126" w:type="dxa"/>
            <w:tcBorders>
              <w:right w:val="single" w:sz="8" w:space="0" w:color="4F81BD" w:themeColor="accent1"/>
            </w:tcBorders>
            <w:vAlign w:val="center"/>
          </w:tcPr>
          <w:p w:rsidR="00DC3EA6" w:rsidRPr="0036089D" w:rsidRDefault="00DC3EA6" w:rsidP="00274FE6">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74,314.00</w:t>
            </w:r>
          </w:p>
        </w:tc>
        <w:tc>
          <w:tcPr>
            <w:tcW w:w="2126" w:type="dxa"/>
            <w:tcBorders>
              <w:top w:val="nil"/>
              <w:left w:val="single" w:sz="8" w:space="0" w:color="4F81BD" w:themeColor="accent1"/>
              <w:bottom w:val="nil"/>
              <w:right w:val="single" w:sz="4" w:space="0" w:color="4F81BD" w:themeColor="accent1"/>
            </w:tcBorders>
          </w:tcPr>
          <w:p w:rsidR="00DC3EA6" w:rsidRPr="0036089D" w:rsidRDefault="00DC3EA6" w:rsidP="00274F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Calibri" w:cs="Times New Roman"/>
                <w:bCs/>
                <w:color w:val="auto"/>
              </w:rPr>
              <w:t>2,410.00</w:t>
            </w:r>
          </w:p>
        </w:tc>
        <w:tc>
          <w:tcPr>
            <w:tcW w:w="1843" w:type="dxa"/>
            <w:tcBorders>
              <w:left w:val="single" w:sz="4" w:space="0" w:color="4F81BD" w:themeColor="accent1"/>
            </w:tcBorders>
            <w:vAlign w:val="bottom"/>
          </w:tcPr>
          <w:p w:rsidR="00DC3EA6" w:rsidRPr="0036089D" w:rsidRDefault="00DC3EA6" w:rsidP="00274FE6">
            <w:pPr>
              <w:jc w:val="center"/>
              <w:cnfStyle w:val="000000100000" w:firstRow="0" w:lastRow="0" w:firstColumn="0" w:lastColumn="0" w:oddVBand="0" w:evenVBand="0" w:oddHBand="1" w:evenHBand="0" w:firstRowFirstColumn="0" w:firstRowLastColumn="0" w:lastRowFirstColumn="0" w:lastRowLastColumn="0"/>
              <w:rPr>
                <w:rFonts w:cs="Arial"/>
                <w:bCs/>
                <w:color w:val="auto"/>
              </w:rPr>
            </w:pPr>
            <w:r w:rsidRPr="0036089D">
              <w:rPr>
                <w:rFonts w:cs="Arial"/>
                <w:bCs/>
                <w:color w:val="auto"/>
              </w:rPr>
              <w:t>0</w:t>
            </w:r>
          </w:p>
        </w:tc>
        <w:tc>
          <w:tcPr>
            <w:tcW w:w="1843" w:type="dxa"/>
            <w:tcBorders>
              <w:left w:val="single" w:sz="4" w:space="0" w:color="4F81BD" w:themeColor="accent1"/>
            </w:tcBorders>
          </w:tcPr>
          <w:p w:rsidR="00DC3EA6" w:rsidRPr="0036089D" w:rsidRDefault="00DC3EA6">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color w:val="auto"/>
              </w:rPr>
            </w:pPr>
            <w:r w:rsidRPr="0036089D">
              <w:rPr>
                <w:rFonts w:ascii="Calibri" w:hAnsi="Calibri" w:cs="Arial"/>
                <w:b/>
                <w:bCs/>
                <w:color w:val="auto"/>
              </w:rPr>
              <w:t>76,724.00</w:t>
            </w:r>
          </w:p>
        </w:tc>
      </w:tr>
      <w:tr w:rsidR="00DC3EA6" w:rsidRPr="0036089D" w:rsidTr="007432D1">
        <w:trPr>
          <w:cantSplit/>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right w:val="single" w:sz="8" w:space="0" w:color="4F81BD" w:themeColor="accent1"/>
            </w:tcBorders>
            <w:vAlign w:val="center"/>
          </w:tcPr>
          <w:p w:rsidR="00DC3EA6" w:rsidRPr="0036089D" w:rsidRDefault="00DC3EA6" w:rsidP="00276A1F">
            <w:pPr>
              <w:spacing w:after="120" w:line="240" w:lineRule="auto"/>
              <w:rPr>
                <w:rFonts w:eastAsia="Times New Roman" w:cs="Arial"/>
                <w:b w:val="0"/>
                <w:color w:val="auto"/>
                <w:lang w:eastAsia="en-AU"/>
              </w:rPr>
            </w:pPr>
            <w:r w:rsidRPr="0036089D">
              <w:rPr>
                <w:rFonts w:eastAsia="Times New Roman" w:cs="Arial"/>
                <w:b w:val="0"/>
                <w:color w:val="auto"/>
                <w:lang w:eastAsia="en-AU"/>
              </w:rPr>
              <w:t>QLD</w:t>
            </w:r>
          </w:p>
        </w:tc>
        <w:tc>
          <w:tcPr>
            <w:tcW w:w="2126" w:type="dxa"/>
            <w:tcBorders>
              <w:right w:val="single" w:sz="8" w:space="0" w:color="4F81BD" w:themeColor="accent1"/>
            </w:tcBorders>
            <w:vAlign w:val="center"/>
          </w:tcPr>
          <w:p w:rsidR="00DC3EA6" w:rsidRPr="0036089D" w:rsidRDefault="00DC3EA6" w:rsidP="00274FE6">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3,516,939.30</w:t>
            </w:r>
          </w:p>
        </w:tc>
        <w:tc>
          <w:tcPr>
            <w:tcW w:w="2126" w:type="dxa"/>
            <w:tcBorders>
              <w:top w:val="nil"/>
              <w:left w:val="single" w:sz="8" w:space="0" w:color="4F81BD" w:themeColor="accent1"/>
              <w:bottom w:val="nil"/>
              <w:right w:val="single" w:sz="4" w:space="0" w:color="4F81BD" w:themeColor="accent1"/>
            </w:tcBorders>
          </w:tcPr>
          <w:p w:rsidR="00DC3EA6" w:rsidRPr="0036089D" w:rsidRDefault="00DC3EA6" w:rsidP="00274F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Calibri" w:cs="Times New Roman"/>
                <w:bCs/>
                <w:color w:val="auto"/>
              </w:rPr>
              <w:t>1,350,470.00</w:t>
            </w:r>
          </w:p>
        </w:tc>
        <w:tc>
          <w:tcPr>
            <w:tcW w:w="1843" w:type="dxa"/>
            <w:tcBorders>
              <w:left w:val="single" w:sz="4" w:space="0" w:color="4F81BD" w:themeColor="accent1"/>
            </w:tcBorders>
            <w:vAlign w:val="bottom"/>
          </w:tcPr>
          <w:p w:rsidR="00DC3EA6" w:rsidRPr="0036089D" w:rsidRDefault="00DC3EA6" w:rsidP="00274FE6">
            <w:pPr>
              <w:jc w:val="center"/>
              <w:cnfStyle w:val="000000000000" w:firstRow="0" w:lastRow="0" w:firstColumn="0" w:lastColumn="0" w:oddVBand="0" w:evenVBand="0" w:oddHBand="0" w:evenHBand="0" w:firstRowFirstColumn="0" w:firstRowLastColumn="0" w:lastRowFirstColumn="0" w:lastRowLastColumn="0"/>
              <w:rPr>
                <w:rFonts w:cs="Arial"/>
                <w:bCs/>
                <w:color w:val="auto"/>
              </w:rPr>
            </w:pPr>
            <w:r w:rsidRPr="0036089D">
              <w:rPr>
                <w:rFonts w:cs="Arial"/>
                <w:bCs/>
                <w:color w:val="auto"/>
              </w:rPr>
              <w:t>141,910.00</w:t>
            </w:r>
          </w:p>
        </w:tc>
        <w:tc>
          <w:tcPr>
            <w:tcW w:w="1843" w:type="dxa"/>
            <w:tcBorders>
              <w:left w:val="single" w:sz="4" w:space="0" w:color="4F81BD" w:themeColor="accent1"/>
            </w:tcBorders>
          </w:tcPr>
          <w:p w:rsidR="00DC3EA6" w:rsidRPr="0036089D" w:rsidRDefault="00DC3EA6">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bCs/>
                <w:color w:val="auto"/>
              </w:rPr>
            </w:pPr>
            <w:r w:rsidRPr="0036089D">
              <w:rPr>
                <w:rFonts w:ascii="Calibri" w:hAnsi="Calibri" w:cs="Arial"/>
                <w:b/>
                <w:bCs/>
                <w:color w:val="auto"/>
              </w:rPr>
              <w:t>5,009,319.30</w:t>
            </w:r>
          </w:p>
        </w:tc>
      </w:tr>
      <w:tr w:rsidR="00DC3EA6" w:rsidRPr="0036089D" w:rsidTr="007432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right w:val="single" w:sz="8" w:space="0" w:color="4F81BD" w:themeColor="accent1"/>
            </w:tcBorders>
            <w:vAlign w:val="center"/>
          </w:tcPr>
          <w:p w:rsidR="00DC3EA6" w:rsidRPr="0036089D" w:rsidRDefault="00DC3EA6" w:rsidP="00276A1F">
            <w:pPr>
              <w:spacing w:after="120" w:line="240" w:lineRule="auto"/>
              <w:rPr>
                <w:rFonts w:eastAsia="Times New Roman" w:cs="Arial"/>
                <w:b w:val="0"/>
                <w:color w:val="auto"/>
                <w:lang w:eastAsia="en-AU"/>
              </w:rPr>
            </w:pPr>
            <w:r w:rsidRPr="0036089D">
              <w:rPr>
                <w:rFonts w:eastAsia="Times New Roman" w:cs="Arial"/>
                <w:b w:val="0"/>
                <w:color w:val="auto"/>
                <w:lang w:eastAsia="en-AU"/>
              </w:rPr>
              <w:t>SA</w:t>
            </w:r>
          </w:p>
        </w:tc>
        <w:tc>
          <w:tcPr>
            <w:tcW w:w="2126" w:type="dxa"/>
            <w:tcBorders>
              <w:right w:val="single" w:sz="8" w:space="0" w:color="4F81BD" w:themeColor="accent1"/>
            </w:tcBorders>
            <w:vAlign w:val="center"/>
          </w:tcPr>
          <w:p w:rsidR="00DC3EA6" w:rsidRPr="0036089D" w:rsidRDefault="00DC3EA6" w:rsidP="00274FE6">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2,510,715.00</w:t>
            </w:r>
          </w:p>
        </w:tc>
        <w:tc>
          <w:tcPr>
            <w:tcW w:w="2126" w:type="dxa"/>
            <w:tcBorders>
              <w:top w:val="nil"/>
              <w:left w:val="single" w:sz="8" w:space="0" w:color="4F81BD" w:themeColor="accent1"/>
              <w:bottom w:val="nil"/>
              <w:right w:val="single" w:sz="4" w:space="0" w:color="4F81BD" w:themeColor="accent1"/>
            </w:tcBorders>
          </w:tcPr>
          <w:p w:rsidR="00DC3EA6" w:rsidRPr="0036089D" w:rsidRDefault="00DC3EA6" w:rsidP="00274F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Calibri" w:cs="Times New Roman"/>
                <w:bCs/>
                <w:color w:val="auto"/>
              </w:rPr>
              <w:t>740,260.00</w:t>
            </w:r>
          </w:p>
        </w:tc>
        <w:tc>
          <w:tcPr>
            <w:tcW w:w="1843" w:type="dxa"/>
            <w:tcBorders>
              <w:left w:val="single" w:sz="4" w:space="0" w:color="4F81BD" w:themeColor="accent1"/>
            </w:tcBorders>
            <w:vAlign w:val="bottom"/>
          </w:tcPr>
          <w:p w:rsidR="00DC3EA6" w:rsidRPr="0036089D" w:rsidRDefault="00DC3EA6" w:rsidP="00274FE6">
            <w:pPr>
              <w:jc w:val="center"/>
              <w:cnfStyle w:val="000000100000" w:firstRow="0" w:lastRow="0" w:firstColumn="0" w:lastColumn="0" w:oddVBand="0" w:evenVBand="0" w:oddHBand="1" w:evenHBand="0" w:firstRowFirstColumn="0" w:firstRowLastColumn="0" w:lastRowFirstColumn="0" w:lastRowLastColumn="0"/>
              <w:rPr>
                <w:rFonts w:cs="Arial"/>
                <w:bCs/>
                <w:color w:val="auto"/>
              </w:rPr>
            </w:pPr>
            <w:r w:rsidRPr="0036089D">
              <w:rPr>
                <w:rFonts w:cs="Arial"/>
                <w:bCs/>
                <w:color w:val="auto"/>
              </w:rPr>
              <w:t>77,750.00</w:t>
            </w:r>
          </w:p>
        </w:tc>
        <w:tc>
          <w:tcPr>
            <w:tcW w:w="1843" w:type="dxa"/>
            <w:tcBorders>
              <w:left w:val="single" w:sz="4" w:space="0" w:color="4F81BD" w:themeColor="accent1"/>
            </w:tcBorders>
          </w:tcPr>
          <w:p w:rsidR="00DC3EA6" w:rsidRPr="0036089D" w:rsidRDefault="00DC3EA6">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color w:val="auto"/>
              </w:rPr>
            </w:pPr>
            <w:r w:rsidRPr="0036089D">
              <w:rPr>
                <w:rFonts w:ascii="Calibri" w:hAnsi="Calibri" w:cs="Arial"/>
                <w:b/>
                <w:bCs/>
                <w:color w:val="auto"/>
              </w:rPr>
              <w:t>3,328,725.00</w:t>
            </w:r>
          </w:p>
        </w:tc>
      </w:tr>
      <w:tr w:rsidR="00DC3EA6" w:rsidRPr="0036089D" w:rsidTr="007432D1">
        <w:trPr>
          <w:cantSplit/>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right w:val="single" w:sz="8" w:space="0" w:color="4F81BD" w:themeColor="accent1"/>
            </w:tcBorders>
            <w:vAlign w:val="center"/>
          </w:tcPr>
          <w:p w:rsidR="00DC3EA6" w:rsidRPr="0036089D" w:rsidRDefault="00DC3EA6" w:rsidP="00276A1F">
            <w:pPr>
              <w:spacing w:after="120" w:line="240" w:lineRule="auto"/>
              <w:rPr>
                <w:rFonts w:eastAsia="Times New Roman" w:cs="Arial"/>
                <w:b w:val="0"/>
                <w:color w:val="auto"/>
                <w:lang w:eastAsia="en-AU"/>
              </w:rPr>
            </w:pPr>
            <w:r w:rsidRPr="0036089D">
              <w:rPr>
                <w:rFonts w:eastAsia="Times New Roman" w:cs="Arial"/>
                <w:b w:val="0"/>
                <w:color w:val="auto"/>
                <w:lang w:eastAsia="en-AU"/>
              </w:rPr>
              <w:t>TAS</w:t>
            </w:r>
          </w:p>
        </w:tc>
        <w:tc>
          <w:tcPr>
            <w:tcW w:w="2126" w:type="dxa"/>
            <w:tcBorders>
              <w:right w:val="single" w:sz="8" w:space="0" w:color="4F81BD" w:themeColor="accent1"/>
            </w:tcBorders>
            <w:vAlign w:val="center"/>
          </w:tcPr>
          <w:p w:rsidR="00DC3EA6" w:rsidRPr="0036089D" w:rsidRDefault="00DC3EA6" w:rsidP="00274FE6">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689,081.00</w:t>
            </w:r>
          </w:p>
        </w:tc>
        <w:tc>
          <w:tcPr>
            <w:tcW w:w="2126" w:type="dxa"/>
            <w:tcBorders>
              <w:top w:val="nil"/>
              <w:left w:val="single" w:sz="8" w:space="0" w:color="4F81BD" w:themeColor="accent1"/>
              <w:bottom w:val="nil"/>
              <w:right w:val="single" w:sz="4" w:space="0" w:color="4F81BD" w:themeColor="accent1"/>
            </w:tcBorders>
          </w:tcPr>
          <w:p w:rsidR="00DC3EA6" w:rsidRPr="0036089D" w:rsidRDefault="00DC3EA6" w:rsidP="00274F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Calibri" w:cs="Times New Roman"/>
                <w:bCs/>
                <w:color w:val="auto"/>
              </w:rPr>
              <w:t>54,030.00</w:t>
            </w:r>
          </w:p>
        </w:tc>
        <w:tc>
          <w:tcPr>
            <w:tcW w:w="1843" w:type="dxa"/>
            <w:tcBorders>
              <w:left w:val="single" w:sz="4" w:space="0" w:color="4F81BD" w:themeColor="accent1"/>
            </w:tcBorders>
            <w:vAlign w:val="bottom"/>
          </w:tcPr>
          <w:p w:rsidR="00DC3EA6" w:rsidRPr="0036089D" w:rsidRDefault="00DC3EA6" w:rsidP="00274FE6">
            <w:pPr>
              <w:jc w:val="center"/>
              <w:cnfStyle w:val="000000000000" w:firstRow="0" w:lastRow="0" w:firstColumn="0" w:lastColumn="0" w:oddVBand="0" w:evenVBand="0" w:oddHBand="0" w:evenHBand="0" w:firstRowFirstColumn="0" w:firstRowLastColumn="0" w:lastRowFirstColumn="0" w:lastRowLastColumn="0"/>
              <w:rPr>
                <w:rFonts w:cs="Arial"/>
                <w:bCs/>
                <w:color w:val="auto"/>
              </w:rPr>
            </w:pPr>
            <w:r w:rsidRPr="0036089D">
              <w:rPr>
                <w:rFonts w:cs="Arial"/>
                <w:bCs/>
                <w:color w:val="auto"/>
              </w:rPr>
              <w:t>0</w:t>
            </w:r>
          </w:p>
        </w:tc>
        <w:tc>
          <w:tcPr>
            <w:tcW w:w="1843" w:type="dxa"/>
            <w:tcBorders>
              <w:left w:val="single" w:sz="4" w:space="0" w:color="4F81BD" w:themeColor="accent1"/>
            </w:tcBorders>
          </w:tcPr>
          <w:p w:rsidR="00DC3EA6" w:rsidRPr="0036089D" w:rsidRDefault="00DC3EA6">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bCs/>
                <w:color w:val="auto"/>
              </w:rPr>
            </w:pPr>
            <w:r w:rsidRPr="0036089D">
              <w:rPr>
                <w:rFonts w:ascii="Calibri" w:hAnsi="Calibri" w:cs="Arial"/>
                <w:b/>
                <w:bCs/>
                <w:color w:val="auto"/>
              </w:rPr>
              <w:t>743,111.00</w:t>
            </w:r>
          </w:p>
        </w:tc>
      </w:tr>
      <w:tr w:rsidR="00DC3EA6" w:rsidRPr="0036089D" w:rsidTr="007432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right w:val="single" w:sz="8" w:space="0" w:color="4F81BD" w:themeColor="accent1"/>
            </w:tcBorders>
            <w:vAlign w:val="center"/>
          </w:tcPr>
          <w:p w:rsidR="00DC3EA6" w:rsidRPr="0036089D" w:rsidRDefault="00DC3EA6" w:rsidP="00276A1F">
            <w:pPr>
              <w:spacing w:after="120" w:line="240" w:lineRule="auto"/>
              <w:rPr>
                <w:rFonts w:eastAsia="Times New Roman" w:cs="Arial"/>
                <w:b w:val="0"/>
                <w:color w:val="auto"/>
                <w:lang w:eastAsia="en-AU"/>
              </w:rPr>
            </w:pPr>
            <w:r w:rsidRPr="0036089D">
              <w:rPr>
                <w:rFonts w:eastAsia="Times New Roman" w:cs="Arial"/>
                <w:b w:val="0"/>
                <w:color w:val="auto"/>
                <w:lang w:eastAsia="en-AU"/>
              </w:rPr>
              <w:t>VIC</w:t>
            </w:r>
          </w:p>
        </w:tc>
        <w:tc>
          <w:tcPr>
            <w:tcW w:w="2126" w:type="dxa"/>
            <w:tcBorders>
              <w:right w:val="single" w:sz="8" w:space="0" w:color="4F81BD" w:themeColor="accent1"/>
            </w:tcBorders>
            <w:vAlign w:val="center"/>
          </w:tcPr>
          <w:p w:rsidR="00DC3EA6" w:rsidRPr="0036089D" w:rsidRDefault="00DC3EA6" w:rsidP="00274FE6">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36089D">
              <w:rPr>
                <w:rFonts w:cs="Arial"/>
                <w:color w:val="auto"/>
              </w:rPr>
              <w:t>7,082,015.00</w:t>
            </w:r>
          </w:p>
        </w:tc>
        <w:tc>
          <w:tcPr>
            <w:tcW w:w="2126" w:type="dxa"/>
            <w:tcBorders>
              <w:top w:val="nil"/>
              <w:left w:val="single" w:sz="8" w:space="0" w:color="4F81BD" w:themeColor="accent1"/>
              <w:bottom w:val="nil"/>
              <w:right w:val="single" w:sz="4" w:space="0" w:color="4F81BD" w:themeColor="accent1"/>
            </w:tcBorders>
          </w:tcPr>
          <w:p w:rsidR="00DC3EA6" w:rsidRPr="0036089D" w:rsidRDefault="00DC3EA6" w:rsidP="00274F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AU"/>
              </w:rPr>
            </w:pPr>
            <w:r w:rsidRPr="0036089D">
              <w:rPr>
                <w:rFonts w:eastAsia="Calibri" w:cs="Times New Roman"/>
                <w:bCs/>
                <w:color w:val="auto"/>
              </w:rPr>
              <w:t>2,185,860.00</w:t>
            </w:r>
          </w:p>
        </w:tc>
        <w:tc>
          <w:tcPr>
            <w:tcW w:w="1843" w:type="dxa"/>
            <w:tcBorders>
              <w:left w:val="single" w:sz="4" w:space="0" w:color="4F81BD" w:themeColor="accent1"/>
            </w:tcBorders>
            <w:vAlign w:val="bottom"/>
          </w:tcPr>
          <w:p w:rsidR="00DC3EA6" w:rsidRPr="0036089D" w:rsidRDefault="00DC3EA6" w:rsidP="00274FE6">
            <w:pPr>
              <w:jc w:val="center"/>
              <w:cnfStyle w:val="000000100000" w:firstRow="0" w:lastRow="0" w:firstColumn="0" w:lastColumn="0" w:oddVBand="0" w:evenVBand="0" w:oddHBand="1" w:evenHBand="0" w:firstRowFirstColumn="0" w:firstRowLastColumn="0" w:lastRowFirstColumn="0" w:lastRowLastColumn="0"/>
              <w:rPr>
                <w:rFonts w:cs="Arial"/>
                <w:bCs/>
                <w:color w:val="auto"/>
              </w:rPr>
            </w:pPr>
            <w:r w:rsidRPr="0036089D">
              <w:rPr>
                <w:rFonts w:cs="Arial"/>
                <w:bCs/>
                <w:color w:val="auto"/>
              </w:rPr>
              <w:t>223,160.00</w:t>
            </w:r>
          </w:p>
        </w:tc>
        <w:tc>
          <w:tcPr>
            <w:tcW w:w="1843" w:type="dxa"/>
            <w:tcBorders>
              <w:left w:val="single" w:sz="4" w:space="0" w:color="4F81BD" w:themeColor="accent1"/>
            </w:tcBorders>
          </w:tcPr>
          <w:p w:rsidR="00DC3EA6" w:rsidRPr="0036089D" w:rsidRDefault="00DC3EA6">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color w:val="auto"/>
              </w:rPr>
            </w:pPr>
            <w:r w:rsidRPr="0036089D">
              <w:rPr>
                <w:rFonts w:ascii="Calibri" w:hAnsi="Calibri" w:cs="Arial"/>
                <w:b/>
                <w:bCs/>
                <w:color w:val="auto"/>
              </w:rPr>
              <w:t>9,491,035.00</w:t>
            </w:r>
          </w:p>
        </w:tc>
      </w:tr>
      <w:tr w:rsidR="00DC3EA6" w:rsidRPr="0036089D" w:rsidTr="007432D1">
        <w:trPr>
          <w:cantSplit/>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right w:val="single" w:sz="8" w:space="0" w:color="4F81BD" w:themeColor="accent1"/>
            </w:tcBorders>
            <w:vAlign w:val="center"/>
          </w:tcPr>
          <w:p w:rsidR="00DC3EA6" w:rsidRPr="0036089D" w:rsidRDefault="00DC3EA6" w:rsidP="00274FE6">
            <w:pPr>
              <w:spacing w:after="120" w:line="240" w:lineRule="auto"/>
              <w:rPr>
                <w:rFonts w:eastAsia="Times New Roman" w:cs="Arial"/>
                <w:b w:val="0"/>
                <w:color w:val="auto"/>
                <w:lang w:eastAsia="en-AU"/>
              </w:rPr>
            </w:pPr>
            <w:r w:rsidRPr="0036089D">
              <w:rPr>
                <w:rFonts w:eastAsia="Times New Roman" w:cs="Arial"/>
                <w:b w:val="0"/>
                <w:color w:val="auto"/>
                <w:lang w:eastAsia="en-AU"/>
              </w:rPr>
              <w:t xml:space="preserve">WA </w:t>
            </w:r>
          </w:p>
        </w:tc>
        <w:tc>
          <w:tcPr>
            <w:tcW w:w="2126" w:type="dxa"/>
            <w:tcBorders>
              <w:right w:val="single" w:sz="8" w:space="0" w:color="4F81BD" w:themeColor="accent1"/>
            </w:tcBorders>
            <w:vAlign w:val="center"/>
          </w:tcPr>
          <w:p w:rsidR="00DC3EA6" w:rsidRPr="0036089D" w:rsidRDefault="00DC3EA6" w:rsidP="00274FE6">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36089D">
              <w:rPr>
                <w:rFonts w:cs="Arial"/>
                <w:color w:val="auto"/>
              </w:rPr>
              <w:t>2,157,077.70</w:t>
            </w:r>
          </w:p>
        </w:tc>
        <w:tc>
          <w:tcPr>
            <w:tcW w:w="2126" w:type="dxa"/>
            <w:tcBorders>
              <w:top w:val="nil"/>
              <w:left w:val="single" w:sz="8" w:space="0" w:color="4F81BD" w:themeColor="accent1"/>
              <w:bottom w:val="nil"/>
              <w:right w:val="single" w:sz="4" w:space="0" w:color="4F81BD" w:themeColor="accent1"/>
            </w:tcBorders>
          </w:tcPr>
          <w:p w:rsidR="00DC3EA6" w:rsidRPr="0036089D" w:rsidRDefault="00DC3EA6" w:rsidP="00274F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AU"/>
              </w:rPr>
            </w:pPr>
            <w:r w:rsidRPr="0036089D">
              <w:rPr>
                <w:rFonts w:eastAsia="Calibri" w:cs="Times New Roman"/>
                <w:bCs/>
                <w:color w:val="auto"/>
              </w:rPr>
              <w:t>962,660.00</w:t>
            </w:r>
          </w:p>
        </w:tc>
        <w:tc>
          <w:tcPr>
            <w:tcW w:w="1843" w:type="dxa"/>
            <w:tcBorders>
              <w:left w:val="single" w:sz="4" w:space="0" w:color="4F81BD" w:themeColor="accent1"/>
            </w:tcBorders>
            <w:vAlign w:val="bottom"/>
          </w:tcPr>
          <w:p w:rsidR="00DC3EA6" w:rsidRPr="0036089D" w:rsidRDefault="00DC3EA6" w:rsidP="00274FE6">
            <w:pPr>
              <w:jc w:val="center"/>
              <w:cnfStyle w:val="000000000000" w:firstRow="0" w:lastRow="0" w:firstColumn="0" w:lastColumn="0" w:oddVBand="0" w:evenVBand="0" w:oddHBand="0" w:evenHBand="0" w:firstRowFirstColumn="0" w:firstRowLastColumn="0" w:lastRowFirstColumn="0" w:lastRowLastColumn="0"/>
              <w:rPr>
                <w:rFonts w:cs="Arial"/>
                <w:bCs/>
                <w:color w:val="auto"/>
              </w:rPr>
            </w:pPr>
            <w:r w:rsidRPr="0036089D">
              <w:rPr>
                <w:rFonts w:cs="Arial"/>
                <w:bCs/>
                <w:color w:val="auto"/>
              </w:rPr>
              <w:t>66,910.00</w:t>
            </w:r>
          </w:p>
        </w:tc>
        <w:tc>
          <w:tcPr>
            <w:tcW w:w="1843" w:type="dxa"/>
            <w:tcBorders>
              <w:left w:val="single" w:sz="4" w:space="0" w:color="4F81BD" w:themeColor="accent1"/>
            </w:tcBorders>
          </w:tcPr>
          <w:p w:rsidR="00DC3EA6" w:rsidRPr="0036089D" w:rsidRDefault="00DC3EA6">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bCs/>
                <w:color w:val="auto"/>
              </w:rPr>
            </w:pPr>
            <w:r w:rsidRPr="0036089D">
              <w:rPr>
                <w:rFonts w:ascii="Calibri" w:hAnsi="Calibri" w:cs="Arial"/>
                <w:b/>
                <w:bCs/>
                <w:color w:val="auto"/>
              </w:rPr>
              <w:t>3,186,647.70</w:t>
            </w:r>
          </w:p>
        </w:tc>
      </w:tr>
      <w:tr w:rsidR="00DC3EA6" w:rsidRPr="0036089D" w:rsidTr="00DC3EA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8" w:space="0" w:color="4F81BD" w:themeColor="accent1"/>
              <w:right w:val="single" w:sz="8" w:space="0" w:color="4F81BD" w:themeColor="accent1"/>
            </w:tcBorders>
            <w:vAlign w:val="bottom"/>
          </w:tcPr>
          <w:p w:rsidR="00DC3EA6" w:rsidRPr="0036089D" w:rsidRDefault="00DC3EA6" w:rsidP="00DC3EA6">
            <w:pPr>
              <w:spacing w:after="120" w:line="240" w:lineRule="auto"/>
              <w:rPr>
                <w:rFonts w:eastAsia="Times New Roman" w:cs="Arial"/>
                <w:color w:val="auto"/>
                <w:lang w:eastAsia="en-AU"/>
              </w:rPr>
            </w:pPr>
            <w:r w:rsidRPr="0036089D">
              <w:rPr>
                <w:rFonts w:eastAsia="Times New Roman" w:cs="Arial"/>
                <w:bCs w:val="0"/>
                <w:color w:val="auto"/>
                <w:lang w:eastAsia="en-AU"/>
              </w:rPr>
              <w:t>Total collected</w:t>
            </w:r>
          </w:p>
        </w:tc>
        <w:tc>
          <w:tcPr>
            <w:tcW w:w="2126" w:type="dxa"/>
            <w:tcBorders>
              <w:right w:val="single" w:sz="8" w:space="0" w:color="4F81BD" w:themeColor="accent1"/>
            </w:tcBorders>
            <w:vAlign w:val="center"/>
          </w:tcPr>
          <w:p w:rsidR="00DC3EA6" w:rsidRPr="0036089D" w:rsidRDefault="00DC3EA6" w:rsidP="00DC3EA6">
            <w:pPr>
              <w:spacing w:after="0"/>
              <w:jc w:val="center"/>
              <w:cnfStyle w:val="000000100000" w:firstRow="0" w:lastRow="0" w:firstColumn="0" w:lastColumn="0" w:oddVBand="0" w:evenVBand="0" w:oddHBand="1" w:evenHBand="0" w:firstRowFirstColumn="0" w:firstRowLastColumn="0" w:lastRowFirstColumn="0" w:lastRowLastColumn="0"/>
              <w:rPr>
                <w:rFonts w:cs="Arial"/>
                <w:b/>
                <w:color w:val="auto"/>
              </w:rPr>
            </w:pPr>
            <w:r w:rsidRPr="0036089D">
              <w:rPr>
                <w:rFonts w:cs="Arial"/>
                <w:b/>
                <w:color w:val="auto"/>
              </w:rPr>
              <w:t>25,358,527.20</w:t>
            </w:r>
          </w:p>
        </w:tc>
        <w:tc>
          <w:tcPr>
            <w:tcW w:w="2126" w:type="dxa"/>
            <w:tcBorders>
              <w:top w:val="nil"/>
              <w:left w:val="single" w:sz="8" w:space="0" w:color="4F81BD" w:themeColor="accent1"/>
              <w:bottom w:val="single" w:sz="8" w:space="0" w:color="4F81BD" w:themeColor="accent1"/>
              <w:right w:val="single" w:sz="4" w:space="0" w:color="4F81BD" w:themeColor="accent1"/>
            </w:tcBorders>
            <w:vAlign w:val="center"/>
          </w:tcPr>
          <w:p w:rsidR="00DC3EA6" w:rsidRPr="0036089D" w:rsidRDefault="00DC3EA6" w:rsidP="00DC3E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auto"/>
                <w:lang w:eastAsia="en-AU"/>
              </w:rPr>
            </w:pPr>
            <w:r w:rsidRPr="0036089D">
              <w:rPr>
                <w:rFonts w:eastAsia="Calibri" w:cs="Times New Roman"/>
                <w:b/>
                <w:bCs/>
                <w:color w:val="auto"/>
              </w:rPr>
              <w:t>9,479,140.00</w:t>
            </w:r>
          </w:p>
        </w:tc>
        <w:tc>
          <w:tcPr>
            <w:tcW w:w="1843" w:type="dxa"/>
            <w:tcBorders>
              <w:left w:val="single" w:sz="4" w:space="0" w:color="4F81BD" w:themeColor="accent1"/>
            </w:tcBorders>
            <w:vAlign w:val="center"/>
          </w:tcPr>
          <w:p w:rsidR="00DC3EA6" w:rsidRPr="0036089D" w:rsidRDefault="00DC3EA6" w:rsidP="00DC3EA6">
            <w:pPr>
              <w:spacing w:after="0"/>
              <w:jc w:val="center"/>
              <w:cnfStyle w:val="000000100000" w:firstRow="0" w:lastRow="0" w:firstColumn="0" w:lastColumn="0" w:oddVBand="0" w:evenVBand="0" w:oddHBand="1" w:evenHBand="0" w:firstRowFirstColumn="0" w:firstRowLastColumn="0" w:lastRowFirstColumn="0" w:lastRowLastColumn="0"/>
              <w:rPr>
                <w:rFonts w:cs="Arial"/>
                <w:b/>
                <w:bCs/>
                <w:color w:val="auto"/>
              </w:rPr>
            </w:pPr>
            <w:r w:rsidRPr="0036089D">
              <w:rPr>
                <w:rFonts w:cs="Arial"/>
                <w:b/>
                <w:bCs/>
                <w:color w:val="auto"/>
              </w:rPr>
              <w:t>2,354,620.00</w:t>
            </w:r>
          </w:p>
        </w:tc>
        <w:tc>
          <w:tcPr>
            <w:tcW w:w="1843" w:type="dxa"/>
            <w:tcBorders>
              <w:left w:val="single" w:sz="4" w:space="0" w:color="4F81BD" w:themeColor="accent1"/>
            </w:tcBorders>
            <w:vAlign w:val="center"/>
          </w:tcPr>
          <w:p w:rsidR="00DC3EA6" w:rsidRPr="0036089D" w:rsidRDefault="00DC3EA6" w:rsidP="00DC3EA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color w:val="auto"/>
              </w:rPr>
            </w:pPr>
            <w:r w:rsidRPr="0036089D">
              <w:rPr>
                <w:rFonts w:ascii="Calibri" w:hAnsi="Calibri" w:cs="Arial"/>
                <w:b/>
                <w:bCs/>
                <w:color w:val="auto"/>
              </w:rPr>
              <w:t>37,192,287.20</w:t>
            </w:r>
          </w:p>
        </w:tc>
      </w:tr>
    </w:tbl>
    <w:p w:rsidR="001D2679" w:rsidRPr="0036089D" w:rsidRDefault="001D2679" w:rsidP="001D2679">
      <w:pPr>
        <w:rPr>
          <w:rFonts w:ascii="Calibri" w:hAnsi="Calibri" w:cs="Arial"/>
          <w:lang w:eastAsia="en-AU"/>
        </w:rPr>
      </w:pPr>
    </w:p>
    <w:p w:rsidR="001D2679" w:rsidRPr="0036089D" w:rsidRDefault="001D2679" w:rsidP="001D2679">
      <w:pPr>
        <w:rPr>
          <w:rFonts w:ascii="Calibri" w:hAnsi="Calibri" w:cs="Arial"/>
          <w:lang w:eastAsia="en-AU"/>
        </w:rPr>
      </w:pPr>
      <w:r w:rsidRPr="0036089D">
        <w:rPr>
          <w:rFonts w:ascii="Calibri" w:hAnsi="Calibri" w:cs="Arial"/>
          <w:lang w:eastAsia="en-AU"/>
        </w:rPr>
        <w:t>Additional information on the collection services provided by the arrangements is given in each co</w:t>
      </w:r>
      <w:r w:rsidRPr="0036089D">
        <w:rPr>
          <w:rFonts w:ascii="Calibri" w:hAnsi="Calibri" w:cs="Arial"/>
          <w:lang w:eastAsia="en-AU"/>
        </w:rPr>
        <w:noBreakHyphen/>
        <w:t xml:space="preserve">regulatory arrangement’s annual report, available at </w:t>
      </w:r>
      <w:hyperlink r:id="rId22" w:history="1">
        <w:r w:rsidR="00242E8E" w:rsidRPr="0036089D">
          <w:rPr>
            <w:rStyle w:val="Hyperlink"/>
            <w:rFonts w:ascii="Calibri" w:hAnsi="Calibri" w:cs="Arial"/>
            <w:lang w:eastAsia="en-AU"/>
          </w:rPr>
          <w:t>www.environment.gov.au/ewaste</w:t>
        </w:r>
      </w:hyperlink>
      <w:r w:rsidRPr="0036089D">
        <w:rPr>
          <w:rFonts w:ascii="Calibri" w:hAnsi="Calibri" w:cs="Arial"/>
          <w:lang w:eastAsia="en-AU"/>
        </w:rPr>
        <w:t>.</w:t>
      </w:r>
    </w:p>
    <w:p w:rsidR="00C31CD7" w:rsidRPr="0036089D" w:rsidRDefault="001D2679" w:rsidP="001D2679">
      <w:pPr>
        <w:rPr>
          <w:rFonts w:ascii="Calibri" w:hAnsi="Calibri" w:cs="Arial"/>
          <w:lang w:eastAsia="en-AU"/>
        </w:rPr>
      </w:pPr>
      <w:r w:rsidRPr="0036089D">
        <w:rPr>
          <w:rFonts w:ascii="Calibri" w:hAnsi="Calibri" w:cs="Arial"/>
          <w:lang w:eastAsia="en-AU"/>
        </w:rPr>
        <w:t xml:space="preserve"> The Department’s assessment of each arrangement’s</w:t>
      </w:r>
      <w:r w:rsidR="00B97029" w:rsidRPr="0036089D">
        <w:rPr>
          <w:rFonts w:ascii="Calibri" w:hAnsi="Calibri" w:cs="Arial"/>
          <w:lang w:eastAsia="en-AU"/>
        </w:rPr>
        <w:t xml:space="preserve"> reasonable access</w:t>
      </w:r>
      <w:r w:rsidRPr="0036089D">
        <w:rPr>
          <w:rFonts w:ascii="Calibri" w:hAnsi="Calibri" w:cs="Arial"/>
          <w:lang w:eastAsia="en-AU"/>
        </w:rPr>
        <w:t xml:space="preserve"> performance is complete for the period to </w:t>
      </w:r>
      <w:r w:rsidRPr="002C6EDC">
        <w:rPr>
          <w:rFonts w:ascii="Calibri" w:hAnsi="Calibri" w:cs="Arial"/>
          <w:lang w:eastAsia="en-AU"/>
        </w:rPr>
        <w:t>30 June 201</w:t>
      </w:r>
      <w:r w:rsidR="0037095E" w:rsidRPr="002C6EDC">
        <w:rPr>
          <w:rFonts w:ascii="Calibri" w:hAnsi="Calibri" w:cs="Arial"/>
          <w:lang w:eastAsia="en-AU"/>
        </w:rPr>
        <w:t>5</w:t>
      </w:r>
      <w:r w:rsidRPr="002C6EDC">
        <w:rPr>
          <w:rFonts w:ascii="Calibri" w:hAnsi="Calibri" w:cs="Arial"/>
          <w:lang w:eastAsia="en-AU"/>
        </w:rPr>
        <w:t>.</w:t>
      </w:r>
      <w:r w:rsidR="008A0C11" w:rsidRPr="0036089D">
        <w:rPr>
          <w:rFonts w:ascii="Calibri" w:hAnsi="Calibri" w:cs="Arial"/>
          <w:lang w:eastAsia="en-AU"/>
        </w:rPr>
        <w:t xml:space="preserve"> </w:t>
      </w:r>
    </w:p>
    <w:p w:rsidR="00EF28DE" w:rsidRPr="0036089D" w:rsidRDefault="008A0C11" w:rsidP="001D2679">
      <w:pPr>
        <w:rPr>
          <w:rFonts w:ascii="Calibri" w:hAnsi="Calibri" w:cs="Arial"/>
          <w:lang w:eastAsia="en-AU"/>
        </w:rPr>
      </w:pPr>
      <w:r w:rsidRPr="0036089D">
        <w:rPr>
          <w:rFonts w:ascii="Calibri" w:hAnsi="Calibri" w:cs="Arial"/>
          <w:lang w:eastAsia="en-AU"/>
        </w:rPr>
        <w:t>ANZRP, DHL Supply Chain, E-Cycle Solutions and EPSA all reported that they achieved reasonable access in 2014–15</w:t>
      </w:r>
      <w:r w:rsidR="00EF28DE" w:rsidRPr="0036089D">
        <w:rPr>
          <w:rFonts w:ascii="Calibri" w:hAnsi="Calibri" w:cs="Arial"/>
          <w:lang w:eastAsia="en-AU"/>
        </w:rPr>
        <w:t xml:space="preserve">, delivering more than the required number of collection services in each of the four </w:t>
      </w:r>
      <w:r w:rsidR="00863016" w:rsidRPr="0036089D">
        <w:rPr>
          <w:rFonts w:ascii="Calibri" w:hAnsi="Calibri" w:cs="Arial"/>
          <w:lang w:eastAsia="en-AU"/>
        </w:rPr>
        <w:t>geographic zones set out in the Product Stewardship Regulations 2011: metropolitan, inner regional, outer regional, and remote</w:t>
      </w:r>
      <w:r w:rsidRPr="0036089D">
        <w:rPr>
          <w:rFonts w:ascii="Calibri" w:hAnsi="Calibri" w:cs="Arial"/>
          <w:lang w:eastAsia="en-AU"/>
        </w:rPr>
        <w:t>.</w:t>
      </w:r>
      <w:r w:rsidR="001D2679" w:rsidRPr="0036089D">
        <w:rPr>
          <w:rFonts w:ascii="Calibri" w:hAnsi="Calibri" w:cs="Arial"/>
          <w:lang w:eastAsia="en-AU"/>
        </w:rPr>
        <w:t xml:space="preserve"> </w:t>
      </w:r>
    </w:p>
    <w:p w:rsidR="00B97029" w:rsidRPr="0036089D" w:rsidRDefault="001D2679" w:rsidP="001D2679">
      <w:pPr>
        <w:rPr>
          <w:rFonts w:ascii="Calibri" w:hAnsi="Calibri" w:cs="Arial"/>
          <w:lang w:eastAsia="en-AU"/>
        </w:rPr>
      </w:pPr>
      <w:r w:rsidRPr="0036089D">
        <w:rPr>
          <w:rFonts w:ascii="Calibri" w:hAnsi="Calibri" w:cs="Arial"/>
          <w:lang w:eastAsia="en-AU"/>
        </w:rPr>
        <w:t xml:space="preserve">The </w:t>
      </w:r>
      <w:r w:rsidR="008A0C11" w:rsidRPr="0036089D">
        <w:rPr>
          <w:rFonts w:ascii="Calibri" w:hAnsi="Calibri" w:cs="Arial"/>
          <w:lang w:eastAsia="en-AU"/>
        </w:rPr>
        <w:t xml:space="preserve">reasonable access </w:t>
      </w:r>
      <w:r w:rsidRPr="0036089D">
        <w:rPr>
          <w:rFonts w:ascii="Calibri" w:hAnsi="Calibri" w:cs="Arial"/>
          <w:lang w:eastAsia="en-AU"/>
        </w:rPr>
        <w:t>assessment</w:t>
      </w:r>
      <w:r w:rsidR="008A0C11" w:rsidRPr="0036089D">
        <w:rPr>
          <w:rFonts w:ascii="Calibri" w:hAnsi="Calibri" w:cs="Arial"/>
          <w:lang w:eastAsia="en-AU"/>
        </w:rPr>
        <w:t xml:space="preserve"> undertaken by the Department involves taking the geographical </w:t>
      </w:r>
      <w:r w:rsidR="00C31CD7" w:rsidRPr="0036089D">
        <w:rPr>
          <w:rFonts w:ascii="Calibri" w:hAnsi="Calibri" w:cs="Arial"/>
          <w:lang w:eastAsia="en-AU"/>
        </w:rPr>
        <w:t xml:space="preserve">collection service </w:t>
      </w:r>
      <w:r w:rsidR="008A0C11" w:rsidRPr="0036089D">
        <w:rPr>
          <w:rFonts w:ascii="Calibri" w:hAnsi="Calibri" w:cs="Arial"/>
          <w:lang w:eastAsia="en-AU"/>
        </w:rPr>
        <w:t xml:space="preserve">data submitted by co-regulatory arrangements and mapping </w:t>
      </w:r>
      <w:r w:rsidR="00C31CD7" w:rsidRPr="0036089D">
        <w:rPr>
          <w:rFonts w:ascii="Calibri" w:hAnsi="Calibri" w:cs="Arial"/>
          <w:lang w:eastAsia="en-AU"/>
        </w:rPr>
        <w:t>the data</w:t>
      </w:r>
      <w:r w:rsidR="008A0C11" w:rsidRPr="0036089D">
        <w:rPr>
          <w:rFonts w:ascii="Calibri" w:hAnsi="Calibri" w:cs="Arial"/>
          <w:lang w:eastAsia="en-AU"/>
        </w:rPr>
        <w:t xml:space="preserve"> against population zones across Australia, in line wit</w:t>
      </w:r>
      <w:r w:rsidR="00C31CD7" w:rsidRPr="0036089D">
        <w:rPr>
          <w:rFonts w:ascii="Calibri" w:hAnsi="Calibri" w:cs="Arial"/>
          <w:lang w:eastAsia="en-AU"/>
        </w:rPr>
        <w:t>h</w:t>
      </w:r>
      <w:r w:rsidR="008A0C11" w:rsidRPr="0036089D">
        <w:rPr>
          <w:rFonts w:ascii="Calibri" w:hAnsi="Calibri" w:cs="Arial"/>
          <w:lang w:eastAsia="en-AU"/>
        </w:rPr>
        <w:t xml:space="preserve"> delivery requirements for </w:t>
      </w:r>
      <w:r w:rsidR="00B97029" w:rsidRPr="0036089D">
        <w:rPr>
          <w:rFonts w:ascii="Calibri" w:hAnsi="Calibri" w:cs="Arial"/>
          <w:lang w:eastAsia="en-AU"/>
        </w:rPr>
        <w:t>each region</w:t>
      </w:r>
      <w:r w:rsidR="008A0C11" w:rsidRPr="0036089D">
        <w:rPr>
          <w:rFonts w:ascii="Calibri" w:hAnsi="Calibri" w:cs="Arial"/>
          <w:lang w:eastAsia="en-AU"/>
        </w:rPr>
        <w:t>. The Department’s assessment confirmed that</w:t>
      </w:r>
      <w:r w:rsidR="00D979D8" w:rsidRPr="0036089D">
        <w:rPr>
          <w:rFonts w:ascii="Calibri" w:hAnsi="Calibri" w:cs="Arial"/>
          <w:lang w:eastAsia="en-AU"/>
        </w:rPr>
        <w:t xml:space="preserve"> the four co-regulatory arrangements listed above successfully delivered services in each reasonable access zone.</w:t>
      </w:r>
      <w:r w:rsidRPr="0036089D">
        <w:rPr>
          <w:rFonts w:ascii="Calibri" w:hAnsi="Calibri" w:cs="Arial"/>
          <w:lang w:eastAsia="en-AU"/>
        </w:rPr>
        <w:t xml:space="preserve"> </w:t>
      </w:r>
    </w:p>
    <w:p w:rsidR="001D2679" w:rsidRPr="0036089D" w:rsidRDefault="00A92A3F" w:rsidP="001D2679">
      <w:pPr>
        <w:rPr>
          <w:rFonts w:ascii="Calibri" w:hAnsi="Calibri" w:cs="Arial"/>
          <w:lang w:eastAsia="en-AU"/>
        </w:rPr>
      </w:pPr>
      <w:r>
        <w:rPr>
          <w:rFonts w:ascii="Calibri" w:hAnsi="Calibri" w:cs="Arial"/>
          <w:lang w:eastAsia="en-AU"/>
        </w:rPr>
        <w:t xml:space="preserve">Based on the available information, </w:t>
      </w:r>
      <w:r w:rsidR="00C31CD7" w:rsidRPr="0036089D">
        <w:rPr>
          <w:rFonts w:ascii="Calibri" w:hAnsi="Calibri" w:cs="Arial"/>
          <w:lang w:eastAsia="en-AU"/>
        </w:rPr>
        <w:t xml:space="preserve">Reverse E-Waste did not </w:t>
      </w:r>
      <w:r>
        <w:rPr>
          <w:rFonts w:ascii="Calibri" w:hAnsi="Calibri" w:cs="Arial"/>
          <w:lang w:eastAsia="en-AU"/>
        </w:rPr>
        <w:t>meet the</w:t>
      </w:r>
      <w:r w:rsidR="00C31CD7" w:rsidRPr="0036089D">
        <w:rPr>
          <w:rFonts w:ascii="Calibri" w:hAnsi="Calibri" w:cs="Arial"/>
          <w:lang w:eastAsia="en-AU"/>
        </w:rPr>
        <w:t xml:space="preserve"> reasonable access</w:t>
      </w:r>
      <w:r>
        <w:rPr>
          <w:rFonts w:ascii="Calibri" w:hAnsi="Calibri" w:cs="Arial"/>
          <w:lang w:eastAsia="en-AU"/>
        </w:rPr>
        <w:t xml:space="preserve"> requirement</w:t>
      </w:r>
      <w:r w:rsidR="00C31CD7" w:rsidRPr="0036089D">
        <w:rPr>
          <w:rFonts w:ascii="Calibri" w:hAnsi="Calibri" w:cs="Arial"/>
          <w:lang w:eastAsia="en-AU"/>
        </w:rPr>
        <w:t xml:space="preserve">. </w:t>
      </w:r>
    </w:p>
    <w:p w:rsidR="008F53BB" w:rsidRPr="0036089D" w:rsidRDefault="008F53BB">
      <w:pPr>
        <w:spacing w:after="0" w:line="240" w:lineRule="auto"/>
        <w:rPr>
          <w:rFonts w:cs="Arial"/>
          <w:b/>
        </w:rPr>
      </w:pPr>
      <w:r w:rsidRPr="0036089D">
        <w:br w:type="page"/>
      </w:r>
    </w:p>
    <w:p w:rsidR="00424EA6" w:rsidRPr="0036089D" w:rsidRDefault="00267F5C" w:rsidP="00B97029">
      <w:pPr>
        <w:pStyle w:val="Heading2"/>
      </w:pPr>
      <w:bookmarkStart w:id="33" w:name="_Toc450650991"/>
      <w:r w:rsidRPr="0036089D">
        <w:t xml:space="preserve">Outcome 2: </w:t>
      </w:r>
      <w:r w:rsidR="001D2679" w:rsidRPr="0036089D">
        <w:t>Meeting allocated recycling targets</w:t>
      </w:r>
      <w:bookmarkEnd w:id="33"/>
    </w:p>
    <w:tbl>
      <w:tblPr>
        <w:tblStyle w:val="MediumShading1-Accent11"/>
        <w:tblW w:w="0" w:type="auto"/>
        <w:tblLook w:val="04A0" w:firstRow="1" w:lastRow="0" w:firstColumn="1" w:lastColumn="0" w:noHBand="0" w:noVBand="1"/>
      </w:tblPr>
      <w:tblGrid>
        <w:gridCol w:w="1862"/>
        <w:gridCol w:w="1860"/>
        <w:gridCol w:w="1860"/>
        <w:gridCol w:w="1866"/>
        <w:gridCol w:w="1865"/>
      </w:tblGrid>
      <w:tr w:rsidR="00520463" w:rsidRPr="0036089D" w:rsidTr="00A73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8" w:type="dxa"/>
            <w:gridSpan w:val="5"/>
            <w:vAlign w:val="center"/>
          </w:tcPr>
          <w:p w:rsidR="00520463" w:rsidRPr="0036089D" w:rsidRDefault="00520463" w:rsidP="00A73C9B">
            <w:pPr>
              <w:spacing w:before="120" w:after="120"/>
              <w:jc w:val="center"/>
              <w:rPr>
                <w:sz w:val="20"/>
                <w:szCs w:val="20"/>
              </w:rPr>
            </w:pPr>
            <w:r w:rsidRPr="0036089D">
              <w:rPr>
                <w:sz w:val="20"/>
                <w:szCs w:val="20"/>
              </w:rPr>
              <w:t>Co-regulatory arrangements successful in meeting 2014–15 recycling target</w:t>
            </w:r>
          </w:p>
        </w:tc>
      </w:tr>
      <w:tr w:rsidR="00520463" w:rsidRPr="0036089D" w:rsidTr="00A73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rsidR="00520463" w:rsidRPr="0036089D" w:rsidRDefault="00520463" w:rsidP="00A73C9B">
            <w:pPr>
              <w:spacing w:before="120" w:after="120"/>
              <w:jc w:val="center"/>
              <w:rPr>
                <w:b w:val="0"/>
                <w:sz w:val="20"/>
                <w:szCs w:val="20"/>
              </w:rPr>
            </w:pPr>
            <w:r w:rsidRPr="0036089D">
              <w:rPr>
                <w:b w:val="0"/>
                <w:sz w:val="20"/>
                <w:szCs w:val="20"/>
              </w:rPr>
              <w:t>ANZRP</w:t>
            </w:r>
          </w:p>
        </w:tc>
        <w:tc>
          <w:tcPr>
            <w:tcW w:w="1885" w:type="dxa"/>
            <w:vAlign w:val="center"/>
          </w:tcPr>
          <w:p w:rsidR="00520463" w:rsidRPr="0036089D" w:rsidRDefault="00520463" w:rsidP="00A73C9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DHL Supply Chain</w:t>
            </w:r>
          </w:p>
        </w:tc>
        <w:tc>
          <w:tcPr>
            <w:tcW w:w="1886" w:type="dxa"/>
            <w:vAlign w:val="center"/>
          </w:tcPr>
          <w:p w:rsidR="00520463" w:rsidRPr="0036089D" w:rsidRDefault="00520463" w:rsidP="00A73C9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EPSA</w:t>
            </w:r>
          </w:p>
        </w:tc>
        <w:tc>
          <w:tcPr>
            <w:tcW w:w="1886" w:type="dxa"/>
            <w:vAlign w:val="center"/>
          </w:tcPr>
          <w:p w:rsidR="00520463" w:rsidRPr="0036089D" w:rsidRDefault="00520463" w:rsidP="00A73C9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E-Cycle Solutions</w:t>
            </w:r>
          </w:p>
        </w:tc>
        <w:tc>
          <w:tcPr>
            <w:tcW w:w="1886" w:type="dxa"/>
            <w:vAlign w:val="center"/>
          </w:tcPr>
          <w:p w:rsidR="00520463" w:rsidRPr="0036089D" w:rsidRDefault="00520463" w:rsidP="00A73C9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Reverse E</w:t>
            </w:r>
            <w:r w:rsidRPr="0036089D">
              <w:rPr>
                <w:sz w:val="20"/>
                <w:szCs w:val="20"/>
              </w:rPr>
              <w:noBreakHyphen/>
            </w:r>
            <w:r w:rsidR="003A0B92" w:rsidRPr="0036089D">
              <w:rPr>
                <w:sz w:val="20"/>
                <w:szCs w:val="20"/>
              </w:rPr>
              <w:t>W</w:t>
            </w:r>
            <w:r w:rsidRPr="0036089D">
              <w:rPr>
                <w:sz w:val="20"/>
                <w:szCs w:val="20"/>
              </w:rPr>
              <w:t>aste</w:t>
            </w:r>
          </w:p>
        </w:tc>
      </w:tr>
      <w:tr w:rsidR="00520463" w:rsidRPr="0036089D" w:rsidTr="00A73C9B">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885" w:type="dxa"/>
            <w:vAlign w:val="center"/>
          </w:tcPr>
          <w:p w:rsidR="00520463" w:rsidRPr="0036089D" w:rsidRDefault="00520463" w:rsidP="00A73C9B">
            <w:pPr>
              <w:spacing w:before="240"/>
              <w:jc w:val="center"/>
              <w:rPr>
                <w:b w:val="0"/>
                <w:color w:val="1F497D" w:themeColor="text2"/>
                <w:sz w:val="32"/>
                <w:szCs w:val="32"/>
              </w:rPr>
            </w:pPr>
            <w:r w:rsidRPr="0036089D">
              <w:rPr>
                <w:b w:val="0"/>
                <w:color w:val="1F497D" w:themeColor="text2"/>
                <w:sz w:val="32"/>
                <w:szCs w:val="32"/>
              </w:rPr>
              <w:sym w:font="Wingdings" w:char="F0FC"/>
            </w:r>
          </w:p>
        </w:tc>
        <w:tc>
          <w:tcPr>
            <w:tcW w:w="1885" w:type="dxa"/>
            <w:vAlign w:val="center"/>
          </w:tcPr>
          <w:p w:rsidR="00520463" w:rsidRPr="0036089D" w:rsidRDefault="00520463" w:rsidP="00A73C9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C"/>
            </w:r>
          </w:p>
        </w:tc>
        <w:tc>
          <w:tcPr>
            <w:tcW w:w="1886" w:type="dxa"/>
            <w:vAlign w:val="center"/>
          </w:tcPr>
          <w:p w:rsidR="00520463" w:rsidRPr="0036089D" w:rsidRDefault="00520463" w:rsidP="00A73C9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C"/>
            </w:r>
          </w:p>
        </w:tc>
        <w:tc>
          <w:tcPr>
            <w:tcW w:w="1886" w:type="dxa"/>
            <w:vAlign w:val="center"/>
          </w:tcPr>
          <w:p w:rsidR="00520463" w:rsidRPr="0036089D" w:rsidRDefault="00520463" w:rsidP="00A73C9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C"/>
            </w:r>
          </w:p>
        </w:tc>
        <w:tc>
          <w:tcPr>
            <w:tcW w:w="1886" w:type="dxa"/>
            <w:vAlign w:val="center"/>
          </w:tcPr>
          <w:p w:rsidR="00520463" w:rsidRPr="0036089D" w:rsidRDefault="00520463" w:rsidP="00A73C9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B"/>
            </w:r>
          </w:p>
        </w:tc>
      </w:tr>
    </w:tbl>
    <w:p w:rsidR="00520463" w:rsidRPr="0036089D" w:rsidRDefault="00520463" w:rsidP="00520463"/>
    <w:p w:rsidR="001070ED" w:rsidRPr="0036089D" w:rsidRDefault="005B5A18" w:rsidP="005B5A18">
      <w:pPr>
        <w:spacing w:before="240"/>
        <w:rPr>
          <w:rFonts w:ascii="Calibri" w:hAnsi="Calibri" w:cs="Arial"/>
          <w:lang w:eastAsia="en-AU"/>
        </w:rPr>
      </w:pPr>
      <w:r w:rsidRPr="0036089D">
        <w:rPr>
          <w:rFonts w:ascii="Calibri" w:hAnsi="Calibri" w:cs="Arial"/>
          <w:lang w:eastAsia="en-AU"/>
        </w:rPr>
        <w:t>In 201</w:t>
      </w:r>
      <w:r w:rsidR="00712C61" w:rsidRPr="0036089D">
        <w:rPr>
          <w:rFonts w:ascii="Calibri" w:hAnsi="Calibri" w:cs="Arial"/>
          <w:lang w:eastAsia="en-AU"/>
        </w:rPr>
        <w:t>4</w:t>
      </w:r>
      <w:r w:rsidRPr="0036089D">
        <w:rPr>
          <w:rFonts w:ascii="Calibri" w:hAnsi="Calibri" w:cs="Arial"/>
          <w:lang w:eastAsia="en-AU"/>
        </w:rPr>
        <w:t>–1</w:t>
      </w:r>
      <w:r w:rsidR="00712C61" w:rsidRPr="0036089D">
        <w:rPr>
          <w:rFonts w:ascii="Calibri" w:hAnsi="Calibri" w:cs="Arial"/>
          <w:lang w:eastAsia="en-AU"/>
        </w:rPr>
        <w:t>5</w:t>
      </w:r>
      <w:r w:rsidRPr="0036089D">
        <w:rPr>
          <w:rFonts w:ascii="Calibri" w:hAnsi="Calibri" w:cs="Arial"/>
          <w:lang w:eastAsia="en-AU"/>
        </w:rPr>
        <w:t xml:space="preserve"> an estimated </w:t>
      </w:r>
      <w:r w:rsidR="008C4C3E" w:rsidRPr="0036089D">
        <w:rPr>
          <w:rFonts w:ascii="Calibri" w:hAnsi="Calibri" w:cs="Arial"/>
          <w:lang w:eastAsia="en-AU"/>
        </w:rPr>
        <w:t>121,866</w:t>
      </w:r>
      <w:r w:rsidR="00424EA6" w:rsidRPr="0036089D">
        <w:rPr>
          <w:rFonts w:ascii="Calibri" w:hAnsi="Calibri" w:cs="Arial"/>
          <w:lang w:eastAsia="en-AU"/>
        </w:rPr>
        <w:t xml:space="preserve"> </w:t>
      </w:r>
      <w:r w:rsidRPr="0036089D">
        <w:rPr>
          <w:rFonts w:ascii="Calibri" w:hAnsi="Calibri" w:cs="Arial"/>
          <w:lang w:eastAsia="en-AU"/>
        </w:rPr>
        <w:t xml:space="preserve">tonnes of televisions and computers reached end-of-life in Australia. This </w:t>
      </w:r>
      <w:r w:rsidR="008C4C3E" w:rsidRPr="0036089D">
        <w:rPr>
          <w:rFonts w:ascii="Calibri" w:hAnsi="Calibri" w:cs="Arial"/>
          <w:lang w:eastAsia="en-AU"/>
        </w:rPr>
        <w:t xml:space="preserve">figure </w:t>
      </w:r>
      <w:r w:rsidRPr="0036089D">
        <w:rPr>
          <w:rFonts w:ascii="Calibri" w:hAnsi="Calibri" w:cs="Arial"/>
          <w:lang w:eastAsia="en-AU"/>
        </w:rPr>
        <w:t xml:space="preserve">is calculated </w:t>
      </w:r>
      <w:r w:rsidR="008C4C3E" w:rsidRPr="0036089D">
        <w:rPr>
          <w:rFonts w:ascii="Calibri" w:hAnsi="Calibri" w:cs="Arial"/>
          <w:lang w:eastAsia="en-AU"/>
        </w:rPr>
        <w:t>based on</w:t>
      </w:r>
      <w:r w:rsidRPr="0036089D">
        <w:rPr>
          <w:rFonts w:ascii="Calibri" w:hAnsi="Calibri" w:cs="Arial"/>
          <w:lang w:eastAsia="en-AU"/>
        </w:rPr>
        <w:t xml:space="preserve"> the average converted weight of the previous three years’ total imports and manufacturi</w:t>
      </w:r>
      <w:r w:rsidR="008C4C3E" w:rsidRPr="0036089D">
        <w:rPr>
          <w:rFonts w:ascii="Calibri" w:hAnsi="Calibri" w:cs="Arial"/>
          <w:lang w:eastAsia="en-AU"/>
        </w:rPr>
        <w:t>ng of televisions and computers. The purpose of using an average of the three previous year’s imports is to smooth out any peaks and troughs in annual import activity.</w:t>
      </w:r>
      <w:r w:rsidRPr="0036089D">
        <w:rPr>
          <w:rFonts w:ascii="Calibri" w:hAnsi="Calibri" w:cs="Arial"/>
          <w:lang w:eastAsia="en-AU"/>
        </w:rPr>
        <w:t xml:space="preserve"> </w:t>
      </w:r>
      <w:r w:rsidR="008C4C3E" w:rsidRPr="0036089D">
        <w:rPr>
          <w:rFonts w:ascii="Calibri" w:hAnsi="Calibri" w:cs="Arial"/>
          <w:lang w:eastAsia="en-AU"/>
        </w:rPr>
        <w:t xml:space="preserve">Scaling factors </w:t>
      </w:r>
      <w:r w:rsidR="0033650C" w:rsidRPr="0036089D">
        <w:rPr>
          <w:rFonts w:ascii="Calibri" w:hAnsi="Calibri" w:cs="Arial"/>
          <w:lang w:eastAsia="en-AU"/>
        </w:rPr>
        <w:t xml:space="preserve">for televisions, computers, printers and parts and peripherals </w:t>
      </w:r>
      <w:r w:rsidR="008C4C3E" w:rsidRPr="0036089D">
        <w:rPr>
          <w:rFonts w:ascii="Calibri" w:hAnsi="Calibri" w:cs="Arial"/>
          <w:lang w:eastAsia="en-AU"/>
        </w:rPr>
        <w:t>are then applied to the waste arising figure, to reflect the different product lifecycles and disposal trends</w:t>
      </w:r>
      <w:r w:rsidR="004F574E" w:rsidRPr="0036089D">
        <w:rPr>
          <w:rFonts w:ascii="Calibri" w:hAnsi="Calibri" w:cs="Arial"/>
          <w:lang w:eastAsia="en-AU"/>
        </w:rPr>
        <w:t xml:space="preserve"> in the Australian waste stream</w:t>
      </w:r>
      <w:r w:rsidRPr="0036089D">
        <w:rPr>
          <w:rFonts w:ascii="Calibri" w:hAnsi="Calibri" w:cs="Arial"/>
          <w:lang w:eastAsia="en-AU"/>
        </w:rPr>
        <w:t xml:space="preserve">. </w:t>
      </w:r>
    </w:p>
    <w:p w:rsidR="001070ED" w:rsidRPr="0036089D" w:rsidRDefault="0037095E" w:rsidP="00024654">
      <w:pPr>
        <w:spacing w:before="240"/>
        <w:rPr>
          <w:rFonts w:ascii="Calibri" w:hAnsi="Calibri" w:cs="Arial"/>
          <w:lang w:eastAsia="en-AU"/>
        </w:rPr>
      </w:pPr>
      <w:r>
        <w:rPr>
          <w:rFonts w:ascii="Calibri" w:hAnsi="Calibri" w:cs="Arial"/>
          <w:noProof/>
          <w:lang w:eastAsia="en-AU"/>
        </w:rPr>
        <mc:AlternateContent>
          <mc:Choice Requires="wps">
            <w:drawing>
              <wp:anchor distT="0" distB="0" distL="114300" distR="114300" simplePos="0" relativeHeight="251656704" behindDoc="1" locked="0" layoutInCell="1" allowOverlap="1" wp14:anchorId="623F1A62" wp14:editId="29E4045C">
                <wp:simplePos x="0" y="0"/>
                <wp:positionH relativeFrom="column">
                  <wp:posOffset>5080</wp:posOffset>
                </wp:positionH>
                <wp:positionV relativeFrom="paragraph">
                  <wp:posOffset>1137920</wp:posOffset>
                </wp:positionV>
                <wp:extent cx="2861945" cy="1541145"/>
                <wp:effectExtent l="14605" t="15240" r="9525" b="24765"/>
                <wp:wrapTight wrapText="bothSides">
                  <wp:wrapPolygon edited="0">
                    <wp:start x="-72" y="-133"/>
                    <wp:lineTo x="-72" y="21867"/>
                    <wp:lineTo x="21672" y="21867"/>
                    <wp:lineTo x="21672" y="-133"/>
                    <wp:lineTo x="-72" y="-133"/>
                  </wp:wrapPolygon>
                </wp:wrapTight>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154114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3A2863" w:rsidRDefault="003A2863" w:rsidP="00390D7D">
                            <w:pPr>
                              <w:pStyle w:val="ListBullet"/>
                              <w:numPr>
                                <w:ilvl w:val="0"/>
                                <w:numId w:val="0"/>
                              </w:numPr>
                              <w:spacing w:after="0"/>
                              <w:ind w:left="369" w:hanging="369"/>
                              <w:rPr>
                                <w:rFonts w:ascii="Calibri" w:hAnsi="Calibri"/>
                                <w:b/>
                                <w:bCs/>
                              </w:rPr>
                            </w:pPr>
                            <w:r>
                              <w:rPr>
                                <w:rFonts w:ascii="Calibri" w:hAnsi="Calibri"/>
                                <w:b/>
                                <w:bCs/>
                              </w:rPr>
                              <w:t>RECYCLING ACHIEVEMENT</w:t>
                            </w:r>
                          </w:p>
                          <w:p w:rsidR="003A2863" w:rsidRDefault="003A2863" w:rsidP="00390D7D">
                            <w:pPr>
                              <w:pStyle w:val="ListBullet"/>
                              <w:numPr>
                                <w:ilvl w:val="0"/>
                                <w:numId w:val="0"/>
                              </w:numPr>
                              <w:spacing w:before="240" w:after="0"/>
                              <w:ind w:left="369" w:hanging="369"/>
                              <w:rPr>
                                <w:rFonts w:ascii="Calibri" w:hAnsi="Calibri"/>
                                <w:b/>
                                <w:bCs/>
                              </w:rPr>
                            </w:pPr>
                            <w:r>
                              <w:rPr>
                                <w:rFonts w:ascii="Calibri" w:hAnsi="Calibri"/>
                                <w:b/>
                                <w:bCs/>
                              </w:rPr>
                              <w:t xml:space="preserve">Total waste arising: </w:t>
                            </w:r>
                            <w:r>
                              <w:rPr>
                                <w:rFonts w:cs="Arial"/>
                                <w:color w:val="000000"/>
                                <w:sz w:val="20"/>
                                <w:szCs w:val="20"/>
                              </w:rPr>
                              <w:t xml:space="preserve">121,868.9 </w:t>
                            </w:r>
                            <w:r w:rsidRPr="001070ED">
                              <w:rPr>
                                <w:rFonts w:ascii="Calibri" w:hAnsi="Calibri"/>
                                <w:bCs/>
                              </w:rPr>
                              <w:t>tonnes</w:t>
                            </w:r>
                          </w:p>
                          <w:p w:rsidR="003A2863" w:rsidRDefault="003A2863" w:rsidP="001070ED">
                            <w:pPr>
                              <w:pStyle w:val="ListBullet"/>
                              <w:numPr>
                                <w:ilvl w:val="0"/>
                                <w:numId w:val="0"/>
                              </w:numPr>
                              <w:spacing w:after="0"/>
                              <w:ind w:left="369" w:hanging="369"/>
                              <w:rPr>
                                <w:rFonts w:ascii="Calibri" w:hAnsi="Calibri"/>
                                <w:b/>
                                <w:bCs/>
                              </w:rPr>
                            </w:pPr>
                          </w:p>
                          <w:p w:rsidR="003A2863" w:rsidRPr="00D10276" w:rsidRDefault="003A2863" w:rsidP="001070ED">
                            <w:pPr>
                              <w:pStyle w:val="ListBullet"/>
                              <w:numPr>
                                <w:ilvl w:val="0"/>
                                <w:numId w:val="0"/>
                              </w:numPr>
                              <w:spacing w:after="0"/>
                              <w:ind w:left="369" w:hanging="369"/>
                              <w:rPr>
                                <w:rFonts w:ascii="Calibri" w:hAnsi="Calibri"/>
                                <w:b/>
                                <w:bCs/>
                              </w:rPr>
                            </w:pPr>
                            <w:r>
                              <w:rPr>
                                <w:rFonts w:ascii="Calibri" w:hAnsi="Calibri"/>
                                <w:b/>
                                <w:bCs/>
                              </w:rPr>
                              <w:t xml:space="preserve">Scheme </w:t>
                            </w:r>
                            <w:r w:rsidRPr="00E24056">
                              <w:rPr>
                                <w:rFonts w:ascii="Calibri" w:hAnsi="Calibri"/>
                                <w:b/>
                                <w:bCs/>
                              </w:rPr>
                              <w:t xml:space="preserve">recycling target: </w:t>
                            </w:r>
                            <w:r w:rsidRPr="0020051F">
                              <w:rPr>
                                <w:rFonts w:cs="Arial"/>
                                <w:sz w:val="20"/>
                                <w:szCs w:val="20"/>
                              </w:rPr>
                              <w:t xml:space="preserve">42,653.2 </w:t>
                            </w:r>
                            <w:r w:rsidRPr="0020051F">
                              <w:rPr>
                                <w:rFonts w:cs="Arial"/>
                                <w:bCs/>
                                <w:sz w:val="20"/>
                                <w:szCs w:val="20"/>
                              </w:rPr>
                              <w:t>tonnes</w:t>
                            </w:r>
                          </w:p>
                          <w:p w:rsidR="003A2863" w:rsidRDefault="003A2863" w:rsidP="001070ED">
                            <w:pPr>
                              <w:pStyle w:val="ListBullet"/>
                              <w:numPr>
                                <w:ilvl w:val="0"/>
                                <w:numId w:val="0"/>
                              </w:numPr>
                              <w:spacing w:after="0"/>
                              <w:ind w:left="369" w:hanging="369"/>
                              <w:rPr>
                                <w:rFonts w:ascii="Calibri" w:hAnsi="Calibri"/>
                                <w:b/>
                                <w:bCs/>
                              </w:rPr>
                            </w:pPr>
                          </w:p>
                          <w:p w:rsidR="003A2863" w:rsidRPr="0076018B" w:rsidRDefault="003A2863" w:rsidP="001070ED">
                            <w:pPr>
                              <w:pStyle w:val="ListBullet"/>
                              <w:numPr>
                                <w:ilvl w:val="0"/>
                                <w:numId w:val="0"/>
                              </w:numPr>
                              <w:spacing w:after="0"/>
                              <w:ind w:left="369" w:hanging="369"/>
                              <w:rPr>
                                <w:rFonts w:ascii="Calibri" w:hAnsi="Calibri"/>
                                <w:b/>
                                <w:bCs/>
                              </w:rPr>
                            </w:pPr>
                            <w:r>
                              <w:rPr>
                                <w:rFonts w:ascii="Calibri" w:hAnsi="Calibri"/>
                                <w:b/>
                                <w:bCs/>
                              </w:rPr>
                              <w:t xml:space="preserve">Scheme </w:t>
                            </w:r>
                            <w:r w:rsidRPr="00D10276">
                              <w:rPr>
                                <w:rFonts w:ascii="Calibri" w:hAnsi="Calibri"/>
                                <w:b/>
                                <w:bCs/>
                              </w:rPr>
                              <w:t xml:space="preserve">recycling </w:t>
                            </w:r>
                            <w:r>
                              <w:rPr>
                                <w:rFonts w:ascii="Calibri" w:hAnsi="Calibri"/>
                                <w:b/>
                                <w:bCs/>
                              </w:rPr>
                              <w:t xml:space="preserve">outcome:  </w:t>
                            </w:r>
                            <w:r w:rsidRPr="00AA229C">
                              <w:rPr>
                                <w:rFonts w:cs="Arial"/>
                                <w:sz w:val="20"/>
                                <w:szCs w:val="20"/>
                              </w:rPr>
                              <w:t>44,</w:t>
                            </w:r>
                            <w:r>
                              <w:rPr>
                                <w:rFonts w:cs="Arial"/>
                                <w:sz w:val="20"/>
                                <w:szCs w:val="20"/>
                              </w:rPr>
                              <w:t xml:space="preserve">730.5 </w:t>
                            </w:r>
                            <w:r w:rsidRPr="001070ED">
                              <w:rPr>
                                <w:rFonts w:ascii="Calibri" w:hAnsi="Calibri"/>
                                <w:bCs/>
                              </w:rPr>
                              <w:t>tonnes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F1A62" id="Text Box 16" o:spid="_x0000_s1028" type="#_x0000_t202" style="position:absolute;margin-left:.4pt;margin-top:89.6pt;width:225.35pt;height:12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" fillcolor="white [3201]" strokecolor="#95b3d7 [1940]" strokeweight="1pt">
                <v:fill color2="#b8cce4 [1300]" focus="100%" type="gradient"/>
                <v:shadow on="t" color="#243f60 [1604]" opacity=".5" offset="1pt"/>
                <v:textbox>
                  <w:txbxContent>
                    <w:p w:rsidR="003A2863" w:rsidRDefault="003A2863" w:rsidP="00390D7D">
                      <w:pPr>
                        <w:pStyle w:val="ListBullet"/>
                        <w:numPr>
                          <w:ilvl w:val="0"/>
                          <w:numId w:val="0"/>
                        </w:numPr>
                        <w:spacing w:after="0"/>
                        <w:ind w:left="369" w:hanging="369"/>
                        <w:rPr>
                          <w:rFonts w:ascii="Calibri" w:hAnsi="Calibri"/>
                          <w:b/>
                          <w:bCs/>
                        </w:rPr>
                      </w:pPr>
                      <w:r>
                        <w:rPr>
                          <w:rFonts w:ascii="Calibri" w:hAnsi="Calibri"/>
                          <w:b/>
                          <w:bCs/>
                        </w:rPr>
                        <w:t>RECYCLING ACHIEVEMENT</w:t>
                      </w:r>
                    </w:p>
                    <w:p w:rsidR="003A2863" w:rsidRDefault="003A2863" w:rsidP="00390D7D">
                      <w:pPr>
                        <w:pStyle w:val="ListBullet"/>
                        <w:numPr>
                          <w:ilvl w:val="0"/>
                          <w:numId w:val="0"/>
                        </w:numPr>
                        <w:spacing w:before="240" w:after="0"/>
                        <w:ind w:left="369" w:hanging="369"/>
                        <w:rPr>
                          <w:rFonts w:ascii="Calibri" w:hAnsi="Calibri"/>
                          <w:b/>
                          <w:bCs/>
                        </w:rPr>
                      </w:pPr>
                      <w:r>
                        <w:rPr>
                          <w:rFonts w:ascii="Calibri" w:hAnsi="Calibri"/>
                          <w:b/>
                          <w:bCs/>
                        </w:rPr>
                        <w:t xml:space="preserve">Total waste arising: </w:t>
                      </w:r>
                      <w:r>
                        <w:rPr>
                          <w:rFonts w:cs="Arial"/>
                          <w:color w:val="000000"/>
                          <w:sz w:val="20"/>
                          <w:szCs w:val="20"/>
                        </w:rPr>
                        <w:t xml:space="preserve">121,868.9 </w:t>
                      </w:r>
                      <w:r w:rsidRPr="001070ED">
                        <w:rPr>
                          <w:rFonts w:ascii="Calibri" w:hAnsi="Calibri"/>
                          <w:bCs/>
                        </w:rPr>
                        <w:t>tonnes</w:t>
                      </w:r>
                    </w:p>
                    <w:p w:rsidR="003A2863" w:rsidRDefault="003A2863" w:rsidP="001070ED">
                      <w:pPr>
                        <w:pStyle w:val="ListBullet"/>
                        <w:numPr>
                          <w:ilvl w:val="0"/>
                          <w:numId w:val="0"/>
                        </w:numPr>
                        <w:spacing w:after="0"/>
                        <w:ind w:left="369" w:hanging="369"/>
                        <w:rPr>
                          <w:rFonts w:ascii="Calibri" w:hAnsi="Calibri"/>
                          <w:b/>
                          <w:bCs/>
                        </w:rPr>
                      </w:pPr>
                    </w:p>
                    <w:p w:rsidR="003A2863" w:rsidRPr="00D10276" w:rsidRDefault="003A2863" w:rsidP="001070ED">
                      <w:pPr>
                        <w:pStyle w:val="ListBullet"/>
                        <w:numPr>
                          <w:ilvl w:val="0"/>
                          <w:numId w:val="0"/>
                        </w:numPr>
                        <w:spacing w:after="0"/>
                        <w:ind w:left="369" w:hanging="369"/>
                        <w:rPr>
                          <w:rFonts w:ascii="Calibri" w:hAnsi="Calibri"/>
                          <w:b/>
                          <w:bCs/>
                        </w:rPr>
                      </w:pPr>
                      <w:r>
                        <w:rPr>
                          <w:rFonts w:ascii="Calibri" w:hAnsi="Calibri"/>
                          <w:b/>
                          <w:bCs/>
                        </w:rPr>
                        <w:t xml:space="preserve">Scheme </w:t>
                      </w:r>
                      <w:r w:rsidRPr="00E24056">
                        <w:rPr>
                          <w:rFonts w:ascii="Calibri" w:hAnsi="Calibri"/>
                          <w:b/>
                          <w:bCs/>
                        </w:rPr>
                        <w:t xml:space="preserve">recycling target: </w:t>
                      </w:r>
                      <w:r w:rsidRPr="0020051F">
                        <w:rPr>
                          <w:rFonts w:cs="Arial"/>
                          <w:sz w:val="20"/>
                          <w:szCs w:val="20"/>
                        </w:rPr>
                        <w:t xml:space="preserve">42,653.2 </w:t>
                      </w:r>
                      <w:r w:rsidRPr="0020051F">
                        <w:rPr>
                          <w:rFonts w:cs="Arial"/>
                          <w:bCs/>
                          <w:sz w:val="20"/>
                          <w:szCs w:val="20"/>
                        </w:rPr>
                        <w:t>tonnes</w:t>
                      </w:r>
                    </w:p>
                    <w:p w:rsidR="003A2863" w:rsidRDefault="003A2863" w:rsidP="001070ED">
                      <w:pPr>
                        <w:pStyle w:val="ListBullet"/>
                        <w:numPr>
                          <w:ilvl w:val="0"/>
                          <w:numId w:val="0"/>
                        </w:numPr>
                        <w:spacing w:after="0"/>
                        <w:ind w:left="369" w:hanging="369"/>
                        <w:rPr>
                          <w:rFonts w:ascii="Calibri" w:hAnsi="Calibri"/>
                          <w:b/>
                          <w:bCs/>
                        </w:rPr>
                      </w:pPr>
                    </w:p>
                    <w:p w:rsidR="003A2863" w:rsidRPr="0076018B" w:rsidRDefault="003A2863" w:rsidP="001070ED">
                      <w:pPr>
                        <w:pStyle w:val="ListBullet"/>
                        <w:numPr>
                          <w:ilvl w:val="0"/>
                          <w:numId w:val="0"/>
                        </w:numPr>
                        <w:spacing w:after="0"/>
                        <w:ind w:left="369" w:hanging="369"/>
                        <w:rPr>
                          <w:rFonts w:ascii="Calibri" w:hAnsi="Calibri"/>
                          <w:b/>
                          <w:bCs/>
                        </w:rPr>
                      </w:pPr>
                      <w:r>
                        <w:rPr>
                          <w:rFonts w:ascii="Calibri" w:hAnsi="Calibri"/>
                          <w:b/>
                          <w:bCs/>
                        </w:rPr>
                        <w:t xml:space="preserve">Scheme </w:t>
                      </w:r>
                      <w:r w:rsidRPr="00D10276">
                        <w:rPr>
                          <w:rFonts w:ascii="Calibri" w:hAnsi="Calibri"/>
                          <w:b/>
                          <w:bCs/>
                        </w:rPr>
                        <w:t xml:space="preserve">recycling </w:t>
                      </w:r>
                      <w:r>
                        <w:rPr>
                          <w:rFonts w:ascii="Calibri" w:hAnsi="Calibri"/>
                          <w:b/>
                          <w:bCs/>
                        </w:rPr>
                        <w:t xml:space="preserve">outcome:  </w:t>
                      </w:r>
                      <w:r w:rsidRPr="00AA229C">
                        <w:rPr>
                          <w:rFonts w:cs="Arial"/>
                          <w:sz w:val="20"/>
                          <w:szCs w:val="20"/>
                        </w:rPr>
                        <w:t>44,</w:t>
                      </w:r>
                      <w:r>
                        <w:rPr>
                          <w:rFonts w:cs="Arial"/>
                          <w:sz w:val="20"/>
                          <w:szCs w:val="20"/>
                        </w:rPr>
                        <w:t xml:space="preserve">730.5 </w:t>
                      </w:r>
                      <w:r w:rsidRPr="001070ED">
                        <w:rPr>
                          <w:rFonts w:ascii="Calibri" w:hAnsi="Calibri"/>
                          <w:bCs/>
                        </w:rPr>
                        <w:t>tonnes</w:t>
                      </w:r>
                    </w:p>
                  </w:txbxContent>
                </v:textbox>
                <w10:wrap type="tight"/>
              </v:shape>
            </w:pict>
          </mc:Fallback>
        </mc:AlternateContent>
      </w:r>
      <w:r w:rsidR="008C4C3E" w:rsidRPr="0036089D">
        <w:rPr>
          <w:rFonts w:ascii="Calibri" w:hAnsi="Calibri" w:cs="Arial"/>
          <w:lang w:eastAsia="en-AU"/>
        </w:rPr>
        <w:t>Each scheme product imported into Australia</w:t>
      </w:r>
      <w:r w:rsidR="0033650C" w:rsidRPr="0036089D">
        <w:rPr>
          <w:rFonts w:ascii="Calibri" w:hAnsi="Calibri" w:cs="Arial"/>
          <w:lang w:eastAsia="en-AU"/>
        </w:rPr>
        <w:t xml:space="preserve"> </w:t>
      </w:r>
      <w:r w:rsidR="008C4C3E" w:rsidRPr="0036089D">
        <w:rPr>
          <w:rFonts w:ascii="Calibri" w:hAnsi="Calibri" w:cs="Arial"/>
          <w:lang w:eastAsia="en-AU"/>
        </w:rPr>
        <w:t>has a</w:t>
      </w:r>
      <w:r w:rsidR="005B5A18" w:rsidRPr="0036089D">
        <w:rPr>
          <w:rFonts w:ascii="Calibri" w:hAnsi="Calibri" w:cs="Arial"/>
          <w:lang w:eastAsia="en-AU"/>
        </w:rPr>
        <w:t xml:space="preserve"> weight-based conversion factor applied to </w:t>
      </w:r>
      <w:r w:rsidR="0033650C" w:rsidRPr="0036089D">
        <w:rPr>
          <w:rFonts w:ascii="Calibri" w:hAnsi="Calibri" w:cs="Arial"/>
          <w:lang w:eastAsia="en-AU"/>
        </w:rPr>
        <w:t xml:space="preserve">it, </w:t>
      </w:r>
      <w:r w:rsidR="005B5A18" w:rsidRPr="0036089D">
        <w:rPr>
          <w:rFonts w:ascii="Calibri" w:hAnsi="Calibri" w:cs="Arial"/>
          <w:lang w:eastAsia="en-AU"/>
        </w:rPr>
        <w:t>to allow</w:t>
      </w:r>
      <w:r w:rsidR="0033650C" w:rsidRPr="0036089D">
        <w:rPr>
          <w:rFonts w:ascii="Calibri" w:hAnsi="Calibri" w:cs="Arial"/>
          <w:lang w:eastAsia="en-AU"/>
        </w:rPr>
        <w:t xml:space="preserve"> each importer’s</w:t>
      </w:r>
      <w:r w:rsidR="005B5A18" w:rsidRPr="0036089D">
        <w:rPr>
          <w:rFonts w:ascii="Calibri" w:hAnsi="Calibri" w:cs="Arial"/>
          <w:lang w:eastAsia="en-AU"/>
        </w:rPr>
        <w:t xml:space="preserve"> liability to be expressed in </w:t>
      </w:r>
      <w:r w:rsidR="0033650C" w:rsidRPr="0036089D">
        <w:rPr>
          <w:rFonts w:ascii="Calibri" w:hAnsi="Calibri" w:cs="Arial"/>
          <w:lang w:eastAsia="en-AU"/>
        </w:rPr>
        <w:t>weight</w:t>
      </w:r>
      <w:r w:rsidR="005B5A18" w:rsidRPr="0036089D">
        <w:rPr>
          <w:rFonts w:ascii="Calibri" w:hAnsi="Calibri" w:cs="Arial"/>
          <w:lang w:eastAsia="en-AU"/>
        </w:rPr>
        <w:t xml:space="preserve"> rather than</w:t>
      </w:r>
      <w:r w:rsidR="0033650C" w:rsidRPr="0036089D">
        <w:rPr>
          <w:rFonts w:ascii="Calibri" w:hAnsi="Calibri" w:cs="Arial"/>
          <w:lang w:eastAsia="en-AU"/>
        </w:rPr>
        <w:t xml:space="preserve"> in</w:t>
      </w:r>
      <w:r w:rsidR="005B5A18" w:rsidRPr="0036089D">
        <w:rPr>
          <w:rFonts w:ascii="Calibri" w:hAnsi="Calibri" w:cs="Arial"/>
          <w:lang w:eastAsia="en-AU"/>
        </w:rPr>
        <w:t xml:space="preserve"> number of units. Further data on </w:t>
      </w:r>
      <w:r w:rsidR="007924BD" w:rsidRPr="0036089D">
        <w:rPr>
          <w:rFonts w:ascii="Calibri" w:hAnsi="Calibri" w:cs="Arial"/>
          <w:lang w:eastAsia="en-AU"/>
        </w:rPr>
        <w:t xml:space="preserve">total </w:t>
      </w:r>
      <w:r w:rsidR="005B5A18" w:rsidRPr="0036089D">
        <w:rPr>
          <w:rFonts w:ascii="Calibri" w:hAnsi="Calibri" w:cs="Arial"/>
          <w:lang w:eastAsia="en-AU"/>
        </w:rPr>
        <w:t xml:space="preserve">imports and waste arising is available in Table B1 of </w:t>
      </w:r>
      <w:r w:rsidR="005B5A18" w:rsidRPr="0036089D">
        <w:rPr>
          <w:rFonts w:ascii="Calibri" w:hAnsi="Calibri" w:cs="Arial"/>
          <w:u w:val="single"/>
          <w:lang w:eastAsia="en-AU"/>
        </w:rPr>
        <w:t>Appendix B</w:t>
      </w:r>
      <w:r w:rsidR="005B5A18" w:rsidRPr="0036089D">
        <w:rPr>
          <w:rFonts w:ascii="Calibri" w:hAnsi="Calibri" w:cs="Arial"/>
          <w:lang w:eastAsia="en-AU"/>
        </w:rPr>
        <w:t>.</w:t>
      </w:r>
      <w:r w:rsidR="00E76A8D" w:rsidRPr="0036089D">
        <w:rPr>
          <w:rFonts w:ascii="Calibri" w:hAnsi="Calibri" w:cs="Arial"/>
          <w:lang w:eastAsia="en-AU"/>
        </w:rPr>
        <w:t xml:space="preserve"> </w:t>
      </w:r>
    </w:p>
    <w:p w:rsidR="00622419" w:rsidRPr="0036089D" w:rsidRDefault="00726245" w:rsidP="00024654">
      <w:pPr>
        <w:spacing w:before="240"/>
        <w:rPr>
          <w:rFonts w:cs="Calibri"/>
        </w:rPr>
      </w:pPr>
      <w:r>
        <w:rPr>
          <w:rFonts w:asciiTheme="minorHAnsi" w:hAnsiTheme="minorHAnsi" w:cs="Calibri"/>
        </w:rPr>
        <w:t>Figure 1</w:t>
      </w:r>
      <w:r w:rsidR="005B5A18" w:rsidRPr="0036089D">
        <w:rPr>
          <w:rFonts w:asciiTheme="minorHAnsi" w:hAnsiTheme="minorHAnsi" w:cs="Calibri"/>
        </w:rPr>
        <w:t>,</w:t>
      </w:r>
      <w:r w:rsidR="005B5A18" w:rsidRPr="0036089D">
        <w:rPr>
          <w:rFonts w:cs="Calibri"/>
        </w:rPr>
        <w:t xml:space="preserve"> </w:t>
      </w:r>
      <w:r w:rsidR="005B5A18" w:rsidRPr="0036089D">
        <w:rPr>
          <w:rFonts w:ascii="Calibri" w:hAnsi="Calibri" w:cs="Arial"/>
          <w:lang w:eastAsia="en-AU"/>
        </w:rPr>
        <w:t>below, shows each co-regulatory arrangement’s recycling target and their performance against this target.</w:t>
      </w:r>
      <w:r w:rsidR="005B5A18" w:rsidRPr="0036089D">
        <w:rPr>
          <w:rFonts w:cs="Calibri"/>
        </w:rPr>
        <w:t xml:space="preserve"> </w:t>
      </w:r>
    </w:p>
    <w:p w:rsidR="003F59E2" w:rsidRDefault="003F59E2">
      <w:pPr>
        <w:spacing w:after="0" w:line="240" w:lineRule="auto"/>
        <w:rPr>
          <w:bCs/>
          <w:sz w:val="20"/>
          <w:szCs w:val="18"/>
        </w:rPr>
      </w:pPr>
      <w:bookmarkStart w:id="34" w:name="_Ref436224356"/>
      <w:r>
        <w:rPr>
          <w:b/>
        </w:rPr>
        <w:br w:type="page"/>
      </w:r>
    </w:p>
    <w:p w:rsidR="003D60A6" w:rsidRPr="0036089D" w:rsidRDefault="003D60A6" w:rsidP="003D60A6">
      <w:pPr>
        <w:pStyle w:val="Caption"/>
        <w:rPr>
          <w:rFonts w:asciiTheme="minorHAnsi" w:hAnsiTheme="minorHAnsi"/>
          <w:b w:val="0"/>
          <w:i/>
          <w:sz w:val="21"/>
          <w:szCs w:val="21"/>
        </w:rPr>
      </w:pPr>
      <w:r w:rsidRPr="0036089D">
        <w:rPr>
          <w:b w:val="0"/>
        </w:rPr>
        <w:t xml:space="preserve">Figure </w:t>
      </w:r>
      <w:r w:rsidR="0055178B" w:rsidRPr="0036089D">
        <w:rPr>
          <w:b w:val="0"/>
        </w:rPr>
        <w:fldChar w:fldCharType="begin"/>
      </w:r>
      <w:r w:rsidR="003F07AD" w:rsidRPr="0036089D">
        <w:rPr>
          <w:b w:val="0"/>
        </w:rPr>
        <w:instrText xml:space="preserve"> SEQ Table \* ARABIC </w:instrText>
      </w:r>
      <w:r w:rsidR="0055178B" w:rsidRPr="0036089D">
        <w:rPr>
          <w:b w:val="0"/>
        </w:rPr>
        <w:fldChar w:fldCharType="separate"/>
      </w:r>
      <w:r w:rsidR="003A2863">
        <w:rPr>
          <w:b w:val="0"/>
          <w:noProof/>
        </w:rPr>
        <w:t>1</w:t>
      </w:r>
      <w:r w:rsidR="0055178B" w:rsidRPr="0036089D">
        <w:rPr>
          <w:b w:val="0"/>
        </w:rPr>
        <w:fldChar w:fldCharType="end"/>
      </w:r>
      <w:bookmarkEnd w:id="34"/>
      <w:r w:rsidRPr="0036089D">
        <w:rPr>
          <w:rFonts w:asciiTheme="minorHAnsi" w:hAnsiTheme="minorHAnsi"/>
          <w:b w:val="0"/>
          <w:i/>
          <w:sz w:val="21"/>
          <w:szCs w:val="21"/>
        </w:rPr>
        <w:t>: Recycling target and recycling achieved for each approved co-regulatory arrangement in 2014</w:t>
      </w:r>
      <w:r w:rsidRPr="0036089D">
        <w:rPr>
          <w:rFonts w:asciiTheme="minorHAnsi" w:hAnsiTheme="minorHAnsi"/>
          <w:b w:val="0"/>
          <w:i/>
          <w:sz w:val="21"/>
          <w:szCs w:val="21"/>
        </w:rPr>
        <w:softHyphen/>
        <w:t>–15.</w:t>
      </w:r>
    </w:p>
    <w:p w:rsidR="001070ED" w:rsidRPr="0036089D" w:rsidRDefault="001070ED" w:rsidP="00024654">
      <w:pPr>
        <w:spacing w:before="240"/>
        <w:rPr>
          <w:rFonts w:cs="Calibri"/>
        </w:rPr>
      </w:pPr>
      <w:r w:rsidRPr="0036089D">
        <w:rPr>
          <w:rFonts w:cs="Calibri"/>
          <w:noProof/>
          <w:lang w:eastAsia="en-AU"/>
        </w:rPr>
        <w:drawing>
          <wp:inline distT="0" distB="0" distL="0" distR="0" wp14:anchorId="2B880056" wp14:editId="1B819E97">
            <wp:extent cx="5486400" cy="3200400"/>
            <wp:effectExtent l="19050" t="0" r="190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424D8" w:rsidRPr="0036089D" w:rsidRDefault="00D424D8" w:rsidP="003D60A6">
      <w:pPr>
        <w:rPr>
          <w:rFonts w:ascii="Calibri" w:hAnsi="Calibri" w:cs="Calibri"/>
        </w:rPr>
      </w:pPr>
      <w:r w:rsidRPr="0036089D">
        <w:rPr>
          <w:rFonts w:ascii="Calibri" w:hAnsi="Calibri" w:cs="Calibri"/>
        </w:rPr>
        <w:t xml:space="preserve">Figure </w:t>
      </w:r>
      <w:r w:rsidR="00E6286C" w:rsidRPr="0036089D">
        <w:rPr>
          <w:rFonts w:ascii="Calibri" w:hAnsi="Calibri" w:cs="Calibri"/>
        </w:rPr>
        <w:t>3</w:t>
      </w:r>
      <w:r w:rsidRPr="0036089D">
        <w:rPr>
          <w:rFonts w:ascii="Calibri" w:hAnsi="Calibri" w:cs="Calibri"/>
        </w:rPr>
        <w:t xml:space="preserve"> shows each co-regulatory arrangement’s </w:t>
      </w:r>
      <w:r w:rsidR="00622419" w:rsidRPr="0036089D">
        <w:rPr>
          <w:rFonts w:ascii="Calibri" w:hAnsi="Calibri" w:cs="Calibri"/>
        </w:rPr>
        <w:t>recycling achievement</w:t>
      </w:r>
      <w:r w:rsidR="003D60A6" w:rsidRPr="0036089D">
        <w:rPr>
          <w:rFonts w:ascii="Calibri" w:hAnsi="Calibri" w:cs="Calibri"/>
        </w:rPr>
        <w:t>, by quarter</w:t>
      </w:r>
      <w:r w:rsidRPr="0036089D">
        <w:rPr>
          <w:rFonts w:ascii="Calibri" w:hAnsi="Calibri" w:cs="Calibri"/>
        </w:rPr>
        <w:t xml:space="preserve">. E-Cycle, EPSA and Reverse E-waste increased their recycling rate </w:t>
      </w:r>
      <w:r w:rsidR="00622419" w:rsidRPr="0036089D">
        <w:rPr>
          <w:rFonts w:ascii="Calibri" w:hAnsi="Calibri" w:cs="Calibri"/>
        </w:rPr>
        <w:t>progressively through</w:t>
      </w:r>
      <w:r w:rsidRPr="0036089D">
        <w:rPr>
          <w:rFonts w:ascii="Calibri" w:hAnsi="Calibri" w:cs="Calibri"/>
        </w:rPr>
        <w:t xml:space="preserve"> 2014</w:t>
      </w:r>
      <w:r w:rsidRPr="0036089D">
        <w:rPr>
          <w:rFonts w:ascii="Calibri" w:hAnsi="Calibri" w:cs="Calibri"/>
        </w:rPr>
        <w:softHyphen/>
        <w:t>–</w:t>
      </w:r>
      <w:r w:rsidRPr="0036089D">
        <w:rPr>
          <w:rFonts w:ascii="Calibri" w:hAnsi="Calibri" w:cs="Calibri"/>
        </w:rPr>
        <w:softHyphen/>
        <w:t xml:space="preserve">15, ANZRP </w:t>
      </w:r>
      <w:r w:rsidR="00622419" w:rsidRPr="0036089D">
        <w:rPr>
          <w:rFonts w:ascii="Calibri" w:hAnsi="Calibri" w:cs="Calibri"/>
        </w:rPr>
        <w:t>recycled a larger proportion of e-waste in quarter one, and DHL reported recycling peaks in quarters two and four.</w:t>
      </w:r>
    </w:p>
    <w:p w:rsidR="00822833" w:rsidRPr="0036089D" w:rsidRDefault="00822833" w:rsidP="00D424D8">
      <w:pPr>
        <w:pStyle w:val="Caption"/>
        <w:rPr>
          <w:b w:val="0"/>
          <w:i/>
        </w:rPr>
      </w:pPr>
      <w:r w:rsidRPr="0036089D">
        <w:rPr>
          <w:b w:val="0"/>
        </w:rPr>
        <w:t xml:space="preserve">Figure </w:t>
      </w:r>
      <w:r w:rsidR="00E6286C" w:rsidRPr="0036089D">
        <w:rPr>
          <w:b w:val="0"/>
        </w:rPr>
        <w:t>3</w:t>
      </w:r>
      <w:r w:rsidRPr="0036089D">
        <w:rPr>
          <w:b w:val="0"/>
        </w:rPr>
        <w:t xml:space="preserve">: </w:t>
      </w:r>
      <w:r w:rsidRPr="0036089D">
        <w:rPr>
          <w:b w:val="0"/>
          <w:i/>
        </w:rPr>
        <w:t>Quarterly breakdown of recycling achievement</w:t>
      </w:r>
      <w:r w:rsidR="007C2360" w:rsidRPr="0036089D">
        <w:rPr>
          <w:b w:val="0"/>
          <w:i/>
        </w:rPr>
        <w:t xml:space="preserve"> by co-regulatory arrangement 2014–15</w:t>
      </w:r>
    </w:p>
    <w:p w:rsidR="00822833" w:rsidRPr="0036089D" w:rsidRDefault="004B21A4" w:rsidP="000E5FF2">
      <w:pPr>
        <w:pStyle w:val="Caption"/>
        <w:rPr>
          <w:b w:val="0"/>
        </w:rPr>
      </w:pPr>
      <w:r w:rsidRPr="0036089D">
        <w:rPr>
          <w:b w:val="0"/>
          <w:noProof/>
          <w:lang w:eastAsia="en-AU"/>
        </w:rPr>
        <w:drawing>
          <wp:inline distT="0" distB="0" distL="0" distR="0" wp14:anchorId="56ADB4EF" wp14:editId="610329DC">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22833" w:rsidRPr="0036089D" w:rsidRDefault="00822833" w:rsidP="000E5FF2">
      <w:pPr>
        <w:pStyle w:val="Caption"/>
        <w:rPr>
          <w:b w:val="0"/>
        </w:rPr>
      </w:pPr>
    </w:p>
    <w:p w:rsidR="005B5A18" w:rsidRPr="0036089D" w:rsidRDefault="007A6014" w:rsidP="003D60A6">
      <w:pPr>
        <w:rPr>
          <w:rFonts w:asciiTheme="minorHAnsi" w:hAnsiTheme="minorHAnsi"/>
        </w:rPr>
      </w:pPr>
      <w:r w:rsidRPr="0036089D">
        <w:rPr>
          <w:rFonts w:ascii="Calibri" w:hAnsi="Calibri" w:cs="Arial"/>
          <w:lang w:eastAsia="en-AU"/>
        </w:rPr>
        <w:t>Table 5</w:t>
      </w:r>
      <w:r w:rsidR="00622419" w:rsidRPr="0036089D">
        <w:rPr>
          <w:rFonts w:ascii="Calibri" w:hAnsi="Calibri" w:cs="Arial"/>
          <w:lang w:eastAsia="en-AU"/>
        </w:rPr>
        <w:t xml:space="preserve"> gives a summary of recycling performance, including a breakdown of carryover volumes acquitted against each co-regulatory arrangement’s target. Excess recycling undertaken by co-regulatory arrangements may be carried forward and acquitted against future targets.</w:t>
      </w:r>
      <w:r w:rsidR="00622419" w:rsidRPr="0036089D">
        <w:rPr>
          <w:rFonts w:asciiTheme="minorHAnsi" w:hAnsiTheme="minorHAnsi"/>
        </w:rPr>
        <w:t xml:space="preserve"> </w:t>
      </w:r>
      <w:r w:rsidR="00521912" w:rsidRPr="0036089D">
        <w:rPr>
          <w:rFonts w:ascii="Calibri" w:hAnsi="Calibri" w:cs="Calibri"/>
        </w:rPr>
        <w:t xml:space="preserve">ANZRP, DHL Supply Chain and E-Cycle Solutions chose to acquit a portion of their carryover from previous years against their 2014–15 recycling target. </w:t>
      </w:r>
      <w:r w:rsidR="00E52134" w:rsidRPr="0036089D">
        <w:rPr>
          <w:rFonts w:ascii="Calibri" w:hAnsi="Calibri" w:cs="Calibri"/>
        </w:rPr>
        <w:t>ANZRP, E-Cycle Solutions and EPSA also generated excess carryover volumes which may be acquitted against a future year recycling target.</w:t>
      </w:r>
    </w:p>
    <w:p w:rsidR="005B5A18" w:rsidRPr="0036089D" w:rsidRDefault="000E5FF2" w:rsidP="000E5FF2">
      <w:pPr>
        <w:pStyle w:val="Caption"/>
        <w:keepNext/>
      </w:pPr>
      <w:bookmarkStart w:id="35" w:name="_Ref436140259"/>
      <w:bookmarkStart w:id="36" w:name="_Ref436140234"/>
      <w:r w:rsidRPr="0036089D">
        <w:rPr>
          <w:b w:val="0"/>
        </w:rPr>
        <w:t xml:space="preserve">Table </w:t>
      </w:r>
      <w:bookmarkEnd w:id="35"/>
      <w:r w:rsidR="007A6014" w:rsidRPr="0036089D">
        <w:rPr>
          <w:b w:val="0"/>
        </w:rPr>
        <w:t>5</w:t>
      </w:r>
      <w:r w:rsidR="005B5A18" w:rsidRPr="0036089D">
        <w:rPr>
          <w:rFonts w:cs="Arial"/>
          <w:b w:val="0"/>
          <w:i/>
          <w:szCs w:val="20"/>
        </w:rPr>
        <w:t>: Performance against 201</w:t>
      </w:r>
      <w:r w:rsidR="0003653D" w:rsidRPr="0036089D">
        <w:rPr>
          <w:rFonts w:cs="Arial"/>
          <w:b w:val="0"/>
          <w:i/>
          <w:szCs w:val="20"/>
        </w:rPr>
        <w:t>4–15</w:t>
      </w:r>
      <w:r w:rsidR="005B5A18" w:rsidRPr="0036089D">
        <w:rPr>
          <w:rFonts w:cs="Arial"/>
          <w:b w:val="0"/>
          <w:i/>
          <w:szCs w:val="20"/>
        </w:rPr>
        <w:t xml:space="preserve"> co-regulatory arrangement recycling targets (</w:t>
      </w:r>
      <w:r w:rsidR="008C1D50" w:rsidRPr="0036089D">
        <w:rPr>
          <w:rFonts w:cs="Arial"/>
          <w:b w:val="0"/>
          <w:i/>
          <w:szCs w:val="20"/>
        </w:rPr>
        <w:t>t</w:t>
      </w:r>
      <w:r w:rsidR="005B5A18" w:rsidRPr="0036089D">
        <w:rPr>
          <w:rFonts w:cs="Arial"/>
          <w:b w:val="0"/>
          <w:i/>
          <w:szCs w:val="20"/>
        </w:rPr>
        <w:t>onne</w:t>
      </w:r>
      <w:r w:rsidR="008C1D50" w:rsidRPr="0036089D">
        <w:rPr>
          <w:rFonts w:cs="Arial"/>
          <w:b w:val="0"/>
          <w:i/>
          <w:szCs w:val="20"/>
        </w:rPr>
        <w:t>s</w:t>
      </w:r>
      <w:r w:rsidR="005B5A18" w:rsidRPr="0036089D">
        <w:rPr>
          <w:rFonts w:cs="Arial"/>
          <w:b w:val="0"/>
          <w:i/>
          <w:szCs w:val="20"/>
        </w:rPr>
        <w:t>)</w:t>
      </w:r>
      <w:bookmarkEnd w:id="36"/>
    </w:p>
    <w:tbl>
      <w:tblPr>
        <w:tblStyle w:val="LightShading-Accent11"/>
        <w:tblW w:w="8471" w:type="dxa"/>
        <w:tblLook w:val="04A0" w:firstRow="1" w:lastRow="0" w:firstColumn="1" w:lastColumn="0" w:noHBand="0" w:noVBand="1"/>
      </w:tblPr>
      <w:tblGrid>
        <w:gridCol w:w="1810"/>
        <w:gridCol w:w="1559"/>
        <w:gridCol w:w="1417"/>
        <w:gridCol w:w="1842"/>
        <w:gridCol w:w="1843"/>
      </w:tblGrid>
      <w:tr w:rsidR="001F7389" w:rsidRPr="0036089D" w:rsidTr="001F7389">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810" w:type="dxa"/>
          </w:tcPr>
          <w:p w:rsidR="001F7389" w:rsidRPr="0036089D" w:rsidRDefault="001F7389" w:rsidP="004043F0">
            <w:pPr>
              <w:spacing w:after="0" w:line="240" w:lineRule="auto"/>
              <w:jc w:val="center"/>
              <w:rPr>
                <w:rFonts w:ascii="Calibri" w:eastAsia="Times New Roman" w:hAnsi="Calibri" w:cs="Times New Roman"/>
                <w:color w:val="000000"/>
                <w:lang w:eastAsia="en-AU"/>
              </w:rPr>
            </w:pPr>
            <w:r w:rsidRPr="0036089D">
              <w:rPr>
                <w:rFonts w:ascii="Calibri" w:eastAsia="Times New Roman" w:hAnsi="Calibri" w:cs="Times New Roman"/>
                <w:color w:val="000000"/>
                <w:lang w:eastAsia="en-AU"/>
              </w:rPr>
              <w:t>Co-regulatory arrangement</w:t>
            </w:r>
          </w:p>
        </w:tc>
        <w:tc>
          <w:tcPr>
            <w:tcW w:w="1559" w:type="dxa"/>
            <w:tcBorders>
              <w:bottom w:val="single" w:sz="4" w:space="0" w:color="4F81BD" w:themeColor="accent1"/>
            </w:tcBorders>
            <w:vAlign w:val="center"/>
          </w:tcPr>
          <w:p w:rsidR="001F7389" w:rsidRPr="0036089D" w:rsidRDefault="001F7389" w:rsidP="004043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36089D">
              <w:rPr>
                <w:rFonts w:ascii="Calibri" w:eastAsia="Times New Roman" w:hAnsi="Calibri" w:cs="Times New Roman"/>
                <w:color w:val="000000"/>
                <w:lang w:eastAsia="en-AU"/>
              </w:rPr>
              <w:t>Target</w:t>
            </w:r>
          </w:p>
        </w:tc>
        <w:tc>
          <w:tcPr>
            <w:tcW w:w="1417" w:type="dxa"/>
            <w:tcBorders>
              <w:bottom w:val="single" w:sz="4" w:space="0" w:color="4F81BD" w:themeColor="accent1"/>
            </w:tcBorders>
            <w:vAlign w:val="center"/>
          </w:tcPr>
          <w:p w:rsidR="001F7389" w:rsidRPr="0036089D" w:rsidRDefault="001F7389" w:rsidP="004043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36089D">
              <w:rPr>
                <w:rFonts w:ascii="Calibri" w:eastAsia="Times New Roman" w:hAnsi="Calibri" w:cs="Times New Roman"/>
                <w:color w:val="000000"/>
                <w:lang w:eastAsia="en-AU"/>
              </w:rPr>
              <w:t>Recycled</w:t>
            </w:r>
          </w:p>
        </w:tc>
        <w:tc>
          <w:tcPr>
            <w:tcW w:w="1842" w:type="dxa"/>
            <w:tcBorders>
              <w:bottom w:val="single" w:sz="4" w:space="0" w:color="4F81BD" w:themeColor="accent1"/>
            </w:tcBorders>
          </w:tcPr>
          <w:p w:rsidR="001F7389" w:rsidRPr="0036089D" w:rsidRDefault="001F7389" w:rsidP="0026660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36089D">
              <w:rPr>
                <w:rFonts w:ascii="Calibri" w:eastAsia="Times New Roman" w:hAnsi="Calibri" w:cs="Times New Roman"/>
                <w:color w:val="000000"/>
                <w:lang w:eastAsia="en-AU"/>
              </w:rPr>
              <w:t>Excess recycling acquitted in 2014</w:t>
            </w:r>
            <w:r w:rsidRPr="0036089D">
              <w:rPr>
                <w:rFonts w:ascii="Calibri" w:eastAsia="Times New Roman" w:hAnsi="Calibri" w:cs="Times New Roman"/>
                <w:color w:val="000000"/>
                <w:lang w:eastAsia="en-AU"/>
              </w:rPr>
              <w:noBreakHyphen/>
              <w:t>15</w:t>
            </w:r>
          </w:p>
        </w:tc>
        <w:tc>
          <w:tcPr>
            <w:tcW w:w="1843" w:type="dxa"/>
            <w:tcBorders>
              <w:bottom w:val="single" w:sz="4" w:space="0" w:color="4F81BD" w:themeColor="accent1"/>
            </w:tcBorders>
          </w:tcPr>
          <w:p w:rsidR="001F7389" w:rsidRPr="0036089D" w:rsidRDefault="001F7389" w:rsidP="001F73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lang w:eastAsia="en-AU"/>
              </w:rPr>
            </w:pPr>
            <w:r w:rsidRPr="0036089D">
              <w:rPr>
                <w:rFonts w:ascii="Calibri" w:eastAsia="Times New Roman" w:hAnsi="Calibri"/>
                <w:color w:val="000000"/>
                <w:lang w:eastAsia="en-AU"/>
              </w:rPr>
              <w:t>Carryover of excess available in future years</w:t>
            </w:r>
          </w:p>
        </w:tc>
      </w:tr>
      <w:tr w:rsidR="001F7389" w:rsidRPr="0036089D" w:rsidTr="001F7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top w:val="single" w:sz="8" w:space="0" w:color="4F81BD" w:themeColor="accent1"/>
              <w:bottom w:val="nil"/>
              <w:right w:val="single" w:sz="4" w:space="0" w:color="4F81BD" w:themeColor="accent1"/>
            </w:tcBorders>
            <w:vAlign w:val="center"/>
          </w:tcPr>
          <w:p w:rsidR="001F7389" w:rsidRPr="0036089D" w:rsidRDefault="001F7389" w:rsidP="001F7389">
            <w:pPr>
              <w:spacing w:after="0" w:line="240" w:lineRule="auto"/>
              <w:jc w:val="center"/>
              <w:rPr>
                <w:rFonts w:ascii="Calibri" w:eastAsia="Times New Roman" w:hAnsi="Calibri" w:cs="Times New Roman"/>
                <w:b w:val="0"/>
                <w:color w:val="000000"/>
                <w:lang w:eastAsia="en-AU"/>
              </w:rPr>
            </w:pPr>
            <w:bookmarkStart w:id="37" w:name="_Hlk437530309"/>
            <w:bookmarkStart w:id="38" w:name="_Hlk436122916"/>
            <w:bookmarkStart w:id="39" w:name="_Hlk436128703"/>
            <w:r w:rsidRPr="0036089D">
              <w:rPr>
                <w:rFonts w:ascii="Calibri" w:eastAsia="Times New Roman" w:hAnsi="Calibri" w:cs="Times New Roman"/>
                <w:b w:val="0"/>
                <w:color w:val="000000"/>
                <w:lang w:eastAsia="en-AU"/>
              </w:rPr>
              <w:t>ANZRP</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F7389">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19,295.35</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F7389">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17,913.10</w:t>
            </w:r>
          </w:p>
        </w:tc>
        <w:tc>
          <w:tcPr>
            <w:tcW w:w="1842" w:type="dxa"/>
            <w:tcBorders>
              <w:top w:val="single" w:sz="4" w:space="0" w:color="4F81BD" w:themeColor="accent1"/>
              <w:left w:val="single" w:sz="4" w:space="0" w:color="4F81BD" w:themeColor="accent1"/>
              <w:bottom w:val="single" w:sz="4" w:space="0" w:color="4F81BD" w:themeColor="accent1"/>
            </w:tcBorders>
            <w:vAlign w:val="center"/>
          </w:tcPr>
          <w:p w:rsidR="001F7389" w:rsidRPr="0036089D" w:rsidRDefault="001F7389" w:rsidP="001F7389">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1,760.04</w:t>
            </w:r>
          </w:p>
        </w:tc>
        <w:tc>
          <w:tcPr>
            <w:tcW w:w="1843" w:type="dxa"/>
            <w:tcBorders>
              <w:top w:val="single" w:sz="4" w:space="0" w:color="4F81BD" w:themeColor="accent1"/>
              <w:left w:val="single" w:sz="4" w:space="0" w:color="4F81BD" w:themeColor="accent1"/>
              <w:bottom w:val="single" w:sz="4" w:space="0" w:color="4F81BD" w:themeColor="accent1"/>
            </w:tcBorders>
            <w:vAlign w:val="center"/>
          </w:tcPr>
          <w:p w:rsidR="001F7389" w:rsidRPr="0036089D" w:rsidRDefault="001F7389" w:rsidP="00E7123B">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377.</w:t>
            </w:r>
            <w:r w:rsidR="00E7123B" w:rsidRPr="0036089D">
              <w:rPr>
                <w:color w:val="auto"/>
              </w:rPr>
              <w:t>73</w:t>
            </w:r>
          </w:p>
        </w:tc>
      </w:tr>
      <w:tr w:rsidR="001F7389" w:rsidRPr="0036089D" w:rsidTr="001F7389">
        <w:tc>
          <w:tcPr>
            <w:cnfStyle w:val="001000000000" w:firstRow="0" w:lastRow="0" w:firstColumn="1" w:lastColumn="0" w:oddVBand="0" w:evenVBand="0" w:oddHBand="0" w:evenHBand="0" w:firstRowFirstColumn="0" w:firstRowLastColumn="0" w:lastRowFirstColumn="0" w:lastRowLastColumn="0"/>
            <w:tcW w:w="1810" w:type="dxa"/>
            <w:tcBorders>
              <w:top w:val="nil"/>
              <w:bottom w:val="nil"/>
              <w:right w:val="single" w:sz="4" w:space="0" w:color="4F81BD" w:themeColor="accent1"/>
            </w:tcBorders>
            <w:vAlign w:val="center"/>
          </w:tcPr>
          <w:p w:rsidR="001F7389" w:rsidRPr="0036089D" w:rsidRDefault="001F7389" w:rsidP="001F7389">
            <w:pPr>
              <w:spacing w:after="0" w:line="240" w:lineRule="auto"/>
              <w:jc w:val="center"/>
              <w:rPr>
                <w:rFonts w:ascii="Calibri" w:eastAsia="Times New Roman" w:hAnsi="Calibri" w:cs="Times New Roman"/>
                <w:b w:val="0"/>
                <w:color w:val="000000"/>
                <w:lang w:eastAsia="en-AU"/>
              </w:rPr>
            </w:pPr>
            <w:r w:rsidRPr="0036089D">
              <w:rPr>
                <w:rFonts w:ascii="Calibri" w:eastAsia="Times New Roman" w:hAnsi="Calibri" w:cs="Times New Roman"/>
                <w:b w:val="0"/>
                <w:color w:val="000000"/>
                <w:lang w:eastAsia="en-AU"/>
              </w:rPr>
              <w:t>DHL Supply Chain</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12,949.74</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12,162.00</w:t>
            </w:r>
          </w:p>
        </w:tc>
        <w:tc>
          <w:tcPr>
            <w:tcW w:w="1842" w:type="dxa"/>
            <w:tcBorders>
              <w:top w:val="single" w:sz="4" w:space="0" w:color="4F81BD" w:themeColor="accent1"/>
              <w:left w:val="single" w:sz="4" w:space="0" w:color="4F81BD" w:themeColor="accent1"/>
              <w:bottom w:val="single" w:sz="4" w:space="0" w:color="4F81BD" w:themeColor="accent1"/>
              <w:right w:val="nil"/>
            </w:tcBorders>
            <w:vAlign w:val="center"/>
          </w:tcPr>
          <w:p w:rsidR="001F7389" w:rsidRPr="0036089D" w:rsidRDefault="001F7389"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787</w:t>
            </w:r>
            <w:r w:rsidR="001A11D0" w:rsidRPr="0036089D">
              <w:rPr>
                <w:color w:val="auto"/>
              </w:rPr>
              <w:t>.00</w:t>
            </w:r>
          </w:p>
        </w:tc>
        <w:tc>
          <w:tcPr>
            <w:tcW w:w="1843" w:type="dxa"/>
            <w:tcBorders>
              <w:top w:val="single" w:sz="4" w:space="0" w:color="4F81BD" w:themeColor="accent1"/>
              <w:left w:val="single" w:sz="4" w:space="0" w:color="4F81BD" w:themeColor="accent1"/>
              <w:bottom w:val="single" w:sz="4" w:space="0" w:color="4F81BD" w:themeColor="accent1"/>
              <w:right w:val="nil"/>
            </w:tcBorders>
            <w:vAlign w:val="center"/>
          </w:tcPr>
          <w:p w:rsidR="001F7389" w:rsidRPr="0036089D" w:rsidRDefault="001F7389"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3,821.16</w:t>
            </w:r>
          </w:p>
        </w:tc>
      </w:tr>
      <w:tr w:rsidR="001F7389" w:rsidRPr="0036089D" w:rsidTr="001F7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top w:val="nil"/>
              <w:bottom w:val="nil"/>
              <w:right w:val="single" w:sz="4" w:space="0" w:color="4F81BD" w:themeColor="accent1"/>
            </w:tcBorders>
            <w:vAlign w:val="center"/>
          </w:tcPr>
          <w:p w:rsidR="001F7389" w:rsidRPr="0036089D" w:rsidRDefault="001F7389" w:rsidP="001F7389">
            <w:pPr>
              <w:spacing w:after="0" w:line="240" w:lineRule="auto"/>
              <w:jc w:val="center"/>
              <w:rPr>
                <w:rFonts w:ascii="Calibri" w:eastAsia="Times New Roman" w:hAnsi="Calibri" w:cs="Times New Roman"/>
                <w:b w:val="0"/>
                <w:color w:val="000000"/>
                <w:lang w:eastAsia="en-AU"/>
              </w:rPr>
            </w:pPr>
            <w:r w:rsidRPr="0036089D">
              <w:rPr>
                <w:rFonts w:ascii="Calibri" w:eastAsia="Times New Roman" w:hAnsi="Calibri" w:cs="Times New Roman"/>
                <w:b w:val="0"/>
                <w:color w:val="000000"/>
                <w:lang w:eastAsia="en-AU"/>
              </w:rPr>
              <w:t>E-Cycle Solutions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A11D0">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2,</w:t>
            </w:r>
            <w:r w:rsidR="001A11D0" w:rsidRPr="0036089D">
              <w:rPr>
                <w:color w:val="auto"/>
              </w:rPr>
              <w:t>217</w:t>
            </w:r>
            <w:r w:rsidRPr="0036089D">
              <w:rPr>
                <w:color w:val="auto"/>
              </w:rPr>
              <w:t>.61</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C56A8B">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1,</w:t>
            </w:r>
            <w:r w:rsidR="00C56A8B" w:rsidRPr="0036089D">
              <w:rPr>
                <w:color w:val="auto"/>
              </w:rPr>
              <w:t>784.65</w:t>
            </w:r>
          </w:p>
        </w:tc>
        <w:tc>
          <w:tcPr>
            <w:tcW w:w="1842" w:type="dxa"/>
            <w:tcBorders>
              <w:top w:val="single" w:sz="4" w:space="0" w:color="4F81BD" w:themeColor="accent1"/>
              <w:left w:val="single" w:sz="4" w:space="0" w:color="4F81BD" w:themeColor="accent1"/>
              <w:bottom w:val="single" w:sz="4" w:space="0" w:color="4F81BD" w:themeColor="accent1"/>
            </w:tcBorders>
            <w:vAlign w:val="center"/>
          </w:tcPr>
          <w:p w:rsidR="001F7389" w:rsidRPr="0036089D" w:rsidRDefault="00061DDB" w:rsidP="001F7389">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554.4</w:t>
            </w:r>
          </w:p>
        </w:tc>
        <w:tc>
          <w:tcPr>
            <w:tcW w:w="1843" w:type="dxa"/>
            <w:tcBorders>
              <w:top w:val="single" w:sz="4" w:space="0" w:color="4F81BD" w:themeColor="accent1"/>
              <w:left w:val="single" w:sz="4" w:space="0" w:color="4F81BD" w:themeColor="accent1"/>
              <w:bottom w:val="single" w:sz="4" w:space="0" w:color="4F81BD" w:themeColor="accent1"/>
            </w:tcBorders>
            <w:vAlign w:val="center"/>
          </w:tcPr>
          <w:p w:rsidR="001F7389" w:rsidRPr="0036089D" w:rsidRDefault="001F7389" w:rsidP="001F7389">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246.98</w:t>
            </w:r>
          </w:p>
        </w:tc>
      </w:tr>
      <w:tr w:rsidR="001F7389" w:rsidRPr="0036089D" w:rsidTr="001F7389">
        <w:tc>
          <w:tcPr>
            <w:cnfStyle w:val="001000000000" w:firstRow="0" w:lastRow="0" w:firstColumn="1" w:lastColumn="0" w:oddVBand="0" w:evenVBand="0" w:oddHBand="0" w:evenHBand="0" w:firstRowFirstColumn="0" w:firstRowLastColumn="0" w:lastRowFirstColumn="0" w:lastRowLastColumn="0"/>
            <w:tcW w:w="1810" w:type="dxa"/>
            <w:tcBorders>
              <w:top w:val="nil"/>
              <w:bottom w:val="nil"/>
              <w:right w:val="single" w:sz="4" w:space="0" w:color="4F81BD" w:themeColor="accent1"/>
            </w:tcBorders>
            <w:vAlign w:val="center"/>
          </w:tcPr>
          <w:p w:rsidR="001F7389" w:rsidRPr="0036089D" w:rsidRDefault="001F7389" w:rsidP="001F7389">
            <w:pPr>
              <w:spacing w:after="0" w:line="240" w:lineRule="auto"/>
              <w:jc w:val="center"/>
              <w:rPr>
                <w:rFonts w:ascii="Calibri" w:eastAsia="Times New Roman" w:hAnsi="Calibri" w:cs="Times New Roman"/>
                <w:b w:val="0"/>
                <w:color w:val="000000"/>
                <w:lang w:eastAsia="en-AU"/>
              </w:rPr>
            </w:pPr>
            <w:r w:rsidRPr="0036089D">
              <w:rPr>
                <w:rFonts w:ascii="Calibri" w:eastAsia="Times New Roman" w:hAnsi="Calibri" w:cs="Times New Roman"/>
                <w:b w:val="0"/>
                <w:color w:val="000000"/>
                <w:lang w:eastAsia="en-AU"/>
              </w:rPr>
              <w:t>EPSA</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2,559.88</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4,274.48</w:t>
            </w:r>
          </w:p>
        </w:tc>
        <w:tc>
          <w:tcPr>
            <w:tcW w:w="1842" w:type="dxa"/>
            <w:tcBorders>
              <w:top w:val="single" w:sz="4" w:space="0" w:color="4F81BD" w:themeColor="accent1"/>
              <w:left w:val="single" w:sz="4" w:space="0" w:color="4F81BD" w:themeColor="accent1"/>
              <w:bottom w:val="single" w:sz="4" w:space="0" w:color="4F81BD" w:themeColor="accent1"/>
              <w:right w:val="nil"/>
            </w:tcBorders>
            <w:vAlign w:val="center"/>
          </w:tcPr>
          <w:p w:rsidR="001F7389" w:rsidRPr="0036089D" w:rsidRDefault="00985985"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0</w:t>
            </w:r>
          </w:p>
        </w:tc>
        <w:tc>
          <w:tcPr>
            <w:tcW w:w="1843" w:type="dxa"/>
            <w:tcBorders>
              <w:top w:val="single" w:sz="4" w:space="0" w:color="4F81BD" w:themeColor="accent1"/>
              <w:left w:val="single" w:sz="4" w:space="0" w:color="4F81BD" w:themeColor="accent1"/>
              <w:bottom w:val="single" w:sz="4" w:space="0" w:color="4F81BD" w:themeColor="accent1"/>
              <w:right w:val="nil"/>
            </w:tcBorders>
            <w:vAlign w:val="center"/>
          </w:tcPr>
          <w:p w:rsidR="001F7389" w:rsidRPr="0036089D" w:rsidRDefault="001F7389"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3,659.60</w:t>
            </w:r>
          </w:p>
        </w:tc>
      </w:tr>
      <w:tr w:rsidR="001F7389" w:rsidRPr="0036089D" w:rsidTr="001F7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top w:val="nil"/>
              <w:bottom w:val="nil"/>
              <w:right w:val="single" w:sz="4" w:space="0" w:color="4F81BD" w:themeColor="accent1"/>
            </w:tcBorders>
            <w:vAlign w:val="center"/>
          </w:tcPr>
          <w:p w:rsidR="001F7389" w:rsidRPr="0036089D" w:rsidRDefault="001F7389" w:rsidP="001F7389">
            <w:pPr>
              <w:spacing w:after="0" w:line="240" w:lineRule="auto"/>
              <w:jc w:val="center"/>
              <w:rPr>
                <w:rFonts w:ascii="Calibri" w:eastAsia="Times New Roman" w:hAnsi="Calibri" w:cs="Times New Roman"/>
                <w:b w:val="0"/>
                <w:color w:val="000000"/>
                <w:lang w:eastAsia="en-AU"/>
              </w:rPr>
            </w:pPr>
            <w:r w:rsidRPr="0036089D">
              <w:rPr>
                <w:rFonts w:ascii="Calibri" w:eastAsia="Times New Roman" w:hAnsi="Calibri" w:cs="Times New Roman"/>
                <w:b w:val="0"/>
                <w:color w:val="000000"/>
                <w:lang w:eastAsia="en-AU"/>
              </w:rPr>
              <w:t>Reverse E</w:t>
            </w:r>
            <w:r w:rsidRPr="0036089D">
              <w:rPr>
                <w:rFonts w:ascii="Calibri" w:eastAsia="Times New Roman" w:hAnsi="Calibri" w:cs="Times New Roman"/>
                <w:b w:val="0"/>
                <w:color w:val="000000"/>
                <w:lang w:eastAsia="en-AU"/>
              </w:rPr>
              <w:noBreakHyphen/>
              <w:t>Waste</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F7389">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5,580.10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F7389">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5,494.00</w:t>
            </w:r>
          </w:p>
        </w:tc>
        <w:tc>
          <w:tcPr>
            <w:tcW w:w="1842" w:type="dxa"/>
            <w:tcBorders>
              <w:top w:val="single" w:sz="4" w:space="0" w:color="4F81BD" w:themeColor="accent1"/>
              <w:left w:val="single" w:sz="4" w:space="0" w:color="4F81BD" w:themeColor="accent1"/>
              <w:bottom w:val="single" w:sz="4" w:space="0" w:color="4F81BD" w:themeColor="accent1"/>
            </w:tcBorders>
            <w:vAlign w:val="center"/>
          </w:tcPr>
          <w:p w:rsidR="001F7389" w:rsidRPr="0036089D" w:rsidRDefault="00985985" w:rsidP="001F7389">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N/A</w:t>
            </w:r>
          </w:p>
        </w:tc>
        <w:tc>
          <w:tcPr>
            <w:tcW w:w="1843" w:type="dxa"/>
            <w:tcBorders>
              <w:top w:val="single" w:sz="4" w:space="0" w:color="4F81BD" w:themeColor="accent1"/>
              <w:left w:val="single" w:sz="4" w:space="0" w:color="4F81BD" w:themeColor="accent1"/>
              <w:bottom w:val="single" w:sz="4" w:space="0" w:color="4F81BD" w:themeColor="accent1"/>
            </w:tcBorders>
            <w:vAlign w:val="center"/>
          </w:tcPr>
          <w:p w:rsidR="001F7389" w:rsidRPr="0036089D" w:rsidRDefault="00985985" w:rsidP="001F7389">
            <w:pPr>
              <w:spacing w:before="120" w:after="120"/>
              <w:jc w:val="center"/>
              <w:cnfStyle w:val="000000100000" w:firstRow="0" w:lastRow="0" w:firstColumn="0" w:lastColumn="0" w:oddVBand="0" w:evenVBand="0" w:oddHBand="1" w:evenHBand="0" w:firstRowFirstColumn="0" w:firstRowLastColumn="0" w:lastRowFirstColumn="0" w:lastRowLastColumn="0"/>
              <w:rPr>
                <w:color w:val="auto"/>
              </w:rPr>
            </w:pPr>
            <w:r w:rsidRPr="0036089D">
              <w:rPr>
                <w:color w:val="auto"/>
              </w:rPr>
              <w:t>N/A</w:t>
            </w:r>
          </w:p>
        </w:tc>
      </w:tr>
      <w:bookmarkEnd w:id="37"/>
      <w:tr w:rsidR="001F7389" w:rsidRPr="0036089D" w:rsidTr="00B97029">
        <w:tc>
          <w:tcPr>
            <w:cnfStyle w:val="001000000000" w:firstRow="0" w:lastRow="0" w:firstColumn="1" w:lastColumn="0" w:oddVBand="0" w:evenVBand="0" w:oddHBand="0" w:evenHBand="0" w:firstRowFirstColumn="0" w:firstRowLastColumn="0" w:lastRowFirstColumn="0" w:lastRowLastColumn="0"/>
            <w:tcW w:w="1810" w:type="dxa"/>
            <w:tcBorders>
              <w:top w:val="nil"/>
              <w:bottom w:val="nil"/>
              <w:right w:val="single" w:sz="4" w:space="0" w:color="4F81BD" w:themeColor="accent1"/>
            </w:tcBorders>
            <w:vAlign w:val="center"/>
          </w:tcPr>
          <w:p w:rsidR="001F7389" w:rsidRPr="0036089D" w:rsidRDefault="001F7389" w:rsidP="001F7389">
            <w:pPr>
              <w:spacing w:after="0" w:line="240" w:lineRule="auto"/>
              <w:jc w:val="center"/>
              <w:rPr>
                <w:rFonts w:ascii="Calibri" w:eastAsia="Times New Roman" w:hAnsi="Calibri"/>
                <w:b w:val="0"/>
                <w:color w:val="000000"/>
                <w:lang w:eastAsia="en-AU"/>
              </w:rPr>
            </w:pPr>
            <w:r w:rsidRPr="0036089D">
              <w:rPr>
                <w:rFonts w:ascii="Calibri" w:eastAsia="Times New Roman" w:hAnsi="Calibri"/>
                <w:b w:val="0"/>
                <w:color w:val="000000"/>
                <w:lang w:eastAsia="en-AU"/>
              </w:rPr>
              <w:t>Non-allocated*</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36089D">
              <w:rPr>
                <w:color w:val="auto"/>
              </w:rPr>
              <w:t>50.52</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985985"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6089D">
              <w:rPr>
                <w:color w:val="000000" w:themeColor="text1"/>
              </w:rPr>
              <w:t>N/A</w:t>
            </w:r>
          </w:p>
        </w:tc>
        <w:tc>
          <w:tcPr>
            <w:tcW w:w="1842" w:type="dxa"/>
            <w:tcBorders>
              <w:top w:val="single" w:sz="4" w:space="0" w:color="4F81BD" w:themeColor="accent1"/>
              <w:left w:val="single" w:sz="4" w:space="0" w:color="4F81BD" w:themeColor="accent1"/>
              <w:bottom w:val="single" w:sz="4" w:space="0" w:color="4F81BD" w:themeColor="accent1"/>
            </w:tcBorders>
            <w:vAlign w:val="center"/>
          </w:tcPr>
          <w:p w:rsidR="001F7389" w:rsidRPr="0036089D" w:rsidRDefault="00985985"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6089D">
              <w:rPr>
                <w:color w:val="000000" w:themeColor="text1"/>
              </w:rPr>
              <w:t>N/A</w:t>
            </w:r>
          </w:p>
        </w:tc>
        <w:tc>
          <w:tcPr>
            <w:tcW w:w="1843" w:type="dxa"/>
            <w:tcBorders>
              <w:top w:val="single" w:sz="4" w:space="0" w:color="4F81BD" w:themeColor="accent1"/>
              <w:left w:val="single" w:sz="4" w:space="0" w:color="4F81BD" w:themeColor="accent1"/>
              <w:bottom w:val="single" w:sz="4" w:space="0" w:color="4F81BD" w:themeColor="accent1"/>
            </w:tcBorders>
            <w:vAlign w:val="center"/>
          </w:tcPr>
          <w:p w:rsidR="001F7389" w:rsidRPr="0036089D" w:rsidRDefault="00985985" w:rsidP="001F7389">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6089D">
              <w:rPr>
                <w:color w:val="000000" w:themeColor="text1"/>
              </w:rPr>
              <w:t>N/A</w:t>
            </w:r>
          </w:p>
        </w:tc>
      </w:tr>
      <w:bookmarkEnd w:id="38"/>
      <w:tr w:rsidR="001F7389" w:rsidRPr="0036089D" w:rsidTr="00B97029">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810" w:type="dxa"/>
            <w:tcBorders>
              <w:top w:val="nil"/>
              <w:bottom w:val="single" w:sz="8" w:space="0" w:color="4F81BD" w:themeColor="accent1"/>
              <w:right w:val="single" w:sz="4" w:space="0" w:color="4F81BD" w:themeColor="accent1"/>
            </w:tcBorders>
            <w:vAlign w:val="center"/>
          </w:tcPr>
          <w:p w:rsidR="001F7389" w:rsidRPr="0036089D" w:rsidRDefault="001F7389" w:rsidP="001F7389">
            <w:pPr>
              <w:spacing w:after="0" w:line="240" w:lineRule="auto"/>
              <w:jc w:val="center"/>
              <w:rPr>
                <w:rFonts w:ascii="Calibri" w:eastAsia="Times New Roman" w:hAnsi="Calibri" w:cs="Times New Roman"/>
                <w:color w:val="000000"/>
                <w:lang w:eastAsia="en-AU"/>
              </w:rPr>
            </w:pPr>
            <w:r w:rsidRPr="0036089D">
              <w:rPr>
                <w:rFonts w:ascii="Calibri" w:eastAsia="Times New Roman" w:hAnsi="Calibri" w:cs="Times New Roman"/>
                <w:color w:val="000000"/>
                <w:lang w:eastAsia="en-AU"/>
              </w:rPr>
              <w:t>Total</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1F7389">
            <w:pPr>
              <w:spacing w:before="120" w:after="120"/>
              <w:jc w:val="center"/>
              <w:cnfStyle w:val="000000100000" w:firstRow="0" w:lastRow="0" w:firstColumn="0" w:lastColumn="0" w:oddVBand="0" w:evenVBand="0" w:oddHBand="1" w:evenHBand="0" w:firstRowFirstColumn="0" w:firstRowLastColumn="0" w:lastRowFirstColumn="0" w:lastRowLastColumn="0"/>
              <w:rPr>
                <w:b/>
                <w:color w:val="auto"/>
              </w:rPr>
            </w:pPr>
            <w:r w:rsidRPr="0036089D">
              <w:rPr>
                <w:b/>
                <w:color w:val="auto"/>
              </w:rPr>
              <w:t>42,653.2</w:t>
            </w:r>
            <w:r w:rsidR="001A11D0" w:rsidRPr="0036089D">
              <w:rPr>
                <w:b/>
                <w:color w:val="auto"/>
              </w:rPr>
              <w:t>0</w:t>
            </w:r>
          </w:p>
        </w:tc>
        <w:tc>
          <w:tcPr>
            <w:tcW w:w="325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7389" w:rsidRPr="0036089D" w:rsidRDefault="001F7389" w:rsidP="000122A8">
            <w:pPr>
              <w:spacing w:before="120" w:after="120"/>
              <w:jc w:val="center"/>
              <w:cnfStyle w:val="000000100000" w:firstRow="0" w:lastRow="0" w:firstColumn="0" w:lastColumn="0" w:oddVBand="0" w:evenVBand="0" w:oddHBand="1" w:evenHBand="0" w:firstRowFirstColumn="0" w:firstRowLastColumn="0" w:lastRowFirstColumn="0" w:lastRowLastColumn="0"/>
            </w:pPr>
            <w:r w:rsidRPr="0036089D">
              <w:rPr>
                <w:rFonts w:cs="Arial"/>
                <w:b/>
                <w:color w:val="auto"/>
              </w:rPr>
              <w:t>44,</w:t>
            </w:r>
            <w:r w:rsidR="000122A8" w:rsidRPr="0036089D">
              <w:rPr>
                <w:rFonts w:cs="Arial"/>
                <w:b/>
                <w:color w:val="auto"/>
              </w:rPr>
              <w:t>730</w:t>
            </w:r>
            <w:r w:rsidR="001A11D0" w:rsidRPr="0036089D">
              <w:rPr>
                <w:rFonts w:cs="Arial"/>
                <w:b/>
                <w:color w:val="auto"/>
              </w:rPr>
              <w:t>.</w:t>
            </w:r>
            <w:r w:rsidR="000122A8" w:rsidRPr="0036089D">
              <w:rPr>
                <w:rFonts w:cs="Arial"/>
                <w:b/>
                <w:color w:val="auto"/>
              </w:rPr>
              <w:t>53</w:t>
            </w:r>
          </w:p>
        </w:tc>
        <w:tc>
          <w:tcPr>
            <w:tcW w:w="1843" w:type="dxa"/>
            <w:tcBorders>
              <w:top w:val="single" w:sz="4" w:space="0" w:color="4F81BD" w:themeColor="accent1"/>
              <w:left w:val="single" w:sz="4" w:space="0" w:color="4F81BD" w:themeColor="accent1"/>
              <w:bottom w:val="single" w:sz="4" w:space="0" w:color="4F81BD" w:themeColor="accent1"/>
            </w:tcBorders>
            <w:shd w:val="solid" w:color="DBE5F1" w:themeColor="accent1" w:themeTint="33" w:fill="auto"/>
            <w:vAlign w:val="center"/>
          </w:tcPr>
          <w:p w:rsidR="001F7389" w:rsidRPr="0036089D" w:rsidRDefault="001F7389" w:rsidP="008A4125">
            <w:pPr>
              <w:spacing w:before="120" w:after="120"/>
              <w:jc w:val="center"/>
              <w:cnfStyle w:val="000000100000" w:firstRow="0" w:lastRow="0" w:firstColumn="0" w:lastColumn="0" w:oddVBand="0" w:evenVBand="0" w:oddHBand="1" w:evenHBand="0" w:firstRowFirstColumn="0" w:firstRowLastColumn="0" w:lastRowFirstColumn="0" w:lastRowLastColumn="0"/>
              <w:rPr>
                <w:b/>
                <w:color w:val="auto"/>
              </w:rPr>
            </w:pPr>
            <w:r w:rsidRPr="0036089D">
              <w:rPr>
                <w:b/>
                <w:color w:val="auto"/>
              </w:rPr>
              <w:t>8,10</w:t>
            </w:r>
            <w:r w:rsidR="008A4125" w:rsidRPr="0036089D">
              <w:rPr>
                <w:b/>
                <w:color w:val="auto"/>
              </w:rPr>
              <w:t>5.47</w:t>
            </w:r>
          </w:p>
        </w:tc>
      </w:tr>
    </w:tbl>
    <w:bookmarkEnd w:id="39"/>
    <w:p w:rsidR="005B5A18" w:rsidRPr="0036089D" w:rsidRDefault="00B12D4A" w:rsidP="00B473CC">
      <w:pPr>
        <w:spacing w:after="120"/>
        <w:rPr>
          <w:rFonts w:ascii="Calibri" w:hAnsi="Calibri" w:cs="Arial"/>
          <w:sz w:val="20"/>
          <w:szCs w:val="20"/>
          <w:lang w:eastAsia="en-AU"/>
        </w:rPr>
      </w:pPr>
      <w:r w:rsidRPr="0036089D">
        <w:rPr>
          <w:rFonts w:ascii="Calibri" w:hAnsi="Calibri" w:cs="Arial"/>
          <w:sz w:val="20"/>
          <w:szCs w:val="20"/>
          <w:lang w:eastAsia="en-AU"/>
        </w:rPr>
        <w:t>*Target share allocated to liable parties</w:t>
      </w:r>
      <w:r w:rsidR="005E1377" w:rsidRPr="0036089D">
        <w:rPr>
          <w:rFonts w:ascii="Calibri" w:hAnsi="Calibri" w:cs="Arial"/>
          <w:sz w:val="20"/>
          <w:szCs w:val="20"/>
          <w:lang w:eastAsia="en-AU"/>
        </w:rPr>
        <w:t xml:space="preserve"> who did not meet their obligation to join a co-regulatory arrangement in 201</w:t>
      </w:r>
      <w:r w:rsidR="00CF1D73" w:rsidRPr="0036089D">
        <w:rPr>
          <w:rFonts w:ascii="Calibri" w:hAnsi="Calibri" w:cs="Arial"/>
          <w:sz w:val="20"/>
          <w:szCs w:val="20"/>
          <w:lang w:eastAsia="en-AU"/>
        </w:rPr>
        <w:t>4</w:t>
      </w:r>
      <w:r w:rsidR="005E1377" w:rsidRPr="0036089D">
        <w:rPr>
          <w:rFonts w:ascii="Calibri" w:hAnsi="Calibri" w:cs="Arial"/>
          <w:sz w:val="20"/>
          <w:szCs w:val="20"/>
          <w:lang w:eastAsia="en-AU"/>
        </w:rPr>
        <w:t>–15</w:t>
      </w:r>
      <w:r w:rsidRPr="0036089D">
        <w:rPr>
          <w:rFonts w:ascii="Calibri" w:hAnsi="Calibri" w:cs="Arial"/>
          <w:sz w:val="20"/>
          <w:szCs w:val="20"/>
          <w:lang w:eastAsia="en-AU"/>
        </w:rPr>
        <w:t>.</w:t>
      </w:r>
    </w:p>
    <w:p w:rsidR="00822833" w:rsidRPr="0036089D" w:rsidRDefault="00822833">
      <w:pPr>
        <w:spacing w:after="0" w:line="240" w:lineRule="auto"/>
        <w:rPr>
          <w:rFonts w:cs="Arial"/>
          <w:b/>
        </w:rPr>
      </w:pPr>
      <w:r w:rsidRPr="0036089D">
        <w:br w:type="page"/>
      </w:r>
    </w:p>
    <w:p w:rsidR="001D2679" w:rsidRPr="0036089D" w:rsidRDefault="001D2679" w:rsidP="001D2679">
      <w:pPr>
        <w:pStyle w:val="Heading2"/>
      </w:pPr>
      <w:bookmarkStart w:id="40" w:name="_Toc450650992"/>
      <w:r w:rsidRPr="0036089D">
        <w:t>Outcome 3: Achieving the material recovery target</w:t>
      </w:r>
      <w:bookmarkEnd w:id="40"/>
    </w:p>
    <w:tbl>
      <w:tblPr>
        <w:tblStyle w:val="MediumShading1-Accent11"/>
        <w:tblW w:w="0" w:type="auto"/>
        <w:tblLook w:val="04A0" w:firstRow="1" w:lastRow="0" w:firstColumn="1" w:lastColumn="0" w:noHBand="0" w:noVBand="1"/>
      </w:tblPr>
      <w:tblGrid>
        <w:gridCol w:w="1862"/>
        <w:gridCol w:w="1860"/>
        <w:gridCol w:w="1860"/>
        <w:gridCol w:w="1866"/>
        <w:gridCol w:w="1865"/>
      </w:tblGrid>
      <w:tr w:rsidR="00FD49DB" w:rsidRPr="0036089D" w:rsidTr="00FD4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8" w:type="dxa"/>
            <w:gridSpan w:val="5"/>
            <w:vAlign w:val="center"/>
          </w:tcPr>
          <w:p w:rsidR="00FD49DB" w:rsidRPr="0036089D" w:rsidRDefault="00FD49DB" w:rsidP="00FD49DB">
            <w:pPr>
              <w:spacing w:before="120" w:after="120"/>
              <w:jc w:val="center"/>
              <w:rPr>
                <w:sz w:val="20"/>
                <w:szCs w:val="20"/>
              </w:rPr>
            </w:pPr>
            <w:r w:rsidRPr="0036089D">
              <w:rPr>
                <w:sz w:val="20"/>
                <w:szCs w:val="20"/>
              </w:rPr>
              <w:t>Co-regulatory arrangements reported meeting 90 per cent annual recovery target</w:t>
            </w:r>
          </w:p>
        </w:tc>
      </w:tr>
      <w:tr w:rsidR="00FD49DB" w:rsidRPr="0036089D" w:rsidTr="00FD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rsidR="00FD49DB" w:rsidRPr="0036089D" w:rsidRDefault="00FD49DB" w:rsidP="00FD49DB">
            <w:pPr>
              <w:spacing w:before="120" w:after="120"/>
              <w:jc w:val="center"/>
              <w:rPr>
                <w:b w:val="0"/>
                <w:sz w:val="20"/>
                <w:szCs w:val="20"/>
              </w:rPr>
            </w:pPr>
            <w:r w:rsidRPr="0036089D">
              <w:rPr>
                <w:b w:val="0"/>
                <w:sz w:val="20"/>
                <w:szCs w:val="20"/>
              </w:rPr>
              <w:t>ANZRP</w:t>
            </w:r>
          </w:p>
        </w:tc>
        <w:tc>
          <w:tcPr>
            <w:tcW w:w="1885" w:type="dxa"/>
            <w:vAlign w:val="center"/>
          </w:tcPr>
          <w:p w:rsidR="00FD49DB" w:rsidRPr="0036089D" w:rsidRDefault="00FD49DB" w:rsidP="00FD49D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DHL Supply Chain</w:t>
            </w:r>
          </w:p>
        </w:tc>
        <w:tc>
          <w:tcPr>
            <w:tcW w:w="1886" w:type="dxa"/>
            <w:vAlign w:val="center"/>
          </w:tcPr>
          <w:p w:rsidR="00FD49DB" w:rsidRPr="0036089D" w:rsidRDefault="00FD49DB" w:rsidP="00FD49D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EPSA</w:t>
            </w:r>
          </w:p>
        </w:tc>
        <w:tc>
          <w:tcPr>
            <w:tcW w:w="1886" w:type="dxa"/>
            <w:vAlign w:val="center"/>
          </w:tcPr>
          <w:p w:rsidR="00FD49DB" w:rsidRPr="0036089D" w:rsidRDefault="00FD49DB" w:rsidP="00FD49D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E-Cycle Solutions</w:t>
            </w:r>
          </w:p>
        </w:tc>
        <w:tc>
          <w:tcPr>
            <w:tcW w:w="1886" w:type="dxa"/>
            <w:vAlign w:val="center"/>
          </w:tcPr>
          <w:p w:rsidR="00FD49DB" w:rsidRPr="0036089D" w:rsidRDefault="005E6E37" w:rsidP="00FD49D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6089D">
              <w:rPr>
                <w:sz w:val="20"/>
                <w:szCs w:val="20"/>
              </w:rPr>
              <w:t>Reverse E</w:t>
            </w:r>
            <w:r w:rsidRPr="0036089D">
              <w:rPr>
                <w:sz w:val="20"/>
                <w:szCs w:val="20"/>
              </w:rPr>
              <w:noBreakHyphen/>
              <w:t>W</w:t>
            </w:r>
            <w:r w:rsidR="00FD49DB" w:rsidRPr="0036089D">
              <w:rPr>
                <w:sz w:val="20"/>
                <w:szCs w:val="20"/>
              </w:rPr>
              <w:t>aste</w:t>
            </w:r>
          </w:p>
        </w:tc>
      </w:tr>
      <w:tr w:rsidR="00FD49DB" w:rsidRPr="0036089D" w:rsidTr="00FD49DB">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885" w:type="dxa"/>
            <w:vAlign w:val="center"/>
          </w:tcPr>
          <w:p w:rsidR="00FD49DB" w:rsidRPr="0036089D" w:rsidRDefault="00FD49DB" w:rsidP="00FD49DB">
            <w:pPr>
              <w:spacing w:before="240"/>
              <w:jc w:val="center"/>
              <w:rPr>
                <w:b w:val="0"/>
                <w:color w:val="1F497D" w:themeColor="text2"/>
                <w:sz w:val="32"/>
                <w:szCs w:val="32"/>
              </w:rPr>
            </w:pPr>
            <w:r w:rsidRPr="0036089D">
              <w:rPr>
                <w:b w:val="0"/>
                <w:color w:val="1F497D" w:themeColor="text2"/>
                <w:sz w:val="32"/>
                <w:szCs w:val="32"/>
              </w:rPr>
              <w:sym w:font="Wingdings" w:char="F0FC"/>
            </w:r>
          </w:p>
        </w:tc>
        <w:tc>
          <w:tcPr>
            <w:tcW w:w="1885" w:type="dxa"/>
            <w:vAlign w:val="center"/>
          </w:tcPr>
          <w:p w:rsidR="00FD49DB" w:rsidRPr="0036089D" w:rsidRDefault="00FD49DB" w:rsidP="00FD49D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C"/>
            </w:r>
          </w:p>
        </w:tc>
        <w:tc>
          <w:tcPr>
            <w:tcW w:w="1886" w:type="dxa"/>
            <w:vAlign w:val="center"/>
          </w:tcPr>
          <w:p w:rsidR="00FD49DB" w:rsidRPr="0036089D" w:rsidRDefault="00FD49DB" w:rsidP="00FD49D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C"/>
            </w:r>
          </w:p>
        </w:tc>
        <w:tc>
          <w:tcPr>
            <w:tcW w:w="1886" w:type="dxa"/>
            <w:vAlign w:val="center"/>
          </w:tcPr>
          <w:p w:rsidR="00FD49DB" w:rsidRPr="0036089D" w:rsidRDefault="00FD49DB" w:rsidP="00FD49D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C"/>
            </w:r>
          </w:p>
        </w:tc>
        <w:tc>
          <w:tcPr>
            <w:tcW w:w="1886" w:type="dxa"/>
            <w:vAlign w:val="center"/>
          </w:tcPr>
          <w:p w:rsidR="00FD49DB" w:rsidRPr="0036089D" w:rsidRDefault="00FD49DB" w:rsidP="00FD49DB">
            <w:pPr>
              <w:spacing w:before="240"/>
              <w:jc w:val="center"/>
              <w:cnfStyle w:val="000000010000" w:firstRow="0" w:lastRow="0" w:firstColumn="0" w:lastColumn="0" w:oddVBand="0" w:evenVBand="0" w:oddHBand="0" w:evenHBand="1" w:firstRowFirstColumn="0" w:firstRowLastColumn="0" w:lastRowFirstColumn="0" w:lastRowLastColumn="0"/>
              <w:rPr>
                <w:color w:val="1F497D" w:themeColor="text2"/>
                <w:sz w:val="32"/>
                <w:szCs w:val="32"/>
              </w:rPr>
            </w:pPr>
            <w:r w:rsidRPr="0036089D">
              <w:rPr>
                <w:color w:val="1F497D" w:themeColor="text2"/>
                <w:sz w:val="32"/>
                <w:szCs w:val="32"/>
              </w:rPr>
              <w:sym w:font="Wingdings" w:char="F0FC"/>
            </w:r>
          </w:p>
        </w:tc>
      </w:tr>
    </w:tbl>
    <w:p w:rsidR="005B5A18" w:rsidRPr="0036089D" w:rsidRDefault="003F19A3" w:rsidP="00FD49DB">
      <w:pPr>
        <w:spacing w:before="240"/>
        <w:rPr>
          <w:rFonts w:ascii="Calibri" w:hAnsi="Calibri" w:cs="Calibri"/>
        </w:rPr>
      </w:pPr>
      <w:r w:rsidRPr="0036089D">
        <w:rPr>
          <w:rFonts w:ascii="Calibri" w:hAnsi="Calibri" w:cs="Calibri"/>
        </w:rPr>
        <w:t xml:space="preserve">Material recovery refers to the separation or extraction of materials from end-of-life televisions or computers for processing into useable materials. </w:t>
      </w:r>
      <w:r w:rsidR="00224ABF" w:rsidRPr="0036089D">
        <w:rPr>
          <w:rFonts w:ascii="Calibri" w:hAnsi="Calibri" w:cs="Calibri"/>
        </w:rPr>
        <w:t>Initial dismantling</w:t>
      </w:r>
      <w:r w:rsidR="005B5A18" w:rsidRPr="0036089D">
        <w:rPr>
          <w:rFonts w:ascii="Calibri" w:hAnsi="Calibri" w:cs="Calibri"/>
        </w:rPr>
        <w:t xml:space="preserve"> processes result in the separation of a range of commodities and components </w:t>
      </w:r>
      <w:r w:rsidR="00224ABF" w:rsidRPr="0036089D">
        <w:rPr>
          <w:rFonts w:ascii="Calibri" w:hAnsi="Calibri" w:cs="Calibri"/>
        </w:rPr>
        <w:t>which require</w:t>
      </w:r>
      <w:r w:rsidR="005B5A18" w:rsidRPr="0036089D">
        <w:rPr>
          <w:rFonts w:ascii="Calibri" w:hAnsi="Calibri" w:cs="Calibri"/>
        </w:rPr>
        <w:t xml:space="preserve"> further processing. In addition, there are normally small amounts of unusable or low-value material </w:t>
      </w:r>
      <w:r w:rsidR="00224ABF" w:rsidRPr="0036089D">
        <w:rPr>
          <w:rFonts w:ascii="Calibri" w:hAnsi="Calibri" w:cs="Calibri"/>
        </w:rPr>
        <w:t>which are</w:t>
      </w:r>
      <w:r w:rsidR="005B5A18" w:rsidRPr="0036089D">
        <w:rPr>
          <w:rFonts w:ascii="Calibri" w:hAnsi="Calibri" w:cs="Calibri"/>
        </w:rPr>
        <w:t xml:space="preserve"> separated </w:t>
      </w:r>
      <w:r w:rsidR="00224ABF" w:rsidRPr="0036089D">
        <w:rPr>
          <w:rFonts w:ascii="Calibri" w:hAnsi="Calibri" w:cs="Calibri"/>
        </w:rPr>
        <w:t>and disposed of</w:t>
      </w:r>
      <w:r w:rsidR="005B5A18" w:rsidRPr="0036089D">
        <w:rPr>
          <w:rFonts w:ascii="Calibri" w:hAnsi="Calibri" w:cs="Calibri"/>
        </w:rPr>
        <w:t xml:space="preserve"> to landfill. </w:t>
      </w:r>
    </w:p>
    <w:p w:rsidR="00F2650C" w:rsidRPr="0036089D" w:rsidRDefault="00F2650C" w:rsidP="00F2650C">
      <w:pPr>
        <w:rPr>
          <w:rFonts w:ascii="Calibri" w:hAnsi="Calibri" w:cs="Calibri"/>
        </w:rPr>
      </w:pPr>
      <w:r w:rsidRPr="0036089D">
        <w:rPr>
          <w:rFonts w:ascii="Calibri" w:hAnsi="Calibri" w:cs="Calibri"/>
        </w:rPr>
        <w:t>From 1 July 2014, each co</w:t>
      </w:r>
      <w:r w:rsidRPr="0036089D">
        <w:rPr>
          <w:rFonts w:ascii="Calibri" w:hAnsi="Calibri" w:cs="Calibri"/>
        </w:rPr>
        <w:noBreakHyphen/>
        <w:t xml:space="preserve">regulatory arrangement is required to meet a minimum material recovery rate of 90 per cent across its </w:t>
      </w:r>
      <w:r w:rsidR="00A72D8F" w:rsidRPr="0036089D">
        <w:rPr>
          <w:rFonts w:ascii="Calibri" w:hAnsi="Calibri" w:cs="Calibri"/>
        </w:rPr>
        <w:t xml:space="preserve">material </w:t>
      </w:r>
      <w:r w:rsidR="00682D05" w:rsidRPr="0036089D">
        <w:rPr>
          <w:rFonts w:ascii="Calibri" w:hAnsi="Calibri" w:cs="Calibri"/>
        </w:rPr>
        <w:t xml:space="preserve">processing </w:t>
      </w:r>
      <w:r w:rsidR="00A72D8F" w:rsidRPr="0036089D">
        <w:rPr>
          <w:rFonts w:ascii="Calibri" w:hAnsi="Calibri" w:cs="Calibri"/>
        </w:rPr>
        <w:t>streams</w:t>
      </w:r>
      <w:r w:rsidRPr="0036089D">
        <w:rPr>
          <w:rFonts w:ascii="Calibri" w:hAnsi="Calibri" w:cs="Calibri"/>
        </w:rPr>
        <w:t xml:space="preserve">. </w:t>
      </w:r>
      <w:r w:rsidR="00A72D8F" w:rsidRPr="0036089D">
        <w:rPr>
          <w:rFonts w:ascii="Calibri" w:hAnsi="Calibri" w:cs="Calibri"/>
        </w:rPr>
        <w:t xml:space="preserve">The purpose of this material recovery target is to minimise the amount of television and computer material that is disposed of to landfill and maximise the recovery of resources. </w:t>
      </w:r>
      <w:r w:rsidRPr="0036089D">
        <w:rPr>
          <w:rFonts w:ascii="Calibri" w:hAnsi="Calibri" w:cs="Calibri"/>
        </w:rPr>
        <w:t xml:space="preserve">E-waste recyclers operating under the scheme are contracted to co-regulatory arrangements, and must </w:t>
      </w:r>
      <w:r w:rsidR="00682D05" w:rsidRPr="0036089D">
        <w:rPr>
          <w:rFonts w:ascii="Calibri" w:hAnsi="Calibri" w:cs="Calibri"/>
        </w:rPr>
        <w:t xml:space="preserve">provide documentation of their </w:t>
      </w:r>
      <w:r w:rsidRPr="0036089D">
        <w:rPr>
          <w:rFonts w:ascii="Calibri" w:hAnsi="Calibri" w:cs="Calibri"/>
        </w:rPr>
        <w:t>material recover</w:t>
      </w:r>
      <w:r w:rsidR="00682D05" w:rsidRPr="0036089D">
        <w:rPr>
          <w:rFonts w:ascii="Calibri" w:hAnsi="Calibri" w:cs="Calibri"/>
        </w:rPr>
        <w:t>y outcomes as directed by the administrator of the</w:t>
      </w:r>
      <w:r w:rsidR="00C4745E" w:rsidRPr="0036089D">
        <w:rPr>
          <w:rFonts w:ascii="Calibri" w:hAnsi="Calibri" w:cs="Calibri"/>
        </w:rPr>
        <w:t>ir</w:t>
      </w:r>
      <w:r w:rsidR="005C61C2" w:rsidRPr="0036089D">
        <w:rPr>
          <w:rFonts w:ascii="Calibri" w:hAnsi="Calibri" w:cs="Calibri"/>
        </w:rPr>
        <w:t xml:space="preserve"> co-regulatory</w:t>
      </w:r>
      <w:r w:rsidR="00682D05" w:rsidRPr="0036089D">
        <w:rPr>
          <w:rFonts w:ascii="Calibri" w:hAnsi="Calibri" w:cs="Calibri"/>
        </w:rPr>
        <w:t xml:space="preserve"> </w:t>
      </w:r>
      <w:r w:rsidRPr="0036089D">
        <w:rPr>
          <w:rFonts w:ascii="Calibri" w:hAnsi="Calibri" w:cs="Calibri"/>
        </w:rPr>
        <w:t xml:space="preserve">arrangement. </w:t>
      </w:r>
    </w:p>
    <w:p w:rsidR="00F2650C" w:rsidRPr="0036089D" w:rsidRDefault="005B5A18" w:rsidP="005B5A18">
      <w:pPr>
        <w:rPr>
          <w:rFonts w:ascii="Calibri" w:hAnsi="Calibri" w:cs="Calibri"/>
        </w:rPr>
      </w:pPr>
      <w:r w:rsidRPr="0036089D">
        <w:rPr>
          <w:rFonts w:ascii="Calibri" w:hAnsi="Calibri" w:cs="Calibri"/>
        </w:rPr>
        <w:t>A methodology to simplify reporting of material recovery has been provided to each of the co</w:t>
      </w:r>
      <w:r w:rsidR="003D60A6" w:rsidRPr="0036089D">
        <w:rPr>
          <w:rFonts w:ascii="Calibri" w:hAnsi="Calibri" w:cs="Calibri"/>
        </w:rPr>
        <w:noBreakHyphen/>
      </w:r>
      <w:r w:rsidRPr="0036089D">
        <w:rPr>
          <w:rFonts w:ascii="Calibri" w:hAnsi="Calibri" w:cs="Calibri"/>
        </w:rPr>
        <w:t>regulatory arrangements</w:t>
      </w:r>
      <w:r w:rsidR="00B670A3" w:rsidRPr="0036089D">
        <w:rPr>
          <w:rFonts w:ascii="Calibri" w:hAnsi="Calibri" w:cs="Calibri"/>
        </w:rPr>
        <w:t>, and is available at http://www.environment.gov.au/protection/national-waste-policy/publications/material-recovery-measurement-reporting-methodology</w:t>
      </w:r>
      <w:r w:rsidRPr="0036089D">
        <w:rPr>
          <w:rFonts w:ascii="Calibri" w:hAnsi="Calibri" w:cs="Calibri"/>
        </w:rPr>
        <w:t xml:space="preserve">. </w:t>
      </w:r>
      <w:r w:rsidR="00A72D8F" w:rsidRPr="0036089D">
        <w:rPr>
          <w:rFonts w:ascii="Calibri" w:hAnsi="Calibri" w:cs="Calibri"/>
        </w:rPr>
        <w:t xml:space="preserve"> </w:t>
      </w:r>
      <w:r w:rsidR="00F2650C" w:rsidRPr="0036089D">
        <w:rPr>
          <w:rFonts w:ascii="Calibri" w:hAnsi="Calibri" w:cs="Calibri"/>
        </w:rPr>
        <w:t xml:space="preserve">A range of recovery operations are used by recyclers to extract material fractions, </w:t>
      </w:r>
      <w:r w:rsidR="00A72D8F" w:rsidRPr="0036089D">
        <w:rPr>
          <w:rFonts w:ascii="Calibri" w:hAnsi="Calibri" w:cs="Calibri"/>
        </w:rPr>
        <w:t xml:space="preserve">and </w:t>
      </w:r>
      <w:r w:rsidR="00F2650C" w:rsidRPr="0036089D">
        <w:rPr>
          <w:rFonts w:ascii="Calibri" w:hAnsi="Calibri" w:cs="Calibri"/>
        </w:rPr>
        <w:t xml:space="preserve">examples of </w:t>
      </w:r>
      <w:r w:rsidR="00A72D8F" w:rsidRPr="0036089D">
        <w:rPr>
          <w:rFonts w:ascii="Calibri" w:hAnsi="Calibri" w:cs="Calibri"/>
        </w:rPr>
        <w:t>permitted processes</w:t>
      </w:r>
      <w:r w:rsidR="00F2650C" w:rsidRPr="0036089D">
        <w:rPr>
          <w:rFonts w:ascii="Calibri" w:hAnsi="Calibri" w:cs="Calibri"/>
        </w:rPr>
        <w:t xml:space="preserve"> are included in the material recovery reporting methodology. </w:t>
      </w:r>
    </w:p>
    <w:p w:rsidR="005B5A18" w:rsidRPr="0036089D" w:rsidRDefault="00A72D8F" w:rsidP="005B5A18">
      <w:pPr>
        <w:rPr>
          <w:rFonts w:ascii="Calibri" w:hAnsi="Calibri"/>
        </w:rPr>
      </w:pPr>
      <w:r w:rsidRPr="0036089D">
        <w:rPr>
          <w:rFonts w:ascii="Calibri" w:hAnsi="Calibri"/>
        </w:rPr>
        <w:t xml:space="preserve">Co-regulatory arrangements are required to validate material recovery rates achieved by their downstream processors, </w:t>
      </w:r>
      <w:r w:rsidR="002B2B07" w:rsidRPr="0036089D">
        <w:rPr>
          <w:rFonts w:ascii="Calibri" w:hAnsi="Calibri"/>
        </w:rPr>
        <w:t xml:space="preserve">and to the adequacy of health, safety and environmental processes and procedures. </w:t>
      </w:r>
      <w:r w:rsidR="00B438A2" w:rsidRPr="0036089D">
        <w:rPr>
          <w:rFonts w:ascii="Calibri" w:hAnsi="Calibri"/>
        </w:rPr>
        <w:t>It is anticipated</w:t>
      </w:r>
      <w:r w:rsidR="005B5A18" w:rsidRPr="0036089D">
        <w:rPr>
          <w:rFonts w:ascii="Calibri" w:hAnsi="Calibri"/>
        </w:rPr>
        <w:t xml:space="preserve"> that the </w:t>
      </w:r>
      <w:r w:rsidR="00915C55" w:rsidRPr="0036089D">
        <w:rPr>
          <w:rFonts w:ascii="Calibri" w:hAnsi="Calibri"/>
        </w:rPr>
        <w:t>use</w:t>
      </w:r>
      <w:r w:rsidR="005B5A18" w:rsidRPr="0036089D">
        <w:rPr>
          <w:rFonts w:ascii="Calibri" w:hAnsi="Calibri"/>
        </w:rPr>
        <w:t xml:space="preserve"> of this methodology will increase the consistency of material recovery calculations for all co-regulatory arrangements</w:t>
      </w:r>
      <w:r w:rsidR="00B438A2" w:rsidRPr="0036089D">
        <w:rPr>
          <w:rFonts w:ascii="Calibri" w:hAnsi="Calibri"/>
        </w:rPr>
        <w:t>.</w:t>
      </w:r>
      <w:r w:rsidR="00915C55" w:rsidRPr="0036089D">
        <w:rPr>
          <w:rFonts w:ascii="Calibri" w:hAnsi="Calibri"/>
        </w:rPr>
        <w:t xml:space="preserve"> </w:t>
      </w:r>
      <w:r w:rsidR="00B438A2" w:rsidRPr="0036089D">
        <w:rPr>
          <w:rFonts w:ascii="Calibri" w:hAnsi="Calibri"/>
        </w:rPr>
        <w:t>The Department</w:t>
      </w:r>
      <w:r w:rsidR="00915C55" w:rsidRPr="0036089D">
        <w:rPr>
          <w:rFonts w:ascii="Calibri" w:hAnsi="Calibri"/>
        </w:rPr>
        <w:t xml:space="preserve"> is </w:t>
      </w:r>
      <w:r w:rsidR="00B438A2" w:rsidRPr="0036089D">
        <w:rPr>
          <w:rFonts w:ascii="Calibri" w:hAnsi="Calibri"/>
        </w:rPr>
        <w:t>also undertaking additional activities</w:t>
      </w:r>
      <w:r w:rsidR="00915C55" w:rsidRPr="0036089D">
        <w:rPr>
          <w:rFonts w:ascii="Calibri" w:hAnsi="Calibri"/>
        </w:rPr>
        <w:t xml:space="preserve"> to ensure that co-regulatory arrangement processes for measuring and reporting their material recovery are fit for purpose</w:t>
      </w:r>
      <w:r w:rsidR="005B5A18" w:rsidRPr="0036089D">
        <w:rPr>
          <w:rFonts w:ascii="Calibri" w:hAnsi="Calibri"/>
        </w:rPr>
        <w:t>.</w:t>
      </w:r>
    </w:p>
    <w:p w:rsidR="00CC3D21" w:rsidRPr="0036089D" w:rsidRDefault="0037095E" w:rsidP="005B5A18">
      <w:pPr>
        <w:rPr>
          <w:rFonts w:ascii="Calibri" w:hAnsi="Calibri"/>
        </w:rPr>
      </w:pPr>
      <w:r>
        <w:rPr>
          <w:rFonts w:ascii="Calibri" w:hAnsi="Calibri"/>
          <w:noProof/>
          <w:lang w:eastAsia="en-AU"/>
        </w:rPr>
        <mc:AlternateContent>
          <mc:Choice Requires="wps">
            <w:drawing>
              <wp:anchor distT="0" distB="0" distL="114300" distR="114300" simplePos="0" relativeHeight="251657728" behindDoc="0" locked="0" layoutInCell="1" allowOverlap="1" wp14:anchorId="5169D27C" wp14:editId="63BCB8A9">
                <wp:simplePos x="0" y="0"/>
                <wp:positionH relativeFrom="column">
                  <wp:posOffset>6350</wp:posOffset>
                </wp:positionH>
                <wp:positionV relativeFrom="paragraph">
                  <wp:posOffset>38100</wp:posOffset>
                </wp:positionV>
                <wp:extent cx="2574925" cy="2743200"/>
                <wp:effectExtent l="6350" t="11430" r="9525" b="26670"/>
                <wp:wrapSquare wrapText="bothSides"/>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27432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3A2863" w:rsidRDefault="003A2863" w:rsidP="005D7CEB">
                            <w:pPr>
                              <w:pStyle w:val="ListBullet"/>
                              <w:numPr>
                                <w:ilvl w:val="0"/>
                                <w:numId w:val="0"/>
                              </w:numPr>
                              <w:spacing w:after="0"/>
                              <w:ind w:left="369" w:hanging="369"/>
                              <w:rPr>
                                <w:rFonts w:ascii="Calibri" w:hAnsi="Calibri"/>
                                <w:b/>
                                <w:bCs/>
                              </w:rPr>
                            </w:pPr>
                            <w:r>
                              <w:rPr>
                                <w:rFonts w:ascii="Calibri" w:hAnsi="Calibri"/>
                                <w:b/>
                                <w:bCs/>
                              </w:rPr>
                              <w:t>MATERIAL RECOVERY STATISTICS</w:t>
                            </w:r>
                          </w:p>
                          <w:p w:rsidR="003A2863" w:rsidRDefault="003A2863" w:rsidP="005D7CEB">
                            <w:pPr>
                              <w:pStyle w:val="ListBullet"/>
                              <w:numPr>
                                <w:ilvl w:val="0"/>
                                <w:numId w:val="0"/>
                              </w:numPr>
                              <w:spacing w:before="120" w:after="0"/>
                              <w:rPr>
                                <w:rFonts w:ascii="Calibri" w:hAnsi="Calibri"/>
                                <w:b/>
                                <w:bCs/>
                              </w:rPr>
                            </w:pPr>
                            <w:r>
                              <w:rPr>
                                <w:rFonts w:ascii="Calibri" w:hAnsi="Calibri"/>
                                <w:b/>
                                <w:bCs/>
                              </w:rPr>
                              <w:t xml:space="preserve">Total weight of useable material recovered from recycling: </w:t>
                            </w:r>
                          </w:p>
                          <w:p w:rsidR="003A2863" w:rsidRDefault="003A2863" w:rsidP="005D7CEB">
                            <w:pPr>
                              <w:pStyle w:val="ListBullet"/>
                              <w:numPr>
                                <w:ilvl w:val="0"/>
                                <w:numId w:val="0"/>
                              </w:numPr>
                              <w:spacing w:after="0"/>
                              <w:rPr>
                                <w:rFonts w:ascii="Calibri" w:hAnsi="Calibri"/>
                                <w:b/>
                                <w:bCs/>
                              </w:rPr>
                            </w:pPr>
                            <w:r w:rsidRPr="0020051F">
                              <w:rPr>
                                <w:rFonts w:asciiTheme="minorHAnsi" w:hAnsiTheme="minorHAnsi" w:cs="Arial"/>
                                <w:color w:val="000000"/>
                              </w:rPr>
                              <w:t>39,811.72</w:t>
                            </w:r>
                            <w:r>
                              <w:rPr>
                                <w:rFonts w:cs="Arial"/>
                                <w:color w:val="000000"/>
                                <w:sz w:val="20"/>
                                <w:szCs w:val="20"/>
                              </w:rPr>
                              <w:t xml:space="preserve"> </w:t>
                            </w:r>
                            <w:r w:rsidRPr="001070ED">
                              <w:rPr>
                                <w:rFonts w:ascii="Calibri" w:hAnsi="Calibri"/>
                                <w:bCs/>
                              </w:rPr>
                              <w:t>tonnes</w:t>
                            </w:r>
                          </w:p>
                          <w:p w:rsidR="003A2863" w:rsidRPr="006C0C99" w:rsidRDefault="003A2863" w:rsidP="005D7CEB">
                            <w:pPr>
                              <w:pStyle w:val="ListBullet"/>
                              <w:numPr>
                                <w:ilvl w:val="0"/>
                                <w:numId w:val="0"/>
                              </w:numPr>
                              <w:spacing w:before="120" w:after="0"/>
                              <w:rPr>
                                <w:rFonts w:ascii="Calibri" w:hAnsi="Calibri"/>
                                <w:b/>
                                <w:bCs/>
                              </w:rPr>
                            </w:pPr>
                            <w:r>
                              <w:rPr>
                                <w:rFonts w:ascii="Calibri" w:hAnsi="Calibri"/>
                                <w:b/>
                                <w:bCs/>
                              </w:rPr>
                              <w:t>Total weight of e-waste fractions exported for further processing</w:t>
                            </w:r>
                            <w:r w:rsidRPr="00E24056">
                              <w:rPr>
                                <w:rFonts w:ascii="Calibri" w:hAnsi="Calibri"/>
                                <w:b/>
                                <w:bCs/>
                              </w:rPr>
                              <w:t xml:space="preserve">: </w:t>
                            </w:r>
                            <w:r w:rsidRPr="0020051F">
                              <w:rPr>
                                <w:rFonts w:asciiTheme="minorHAnsi" w:hAnsiTheme="minorHAnsi" w:cs="Arial"/>
                                <w:color w:val="000000"/>
                              </w:rPr>
                              <w:t>14,706.9</w:t>
                            </w:r>
                            <w:r w:rsidRPr="0020051F">
                              <w:rPr>
                                <w:rFonts w:cs="Arial"/>
                                <w:color w:val="000000"/>
                              </w:rPr>
                              <w:t xml:space="preserve"> </w:t>
                            </w:r>
                            <w:r w:rsidRPr="006C0C99">
                              <w:rPr>
                                <w:rFonts w:ascii="Calibri" w:hAnsi="Calibri"/>
                                <w:bCs/>
                              </w:rPr>
                              <w:t>tonnes</w:t>
                            </w:r>
                          </w:p>
                          <w:p w:rsidR="003A2863" w:rsidRDefault="003A2863" w:rsidP="005D7CEB">
                            <w:pPr>
                              <w:pStyle w:val="ListBullet"/>
                              <w:numPr>
                                <w:ilvl w:val="0"/>
                                <w:numId w:val="0"/>
                              </w:numPr>
                              <w:spacing w:before="120" w:after="0"/>
                              <w:rPr>
                                <w:rFonts w:ascii="Calibri" w:hAnsi="Calibri"/>
                                <w:b/>
                                <w:bCs/>
                              </w:rPr>
                            </w:pPr>
                            <w:r>
                              <w:rPr>
                                <w:rFonts w:ascii="Calibri" w:hAnsi="Calibri"/>
                                <w:b/>
                                <w:bCs/>
                              </w:rPr>
                              <w:t xml:space="preserve">Material sent to landfill in Australia:  </w:t>
                            </w:r>
                          </w:p>
                          <w:p w:rsidR="003A2863" w:rsidRDefault="003A2863" w:rsidP="00CC3D21">
                            <w:pPr>
                              <w:pStyle w:val="ListBullet"/>
                              <w:numPr>
                                <w:ilvl w:val="0"/>
                                <w:numId w:val="0"/>
                              </w:numPr>
                              <w:spacing w:after="0"/>
                              <w:ind w:left="369" w:hanging="369"/>
                              <w:rPr>
                                <w:rFonts w:ascii="Calibri" w:hAnsi="Calibri"/>
                                <w:bCs/>
                              </w:rPr>
                            </w:pPr>
                            <w:r>
                              <w:rPr>
                                <w:rFonts w:ascii="Calibri" w:hAnsi="Calibri"/>
                                <w:bCs/>
                                <w:color w:val="000000" w:themeColor="text1"/>
                              </w:rPr>
                              <w:t xml:space="preserve">921.2 </w:t>
                            </w:r>
                            <w:r w:rsidRPr="001070ED">
                              <w:rPr>
                                <w:rFonts w:ascii="Calibri" w:hAnsi="Calibri"/>
                                <w:bCs/>
                              </w:rPr>
                              <w:t>tonnes</w:t>
                            </w:r>
                          </w:p>
                          <w:p w:rsidR="003A2863" w:rsidRDefault="003A2863" w:rsidP="005D7CEB">
                            <w:pPr>
                              <w:pStyle w:val="ListBullet"/>
                              <w:numPr>
                                <w:ilvl w:val="0"/>
                                <w:numId w:val="0"/>
                              </w:numPr>
                              <w:spacing w:before="120" w:after="0"/>
                              <w:rPr>
                                <w:rFonts w:ascii="Calibri" w:hAnsi="Calibri"/>
                                <w:b/>
                                <w:bCs/>
                              </w:rPr>
                            </w:pPr>
                            <w:r>
                              <w:rPr>
                                <w:rFonts w:ascii="Calibri" w:hAnsi="Calibri"/>
                                <w:b/>
                                <w:bCs/>
                              </w:rPr>
                              <w:t xml:space="preserve">Material sent to landfill from secondary overseas processing: </w:t>
                            </w:r>
                          </w:p>
                          <w:p w:rsidR="003A2863" w:rsidRPr="0076018B" w:rsidRDefault="003A2863" w:rsidP="00CC3D21">
                            <w:pPr>
                              <w:pStyle w:val="ListBullet"/>
                              <w:numPr>
                                <w:ilvl w:val="0"/>
                                <w:numId w:val="0"/>
                              </w:numPr>
                              <w:spacing w:after="0"/>
                              <w:ind w:left="369" w:hanging="369"/>
                              <w:rPr>
                                <w:rFonts w:ascii="Calibri" w:hAnsi="Calibri"/>
                                <w:b/>
                                <w:bCs/>
                              </w:rPr>
                            </w:pPr>
                            <w:r w:rsidRPr="005D7CEB">
                              <w:rPr>
                                <w:rFonts w:ascii="Calibri" w:hAnsi="Calibri"/>
                                <w:bCs/>
                              </w:rPr>
                              <w:t>191</w:t>
                            </w:r>
                            <w:r>
                              <w:rPr>
                                <w:rFonts w:ascii="Calibri" w:hAnsi="Calibri"/>
                                <w:bCs/>
                              </w:rPr>
                              <w:t>.6 tonnes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9D27C" id="Text Box 24" o:spid="_x0000_s1029" type="#_x0000_t202" style="position:absolute;margin-left:.5pt;margin-top:3pt;width:202.75pt;height:3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" fillcolor="white [3201]" strokecolor="#95b3d7 [1940]" strokeweight="1pt">
                <v:fill color2="#b8cce4 [1300]" focus="100%" type="gradient"/>
                <v:shadow on="t" color="#243f60 [1604]" opacity=".5" offset="1pt"/>
                <v:textbox>
                  <w:txbxContent>
                    <w:p w:rsidR="003A2863" w:rsidRDefault="003A2863" w:rsidP="005D7CEB">
                      <w:pPr>
                        <w:pStyle w:val="ListBullet"/>
                        <w:numPr>
                          <w:ilvl w:val="0"/>
                          <w:numId w:val="0"/>
                        </w:numPr>
                        <w:spacing w:after="0"/>
                        <w:ind w:left="369" w:hanging="369"/>
                        <w:rPr>
                          <w:rFonts w:ascii="Calibri" w:hAnsi="Calibri"/>
                          <w:b/>
                          <w:bCs/>
                        </w:rPr>
                      </w:pPr>
                      <w:r>
                        <w:rPr>
                          <w:rFonts w:ascii="Calibri" w:hAnsi="Calibri"/>
                          <w:b/>
                          <w:bCs/>
                        </w:rPr>
                        <w:t>MATERIAL RECOVERY STATISTICS</w:t>
                      </w:r>
                    </w:p>
                    <w:p w:rsidR="003A2863" w:rsidRDefault="003A2863" w:rsidP="005D7CEB">
                      <w:pPr>
                        <w:pStyle w:val="ListBullet"/>
                        <w:numPr>
                          <w:ilvl w:val="0"/>
                          <w:numId w:val="0"/>
                        </w:numPr>
                        <w:spacing w:before="120" w:after="0"/>
                        <w:rPr>
                          <w:rFonts w:ascii="Calibri" w:hAnsi="Calibri"/>
                          <w:b/>
                          <w:bCs/>
                        </w:rPr>
                      </w:pPr>
                      <w:r>
                        <w:rPr>
                          <w:rFonts w:ascii="Calibri" w:hAnsi="Calibri"/>
                          <w:b/>
                          <w:bCs/>
                        </w:rPr>
                        <w:t xml:space="preserve">Total weight of useable material recovered from recycling: </w:t>
                      </w:r>
                    </w:p>
                    <w:p w:rsidR="003A2863" w:rsidRDefault="003A2863" w:rsidP="005D7CEB">
                      <w:pPr>
                        <w:pStyle w:val="ListBullet"/>
                        <w:numPr>
                          <w:ilvl w:val="0"/>
                          <w:numId w:val="0"/>
                        </w:numPr>
                        <w:spacing w:after="0"/>
                        <w:rPr>
                          <w:rFonts w:ascii="Calibri" w:hAnsi="Calibri"/>
                          <w:b/>
                          <w:bCs/>
                        </w:rPr>
                      </w:pPr>
                      <w:r w:rsidRPr="0020051F">
                        <w:rPr>
                          <w:rFonts w:asciiTheme="minorHAnsi" w:hAnsiTheme="minorHAnsi" w:cs="Arial"/>
                          <w:color w:val="000000"/>
                        </w:rPr>
                        <w:t>39,811.72</w:t>
                      </w:r>
                      <w:r>
                        <w:rPr>
                          <w:rFonts w:cs="Arial"/>
                          <w:color w:val="000000"/>
                          <w:sz w:val="20"/>
                          <w:szCs w:val="20"/>
                        </w:rPr>
                        <w:t xml:space="preserve"> </w:t>
                      </w:r>
                      <w:r w:rsidRPr="001070ED">
                        <w:rPr>
                          <w:rFonts w:ascii="Calibri" w:hAnsi="Calibri"/>
                          <w:bCs/>
                        </w:rPr>
                        <w:t>tonnes</w:t>
                      </w:r>
                    </w:p>
                    <w:p w:rsidR="003A2863" w:rsidRPr="006C0C99" w:rsidRDefault="003A2863" w:rsidP="005D7CEB">
                      <w:pPr>
                        <w:pStyle w:val="ListBullet"/>
                        <w:numPr>
                          <w:ilvl w:val="0"/>
                          <w:numId w:val="0"/>
                        </w:numPr>
                        <w:spacing w:before="120" w:after="0"/>
                        <w:rPr>
                          <w:rFonts w:ascii="Calibri" w:hAnsi="Calibri"/>
                          <w:b/>
                          <w:bCs/>
                        </w:rPr>
                      </w:pPr>
                      <w:r>
                        <w:rPr>
                          <w:rFonts w:ascii="Calibri" w:hAnsi="Calibri"/>
                          <w:b/>
                          <w:bCs/>
                        </w:rPr>
                        <w:t>Total weight of e-waste fractions exported for further processing</w:t>
                      </w:r>
                      <w:r w:rsidRPr="00E24056">
                        <w:rPr>
                          <w:rFonts w:ascii="Calibri" w:hAnsi="Calibri"/>
                          <w:b/>
                          <w:bCs/>
                        </w:rPr>
                        <w:t xml:space="preserve">: </w:t>
                      </w:r>
                      <w:r w:rsidRPr="0020051F">
                        <w:rPr>
                          <w:rFonts w:asciiTheme="minorHAnsi" w:hAnsiTheme="minorHAnsi" w:cs="Arial"/>
                          <w:color w:val="000000"/>
                        </w:rPr>
                        <w:t>14,706.9</w:t>
                      </w:r>
                      <w:r w:rsidRPr="0020051F">
                        <w:rPr>
                          <w:rFonts w:cs="Arial"/>
                          <w:color w:val="000000"/>
                        </w:rPr>
                        <w:t xml:space="preserve"> </w:t>
                      </w:r>
                      <w:r w:rsidRPr="006C0C99">
                        <w:rPr>
                          <w:rFonts w:ascii="Calibri" w:hAnsi="Calibri"/>
                          <w:bCs/>
                        </w:rPr>
                        <w:t>tonnes</w:t>
                      </w:r>
                    </w:p>
                    <w:p w:rsidR="003A2863" w:rsidRDefault="003A2863" w:rsidP="005D7CEB">
                      <w:pPr>
                        <w:pStyle w:val="ListBullet"/>
                        <w:numPr>
                          <w:ilvl w:val="0"/>
                          <w:numId w:val="0"/>
                        </w:numPr>
                        <w:spacing w:before="120" w:after="0"/>
                        <w:rPr>
                          <w:rFonts w:ascii="Calibri" w:hAnsi="Calibri"/>
                          <w:b/>
                          <w:bCs/>
                        </w:rPr>
                      </w:pPr>
                      <w:r>
                        <w:rPr>
                          <w:rFonts w:ascii="Calibri" w:hAnsi="Calibri"/>
                          <w:b/>
                          <w:bCs/>
                        </w:rPr>
                        <w:t xml:space="preserve">Material sent to landfill in Australia:  </w:t>
                      </w:r>
                    </w:p>
                    <w:p w:rsidR="003A2863" w:rsidRDefault="003A2863" w:rsidP="00CC3D21">
                      <w:pPr>
                        <w:pStyle w:val="ListBullet"/>
                        <w:numPr>
                          <w:ilvl w:val="0"/>
                          <w:numId w:val="0"/>
                        </w:numPr>
                        <w:spacing w:after="0"/>
                        <w:ind w:left="369" w:hanging="369"/>
                        <w:rPr>
                          <w:rFonts w:ascii="Calibri" w:hAnsi="Calibri"/>
                          <w:bCs/>
                        </w:rPr>
                      </w:pPr>
                      <w:r>
                        <w:rPr>
                          <w:rFonts w:ascii="Calibri" w:hAnsi="Calibri"/>
                          <w:bCs/>
                          <w:color w:val="000000" w:themeColor="text1"/>
                        </w:rPr>
                        <w:t xml:space="preserve">921.2 </w:t>
                      </w:r>
                      <w:r w:rsidRPr="001070ED">
                        <w:rPr>
                          <w:rFonts w:ascii="Calibri" w:hAnsi="Calibri"/>
                          <w:bCs/>
                        </w:rPr>
                        <w:t>tonnes</w:t>
                      </w:r>
                    </w:p>
                    <w:p w:rsidR="003A2863" w:rsidRDefault="003A2863" w:rsidP="005D7CEB">
                      <w:pPr>
                        <w:pStyle w:val="ListBullet"/>
                        <w:numPr>
                          <w:ilvl w:val="0"/>
                          <w:numId w:val="0"/>
                        </w:numPr>
                        <w:spacing w:before="120" w:after="0"/>
                        <w:rPr>
                          <w:rFonts w:ascii="Calibri" w:hAnsi="Calibri"/>
                          <w:b/>
                          <w:bCs/>
                        </w:rPr>
                      </w:pPr>
                      <w:r>
                        <w:rPr>
                          <w:rFonts w:ascii="Calibri" w:hAnsi="Calibri"/>
                          <w:b/>
                          <w:bCs/>
                        </w:rPr>
                        <w:t xml:space="preserve">Material sent to landfill from secondary overseas processing: </w:t>
                      </w:r>
                    </w:p>
                    <w:p w:rsidR="003A2863" w:rsidRPr="0076018B" w:rsidRDefault="003A2863" w:rsidP="00CC3D21">
                      <w:pPr>
                        <w:pStyle w:val="ListBullet"/>
                        <w:numPr>
                          <w:ilvl w:val="0"/>
                          <w:numId w:val="0"/>
                        </w:numPr>
                        <w:spacing w:after="0"/>
                        <w:ind w:left="369" w:hanging="369"/>
                        <w:rPr>
                          <w:rFonts w:ascii="Calibri" w:hAnsi="Calibri"/>
                          <w:b/>
                          <w:bCs/>
                        </w:rPr>
                      </w:pPr>
                      <w:r w:rsidRPr="005D7CEB">
                        <w:rPr>
                          <w:rFonts w:ascii="Calibri" w:hAnsi="Calibri"/>
                          <w:bCs/>
                        </w:rPr>
                        <w:t>191</w:t>
                      </w:r>
                      <w:r>
                        <w:rPr>
                          <w:rFonts w:ascii="Calibri" w:hAnsi="Calibri"/>
                          <w:bCs/>
                        </w:rPr>
                        <w:t>.6 tonnes</w:t>
                      </w:r>
                    </w:p>
                  </w:txbxContent>
                </v:textbox>
                <w10:wrap type="square"/>
              </v:shape>
            </w:pict>
          </mc:Fallback>
        </mc:AlternateContent>
      </w:r>
      <w:r w:rsidR="007B0E82">
        <w:rPr>
          <w:rFonts w:ascii="Calibri" w:hAnsi="Calibri"/>
        </w:rPr>
        <w:t xml:space="preserve">Co-regulatory arrangements reported that an </w:t>
      </w:r>
      <w:r w:rsidR="00A0427D" w:rsidRPr="0036089D">
        <w:rPr>
          <w:rFonts w:ascii="Calibri" w:hAnsi="Calibri"/>
        </w:rPr>
        <w:t>excess</w:t>
      </w:r>
      <w:r w:rsidR="004E53DC" w:rsidRPr="0036089D">
        <w:rPr>
          <w:rFonts w:ascii="Calibri" w:hAnsi="Calibri"/>
        </w:rPr>
        <w:t xml:space="preserve"> of </w:t>
      </w:r>
      <w:r w:rsidR="00AD68B1" w:rsidRPr="0036089D">
        <w:rPr>
          <w:rFonts w:ascii="Calibri" w:hAnsi="Calibri"/>
        </w:rPr>
        <w:t>39,800 tonnes of</w:t>
      </w:r>
      <w:r w:rsidR="004E53DC" w:rsidRPr="0036089D">
        <w:rPr>
          <w:rFonts w:ascii="Calibri" w:hAnsi="Calibri"/>
        </w:rPr>
        <w:t xml:space="preserve"> </w:t>
      </w:r>
      <w:r w:rsidR="00AD68B1" w:rsidRPr="0036089D">
        <w:rPr>
          <w:rFonts w:ascii="Calibri" w:hAnsi="Calibri"/>
        </w:rPr>
        <w:t xml:space="preserve">useable </w:t>
      </w:r>
      <w:r w:rsidR="00A0427D" w:rsidRPr="0036089D">
        <w:rPr>
          <w:rFonts w:ascii="Calibri" w:hAnsi="Calibri"/>
        </w:rPr>
        <w:t>material was recovered from recycling in 2014–15 and</w:t>
      </w:r>
      <w:r w:rsidR="005D7CEB" w:rsidRPr="0036089D">
        <w:rPr>
          <w:rFonts w:ascii="Calibri" w:hAnsi="Calibri"/>
        </w:rPr>
        <w:t xml:space="preserve"> made available for reuse and </w:t>
      </w:r>
      <w:r w:rsidR="00A0427D" w:rsidRPr="0036089D">
        <w:rPr>
          <w:rFonts w:ascii="Calibri" w:hAnsi="Calibri"/>
        </w:rPr>
        <w:t>manufacturing</w:t>
      </w:r>
      <w:r w:rsidR="005D7CEB" w:rsidRPr="0036089D">
        <w:rPr>
          <w:rFonts w:ascii="Calibri" w:hAnsi="Calibri"/>
        </w:rPr>
        <w:t xml:space="preserve"> into new products</w:t>
      </w:r>
      <w:r w:rsidR="00A0427D" w:rsidRPr="0036089D">
        <w:rPr>
          <w:rFonts w:ascii="Calibri" w:hAnsi="Calibri"/>
        </w:rPr>
        <w:t>.</w:t>
      </w:r>
      <w:r w:rsidR="0025195C" w:rsidRPr="0036089D">
        <w:rPr>
          <w:rFonts w:ascii="Calibri" w:hAnsi="Calibri"/>
        </w:rPr>
        <w:t xml:space="preserve"> </w:t>
      </w:r>
    </w:p>
    <w:p w:rsidR="00652ED5" w:rsidRPr="0036089D" w:rsidRDefault="0025195C" w:rsidP="005B5A18">
      <w:pPr>
        <w:rPr>
          <w:rFonts w:ascii="Calibri" w:hAnsi="Calibri"/>
        </w:rPr>
      </w:pPr>
      <w:r w:rsidRPr="0036089D">
        <w:rPr>
          <w:rFonts w:ascii="Calibri" w:hAnsi="Calibri"/>
        </w:rPr>
        <w:t xml:space="preserve">Approximately 920 tonnes of material was </w:t>
      </w:r>
      <w:r w:rsidR="005E6E37" w:rsidRPr="0036089D">
        <w:rPr>
          <w:rFonts w:ascii="Calibri" w:hAnsi="Calibri"/>
        </w:rPr>
        <w:t>sent to landfill in Australia from the recycling of products</w:t>
      </w:r>
      <w:r w:rsidRPr="0036089D">
        <w:rPr>
          <w:rFonts w:ascii="Calibri" w:hAnsi="Calibri"/>
        </w:rPr>
        <w:t xml:space="preserve">, and </w:t>
      </w:r>
      <w:r w:rsidR="005E6E37" w:rsidRPr="0036089D">
        <w:rPr>
          <w:rFonts w:ascii="Calibri" w:hAnsi="Calibri"/>
        </w:rPr>
        <w:t>191</w:t>
      </w:r>
      <w:r w:rsidR="00652ED5" w:rsidRPr="0036089D">
        <w:rPr>
          <w:rFonts w:ascii="Calibri" w:hAnsi="Calibri"/>
        </w:rPr>
        <w:t xml:space="preserve"> </w:t>
      </w:r>
      <w:r w:rsidR="005E6E37" w:rsidRPr="0036089D">
        <w:rPr>
          <w:rFonts w:ascii="Calibri" w:hAnsi="Calibri"/>
        </w:rPr>
        <w:t>tonnes was sent to landfill outside of Australia as a by</w:t>
      </w:r>
      <w:r w:rsidR="005E6E37" w:rsidRPr="0036089D">
        <w:rPr>
          <w:rFonts w:ascii="Calibri" w:hAnsi="Calibri"/>
        </w:rPr>
        <w:noBreakHyphen/>
        <w:t>product of material exported for further processing.</w:t>
      </w:r>
    </w:p>
    <w:p w:rsidR="00CC3D21" w:rsidRPr="0036089D" w:rsidRDefault="00CC3D21" w:rsidP="005B5A18">
      <w:pPr>
        <w:rPr>
          <w:rFonts w:ascii="Calibri" w:hAnsi="Calibri"/>
        </w:rPr>
      </w:pPr>
    </w:p>
    <w:p w:rsidR="00CC3D21" w:rsidRPr="0036089D" w:rsidRDefault="00CC3D21" w:rsidP="005B5A18">
      <w:pPr>
        <w:rPr>
          <w:rFonts w:ascii="Calibri" w:hAnsi="Calibri"/>
        </w:rPr>
      </w:pPr>
    </w:p>
    <w:p w:rsidR="00682D05" w:rsidRPr="0036089D" w:rsidRDefault="00B75089" w:rsidP="00B75089">
      <w:pPr>
        <w:pStyle w:val="Caption"/>
        <w:rPr>
          <w:rFonts w:ascii="Calibri" w:hAnsi="Calibri"/>
          <w:b w:val="0"/>
        </w:rPr>
      </w:pPr>
      <w:r w:rsidRPr="0036089D">
        <w:rPr>
          <w:b w:val="0"/>
        </w:rPr>
        <w:t xml:space="preserve">Figure </w:t>
      </w:r>
      <w:r w:rsidR="001700B5" w:rsidRPr="0036089D">
        <w:rPr>
          <w:b w:val="0"/>
        </w:rPr>
        <w:t>4</w:t>
      </w:r>
      <w:r w:rsidRPr="0036089D">
        <w:rPr>
          <w:b w:val="0"/>
        </w:rPr>
        <w:t xml:space="preserve">: </w:t>
      </w:r>
      <w:r w:rsidRPr="0036089D">
        <w:rPr>
          <w:b w:val="0"/>
          <w:i/>
        </w:rPr>
        <w:t xml:space="preserve">Material </w:t>
      </w:r>
      <w:r w:rsidR="00915C55" w:rsidRPr="0036089D">
        <w:rPr>
          <w:b w:val="0"/>
          <w:i/>
        </w:rPr>
        <w:t>categories</w:t>
      </w:r>
      <w:r w:rsidRPr="0036089D">
        <w:rPr>
          <w:b w:val="0"/>
          <w:i/>
        </w:rPr>
        <w:t xml:space="preserve"> recovered from products</w:t>
      </w:r>
      <w:r w:rsidR="001B11E8" w:rsidRPr="0036089D">
        <w:rPr>
          <w:b w:val="0"/>
          <w:i/>
        </w:rPr>
        <w:t xml:space="preserve"> recy</w:t>
      </w:r>
      <w:r w:rsidR="00B97029" w:rsidRPr="0036089D">
        <w:rPr>
          <w:b w:val="0"/>
          <w:i/>
        </w:rPr>
        <w:t>c</w:t>
      </w:r>
      <w:r w:rsidR="001B11E8" w:rsidRPr="0036089D">
        <w:rPr>
          <w:b w:val="0"/>
          <w:i/>
        </w:rPr>
        <w:t>led in 2014</w:t>
      </w:r>
      <w:r w:rsidR="001B11E8" w:rsidRPr="0036089D">
        <w:rPr>
          <w:b w:val="0"/>
          <w:i/>
        </w:rPr>
        <w:noBreakHyphen/>
        <w:t>15</w:t>
      </w:r>
      <w:r w:rsidR="00915C55" w:rsidRPr="0036089D">
        <w:rPr>
          <w:b w:val="0"/>
          <w:i/>
        </w:rPr>
        <w:t xml:space="preserve"> (percentage)</w:t>
      </w:r>
      <w:r w:rsidR="00B97029" w:rsidRPr="0036089D">
        <w:rPr>
          <w:b w:val="0"/>
          <w:i/>
        </w:rPr>
        <w:t xml:space="preserve"> </w:t>
      </w:r>
      <w:r w:rsidR="00B97029" w:rsidRPr="0036089D">
        <w:rPr>
          <w:b w:val="0"/>
          <w:lang w:eastAsia="en-AU"/>
        </w:rPr>
        <w:t>(</w:t>
      </w:r>
      <w:r w:rsidR="00BA7621" w:rsidRPr="0036089D">
        <w:rPr>
          <w:b w:val="0"/>
          <w:lang w:eastAsia="en-AU"/>
        </w:rPr>
        <w:t xml:space="preserve">includes </w:t>
      </w:r>
      <w:r w:rsidR="00B97029" w:rsidRPr="0036089D">
        <w:rPr>
          <w:b w:val="0"/>
          <w:lang w:eastAsia="en-AU"/>
        </w:rPr>
        <w:t xml:space="preserve">Reverse E-waste </w:t>
      </w:r>
      <w:r w:rsidR="00BA7621" w:rsidRPr="0036089D">
        <w:rPr>
          <w:b w:val="0"/>
          <w:lang w:eastAsia="en-AU"/>
        </w:rPr>
        <w:t>material recovery data provided in glossy report</w:t>
      </w:r>
      <w:r w:rsidR="00B97029" w:rsidRPr="0036089D">
        <w:rPr>
          <w:b w:val="0"/>
          <w:lang w:eastAsia="en-AU"/>
        </w:rPr>
        <w:t>)</w:t>
      </w:r>
    </w:p>
    <w:p w:rsidR="00713DBB" w:rsidRPr="0036089D" w:rsidRDefault="00FD49DB" w:rsidP="00713DBB">
      <w:pPr>
        <w:rPr>
          <w:rFonts w:asciiTheme="minorHAnsi" w:hAnsiTheme="minorHAnsi" w:cs="Adobe Garamond Pro"/>
          <w:color w:val="000000"/>
        </w:rPr>
      </w:pPr>
      <w:bookmarkStart w:id="41" w:name="OLE_LINK3"/>
      <w:bookmarkStart w:id="42" w:name="OLE_LINK4"/>
      <w:bookmarkStart w:id="43" w:name="_Toc256000038"/>
      <w:bookmarkStart w:id="44" w:name="_Toc256000025"/>
      <w:bookmarkStart w:id="45" w:name="_Toc256000012"/>
      <w:bookmarkStart w:id="46" w:name="_Toc380491880"/>
      <w:bookmarkEnd w:id="27"/>
      <w:bookmarkEnd w:id="28"/>
      <w:bookmarkEnd w:id="29"/>
      <w:bookmarkEnd w:id="30"/>
      <w:r w:rsidRPr="0036089D">
        <w:rPr>
          <w:rFonts w:asciiTheme="minorHAnsi" w:hAnsiTheme="minorHAnsi" w:cs="Adobe Garamond Pro"/>
          <w:noProof/>
          <w:color w:val="000000"/>
          <w:lang w:eastAsia="en-AU"/>
        </w:rPr>
        <w:drawing>
          <wp:inline distT="0" distB="0" distL="0" distR="0" wp14:anchorId="5A050E86" wp14:editId="0F0B1070">
            <wp:extent cx="5305425" cy="3152775"/>
            <wp:effectExtent l="19050" t="0" r="9525"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670A3" w:rsidRPr="0036089D" w:rsidRDefault="00CD3B47" w:rsidP="00BC46A0">
      <w:pPr>
        <w:spacing w:before="360"/>
        <w:rPr>
          <w:b/>
        </w:rPr>
      </w:pPr>
      <w:r w:rsidRPr="0036089D">
        <w:rPr>
          <w:b/>
        </w:rPr>
        <w:t xml:space="preserve">3.1 </w:t>
      </w:r>
      <w:r w:rsidR="001F5E67" w:rsidRPr="0036089D">
        <w:rPr>
          <w:b/>
        </w:rPr>
        <w:t>Export of e-waste fractions</w:t>
      </w:r>
    </w:p>
    <w:p w:rsidR="00D354E9" w:rsidRPr="0036089D" w:rsidRDefault="00D354E9" w:rsidP="00D354E9">
      <w:pPr>
        <w:rPr>
          <w:rFonts w:ascii="Calibri" w:hAnsi="Calibri"/>
        </w:rPr>
      </w:pPr>
      <w:r w:rsidRPr="0036089D">
        <w:rPr>
          <w:rFonts w:ascii="Calibri" w:hAnsi="Calibri"/>
        </w:rPr>
        <w:t>A</w:t>
      </w:r>
      <w:r w:rsidR="007913DD" w:rsidRPr="0036089D">
        <w:rPr>
          <w:rFonts w:ascii="Calibri" w:hAnsi="Calibri"/>
        </w:rPr>
        <w:t>n e-waste</w:t>
      </w:r>
      <w:r w:rsidRPr="0036089D">
        <w:rPr>
          <w:rFonts w:ascii="Calibri" w:hAnsi="Calibri"/>
        </w:rPr>
        <w:t xml:space="preserve"> material fraction is </w:t>
      </w:r>
      <w:r w:rsidR="007913DD" w:rsidRPr="0036089D">
        <w:rPr>
          <w:rFonts w:ascii="Calibri" w:hAnsi="Calibri"/>
        </w:rPr>
        <w:t>a component which has been dismantled manually or mechanically, and may contain impurities or materials which need to be extracted before the fraction is ready for use and/or remanufacturing. The Australian recycling industry does not currently have sufficient technological capacity to undertake all downstream processing of material fractions arising from dismantled e-waste.</w:t>
      </w:r>
    </w:p>
    <w:p w:rsidR="00713DBB" w:rsidRPr="0036089D" w:rsidRDefault="00B670A3" w:rsidP="00713DBB">
      <w:pPr>
        <w:rPr>
          <w:rFonts w:ascii="Calibri" w:hAnsi="Calibri"/>
        </w:rPr>
      </w:pPr>
      <w:r w:rsidRPr="0036089D">
        <w:rPr>
          <w:rFonts w:ascii="Calibri" w:hAnsi="Calibri"/>
        </w:rPr>
        <w:t xml:space="preserve">Australia operates a permit scheme under the </w:t>
      </w:r>
      <w:r w:rsidRPr="0036089D">
        <w:rPr>
          <w:rFonts w:ascii="Calibri" w:hAnsi="Calibri"/>
          <w:i/>
        </w:rPr>
        <w:t>Hazardous Waste (Regulation of Exports and Imports) Act 1989</w:t>
      </w:r>
      <w:r w:rsidRPr="0036089D">
        <w:rPr>
          <w:rFonts w:ascii="Calibri" w:hAnsi="Calibri"/>
        </w:rPr>
        <w:t xml:space="preserve"> </w:t>
      </w:r>
      <w:r w:rsidR="00EF68F4" w:rsidRPr="0036089D">
        <w:rPr>
          <w:rFonts w:ascii="Calibri" w:hAnsi="Calibri"/>
        </w:rPr>
        <w:t xml:space="preserve">(the </w:t>
      </w:r>
      <w:r w:rsidR="00EF68F4" w:rsidRPr="0036089D">
        <w:rPr>
          <w:rFonts w:ascii="Calibri" w:hAnsi="Calibri"/>
          <w:i/>
        </w:rPr>
        <w:t>Hazardous Waste Act</w:t>
      </w:r>
      <w:r w:rsidR="00EF68F4" w:rsidRPr="0036089D">
        <w:rPr>
          <w:rFonts w:ascii="Calibri" w:hAnsi="Calibri"/>
        </w:rPr>
        <w:t xml:space="preserve">) </w:t>
      </w:r>
      <w:r w:rsidRPr="0036089D">
        <w:rPr>
          <w:rFonts w:ascii="Calibri" w:hAnsi="Calibri"/>
        </w:rPr>
        <w:t>for the import, export and transit of hazardous waste, including for recycling and recovery operations. Whole electronic and electrical waste is generally considered to be hazardous waste and requires a valid permit for its international movement.</w:t>
      </w:r>
      <w:r w:rsidRPr="0036089D">
        <w:t xml:space="preserve"> </w:t>
      </w:r>
      <w:r w:rsidRPr="0036089D">
        <w:rPr>
          <w:rFonts w:ascii="Calibri" w:hAnsi="Calibri"/>
        </w:rPr>
        <w:t>Some material fractions are not considered hazardous and do not require an export permit.</w:t>
      </w:r>
    </w:p>
    <w:p w:rsidR="00EF68F4" w:rsidRPr="0036089D" w:rsidRDefault="00311CF8" w:rsidP="00713DBB">
      <w:pPr>
        <w:rPr>
          <w:rFonts w:ascii="Calibri" w:hAnsi="Calibri"/>
        </w:rPr>
      </w:pPr>
      <w:r w:rsidRPr="0036089D">
        <w:rPr>
          <w:rFonts w:ascii="Calibri" w:hAnsi="Calibri"/>
        </w:rPr>
        <w:t>Domestic</w:t>
      </w:r>
      <w:r w:rsidR="00EF68F4" w:rsidRPr="0036089D">
        <w:rPr>
          <w:rFonts w:ascii="Calibri" w:hAnsi="Calibri"/>
        </w:rPr>
        <w:t xml:space="preserve"> facilities are </w:t>
      </w:r>
      <w:r w:rsidRPr="0036089D">
        <w:rPr>
          <w:rFonts w:ascii="Calibri" w:hAnsi="Calibri"/>
        </w:rPr>
        <w:t xml:space="preserve">generally </w:t>
      </w:r>
      <w:r w:rsidR="00EF68F4" w:rsidRPr="0036089D">
        <w:rPr>
          <w:rFonts w:ascii="Calibri" w:hAnsi="Calibri"/>
        </w:rPr>
        <w:t xml:space="preserve">the first preference for </w:t>
      </w:r>
      <w:r w:rsidRPr="0036089D">
        <w:rPr>
          <w:rFonts w:ascii="Calibri" w:hAnsi="Calibri"/>
        </w:rPr>
        <w:t>the processing</w:t>
      </w:r>
      <w:r w:rsidR="00EF68F4" w:rsidRPr="0036089D">
        <w:rPr>
          <w:rFonts w:ascii="Calibri" w:hAnsi="Calibri"/>
        </w:rPr>
        <w:t xml:space="preserve"> of </w:t>
      </w:r>
      <w:r w:rsidRPr="0036089D">
        <w:rPr>
          <w:rFonts w:ascii="Calibri" w:hAnsi="Calibri"/>
        </w:rPr>
        <w:t>e-waste</w:t>
      </w:r>
      <w:r w:rsidR="00EF68F4" w:rsidRPr="0036089D">
        <w:rPr>
          <w:rFonts w:ascii="Calibri" w:hAnsi="Calibri"/>
        </w:rPr>
        <w:t xml:space="preserve">, and export permits may not be granted in instances where domestic </w:t>
      </w:r>
      <w:r w:rsidRPr="0036089D">
        <w:rPr>
          <w:rFonts w:ascii="Calibri" w:hAnsi="Calibri"/>
        </w:rPr>
        <w:t xml:space="preserve">processing </w:t>
      </w:r>
      <w:r w:rsidR="00EF68F4" w:rsidRPr="0036089D">
        <w:rPr>
          <w:rFonts w:ascii="Calibri" w:hAnsi="Calibri"/>
        </w:rPr>
        <w:t>capacity is</w:t>
      </w:r>
      <w:r w:rsidRPr="0036089D">
        <w:rPr>
          <w:rFonts w:ascii="Calibri" w:hAnsi="Calibri"/>
        </w:rPr>
        <w:t xml:space="preserve"> available.</w:t>
      </w:r>
      <w:r w:rsidR="00D876E3" w:rsidRPr="0036089D">
        <w:rPr>
          <w:rFonts w:ascii="Calibri" w:hAnsi="Calibri"/>
        </w:rPr>
        <w:t xml:space="preserve"> In some cases, the Australian e-waste recycling industry does not have sufficient capacity, or sufficient technology, to fully process e-waste to the point where it becomes a </w:t>
      </w:r>
      <w:r w:rsidR="00BC46A0" w:rsidRPr="0036089D">
        <w:rPr>
          <w:rFonts w:ascii="Calibri" w:hAnsi="Calibri"/>
        </w:rPr>
        <w:t>saleable commodity.</w:t>
      </w:r>
    </w:p>
    <w:p w:rsidR="004D1FA3" w:rsidRPr="0036089D" w:rsidRDefault="001F5E67" w:rsidP="00713DBB">
      <w:pPr>
        <w:rPr>
          <w:rFonts w:ascii="Calibri" w:hAnsi="Calibri"/>
        </w:rPr>
      </w:pPr>
      <w:r w:rsidRPr="0036089D">
        <w:rPr>
          <w:rFonts w:ascii="Calibri" w:hAnsi="Calibri"/>
        </w:rPr>
        <w:t>The 2014–15 financial year was the first time that co-regulatory arrangements were required to report publically on e-waste fractions</w:t>
      </w:r>
      <w:r w:rsidR="00EF68F4" w:rsidRPr="0036089D">
        <w:rPr>
          <w:rFonts w:ascii="Calibri" w:hAnsi="Calibri"/>
        </w:rPr>
        <w:t xml:space="preserve"> exported for processing</w:t>
      </w:r>
      <w:r w:rsidRPr="0036089D">
        <w:rPr>
          <w:rFonts w:ascii="Calibri" w:hAnsi="Calibri"/>
        </w:rPr>
        <w:t xml:space="preserve">, and </w:t>
      </w:r>
      <w:r w:rsidR="00EF68F4" w:rsidRPr="0036089D">
        <w:rPr>
          <w:rFonts w:ascii="Calibri" w:hAnsi="Calibri"/>
        </w:rPr>
        <w:t xml:space="preserve">the </w:t>
      </w:r>
      <w:r w:rsidRPr="0036089D">
        <w:rPr>
          <w:rFonts w:ascii="Calibri" w:hAnsi="Calibri"/>
        </w:rPr>
        <w:t>recipient countries</w:t>
      </w:r>
      <w:r w:rsidR="00EF68F4" w:rsidRPr="0036089D">
        <w:rPr>
          <w:rFonts w:ascii="Calibri" w:hAnsi="Calibri"/>
        </w:rPr>
        <w:t xml:space="preserve"> for this material</w:t>
      </w:r>
      <w:r w:rsidRPr="0036089D">
        <w:rPr>
          <w:rFonts w:ascii="Calibri" w:hAnsi="Calibri"/>
        </w:rPr>
        <w:t xml:space="preserve">. </w:t>
      </w:r>
      <w:r w:rsidR="002B2B07" w:rsidRPr="0036089D">
        <w:rPr>
          <w:rFonts w:ascii="Calibri" w:hAnsi="Calibri"/>
        </w:rPr>
        <w:t xml:space="preserve">No products were </w:t>
      </w:r>
      <w:r w:rsidR="00146A3C" w:rsidRPr="0036089D">
        <w:rPr>
          <w:rFonts w:ascii="Calibri" w:hAnsi="Calibri"/>
        </w:rPr>
        <w:t xml:space="preserve">reported as being </w:t>
      </w:r>
      <w:r w:rsidR="002B2B07" w:rsidRPr="0036089D">
        <w:rPr>
          <w:rFonts w:ascii="Calibri" w:hAnsi="Calibri"/>
        </w:rPr>
        <w:t xml:space="preserve">exported </w:t>
      </w:r>
      <w:r w:rsidR="00146A3C" w:rsidRPr="0036089D">
        <w:rPr>
          <w:rFonts w:ascii="Calibri" w:hAnsi="Calibri"/>
        </w:rPr>
        <w:t xml:space="preserve">for recycling </w:t>
      </w:r>
      <w:r w:rsidR="003D60A6" w:rsidRPr="0036089D">
        <w:rPr>
          <w:rFonts w:ascii="Calibri" w:hAnsi="Calibri"/>
        </w:rPr>
        <w:t xml:space="preserve">as whole units </w:t>
      </w:r>
      <w:r w:rsidR="002B2B07" w:rsidRPr="0036089D">
        <w:rPr>
          <w:rFonts w:ascii="Calibri" w:hAnsi="Calibri"/>
        </w:rPr>
        <w:t>b</w:t>
      </w:r>
      <w:r w:rsidR="003D60A6" w:rsidRPr="0036089D">
        <w:rPr>
          <w:rFonts w:ascii="Calibri" w:hAnsi="Calibri"/>
        </w:rPr>
        <w:t>y any co-regulatory arrangement</w:t>
      </w:r>
      <w:r w:rsidR="002B2B07" w:rsidRPr="0036089D">
        <w:rPr>
          <w:rFonts w:ascii="Calibri" w:hAnsi="Calibri"/>
        </w:rPr>
        <w:t xml:space="preserve"> during the financial year.</w:t>
      </w:r>
    </w:p>
    <w:p w:rsidR="00AC57FF" w:rsidRPr="0036089D" w:rsidRDefault="00AC57FF" w:rsidP="00AC57FF">
      <w:r w:rsidRPr="0036089D">
        <w:rPr>
          <w:rFonts w:asciiTheme="minorHAnsi" w:hAnsiTheme="minorHAnsi" w:cs="Adobe Garamond Pro"/>
          <w:color w:val="000000"/>
        </w:rPr>
        <w:t>A total of 14,706 tonnes of material fractions from e-waste were exported for further processing in 2014</w:t>
      </w:r>
      <w:r w:rsidRPr="0036089D">
        <w:rPr>
          <w:rFonts w:asciiTheme="minorHAnsi" w:hAnsiTheme="minorHAnsi" w:cs="Adobe Garamond Pro"/>
          <w:color w:val="000000"/>
        </w:rPr>
        <w:softHyphen/>
        <w:t xml:space="preserve">–15. </w:t>
      </w:r>
      <w:r w:rsidR="00F5797D" w:rsidRPr="0036089D">
        <w:rPr>
          <w:rFonts w:asciiTheme="minorHAnsi" w:hAnsiTheme="minorHAnsi" w:cs="Adobe Garamond Pro"/>
          <w:color w:val="000000"/>
        </w:rPr>
        <w:t>This material was sent to seven countries</w:t>
      </w:r>
      <w:r w:rsidR="003F4BCE" w:rsidRPr="0036089D">
        <w:rPr>
          <w:rFonts w:asciiTheme="minorHAnsi" w:hAnsiTheme="minorHAnsi" w:cs="Adobe Garamond Pro"/>
          <w:color w:val="000000"/>
        </w:rPr>
        <w:t xml:space="preserve"> for processing</w:t>
      </w:r>
      <w:r w:rsidR="001530EE" w:rsidRPr="0036089D">
        <w:rPr>
          <w:rFonts w:asciiTheme="minorHAnsi" w:hAnsiTheme="minorHAnsi" w:cs="Adobe Garamond Pro"/>
          <w:color w:val="000000"/>
        </w:rPr>
        <w:t xml:space="preserve">, </w:t>
      </w:r>
      <w:r w:rsidR="003F4BCE" w:rsidRPr="0036089D">
        <w:rPr>
          <w:rFonts w:asciiTheme="minorHAnsi" w:hAnsiTheme="minorHAnsi" w:cs="Adobe Garamond Pro"/>
          <w:color w:val="000000"/>
        </w:rPr>
        <w:t xml:space="preserve">with recipient countries </w:t>
      </w:r>
      <w:r w:rsidR="001530EE" w:rsidRPr="0036089D">
        <w:rPr>
          <w:rFonts w:asciiTheme="minorHAnsi" w:hAnsiTheme="minorHAnsi" w:cs="Adobe Garamond Pro"/>
          <w:color w:val="000000"/>
        </w:rPr>
        <w:t>set out in</w:t>
      </w:r>
      <w:r w:rsidR="003F4BCE" w:rsidRPr="0036089D">
        <w:rPr>
          <w:rFonts w:asciiTheme="minorHAnsi" w:hAnsiTheme="minorHAnsi" w:cs="Adobe Garamond Pro"/>
          <w:color w:val="000000"/>
        </w:rPr>
        <w:t xml:space="preserve"> </w:t>
      </w:r>
      <w:r w:rsidR="0055178B">
        <w:fldChar w:fldCharType="begin"/>
      </w:r>
      <w:r w:rsidR="000D7477">
        <w:instrText xml:space="preserve"> REF _Ref445387797 \h  \* MERGEFORMAT </w:instrText>
      </w:r>
      <w:r w:rsidR="0055178B">
        <w:fldChar w:fldCharType="separate"/>
      </w:r>
      <w:proofErr w:type="gramStart"/>
      <w:r w:rsidR="003A2863" w:rsidRPr="003A2863">
        <w:rPr>
          <w:rFonts w:asciiTheme="minorHAnsi" w:hAnsiTheme="minorHAnsi" w:cs="Adobe Garamond Pro"/>
          <w:color w:val="000000"/>
        </w:rPr>
        <w:t xml:space="preserve">Figure </w:t>
      </w:r>
      <w:proofErr w:type="gramEnd"/>
      <w:r w:rsidR="0055178B">
        <w:fldChar w:fldCharType="end"/>
      </w:r>
      <w:r w:rsidR="003F4BCE" w:rsidRPr="0036089D">
        <w:rPr>
          <w:rFonts w:asciiTheme="minorHAnsi" w:hAnsiTheme="minorHAnsi" w:cs="Adobe Garamond Pro"/>
          <w:color w:val="000000"/>
        </w:rPr>
        <w:t>.</w:t>
      </w:r>
      <w:r w:rsidR="001530EE" w:rsidRPr="0036089D">
        <w:rPr>
          <w:rFonts w:asciiTheme="minorHAnsi" w:hAnsiTheme="minorHAnsi" w:cs="Adobe Garamond Pro"/>
          <w:color w:val="000000"/>
        </w:rPr>
        <w:t xml:space="preserve"> </w:t>
      </w:r>
      <w:r w:rsidRPr="0036089D">
        <w:rPr>
          <w:rFonts w:asciiTheme="minorHAnsi" w:hAnsiTheme="minorHAnsi" w:cs="Adobe Garamond Pro"/>
          <w:color w:val="000000"/>
        </w:rPr>
        <w:t>China received the highest volume of material, at 6,191 tonnes</w:t>
      </w:r>
      <w:r w:rsidR="00F839F0" w:rsidRPr="0036089D">
        <w:rPr>
          <w:rFonts w:asciiTheme="minorHAnsi" w:hAnsiTheme="minorHAnsi" w:cs="Adobe Garamond Pro"/>
          <w:color w:val="000000"/>
        </w:rPr>
        <w:t>, followed by Indonesia and Japan</w:t>
      </w:r>
      <w:r w:rsidRPr="0036089D">
        <w:rPr>
          <w:rFonts w:asciiTheme="minorHAnsi" w:hAnsiTheme="minorHAnsi" w:cs="Adobe Garamond Pro"/>
          <w:color w:val="000000"/>
        </w:rPr>
        <w:t>.</w:t>
      </w:r>
      <w:r w:rsidRPr="0036089D">
        <w:t xml:space="preserve"> </w:t>
      </w:r>
    </w:p>
    <w:p w:rsidR="00AC57FF" w:rsidRPr="0036089D" w:rsidRDefault="00AC57FF" w:rsidP="00AC57FF">
      <w:pPr>
        <w:rPr>
          <w:rFonts w:asciiTheme="minorHAnsi" w:hAnsiTheme="minorHAnsi" w:cs="Adobe Garamond Pro"/>
          <w:color w:val="000000"/>
        </w:rPr>
      </w:pPr>
    </w:p>
    <w:p w:rsidR="008D2DBA" w:rsidRPr="0036089D" w:rsidRDefault="001530EE" w:rsidP="001530EE">
      <w:pPr>
        <w:pStyle w:val="Caption"/>
        <w:keepNext/>
      </w:pPr>
      <w:bookmarkStart w:id="47" w:name="_Ref445387797"/>
      <w:bookmarkStart w:id="48" w:name="_Ref445387781"/>
      <w:r w:rsidRPr="0036089D">
        <w:rPr>
          <w:b w:val="0"/>
        </w:rPr>
        <w:t xml:space="preserve">Figure </w:t>
      </w:r>
      <w:bookmarkEnd w:id="47"/>
      <w:r w:rsidR="001700B5" w:rsidRPr="0036089D">
        <w:rPr>
          <w:b w:val="0"/>
        </w:rPr>
        <w:t>5</w:t>
      </w:r>
      <w:r w:rsidR="008A349E" w:rsidRPr="0036089D">
        <w:rPr>
          <w:b w:val="0"/>
        </w:rPr>
        <w:t>:</w:t>
      </w:r>
      <w:r w:rsidR="00605E2A" w:rsidRPr="0036089D">
        <w:rPr>
          <w:b w:val="0"/>
        </w:rPr>
        <w:t xml:space="preserve"> </w:t>
      </w:r>
      <w:r w:rsidR="00605E2A" w:rsidRPr="0036089D">
        <w:rPr>
          <w:b w:val="0"/>
          <w:i/>
        </w:rPr>
        <w:t>Export destinations of material fractions</w:t>
      </w:r>
      <w:r w:rsidR="008A349E" w:rsidRPr="0036089D">
        <w:rPr>
          <w:b w:val="0"/>
          <w:i/>
        </w:rPr>
        <w:t xml:space="preserve"> (tonnes)</w:t>
      </w:r>
      <w:bookmarkEnd w:id="48"/>
    </w:p>
    <w:p w:rsidR="00B231FB" w:rsidRPr="0036089D" w:rsidRDefault="00CA7A20" w:rsidP="00713DBB">
      <w:pPr>
        <w:rPr>
          <w:rFonts w:asciiTheme="minorHAnsi" w:hAnsiTheme="minorHAnsi" w:cs="Adobe Garamond Pro"/>
          <w:color w:val="000000"/>
        </w:rPr>
      </w:pPr>
      <w:r w:rsidRPr="0036089D">
        <w:rPr>
          <w:rFonts w:asciiTheme="minorHAnsi" w:hAnsiTheme="minorHAnsi" w:cs="Adobe Garamond Pro"/>
          <w:noProof/>
          <w:color w:val="000000"/>
          <w:lang w:eastAsia="en-AU"/>
        </w:rPr>
        <w:drawing>
          <wp:inline distT="0" distB="0" distL="0" distR="0" wp14:anchorId="36823F6D" wp14:editId="3DC80EEA">
            <wp:extent cx="5048250" cy="2819400"/>
            <wp:effectExtent l="19050" t="0" r="19050" b="0"/>
            <wp:docPr id="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1FA3" w:rsidRPr="0036089D" w:rsidRDefault="004D1FA3" w:rsidP="00FC6E83">
      <w:pPr>
        <w:pStyle w:val="Caption"/>
        <w:rPr>
          <w:rFonts w:asciiTheme="minorHAnsi" w:hAnsiTheme="minorHAnsi" w:cs="Adobe Garamond Pro"/>
          <w:color w:val="000000"/>
        </w:rPr>
      </w:pPr>
    </w:p>
    <w:p w:rsidR="00C90A08" w:rsidRPr="0036089D" w:rsidRDefault="00C90A08" w:rsidP="00C90A08">
      <w:pPr>
        <w:pStyle w:val="Heading2"/>
      </w:pPr>
      <w:bookmarkStart w:id="49" w:name="_Toc442792411"/>
      <w:bookmarkStart w:id="50" w:name="_Toc450650993"/>
      <w:bookmarkEnd w:id="41"/>
      <w:bookmarkEnd w:id="42"/>
      <w:r w:rsidRPr="0036089D">
        <w:t>Outcome 4: Governance and management of the arrangement’s activities</w:t>
      </w:r>
      <w:bookmarkEnd w:id="49"/>
      <w:bookmarkEnd w:id="50"/>
    </w:p>
    <w:p w:rsidR="00C90A08" w:rsidRPr="0036089D" w:rsidRDefault="00C90A08" w:rsidP="00C90A08">
      <w:pPr>
        <w:rPr>
          <w:rFonts w:asciiTheme="minorHAnsi" w:eastAsia="Times New Roman" w:hAnsiTheme="minorHAnsi" w:cs="Arial"/>
          <w:color w:val="000000"/>
          <w:lang w:eastAsia="en-AU"/>
        </w:rPr>
      </w:pPr>
      <w:r w:rsidRPr="0036089D">
        <w:rPr>
          <w:rFonts w:ascii="Calibri" w:hAnsi="Calibri" w:cs="Calibri"/>
        </w:rPr>
        <w:t xml:space="preserve">Co-regulatory arrangements are required under the </w:t>
      </w:r>
      <w:r w:rsidRPr="0036089D">
        <w:rPr>
          <w:rFonts w:ascii="Calibri" w:hAnsi="Calibri" w:cs="Calibri"/>
          <w:i/>
        </w:rPr>
        <w:t xml:space="preserve">Product Stewardship (Televisions and Computers) Regulations 2011 </w:t>
      </w:r>
      <w:r w:rsidRPr="0036089D">
        <w:rPr>
          <w:rFonts w:ascii="Calibri" w:hAnsi="Calibri" w:cs="Calibri"/>
        </w:rPr>
        <w:t xml:space="preserve">to provide information on notifiable incidents or breaches that occur in relation to work health and safety and environmental management. Incidents or breaches must be reported if they occur during the collection, transportation, storage or recycling of television or computer products under co-regulatory arrangements. </w:t>
      </w:r>
    </w:p>
    <w:p w:rsidR="00C90A08" w:rsidRPr="0036089D" w:rsidRDefault="0036089D" w:rsidP="00C90A08">
      <w:pPr>
        <w:rPr>
          <w:rFonts w:ascii="Calibri" w:hAnsi="Calibri" w:cs="Calibri"/>
        </w:rPr>
      </w:pPr>
      <w:r w:rsidRPr="0036089D">
        <w:rPr>
          <w:rFonts w:ascii="Calibri" w:hAnsi="Calibri" w:cs="Calibri"/>
        </w:rPr>
        <w:t>Actions undertaken by the co-regulatory arrangements to redu</w:t>
      </w:r>
      <w:r>
        <w:rPr>
          <w:rFonts w:ascii="Calibri" w:hAnsi="Calibri" w:cs="Calibri"/>
        </w:rPr>
        <w:t>ce and manage any environmental</w:t>
      </w:r>
      <w:r w:rsidRPr="0036089D">
        <w:rPr>
          <w:rFonts w:ascii="Calibri" w:hAnsi="Calibri" w:cs="Calibri"/>
        </w:rPr>
        <w:t xml:space="preserve"> or work health and safety incidents are outlined in their annual reports. </w:t>
      </w:r>
      <w:r w:rsidR="00BC35F2" w:rsidRPr="0036089D">
        <w:rPr>
          <w:rFonts w:ascii="Calibri" w:hAnsi="Calibri" w:cs="Calibri"/>
        </w:rPr>
        <w:t xml:space="preserve">These actions may include </w:t>
      </w:r>
      <w:r w:rsidR="00221F61" w:rsidRPr="0036089D">
        <w:rPr>
          <w:rFonts w:ascii="Calibri" w:hAnsi="Calibri" w:cs="Calibri"/>
        </w:rPr>
        <w:t xml:space="preserve">safety training for the staff of e-waste recycling providers in relation to management </w:t>
      </w:r>
      <w:r w:rsidR="00BC35F2" w:rsidRPr="0036089D">
        <w:rPr>
          <w:rFonts w:ascii="Calibri" w:hAnsi="Calibri" w:cs="Calibri"/>
        </w:rPr>
        <w:t xml:space="preserve">of hazardous materials, </w:t>
      </w:r>
      <w:r w:rsidR="00221F61" w:rsidRPr="0036089D">
        <w:rPr>
          <w:rFonts w:ascii="Calibri" w:hAnsi="Calibri" w:cs="Calibri"/>
        </w:rPr>
        <w:t xml:space="preserve">and regular </w:t>
      </w:r>
      <w:r w:rsidR="00BC35F2" w:rsidRPr="0036089D">
        <w:rPr>
          <w:rFonts w:ascii="Calibri" w:hAnsi="Calibri" w:cs="Calibri"/>
        </w:rPr>
        <w:t xml:space="preserve">audits </w:t>
      </w:r>
      <w:r w:rsidR="00221F61" w:rsidRPr="0036089D">
        <w:rPr>
          <w:rFonts w:ascii="Calibri" w:hAnsi="Calibri" w:cs="Calibri"/>
        </w:rPr>
        <w:t xml:space="preserve">and inspections </w:t>
      </w:r>
      <w:r w:rsidR="00BC35F2" w:rsidRPr="0036089D">
        <w:rPr>
          <w:rFonts w:ascii="Calibri" w:hAnsi="Calibri" w:cs="Calibri"/>
        </w:rPr>
        <w:t xml:space="preserve">of </w:t>
      </w:r>
      <w:r w:rsidR="00221F61" w:rsidRPr="0036089D">
        <w:rPr>
          <w:rFonts w:ascii="Calibri" w:hAnsi="Calibri" w:cs="Calibri"/>
        </w:rPr>
        <w:t xml:space="preserve">recycling providers, </w:t>
      </w:r>
      <w:r w:rsidR="00BC35F2" w:rsidRPr="0036089D">
        <w:rPr>
          <w:rFonts w:ascii="Calibri" w:hAnsi="Calibri" w:cs="Calibri"/>
        </w:rPr>
        <w:t>collection partners and transport providers.</w:t>
      </w:r>
      <w:r w:rsidR="00221F61" w:rsidRPr="0036089D">
        <w:rPr>
          <w:rFonts w:ascii="Calibri" w:hAnsi="Calibri" w:cs="Calibri"/>
        </w:rPr>
        <w:t xml:space="preserve"> </w:t>
      </w:r>
    </w:p>
    <w:p w:rsidR="00C90A08" w:rsidRPr="0036089D" w:rsidRDefault="00C90A08" w:rsidP="00C90A08">
      <w:pPr>
        <w:rPr>
          <w:rFonts w:ascii="Calibri" w:hAnsi="Calibri" w:cs="Calibri"/>
        </w:rPr>
      </w:pPr>
      <w:r w:rsidRPr="0036089D">
        <w:rPr>
          <w:rFonts w:ascii="Calibri" w:hAnsi="Calibri" w:cs="Calibri"/>
        </w:rPr>
        <w:t xml:space="preserve">From 1 July 2016, </w:t>
      </w:r>
      <w:r w:rsidR="00221F61" w:rsidRPr="0036089D">
        <w:rPr>
          <w:rFonts w:ascii="Calibri" w:hAnsi="Calibri" w:cs="Calibri"/>
        </w:rPr>
        <w:t xml:space="preserve">for material to be considered ‘recycled’ under the scheme, it must be undertaken at a facility certified to </w:t>
      </w:r>
      <w:r w:rsidRPr="0036089D">
        <w:rPr>
          <w:rFonts w:ascii="Calibri" w:hAnsi="Calibri" w:cs="Calibri"/>
        </w:rPr>
        <w:t>Australian</w:t>
      </w:r>
      <w:r w:rsidR="00221F61" w:rsidRPr="0036089D">
        <w:rPr>
          <w:rFonts w:ascii="Calibri" w:hAnsi="Calibri" w:cs="Calibri"/>
        </w:rPr>
        <w:t>/New Zealand</w:t>
      </w:r>
      <w:r w:rsidRPr="0036089D">
        <w:rPr>
          <w:rFonts w:ascii="Calibri" w:hAnsi="Calibri" w:cs="Calibri"/>
        </w:rPr>
        <w:t xml:space="preserve"> Standard 5377:2013</w:t>
      </w:r>
      <w:r w:rsidR="00221F61" w:rsidRPr="0036089D">
        <w:rPr>
          <w:rFonts w:ascii="Calibri" w:hAnsi="Calibri" w:cs="Calibri"/>
        </w:rPr>
        <w:t xml:space="preserve"> for the ‘Collection, storage, transport and treatment of end-of-life electrical and electronic equipment</w:t>
      </w:r>
      <w:r w:rsidRPr="0036089D">
        <w:rPr>
          <w:rFonts w:ascii="Calibri" w:hAnsi="Calibri" w:cs="Calibri"/>
        </w:rPr>
        <w:t xml:space="preserve">. Having all recyclers certified to </w:t>
      </w:r>
      <w:r w:rsidR="00221F61" w:rsidRPr="0036089D">
        <w:rPr>
          <w:rFonts w:ascii="Calibri" w:hAnsi="Calibri" w:cs="Calibri"/>
        </w:rPr>
        <w:t>this Standard</w:t>
      </w:r>
      <w:r w:rsidRPr="0036089D">
        <w:rPr>
          <w:rFonts w:ascii="Calibri" w:hAnsi="Calibri" w:cs="Calibri"/>
        </w:rPr>
        <w:t xml:space="preserve"> will </w:t>
      </w:r>
      <w:r w:rsidR="0078514B" w:rsidRPr="0036089D">
        <w:rPr>
          <w:rFonts w:ascii="Calibri" w:hAnsi="Calibri" w:cs="Calibri"/>
        </w:rPr>
        <w:t>assist co-regulatory arrangements</w:t>
      </w:r>
      <w:r w:rsidRPr="0036089D">
        <w:rPr>
          <w:rFonts w:ascii="Calibri" w:hAnsi="Calibri" w:cs="Calibri"/>
        </w:rPr>
        <w:t xml:space="preserve"> to maximise the re-use and </w:t>
      </w:r>
      <w:r w:rsidR="0078514B" w:rsidRPr="0036089D">
        <w:rPr>
          <w:rFonts w:ascii="Calibri" w:hAnsi="Calibri" w:cs="Calibri"/>
        </w:rPr>
        <w:t>recovery of e</w:t>
      </w:r>
      <w:r w:rsidRPr="0036089D">
        <w:rPr>
          <w:rFonts w:ascii="Calibri" w:hAnsi="Calibri" w:cs="Calibri"/>
        </w:rPr>
        <w:t>-waste, safeguard worker health</w:t>
      </w:r>
      <w:r w:rsidR="0078514B" w:rsidRPr="0036089D">
        <w:rPr>
          <w:rFonts w:ascii="Calibri" w:hAnsi="Calibri" w:cs="Calibri"/>
        </w:rPr>
        <w:t>,</w:t>
      </w:r>
      <w:r w:rsidRPr="0036089D">
        <w:rPr>
          <w:rFonts w:ascii="Calibri" w:hAnsi="Calibri" w:cs="Calibri"/>
        </w:rPr>
        <w:t xml:space="preserve"> and minimise harm to the environment. </w:t>
      </w:r>
    </w:p>
    <w:p w:rsidR="00C90A08" w:rsidRPr="0036089D" w:rsidRDefault="00C90A08" w:rsidP="00C90A08">
      <w:pPr>
        <w:pStyle w:val="Default"/>
      </w:pPr>
      <w:r w:rsidRPr="0036089D">
        <w:t xml:space="preserve"> </w:t>
      </w:r>
    </w:p>
    <w:p w:rsidR="00A2762D" w:rsidRPr="0036089D" w:rsidRDefault="00A2762D" w:rsidP="00A2762D">
      <w:pPr>
        <w:rPr>
          <w:rFonts w:ascii="Calibri" w:hAnsi="Calibri" w:cs="Arial"/>
          <w:sz w:val="40"/>
          <w:szCs w:val="40"/>
        </w:rPr>
      </w:pPr>
      <w:r w:rsidRPr="0036089D">
        <w:br w:type="page"/>
      </w:r>
    </w:p>
    <w:p w:rsidR="005B5A18" w:rsidRPr="0036089D" w:rsidRDefault="00507977" w:rsidP="00AA5473">
      <w:pPr>
        <w:pStyle w:val="Heading1"/>
      </w:pPr>
      <w:bookmarkStart w:id="51" w:name="_Toc450650994"/>
      <w:r w:rsidRPr="0036089D">
        <w:t>Department of the environment</w:t>
      </w:r>
      <w:r w:rsidR="00765CA8" w:rsidRPr="0036089D">
        <w:t xml:space="preserve"> </w:t>
      </w:r>
      <w:r w:rsidR="00FE6AB6" w:rsidRPr="0036089D">
        <w:t xml:space="preserve">- </w:t>
      </w:r>
      <w:r w:rsidR="006E6C36" w:rsidRPr="0036089D">
        <w:t xml:space="preserve">Operational </w:t>
      </w:r>
      <w:r w:rsidR="00AA5473" w:rsidRPr="0036089D">
        <w:t>activities 2014-2015</w:t>
      </w:r>
      <w:bookmarkEnd w:id="51"/>
    </w:p>
    <w:p w:rsidR="00A3548F" w:rsidRPr="0036089D" w:rsidRDefault="00A3548F" w:rsidP="00A3548F">
      <w:pPr>
        <w:rPr>
          <w:rFonts w:asciiTheme="minorHAnsi" w:hAnsiTheme="minorHAnsi" w:cs="Arial"/>
        </w:rPr>
      </w:pPr>
      <w:r w:rsidRPr="0036089D">
        <w:rPr>
          <w:rFonts w:asciiTheme="minorHAnsi" w:hAnsiTheme="minorHAnsi" w:cs="Arial"/>
        </w:rPr>
        <w:t>The Department undertakes monitoring</w:t>
      </w:r>
      <w:r w:rsidR="006E6C36" w:rsidRPr="0036089D">
        <w:rPr>
          <w:rFonts w:asciiTheme="minorHAnsi" w:hAnsiTheme="minorHAnsi" w:cs="Arial"/>
        </w:rPr>
        <w:t xml:space="preserve"> and risk management </w:t>
      </w:r>
      <w:r w:rsidRPr="0036089D">
        <w:rPr>
          <w:rFonts w:asciiTheme="minorHAnsi" w:hAnsiTheme="minorHAnsi" w:cs="Arial"/>
        </w:rPr>
        <w:t>activities to</w:t>
      </w:r>
      <w:r w:rsidR="006E6C36" w:rsidRPr="0036089D">
        <w:rPr>
          <w:rFonts w:asciiTheme="minorHAnsi" w:hAnsiTheme="minorHAnsi" w:cs="Arial"/>
        </w:rPr>
        <w:t xml:space="preserve"> ensure that regulated parties meet their requirements under </w:t>
      </w:r>
      <w:r w:rsidRPr="0036089D">
        <w:rPr>
          <w:rFonts w:asciiTheme="minorHAnsi" w:hAnsiTheme="minorHAnsi" w:cs="Arial"/>
        </w:rPr>
        <w:t xml:space="preserve">the </w:t>
      </w:r>
      <w:r w:rsidRPr="0036089D">
        <w:rPr>
          <w:rFonts w:asciiTheme="minorHAnsi" w:hAnsiTheme="minorHAnsi" w:cs="Arial"/>
          <w:i/>
        </w:rPr>
        <w:t>Product Stewardship Act 2011</w:t>
      </w:r>
      <w:r w:rsidRPr="0036089D">
        <w:rPr>
          <w:rFonts w:asciiTheme="minorHAnsi" w:hAnsiTheme="minorHAnsi" w:cs="Arial"/>
        </w:rPr>
        <w:t xml:space="preserve"> and the Product Stewardship (Televisions and Computers) Regulations 2011.</w:t>
      </w:r>
    </w:p>
    <w:p w:rsidR="00102E34" w:rsidRPr="0036089D" w:rsidRDefault="00A3548F" w:rsidP="00DE08B6">
      <w:pPr>
        <w:pStyle w:val="Heading2"/>
        <w:spacing w:before="360" w:after="120"/>
      </w:pPr>
      <w:bookmarkStart w:id="52" w:name="_Toc450650995"/>
      <w:bookmarkEnd w:id="43"/>
      <w:bookmarkEnd w:id="44"/>
      <w:bookmarkEnd w:id="45"/>
      <w:bookmarkEnd w:id="46"/>
      <w:r w:rsidRPr="0036089D">
        <w:t>Liable party compliance</w:t>
      </w:r>
      <w:bookmarkEnd w:id="52"/>
    </w:p>
    <w:p w:rsidR="00102E34" w:rsidRPr="0036089D" w:rsidRDefault="0037095E" w:rsidP="00102E34">
      <w:pPr>
        <w:pStyle w:val="ListBullet"/>
        <w:numPr>
          <w:ilvl w:val="0"/>
          <w:numId w:val="0"/>
        </w:numPr>
        <w:rPr>
          <w:rFonts w:ascii="Calibri" w:hAnsi="Calibri"/>
          <w:bCs/>
        </w:rPr>
      </w:pPr>
      <w:r>
        <w:rPr>
          <w:rFonts w:ascii="Calibri" w:hAnsi="Calibri"/>
          <w:bCs/>
          <w:noProof/>
          <w:lang w:eastAsia="en-AU"/>
        </w:rPr>
        <mc:AlternateContent>
          <mc:Choice Requires="wps">
            <w:drawing>
              <wp:inline distT="0" distB="0" distL="0" distR="0" wp14:anchorId="3EF10A70" wp14:editId="402A45F3">
                <wp:extent cx="5859145" cy="870585"/>
                <wp:effectExtent l="9525" t="12700" r="7620" b="12065"/>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870585"/>
                        </a:xfrm>
                        <a:prstGeom prst="rect">
                          <a:avLst/>
                        </a:prstGeom>
                        <a:solidFill>
                          <a:srgbClr val="FFFFFF"/>
                        </a:solidFill>
                        <a:ln w="9525">
                          <a:solidFill>
                            <a:srgbClr val="000000"/>
                          </a:solidFill>
                          <a:miter lim="800000"/>
                          <a:headEnd/>
                          <a:tailEnd/>
                        </a:ln>
                      </wps:spPr>
                      <wps:txbx>
                        <w:txbxContent>
                          <w:p w:rsidR="003A2863" w:rsidRPr="00FD09C2" w:rsidRDefault="003A2863" w:rsidP="009D7A8C">
                            <w:pPr>
                              <w:pStyle w:val="ListBullet"/>
                              <w:spacing w:before="120" w:after="120"/>
                              <w:rPr>
                                <w:b/>
                                <w:bCs/>
                              </w:rPr>
                            </w:pPr>
                            <w:r>
                              <w:rPr>
                                <w:rFonts w:ascii="Calibri" w:hAnsi="Calibri"/>
                                <w:b/>
                                <w:bCs/>
                              </w:rPr>
                              <w:t>130 television and computer importers and manufacturers were liable in 2014–15</w:t>
                            </w:r>
                          </w:p>
                          <w:p w:rsidR="003A2863" w:rsidRPr="004F5A3E" w:rsidRDefault="003A2863" w:rsidP="009D7A8C">
                            <w:pPr>
                              <w:pStyle w:val="ListBullet"/>
                              <w:spacing w:before="120" w:after="120"/>
                              <w:rPr>
                                <w:b/>
                                <w:bCs/>
                              </w:rPr>
                            </w:pPr>
                            <w:r>
                              <w:rPr>
                                <w:rFonts w:ascii="Calibri" w:hAnsi="Calibri"/>
                                <w:b/>
                                <w:bCs/>
                              </w:rPr>
                              <w:t xml:space="preserve">Liable parties responsible for 99.8 per cent of total liable imports complied with their obligations to join a co-regulatory arrangement </w:t>
                            </w:r>
                          </w:p>
                        </w:txbxContent>
                      </wps:txbx>
                      <wps:bodyPr rot="0" vert="horz" wrap="none" lIns="91440" tIns="45720" rIns="91440" bIns="45720" anchor="t" anchorCtr="0" upright="1">
                        <a:noAutofit/>
                      </wps:bodyPr>
                    </wps:wsp>
                  </a:graphicData>
                </a:graphic>
              </wp:inline>
            </w:drawing>
          </mc:Choice>
          <mc:Fallback>
            <w:pict>
              <v:shape w14:anchorId="3EF10A70" id="Text Box 34" o:spid="_x0000_s1030" type="#_x0000_t202" style="width:461.35pt;height:68.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">
                <v:textbox>
                  <w:txbxContent>
                    <w:p w:rsidR="003A2863" w:rsidRPr="00FD09C2" w:rsidRDefault="003A2863" w:rsidP="009D7A8C">
                      <w:pPr>
                        <w:pStyle w:val="ListBullet"/>
                        <w:spacing w:before="120" w:after="120"/>
                        <w:rPr>
                          <w:b/>
                          <w:bCs/>
                        </w:rPr>
                      </w:pPr>
                      <w:r>
                        <w:rPr>
                          <w:rFonts w:ascii="Calibri" w:hAnsi="Calibri"/>
                          <w:b/>
                          <w:bCs/>
                        </w:rPr>
                        <w:t>130 television and computer importers and manufacturers were liable in 2014–15</w:t>
                      </w:r>
                    </w:p>
                    <w:p w:rsidR="003A2863" w:rsidRPr="004F5A3E" w:rsidRDefault="003A2863" w:rsidP="009D7A8C">
                      <w:pPr>
                        <w:pStyle w:val="ListBullet"/>
                        <w:spacing w:before="120" w:after="120"/>
                        <w:rPr>
                          <w:b/>
                          <w:bCs/>
                        </w:rPr>
                      </w:pPr>
                      <w:r>
                        <w:rPr>
                          <w:rFonts w:ascii="Calibri" w:hAnsi="Calibri"/>
                          <w:b/>
                          <w:bCs/>
                        </w:rPr>
                        <w:t xml:space="preserve">Liable parties responsible for 99.8 per cent of total liable imports complied with their obligations to join a co-regulatory arrangement </w:t>
                      </w:r>
                    </w:p>
                  </w:txbxContent>
                </v:textbox>
                <w10:anchorlock/>
              </v:shape>
            </w:pict>
          </mc:Fallback>
        </mc:AlternateContent>
      </w:r>
    </w:p>
    <w:p w:rsidR="00102E34" w:rsidRPr="0036089D" w:rsidRDefault="001B7976" w:rsidP="00102E34">
      <w:pPr>
        <w:pStyle w:val="ListBullet"/>
        <w:numPr>
          <w:ilvl w:val="0"/>
          <w:numId w:val="0"/>
        </w:numPr>
        <w:rPr>
          <w:rFonts w:ascii="Calibri" w:hAnsi="Calibri" w:cs="Arial"/>
        </w:rPr>
      </w:pPr>
      <w:r w:rsidRPr="0036089D">
        <w:rPr>
          <w:rFonts w:ascii="Calibri" w:hAnsi="Calibri"/>
          <w:bCs/>
        </w:rPr>
        <w:t xml:space="preserve">Companies importing or manufacturing over a specified threshold of television or computer products are liable under the scheme. </w:t>
      </w:r>
      <w:r w:rsidR="003422D0" w:rsidRPr="0036089D">
        <w:rPr>
          <w:rFonts w:ascii="Calibri" w:hAnsi="Calibri"/>
          <w:bCs/>
        </w:rPr>
        <w:t>The</w:t>
      </w:r>
      <w:r w:rsidRPr="0036089D">
        <w:rPr>
          <w:rFonts w:ascii="Calibri" w:hAnsi="Calibri" w:cs="Arial"/>
        </w:rPr>
        <w:t xml:space="preserve"> Regulations specif</w:t>
      </w:r>
      <w:r w:rsidR="003422D0" w:rsidRPr="0036089D">
        <w:rPr>
          <w:rFonts w:ascii="Calibri" w:hAnsi="Calibri" w:cs="Arial"/>
        </w:rPr>
        <w:t>y</w:t>
      </w:r>
      <w:r w:rsidRPr="0036089D">
        <w:rPr>
          <w:rFonts w:ascii="Calibri" w:hAnsi="Calibri" w:cs="Arial"/>
        </w:rPr>
        <w:t xml:space="preserve"> liability thresholds for </w:t>
      </w:r>
      <w:r w:rsidR="003422D0" w:rsidRPr="0036089D">
        <w:rPr>
          <w:rFonts w:ascii="Calibri" w:hAnsi="Calibri" w:cs="Arial"/>
        </w:rPr>
        <w:t>the products covered by the scheme</w:t>
      </w:r>
      <w:r w:rsidRPr="0036089D">
        <w:rPr>
          <w:rFonts w:ascii="Calibri" w:hAnsi="Calibri" w:cs="Arial"/>
        </w:rPr>
        <w:t xml:space="preserve">. These thresholds are: </w:t>
      </w:r>
    </w:p>
    <w:p w:rsidR="003422D0" w:rsidRPr="0036089D" w:rsidRDefault="004E65E3" w:rsidP="004E65E3">
      <w:pPr>
        <w:pStyle w:val="ListBullet"/>
        <w:spacing w:after="120"/>
        <w:ind w:left="851"/>
        <w:rPr>
          <w:rFonts w:asciiTheme="minorHAnsi" w:hAnsiTheme="minorHAnsi" w:cs="Arial"/>
        </w:rPr>
      </w:pPr>
      <w:r w:rsidRPr="0036089D">
        <w:rPr>
          <w:rFonts w:asciiTheme="minorHAnsi" w:hAnsiTheme="minorHAnsi" w:cs="Arial"/>
        </w:rPr>
        <w:t xml:space="preserve">for </w:t>
      </w:r>
      <w:r w:rsidR="003422D0" w:rsidRPr="0036089D">
        <w:rPr>
          <w:rFonts w:asciiTheme="minorHAnsi" w:hAnsiTheme="minorHAnsi" w:cs="Arial"/>
        </w:rPr>
        <w:t xml:space="preserve">televisions – 5000 units </w:t>
      </w:r>
    </w:p>
    <w:p w:rsidR="003422D0" w:rsidRPr="0036089D" w:rsidRDefault="004E65E3" w:rsidP="004E65E3">
      <w:pPr>
        <w:pStyle w:val="ListBullet"/>
        <w:spacing w:after="120"/>
        <w:ind w:left="851"/>
        <w:rPr>
          <w:rFonts w:asciiTheme="minorHAnsi" w:hAnsiTheme="minorHAnsi" w:cs="Arial"/>
        </w:rPr>
      </w:pPr>
      <w:r w:rsidRPr="0036089D">
        <w:rPr>
          <w:rFonts w:asciiTheme="minorHAnsi" w:hAnsiTheme="minorHAnsi" w:cs="Arial"/>
        </w:rPr>
        <w:t>for computers – 5000 units</w:t>
      </w:r>
    </w:p>
    <w:p w:rsidR="003422D0" w:rsidRPr="0036089D" w:rsidRDefault="004E65E3" w:rsidP="004E65E3">
      <w:pPr>
        <w:pStyle w:val="ListBullet"/>
        <w:spacing w:after="120"/>
        <w:ind w:left="851"/>
        <w:rPr>
          <w:rFonts w:asciiTheme="minorHAnsi" w:hAnsiTheme="minorHAnsi" w:cs="Arial"/>
        </w:rPr>
      </w:pPr>
      <w:proofErr w:type="gramStart"/>
      <w:r w:rsidRPr="0036089D">
        <w:rPr>
          <w:rFonts w:asciiTheme="minorHAnsi" w:hAnsiTheme="minorHAnsi" w:cs="Arial"/>
        </w:rPr>
        <w:t>for</w:t>
      </w:r>
      <w:proofErr w:type="gramEnd"/>
      <w:r w:rsidRPr="0036089D">
        <w:rPr>
          <w:rFonts w:asciiTheme="minorHAnsi" w:hAnsiTheme="minorHAnsi" w:cs="Arial"/>
        </w:rPr>
        <w:t xml:space="preserve"> computer parts or peripherals – 15,000 units.</w:t>
      </w:r>
    </w:p>
    <w:p w:rsidR="001B0531" w:rsidRPr="0036089D" w:rsidRDefault="001B0531" w:rsidP="00102E34">
      <w:pPr>
        <w:pStyle w:val="ListBullet"/>
        <w:numPr>
          <w:ilvl w:val="0"/>
          <w:numId w:val="0"/>
        </w:numPr>
        <w:rPr>
          <w:rFonts w:ascii="Calibri" w:hAnsi="Calibri"/>
        </w:rPr>
      </w:pPr>
      <w:r w:rsidRPr="0036089D">
        <w:rPr>
          <w:rFonts w:ascii="Calibri" w:hAnsi="Calibri"/>
        </w:rPr>
        <w:t xml:space="preserve">In 2014–15, consistent with preceding years, the rate of liable party compliance with obligations under the scheme was very high. This is a very positive outcome for a programme which was initiated to eliminate free riders and share the costs </w:t>
      </w:r>
      <w:r w:rsidR="000C6E60" w:rsidRPr="0036089D">
        <w:rPr>
          <w:rFonts w:ascii="Calibri" w:hAnsi="Calibri"/>
        </w:rPr>
        <w:t>of producer responsibility activities</w:t>
      </w:r>
      <w:r w:rsidRPr="0036089D">
        <w:rPr>
          <w:rFonts w:ascii="Calibri" w:hAnsi="Calibri"/>
        </w:rPr>
        <w:t xml:space="preserve"> fairly among industry competitors. </w:t>
      </w:r>
    </w:p>
    <w:p w:rsidR="00DD14DD" w:rsidRPr="0036089D" w:rsidRDefault="001B7976" w:rsidP="00102E34">
      <w:pPr>
        <w:pStyle w:val="ListBullet"/>
        <w:numPr>
          <w:ilvl w:val="0"/>
          <w:numId w:val="0"/>
        </w:numPr>
        <w:rPr>
          <w:rFonts w:ascii="Calibri" w:hAnsi="Calibri"/>
        </w:rPr>
      </w:pPr>
      <w:r w:rsidRPr="0036089D">
        <w:rPr>
          <w:rFonts w:ascii="Calibri" w:hAnsi="Calibri"/>
        </w:rPr>
        <w:t xml:space="preserve">Importers or manufacturers that exceed </w:t>
      </w:r>
      <w:r w:rsidR="00176C3E" w:rsidRPr="0036089D">
        <w:rPr>
          <w:rFonts w:ascii="Calibri" w:hAnsi="Calibri"/>
        </w:rPr>
        <w:t>a scheme threshold</w:t>
      </w:r>
      <w:r w:rsidRPr="0036089D">
        <w:rPr>
          <w:rFonts w:ascii="Calibri" w:hAnsi="Calibri"/>
        </w:rPr>
        <w:t xml:space="preserve"> </w:t>
      </w:r>
      <w:r w:rsidR="00176C3E" w:rsidRPr="0036089D">
        <w:rPr>
          <w:rFonts w:ascii="Calibri" w:hAnsi="Calibri"/>
        </w:rPr>
        <w:t>are</w:t>
      </w:r>
      <w:r w:rsidRPr="0036089D">
        <w:rPr>
          <w:rFonts w:ascii="Calibri" w:hAnsi="Calibri"/>
        </w:rPr>
        <w:t xml:space="preserve"> required to join and fund an approved co</w:t>
      </w:r>
      <w:r w:rsidRPr="0036089D">
        <w:rPr>
          <w:rFonts w:ascii="Calibri" w:hAnsi="Calibri"/>
        </w:rPr>
        <w:noBreakHyphen/>
        <w:t xml:space="preserve">regulatory arrangement.  Liability </w:t>
      </w:r>
      <w:r w:rsidR="009204E9" w:rsidRPr="0036089D">
        <w:rPr>
          <w:rFonts w:ascii="Calibri" w:hAnsi="Calibri"/>
        </w:rPr>
        <w:t xml:space="preserve">for </w:t>
      </w:r>
      <w:r w:rsidRPr="0036089D">
        <w:rPr>
          <w:rFonts w:ascii="Calibri" w:hAnsi="Calibri"/>
        </w:rPr>
        <w:t>201</w:t>
      </w:r>
      <w:r w:rsidR="00D16D17" w:rsidRPr="0036089D">
        <w:rPr>
          <w:rFonts w:ascii="Calibri" w:hAnsi="Calibri"/>
        </w:rPr>
        <w:t>4</w:t>
      </w:r>
      <w:r w:rsidRPr="0036089D">
        <w:rPr>
          <w:rFonts w:ascii="Calibri" w:hAnsi="Calibri"/>
        </w:rPr>
        <w:t>–1</w:t>
      </w:r>
      <w:r w:rsidR="00D16D17" w:rsidRPr="0036089D">
        <w:rPr>
          <w:rFonts w:ascii="Calibri" w:hAnsi="Calibri"/>
        </w:rPr>
        <w:t>5</w:t>
      </w:r>
      <w:r w:rsidRPr="0036089D">
        <w:rPr>
          <w:rFonts w:ascii="Calibri" w:hAnsi="Calibri"/>
        </w:rPr>
        <w:t xml:space="preserve"> </w:t>
      </w:r>
      <w:r w:rsidR="00176C3E" w:rsidRPr="0036089D">
        <w:rPr>
          <w:rFonts w:ascii="Calibri" w:hAnsi="Calibri"/>
        </w:rPr>
        <w:t>is</w:t>
      </w:r>
      <w:r w:rsidRPr="0036089D">
        <w:rPr>
          <w:rFonts w:ascii="Calibri" w:hAnsi="Calibri"/>
        </w:rPr>
        <w:t xml:space="preserve"> determined </w:t>
      </w:r>
      <w:r w:rsidR="00176C3E" w:rsidRPr="0036089D">
        <w:rPr>
          <w:rFonts w:ascii="Calibri" w:hAnsi="Calibri"/>
        </w:rPr>
        <w:t xml:space="preserve">based on imports undertaken </w:t>
      </w:r>
      <w:proofErr w:type="gramStart"/>
      <w:r w:rsidR="00176C3E" w:rsidRPr="0036089D">
        <w:rPr>
          <w:rFonts w:ascii="Calibri" w:hAnsi="Calibri"/>
        </w:rPr>
        <w:t xml:space="preserve">in </w:t>
      </w:r>
      <w:r w:rsidRPr="0036089D">
        <w:rPr>
          <w:rFonts w:ascii="Calibri" w:hAnsi="Calibri"/>
        </w:rPr>
        <w:t xml:space="preserve"> 201</w:t>
      </w:r>
      <w:r w:rsidR="00D16D17" w:rsidRPr="0036089D">
        <w:rPr>
          <w:rFonts w:ascii="Calibri" w:hAnsi="Calibri"/>
        </w:rPr>
        <w:t>3</w:t>
      </w:r>
      <w:proofErr w:type="gramEnd"/>
      <w:r w:rsidR="00176C3E" w:rsidRPr="0036089D">
        <w:rPr>
          <w:rFonts w:ascii="Calibri" w:hAnsi="Calibri"/>
        </w:rPr>
        <w:noBreakHyphen/>
      </w:r>
      <w:r w:rsidRPr="0036089D">
        <w:rPr>
          <w:rFonts w:ascii="Calibri" w:hAnsi="Calibri"/>
        </w:rPr>
        <w:t>1</w:t>
      </w:r>
      <w:r w:rsidR="00D16D17" w:rsidRPr="0036089D">
        <w:rPr>
          <w:rFonts w:ascii="Calibri" w:hAnsi="Calibri"/>
        </w:rPr>
        <w:t>4</w:t>
      </w:r>
      <w:r w:rsidRPr="0036089D">
        <w:rPr>
          <w:rFonts w:ascii="Calibri" w:hAnsi="Calibri"/>
        </w:rPr>
        <w:t xml:space="preserve">. </w:t>
      </w:r>
    </w:p>
    <w:p w:rsidR="00DD14DD" w:rsidRPr="0036089D" w:rsidRDefault="00DD14DD" w:rsidP="00DD14DD">
      <w:pPr>
        <w:pStyle w:val="ListBullet"/>
        <w:numPr>
          <w:ilvl w:val="0"/>
          <w:numId w:val="0"/>
        </w:numPr>
        <w:rPr>
          <w:rFonts w:ascii="Calibri" w:hAnsi="Calibri"/>
        </w:rPr>
      </w:pPr>
      <w:r w:rsidRPr="0036089D">
        <w:rPr>
          <w:rFonts w:ascii="Calibri" w:hAnsi="Calibri"/>
        </w:rPr>
        <w:t xml:space="preserve">A total of </w:t>
      </w:r>
      <w:r w:rsidR="00176C3E" w:rsidRPr="0036089D">
        <w:rPr>
          <w:rFonts w:ascii="Calibri" w:hAnsi="Calibri"/>
        </w:rPr>
        <w:t>130</w:t>
      </w:r>
      <w:r w:rsidRPr="0036089D">
        <w:rPr>
          <w:rFonts w:ascii="Calibri" w:hAnsi="Calibri"/>
        </w:rPr>
        <w:t xml:space="preserve"> companies were identified as liable in 2014–15. These liable parties imported or manufactured a total of </w:t>
      </w:r>
      <w:r w:rsidR="003A1745" w:rsidRPr="0036089D">
        <w:rPr>
          <w:rFonts w:ascii="Calibri" w:hAnsi="Calibri"/>
        </w:rPr>
        <w:t>12</w:t>
      </w:r>
      <w:r w:rsidRPr="0036089D">
        <w:rPr>
          <w:rFonts w:ascii="Calibri" w:hAnsi="Calibri"/>
        </w:rPr>
        <w:t>6,</w:t>
      </w:r>
      <w:r w:rsidR="003A1745" w:rsidRPr="0036089D">
        <w:rPr>
          <w:rFonts w:ascii="Calibri" w:hAnsi="Calibri"/>
        </w:rPr>
        <w:t>705</w:t>
      </w:r>
      <w:r w:rsidRPr="0036089D">
        <w:rPr>
          <w:rFonts w:ascii="Calibri" w:hAnsi="Calibri"/>
        </w:rPr>
        <w:t xml:space="preserve"> tonnes of televisions and computers in </w:t>
      </w:r>
      <w:r w:rsidR="00176C3E" w:rsidRPr="0036089D">
        <w:rPr>
          <w:rFonts w:ascii="Calibri" w:hAnsi="Calibri"/>
        </w:rPr>
        <w:t>2013–14</w:t>
      </w:r>
      <w:r w:rsidRPr="0036089D">
        <w:rPr>
          <w:rFonts w:ascii="Calibri" w:hAnsi="Calibri"/>
        </w:rPr>
        <w:t xml:space="preserve">, which was </w:t>
      </w:r>
      <w:r w:rsidR="003A1745" w:rsidRPr="0036089D">
        <w:rPr>
          <w:rFonts w:ascii="Calibri" w:hAnsi="Calibri"/>
        </w:rPr>
        <w:t>93.7</w:t>
      </w:r>
      <w:r w:rsidRPr="0036089D">
        <w:rPr>
          <w:rFonts w:ascii="Calibri" w:hAnsi="Calibri"/>
        </w:rPr>
        <w:t> per cent of the total televisions and computers imported or manufactured in Australia that year. By 30 June 2015, liable parties responsible for 99.8 per cent of liable imports met their obligations under the scheme to join an approved co</w:t>
      </w:r>
      <w:r w:rsidRPr="0036089D">
        <w:rPr>
          <w:rFonts w:ascii="Calibri" w:hAnsi="Calibri"/>
        </w:rPr>
        <w:softHyphen/>
      </w:r>
      <w:r w:rsidRPr="0036089D">
        <w:rPr>
          <w:rFonts w:ascii="Calibri" w:hAnsi="Calibri"/>
        </w:rPr>
        <w:noBreakHyphen/>
      </w:r>
      <w:r w:rsidRPr="0036089D">
        <w:rPr>
          <w:rFonts w:ascii="Calibri" w:hAnsi="Calibri"/>
        </w:rPr>
        <w:softHyphen/>
        <w:t>regulatory arrangement.</w:t>
      </w:r>
    </w:p>
    <w:p w:rsidR="00DD14DD" w:rsidRPr="0036089D" w:rsidRDefault="00DD14DD" w:rsidP="00DD14DD">
      <w:pPr>
        <w:rPr>
          <w:rFonts w:asciiTheme="minorHAnsi" w:hAnsiTheme="minorHAnsi" w:cs="Adobe Garamond Pro"/>
          <w:color w:val="000000"/>
        </w:rPr>
      </w:pPr>
      <w:r w:rsidRPr="0036089D">
        <w:rPr>
          <w:rFonts w:asciiTheme="minorHAnsi" w:hAnsiTheme="minorHAnsi" w:cs="Adobe Garamond Pro"/>
          <w:color w:val="000000"/>
        </w:rPr>
        <w:t xml:space="preserve">The Department utilises a range of tools and strategies to encourage liable party compliance with the scheme. These include education and persuasion, formal written notices, enforceable undertakings, civil penalty orders, and injunctions. In 2014–15, the Department issued each liable party with a formal regulatory notice under section 18 of the </w:t>
      </w:r>
      <w:r w:rsidRPr="0036089D">
        <w:rPr>
          <w:rFonts w:asciiTheme="minorHAnsi" w:hAnsiTheme="minorHAnsi" w:cs="Adobe Garamond Pro"/>
          <w:i/>
          <w:color w:val="000000"/>
        </w:rPr>
        <w:t>Product Stewardship Act 2011</w:t>
      </w:r>
      <w:r w:rsidRPr="0036089D">
        <w:rPr>
          <w:rFonts w:asciiTheme="minorHAnsi" w:hAnsiTheme="minorHAnsi" w:cs="Adobe Garamond Pro"/>
          <w:color w:val="000000"/>
        </w:rPr>
        <w:t xml:space="preserve">, requiring liable parties to meet their scheme obligations by a specified date.  The Department provided letters advising parties of their liability, issued warning letters, and followed up instances of non-compliance. As a result, a high level of liable party compliance was achieved. </w:t>
      </w:r>
    </w:p>
    <w:p w:rsidR="00DD14DD" w:rsidRPr="0036089D" w:rsidRDefault="00DD14DD">
      <w:pPr>
        <w:spacing w:after="0" w:line="240" w:lineRule="auto"/>
        <w:rPr>
          <w:rFonts w:ascii="Calibri" w:hAnsi="Calibri"/>
        </w:rPr>
      </w:pPr>
      <w:r w:rsidRPr="0036089D">
        <w:rPr>
          <w:rFonts w:ascii="Calibri" w:hAnsi="Calibri"/>
        </w:rPr>
        <w:br w:type="page"/>
      </w:r>
    </w:p>
    <w:p w:rsidR="009E73A1" w:rsidRPr="0036089D" w:rsidRDefault="009E73A1" w:rsidP="00DD14DD">
      <w:pPr>
        <w:pStyle w:val="Caption"/>
      </w:pPr>
      <w:r w:rsidRPr="0036089D">
        <w:rPr>
          <w:b w:val="0"/>
        </w:rPr>
        <w:t xml:space="preserve">Figure </w:t>
      </w:r>
      <w:r w:rsidR="0055178B" w:rsidRPr="0036089D">
        <w:rPr>
          <w:b w:val="0"/>
        </w:rPr>
        <w:fldChar w:fldCharType="begin"/>
      </w:r>
      <w:r w:rsidR="003F07AD" w:rsidRPr="0036089D">
        <w:rPr>
          <w:b w:val="0"/>
        </w:rPr>
        <w:instrText xml:space="preserve"> SEQ Table \* ARABIC </w:instrText>
      </w:r>
      <w:r w:rsidR="0055178B" w:rsidRPr="0036089D">
        <w:rPr>
          <w:b w:val="0"/>
        </w:rPr>
        <w:fldChar w:fldCharType="separate"/>
      </w:r>
      <w:r w:rsidR="003A2863">
        <w:rPr>
          <w:b w:val="0"/>
          <w:noProof/>
        </w:rPr>
        <w:t>2</w:t>
      </w:r>
      <w:r w:rsidR="0055178B" w:rsidRPr="0036089D">
        <w:rPr>
          <w:b w:val="0"/>
        </w:rPr>
        <w:fldChar w:fldCharType="end"/>
      </w:r>
      <w:r w:rsidRPr="0036089D">
        <w:rPr>
          <w:b w:val="0"/>
          <w:i/>
        </w:rPr>
        <w:t>: Activities undertaken by the Department of the Environment to achieve liable party compliance</w:t>
      </w:r>
      <w:r w:rsidR="003538F9" w:rsidRPr="0036089D">
        <w:tab/>
      </w:r>
    </w:p>
    <w:p w:rsidR="00A73C9B" w:rsidRPr="0036089D" w:rsidRDefault="00A73C9B" w:rsidP="00102E34">
      <w:pPr>
        <w:pStyle w:val="ListBullet"/>
        <w:numPr>
          <w:ilvl w:val="0"/>
          <w:numId w:val="0"/>
        </w:numPr>
        <w:rPr>
          <w:rFonts w:ascii="Calibri" w:hAnsi="Calibri"/>
        </w:rPr>
      </w:pPr>
      <w:r w:rsidRPr="0036089D">
        <w:rPr>
          <w:rFonts w:ascii="Calibri" w:hAnsi="Calibri"/>
          <w:noProof/>
          <w:lang w:eastAsia="en-AU"/>
        </w:rPr>
        <w:drawing>
          <wp:inline distT="0" distB="0" distL="0" distR="0" wp14:anchorId="30CA5E42" wp14:editId="5E8EE1CA">
            <wp:extent cx="5876925" cy="3657600"/>
            <wp:effectExtent l="38100" t="19050" r="28575"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915466" w:rsidRPr="0036089D" w:rsidRDefault="00915466" w:rsidP="00915466">
      <w:pPr>
        <w:rPr>
          <w:rFonts w:asciiTheme="minorHAnsi" w:hAnsiTheme="minorHAnsi" w:cs="Adobe Garamond Pro"/>
          <w:color w:val="000000"/>
        </w:rPr>
      </w:pPr>
      <w:r w:rsidRPr="0036089D">
        <w:rPr>
          <w:rFonts w:asciiTheme="minorHAnsi" w:hAnsiTheme="minorHAnsi" w:cs="Adobe Garamond Pro"/>
          <w:color w:val="000000"/>
        </w:rPr>
        <w:t>The members of each co-regulatory arrangement in 201</w:t>
      </w:r>
      <w:r w:rsidR="00B175E7" w:rsidRPr="0036089D">
        <w:rPr>
          <w:rFonts w:asciiTheme="minorHAnsi" w:hAnsiTheme="minorHAnsi" w:cs="Adobe Garamond Pro"/>
          <w:color w:val="000000"/>
        </w:rPr>
        <w:t>4</w:t>
      </w:r>
      <w:r w:rsidRPr="0036089D">
        <w:rPr>
          <w:rFonts w:asciiTheme="minorHAnsi" w:hAnsiTheme="minorHAnsi" w:cs="Adobe Garamond Pro"/>
          <w:color w:val="000000"/>
        </w:rPr>
        <w:t>–1</w:t>
      </w:r>
      <w:r w:rsidR="00B175E7" w:rsidRPr="0036089D">
        <w:rPr>
          <w:rFonts w:asciiTheme="minorHAnsi" w:hAnsiTheme="minorHAnsi" w:cs="Adobe Garamond Pro"/>
          <w:color w:val="000000"/>
        </w:rPr>
        <w:t>5</w:t>
      </w:r>
      <w:r w:rsidRPr="0036089D">
        <w:rPr>
          <w:rFonts w:asciiTheme="minorHAnsi" w:hAnsiTheme="minorHAnsi" w:cs="Adobe Garamond Pro"/>
          <w:color w:val="000000"/>
        </w:rPr>
        <w:t xml:space="preserve"> are included in </w:t>
      </w:r>
      <w:r w:rsidRPr="0036089D">
        <w:rPr>
          <w:rFonts w:asciiTheme="minorHAnsi" w:hAnsiTheme="minorHAnsi" w:cs="Adobe Garamond Pro"/>
          <w:color w:val="000000"/>
          <w:u w:val="single"/>
        </w:rPr>
        <w:t>Appendix A</w:t>
      </w:r>
      <w:r w:rsidRPr="0036089D">
        <w:rPr>
          <w:rFonts w:asciiTheme="minorHAnsi" w:hAnsiTheme="minorHAnsi" w:cs="Adobe Garamond Pro"/>
          <w:color w:val="000000"/>
        </w:rPr>
        <w:t>. Liable parties that fail to comply with their obligation to join a co-regulatory arrangement are subject to compliance action, which may include substantial civil penalties, and remain liable for any outstanding liability in future years.</w:t>
      </w:r>
      <w:r w:rsidR="00B175E7" w:rsidRPr="0036089D">
        <w:rPr>
          <w:rFonts w:asciiTheme="minorHAnsi" w:hAnsiTheme="minorHAnsi" w:cs="Adobe Garamond Pro"/>
          <w:color w:val="000000"/>
        </w:rPr>
        <w:t xml:space="preserve"> Their assigned liability transfers to the following financial year, and continues to accumulate for each period of non-compliance.</w:t>
      </w:r>
    </w:p>
    <w:p w:rsidR="00915466" w:rsidRPr="0036089D" w:rsidRDefault="00915466" w:rsidP="00915466">
      <w:pPr>
        <w:pStyle w:val="Heading2"/>
      </w:pPr>
      <w:bookmarkStart w:id="53" w:name="_Toc450650996"/>
      <w:r w:rsidRPr="0036089D">
        <w:t>Co-regulatory arrangement compliance</w:t>
      </w:r>
      <w:bookmarkEnd w:id="53"/>
    </w:p>
    <w:p w:rsidR="00915466" w:rsidRPr="0036089D" w:rsidRDefault="00915466" w:rsidP="00915466">
      <w:pPr>
        <w:rPr>
          <w:rFonts w:asciiTheme="minorHAnsi" w:hAnsiTheme="minorHAnsi" w:cs="Arial"/>
          <w:u w:val="single"/>
        </w:rPr>
      </w:pPr>
      <w:bookmarkStart w:id="54" w:name="_Toc256000040"/>
      <w:bookmarkStart w:id="55" w:name="_Toc256000027"/>
      <w:bookmarkStart w:id="56" w:name="_Toc256000014"/>
      <w:bookmarkStart w:id="57" w:name="_Toc380491881"/>
      <w:r w:rsidRPr="0036089D">
        <w:rPr>
          <w:rFonts w:asciiTheme="minorHAnsi" w:hAnsiTheme="minorHAnsi" w:cs="Arial"/>
          <w:u w:val="single"/>
        </w:rPr>
        <w:t>Review of the operations of a co-regulatory arrangement</w:t>
      </w:r>
    </w:p>
    <w:p w:rsidR="00915466" w:rsidRPr="0036089D" w:rsidRDefault="00915466" w:rsidP="00915466">
      <w:pPr>
        <w:rPr>
          <w:rFonts w:asciiTheme="minorHAnsi" w:hAnsiTheme="minorHAnsi" w:cs="Arial"/>
        </w:rPr>
      </w:pPr>
      <w:r w:rsidRPr="0036089D">
        <w:rPr>
          <w:rFonts w:asciiTheme="minorHAnsi" w:hAnsiTheme="minorHAnsi" w:cs="Arial"/>
        </w:rPr>
        <w:t xml:space="preserve">On 27 April 2015, the Department announced that it was undertaking a formal review of the operation of Reverse E-Waste, under section 27 of the </w:t>
      </w:r>
      <w:r w:rsidRPr="0036089D">
        <w:rPr>
          <w:rFonts w:asciiTheme="minorHAnsi" w:hAnsiTheme="minorHAnsi" w:cs="Arial"/>
          <w:i/>
          <w:iCs/>
        </w:rPr>
        <w:t>Product Stewardship Act 2011</w:t>
      </w:r>
      <w:r w:rsidR="008E347B" w:rsidRPr="0036089D">
        <w:rPr>
          <w:rFonts w:asciiTheme="minorHAnsi" w:hAnsiTheme="minorHAnsi" w:cs="Arial"/>
          <w:i/>
          <w:iCs/>
        </w:rPr>
        <w:t>.</w:t>
      </w:r>
      <w:r w:rsidR="008E347B" w:rsidRPr="0036089D">
        <w:rPr>
          <w:rFonts w:asciiTheme="minorHAnsi" w:hAnsiTheme="minorHAnsi" w:cs="Arial"/>
          <w:iCs/>
        </w:rPr>
        <w:t>This review was initiated based on the failure of Reverse E-waste to meet a number of scheme outcomes. Before the review of the arrangement was finalised</w:t>
      </w:r>
      <w:r w:rsidR="008E347B" w:rsidRPr="0036089D">
        <w:rPr>
          <w:rFonts w:asciiTheme="minorHAnsi" w:hAnsiTheme="minorHAnsi" w:cs="Arial"/>
          <w:i/>
          <w:iCs/>
        </w:rPr>
        <w:t xml:space="preserve">, </w:t>
      </w:r>
      <w:proofErr w:type="spellStart"/>
      <w:r w:rsidR="008E347B" w:rsidRPr="0036089D">
        <w:rPr>
          <w:rFonts w:asciiTheme="minorHAnsi" w:hAnsiTheme="minorHAnsi" w:cs="Arial"/>
          <w:iCs/>
        </w:rPr>
        <w:t>Beverich</w:t>
      </w:r>
      <w:proofErr w:type="spellEnd"/>
      <w:r w:rsidR="008E347B" w:rsidRPr="0036089D">
        <w:rPr>
          <w:rFonts w:asciiTheme="minorHAnsi" w:hAnsiTheme="minorHAnsi" w:cs="Arial"/>
          <w:iCs/>
        </w:rPr>
        <w:t xml:space="preserve"> Holdings International Pty Ltd, the administrator of the arrangement, applied for cancellation of the arrangement’s approval. Cancellation was granted on 7</w:t>
      </w:r>
      <w:r w:rsidR="00FA4569" w:rsidRPr="0036089D">
        <w:rPr>
          <w:rFonts w:asciiTheme="minorHAnsi" w:hAnsiTheme="minorHAnsi" w:cs="Arial"/>
          <w:iCs/>
        </w:rPr>
        <w:t> </w:t>
      </w:r>
      <w:r w:rsidR="008E347B" w:rsidRPr="0036089D">
        <w:rPr>
          <w:rFonts w:asciiTheme="minorHAnsi" w:hAnsiTheme="minorHAnsi" w:cs="Arial"/>
          <w:iCs/>
        </w:rPr>
        <w:t xml:space="preserve">August 2015, and </w:t>
      </w:r>
      <w:r w:rsidR="004B7DE9" w:rsidRPr="0036089D">
        <w:rPr>
          <w:rFonts w:asciiTheme="minorHAnsi" w:hAnsiTheme="minorHAnsi" w:cs="Arial"/>
          <w:iCs/>
        </w:rPr>
        <w:t>Reverse E-waste’s members were notified of the requirement to join an alternative arrangement.</w:t>
      </w:r>
      <w:r w:rsidR="008E347B" w:rsidRPr="0036089D">
        <w:rPr>
          <w:rFonts w:asciiTheme="minorHAnsi" w:hAnsiTheme="minorHAnsi" w:cs="Arial"/>
          <w:i/>
          <w:iCs/>
        </w:rPr>
        <w:t xml:space="preserve"> </w:t>
      </w:r>
    </w:p>
    <w:bookmarkEnd w:id="54"/>
    <w:bookmarkEnd w:id="55"/>
    <w:bookmarkEnd w:id="56"/>
    <w:bookmarkEnd w:id="57"/>
    <w:p w:rsidR="004701F8" w:rsidRPr="0036089D" w:rsidRDefault="004701F8">
      <w:pPr>
        <w:spacing w:after="0" w:line="240" w:lineRule="auto"/>
        <w:rPr>
          <w:rFonts w:asciiTheme="minorHAnsi" w:hAnsiTheme="minorHAnsi"/>
        </w:rPr>
      </w:pPr>
    </w:p>
    <w:p w:rsidR="007A5CA7" w:rsidRPr="0036089D" w:rsidRDefault="007A5CA7">
      <w:pPr>
        <w:spacing w:after="0" w:line="240" w:lineRule="auto"/>
        <w:rPr>
          <w:rFonts w:ascii="Calibri" w:hAnsi="Calibri" w:cs="Arial"/>
          <w:b/>
          <w:caps/>
          <w:sz w:val="36"/>
          <w:szCs w:val="36"/>
        </w:rPr>
      </w:pPr>
      <w:bookmarkStart w:id="58" w:name="_Toc256000041"/>
      <w:bookmarkStart w:id="59" w:name="_Toc256000028"/>
      <w:bookmarkStart w:id="60" w:name="_Toc256000015"/>
      <w:bookmarkStart w:id="61" w:name="_Toc380491882"/>
      <w:r w:rsidRPr="0036089D">
        <w:rPr>
          <w:sz w:val="36"/>
          <w:szCs w:val="36"/>
        </w:rPr>
        <w:br w:type="page"/>
      </w:r>
    </w:p>
    <w:p w:rsidR="00102E34" w:rsidRPr="0036089D" w:rsidRDefault="001B7976" w:rsidP="00102E34">
      <w:pPr>
        <w:pStyle w:val="Heading1"/>
        <w:rPr>
          <w:sz w:val="36"/>
          <w:szCs w:val="36"/>
        </w:rPr>
      </w:pPr>
      <w:bookmarkStart w:id="62" w:name="_Toc450650997"/>
      <w:r w:rsidRPr="0036089D">
        <w:rPr>
          <w:sz w:val="36"/>
          <w:szCs w:val="36"/>
        </w:rPr>
        <w:t xml:space="preserve">The scheme’s </w:t>
      </w:r>
      <w:r w:rsidR="001179CA" w:rsidRPr="0036089D">
        <w:rPr>
          <w:sz w:val="36"/>
          <w:szCs w:val="36"/>
        </w:rPr>
        <w:t>t</w:t>
      </w:r>
      <w:r w:rsidR="00A766DC" w:rsidRPr="0036089D">
        <w:rPr>
          <w:sz w:val="36"/>
          <w:szCs w:val="36"/>
        </w:rPr>
        <w:t xml:space="preserve">hird </w:t>
      </w:r>
      <w:r w:rsidRPr="0036089D">
        <w:rPr>
          <w:sz w:val="36"/>
          <w:szCs w:val="36"/>
        </w:rPr>
        <w:t>target year: 201</w:t>
      </w:r>
      <w:r w:rsidR="00A427BA" w:rsidRPr="0036089D">
        <w:rPr>
          <w:sz w:val="36"/>
          <w:szCs w:val="36"/>
        </w:rPr>
        <w:t>5</w:t>
      </w:r>
      <w:r w:rsidRPr="0036089D">
        <w:rPr>
          <w:sz w:val="36"/>
          <w:szCs w:val="36"/>
        </w:rPr>
        <w:t>–1</w:t>
      </w:r>
      <w:r w:rsidR="00A427BA" w:rsidRPr="0036089D">
        <w:rPr>
          <w:sz w:val="36"/>
          <w:szCs w:val="36"/>
        </w:rPr>
        <w:t>6</w:t>
      </w:r>
      <w:bookmarkEnd w:id="58"/>
      <w:bookmarkEnd w:id="59"/>
      <w:bookmarkEnd w:id="60"/>
      <w:bookmarkEnd w:id="61"/>
      <w:bookmarkEnd w:id="62"/>
    </w:p>
    <w:p w:rsidR="00A2762D" w:rsidRPr="0036089D" w:rsidRDefault="00A2762D" w:rsidP="00A2762D">
      <w:pPr>
        <w:rPr>
          <w:rFonts w:ascii="Calibri" w:hAnsi="Calibri" w:cs="Arial"/>
          <w:lang w:eastAsia="en-AU"/>
        </w:rPr>
      </w:pPr>
      <w:r w:rsidRPr="0036089D">
        <w:rPr>
          <w:rFonts w:ascii="Calibri" w:hAnsi="Calibri" w:cs="Arial"/>
          <w:lang w:eastAsia="en-AU"/>
        </w:rPr>
        <w:t>To provide consistent environmental guidance for the e-waste recycling industry, the Australian Government supported Standards Australia to develop Australian Standard 5377:2013 ‘Collection, storage, transport and treatment of end-of-life electrical and electronic equipment’</w:t>
      </w:r>
      <w:r w:rsidR="00DA1B92" w:rsidRPr="0036089D">
        <w:rPr>
          <w:rFonts w:ascii="Calibri" w:hAnsi="Calibri" w:cs="Arial"/>
          <w:lang w:eastAsia="en-AU"/>
        </w:rPr>
        <w:t xml:space="preserve"> (AS 5377)</w:t>
      </w:r>
      <w:r w:rsidRPr="0036089D">
        <w:rPr>
          <w:rFonts w:ascii="Calibri" w:hAnsi="Calibri" w:cs="Arial"/>
          <w:lang w:eastAsia="en-AU"/>
        </w:rPr>
        <w:t xml:space="preserve">. </w:t>
      </w:r>
    </w:p>
    <w:p w:rsidR="00DA1B92" w:rsidRPr="0036089D" w:rsidRDefault="00DA1B92" w:rsidP="00B064D5">
      <w:pPr>
        <w:rPr>
          <w:rFonts w:ascii="Calibri" w:hAnsi="Calibri" w:cs="Arial"/>
          <w:lang w:eastAsia="en-AU"/>
        </w:rPr>
      </w:pPr>
      <w:r w:rsidRPr="0036089D">
        <w:rPr>
          <w:rFonts w:ascii="Calibri" w:hAnsi="Calibri" w:cs="Arial"/>
          <w:lang w:eastAsia="en-AU"/>
        </w:rPr>
        <w:t xml:space="preserve">As the rate of e-waste recycling increases nationally, it is essential that </w:t>
      </w:r>
      <w:r w:rsidR="00EA7988" w:rsidRPr="0036089D">
        <w:rPr>
          <w:rFonts w:ascii="Calibri" w:hAnsi="Calibri" w:cs="Arial"/>
          <w:lang w:eastAsia="en-AU"/>
        </w:rPr>
        <w:t xml:space="preserve">all stakeholders commit to best </w:t>
      </w:r>
      <w:r w:rsidRPr="0036089D">
        <w:rPr>
          <w:rFonts w:ascii="Calibri" w:hAnsi="Calibri" w:cs="Arial"/>
          <w:lang w:eastAsia="en-AU"/>
        </w:rPr>
        <w:t>practice health and safety and environmental processes. From 1 July 2016, all scheme recycling must be undertaken by recycling service providers that are certified to AS 5377. This requirement is intended to provide a consistent industry standard for scheme recycling providers and to ensure positive work health and safety outcomes.</w:t>
      </w:r>
    </w:p>
    <w:p w:rsidR="00B064D5" w:rsidRPr="0036089D" w:rsidRDefault="00B064D5" w:rsidP="00B064D5">
      <w:pPr>
        <w:rPr>
          <w:rFonts w:ascii="Calibri" w:hAnsi="Calibri"/>
        </w:rPr>
      </w:pPr>
      <w:r w:rsidRPr="0036089D">
        <w:rPr>
          <w:rFonts w:ascii="Calibri" w:hAnsi="Calibri"/>
        </w:rPr>
        <w:t>Following regulatory amendments to the Product Stewardship (Televisions and Computers) Regulations 2011 arising from the operational review, a number of changes apply to scheme metrics and operations in 2015–16. The total scheme recycling target for 2015–16 rises to 50 per cent of waste arising, or approximately 52,850 tonnes.</w:t>
      </w:r>
    </w:p>
    <w:p w:rsidR="00B064D5" w:rsidRPr="0036089D" w:rsidRDefault="00B064D5" w:rsidP="00B064D5">
      <w:pPr>
        <w:rPr>
          <w:rFonts w:ascii="Calibri" w:hAnsi="Calibri" w:cs="Arial"/>
          <w:lang w:eastAsia="en-AU"/>
        </w:rPr>
      </w:pPr>
      <w:r w:rsidRPr="0036089D">
        <w:rPr>
          <w:rFonts w:ascii="Calibri" w:hAnsi="Calibri"/>
        </w:rPr>
        <w:t xml:space="preserve">Television and computer waste arising for 2015–16 is </w:t>
      </w:r>
      <w:r w:rsidR="00EA7988" w:rsidRPr="0036089D">
        <w:rPr>
          <w:rFonts w:ascii="Calibri" w:hAnsi="Calibri"/>
        </w:rPr>
        <w:t>106</w:t>
      </w:r>
      <w:r w:rsidRPr="0036089D">
        <w:rPr>
          <w:rFonts w:ascii="Calibri" w:hAnsi="Calibri"/>
        </w:rPr>
        <w:t>,</w:t>
      </w:r>
      <w:r w:rsidR="00EA7988" w:rsidRPr="0036089D">
        <w:rPr>
          <w:rFonts w:ascii="Calibri" w:hAnsi="Calibri"/>
        </w:rPr>
        <w:t>682</w:t>
      </w:r>
      <w:r w:rsidRPr="0036089D">
        <w:rPr>
          <w:rFonts w:ascii="Calibri" w:hAnsi="Calibri"/>
        </w:rPr>
        <w:t xml:space="preserve"> tonnes. </w:t>
      </w:r>
      <w:r w:rsidRPr="0036089D">
        <w:rPr>
          <w:rFonts w:ascii="Calibri" w:hAnsi="Calibri" w:cs="Arial"/>
          <w:lang w:eastAsia="en-AU"/>
        </w:rPr>
        <w:t xml:space="preserve">This is calculated from the average converted weight of the previous three years’ total imports and manufacturing of televisions and computers, multiplied by a scaling factor of 0.9 for televisions, 0.8 for computers, and 0.88 for </w:t>
      </w:r>
      <w:r w:rsidR="00EA7988" w:rsidRPr="0036089D">
        <w:rPr>
          <w:rFonts w:ascii="Calibri" w:hAnsi="Calibri" w:cs="Arial"/>
          <w:lang w:eastAsia="en-AU"/>
        </w:rPr>
        <w:t xml:space="preserve">printers, </w:t>
      </w:r>
      <w:r w:rsidRPr="0036089D">
        <w:rPr>
          <w:rFonts w:ascii="Calibri" w:hAnsi="Calibri" w:cs="Arial"/>
          <w:lang w:eastAsia="en-AU"/>
        </w:rPr>
        <w:t>computer parts and peripherals.</w:t>
      </w:r>
    </w:p>
    <w:p w:rsidR="00102E34" w:rsidRPr="0036089D" w:rsidRDefault="00622855" w:rsidP="00102E34">
      <w:pPr>
        <w:rPr>
          <w:rFonts w:ascii="Calibri" w:hAnsi="Calibri"/>
        </w:rPr>
      </w:pPr>
      <w:r w:rsidRPr="0036089D">
        <w:rPr>
          <w:rFonts w:ascii="Calibri" w:hAnsi="Calibri"/>
        </w:rPr>
        <w:t>In 201</w:t>
      </w:r>
      <w:r w:rsidR="00A3318D" w:rsidRPr="0036089D">
        <w:rPr>
          <w:rFonts w:ascii="Calibri" w:hAnsi="Calibri"/>
        </w:rPr>
        <w:t>5</w:t>
      </w:r>
      <w:r w:rsidRPr="0036089D">
        <w:rPr>
          <w:rFonts w:ascii="Calibri" w:hAnsi="Calibri"/>
        </w:rPr>
        <w:t>–1</w:t>
      </w:r>
      <w:r w:rsidR="00A3318D" w:rsidRPr="0036089D">
        <w:rPr>
          <w:rFonts w:ascii="Calibri" w:hAnsi="Calibri"/>
        </w:rPr>
        <w:t>6</w:t>
      </w:r>
      <w:r w:rsidRPr="0036089D">
        <w:rPr>
          <w:rFonts w:ascii="Calibri" w:hAnsi="Calibri"/>
        </w:rPr>
        <w:t xml:space="preserve"> a</w:t>
      </w:r>
      <w:r w:rsidR="00A766DC" w:rsidRPr="0036089D">
        <w:rPr>
          <w:rFonts w:ascii="Calibri" w:hAnsi="Calibri"/>
        </w:rPr>
        <w:t>ll</w:t>
      </w:r>
      <w:r w:rsidR="001B7976" w:rsidRPr="0036089D">
        <w:rPr>
          <w:rFonts w:ascii="Calibri" w:hAnsi="Calibri"/>
        </w:rPr>
        <w:t xml:space="preserve"> approved co</w:t>
      </w:r>
      <w:r w:rsidR="00A766DC" w:rsidRPr="0036089D">
        <w:rPr>
          <w:rFonts w:ascii="Calibri" w:hAnsi="Calibri"/>
        </w:rPr>
        <w:noBreakHyphen/>
      </w:r>
      <w:r w:rsidR="001B7976" w:rsidRPr="0036089D">
        <w:rPr>
          <w:rFonts w:ascii="Calibri" w:hAnsi="Calibri"/>
        </w:rPr>
        <w:t xml:space="preserve">regulatory arrangements </w:t>
      </w:r>
      <w:r w:rsidR="00A766DC" w:rsidRPr="0036089D">
        <w:rPr>
          <w:rFonts w:ascii="Calibri" w:hAnsi="Calibri"/>
        </w:rPr>
        <w:t xml:space="preserve">are </w:t>
      </w:r>
      <w:r w:rsidRPr="0036089D">
        <w:rPr>
          <w:rFonts w:ascii="Calibri" w:hAnsi="Calibri"/>
        </w:rPr>
        <w:t>again</w:t>
      </w:r>
      <w:r w:rsidR="00A766DC" w:rsidRPr="0036089D">
        <w:rPr>
          <w:rFonts w:ascii="Calibri" w:hAnsi="Calibri"/>
        </w:rPr>
        <w:t xml:space="preserve"> </w:t>
      </w:r>
      <w:r w:rsidR="001B7976" w:rsidRPr="0036089D">
        <w:rPr>
          <w:rFonts w:ascii="Calibri" w:hAnsi="Calibri"/>
        </w:rPr>
        <w:t>required to provide access to recycling services across metropolitan, regional and remote</w:t>
      </w:r>
      <w:r w:rsidR="00E16188" w:rsidRPr="0036089D">
        <w:rPr>
          <w:rFonts w:ascii="Calibri" w:hAnsi="Calibri"/>
        </w:rPr>
        <w:t xml:space="preserve"> areas of</w:t>
      </w:r>
      <w:r w:rsidR="001B7976" w:rsidRPr="0036089D">
        <w:rPr>
          <w:rFonts w:ascii="Calibri" w:hAnsi="Calibri"/>
        </w:rPr>
        <w:t xml:space="preserve"> Australia. </w:t>
      </w:r>
    </w:p>
    <w:p w:rsidR="00102E34" w:rsidRPr="0036089D" w:rsidRDefault="001B7976" w:rsidP="00102E34">
      <w:pPr>
        <w:rPr>
          <w:rFonts w:ascii="Calibri" w:hAnsi="Calibri"/>
        </w:rPr>
      </w:pPr>
      <w:r w:rsidRPr="0036089D">
        <w:rPr>
          <w:rFonts w:ascii="Calibri" w:hAnsi="Calibri"/>
        </w:rPr>
        <w:t xml:space="preserve">As industry achieves its target over the course of the year, it will be important that this effort is supported </w:t>
      </w:r>
      <w:r w:rsidR="00EA7988" w:rsidRPr="0036089D">
        <w:rPr>
          <w:rFonts w:ascii="Calibri" w:hAnsi="Calibri"/>
        </w:rPr>
        <w:t>through</w:t>
      </w:r>
      <w:r w:rsidRPr="0036089D">
        <w:rPr>
          <w:rFonts w:ascii="Calibri" w:hAnsi="Calibri"/>
        </w:rPr>
        <w:t xml:space="preserve"> </w:t>
      </w:r>
      <w:r w:rsidR="004E2EB0" w:rsidRPr="0036089D">
        <w:rPr>
          <w:rFonts w:ascii="Calibri" w:hAnsi="Calibri"/>
        </w:rPr>
        <w:t xml:space="preserve">e-waste management </w:t>
      </w:r>
      <w:r w:rsidR="00EA7988" w:rsidRPr="0036089D">
        <w:rPr>
          <w:rFonts w:ascii="Calibri" w:hAnsi="Calibri"/>
        </w:rPr>
        <w:t>by</w:t>
      </w:r>
      <w:r w:rsidRPr="0036089D">
        <w:rPr>
          <w:rFonts w:ascii="Calibri" w:hAnsi="Calibri"/>
        </w:rPr>
        <w:t xml:space="preserve"> state, territory and local governments.</w:t>
      </w:r>
    </w:p>
    <w:p w:rsidR="009F2391" w:rsidRPr="0036089D" w:rsidRDefault="009F2391">
      <w:pPr>
        <w:spacing w:after="0" w:line="240" w:lineRule="auto"/>
        <w:rPr>
          <w:rFonts w:ascii="Calibri" w:hAnsi="Calibri"/>
        </w:rPr>
      </w:pPr>
      <w:r w:rsidRPr="0036089D">
        <w:rPr>
          <w:rFonts w:ascii="Calibri" w:hAnsi="Calibri"/>
        </w:rPr>
        <w:br w:type="page"/>
      </w:r>
    </w:p>
    <w:p w:rsidR="009E6A29" w:rsidRPr="0036089D" w:rsidRDefault="009E6A29" w:rsidP="009E6A29">
      <w:pPr>
        <w:pStyle w:val="Heading2"/>
        <w:rPr>
          <w:u w:val="single"/>
        </w:rPr>
        <w:sectPr w:rsidR="009E6A29" w:rsidRPr="0036089D" w:rsidSect="00C8425F">
          <w:type w:val="continuous"/>
          <w:pgSz w:w="11906" w:h="16838"/>
          <w:pgMar w:top="1440" w:right="1133" w:bottom="1276" w:left="1440" w:header="708" w:footer="708" w:gutter="0"/>
          <w:cols w:space="708"/>
          <w:docGrid w:linePitch="360"/>
        </w:sectPr>
      </w:pPr>
    </w:p>
    <w:p w:rsidR="009E6A29" w:rsidRPr="0036089D" w:rsidRDefault="009E6A29" w:rsidP="009E6A29">
      <w:pPr>
        <w:pStyle w:val="Heading2"/>
        <w:rPr>
          <w:u w:val="single"/>
        </w:rPr>
      </w:pPr>
      <w:bookmarkStart w:id="63" w:name="_Toc450650998"/>
      <w:r w:rsidRPr="0036089D">
        <w:rPr>
          <w:u w:val="single"/>
        </w:rPr>
        <w:t>Appendix A – List of liable party members for 2014–15, by co-regulatory arrangement</w:t>
      </w:r>
      <w:bookmarkEnd w:id="63"/>
    </w:p>
    <w:p w:rsidR="008B583D" w:rsidRPr="0036089D" w:rsidRDefault="008B583D" w:rsidP="008B583D">
      <w:pPr>
        <w:rPr>
          <w:rFonts w:cs="Arial"/>
        </w:rPr>
      </w:pPr>
      <w:r w:rsidRPr="0036089D">
        <w:rPr>
          <w:rFonts w:cs="Arial"/>
        </w:rPr>
        <w:t>Australia and New Zealand Recycling Platform (ANZRP)</w:t>
      </w:r>
      <w:r w:rsidR="009E6A29" w:rsidRPr="0036089D">
        <w:rPr>
          <w:rFonts w:cs="Arial"/>
        </w:rPr>
        <w:t xml:space="preserve"> m</w:t>
      </w:r>
      <w:r w:rsidRPr="0036089D">
        <w:rPr>
          <w:rFonts w:cs="Arial"/>
        </w:rPr>
        <w:t>embers 2014-15</w:t>
      </w:r>
    </w:p>
    <w:p w:rsidR="008B583D" w:rsidRPr="0036089D" w:rsidRDefault="008B583D" w:rsidP="008B583D">
      <w:pPr>
        <w:rPr>
          <w:rFonts w:cs="Arial"/>
          <w:bCs/>
          <w:color w:val="000000"/>
          <w:sz w:val="18"/>
          <w:szCs w:val="18"/>
        </w:rPr>
        <w:sectPr w:rsidR="008B583D" w:rsidRPr="0036089D" w:rsidSect="009E6A29">
          <w:pgSz w:w="16838" w:h="11906" w:orient="landscape"/>
          <w:pgMar w:top="1440" w:right="1440" w:bottom="851" w:left="1440" w:header="708" w:footer="708" w:gutter="0"/>
          <w:cols w:space="708"/>
          <w:docGrid w:linePitch="360"/>
        </w:sectPr>
      </w:pPr>
    </w:p>
    <w:tbl>
      <w:tblPr>
        <w:tblStyle w:val="LightShading-Accent11"/>
        <w:tblW w:w="0" w:type="auto"/>
        <w:tblLook w:val="04A0" w:firstRow="1" w:lastRow="0" w:firstColumn="1" w:lastColumn="0" w:noHBand="0" w:noVBand="1"/>
      </w:tblPr>
      <w:tblGrid>
        <w:gridCol w:w="2093"/>
        <w:gridCol w:w="4307"/>
      </w:tblGrid>
      <w:tr w:rsidR="008B583D" w:rsidRPr="0036089D" w:rsidTr="00412298">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color w:val="000000"/>
                <w:sz w:val="20"/>
                <w:szCs w:val="20"/>
              </w:rPr>
            </w:pPr>
            <w:r w:rsidRPr="0036089D">
              <w:rPr>
                <w:rFonts w:ascii="Arial" w:hAnsi="Arial" w:cs="Arial"/>
                <w:color w:val="000000"/>
                <w:sz w:val="20"/>
                <w:szCs w:val="20"/>
              </w:rPr>
              <w:t>ABN</w:t>
            </w:r>
          </w:p>
        </w:tc>
        <w:tc>
          <w:tcPr>
            <w:tcW w:w="0" w:type="auto"/>
            <w:vAlign w:val="center"/>
          </w:tcPr>
          <w:p w:rsidR="008B583D" w:rsidRPr="0036089D" w:rsidRDefault="008B583D" w:rsidP="008B583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Name</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11000614577</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Scholastic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13878074746</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Hon Hai Precision Industry Co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14171054462</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Primax</w:t>
            </w:r>
            <w:proofErr w:type="spellEnd"/>
            <w:r w:rsidRPr="0036089D">
              <w:rPr>
                <w:rFonts w:ascii="Arial" w:hAnsi="Arial" w:cs="Arial"/>
                <w:color w:val="000000"/>
                <w:sz w:val="20"/>
                <w:szCs w:val="20"/>
              </w:rPr>
              <w:t xml:space="preserve"> Electronics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16898438694</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The Leader Computer Wholesale Trust</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16962466872</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Wistron</w:t>
            </w:r>
            <w:proofErr w:type="spellEnd"/>
            <w:r w:rsidRPr="0036089D">
              <w:rPr>
                <w:rFonts w:ascii="Arial" w:hAnsi="Arial" w:cs="Arial"/>
                <w:color w:val="000000"/>
                <w:sz w:val="20"/>
                <w:szCs w:val="20"/>
              </w:rPr>
              <w:t xml:space="preserve"> Corporation</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17001393835</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Brother International (</w:t>
            </w:r>
            <w:proofErr w:type="spellStart"/>
            <w:r w:rsidRPr="0036089D">
              <w:rPr>
                <w:rFonts w:ascii="Arial" w:hAnsi="Arial" w:cs="Arial"/>
                <w:color w:val="000000"/>
                <w:sz w:val="20"/>
                <w:szCs w:val="20"/>
              </w:rPr>
              <w:t>Aust</w:t>
            </w:r>
            <w:proofErr w:type="spellEnd"/>
            <w:r w:rsidRPr="0036089D">
              <w:rPr>
                <w:rFonts w:ascii="Arial" w:hAnsi="Arial" w:cs="Arial"/>
                <w:color w:val="000000"/>
                <w:sz w:val="20"/>
                <w:szCs w:val="20"/>
              </w:rPr>
              <w:t>)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18084618543</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Top Victory Investments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19001320421</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Toshiba (Australia)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19138872385</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QCLNG Operating Company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26103964629</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Fuji Xerox Asia Pacific Pte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27571860044</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 xml:space="preserve">Suzhou </w:t>
            </w:r>
            <w:proofErr w:type="spellStart"/>
            <w:r w:rsidRPr="0036089D">
              <w:rPr>
                <w:rFonts w:ascii="Arial" w:hAnsi="Arial" w:cs="Arial"/>
                <w:color w:val="000000"/>
                <w:sz w:val="20"/>
                <w:szCs w:val="20"/>
              </w:rPr>
              <w:t>Raken</w:t>
            </w:r>
            <w:proofErr w:type="spellEnd"/>
            <w:r w:rsidRPr="0036089D">
              <w:rPr>
                <w:rFonts w:ascii="Arial" w:hAnsi="Arial" w:cs="Arial"/>
                <w:color w:val="000000"/>
                <w:sz w:val="20"/>
                <w:szCs w:val="20"/>
              </w:rPr>
              <w:t xml:space="preserve"> Technology Co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29118600463</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E3 Style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30094507098</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Teleplan</w:t>
            </w:r>
            <w:proofErr w:type="spellEnd"/>
            <w:r w:rsidRPr="0036089D">
              <w:rPr>
                <w:rFonts w:ascii="Arial" w:hAnsi="Arial" w:cs="Arial"/>
                <w:color w:val="000000"/>
                <w:sz w:val="20"/>
                <w:szCs w:val="20"/>
              </w:rPr>
              <w:t xml:space="preserve"> Service Solutions Asia BV</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38114305494</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Foxteq</w:t>
            </w:r>
            <w:proofErr w:type="spellEnd"/>
            <w:r w:rsidRPr="0036089D">
              <w:rPr>
                <w:rFonts w:ascii="Arial" w:hAnsi="Arial" w:cs="Arial"/>
                <w:color w:val="000000"/>
                <w:sz w:val="20"/>
                <w:szCs w:val="20"/>
              </w:rPr>
              <w:t xml:space="preserve"> Australia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40003039405</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Sharp Corporation Of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46002510054</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Apple Pty Limited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46003855561</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Dell Australia Pty Limited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46070943449</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Yale Prima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49097104492</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The Trustee For The Coast RV Unit Trust</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52050332940</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Cisco Systems Australia Pty Limited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53010075555</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BSG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54113965825</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Laser Corporation Holdings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55113989389</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Wacom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58374786475</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Dell Asia Pacific SDN</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59547297213</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Microsoft Regional Sales Corporation</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60074912011</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Com1 International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65005610079</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Hitachi Data Systems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66005002951</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Canon Australia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66305473245</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 xml:space="preserve">Quanta Computer </w:t>
            </w:r>
            <w:proofErr w:type="spellStart"/>
            <w:r w:rsidRPr="0036089D">
              <w:rPr>
                <w:rFonts w:ascii="Arial" w:hAnsi="Arial" w:cs="Arial"/>
                <w:color w:val="000000"/>
                <w:sz w:val="20"/>
                <w:szCs w:val="20"/>
              </w:rPr>
              <w:t>Inc</w:t>
            </w:r>
            <w:proofErr w:type="spellEnd"/>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74001016593</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Goodson Imports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74004394763</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Hewlett-Packard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77003852444</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Kyocera Document Solutions Australia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78139853544</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King World Developments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78502141245</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EMC Information Systems International</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79000024733</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IBM Australia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82456481234</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Qisda</w:t>
            </w:r>
            <w:proofErr w:type="spellEnd"/>
            <w:r w:rsidRPr="0036089D">
              <w:rPr>
                <w:rFonts w:ascii="Arial" w:hAnsi="Arial" w:cs="Arial"/>
                <w:color w:val="000000"/>
                <w:sz w:val="20"/>
                <w:szCs w:val="20"/>
              </w:rPr>
              <w:t xml:space="preserve"> Corporation</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83001592187</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Panasonic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83218750498</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Competition Team Ireland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86001217527</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NEC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86050148466</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Lexmark International (Australia) Pty Limited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89718746791</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Dell Global BV (Singapore Branch)</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91002625783</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Epson Australia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91058914784</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Multimedia Technology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94063886199</w:t>
            </w:r>
          </w:p>
        </w:tc>
        <w:tc>
          <w:tcPr>
            <w:tcW w:w="0" w:type="auto"/>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Funtastic</w:t>
            </w:r>
            <w:proofErr w:type="spellEnd"/>
            <w:r w:rsidRPr="0036089D">
              <w:rPr>
                <w:rFonts w:ascii="Arial" w:hAnsi="Arial" w:cs="Arial"/>
                <w:color w:val="000000"/>
                <w:sz w:val="20"/>
                <w:szCs w:val="20"/>
              </w:rPr>
              <w:t xml:space="preserve">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96243340910</w:t>
            </w:r>
          </w:p>
        </w:tc>
        <w:tc>
          <w:tcPr>
            <w:tcW w:w="0" w:type="auto"/>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Pegatron</w:t>
            </w:r>
            <w:proofErr w:type="spellEnd"/>
            <w:r w:rsidRPr="0036089D">
              <w:rPr>
                <w:rFonts w:ascii="Arial" w:hAnsi="Arial" w:cs="Arial"/>
                <w:color w:val="000000"/>
                <w:sz w:val="20"/>
                <w:szCs w:val="20"/>
              </w:rPr>
              <w:t xml:space="preserve"> Corporation</w:t>
            </w:r>
          </w:p>
        </w:tc>
      </w:tr>
    </w:tbl>
    <w:p w:rsidR="008B583D" w:rsidRPr="0036089D" w:rsidRDefault="008B583D" w:rsidP="008B583D">
      <w:pPr>
        <w:rPr>
          <w:rFonts w:cs="Arial"/>
          <w:b/>
          <w:sz w:val="20"/>
          <w:szCs w:val="20"/>
        </w:rPr>
      </w:pPr>
    </w:p>
    <w:p w:rsidR="008B583D" w:rsidRPr="0036089D" w:rsidRDefault="008B583D" w:rsidP="008B583D">
      <w:pPr>
        <w:rPr>
          <w:rFonts w:cs="Arial"/>
          <w:b/>
          <w:sz w:val="20"/>
          <w:szCs w:val="20"/>
        </w:rPr>
      </w:pPr>
      <w:r w:rsidRPr="0036089D">
        <w:rPr>
          <w:rFonts w:cs="Arial"/>
          <w:b/>
          <w:sz w:val="20"/>
          <w:szCs w:val="20"/>
        </w:rPr>
        <w:br w:type="page"/>
      </w:r>
    </w:p>
    <w:p w:rsidR="008B583D" w:rsidRPr="0036089D" w:rsidRDefault="008B583D" w:rsidP="008B583D">
      <w:pPr>
        <w:rPr>
          <w:b/>
        </w:rPr>
        <w:sectPr w:rsidR="008B583D" w:rsidRPr="0036089D" w:rsidSect="008B583D">
          <w:type w:val="continuous"/>
          <w:pgSz w:w="16838" w:h="11906" w:orient="landscape"/>
          <w:pgMar w:top="1440" w:right="1440" w:bottom="851" w:left="1440" w:header="708" w:footer="708" w:gutter="0"/>
          <w:cols w:num="2" w:space="708"/>
          <w:docGrid w:linePitch="360"/>
        </w:sectPr>
      </w:pPr>
    </w:p>
    <w:p w:rsidR="008B583D" w:rsidRPr="0036089D" w:rsidRDefault="009E6A29" w:rsidP="008B583D">
      <w:pPr>
        <w:rPr>
          <w:rFonts w:cs="Arial"/>
        </w:rPr>
      </w:pPr>
      <w:r w:rsidRPr="0036089D">
        <w:rPr>
          <w:rFonts w:cs="Arial"/>
        </w:rPr>
        <w:t>DHL Supply Chain Australia m</w:t>
      </w:r>
      <w:r w:rsidR="008B583D" w:rsidRPr="0036089D">
        <w:rPr>
          <w:rFonts w:cs="Arial"/>
        </w:rPr>
        <w:t>embers 2014-15</w:t>
      </w:r>
    </w:p>
    <w:p w:rsidR="008B583D" w:rsidRPr="0036089D" w:rsidRDefault="008B583D" w:rsidP="008B583D">
      <w:pPr>
        <w:rPr>
          <w:rFonts w:cs="Arial"/>
          <w:b/>
          <w:bCs/>
          <w:color w:val="000000"/>
          <w:sz w:val="20"/>
          <w:szCs w:val="20"/>
        </w:rPr>
        <w:sectPr w:rsidR="008B583D" w:rsidRPr="0036089D" w:rsidSect="008B583D">
          <w:type w:val="continuous"/>
          <w:pgSz w:w="16838" w:h="11906" w:orient="landscape"/>
          <w:pgMar w:top="1440" w:right="1440" w:bottom="851" w:left="1440" w:header="708" w:footer="708" w:gutter="0"/>
          <w:cols w:space="708"/>
          <w:docGrid w:linePitch="360"/>
        </w:sectPr>
      </w:pPr>
    </w:p>
    <w:tbl>
      <w:tblPr>
        <w:tblStyle w:val="LightShading-Accent11"/>
        <w:tblW w:w="0" w:type="auto"/>
        <w:tblLook w:val="04A0" w:firstRow="1" w:lastRow="0" w:firstColumn="1" w:lastColumn="0" w:noHBand="0" w:noVBand="1"/>
      </w:tblPr>
      <w:tblGrid>
        <w:gridCol w:w="2235"/>
        <w:gridCol w:w="4252"/>
      </w:tblGrid>
      <w:tr w:rsidR="008B583D" w:rsidRPr="0036089D" w:rsidTr="008B583D">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color w:val="000000"/>
                <w:sz w:val="20"/>
                <w:szCs w:val="20"/>
              </w:rPr>
            </w:pPr>
            <w:r w:rsidRPr="0036089D">
              <w:rPr>
                <w:rFonts w:ascii="Arial" w:hAnsi="Arial" w:cs="Arial"/>
                <w:color w:val="000000"/>
                <w:sz w:val="20"/>
                <w:szCs w:val="20"/>
              </w:rPr>
              <w:t>ABN</w:t>
            </w:r>
          </w:p>
        </w:tc>
        <w:tc>
          <w:tcPr>
            <w:tcW w:w="4252" w:type="dxa"/>
            <w:vAlign w:val="center"/>
          </w:tcPr>
          <w:p w:rsidR="008B583D" w:rsidRPr="0036089D" w:rsidRDefault="008B583D" w:rsidP="008B583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Name</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11113998048</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Teac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15090111890</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Avnet (Australia)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16000265047</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Acco</w:t>
            </w:r>
            <w:proofErr w:type="spellEnd"/>
            <w:r w:rsidRPr="0036089D">
              <w:rPr>
                <w:rFonts w:ascii="Arial" w:hAnsi="Arial" w:cs="Arial"/>
                <w:color w:val="000000"/>
                <w:sz w:val="20"/>
                <w:szCs w:val="20"/>
              </w:rPr>
              <w:t xml:space="preserve">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19001011427</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Fujitsu Australia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23109953335</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Bush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28137825015</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Pendo</w:t>
            </w:r>
            <w:proofErr w:type="spellEnd"/>
            <w:r w:rsidRPr="0036089D">
              <w:rPr>
                <w:rFonts w:ascii="Arial" w:hAnsi="Arial" w:cs="Arial"/>
                <w:color w:val="000000"/>
                <w:sz w:val="20"/>
                <w:szCs w:val="20"/>
              </w:rPr>
              <w:t xml:space="preserve"> Industries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30000087347</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Electus</w:t>
            </w:r>
            <w:proofErr w:type="spellEnd"/>
            <w:r w:rsidRPr="0036089D">
              <w:rPr>
                <w:rFonts w:ascii="Arial" w:hAnsi="Arial" w:cs="Arial"/>
                <w:color w:val="000000"/>
                <w:sz w:val="20"/>
                <w:szCs w:val="20"/>
              </w:rPr>
              <w:t xml:space="preserve"> Distribution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33156498421</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Sanmina-</w:t>
            </w:r>
            <w:proofErr w:type="spellStart"/>
            <w:r w:rsidRPr="0036089D">
              <w:rPr>
                <w:rFonts w:ascii="Arial" w:hAnsi="Arial" w:cs="Arial"/>
                <w:color w:val="000000"/>
                <w:sz w:val="20"/>
                <w:szCs w:val="20"/>
              </w:rPr>
              <w:t>Sci</w:t>
            </w:r>
            <w:proofErr w:type="spellEnd"/>
            <w:r w:rsidRPr="0036089D">
              <w:rPr>
                <w:rFonts w:ascii="Arial" w:hAnsi="Arial" w:cs="Arial"/>
                <w:color w:val="000000"/>
                <w:sz w:val="20"/>
                <w:szCs w:val="20"/>
              </w:rPr>
              <w:t xml:space="preserve"> Systems Australia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36004763526</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Officeworks Superstores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38088274195</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Australia I.T.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39005706374</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Verbatim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39072799592</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Mecari</w:t>
            </w:r>
            <w:proofErr w:type="spellEnd"/>
            <w:r w:rsidRPr="0036089D">
              <w:rPr>
                <w:rFonts w:ascii="Arial" w:hAnsi="Arial" w:cs="Arial"/>
                <w:color w:val="000000"/>
                <w:sz w:val="20"/>
                <w:szCs w:val="20"/>
              </w:rPr>
              <w:t xml:space="preserve">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45074027919</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Imation ANZ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45112487966</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Ingram Micro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50161320378</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Viano</w:t>
            </w:r>
            <w:proofErr w:type="spellEnd"/>
            <w:r w:rsidRPr="0036089D">
              <w:rPr>
                <w:rFonts w:ascii="Arial" w:hAnsi="Arial" w:cs="Arial"/>
                <w:color w:val="000000"/>
                <w:sz w:val="20"/>
                <w:szCs w:val="20"/>
              </w:rPr>
              <w:t xml:space="preserve"> Corporation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53152570351</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Kogan</w:t>
            </w:r>
            <w:proofErr w:type="spellEnd"/>
            <w:r w:rsidRPr="0036089D">
              <w:rPr>
                <w:rFonts w:ascii="Arial" w:hAnsi="Arial" w:cs="Arial"/>
                <w:color w:val="000000"/>
                <w:sz w:val="20"/>
                <w:szCs w:val="20"/>
              </w:rPr>
              <w:t xml:space="preserve"> Australia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55003365599</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Intermec Technologies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59001215354</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Sony Australia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61000003592</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NCR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63002915648</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Samsung Electronics Australia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64095402663</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Belkin Limited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65000445956</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Dick Smith (Wholesale)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65002593277</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Advantech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70106100252</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Tempo (</w:t>
            </w:r>
            <w:proofErr w:type="spellStart"/>
            <w:r w:rsidRPr="0036089D">
              <w:rPr>
                <w:rFonts w:ascii="Arial" w:hAnsi="Arial" w:cs="Arial"/>
                <w:color w:val="000000"/>
                <w:sz w:val="20"/>
                <w:szCs w:val="20"/>
              </w:rPr>
              <w:t>Aust</w:t>
            </w:r>
            <w:proofErr w:type="spellEnd"/>
            <w:r w:rsidRPr="0036089D">
              <w:rPr>
                <w:rFonts w:ascii="Arial" w:hAnsi="Arial" w:cs="Arial"/>
                <w:color w:val="000000"/>
                <w:sz w:val="20"/>
                <w:szCs w:val="20"/>
              </w:rPr>
              <w:t>)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72119042527</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Audion</w:t>
            </w:r>
            <w:proofErr w:type="spellEnd"/>
            <w:r w:rsidRPr="0036089D">
              <w:rPr>
                <w:rFonts w:ascii="Arial" w:hAnsi="Arial" w:cs="Arial"/>
                <w:color w:val="000000"/>
                <w:sz w:val="20"/>
                <w:szCs w:val="20"/>
              </w:rPr>
              <w:t xml:space="preserve"> </w:t>
            </w:r>
            <w:proofErr w:type="spellStart"/>
            <w:r w:rsidRPr="0036089D">
              <w:rPr>
                <w:rFonts w:ascii="Arial" w:hAnsi="Arial" w:cs="Arial"/>
                <w:color w:val="000000"/>
                <w:sz w:val="20"/>
                <w:szCs w:val="20"/>
              </w:rPr>
              <w:t>Innovision</w:t>
            </w:r>
            <w:proofErr w:type="spellEnd"/>
            <w:r w:rsidRPr="0036089D">
              <w:rPr>
                <w:rFonts w:ascii="Arial" w:hAnsi="Arial" w:cs="Arial"/>
                <w:color w:val="000000"/>
                <w:sz w:val="20"/>
                <w:szCs w:val="20"/>
              </w:rPr>
              <w:t xml:space="preserve">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73004700485</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Kmart Australia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75004250944</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Target Australia Pty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77002595388</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Teco</w:t>
            </w:r>
            <w:proofErr w:type="spellEnd"/>
            <w:r w:rsidRPr="0036089D">
              <w:rPr>
                <w:rFonts w:ascii="Arial" w:hAnsi="Arial" w:cs="Arial"/>
                <w:color w:val="000000"/>
                <w:sz w:val="20"/>
                <w:szCs w:val="20"/>
              </w:rPr>
              <w:t xml:space="preserve"> Australia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77107656833</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Avnet Technology Solutions (Australia)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85299809794</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Sony Mobile Communications AB</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88000014675</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Woolworths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95003211345</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Element14 Pty Ltd</w:t>
            </w:r>
          </w:p>
        </w:tc>
      </w:tr>
      <w:tr w:rsidR="008B583D" w:rsidRPr="0036089D" w:rsidTr="008B583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97010721749</w:t>
            </w:r>
          </w:p>
        </w:tc>
        <w:tc>
          <w:tcPr>
            <w:tcW w:w="4252"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Cellnet</w:t>
            </w:r>
            <w:proofErr w:type="spellEnd"/>
            <w:r w:rsidRPr="0036089D">
              <w:rPr>
                <w:rFonts w:ascii="Arial" w:hAnsi="Arial" w:cs="Arial"/>
                <w:color w:val="000000"/>
                <w:sz w:val="20"/>
                <w:szCs w:val="20"/>
              </w:rPr>
              <w:t xml:space="preserve"> Group Ltd</w:t>
            </w:r>
          </w:p>
        </w:tc>
      </w:tr>
      <w:tr w:rsidR="008B583D" w:rsidRPr="0036089D" w:rsidTr="008B583D">
        <w:trPr>
          <w:trHeight w:hRule="exact" w:val="34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98064531264</w:t>
            </w:r>
          </w:p>
        </w:tc>
        <w:tc>
          <w:tcPr>
            <w:tcW w:w="4252"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LG Electronics Australia Pty Ltd</w:t>
            </w:r>
          </w:p>
        </w:tc>
      </w:tr>
    </w:tbl>
    <w:p w:rsidR="008B583D" w:rsidRPr="0036089D" w:rsidRDefault="008B583D" w:rsidP="008B583D">
      <w:pPr>
        <w:rPr>
          <w:b/>
        </w:rPr>
        <w:sectPr w:rsidR="008B583D" w:rsidRPr="0036089D" w:rsidSect="008B583D">
          <w:type w:val="continuous"/>
          <w:pgSz w:w="16838" w:h="11906" w:orient="landscape"/>
          <w:pgMar w:top="1440" w:right="1440" w:bottom="851" w:left="1440" w:header="708" w:footer="708" w:gutter="0"/>
          <w:cols w:num="2" w:space="708"/>
          <w:docGrid w:linePitch="360"/>
        </w:sectPr>
      </w:pPr>
    </w:p>
    <w:p w:rsidR="008B583D" w:rsidRPr="0036089D" w:rsidRDefault="008B583D" w:rsidP="008B583D">
      <w:pPr>
        <w:rPr>
          <w:b/>
        </w:rPr>
      </w:pPr>
      <w:r w:rsidRPr="0036089D">
        <w:rPr>
          <w:b/>
        </w:rPr>
        <w:br w:type="page"/>
      </w:r>
    </w:p>
    <w:p w:rsidR="00F93BF4" w:rsidRPr="0036089D" w:rsidRDefault="00F93BF4" w:rsidP="008B583D">
      <w:pPr>
        <w:rPr>
          <w:rFonts w:cs="Arial"/>
          <w:b/>
        </w:rPr>
        <w:sectPr w:rsidR="00F93BF4" w:rsidRPr="0036089D" w:rsidSect="008B583D">
          <w:type w:val="continuous"/>
          <w:pgSz w:w="16838" w:h="11906" w:orient="landscape" w:code="9"/>
          <w:pgMar w:top="1418" w:right="1418" w:bottom="1276" w:left="567" w:header="425" w:footer="425" w:gutter="0"/>
          <w:cols w:space="708"/>
          <w:titlePg/>
          <w:docGrid w:linePitch="360"/>
        </w:sectPr>
      </w:pPr>
    </w:p>
    <w:p w:rsidR="008B583D" w:rsidRPr="0036089D" w:rsidRDefault="008B583D" w:rsidP="009E6A29">
      <w:pPr>
        <w:ind w:left="567"/>
        <w:rPr>
          <w:rFonts w:cs="Arial"/>
        </w:rPr>
      </w:pPr>
      <w:r w:rsidRPr="0036089D">
        <w:rPr>
          <w:rFonts w:cs="Arial"/>
        </w:rPr>
        <w:t xml:space="preserve">Electronic Product </w:t>
      </w:r>
      <w:r w:rsidR="009E6A29" w:rsidRPr="0036089D">
        <w:rPr>
          <w:rFonts w:cs="Arial"/>
        </w:rPr>
        <w:t>Stewardship Australasia (EPSA) m</w:t>
      </w:r>
      <w:r w:rsidRPr="0036089D">
        <w:rPr>
          <w:rFonts w:cs="Arial"/>
        </w:rPr>
        <w:t xml:space="preserve">embers </w:t>
      </w:r>
      <w:r w:rsidR="00F93BF4" w:rsidRPr="0036089D">
        <w:rPr>
          <w:rFonts w:cs="Arial"/>
        </w:rPr>
        <w:t xml:space="preserve">  </w:t>
      </w:r>
      <w:r w:rsidRPr="0036089D">
        <w:rPr>
          <w:rFonts w:cs="Arial"/>
        </w:rPr>
        <w:t>2014-15</w:t>
      </w:r>
    </w:p>
    <w:tbl>
      <w:tblPr>
        <w:tblStyle w:val="LightShading-Accent11"/>
        <w:tblW w:w="6879" w:type="dxa"/>
        <w:tblInd w:w="534" w:type="dxa"/>
        <w:tblLook w:val="04A0" w:firstRow="1" w:lastRow="0" w:firstColumn="1" w:lastColumn="0" w:noHBand="0" w:noVBand="1"/>
      </w:tblPr>
      <w:tblGrid>
        <w:gridCol w:w="2408"/>
        <w:gridCol w:w="4471"/>
      </w:tblGrid>
      <w:tr w:rsidR="008B583D" w:rsidRPr="0036089D" w:rsidTr="009E6A2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408" w:type="dxa"/>
          </w:tcPr>
          <w:p w:rsidR="008B583D" w:rsidRPr="0036089D" w:rsidRDefault="008B583D" w:rsidP="008B583D">
            <w:pPr>
              <w:rPr>
                <w:rFonts w:ascii="Arial" w:hAnsi="Arial" w:cs="Arial"/>
                <w:color w:val="000000"/>
                <w:sz w:val="20"/>
                <w:szCs w:val="20"/>
              </w:rPr>
            </w:pPr>
            <w:r w:rsidRPr="0036089D">
              <w:rPr>
                <w:rFonts w:ascii="Arial" w:hAnsi="Arial" w:cs="Arial"/>
                <w:color w:val="000000"/>
                <w:sz w:val="20"/>
                <w:szCs w:val="20"/>
              </w:rPr>
              <w:t>ABN</w:t>
            </w:r>
          </w:p>
        </w:tc>
        <w:tc>
          <w:tcPr>
            <w:tcW w:w="4471" w:type="dxa"/>
          </w:tcPr>
          <w:p w:rsidR="008B583D" w:rsidRPr="0036089D" w:rsidRDefault="008B583D" w:rsidP="008B583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Name</w:t>
            </w:r>
          </w:p>
        </w:tc>
      </w:tr>
      <w:tr w:rsidR="008B583D" w:rsidRPr="0036089D" w:rsidTr="009E6A2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17085770332</w:t>
            </w:r>
          </w:p>
        </w:tc>
        <w:tc>
          <w:tcPr>
            <w:tcW w:w="4471"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Rectron</w:t>
            </w:r>
            <w:proofErr w:type="spellEnd"/>
            <w:r w:rsidRPr="0036089D">
              <w:rPr>
                <w:rFonts w:ascii="Arial" w:hAnsi="Arial" w:cs="Arial"/>
                <w:color w:val="000000"/>
                <w:sz w:val="20"/>
                <w:szCs w:val="20"/>
              </w:rPr>
              <w:t xml:space="preserve"> Electronics Pty Ltd</w:t>
            </w:r>
          </w:p>
        </w:tc>
      </w:tr>
      <w:tr w:rsidR="008B583D" w:rsidRPr="0036089D" w:rsidTr="009E6A29">
        <w:trPr>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30000593171</w:t>
            </w:r>
          </w:p>
        </w:tc>
        <w:tc>
          <w:tcPr>
            <w:tcW w:w="4471"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Ricoh Australia Pty Ltd</w:t>
            </w:r>
          </w:p>
        </w:tc>
      </w:tr>
      <w:tr w:rsidR="008B583D" w:rsidRPr="0036089D" w:rsidTr="009E6A2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31260452208</w:t>
            </w:r>
          </w:p>
        </w:tc>
        <w:tc>
          <w:tcPr>
            <w:tcW w:w="4471"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 xml:space="preserve">The Trustee For The </w:t>
            </w:r>
            <w:proofErr w:type="spellStart"/>
            <w:r w:rsidRPr="0036089D">
              <w:rPr>
                <w:rFonts w:ascii="Arial" w:hAnsi="Arial" w:cs="Arial"/>
                <w:color w:val="000000"/>
                <w:sz w:val="20"/>
                <w:szCs w:val="20"/>
              </w:rPr>
              <w:t>Olbertz</w:t>
            </w:r>
            <w:proofErr w:type="spellEnd"/>
            <w:r w:rsidRPr="0036089D">
              <w:rPr>
                <w:rFonts w:ascii="Arial" w:hAnsi="Arial" w:cs="Arial"/>
                <w:color w:val="000000"/>
                <w:sz w:val="20"/>
                <w:szCs w:val="20"/>
              </w:rPr>
              <w:t xml:space="preserve"> Family Trust</w:t>
            </w:r>
          </w:p>
        </w:tc>
      </w:tr>
      <w:tr w:rsidR="008B583D" w:rsidRPr="0036089D" w:rsidTr="009E6A29">
        <w:trPr>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33146544309</w:t>
            </w:r>
          </w:p>
        </w:tc>
        <w:tc>
          <w:tcPr>
            <w:tcW w:w="4471"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V Max Pty Ltd</w:t>
            </w:r>
          </w:p>
        </w:tc>
      </w:tr>
      <w:tr w:rsidR="008B583D" w:rsidRPr="0036089D" w:rsidTr="009E6A2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35003527008</w:t>
            </w:r>
          </w:p>
        </w:tc>
        <w:tc>
          <w:tcPr>
            <w:tcW w:w="4471"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Targus Australia Pty Ltd</w:t>
            </w:r>
          </w:p>
        </w:tc>
      </w:tr>
      <w:tr w:rsidR="008B583D" w:rsidRPr="0036089D" w:rsidTr="009E6A29">
        <w:trPr>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37164758883</w:t>
            </w:r>
          </w:p>
        </w:tc>
        <w:tc>
          <w:tcPr>
            <w:tcW w:w="4471"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Seiki Australia Pty Ltd</w:t>
            </w:r>
          </w:p>
        </w:tc>
      </w:tr>
      <w:tr w:rsidR="008B583D" w:rsidRPr="0036089D" w:rsidTr="009E6A2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38150345645</w:t>
            </w:r>
          </w:p>
        </w:tc>
        <w:tc>
          <w:tcPr>
            <w:tcW w:w="4471"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Winplus</w:t>
            </w:r>
            <w:proofErr w:type="spellEnd"/>
            <w:r w:rsidRPr="0036089D">
              <w:rPr>
                <w:rFonts w:ascii="Arial" w:hAnsi="Arial" w:cs="Arial"/>
                <w:color w:val="000000"/>
                <w:sz w:val="20"/>
                <w:szCs w:val="20"/>
              </w:rPr>
              <w:t xml:space="preserve"> Australasia Pty Ltd</w:t>
            </w:r>
          </w:p>
        </w:tc>
      </w:tr>
      <w:tr w:rsidR="008B583D" w:rsidRPr="0036089D" w:rsidTr="009E6A29">
        <w:trPr>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39005706374</w:t>
            </w:r>
          </w:p>
        </w:tc>
        <w:tc>
          <w:tcPr>
            <w:tcW w:w="4471"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Verbatim Australia Pty Ltd</w:t>
            </w:r>
          </w:p>
        </w:tc>
      </w:tr>
      <w:tr w:rsidR="008B583D" w:rsidRPr="0036089D" w:rsidTr="009E6A2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49005017087</w:t>
            </w:r>
          </w:p>
        </w:tc>
        <w:tc>
          <w:tcPr>
            <w:tcW w:w="4471"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Pioneer Electronics Australia Pty Ltd</w:t>
            </w:r>
          </w:p>
        </w:tc>
      </w:tr>
      <w:tr w:rsidR="008B583D" w:rsidRPr="0036089D" w:rsidTr="009E6A29">
        <w:trPr>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49052202838</w:t>
            </w:r>
          </w:p>
        </w:tc>
        <w:tc>
          <w:tcPr>
            <w:tcW w:w="4471"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D-Link Australia Pty Ltd</w:t>
            </w:r>
          </w:p>
        </w:tc>
      </w:tr>
      <w:tr w:rsidR="008B583D" w:rsidRPr="0036089D" w:rsidTr="009E6A29">
        <w:trPr>
          <w:cnfStyle w:val="000000100000" w:firstRow="0" w:lastRow="0" w:firstColumn="0" w:lastColumn="0" w:oddVBand="0" w:evenVBand="0" w:oddHBand="1" w:evenHBand="0" w:firstRowFirstColumn="0" w:firstRowLastColumn="0" w:lastRowFirstColumn="0" w:lastRowLastColumn="0"/>
          <w:trHeight w:hRule="exact" w:val="526"/>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50001065096</w:t>
            </w:r>
          </w:p>
        </w:tc>
        <w:tc>
          <w:tcPr>
            <w:tcW w:w="4471"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Konica Minolta Business Solutions Australia Pty Ltd</w:t>
            </w:r>
          </w:p>
        </w:tc>
      </w:tr>
      <w:tr w:rsidR="008B583D" w:rsidRPr="0036089D" w:rsidTr="009E6A29">
        <w:trPr>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51063589935</w:t>
            </w:r>
          </w:p>
        </w:tc>
        <w:tc>
          <w:tcPr>
            <w:tcW w:w="4471"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Bci</w:t>
            </w:r>
            <w:proofErr w:type="spellEnd"/>
            <w:r w:rsidRPr="0036089D">
              <w:rPr>
                <w:rFonts w:ascii="Arial" w:hAnsi="Arial" w:cs="Arial"/>
                <w:color w:val="000000"/>
                <w:sz w:val="20"/>
                <w:szCs w:val="20"/>
              </w:rPr>
              <w:t xml:space="preserve"> International Development Pty Ltd</w:t>
            </w:r>
          </w:p>
        </w:tc>
      </w:tr>
      <w:tr w:rsidR="008B583D" w:rsidRPr="0036089D" w:rsidTr="009E6A2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54073200496</w:t>
            </w:r>
          </w:p>
        </w:tc>
        <w:tc>
          <w:tcPr>
            <w:tcW w:w="4471"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Datalogic</w:t>
            </w:r>
            <w:proofErr w:type="spellEnd"/>
            <w:r w:rsidRPr="0036089D">
              <w:rPr>
                <w:rFonts w:ascii="Arial" w:hAnsi="Arial" w:cs="Arial"/>
                <w:color w:val="000000"/>
                <w:sz w:val="20"/>
                <w:szCs w:val="20"/>
              </w:rPr>
              <w:t xml:space="preserve"> ADC Pty Ltd</w:t>
            </w:r>
          </w:p>
        </w:tc>
      </w:tr>
      <w:tr w:rsidR="008B583D" w:rsidRPr="0036089D" w:rsidTr="009E6A29">
        <w:trPr>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63008454439</w:t>
            </w:r>
          </w:p>
        </w:tc>
        <w:tc>
          <w:tcPr>
            <w:tcW w:w="4471"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Thorn Australia Pty Ltd</w:t>
            </w:r>
          </w:p>
        </w:tc>
      </w:tr>
      <w:tr w:rsidR="008B583D" w:rsidRPr="0036089D" w:rsidTr="009E6A2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68075071233</w:t>
            </w:r>
          </w:p>
        </w:tc>
        <w:tc>
          <w:tcPr>
            <w:tcW w:w="4471"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Newell Australia Pty Ltd</w:t>
            </w:r>
          </w:p>
        </w:tc>
      </w:tr>
      <w:tr w:rsidR="008B583D" w:rsidRPr="0036089D" w:rsidTr="009E6A29">
        <w:trPr>
          <w:trHeight w:hRule="exact" w:val="340"/>
        </w:trPr>
        <w:tc>
          <w:tcPr>
            <w:cnfStyle w:val="001000000000" w:firstRow="0" w:lastRow="0" w:firstColumn="1" w:lastColumn="0" w:oddVBand="0" w:evenVBand="0" w:oddHBand="0" w:evenHBand="0" w:firstRowFirstColumn="0" w:firstRowLastColumn="0" w:lastRowFirstColumn="0" w:lastRowLastColumn="0"/>
            <w:tcW w:w="2408"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70112394411</w:t>
            </w:r>
          </w:p>
        </w:tc>
        <w:tc>
          <w:tcPr>
            <w:tcW w:w="4471"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Lenovo (Australia &amp; New Zealand) Pty Ltd</w:t>
            </w:r>
          </w:p>
        </w:tc>
      </w:tr>
    </w:tbl>
    <w:p w:rsidR="008B583D" w:rsidRPr="0036089D" w:rsidRDefault="008B583D" w:rsidP="008B583D">
      <w:pPr>
        <w:rPr>
          <w:rFonts w:cs="Arial"/>
          <w:sz w:val="20"/>
          <w:szCs w:val="20"/>
        </w:rPr>
      </w:pPr>
    </w:p>
    <w:p w:rsidR="008B583D" w:rsidRPr="0036089D" w:rsidRDefault="008B583D" w:rsidP="008B583D">
      <w:pPr>
        <w:spacing w:after="480"/>
        <w:rPr>
          <w:rFonts w:cs="Arial"/>
          <w:sz w:val="20"/>
          <w:szCs w:val="20"/>
        </w:rPr>
      </w:pPr>
      <w:r w:rsidRPr="0036089D">
        <w:rPr>
          <w:rFonts w:cs="Arial"/>
          <w:sz w:val="20"/>
          <w:szCs w:val="20"/>
        </w:rPr>
        <w:br w:type="column"/>
      </w:r>
      <w:r w:rsidR="009E6A29" w:rsidRPr="0036089D">
        <w:rPr>
          <w:rFonts w:cs="Arial"/>
        </w:rPr>
        <w:t>E-Cycle Solutions Pty Ltd m</w:t>
      </w:r>
      <w:r w:rsidRPr="0036089D">
        <w:rPr>
          <w:rFonts w:cs="Arial"/>
        </w:rPr>
        <w:t>embers 2014-15</w:t>
      </w:r>
    </w:p>
    <w:tbl>
      <w:tblPr>
        <w:tblStyle w:val="LightShading-Accent11"/>
        <w:tblW w:w="0" w:type="auto"/>
        <w:tblInd w:w="-176" w:type="dxa"/>
        <w:tblLook w:val="04A0" w:firstRow="1" w:lastRow="0" w:firstColumn="1" w:lastColumn="0" w:noHBand="0" w:noVBand="1"/>
      </w:tblPr>
      <w:tblGrid>
        <w:gridCol w:w="2209"/>
        <w:gridCol w:w="4364"/>
      </w:tblGrid>
      <w:tr w:rsidR="008B583D" w:rsidRPr="0036089D" w:rsidTr="008B583D">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209" w:type="dxa"/>
          </w:tcPr>
          <w:p w:rsidR="008B583D" w:rsidRPr="0036089D" w:rsidRDefault="008B583D" w:rsidP="008B583D">
            <w:pPr>
              <w:rPr>
                <w:rFonts w:ascii="Arial" w:hAnsi="Arial" w:cs="Arial"/>
                <w:color w:val="000000"/>
                <w:sz w:val="20"/>
                <w:szCs w:val="20"/>
              </w:rPr>
            </w:pPr>
            <w:r w:rsidRPr="0036089D">
              <w:rPr>
                <w:rFonts w:ascii="Arial" w:hAnsi="Arial" w:cs="Arial"/>
                <w:color w:val="000000"/>
                <w:sz w:val="20"/>
                <w:szCs w:val="20"/>
              </w:rPr>
              <w:t>ABN</w:t>
            </w:r>
          </w:p>
        </w:tc>
        <w:tc>
          <w:tcPr>
            <w:tcW w:w="4364" w:type="dxa"/>
          </w:tcPr>
          <w:p w:rsidR="008B583D" w:rsidRPr="0036089D" w:rsidRDefault="008B583D" w:rsidP="008B583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Name</w:t>
            </w:r>
          </w:p>
        </w:tc>
      </w:tr>
      <w:tr w:rsidR="008B583D" w:rsidRPr="0036089D" w:rsidTr="0041229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16063659816</w:t>
            </w:r>
          </w:p>
        </w:tc>
        <w:tc>
          <w:tcPr>
            <w:tcW w:w="4364" w:type="dxa"/>
            <w:vAlign w:val="center"/>
          </w:tcPr>
          <w:p w:rsidR="008B583D" w:rsidRPr="0036089D" w:rsidRDefault="008B583D" w:rsidP="0041229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Compucon</w:t>
            </w:r>
            <w:proofErr w:type="spellEnd"/>
            <w:r w:rsidRPr="0036089D">
              <w:rPr>
                <w:rFonts w:ascii="Arial" w:hAnsi="Arial" w:cs="Arial"/>
                <w:color w:val="000000"/>
                <w:sz w:val="20"/>
                <w:szCs w:val="20"/>
              </w:rPr>
              <w:t xml:space="preserve"> Computers (NSW) Pty Ltd</w:t>
            </w:r>
          </w:p>
        </w:tc>
      </w:tr>
      <w:tr w:rsidR="008B583D" w:rsidRPr="0036089D" w:rsidTr="00412298">
        <w:trPr>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16539727488</w:t>
            </w:r>
          </w:p>
        </w:tc>
        <w:tc>
          <w:tcPr>
            <w:tcW w:w="4364" w:type="dxa"/>
            <w:vAlign w:val="center"/>
          </w:tcPr>
          <w:p w:rsidR="008B583D" w:rsidRPr="0036089D" w:rsidRDefault="008B583D" w:rsidP="0041229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Medion</w:t>
            </w:r>
            <w:proofErr w:type="spellEnd"/>
            <w:r w:rsidRPr="0036089D">
              <w:rPr>
                <w:rFonts w:ascii="Arial" w:hAnsi="Arial" w:cs="Arial"/>
                <w:color w:val="000000"/>
                <w:sz w:val="20"/>
                <w:szCs w:val="20"/>
              </w:rPr>
              <w:t xml:space="preserve"> AG</w:t>
            </w:r>
          </w:p>
        </w:tc>
      </w:tr>
      <w:tr w:rsidR="008B583D" w:rsidRPr="0036089D" w:rsidTr="0041229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32095276181</w:t>
            </w:r>
          </w:p>
        </w:tc>
        <w:tc>
          <w:tcPr>
            <w:tcW w:w="4364" w:type="dxa"/>
            <w:vAlign w:val="center"/>
          </w:tcPr>
          <w:p w:rsidR="008B583D" w:rsidRPr="0036089D" w:rsidRDefault="008B583D" w:rsidP="0041229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Changhong</w:t>
            </w:r>
            <w:proofErr w:type="spellEnd"/>
            <w:r w:rsidRPr="0036089D">
              <w:rPr>
                <w:rFonts w:ascii="Arial" w:hAnsi="Arial" w:cs="Arial"/>
                <w:color w:val="000000"/>
                <w:sz w:val="20"/>
                <w:szCs w:val="20"/>
              </w:rPr>
              <w:t xml:space="preserve"> Electric (Australia) Pty Ltd</w:t>
            </w:r>
          </w:p>
        </w:tc>
      </w:tr>
      <w:tr w:rsidR="008B583D" w:rsidRPr="0036089D" w:rsidTr="00412298">
        <w:trPr>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32125587180</w:t>
            </w:r>
          </w:p>
        </w:tc>
        <w:tc>
          <w:tcPr>
            <w:tcW w:w="4364" w:type="dxa"/>
            <w:vAlign w:val="center"/>
          </w:tcPr>
          <w:p w:rsidR="008B583D" w:rsidRPr="0036089D" w:rsidRDefault="008B583D" w:rsidP="0041229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PowerhousePC</w:t>
            </w:r>
            <w:proofErr w:type="spellEnd"/>
            <w:r w:rsidRPr="0036089D">
              <w:rPr>
                <w:rFonts w:ascii="Arial" w:hAnsi="Arial" w:cs="Arial"/>
                <w:color w:val="000000"/>
                <w:sz w:val="20"/>
                <w:szCs w:val="20"/>
              </w:rPr>
              <w:t xml:space="preserve"> Australia Pty Ltd</w:t>
            </w:r>
          </w:p>
        </w:tc>
      </w:tr>
      <w:tr w:rsidR="008B583D" w:rsidRPr="0036089D" w:rsidTr="0041229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34009701213</w:t>
            </w:r>
          </w:p>
        </w:tc>
        <w:tc>
          <w:tcPr>
            <w:tcW w:w="4364" w:type="dxa"/>
            <w:vAlign w:val="center"/>
          </w:tcPr>
          <w:p w:rsidR="008B583D" w:rsidRPr="0036089D" w:rsidRDefault="008B583D" w:rsidP="0041229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T.V. Rentals Pty Ltd</w:t>
            </w:r>
          </w:p>
        </w:tc>
      </w:tr>
      <w:tr w:rsidR="008B583D" w:rsidRPr="0036089D" w:rsidTr="00412298">
        <w:trPr>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43000225025</w:t>
            </w:r>
          </w:p>
        </w:tc>
        <w:tc>
          <w:tcPr>
            <w:tcW w:w="4364" w:type="dxa"/>
            <w:vAlign w:val="center"/>
          </w:tcPr>
          <w:p w:rsidR="008B583D" w:rsidRPr="0036089D" w:rsidRDefault="008B583D" w:rsidP="0041229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V.B. Distributors Pty Ltd</w:t>
            </w:r>
          </w:p>
        </w:tc>
      </w:tr>
      <w:tr w:rsidR="008B583D" w:rsidRPr="0036089D" w:rsidTr="0041229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44093179134</w:t>
            </w:r>
          </w:p>
        </w:tc>
        <w:tc>
          <w:tcPr>
            <w:tcW w:w="4364" w:type="dxa"/>
            <w:vAlign w:val="center"/>
          </w:tcPr>
          <w:p w:rsidR="008B583D" w:rsidRPr="0036089D" w:rsidRDefault="008B583D" w:rsidP="0041229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Benq</w:t>
            </w:r>
            <w:proofErr w:type="spellEnd"/>
            <w:r w:rsidRPr="0036089D">
              <w:rPr>
                <w:rFonts w:ascii="Arial" w:hAnsi="Arial" w:cs="Arial"/>
                <w:color w:val="000000"/>
                <w:sz w:val="20"/>
                <w:szCs w:val="20"/>
              </w:rPr>
              <w:t xml:space="preserve"> Australia Pty Ltd</w:t>
            </w:r>
          </w:p>
        </w:tc>
      </w:tr>
      <w:tr w:rsidR="008B583D" w:rsidRPr="0036089D" w:rsidTr="00412298">
        <w:trPr>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55105022080</w:t>
            </w:r>
          </w:p>
        </w:tc>
        <w:tc>
          <w:tcPr>
            <w:tcW w:w="4364" w:type="dxa"/>
            <w:vAlign w:val="center"/>
          </w:tcPr>
          <w:p w:rsidR="008B583D" w:rsidRPr="0036089D" w:rsidRDefault="008B583D" w:rsidP="0041229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Hisense Australia Pty Ltd</w:t>
            </w:r>
          </w:p>
        </w:tc>
      </w:tr>
      <w:tr w:rsidR="008B583D" w:rsidRPr="0036089D" w:rsidTr="0041229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83111032896</w:t>
            </w:r>
          </w:p>
        </w:tc>
        <w:tc>
          <w:tcPr>
            <w:tcW w:w="4364" w:type="dxa"/>
            <w:vAlign w:val="center"/>
          </w:tcPr>
          <w:p w:rsidR="008B583D" w:rsidRPr="0036089D" w:rsidRDefault="008B583D" w:rsidP="0041229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TCL Electronics Australia Pty Ltd</w:t>
            </w:r>
          </w:p>
        </w:tc>
      </w:tr>
      <w:tr w:rsidR="008B583D" w:rsidRPr="0036089D" w:rsidTr="00412298">
        <w:trPr>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88114705038</w:t>
            </w:r>
          </w:p>
        </w:tc>
        <w:tc>
          <w:tcPr>
            <w:tcW w:w="4364" w:type="dxa"/>
            <w:vAlign w:val="center"/>
          </w:tcPr>
          <w:p w:rsidR="008B583D" w:rsidRPr="0036089D" w:rsidRDefault="008B583D" w:rsidP="0041229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Mittoni</w:t>
            </w:r>
            <w:proofErr w:type="spellEnd"/>
            <w:r w:rsidRPr="0036089D">
              <w:rPr>
                <w:rFonts w:ascii="Arial" w:hAnsi="Arial" w:cs="Arial"/>
                <w:color w:val="000000"/>
                <w:sz w:val="20"/>
                <w:szCs w:val="20"/>
              </w:rPr>
              <w:t xml:space="preserve"> Pty Ltd</w:t>
            </w:r>
          </w:p>
        </w:tc>
      </w:tr>
      <w:tr w:rsidR="008B583D" w:rsidRPr="0036089D" w:rsidTr="00412298">
        <w:trPr>
          <w:cnfStyle w:val="000000100000" w:firstRow="0" w:lastRow="0" w:firstColumn="0" w:lastColumn="0" w:oddVBand="0" w:evenVBand="0" w:oddHBand="1" w:evenHBand="0" w:firstRowFirstColumn="0" w:firstRowLastColumn="0" w:lastRowFirstColumn="0" w:lastRowLastColumn="0"/>
          <w:trHeight w:hRule="exact" w:val="526"/>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88864275205</w:t>
            </w:r>
          </w:p>
        </w:tc>
        <w:tc>
          <w:tcPr>
            <w:tcW w:w="4364" w:type="dxa"/>
            <w:vAlign w:val="center"/>
          </w:tcPr>
          <w:p w:rsidR="008B583D" w:rsidRPr="0036089D" w:rsidRDefault="008B583D" w:rsidP="0041229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Amicroe</w:t>
            </w:r>
            <w:proofErr w:type="spellEnd"/>
            <w:r w:rsidRPr="0036089D">
              <w:rPr>
                <w:rFonts w:ascii="Arial" w:hAnsi="Arial" w:cs="Arial"/>
                <w:color w:val="000000"/>
                <w:sz w:val="20"/>
                <w:szCs w:val="20"/>
              </w:rPr>
              <w:t xml:space="preserve"> Holdings Ltd &amp; Desert Computer Design </w:t>
            </w:r>
            <w:proofErr w:type="spellStart"/>
            <w:r w:rsidRPr="0036089D">
              <w:rPr>
                <w:rFonts w:ascii="Arial" w:hAnsi="Arial" w:cs="Arial"/>
                <w:color w:val="000000"/>
                <w:sz w:val="20"/>
                <w:szCs w:val="20"/>
              </w:rPr>
              <w:t>Inc</w:t>
            </w:r>
            <w:proofErr w:type="spellEnd"/>
          </w:p>
        </w:tc>
      </w:tr>
      <w:tr w:rsidR="008B583D" w:rsidRPr="0036089D" w:rsidTr="00412298">
        <w:trPr>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90153485066</w:t>
            </w:r>
          </w:p>
        </w:tc>
        <w:tc>
          <w:tcPr>
            <w:tcW w:w="4364" w:type="dxa"/>
            <w:vAlign w:val="center"/>
          </w:tcPr>
          <w:p w:rsidR="008B583D" w:rsidRPr="0036089D" w:rsidRDefault="008B583D" w:rsidP="0041229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Eternal Asia (Australia) Pty Ltd</w:t>
            </w:r>
          </w:p>
        </w:tc>
      </w:tr>
      <w:tr w:rsidR="008B583D" w:rsidRPr="0036089D" w:rsidTr="0041229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09" w:type="dxa"/>
            <w:vAlign w:val="center"/>
          </w:tcPr>
          <w:p w:rsidR="008B583D" w:rsidRPr="0036089D" w:rsidRDefault="008B583D" w:rsidP="00412298">
            <w:pPr>
              <w:rPr>
                <w:rFonts w:ascii="Arial" w:hAnsi="Arial" w:cs="Arial"/>
                <w:b w:val="0"/>
                <w:color w:val="000000"/>
                <w:sz w:val="20"/>
                <w:szCs w:val="20"/>
              </w:rPr>
            </w:pPr>
            <w:r w:rsidRPr="0036089D">
              <w:rPr>
                <w:rFonts w:ascii="Arial" w:hAnsi="Arial" w:cs="Arial"/>
                <w:b w:val="0"/>
                <w:color w:val="000000"/>
                <w:sz w:val="20"/>
                <w:szCs w:val="20"/>
              </w:rPr>
              <w:t>95000969362</w:t>
            </w:r>
          </w:p>
        </w:tc>
        <w:tc>
          <w:tcPr>
            <w:tcW w:w="4364" w:type="dxa"/>
            <w:vAlign w:val="center"/>
          </w:tcPr>
          <w:p w:rsidR="008B583D" w:rsidRPr="0036089D" w:rsidRDefault="008B583D" w:rsidP="0041229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Dicker Data Ltd</w:t>
            </w:r>
          </w:p>
        </w:tc>
      </w:tr>
    </w:tbl>
    <w:p w:rsidR="008B583D" w:rsidRPr="0036089D" w:rsidRDefault="008B583D" w:rsidP="008B583D">
      <w:pPr>
        <w:rPr>
          <w:rFonts w:cs="Arial"/>
          <w:sz w:val="20"/>
          <w:szCs w:val="20"/>
        </w:rPr>
      </w:pPr>
    </w:p>
    <w:p w:rsidR="008B583D" w:rsidRPr="0036089D" w:rsidRDefault="008B583D" w:rsidP="008B583D">
      <w:pPr>
        <w:rPr>
          <w:rFonts w:cs="Arial"/>
          <w:sz w:val="20"/>
          <w:szCs w:val="20"/>
        </w:rPr>
      </w:pPr>
      <w:r w:rsidRPr="0036089D">
        <w:rPr>
          <w:rFonts w:cs="Arial"/>
          <w:sz w:val="20"/>
          <w:szCs w:val="20"/>
        </w:rPr>
        <w:br w:type="page"/>
      </w:r>
    </w:p>
    <w:p w:rsidR="008B583D" w:rsidRPr="0036089D" w:rsidRDefault="009E6A29" w:rsidP="001A36FE">
      <w:pPr>
        <w:ind w:left="567"/>
        <w:rPr>
          <w:rFonts w:cs="Arial"/>
        </w:rPr>
      </w:pPr>
      <w:r w:rsidRPr="0036089D">
        <w:rPr>
          <w:rFonts w:cs="Arial"/>
        </w:rPr>
        <w:t>Reverse E-waste members 2014-</w:t>
      </w:r>
      <w:r w:rsidR="008B583D" w:rsidRPr="0036089D">
        <w:rPr>
          <w:rFonts w:cs="Arial"/>
        </w:rPr>
        <w:t>15</w:t>
      </w:r>
    </w:p>
    <w:tbl>
      <w:tblPr>
        <w:tblStyle w:val="LightShading-Accent11"/>
        <w:tblW w:w="6629" w:type="dxa"/>
        <w:tblInd w:w="534" w:type="dxa"/>
        <w:tblLook w:val="04A0" w:firstRow="1" w:lastRow="0" w:firstColumn="1" w:lastColumn="0" w:noHBand="0" w:noVBand="1"/>
      </w:tblPr>
      <w:tblGrid>
        <w:gridCol w:w="2376"/>
        <w:gridCol w:w="4253"/>
      </w:tblGrid>
      <w:tr w:rsidR="008B583D" w:rsidRPr="0036089D" w:rsidTr="001A36FE">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376" w:type="dxa"/>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ABN</w:t>
            </w:r>
          </w:p>
        </w:tc>
        <w:tc>
          <w:tcPr>
            <w:tcW w:w="4253" w:type="dxa"/>
          </w:tcPr>
          <w:p w:rsidR="008B583D" w:rsidRPr="0036089D" w:rsidRDefault="008B583D" w:rsidP="008B583D">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36089D">
              <w:rPr>
                <w:rFonts w:ascii="Arial" w:hAnsi="Arial" w:cs="Arial"/>
                <w:b w:val="0"/>
                <w:color w:val="000000"/>
                <w:sz w:val="20"/>
                <w:szCs w:val="20"/>
              </w:rPr>
              <w:t>Name</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13095774262</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Altech</w:t>
            </w:r>
            <w:proofErr w:type="spellEnd"/>
            <w:r w:rsidRPr="0036089D">
              <w:rPr>
                <w:rFonts w:ascii="Arial" w:hAnsi="Arial" w:cs="Arial"/>
                <w:color w:val="000000"/>
                <w:sz w:val="20"/>
                <w:szCs w:val="20"/>
              </w:rPr>
              <w:t xml:space="preserve"> Computers Corporation Pty Ltd</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15090111890</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Avnet (Australia) Pty Ltd</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17072340062</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Silicon Memory Technologies Pty Ltd</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27082740145</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 xml:space="preserve">La </w:t>
            </w:r>
            <w:proofErr w:type="spellStart"/>
            <w:r w:rsidRPr="0036089D">
              <w:rPr>
                <w:rFonts w:ascii="Arial" w:hAnsi="Arial" w:cs="Arial"/>
                <w:color w:val="000000"/>
                <w:sz w:val="20"/>
                <w:szCs w:val="20"/>
              </w:rPr>
              <w:t>Cie</w:t>
            </w:r>
            <w:proofErr w:type="spellEnd"/>
            <w:r w:rsidRPr="0036089D">
              <w:rPr>
                <w:rFonts w:ascii="Arial" w:hAnsi="Arial" w:cs="Arial"/>
                <w:color w:val="000000"/>
                <w:sz w:val="20"/>
                <w:szCs w:val="20"/>
              </w:rPr>
              <w:t xml:space="preserve"> Australia Pty Ltd</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32076483808</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Bluechip Infotech Pty Ltd</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33006122676</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The Reject Shop Ltd</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34000908716</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Dick Smith Electronics Pty Ltd</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34082863750</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Achieva</w:t>
            </w:r>
            <w:proofErr w:type="spellEnd"/>
            <w:r w:rsidRPr="0036089D">
              <w:rPr>
                <w:rFonts w:ascii="Arial" w:hAnsi="Arial" w:cs="Arial"/>
                <w:color w:val="000000"/>
                <w:sz w:val="20"/>
                <w:szCs w:val="20"/>
              </w:rPr>
              <w:t xml:space="preserve"> Technology Australia Pty Ltd</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34141060586</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One Laptop Per Child Australia Ltd</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39000712265</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Home Entertainment Suppliers Pty Ltd</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40052285882</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Synnex</w:t>
            </w:r>
            <w:proofErr w:type="spellEnd"/>
            <w:r w:rsidRPr="0036089D">
              <w:rPr>
                <w:rFonts w:ascii="Arial" w:hAnsi="Arial" w:cs="Arial"/>
                <w:color w:val="000000"/>
                <w:sz w:val="20"/>
                <w:szCs w:val="20"/>
              </w:rPr>
              <w:t xml:space="preserve"> Australia Pty Ltd</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42124795919</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ICT Century Pty Ltd</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45621296136</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 xml:space="preserve">The Trustee For The </w:t>
            </w:r>
            <w:proofErr w:type="spellStart"/>
            <w:r w:rsidRPr="0036089D">
              <w:rPr>
                <w:rFonts w:ascii="Arial" w:hAnsi="Arial" w:cs="Arial"/>
                <w:color w:val="000000"/>
                <w:sz w:val="20"/>
                <w:szCs w:val="20"/>
              </w:rPr>
              <w:t>Calderara</w:t>
            </w:r>
            <w:proofErr w:type="spellEnd"/>
            <w:r w:rsidRPr="0036089D">
              <w:rPr>
                <w:rFonts w:ascii="Arial" w:hAnsi="Arial" w:cs="Arial"/>
                <w:color w:val="000000"/>
                <w:sz w:val="20"/>
                <w:szCs w:val="20"/>
              </w:rPr>
              <w:t xml:space="preserve"> Family Trust</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51106648202</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Westwell</w:t>
            </w:r>
            <w:proofErr w:type="spellEnd"/>
            <w:r w:rsidRPr="0036089D">
              <w:rPr>
                <w:rFonts w:ascii="Arial" w:hAnsi="Arial" w:cs="Arial"/>
                <w:color w:val="000000"/>
                <w:sz w:val="20"/>
                <w:szCs w:val="20"/>
              </w:rPr>
              <w:t xml:space="preserve"> Australia Pty Ltd</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57146529400</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Futurelogic</w:t>
            </w:r>
            <w:proofErr w:type="spellEnd"/>
            <w:r w:rsidRPr="0036089D">
              <w:rPr>
                <w:rFonts w:ascii="Arial" w:hAnsi="Arial" w:cs="Arial"/>
                <w:color w:val="000000"/>
                <w:sz w:val="20"/>
                <w:szCs w:val="20"/>
              </w:rPr>
              <w:t xml:space="preserve"> Australia Pty Ltd</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59055364335</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Avico</w:t>
            </w:r>
            <w:proofErr w:type="spellEnd"/>
            <w:r w:rsidRPr="0036089D">
              <w:rPr>
                <w:rFonts w:ascii="Arial" w:hAnsi="Arial" w:cs="Arial"/>
                <w:color w:val="000000"/>
                <w:sz w:val="20"/>
                <w:szCs w:val="20"/>
              </w:rPr>
              <w:t xml:space="preserve"> Electronics Pty Ltd</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69500836953</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DMA Unit Trust</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70684402139</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 xml:space="preserve">The Trustee For Thermal Take Unit Trust </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78003872768</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Acer Computer Australia Pty Ltd</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87149256048</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6089D">
              <w:rPr>
                <w:rFonts w:ascii="Arial" w:hAnsi="Arial" w:cs="Arial"/>
                <w:color w:val="000000"/>
                <w:sz w:val="20"/>
                <w:szCs w:val="20"/>
              </w:rPr>
              <w:t>Asus Service Australia Pty Ltd</w:t>
            </w:r>
          </w:p>
        </w:tc>
      </w:tr>
      <w:tr w:rsidR="008B583D" w:rsidRPr="0036089D" w:rsidTr="001A36FE">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90130310048</w:t>
            </w:r>
          </w:p>
        </w:tc>
        <w:tc>
          <w:tcPr>
            <w:tcW w:w="4253" w:type="dxa"/>
            <w:vAlign w:val="center"/>
          </w:tcPr>
          <w:p w:rsidR="008B583D" w:rsidRPr="0036089D" w:rsidRDefault="008B583D" w:rsidP="008B583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Quatius</w:t>
            </w:r>
            <w:proofErr w:type="spellEnd"/>
            <w:r w:rsidRPr="0036089D">
              <w:rPr>
                <w:rFonts w:ascii="Arial" w:hAnsi="Arial" w:cs="Arial"/>
                <w:color w:val="000000"/>
                <w:sz w:val="20"/>
                <w:szCs w:val="20"/>
              </w:rPr>
              <w:t xml:space="preserve"> </w:t>
            </w:r>
            <w:proofErr w:type="spellStart"/>
            <w:r w:rsidRPr="0036089D">
              <w:rPr>
                <w:rFonts w:ascii="Arial" w:hAnsi="Arial" w:cs="Arial"/>
                <w:color w:val="000000"/>
                <w:sz w:val="20"/>
                <w:szCs w:val="20"/>
              </w:rPr>
              <w:t>Aust</w:t>
            </w:r>
            <w:proofErr w:type="spellEnd"/>
            <w:r w:rsidRPr="0036089D">
              <w:rPr>
                <w:rFonts w:ascii="Arial" w:hAnsi="Arial" w:cs="Arial"/>
                <w:color w:val="000000"/>
                <w:sz w:val="20"/>
                <w:szCs w:val="20"/>
              </w:rPr>
              <w:t xml:space="preserve"> Pty Ltd</w:t>
            </w:r>
          </w:p>
        </w:tc>
      </w:tr>
      <w:tr w:rsidR="008B583D" w:rsidRPr="0036089D" w:rsidTr="001A36FE">
        <w:trPr>
          <w:trHeight w:hRule="exact" w:val="34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B583D" w:rsidRPr="0036089D" w:rsidRDefault="008B583D" w:rsidP="008B583D">
            <w:pPr>
              <w:rPr>
                <w:rFonts w:ascii="Arial" w:hAnsi="Arial" w:cs="Arial"/>
                <w:b w:val="0"/>
                <w:color w:val="000000"/>
                <w:sz w:val="20"/>
                <w:szCs w:val="20"/>
              </w:rPr>
            </w:pPr>
            <w:r w:rsidRPr="0036089D">
              <w:rPr>
                <w:rFonts w:ascii="Arial" w:hAnsi="Arial" w:cs="Arial"/>
                <w:b w:val="0"/>
                <w:color w:val="000000"/>
                <w:sz w:val="20"/>
                <w:szCs w:val="20"/>
              </w:rPr>
              <w:t>93096717056</w:t>
            </w:r>
          </w:p>
        </w:tc>
        <w:tc>
          <w:tcPr>
            <w:tcW w:w="4253" w:type="dxa"/>
            <w:vAlign w:val="center"/>
          </w:tcPr>
          <w:p w:rsidR="008B583D" w:rsidRPr="0036089D" w:rsidRDefault="008B583D" w:rsidP="008B583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sidRPr="0036089D">
              <w:rPr>
                <w:rFonts w:ascii="Arial" w:hAnsi="Arial" w:cs="Arial"/>
                <w:color w:val="000000"/>
                <w:sz w:val="20"/>
                <w:szCs w:val="20"/>
              </w:rPr>
              <w:t>Anyware</w:t>
            </w:r>
            <w:proofErr w:type="spellEnd"/>
            <w:r w:rsidRPr="0036089D">
              <w:rPr>
                <w:rFonts w:ascii="Arial" w:hAnsi="Arial" w:cs="Arial"/>
                <w:color w:val="000000"/>
                <w:sz w:val="20"/>
                <w:szCs w:val="20"/>
              </w:rPr>
              <w:t xml:space="preserve"> Corporation Pty Ltd</w:t>
            </w:r>
          </w:p>
        </w:tc>
      </w:tr>
    </w:tbl>
    <w:p w:rsidR="00B04E75" w:rsidRPr="0036089D" w:rsidRDefault="00B04E75">
      <w:pPr>
        <w:spacing w:after="0" w:line="240" w:lineRule="auto"/>
        <w:rPr>
          <w:rFonts w:asciiTheme="minorHAnsi" w:hAnsiTheme="minorHAnsi" w:cs="Adobe Garamond Pro"/>
          <w:color w:val="000000"/>
        </w:rPr>
        <w:sectPr w:rsidR="00B04E75" w:rsidRPr="0036089D" w:rsidSect="00412298">
          <w:type w:val="continuous"/>
          <w:pgSz w:w="16838" w:h="11906" w:orient="landscape" w:code="9"/>
          <w:pgMar w:top="1418" w:right="1418" w:bottom="1276" w:left="567" w:header="425" w:footer="425" w:gutter="0"/>
          <w:cols w:num="2" w:space="1527"/>
          <w:titlePg/>
          <w:docGrid w:linePitch="360"/>
        </w:sectPr>
      </w:pPr>
    </w:p>
    <w:p w:rsidR="006F31C8" w:rsidRPr="0036089D" w:rsidRDefault="006F31C8" w:rsidP="009512B1">
      <w:pPr>
        <w:pStyle w:val="Heading2"/>
        <w:rPr>
          <w:b w:val="0"/>
          <w:color w:val="000000"/>
        </w:rPr>
      </w:pPr>
      <w:bookmarkStart w:id="64" w:name="_Toc450650999"/>
      <w:r w:rsidRPr="0036089D">
        <w:rPr>
          <w:u w:val="single"/>
        </w:rPr>
        <w:t xml:space="preserve">Appendix </w:t>
      </w:r>
      <w:r w:rsidR="000F1C92" w:rsidRPr="0036089D">
        <w:rPr>
          <w:u w:val="single"/>
        </w:rPr>
        <w:t>B</w:t>
      </w:r>
      <w:r w:rsidR="00CB3A04" w:rsidRPr="0036089D">
        <w:rPr>
          <w:u w:val="single"/>
        </w:rPr>
        <w:t xml:space="preserve"> – Scheme Data Table</w:t>
      </w:r>
      <w:bookmarkEnd w:id="64"/>
      <w:r w:rsidR="00D1296E" w:rsidRPr="0036089D">
        <w:rPr>
          <w:u w:val="single"/>
        </w:rPr>
        <w:t xml:space="preserve"> (highlighted numbers are </w:t>
      </w:r>
      <w:r w:rsidR="001E6206" w:rsidRPr="0036089D">
        <w:rPr>
          <w:u w:val="single"/>
        </w:rPr>
        <w:t xml:space="preserve">from PS-Online, but </w:t>
      </w:r>
      <w:proofErr w:type="spellStart"/>
      <w:r w:rsidR="001E6206" w:rsidRPr="0036089D">
        <w:rPr>
          <w:u w:val="single"/>
        </w:rPr>
        <w:t>not longer</w:t>
      </w:r>
      <w:proofErr w:type="spellEnd"/>
      <w:r w:rsidR="001E6206" w:rsidRPr="0036089D">
        <w:rPr>
          <w:u w:val="single"/>
        </w:rPr>
        <w:t xml:space="preserve"> align with previously published data)</w:t>
      </w:r>
    </w:p>
    <w:p w:rsidR="00B04E75" w:rsidRPr="0036089D" w:rsidRDefault="00B04E75">
      <w:pPr>
        <w:spacing w:after="0" w:line="240" w:lineRule="auto"/>
        <w:rPr>
          <w:rFonts w:asciiTheme="minorHAnsi" w:hAnsiTheme="minorHAnsi" w:cs="Adobe Garamond Pro"/>
          <w:color w:val="000000"/>
        </w:rPr>
      </w:pPr>
    </w:p>
    <w:p w:rsidR="00261484" w:rsidRPr="0036089D" w:rsidRDefault="00261484" w:rsidP="00261484">
      <w:pPr>
        <w:pStyle w:val="Caption"/>
        <w:keepNext/>
        <w:rPr>
          <w:rFonts w:asciiTheme="minorHAnsi" w:hAnsiTheme="minorHAnsi" w:cs="Adobe Garamond Pro"/>
          <w:i/>
          <w:color w:val="000000"/>
          <w:sz w:val="22"/>
          <w:szCs w:val="22"/>
        </w:rPr>
      </w:pPr>
      <w:r w:rsidRPr="0036089D">
        <w:rPr>
          <w:rFonts w:asciiTheme="minorHAnsi" w:hAnsiTheme="minorHAnsi"/>
          <w:i/>
          <w:sz w:val="22"/>
          <w:szCs w:val="22"/>
        </w:rPr>
        <w:t xml:space="preserve">Appendix B: </w:t>
      </w:r>
      <w:r w:rsidR="00492715" w:rsidRPr="0036089D">
        <w:rPr>
          <w:rFonts w:asciiTheme="minorHAnsi" w:hAnsiTheme="minorHAnsi" w:cs="Adobe Garamond Pro"/>
          <w:i/>
          <w:color w:val="000000"/>
          <w:sz w:val="22"/>
          <w:szCs w:val="22"/>
        </w:rPr>
        <w:t xml:space="preserve">Scheme </w:t>
      </w:r>
      <w:r w:rsidRPr="0036089D">
        <w:rPr>
          <w:rFonts w:asciiTheme="minorHAnsi" w:hAnsiTheme="minorHAnsi" w:cs="Adobe Garamond Pro"/>
          <w:i/>
          <w:color w:val="000000"/>
          <w:sz w:val="22"/>
          <w:szCs w:val="22"/>
        </w:rPr>
        <w:t xml:space="preserve">import </w:t>
      </w:r>
      <w:r w:rsidR="00492715" w:rsidRPr="0036089D">
        <w:rPr>
          <w:rFonts w:asciiTheme="minorHAnsi" w:hAnsiTheme="minorHAnsi" w:cs="Adobe Garamond Pro"/>
          <w:i/>
          <w:color w:val="000000"/>
          <w:sz w:val="22"/>
          <w:szCs w:val="22"/>
        </w:rPr>
        <w:t>data</w:t>
      </w:r>
      <w:r w:rsidR="00E924E6" w:rsidRPr="0036089D">
        <w:rPr>
          <w:rFonts w:asciiTheme="minorHAnsi" w:hAnsiTheme="minorHAnsi" w:cs="Adobe Garamond Pro"/>
          <w:i/>
          <w:color w:val="000000"/>
          <w:sz w:val="22"/>
          <w:szCs w:val="22"/>
        </w:rPr>
        <w:t xml:space="preserve"> 2009</w:t>
      </w:r>
      <w:r w:rsidR="00E924E6" w:rsidRPr="0036089D">
        <w:rPr>
          <w:rFonts w:asciiTheme="minorHAnsi" w:hAnsiTheme="minorHAnsi" w:cs="Adobe Garamond Pro"/>
          <w:i/>
          <w:color w:val="000000"/>
          <w:sz w:val="22"/>
          <w:szCs w:val="22"/>
        </w:rPr>
        <w:softHyphen/>
        <w:t>–10 to 201</w:t>
      </w:r>
      <w:r w:rsidRPr="0036089D">
        <w:rPr>
          <w:rFonts w:asciiTheme="minorHAnsi" w:hAnsiTheme="minorHAnsi" w:cs="Adobe Garamond Pro"/>
          <w:i/>
          <w:color w:val="000000"/>
          <w:sz w:val="22"/>
          <w:szCs w:val="22"/>
        </w:rPr>
        <w:t>5</w:t>
      </w:r>
      <w:r w:rsidR="00E924E6" w:rsidRPr="0036089D">
        <w:rPr>
          <w:rFonts w:asciiTheme="minorHAnsi" w:hAnsiTheme="minorHAnsi" w:cs="Adobe Garamond Pro"/>
          <w:i/>
          <w:color w:val="000000"/>
          <w:sz w:val="22"/>
          <w:szCs w:val="22"/>
        </w:rPr>
        <w:t>–1</w:t>
      </w:r>
      <w:r w:rsidRPr="0036089D">
        <w:rPr>
          <w:rFonts w:asciiTheme="minorHAnsi" w:hAnsiTheme="minorHAnsi" w:cs="Adobe Garamond Pro"/>
          <w:i/>
          <w:color w:val="000000"/>
          <w:sz w:val="22"/>
          <w:szCs w:val="22"/>
        </w:rPr>
        <w:t>6</w:t>
      </w:r>
    </w:p>
    <w:p w:rsidR="00261484" w:rsidRPr="0036089D" w:rsidRDefault="00261484" w:rsidP="00261484">
      <w:pPr>
        <w:rPr>
          <w:rFonts w:asciiTheme="minorHAnsi" w:hAnsiTheme="minorHAnsi"/>
        </w:rPr>
      </w:pPr>
      <w:r w:rsidRPr="0036089D">
        <w:rPr>
          <w:rFonts w:asciiTheme="minorHAnsi" w:hAnsiTheme="minorHAnsi"/>
        </w:rPr>
        <w:t xml:space="preserve">Import data provided by the Department of Immigration and Border Protection is used to inform </w:t>
      </w:r>
      <w:r w:rsidR="004B5732" w:rsidRPr="0036089D">
        <w:rPr>
          <w:rFonts w:asciiTheme="minorHAnsi" w:hAnsiTheme="minorHAnsi"/>
        </w:rPr>
        <w:t>individual importers’ liability, co-regulatory arrangement targets, and the scheme target</w:t>
      </w:r>
      <w:r w:rsidRPr="0036089D">
        <w:rPr>
          <w:rFonts w:asciiTheme="minorHAnsi" w:hAnsiTheme="minorHAnsi"/>
        </w:rPr>
        <w:t xml:space="preserve"> </w:t>
      </w:r>
      <w:r w:rsidR="004B5732" w:rsidRPr="0036089D">
        <w:rPr>
          <w:rFonts w:asciiTheme="minorHAnsi" w:hAnsiTheme="minorHAnsi"/>
        </w:rPr>
        <w:t>for the following financial year.</w:t>
      </w:r>
    </w:p>
    <w:p w:rsidR="00E924E6" w:rsidRPr="0036089D" w:rsidRDefault="00E924E6">
      <w:pPr>
        <w:spacing w:after="0" w:line="240" w:lineRule="auto"/>
        <w:rPr>
          <w:rFonts w:asciiTheme="minorHAnsi" w:hAnsiTheme="minorHAnsi" w:cs="Adobe Garamond Pro"/>
          <w:i/>
          <w:color w:val="000000"/>
        </w:rPr>
      </w:pPr>
    </w:p>
    <w:tbl>
      <w:tblPr>
        <w:tblStyle w:val="TableGrid"/>
        <w:tblW w:w="14969" w:type="dxa"/>
        <w:tblLayout w:type="fixed"/>
        <w:tblCellMar>
          <w:left w:w="85" w:type="dxa"/>
          <w:right w:w="85" w:type="dxa"/>
        </w:tblCellMar>
        <w:tblLook w:val="04A0" w:firstRow="1" w:lastRow="0" w:firstColumn="1" w:lastColumn="0" w:noHBand="0" w:noVBand="1"/>
      </w:tblPr>
      <w:tblGrid>
        <w:gridCol w:w="1078"/>
        <w:gridCol w:w="1275"/>
        <w:gridCol w:w="1276"/>
        <w:gridCol w:w="1276"/>
        <w:gridCol w:w="1276"/>
        <w:gridCol w:w="1275"/>
        <w:gridCol w:w="1276"/>
        <w:gridCol w:w="1134"/>
        <w:gridCol w:w="1276"/>
        <w:gridCol w:w="1276"/>
        <w:gridCol w:w="1134"/>
        <w:gridCol w:w="1417"/>
      </w:tblGrid>
      <w:tr w:rsidR="00492715" w:rsidRPr="0036089D" w:rsidTr="000C64EC">
        <w:trPr>
          <w:cnfStyle w:val="100000000000" w:firstRow="1" w:lastRow="0" w:firstColumn="0" w:lastColumn="0" w:oddVBand="0" w:evenVBand="0" w:oddHBand="0" w:evenHBand="0" w:firstRowFirstColumn="0" w:firstRowLastColumn="0" w:lastRowFirstColumn="0" w:lastRowLastColumn="0"/>
        </w:trPr>
        <w:tc>
          <w:tcPr>
            <w:tcW w:w="1078" w:type="dxa"/>
            <w:vMerge w:val="restart"/>
            <w:shd w:val="clear" w:color="auto" w:fill="C6D9F1" w:themeFill="text2" w:themeFillTint="33"/>
            <w:vAlign w:val="center"/>
          </w:tcPr>
          <w:p w:rsidR="00492715" w:rsidRPr="0036089D" w:rsidRDefault="00492715" w:rsidP="003334A1">
            <w:pPr>
              <w:jc w:val="center"/>
              <w:rPr>
                <w:rFonts w:cs="Arial"/>
                <w:b/>
                <w:sz w:val="20"/>
                <w:szCs w:val="20"/>
              </w:rPr>
            </w:pPr>
            <w:r w:rsidRPr="0036089D">
              <w:rPr>
                <w:rFonts w:cs="Arial"/>
                <w:b/>
                <w:color w:val="000000"/>
                <w:sz w:val="20"/>
                <w:szCs w:val="20"/>
              </w:rPr>
              <w:t>Financial year</w:t>
            </w:r>
          </w:p>
        </w:tc>
        <w:tc>
          <w:tcPr>
            <w:tcW w:w="2551" w:type="dxa"/>
            <w:gridSpan w:val="2"/>
            <w:shd w:val="clear" w:color="auto" w:fill="C6D9F1" w:themeFill="text2" w:themeFillTint="33"/>
            <w:vAlign w:val="center"/>
          </w:tcPr>
          <w:p w:rsidR="00492715" w:rsidRPr="0036089D" w:rsidRDefault="00492715" w:rsidP="003334A1">
            <w:pPr>
              <w:jc w:val="center"/>
              <w:rPr>
                <w:rFonts w:cs="Arial"/>
                <w:b/>
                <w:sz w:val="20"/>
                <w:szCs w:val="20"/>
              </w:rPr>
            </w:pPr>
            <w:r w:rsidRPr="0036089D">
              <w:rPr>
                <w:rFonts w:cs="Arial"/>
                <w:b/>
                <w:sz w:val="20"/>
                <w:szCs w:val="20"/>
              </w:rPr>
              <w:t>Total imports</w:t>
            </w:r>
          </w:p>
        </w:tc>
        <w:tc>
          <w:tcPr>
            <w:tcW w:w="5103" w:type="dxa"/>
            <w:gridSpan w:val="4"/>
            <w:shd w:val="clear" w:color="auto" w:fill="C6D9F1" w:themeFill="text2" w:themeFillTint="33"/>
            <w:vAlign w:val="center"/>
          </w:tcPr>
          <w:p w:rsidR="00492715" w:rsidRPr="0036089D" w:rsidRDefault="00492715" w:rsidP="003334A1">
            <w:pPr>
              <w:jc w:val="center"/>
              <w:rPr>
                <w:rFonts w:cs="Arial"/>
                <w:b/>
                <w:sz w:val="20"/>
                <w:szCs w:val="20"/>
              </w:rPr>
            </w:pPr>
            <w:r w:rsidRPr="0036089D">
              <w:rPr>
                <w:rFonts w:cs="Arial"/>
                <w:b/>
                <w:sz w:val="20"/>
                <w:szCs w:val="20"/>
              </w:rPr>
              <w:t>Imports by all liable parties</w:t>
            </w:r>
          </w:p>
        </w:tc>
        <w:tc>
          <w:tcPr>
            <w:tcW w:w="1134" w:type="dxa"/>
            <w:vMerge w:val="restart"/>
            <w:shd w:val="clear" w:color="auto" w:fill="C6D9F1" w:themeFill="text2" w:themeFillTint="33"/>
            <w:vAlign w:val="center"/>
          </w:tcPr>
          <w:p w:rsidR="00492715" w:rsidRPr="0036089D" w:rsidRDefault="00492715" w:rsidP="003334A1">
            <w:pPr>
              <w:jc w:val="center"/>
              <w:rPr>
                <w:rFonts w:cs="Arial"/>
                <w:b/>
                <w:sz w:val="20"/>
                <w:szCs w:val="20"/>
              </w:rPr>
            </w:pPr>
            <w:r w:rsidRPr="0036089D">
              <w:rPr>
                <w:rFonts w:cs="Arial"/>
                <w:b/>
                <w:sz w:val="20"/>
                <w:szCs w:val="20"/>
              </w:rPr>
              <w:t>Waste arising</w:t>
            </w:r>
            <w:r w:rsidR="003334A1" w:rsidRPr="0036089D">
              <w:rPr>
                <w:rFonts w:cs="Arial"/>
                <w:b/>
                <w:sz w:val="20"/>
                <w:szCs w:val="20"/>
              </w:rPr>
              <w:t xml:space="preserve"> (tonnes</w:t>
            </w:r>
          </w:p>
        </w:tc>
        <w:tc>
          <w:tcPr>
            <w:tcW w:w="2552" w:type="dxa"/>
            <w:gridSpan w:val="2"/>
            <w:shd w:val="clear" w:color="auto" w:fill="C6D9F1" w:themeFill="text2" w:themeFillTint="33"/>
            <w:vAlign w:val="center"/>
          </w:tcPr>
          <w:p w:rsidR="00492715" w:rsidRPr="0036089D" w:rsidRDefault="00492715" w:rsidP="003334A1">
            <w:pPr>
              <w:jc w:val="center"/>
              <w:rPr>
                <w:rFonts w:cs="Arial"/>
                <w:b/>
                <w:sz w:val="20"/>
                <w:szCs w:val="20"/>
              </w:rPr>
            </w:pPr>
            <w:r w:rsidRPr="0036089D">
              <w:rPr>
                <w:rFonts w:cs="Arial"/>
                <w:b/>
                <w:sz w:val="20"/>
                <w:szCs w:val="20"/>
              </w:rPr>
              <w:t>Scheme recycling target</w:t>
            </w:r>
          </w:p>
        </w:tc>
        <w:tc>
          <w:tcPr>
            <w:tcW w:w="2551" w:type="dxa"/>
            <w:gridSpan w:val="2"/>
            <w:shd w:val="clear" w:color="auto" w:fill="C6D9F1" w:themeFill="text2" w:themeFillTint="33"/>
            <w:vAlign w:val="center"/>
          </w:tcPr>
          <w:p w:rsidR="00492715" w:rsidRPr="0036089D" w:rsidRDefault="00492715" w:rsidP="003334A1">
            <w:pPr>
              <w:jc w:val="center"/>
              <w:rPr>
                <w:rFonts w:cs="Arial"/>
                <w:b/>
                <w:sz w:val="20"/>
                <w:szCs w:val="20"/>
              </w:rPr>
            </w:pPr>
            <w:r w:rsidRPr="0036089D">
              <w:rPr>
                <w:rFonts w:cs="Arial"/>
                <w:b/>
                <w:sz w:val="20"/>
                <w:szCs w:val="20"/>
              </w:rPr>
              <w:t>Liable parties</w:t>
            </w:r>
          </w:p>
        </w:tc>
      </w:tr>
      <w:tr w:rsidR="000C64EC" w:rsidRPr="0036089D" w:rsidTr="000C64EC">
        <w:trPr>
          <w:cnfStyle w:val="000000100000" w:firstRow="0" w:lastRow="0" w:firstColumn="0" w:lastColumn="0" w:oddVBand="0" w:evenVBand="0" w:oddHBand="1" w:evenHBand="0" w:firstRowFirstColumn="0" w:firstRowLastColumn="0" w:lastRowFirstColumn="0" w:lastRowLastColumn="0"/>
        </w:trPr>
        <w:tc>
          <w:tcPr>
            <w:tcW w:w="1078" w:type="dxa"/>
            <w:vMerge/>
            <w:shd w:val="clear" w:color="auto" w:fill="C6D9F1" w:themeFill="text2" w:themeFillTint="33"/>
            <w:vAlign w:val="center"/>
          </w:tcPr>
          <w:p w:rsidR="00492715" w:rsidRPr="0036089D" w:rsidRDefault="00492715" w:rsidP="003334A1">
            <w:pPr>
              <w:jc w:val="center"/>
              <w:rPr>
                <w:rFonts w:cs="Arial"/>
                <w:sz w:val="20"/>
                <w:szCs w:val="20"/>
              </w:rPr>
            </w:pPr>
          </w:p>
        </w:tc>
        <w:tc>
          <w:tcPr>
            <w:tcW w:w="1275" w:type="dxa"/>
            <w:tcBorders>
              <w:bottom w:val="single" w:sz="4" w:space="0" w:color="auto"/>
            </w:tcBorders>
            <w:shd w:val="clear" w:color="auto" w:fill="C6D9F1" w:themeFill="text2" w:themeFillTint="33"/>
            <w:vAlign w:val="center"/>
          </w:tcPr>
          <w:p w:rsidR="00492715" w:rsidRPr="0036089D" w:rsidRDefault="00492715" w:rsidP="003334A1">
            <w:pPr>
              <w:jc w:val="center"/>
              <w:rPr>
                <w:rFonts w:cs="Arial"/>
                <w:b/>
                <w:color w:val="000000"/>
                <w:sz w:val="20"/>
                <w:szCs w:val="20"/>
              </w:rPr>
            </w:pPr>
            <w:r w:rsidRPr="0036089D">
              <w:rPr>
                <w:rFonts w:cs="Arial"/>
                <w:b/>
                <w:color w:val="000000"/>
                <w:sz w:val="20"/>
                <w:szCs w:val="20"/>
              </w:rPr>
              <w:t>Units</w:t>
            </w:r>
          </w:p>
        </w:tc>
        <w:tc>
          <w:tcPr>
            <w:tcW w:w="1276" w:type="dxa"/>
            <w:shd w:val="clear" w:color="auto" w:fill="C6D9F1" w:themeFill="text2" w:themeFillTint="33"/>
            <w:vAlign w:val="center"/>
          </w:tcPr>
          <w:p w:rsidR="00492715" w:rsidRPr="0036089D" w:rsidRDefault="00492715" w:rsidP="003334A1">
            <w:pPr>
              <w:jc w:val="center"/>
              <w:rPr>
                <w:rFonts w:cs="Arial"/>
                <w:b/>
                <w:color w:val="000000"/>
                <w:sz w:val="20"/>
                <w:szCs w:val="20"/>
              </w:rPr>
            </w:pPr>
            <w:r w:rsidRPr="0036089D">
              <w:rPr>
                <w:rFonts w:cs="Arial"/>
                <w:b/>
                <w:color w:val="000000"/>
                <w:sz w:val="20"/>
                <w:szCs w:val="20"/>
              </w:rPr>
              <w:t>Converted weight (tonnes)</w:t>
            </w:r>
          </w:p>
        </w:tc>
        <w:tc>
          <w:tcPr>
            <w:tcW w:w="1276" w:type="dxa"/>
            <w:tcBorders>
              <w:bottom w:val="single" w:sz="4" w:space="0" w:color="auto"/>
            </w:tcBorders>
            <w:shd w:val="clear" w:color="auto" w:fill="C6D9F1" w:themeFill="text2" w:themeFillTint="33"/>
            <w:vAlign w:val="center"/>
          </w:tcPr>
          <w:p w:rsidR="00492715" w:rsidRPr="0036089D" w:rsidRDefault="00492715" w:rsidP="003334A1">
            <w:pPr>
              <w:jc w:val="center"/>
              <w:rPr>
                <w:rFonts w:cs="Arial"/>
                <w:b/>
                <w:color w:val="000000"/>
                <w:sz w:val="20"/>
                <w:szCs w:val="20"/>
              </w:rPr>
            </w:pPr>
            <w:r w:rsidRPr="0036089D">
              <w:rPr>
                <w:rFonts w:cs="Arial"/>
                <w:b/>
                <w:color w:val="000000"/>
                <w:sz w:val="20"/>
                <w:szCs w:val="20"/>
              </w:rPr>
              <w:t>Units</w:t>
            </w:r>
          </w:p>
        </w:tc>
        <w:tc>
          <w:tcPr>
            <w:tcW w:w="1276" w:type="dxa"/>
            <w:tcBorders>
              <w:bottom w:val="single" w:sz="4" w:space="0" w:color="auto"/>
            </w:tcBorders>
            <w:shd w:val="clear" w:color="auto" w:fill="C6D9F1" w:themeFill="text2" w:themeFillTint="33"/>
            <w:vAlign w:val="center"/>
          </w:tcPr>
          <w:p w:rsidR="00492715" w:rsidRPr="0036089D" w:rsidRDefault="00492715" w:rsidP="003334A1">
            <w:pPr>
              <w:jc w:val="center"/>
              <w:rPr>
                <w:rFonts w:cs="Arial"/>
                <w:b/>
                <w:color w:val="000000"/>
                <w:sz w:val="20"/>
                <w:szCs w:val="20"/>
              </w:rPr>
            </w:pPr>
            <w:r w:rsidRPr="0036089D">
              <w:rPr>
                <w:rFonts w:cs="Arial"/>
                <w:b/>
                <w:color w:val="000000"/>
                <w:sz w:val="20"/>
                <w:szCs w:val="20"/>
              </w:rPr>
              <w:t>Proportion of  total units</w:t>
            </w:r>
          </w:p>
        </w:tc>
        <w:tc>
          <w:tcPr>
            <w:tcW w:w="1275" w:type="dxa"/>
            <w:tcBorders>
              <w:bottom w:val="single" w:sz="4" w:space="0" w:color="auto"/>
            </w:tcBorders>
            <w:shd w:val="clear" w:color="auto" w:fill="C6D9F1" w:themeFill="text2" w:themeFillTint="33"/>
            <w:vAlign w:val="center"/>
          </w:tcPr>
          <w:p w:rsidR="00492715" w:rsidRPr="0036089D" w:rsidRDefault="00492715" w:rsidP="003334A1">
            <w:pPr>
              <w:jc w:val="center"/>
              <w:rPr>
                <w:rFonts w:cs="Arial"/>
                <w:b/>
                <w:color w:val="000000"/>
                <w:sz w:val="20"/>
                <w:szCs w:val="20"/>
              </w:rPr>
            </w:pPr>
            <w:r w:rsidRPr="0036089D">
              <w:rPr>
                <w:rFonts w:cs="Arial"/>
                <w:b/>
                <w:color w:val="000000"/>
                <w:sz w:val="20"/>
                <w:szCs w:val="20"/>
              </w:rPr>
              <w:t>Converted weight</w:t>
            </w:r>
            <w:r w:rsidR="003800A8" w:rsidRPr="0036089D">
              <w:rPr>
                <w:rFonts w:cs="Arial"/>
                <w:b/>
                <w:color w:val="000000"/>
                <w:sz w:val="20"/>
                <w:szCs w:val="20"/>
              </w:rPr>
              <w:t xml:space="preserve"> (tonnes)</w:t>
            </w:r>
          </w:p>
        </w:tc>
        <w:tc>
          <w:tcPr>
            <w:tcW w:w="1276" w:type="dxa"/>
            <w:tcBorders>
              <w:bottom w:val="single" w:sz="4" w:space="0" w:color="auto"/>
            </w:tcBorders>
            <w:shd w:val="clear" w:color="auto" w:fill="C6D9F1" w:themeFill="text2" w:themeFillTint="33"/>
            <w:vAlign w:val="center"/>
          </w:tcPr>
          <w:p w:rsidR="00492715" w:rsidRPr="0036089D" w:rsidRDefault="00492715" w:rsidP="003334A1">
            <w:pPr>
              <w:jc w:val="center"/>
              <w:rPr>
                <w:rFonts w:cs="Arial"/>
                <w:b/>
                <w:color w:val="000000"/>
                <w:sz w:val="20"/>
                <w:szCs w:val="20"/>
              </w:rPr>
            </w:pPr>
            <w:r w:rsidRPr="0036089D">
              <w:rPr>
                <w:rFonts w:cs="Arial"/>
                <w:b/>
                <w:color w:val="000000"/>
                <w:sz w:val="20"/>
                <w:szCs w:val="20"/>
              </w:rPr>
              <w:t>Proportion of total converted weight</w:t>
            </w:r>
          </w:p>
        </w:tc>
        <w:tc>
          <w:tcPr>
            <w:tcW w:w="1134" w:type="dxa"/>
            <w:vMerge/>
            <w:tcBorders>
              <w:bottom w:val="single" w:sz="4" w:space="0" w:color="auto"/>
            </w:tcBorders>
            <w:shd w:val="clear" w:color="auto" w:fill="C6D9F1" w:themeFill="text2" w:themeFillTint="33"/>
            <w:vAlign w:val="center"/>
          </w:tcPr>
          <w:p w:rsidR="00492715" w:rsidRPr="0036089D" w:rsidRDefault="00492715" w:rsidP="003334A1">
            <w:pPr>
              <w:jc w:val="center"/>
              <w:rPr>
                <w:rFonts w:cs="Arial"/>
                <w:sz w:val="20"/>
                <w:szCs w:val="20"/>
              </w:rPr>
            </w:pPr>
          </w:p>
        </w:tc>
        <w:tc>
          <w:tcPr>
            <w:tcW w:w="1276" w:type="dxa"/>
            <w:tcBorders>
              <w:bottom w:val="single" w:sz="4" w:space="0" w:color="auto"/>
            </w:tcBorders>
            <w:shd w:val="clear" w:color="auto" w:fill="C6D9F1" w:themeFill="text2" w:themeFillTint="33"/>
            <w:vAlign w:val="center"/>
          </w:tcPr>
          <w:p w:rsidR="00492715" w:rsidRPr="0036089D" w:rsidRDefault="00492715" w:rsidP="003334A1">
            <w:pPr>
              <w:jc w:val="center"/>
              <w:rPr>
                <w:rFonts w:cs="Arial"/>
                <w:b/>
                <w:color w:val="000000"/>
                <w:sz w:val="20"/>
                <w:szCs w:val="20"/>
              </w:rPr>
            </w:pPr>
            <w:r w:rsidRPr="0036089D">
              <w:rPr>
                <w:rFonts w:cs="Arial"/>
                <w:b/>
                <w:color w:val="000000"/>
                <w:sz w:val="20"/>
                <w:szCs w:val="20"/>
              </w:rPr>
              <w:t>Percentage target</w:t>
            </w:r>
          </w:p>
        </w:tc>
        <w:tc>
          <w:tcPr>
            <w:tcW w:w="1276" w:type="dxa"/>
            <w:tcBorders>
              <w:bottom w:val="single" w:sz="4" w:space="0" w:color="auto"/>
            </w:tcBorders>
            <w:shd w:val="clear" w:color="auto" w:fill="C6D9F1" w:themeFill="text2" w:themeFillTint="33"/>
            <w:vAlign w:val="center"/>
          </w:tcPr>
          <w:p w:rsidR="00492715" w:rsidRPr="0036089D" w:rsidRDefault="00492715" w:rsidP="003334A1">
            <w:pPr>
              <w:jc w:val="center"/>
              <w:rPr>
                <w:rFonts w:cs="Arial"/>
                <w:b/>
                <w:color w:val="000000"/>
                <w:sz w:val="20"/>
                <w:szCs w:val="20"/>
              </w:rPr>
            </w:pPr>
            <w:r w:rsidRPr="0036089D">
              <w:rPr>
                <w:rFonts w:cs="Arial"/>
                <w:b/>
                <w:color w:val="000000"/>
                <w:sz w:val="20"/>
                <w:szCs w:val="20"/>
              </w:rPr>
              <w:t>Recycling target (tonnes)</w:t>
            </w:r>
          </w:p>
        </w:tc>
        <w:tc>
          <w:tcPr>
            <w:tcW w:w="1134" w:type="dxa"/>
            <w:tcBorders>
              <w:bottom w:val="single" w:sz="4" w:space="0" w:color="auto"/>
            </w:tcBorders>
            <w:shd w:val="clear" w:color="auto" w:fill="C6D9F1" w:themeFill="text2" w:themeFillTint="33"/>
            <w:vAlign w:val="center"/>
          </w:tcPr>
          <w:p w:rsidR="00492715" w:rsidRPr="0036089D" w:rsidRDefault="00492715" w:rsidP="003334A1">
            <w:pPr>
              <w:jc w:val="center"/>
              <w:rPr>
                <w:rFonts w:cs="Arial"/>
                <w:b/>
                <w:color w:val="000000"/>
                <w:sz w:val="20"/>
                <w:szCs w:val="20"/>
              </w:rPr>
            </w:pPr>
            <w:r w:rsidRPr="0036089D">
              <w:rPr>
                <w:rFonts w:cs="Arial"/>
                <w:b/>
                <w:color w:val="000000"/>
                <w:sz w:val="20"/>
                <w:szCs w:val="20"/>
              </w:rPr>
              <w:t>Number of liable parties</w:t>
            </w:r>
          </w:p>
        </w:tc>
        <w:tc>
          <w:tcPr>
            <w:tcW w:w="1417" w:type="dxa"/>
            <w:tcBorders>
              <w:bottom w:val="single" w:sz="4" w:space="0" w:color="auto"/>
            </w:tcBorders>
            <w:shd w:val="clear" w:color="auto" w:fill="C6D9F1" w:themeFill="text2" w:themeFillTint="33"/>
            <w:vAlign w:val="center"/>
          </w:tcPr>
          <w:p w:rsidR="00492715" w:rsidRPr="0036089D" w:rsidRDefault="00492715" w:rsidP="003334A1">
            <w:pPr>
              <w:jc w:val="center"/>
              <w:rPr>
                <w:rFonts w:cs="Arial"/>
                <w:b/>
                <w:color w:val="000000"/>
                <w:sz w:val="20"/>
                <w:szCs w:val="20"/>
              </w:rPr>
            </w:pPr>
            <w:r w:rsidRPr="0036089D">
              <w:rPr>
                <w:rFonts w:cs="Arial"/>
                <w:b/>
                <w:color w:val="000000"/>
                <w:sz w:val="20"/>
                <w:szCs w:val="20"/>
              </w:rPr>
              <w:t>Compliance by converted weight of imports</w:t>
            </w:r>
          </w:p>
        </w:tc>
      </w:tr>
      <w:tr w:rsidR="000C64EC" w:rsidRPr="0036089D" w:rsidTr="000C64EC">
        <w:trPr>
          <w:cnfStyle w:val="000000010000" w:firstRow="0" w:lastRow="0" w:firstColumn="0" w:lastColumn="0" w:oddVBand="0" w:evenVBand="0" w:oddHBand="0" w:evenHBand="1" w:firstRowFirstColumn="0" w:firstRowLastColumn="0" w:lastRowFirstColumn="0" w:lastRowLastColumn="0"/>
        </w:trPr>
        <w:tc>
          <w:tcPr>
            <w:tcW w:w="1078" w:type="dxa"/>
            <w:shd w:val="clear" w:color="auto" w:fill="C6D9F1" w:themeFill="text2" w:themeFillTint="33"/>
            <w:vAlign w:val="center"/>
          </w:tcPr>
          <w:p w:rsidR="00492715" w:rsidRPr="0036089D" w:rsidRDefault="00492715" w:rsidP="003334A1">
            <w:pPr>
              <w:jc w:val="right"/>
              <w:rPr>
                <w:rFonts w:cs="Arial"/>
                <w:b/>
                <w:color w:val="000000"/>
                <w:sz w:val="20"/>
                <w:szCs w:val="20"/>
              </w:rPr>
            </w:pPr>
            <w:r w:rsidRPr="0036089D">
              <w:rPr>
                <w:rFonts w:cs="Arial"/>
                <w:b/>
                <w:color w:val="000000"/>
                <w:sz w:val="20"/>
                <w:szCs w:val="20"/>
              </w:rPr>
              <w:t>2009–10</w:t>
            </w:r>
          </w:p>
        </w:tc>
        <w:tc>
          <w:tcPr>
            <w:tcW w:w="1275" w:type="dxa"/>
            <w:shd w:val="clear" w:color="auto" w:fill="BFBFBF" w:themeFill="background1" w:themeFillShade="BF"/>
            <w:vAlign w:val="center"/>
          </w:tcPr>
          <w:p w:rsidR="00492715" w:rsidRPr="0036089D" w:rsidRDefault="00492715" w:rsidP="003334A1">
            <w:pPr>
              <w:jc w:val="right"/>
              <w:rPr>
                <w:rFonts w:cs="Arial"/>
                <w:sz w:val="20"/>
                <w:szCs w:val="20"/>
              </w:rPr>
            </w:pPr>
          </w:p>
        </w:tc>
        <w:tc>
          <w:tcPr>
            <w:tcW w:w="1276" w:type="dxa"/>
            <w:vAlign w:val="center"/>
          </w:tcPr>
          <w:p w:rsidR="00492715" w:rsidRPr="0036089D" w:rsidRDefault="00492715" w:rsidP="003334A1">
            <w:pPr>
              <w:jc w:val="right"/>
              <w:rPr>
                <w:rFonts w:cs="Arial"/>
                <w:sz w:val="20"/>
                <w:szCs w:val="20"/>
              </w:rPr>
            </w:pPr>
            <w:r w:rsidRPr="0036089D">
              <w:rPr>
                <w:rFonts w:cs="Arial"/>
                <w:color w:val="000000"/>
                <w:sz w:val="20"/>
                <w:szCs w:val="20"/>
              </w:rPr>
              <w:t>156,696.0</w:t>
            </w:r>
          </w:p>
        </w:tc>
        <w:tc>
          <w:tcPr>
            <w:tcW w:w="1276" w:type="dxa"/>
            <w:shd w:val="clear" w:color="auto" w:fill="BFBFBF" w:themeFill="background1" w:themeFillShade="BF"/>
            <w:vAlign w:val="center"/>
          </w:tcPr>
          <w:p w:rsidR="00492715" w:rsidRPr="0036089D" w:rsidRDefault="00492715" w:rsidP="003334A1">
            <w:pPr>
              <w:jc w:val="right"/>
              <w:rPr>
                <w:rFonts w:cs="Arial"/>
                <w:sz w:val="20"/>
                <w:szCs w:val="20"/>
              </w:rPr>
            </w:pPr>
          </w:p>
        </w:tc>
        <w:tc>
          <w:tcPr>
            <w:tcW w:w="1276" w:type="dxa"/>
            <w:shd w:val="clear" w:color="auto" w:fill="BFBFBF" w:themeFill="background1" w:themeFillShade="BF"/>
            <w:vAlign w:val="center"/>
          </w:tcPr>
          <w:p w:rsidR="00492715" w:rsidRPr="0036089D" w:rsidRDefault="00492715" w:rsidP="003334A1">
            <w:pPr>
              <w:jc w:val="right"/>
              <w:rPr>
                <w:rFonts w:cs="Arial"/>
                <w:sz w:val="20"/>
                <w:szCs w:val="20"/>
              </w:rPr>
            </w:pPr>
          </w:p>
        </w:tc>
        <w:tc>
          <w:tcPr>
            <w:tcW w:w="1275" w:type="dxa"/>
            <w:shd w:val="clear" w:color="auto" w:fill="BFBFBF" w:themeFill="background1" w:themeFillShade="BF"/>
            <w:vAlign w:val="center"/>
          </w:tcPr>
          <w:p w:rsidR="00492715" w:rsidRPr="0036089D" w:rsidRDefault="00492715" w:rsidP="003334A1">
            <w:pPr>
              <w:jc w:val="right"/>
              <w:rPr>
                <w:rFonts w:cs="Arial"/>
                <w:sz w:val="20"/>
                <w:szCs w:val="20"/>
              </w:rPr>
            </w:pPr>
          </w:p>
        </w:tc>
        <w:tc>
          <w:tcPr>
            <w:tcW w:w="1276" w:type="dxa"/>
            <w:shd w:val="clear" w:color="auto" w:fill="BFBFBF" w:themeFill="background1" w:themeFillShade="BF"/>
            <w:vAlign w:val="center"/>
          </w:tcPr>
          <w:p w:rsidR="00492715" w:rsidRPr="0036089D" w:rsidRDefault="00492715" w:rsidP="003334A1">
            <w:pPr>
              <w:jc w:val="right"/>
              <w:rPr>
                <w:rFonts w:cs="Arial"/>
                <w:sz w:val="20"/>
                <w:szCs w:val="20"/>
              </w:rPr>
            </w:pPr>
          </w:p>
        </w:tc>
        <w:tc>
          <w:tcPr>
            <w:tcW w:w="1134" w:type="dxa"/>
            <w:tcBorders>
              <w:bottom w:val="single" w:sz="4" w:space="0" w:color="auto"/>
            </w:tcBorders>
            <w:shd w:val="clear" w:color="auto" w:fill="BFBFBF" w:themeFill="background1" w:themeFillShade="BF"/>
            <w:vAlign w:val="center"/>
          </w:tcPr>
          <w:p w:rsidR="00492715" w:rsidRPr="0036089D" w:rsidRDefault="00492715" w:rsidP="003334A1">
            <w:pPr>
              <w:jc w:val="right"/>
              <w:rPr>
                <w:rFonts w:cs="Arial"/>
                <w:sz w:val="20"/>
                <w:szCs w:val="20"/>
              </w:rPr>
            </w:pPr>
          </w:p>
        </w:tc>
        <w:tc>
          <w:tcPr>
            <w:tcW w:w="1276" w:type="dxa"/>
            <w:tcBorders>
              <w:bottom w:val="single" w:sz="4" w:space="0" w:color="auto"/>
            </w:tcBorders>
            <w:shd w:val="clear" w:color="auto" w:fill="BFBFBF" w:themeFill="background1" w:themeFillShade="BF"/>
            <w:vAlign w:val="center"/>
          </w:tcPr>
          <w:p w:rsidR="00492715" w:rsidRPr="0036089D" w:rsidRDefault="00492715" w:rsidP="003334A1">
            <w:pPr>
              <w:jc w:val="right"/>
              <w:rPr>
                <w:rFonts w:cs="Arial"/>
                <w:sz w:val="20"/>
                <w:szCs w:val="20"/>
              </w:rPr>
            </w:pPr>
          </w:p>
        </w:tc>
        <w:tc>
          <w:tcPr>
            <w:tcW w:w="1276" w:type="dxa"/>
            <w:tcBorders>
              <w:bottom w:val="single" w:sz="4" w:space="0" w:color="auto"/>
            </w:tcBorders>
            <w:shd w:val="clear" w:color="auto" w:fill="BFBFBF" w:themeFill="background1" w:themeFillShade="BF"/>
            <w:vAlign w:val="center"/>
          </w:tcPr>
          <w:p w:rsidR="00492715" w:rsidRPr="0036089D" w:rsidRDefault="00492715" w:rsidP="003334A1">
            <w:pPr>
              <w:jc w:val="right"/>
              <w:rPr>
                <w:rFonts w:cs="Arial"/>
                <w:sz w:val="20"/>
                <w:szCs w:val="20"/>
              </w:rPr>
            </w:pPr>
          </w:p>
        </w:tc>
        <w:tc>
          <w:tcPr>
            <w:tcW w:w="1134" w:type="dxa"/>
            <w:tcBorders>
              <w:bottom w:val="single" w:sz="4" w:space="0" w:color="auto"/>
            </w:tcBorders>
            <w:shd w:val="clear" w:color="auto" w:fill="BFBFBF" w:themeFill="background1" w:themeFillShade="BF"/>
            <w:vAlign w:val="center"/>
          </w:tcPr>
          <w:p w:rsidR="00492715" w:rsidRPr="0036089D" w:rsidRDefault="00492715" w:rsidP="003334A1">
            <w:pPr>
              <w:jc w:val="right"/>
              <w:rPr>
                <w:rFonts w:cs="Arial"/>
                <w:sz w:val="20"/>
                <w:szCs w:val="20"/>
              </w:rPr>
            </w:pPr>
          </w:p>
        </w:tc>
        <w:tc>
          <w:tcPr>
            <w:tcW w:w="1417" w:type="dxa"/>
            <w:tcBorders>
              <w:bottom w:val="single" w:sz="4" w:space="0" w:color="auto"/>
            </w:tcBorders>
            <w:shd w:val="clear" w:color="auto" w:fill="BFBFBF" w:themeFill="background1" w:themeFillShade="BF"/>
            <w:vAlign w:val="center"/>
          </w:tcPr>
          <w:p w:rsidR="00492715" w:rsidRPr="0036089D" w:rsidRDefault="00492715" w:rsidP="003334A1">
            <w:pPr>
              <w:jc w:val="right"/>
              <w:rPr>
                <w:rFonts w:cs="Arial"/>
                <w:sz w:val="20"/>
                <w:szCs w:val="20"/>
              </w:rPr>
            </w:pPr>
          </w:p>
        </w:tc>
      </w:tr>
      <w:tr w:rsidR="00CB108A" w:rsidRPr="0036089D" w:rsidTr="00001653">
        <w:trPr>
          <w:cnfStyle w:val="000000100000" w:firstRow="0" w:lastRow="0" w:firstColumn="0" w:lastColumn="0" w:oddVBand="0" w:evenVBand="0" w:oddHBand="1" w:evenHBand="0" w:firstRowFirstColumn="0" w:firstRowLastColumn="0" w:lastRowFirstColumn="0" w:lastRowLastColumn="0"/>
        </w:trPr>
        <w:tc>
          <w:tcPr>
            <w:tcW w:w="1078" w:type="dxa"/>
            <w:shd w:val="clear" w:color="auto" w:fill="C6D9F1" w:themeFill="text2" w:themeFillTint="33"/>
            <w:vAlign w:val="center"/>
          </w:tcPr>
          <w:p w:rsidR="00CB108A" w:rsidRPr="0036089D" w:rsidRDefault="00CB108A" w:rsidP="003334A1">
            <w:pPr>
              <w:jc w:val="right"/>
              <w:rPr>
                <w:rFonts w:cs="Arial"/>
                <w:b/>
                <w:color w:val="000000"/>
                <w:sz w:val="20"/>
                <w:szCs w:val="20"/>
              </w:rPr>
            </w:pPr>
            <w:r w:rsidRPr="0036089D">
              <w:rPr>
                <w:rFonts w:cs="Arial"/>
                <w:b/>
                <w:color w:val="000000"/>
                <w:sz w:val="20"/>
                <w:szCs w:val="20"/>
              </w:rPr>
              <w:t>2010–11</w:t>
            </w:r>
          </w:p>
        </w:tc>
        <w:tc>
          <w:tcPr>
            <w:tcW w:w="1275"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41,152,643</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159,165.4</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38,197,909</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92.82%</w:t>
            </w:r>
          </w:p>
        </w:tc>
        <w:tc>
          <w:tcPr>
            <w:tcW w:w="1275" w:type="dxa"/>
          </w:tcPr>
          <w:p w:rsidR="00CB108A" w:rsidRPr="0036089D" w:rsidRDefault="00CB108A" w:rsidP="00CB108A">
            <w:pPr>
              <w:jc w:val="right"/>
              <w:rPr>
                <w:rFonts w:cs="Arial"/>
                <w:color w:val="000000"/>
                <w:sz w:val="20"/>
                <w:szCs w:val="20"/>
              </w:rPr>
            </w:pPr>
            <w:r w:rsidRPr="0036089D">
              <w:rPr>
                <w:rFonts w:cs="Arial"/>
                <w:color w:val="000000"/>
                <w:sz w:val="20"/>
                <w:szCs w:val="20"/>
              </w:rPr>
              <w:t>152,390.4</w:t>
            </w:r>
          </w:p>
        </w:tc>
        <w:tc>
          <w:tcPr>
            <w:tcW w:w="1276" w:type="dxa"/>
          </w:tcPr>
          <w:p w:rsidR="00CB108A" w:rsidRPr="0036089D" w:rsidRDefault="00CB108A" w:rsidP="00CB108A">
            <w:pPr>
              <w:jc w:val="right"/>
              <w:rPr>
                <w:rFonts w:cs="Arial"/>
                <w:color w:val="000000"/>
                <w:sz w:val="20"/>
                <w:szCs w:val="20"/>
              </w:rPr>
            </w:pPr>
            <w:r w:rsidRPr="0036089D">
              <w:rPr>
                <w:rFonts w:cs="Arial"/>
                <w:color w:val="000000"/>
                <w:sz w:val="20"/>
                <w:szCs w:val="20"/>
              </w:rPr>
              <w:t>95.74%</w:t>
            </w:r>
          </w:p>
        </w:tc>
        <w:tc>
          <w:tcPr>
            <w:tcW w:w="1134" w:type="dxa"/>
            <w:tcBorders>
              <w:bottom w:val="single" w:sz="4" w:space="0" w:color="auto"/>
            </w:tcBorders>
            <w:shd w:val="clear" w:color="auto" w:fill="BFBFBF" w:themeFill="background1" w:themeFillShade="BF"/>
            <w:vAlign w:val="center"/>
          </w:tcPr>
          <w:p w:rsidR="00CB108A" w:rsidRPr="0036089D" w:rsidRDefault="00CB108A" w:rsidP="003334A1">
            <w:pPr>
              <w:jc w:val="right"/>
              <w:rPr>
                <w:rFonts w:cs="Arial"/>
                <w:sz w:val="20"/>
                <w:szCs w:val="20"/>
              </w:rPr>
            </w:pPr>
          </w:p>
        </w:tc>
        <w:tc>
          <w:tcPr>
            <w:tcW w:w="1276" w:type="dxa"/>
            <w:tcBorders>
              <w:bottom w:val="single" w:sz="4" w:space="0" w:color="auto"/>
            </w:tcBorders>
            <w:shd w:val="clear" w:color="auto" w:fill="BFBFBF" w:themeFill="background1" w:themeFillShade="BF"/>
            <w:vAlign w:val="center"/>
          </w:tcPr>
          <w:p w:rsidR="00CB108A" w:rsidRPr="0036089D" w:rsidRDefault="00CB108A" w:rsidP="003334A1">
            <w:pPr>
              <w:jc w:val="right"/>
              <w:rPr>
                <w:rFonts w:cs="Arial"/>
                <w:sz w:val="20"/>
                <w:szCs w:val="20"/>
              </w:rPr>
            </w:pPr>
          </w:p>
        </w:tc>
        <w:tc>
          <w:tcPr>
            <w:tcW w:w="1276" w:type="dxa"/>
            <w:tcBorders>
              <w:bottom w:val="single" w:sz="4" w:space="0" w:color="auto"/>
            </w:tcBorders>
            <w:shd w:val="clear" w:color="auto" w:fill="BFBFBF" w:themeFill="background1" w:themeFillShade="BF"/>
            <w:vAlign w:val="center"/>
          </w:tcPr>
          <w:p w:rsidR="00CB108A" w:rsidRPr="0036089D" w:rsidRDefault="00CB108A" w:rsidP="003334A1">
            <w:pPr>
              <w:jc w:val="right"/>
              <w:rPr>
                <w:rFonts w:cs="Arial"/>
                <w:sz w:val="20"/>
                <w:szCs w:val="20"/>
              </w:rPr>
            </w:pPr>
          </w:p>
        </w:tc>
        <w:tc>
          <w:tcPr>
            <w:tcW w:w="1134" w:type="dxa"/>
            <w:shd w:val="clear" w:color="auto" w:fill="BFBFBF" w:themeFill="background1" w:themeFillShade="BF"/>
            <w:vAlign w:val="center"/>
          </w:tcPr>
          <w:p w:rsidR="00CB108A" w:rsidRPr="0036089D" w:rsidRDefault="00CB108A" w:rsidP="003334A1">
            <w:pPr>
              <w:jc w:val="right"/>
              <w:rPr>
                <w:rFonts w:cs="Arial"/>
                <w:sz w:val="20"/>
                <w:szCs w:val="20"/>
              </w:rPr>
            </w:pPr>
          </w:p>
        </w:tc>
        <w:tc>
          <w:tcPr>
            <w:tcW w:w="1417" w:type="dxa"/>
            <w:shd w:val="clear" w:color="auto" w:fill="BFBFBF" w:themeFill="background1" w:themeFillShade="BF"/>
            <w:vAlign w:val="center"/>
          </w:tcPr>
          <w:p w:rsidR="00CB108A" w:rsidRPr="0036089D" w:rsidRDefault="00CB108A" w:rsidP="003334A1">
            <w:pPr>
              <w:jc w:val="right"/>
              <w:rPr>
                <w:rFonts w:cs="Arial"/>
                <w:sz w:val="20"/>
                <w:szCs w:val="20"/>
              </w:rPr>
            </w:pPr>
          </w:p>
        </w:tc>
      </w:tr>
      <w:tr w:rsidR="00CB108A" w:rsidRPr="0036089D" w:rsidTr="00001653">
        <w:trPr>
          <w:cnfStyle w:val="000000010000" w:firstRow="0" w:lastRow="0" w:firstColumn="0" w:lastColumn="0" w:oddVBand="0" w:evenVBand="0" w:oddHBand="0" w:evenHBand="1" w:firstRowFirstColumn="0" w:firstRowLastColumn="0" w:lastRowFirstColumn="0" w:lastRowLastColumn="0"/>
        </w:trPr>
        <w:tc>
          <w:tcPr>
            <w:tcW w:w="1078" w:type="dxa"/>
            <w:shd w:val="clear" w:color="auto" w:fill="C6D9F1" w:themeFill="text2" w:themeFillTint="33"/>
            <w:vAlign w:val="center"/>
          </w:tcPr>
          <w:p w:rsidR="00CB108A" w:rsidRPr="0036089D" w:rsidRDefault="00CB108A" w:rsidP="003334A1">
            <w:pPr>
              <w:jc w:val="right"/>
              <w:rPr>
                <w:rFonts w:cs="Arial"/>
                <w:b/>
                <w:color w:val="000000"/>
                <w:sz w:val="20"/>
                <w:szCs w:val="20"/>
              </w:rPr>
            </w:pPr>
            <w:r w:rsidRPr="0036089D">
              <w:rPr>
                <w:rFonts w:cs="Arial"/>
                <w:b/>
                <w:color w:val="000000"/>
                <w:sz w:val="20"/>
                <w:szCs w:val="20"/>
              </w:rPr>
              <w:t>2011–12</w:t>
            </w:r>
          </w:p>
        </w:tc>
        <w:tc>
          <w:tcPr>
            <w:tcW w:w="1275"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40,529,607</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143,324.1</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37,612,652</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92.80%</w:t>
            </w:r>
          </w:p>
        </w:tc>
        <w:tc>
          <w:tcPr>
            <w:tcW w:w="1275" w:type="dxa"/>
          </w:tcPr>
          <w:p w:rsidR="00CB108A" w:rsidRPr="0036089D" w:rsidRDefault="00CB108A" w:rsidP="00CB108A">
            <w:pPr>
              <w:jc w:val="right"/>
              <w:rPr>
                <w:rFonts w:cs="Arial"/>
                <w:color w:val="000000"/>
                <w:sz w:val="20"/>
                <w:szCs w:val="20"/>
              </w:rPr>
            </w:pPr>
            <w:r w:rsidRPr="0036089D">
              <w:rPr>
                <w:rFonts w:cs="Arial"/>
                <w:color w:val="000000"/>
                <w:sz w:val="20"/>
                <w:szCs w:val="20"/>
              </w:rPr>
              <w:t>136,607.7</w:t>
            </w:r>
          </w:p>
        </w:tc>
        <w:tc>
          <w:tcPr>
            <w:tcW w:w="1276" w:type="dxa"/>
          </w:tcPr>
          <w:p w:rsidR="00CB108A" w:rsidRPr="0036089D" w:rsidRDefault="00CB108A" w:rsidP="00CB108A">
            <w:pPr>
              <w:jc w:val="right"/>
              <w:rPr>
                <w:rFonts w:cs="Arial"/>
                <w:color w:val="000000"/>
                <w:sz w:val="20"/>
                <w:szCs w:val="20"/>
              </w:rPr>
            </w:pPr>
            <w:r w:rsidRPr="0036089D">
              <w:rPr>
                <w:rFonts w:cs="Arial"/>
                <w:color w:val="000000"/>
                <w:sz w:val="20"/>
                <w:szCs w:val="20"/>
              </w:rPr>
              <w:t>95.31%</w:t>
            </w:r>
          </w:p>
        </w:tc>
        <w:tc>
          <w:tcPr>
            <w:tcW w:w="1134" w:type="dxa"/>
            <w:shd w:val="clear" w:color="auto" w:fill="BFBFBF" w:themeFill="background1" w:themeFillShade="BF"/>
            <w:vAlign w:val="center"/>
          </w:tcPr>
          <w:p w:rsidR="00CB108A" w:rsidRPr="0036089D" w:rsidRDefault="00CB108A" w:rsidP="003334A1">
            <w:pPr>
              <w:jc w:val="right"/>
              <w:rPr>
                <w:rFonts w:cs="Arial"/>
                <w:sz w:val="20"/>
                <w:szCs w:val="20"/>
              </w:rPr>
            </w:pPr>
          </w:p>
        </w:tc>
        <w:tc>
          <w:tcPr>
            <w:tcW w:w="1276" w:type="dxa"/>
            <w:shd w:val="clear" w:color="auto" w:fill="BFBFBF" w:themeFill="background1" w:themeFillShade="BF"/>
            <w:vAlign w:val="center"/>
          </w:tcPr>
          <w:p w:rsidR="00CB108A" w:rsidRPr="0036089D" w:rsidRDefault="00CB108A" w:rsidP="003334A1">
            <w:pPr>
              <w:jc w:val="right"/>
              <w:rPr>
                <w:rFonts w:cs="Arial"/>
                <w:color w:val="000000"/>
                <w:sz w:val="20"/>
                <w:szCs w:val="20"/>
              </w:rPr>
            </w:pPr>
          </w:p>
        </w:tc>
        <w:tc>
          <w:tcPr>
            <w:tcW w:w="1276" w:type="dxa"/>
            <w:shd w:val="clear" w:color="auto" w:fill="BFBFBF" w:themeFill="background1" w:themeFillShade="BF"/>
            <w:vAlign w:val="center"/>
          </w:tcPr>
          <w:p w:rsidR="00CB108A" w:rsidRPr="0036089D" w:rsidRDefault="00CB108A" w:rsidP="003334A1">
            <w:pPr>
              <w:jc w:val="right"/>
              <w:rPr>
                <w:rFonts w:cs="Arial"/>
                <w:color w:val="000000"/>
                <w:sz w:val="20"/>
                <w:szCs w:val="20"/>
              </w:rPr>
            </w:pPr>
          </w:p>
        </w:tc>
        <w:tc>
          <w:tcPr>
            <w:tcW w:w="1134"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168</w:t>
            </w:r>
          </w:p>
        </w:tc>
        <w:tc>
          <w:tcPr>
            <w:tcW w:w="1417"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100.0%</w:t>
            </w:r>
          </w:p>
        </w:tc>
      </w:tr>
      <w:tr w:rsidR="00CB108A" w:rsidRPr="0036089D" w:rsidTr="00001653">
        <w:trPr>
          <w:cnfStyle w:val="000000100000" w:firstRow="0" w:lastRow="0" w:firstColumn="0" w:lastColumn="0" w:oddVBand="0" w:evenVBand="0" w:oddHBand="1" w:evenHBand="0" w:firstRowFirstColumn="0" w:firstRowLastColumn="0" w:lastRowFirstColumn="0" w:lastRowLastColumn="0"/>
        </w:trPr>
        <w:tc>
          <w:tcPr>
            <w:tcW w:w="1078" w:type="dxa"/>
            <w:shd w:val="clear" w:color="auto" w:fill="C6D9F1" w:themeFill="text2" w:themeFillTint="33"/>
            <w:vAlign w:val="center"/>
          </w:tcPr>
          <w:p w:rsidR="00CB108A" w:rsidRPr="0036089D" w:rsidRDefault="00CB108A" w:rsidP="003334A1">
            <w:pPr>
              <w:jc w:val="right"/>
              <w:rPr>
                <w:rFonts w:cs="Arial"/>
                <w:b/>
                <w:color w:val="000000"/>
                <w:sz w:val="20"/>
                <w:szCs w:val="20"/>
              </w:rPr>
            </w:pPr>
            <w:r w:rsidRPr="0036089D">
              <w:rPr>
                <w:rFonts w:cs="Arial"/>
                <w:b/>
                <w:color w:val="000000"/>
                <w:sz w:val="20"/>
                <w:szCs w:val="20"/>
              </w:rPr>
              <w:t>2012–13</w:t>
            </w:r>
          </w:p>
        </w:tc>
        <w:tc>
          <w:tcPr>
            <w:tcW w:w="1275"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38,222,952</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136,200.5</w:t>
            </w:r>
          </w:p>
        </w:tc>
        <w:tc>
          <w:tcPr>
            <w:tcW w:w="1276" w:type="dxa"/>
            <w:vAlign w:val="center"/>
          </w:tcPr>
          <w:p w:rsidR="00CB108A" w:rsidRPr="0036089D" w:rsidRDefault="00CB108A" w:rsidP="002654D4">
            <w:pPr>
              <w:jc w:val="right"/>
              <w:rPr>
                <w:rFonts w:cs="Arial"/>
                <w:color w:val="000000"/>
                <w:sz w:val="20"/>
                <w:szCs w:val="20"/>
              </w:rPr>
            </w:pPr>
            <w:r w:rsidRPr="0036089D">
              <w:rPr>
                <w:rFonts w:cs="Arial"/>
                <w:color w:val="000000"/>
                <w:sz w:val="20"/>
                <w:szCs w:val="20"/>
              </w:rPr>
              <w:t>34,</w:t>
            </w:r>
            <w:r w:rsidR="002654D4" w:rsidRPr="0036089D">
              <w:rPr>
                <w:rFonts w:cs="Arial"/>
                <w:color w:val="000000"/>
                <w:sz w:val="20"/>
                <w:szCs w:val="20"/>
              </w:rPr>
              <w:t>718</w:t>
            </w:r>
            <w:r w:rsidRPr="0036089D">
              <w:rPr>
                <w:rFonts w:cs="Arial"/>
                <w:color w:val="000000"/>
                <w:sz w:val="20"/>
                <w:szCs w:val="20"/>
              </w:rPr>
              <w:t>,</w:t>
            </w:r>
            <w:r w:rsidR="002654D4" w:rsidRPr="0036089D">
              <w:rPr>
                <w:rFonts w:cs="Arial"/>
                <w:color w:val="000000"/>
                <w:sz w:val="20"/>
                <w:szCs w:val="20"/>
              </w:rPr>
              <w:t>616</w:t>
            </w:r>
          </w:p>
        </w:tc>
        <w:tc>
          <w:tcPr>
            <w:tcW w:w="1276" w:type="dxa"/>
            <w:vAlign w:val="center"/>
          </w:tcPr>
          <w:p w:rsidR="00CB108A" w:rsidRPr="0036089D" w:rsidRDefault="006C1BEA" w:rsidP="003334A1">
            <w:pPr>
              <w:jc w:val="right"/>
              <w:rPr>
                <w:rFonts w:cs="Arial"/>
                <w:color w:val="000000"/>
                <w:sz w:val="20"/>
                <w:szCs w:val="20"/>
              </w:rPr>
            </w:pPr>
            <w:r w:rsidRPr="0036089D">
              <w:rPr>
                <w:rFonts w:cs="Arial"/>
                <w:color w:val="000000"/>
                <w:sz w:val="20"/>
                <w:szCs w:val="20"/>
              </w:rPr>
              <w:t>90.83</w:t>
            </w:r>
            <w:r w:rsidR="00CB108A" w:rsidRPr="0036089D">
              <w:rPr>
                <w:rFonts w:cs="Arial"/>
                <w:color w:val="000000"/>
                <w:sz w:val="20"/>
                <w:szCs w:val="20"/>
              </w:rPr>
              <w:t>%</w:t>
            </w:r>
          </w:p>
        </w:tc>
        <w:tc>
          <w:tcPr>
            <w:tcW w:w="1275" w:type="dxa"/>
          </w:tcPr>
          <w:p w:rsidR="00CB108A" w:rsidRPr="0036089D" w:rsidRDefault="00CB108A" w:rsidP="00CB108A">
            <w:pPr>
              <w:jc w:val="right"/>
              <w:rPr>
                <w:rFonts w:cs="Arial"/>
                <w:color w:val="000000"/>
                <w:sz w:val="20"/>
                <w:szCs w:val="20"/>
              </w:rPr>
            </w:pPr>
            <w:r w:rsidRPr="0036089D">
              <w:rPr>
                <w:rFonts w:cs="Arial"/>
                <w:color w:val="000000"/>
                <w:sz w:val="20"/>
                <w:szCs w:val="20"/>
              </w:rPr>
              <w:t>124,196.8</w:t>
            </w:r>
          </w:p>
        </w:tc>
        <w:tc>
          <w:tcPr>
            <w:tcW w:w="1276" w:type="dxa"/>
          </w:tcPr>
          <w:p w:rsidR="00CB108A" w:rsidRPr="0036089D" w:rsidRDefault="00CB108A" w:rsidP="00CB108A">
            <w:pPr>
              <w:jc w:val="right"/>
              <w:rPr>
                <w:rFonts w:cs="Arial"/>
                <w:color w:val="000000"/>
                <w:sz w:val="20"/>
                <w:szCs w:val="20"/>
              </w:rPr>
            </w:pPr>
            <w:r w:rsidRPr="0036089D">
              <w:rPr>
                <w:rFonts w:cs="Arial"/>
                <w:color w:val="000000"/>
                <w:sz w:val="20"/>
                <w:szCs w:val="20"/>
              </w:rPr>
              <w:t>91.18%</w:t>
            </w:r>
          </w:p>
        </w:tc>
        <w:tc>
          <w:tcPr>
            <w:tcW w:w="1134"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137,755.7</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30%</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41,326.7</w:t>
            </w:r>
          </w:p>
        </w:tc>
        <w:tc>
          <w:tcPr>
            <w:tcW w:w="1134"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131</w:t>
            </w:r>
          </w:p>
        </w:tc>
        <w:tc>
          <w:tcPr>
            <w:tcW w:w="1417"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100.0%</w:t>
            </w:r>
          </w:p>
        </w:tc>
      </w:tr>
      <w:tr w:rsidR="00CB108A" w:rsidRPr="0036089D" w:rsidTr="00001653">
        <w:trPr>
          <w:cnfStyle w:val="000000010000" w:firstRow="0" w:lastRow="0" w:firstColumn="0" w:lastColumn="0" w:oddVBand="0" w:evenVBand="0" w:oddHBand="0" w:evenHBand="1" w:firstRowFirstColumn="0" w:firstRowLastColumn="0" w:lastRowFirstColumn="0" w:lastRowLastColumn="0"/>
        </w:trPr>
        <w:tc>
          <w:tcPr>
            <w:tcW w:w="1078" w:type="dxa"/>
            <w:shd w:val="clear" w:color="auto" w:fill="C6D9F1" w:themeFill="text2" w:themeFillTint="33"/>
            <w:vAlign w:val="center"/>
          </w:tcPr>
          <w:p w:rsidR="00CB108A" w:rsidRPr="0036089D" w:rsidRDefault="00CB108A" w:rsidP="003334A1">
            <w:pPr>
              <w:jc w:val="right"/>
              <w:rPr>
                <w:rFonts w:cs="Arial"/>
                <w:b/>
                <w:color w:val="000000"/>
                <w:sz w:val="20"/>
                <w:szCs w:val="20"/>
              </w:rPr>
            </w:pPr>
            <w:r w:rsidRPr="0036089D">
              <w:rPr>
                <w:rFonts w:cs="Arial"/>
                <w:b/>
                <w:color w:val="000000"/>
                <w:sz w:val="20"/>
                <w:szCs w:val="20"/>
              </w:rPr>
              <w:t>2013–14</w:t>
            </w:r>
          </w:p>
        </w:tc>
        <w:tc>
          <w:tcPr>
            <w:tcW w:w="1275"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34,353,813</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126,705.2</w:t>
            </w:r>
          </w:p>
        </w:tc>
        <w:tc>
          <w:tcPr>
            <w:tcW w:w="1276" w:type="dxa"/>
            <w:vAlign w:val="center"/>
          </w:tcPr>
          <w:p w:rsidR="00CB108A" w:rsidRPr="0036089D" w:rsidRDefault="00CB108A" w:rsidP="002654D4">
            <w:pPr>
              <w:jc w:val="right"/>
              <w:rPr>
                <w:rFonts w:cs="Arial"/>
                <w:color w:val="000000"/>
                <w:sz w:val="20"/>
                <w:szCs w:val="20"/>
              </w:rPr>
            </w:pPr>
            <w:r w:rsidRPr="0036089D">
              <w:rPr>
                <w:rFonts w:cs="Arial"/>
                <w:color w:val="000000"/>
                <w:sz w:val="20"/>
                <w:szCs w:val="20"/>
              </w:rPr>
              <w:t>31,</w:t>
            </w:r>
            <w:r w:rsidR="002654D4" w:rsidRPr="0036089D">
              <w:rPr>
                <w:rFonts w:cs="Arial"/>
                <w:color w:val="000000"/>
                <w:sz w:val="20"/>
                <w:szCs w:val="20"/>
              </w:rPr>
              <w:t>540</w:t>
            </w:r>
            <w:r w:rsidRPr="0036089D">
              <w:rPr>
                <w:rFonts w:cs="Arial"/>
                <w:color w:val="000000"/>
                <w:sz w:val="20"/>
                <w:szCs w:val="20"/>
              </w:rPr>
              <w:t>,</w:t>
            </w:r>
            <w:r w:rsidR="002654D4" w:rsidRPr="0036089D">
              <w:rPr>
                <w:rFonts w:cs="Arial"/>
                <w:color w:val="000000"/>
                <w:sz w:val="20"/>
                <w:szCs w:val="20"/>
              </w:rPr>
              <w:t>256</w:t>
            </w:r>
          </w:p>
        </w:tc>
        <w:tc>
          <w:tcPr>
            <w:tcW w:w="1276" w:type="dxa"/>
            <w:vAlign w:val="center"/>
          </w:tcPr>
          <w:p w:rsidR="00CB108A" w:rsidRPr="0036089D" w:rsidRDefault="006C1BEA" w:rsidP="003334A1">
            <w:pPr>
              <w:jc w:val="right"/>
              <w:rPr>
                <w:rFonts w:cs="Arial"/>
                <w:color w:val="000000"/>
                <w:sz w:val="20"/>
                <w:szCs w:val="20"/>
              </w:rPr>
            </w:pPr>
            <w:r w:rsidRPr="0036089D">
              <w:rPr>
                <w:rFonts w:cs="Arial"/>
                <w:color w:val="000000"/>
                <w:sz w:val="20"/>
                <w:szCs w:val="20"/>
              </w:rPr>
              <w:t>91.81</w:t>
            </w:r>
            <w:r w:rsidR="00CB108A" w:rsidRPr="0036089D">
              <w:rPr>
                <w:rFonts w:cs="Arial"/>
                <w:color w:val="000000"/>
                <w:sz w:val="20"/>
                <w:szCs w:val="20"/>
              </w:rPr>
              <w:t>%</w:t>
            </w:r>
          </w:p>
        </w:tc>
        <w:tc>
          <w:tcPr>
            <w:tcW w:w="1275" w:type="dxa"/>
          </w:tcPr>
          <w:p w:rsidR="00CB108A" w:rsidRPr="0036089D" w:rsidRDefault="00CB108A" w:rsidP="00195F38">
            <w:pPr>
              <w:jc w:val="right"/>
              <w:rPr>
                <w:rFonts w:cs="Arial"/>
                <w:color w:val="000000"/>
                <w:sz w:val="20"/>
                <w:szCs w:val="20"/>
              </w:rPr>
            </w:pPr>
            <w:r w:rsidRPr="0036089D">
              <w:rPr>
                <w:rFonts w:cs="Arial"/>
                <w:color w:val="000000"/>
                <w:sz w:val="20"/>
                <w:szCs w:val="20"/>
              </w:rPr>
              <w:t>118,</w:t>
            </w:r>
            <w:r w:rsidR="00195F38" w:rsidRPr="0036089D">
              <w:rPr>
                <w:rFonts w:cs="Arial"/>
                <w:color w:val="000000"/>
                <w:sz w:val="20"/>
                <w:szCs w:val="20"/>
              </w:rPr>
              <w:t>785</w:t>
            </w:r>
            <w:r w:rsidRPr="0036089D">
              <w:rPr>
                <w:rFonts w:cs="Arial"/>
                <w:color w:val="000000"/>
                <w:sz w:val="20"/>
                <w:szCs w:val="20"/>
              </w:rPr>
              <w:t>.</w:t>
            </w:r>
            <w:r w:rsidR="00195F38" w:rsidRPr="0036089D">
              <w:rPr>
                <w:rFonts w:cs="Arial"/>
                <w:color w:val="000000"/>
                <w:sz w:val="20"/>
                <w:szCs w:val="20"/>
              </w:rPr>
              <w:t>9</w:t>
            </w:r>
          </w:p>
        </w:tc>
        <w:tc>
          <w:tcPr>
            <w:tcW w:w="1276" w:type="dxa"/>
          </w:tcPr>
          <w:p w:rsidR="00CB108A" w:rsidRPr="0036089D" w:rsidRDefault="00CB108A" w:rsidP="00CB108A">
            <w:pPr>
              <w:jc w:val="right"/>
              <w:rPr>
                <w:rFonts w:cs="Arial"/>
                <w:color w:val="000000"/>
                <w:sz w:val="20"/>
                <w:szCs w:val="20"/>
              </w:rPr>
            </w:pPr>
            <w:r w:rsidRPr="0036089D">
              <w:rPr>
                <w:rFonts w:cs="Arial"/>
                <w:color w:val="000000"/>
                <w:sz w:val="20"/>
                <w:szCs w:val="20"/>
              </w:rPr>
              <w:t>93.59%</w:t>
            </w:r>
          </w:p>
        </w:tc>
        <w:tc>
          <w:tcPr>
            <w:tcW w:w="1134"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131,607.0</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33%</w:t>
            </w:r>
          </w:p>
        </w:tc>
        <w:tc>
          <w:tcPr>
            <w:tcW w:w="1276"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43,430.3</w:t>
            </w:r>
          </w:p>
        </w:tc>
        <w:tc>
          <w:tcPr>
            <w:tcW w:w="1134"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141</w:t>
            </w:r>
          </w:p>
        </w:tc>
        <w:tc>
          <w:tcPr>
            <w:tcW w:w="1417" w:type="dxa"/>
            <w:vAlign w:val="center"/>
          </w:tcPr>
          <w:p w:rsidR="00CB108A" w:rsidRPr="0036089D" w:rsidRDefault="00CB108A" w:rsidP="003334A1">
            <w:pPr>
              <w:jc w:val="right"/>
              <w:rPr>
                <w:rFonts w:cs="Arial"/>
                <w:color w:val="000000"/>
                <w:sz w:val="20"/>
                <w:szCs w:val="20"/>
              </w:rPr>
            </w:pPr>
            <w:r w:rsidRPr="0036089D">
              <w:rPr>
                <w:rFonts w:cs="Arial"/>
                <w:color w:val="000000"/>
                <w:sz w:val="20"/>
                <w:szCs w:val="20"/>
              </w:rPr>
              <w:t>99.2%</w:t>
            </w:r>
          </w:p>
        </w:tc>
      </w:tr>
      <w:tr w:rsidR="000C64EC" w:rsidRPr="0036089D" w:rsidTr="000C64EC">
        <w:trPr>
          <w:cnfStyle w:val="000000100000" w:firstRow="0" w:lastRow="0" w:firstColumn="0" w:lastColumn="0" w:oddVBand="0" w:evenVBand="0" w:oddHBand="1" w:evenHBand="0" w:firstRowFirstColumn="0" w:firstRowLastColumn="0" w:lastRowFirstColumn="0" w:lastRowLastColumn="0"/>
        </w:trPr>
        <w:tc>
          <w:tcPr>
            <w:tcW w:w="1078" w:type="dxa"/>
            <w:shd w:val="clear" w:color="auto" w:fill="C6D9F1" w:themeFill="text2" w:themeFillTint="33"/>
            <w:vAlign w:val="center"/>
          </w:tcPr>
          <w:p w:rsidR="00492715" w:rsidRPr="0036089D" w:rsidRDefault="00492715" w:rsidP="003334A1">
            <w:pPr>
              <w:jc w:val="right"/>
              <w:rPr>
                <w:rFonts w:cs="Arial"/>
                <w:sz w:val="20"/>
                <w:szCs w:val="20"/>
              </w:rPr>
            </w:pPr>
            <w:r w:rsidRPr="0036089D">
              <w:rPr>
                <w:rFonts w:cs="Arial"/>
                <w:b/>
                <w:color w:val="000000"/>
                <w:sz w:val="20"/>
                <w:szCs w:val="20"/>
              </w:rPr>
              <w:t>2014–15</w:t>
            </w:r>
          </w:p>
        </w:tc>
        <w:tc>
          <w:tcPr>
            <w:tcW w:w="1275" w:type="dxa"/>
            <w:vAlign w:val="center"/>
          </w:tcPr>
          <w:p w:rsidR="00492715" w:rsidRPr="0036089D" w:rsidRDefault="00C36667" w:rsidP="003334A1">
            <w:pPr>
              <w:jc w:val="right"/>
              <w:rPr>
                <w:rFonts w:cs="Arial"/>
                <w:sz w:val="20"/>
                <w:szCs w:val="20"/>
              </w:rPr>
            </w:pPr>
            <w:r w:rsidRPr="0036089D">
              <w:rPr>
                <w:rFonts w:cs="Arial"/>
                <w:sz w:val="20"/>
                <w:szCs w:val="20"/>
              </w:rPr>
              <w:t>35,240,370</w:t>
            </w:r>
          </w:p>
        </w:tc>
        <w:tc>
          <w:tcPr>
            <w:tcW w:w="1276" w:type="dxa"/>
            <w:vAlign w:val="center"/>
          </w:tcPr>
          <w:p w:rsidR="00492715" w:rsidRPr="0036089D" w:rsidRDefault="00C36667" w:rsidP="00C36667">
            <w:pPr>
              <w:jc w:val="right"/>
              <w:rPr>
                <w:rFonts w:cs="Arial"/>
                <w:sz w:val="20"/>
                <w:szCs w:val="20"/>
              </w:rPr>
            </w:pPr>
            <w:r w:rsidRPr="0036089D">
              <w:rPr>
                <w:rFonts w:cs="Arial"/>
                <w:sz w:val="20"/>
                <w:szCs w:val="20"/>
              </w:rPr>
              <w:t>108</w:t>
            </w:r>
            <w:r w:rsidR="00320534" w:rsidRPr="0036089D">
              <w:rPr>
                <w:rFonts w:cs="Arial"/>
                <w:sz w:val="20"/>
                <w:szCs w:val="20"/>
              </w:rPr>
              <w:t>,</w:t>
            </w:r>
            <w:r w:rsidRPr="0036089D">
              <w:rPr>
                <w:rFonts w:cs="Arial"/>
                <w:sz w:val="20"/>
                <w:szCs w:val="20"/>
              </w:rPr>
              <w:t>275.3</w:t>
            </w:r>
          </w:p>
        </w:tc>
        <w:tc>
          <w:tcPr>
            <w:tcW w:w="1276" w:type="dxa"/>
            <w:vAlign w:val="center"/>
          </w:tcPr>
          <w:p w:rsidR="00492715" w:rsidRPr="0036089D" w:rsidRDefault="00195F38" w:rsidP="00195F38">
            <w:pPr>
              <w:jc w:val="right"/>
              <w:rPr>
                <w:rFonts w:cs="Arial"/>
                <w:sz w:val="20"/>
                <w:szCs w:val="20"/>
              </w:rPr>
            </w:pPr>
            <w:r w:rsidRPr="0036089D">
              <w:rPr>
                <w:rFonts w:cs="Arial"/>
                <w:sz w:val="20"/>
                <w:szCs w:val="20"/>
              </w:rPr>
              <w:t>30</w:t>
            </w:r>
            <w:r w:rsidR="00320534" w:rsidRPr="0036089D">
              <w:rPr>
                <w:rFonts w:cs="Arial"/>
                <w:sz w:val="20"/>
                <w:szCs w:val="20"/>
              </w:rPr>
              <w:t>,</w:t>
            </w:r>
            <w:r w:rsidRPr="0036089D">
              <w:rPr>
                <w:rFonts w:cs="Arial"/>
                <w:sz w:val="20"/>
                <w:szCs w:val="20"/>
              </w:rPr>
              <w:t>967</w:t>
            </w:r>
            <w:r w:rsidR="00320534" w:rsidRPr="0036089D">
              <w:rPr>
                <w:rFonts w:cs="Arial"/>
                <w:sz w:val="20"/>
                <w:szCs w:val="20"/>
              </w:rPr>
              <w:t>,</w:t>
            </w:r>
            <w:r w:rsidRPr="0036089D">
              <w:rPr>
                <w:rFonts w:cs="Arial"/>
                <w:sz w:val="20"/>
                <w:szCs w:val="20"/>
              </w:rPr>
              <w:t>835</w:t>
            </w:r>
          </w:p>
        </w:tc>
        <w:tc>
          <w:tcPr>
            <w:tcW w:w="1276" w:type="dxa"/>
            <w:vAlign w:val="center"/>
          </w:tcPr>
          <w:p w:rsidR="00492715" w:rsidRPr="0036089D" w:rsidRDefault="00A547C2" w:rsidP="00A547C2">
            <w:pPr>
              <w:jc w:val="right"/>
              <w:rPr>
                <w:rFonts w:cs="Arial"/>
                <w:sz w:val="20"/>
                <w:szCs w:val="20"/>
              </w:rPr>
            </w:pPr>
            <w:r w:rsidRPr="0036089D">
              <w:rPr>
                <w:rFonts w:cs="Arial"/>
                <w:sz w:val="20"/>
                <w:szCs w:val="20"/>
              </w:rPr>
              <w:t>87</w:t>
            </w:r>
            <w:r w:rsidR="00343016" w:rsidRPr="0036089D">
              <w:rPr>
                <w:rFonts w:cs="Arial"/>
                <w:sz w:val="20"/>
                <w:szCs w:val="20"/>
              </w:rPr>
              <w:t>.88</w:t>
            </w:r>
            <w:r w:rsidR="00320534" w:rsidRPr="0036089D">
              <w:rPr>
                <w:rFonts w:cs="Arial"/>
                <w:sz w:val="20"/>
                <w:szCs w:val="20"/>
              </w:rPr>
              <w:t>%</w:t>
            </w:r>
          </w:p>
        </w:tc>
        <w:tc>
          <w:tcPr>
            <w:tcW w:w="1275" w:type="dxa"/>
            <w:vAlign w:val="center"/>
          </w:tcPr>
          <w:p w:rsidR="00492715" w:rsidRPr="0036089D" w:rsidRDefault="00195F38" w:rsidP="003334A1">
            <w:pPr>
              <w:jc w:val="right"/>
              <w:rPr>
                <w:rFonts w:cs="Arial"/>
                <w:sz w:val="20"/>
                <w:szCs w:val="20"/>
              </w:rPr>
            </w:pPr>
            <w:r w:rsidRPr="0036089D">
              <w:rPr>
                <w:rFonts w:cs="Arial"/>
                <w:sz w:val="20"/>
                <w:szCs w:val="20"/>
              </w:rPr>
              <w:t>98,616.</w:t>
            </w:r>
            <w:r w:rsidR="00717374" w:rsidRPr="0036089D">
              <w:rPr>
                <w:rFonts w:cs="Arial"/>
                <w:sz w:val="20"/>
                <w:szCs w:val="20"/>
              </w:rPr>
              <w:t>9</w:t>
            </w:r>
          </w:p>
        </w:tc>
        <w:tc>
          <w:tcPr>
            <w:tcW w:w="1276" w:type="dxa"/>
            <w:vAlign w:val="center"/>
          </w:tcPr>
          <w:p w:rsidR="00492715" w:rsidRPr="0036089D" w:rsidRDefault="00195F38" w:rsidP="003334A1">
            <w:pPr>
              <w:jc w:val="right"/>
              <w:rPr>
                <w:rFonts w:cs="Arial"/>
                <w:sz w:val="20"/>
                <w:szCs w:val="20"/>
              </w:rPr>
            </w:pPr>
            <w:r w:rsidRPr="0036089D">
              <w:rPr>
                <w:rFonts w:cs="Arial"/>
                <w:sz w:val="20"/>
                <w:szCs w:val="20"/>
              </w:rPr>
              <w:t>91.1</w:t>
            </w:r>
            <w:r w:rsidR="00717374" w:rsidRPr="0036089D">
              <w:rPr>
                <w:rFonts w:cs="Arial"/>
                <w:sz w:val="20"/>
                <w:szCs w:val="20"/>
              </w:rPr>
              <w:t>0%</w:t>
            </w:r>
          </w:p>
        </w:tc>
        <w:tc>
          <w:tcPr>
            <w:tcW w:w="1134" w:type="dxa"/>
            <w:vAlign w:val="center"/>
          </w:tcPr>
          <w:p w:rsidR="00492715" w:rsidRPr="0036089D" w:rsidRDefault="00492715" w:rsidP="003334A1">
            <w:pPr>
              <w:jc w:val="right"/>
              <w:rPr>
                <w:rFonts w:cs="Arial"/>
                <w:color w:val="000000"/>
                <w:sz w:val="20"/>
                <w:szCs w:val="20"/>
              </w:rPr>
            </w:pPr>
            <w:r w:rsidRPr="0036089D">
              <w:rPr>
                <w:rFonts w:cs="Arial"/>
                <w:color w:val="000000"/>
                <w:sz w:val="20"/>
                <w:szCs w:val="20"/>
              </w:rPr>
              <w:t>121,868.9</w:t>
            </w:r>
          </w:p>
        </w:tc>
        <w:tc>
          <w:tcPr>
            <w:tcW w:w="1276" w:type="dxa"/>
            <w:vAlign w:val="center"/>
          </w:tcPr>
          <w:p w:rsidR="00492715" w:rsidRPr="0036089D" w:rsidRDefault="00492715" w:rsidP="003334A1">
            <w:pPr>
              <w:jc w:val="right"/>
              <w:rPr>
                <w:rFonts w:cs="Arial"/>
                <w:color w:val="000000"/>
                <w:sz w:val="20"/>
                <w:szCs w:val="20"/>
              </w:rPr>
            </w:pPr>
            <w:r w:rsidRPr="0036089D">
              <w:rPr>
                <w:rFonts w:cs="Arial"/>
                <w:color w:val="000000"/>
                <w:sz w:val="20"/>
                <w:szCs w:val="20"/>
              </w:rPr>
              <w:t>35%</w:t>
            </w:r>
          </w:p>
        </w:tc>
        <w:tc>
          <w:tcPr>
            <w:tcW w:w="1276" w:type="dxa"/>
            <w:vAlign w:val="center"/>
          </w:tcPr>
          <w:p w:rsidR="00492715" w:rsidRPr="0036089D" w:rsidRDefault="00492715" w:rsidP="00C36667">
            <w:pPr>
              <w:jc w:val="right"/>
              <w:rPr>
                <w:rFonts w:cs="Arial"/>
                <w:color w:val="000000"/>
                <w:sz w:val="20"/>
                <w:szCs w:val="20"/>
              </w:rPr>
            </w:pPr>
            <w:r w:rsidRPr="0036089D">
              <w:rPr>
                <w:rFonts w:cs="Arial"/>
                <w:color w:val="000000"/>
                <w:sz w:val="20"/>
                <w:szCs w:val="20"/>
              </w:rPr>
              <w:t>42,</w:t>
            </w:r>
            <w:r w:rsidR="00C36667" w:rsidRPr="0036089D">
              <w:rPr>
                <w:rFonts w:cs="Arial"/>
                <w:color w:val="000000"/>
                <w:sz w:val="20"/>
                <w:szCs w:val="20"/>
              </w:rPr>
              <w:t>653.2</w:t>
            </w:r>
          </w:p>
        </w:tc>
        <w:tc>
          <w:tcPr>
            <w:tcW w:w="1134" w:type="dxa"/>
            <w:vAlign w:val="center"/>
          </w:tcPr>
          <w:p w:rsidR="00492715" w:rsidRPr="0036089D" w:rsidRDefault="00492715" w:rsidP="00C36667">
            <w:pPr>
              <w:jc w:val="right"/>
              <w:rPr>
                <w:rFonts w:cs="Arial"/>
                <w:color w:val="000000"/>
                <w:sz w:val="20"/>
                <w:szCs w:val="20"/>
              </w:rPr>
            </w:pPr>
            <w:r w:rsidRPr="0036089D">
              <w:rPr>
                <w:rFonts w:cs="Arial"/>
                <w:color w:val="000000"/>
                <w:sz w:val="20"/>
                <w:szCs w:val="20"/>
              </w:rPr>
              <w:t>13</w:t>
            </w:r>
            <w:r w:rsidR="00C36667" w:rsidRPr="0036089D">
              <w:rPr>
                <w:rFonts w:cs="Arial"/>
                <w:color w:val="000000"/>
                <w:sz w:val="20"/>
                <w:szCs w:val="20"/>
              </w:rPr>
              <w:t>0</w:t>
            </w:r>
          </w:p>
        </w:tc>
        <w:tc>
          <w:tcPr>
            <w:tcW w:w="1417" w:type="dxa"/>
            <w:vAlign w:val="center"/>
          </w:tcPr>
          <w:p w:rsidR="00492715" w:rsidRPr="0036089D" w:rsidRDefault="00C36667" w:rsidP="003334A1">
            <w:pPr>
              <w:jc w:val="right"/>
              <w:rPr>
                <w:rFonts w:cs="Arial"/>
                <w:color w:val="000000"/>
                <w:sz w:val="20"/>
                <w:szCs w:val="20"/>
              </w:rPr>
            </w:pPr>
            <w:r w:rsidRPr="0036089D">
              <w:rPr>
                <w:rFonts w:cs="Arial"/>
                <w:color w:val="000000"/>
                <w:sz w:val="20"/>
                <w:szCs w:val="20"/>
              </w:rPr>
              <w:t>99.8</w:t>
            </w:r>
            <w:r w:rsidR="00492715" w:rsidRPr="0036089D">
              <w:rPr>
                <w:rFonts w:cs="Arial"/>
                <w:color w:val="000000"/>
                <w:sz w:val="20"/>
                <w:szCs w:val="20"/>
              </w:rPr>
              <w:t>%</w:t>
            </w:r>
          </w:p>
        </w:tc>
      </w:tr>
      <w:tr w:rsidR="00320534" w:rsidRPr="003E7008" w:rsidTr="000C64EC">
        <w:trPr>
          <w:cnfStyle w:val="000000010000" w:firstRow="0" w:lastRow="0" w:firstColumn="0" w:lastColumn="0" w:oddVBand="0" w:evenVBand="0" w:oddHBand="0" w:evenHBand="1" w:firstRowFirstColumn="0" w:firstRowLastColumn="0" w:lastRowFirstColumn="0" w:lastRowLastColumn="0"/>
        </w:trPr>
        <w:tc>
          <w:tcPr>
            <w:tcW w:w="1078" w:type="dxa"/>
            <w:shd w:val="clear" w:color="auto" w:fill="C6D9F1" w:themeFill="text2" w:themeFillTint="33"/>
            <w:vAlign w:val="center"/>
          </w:tcPr>
          <w:p w:rsidR="00320534" w:rsidRPr="0036089D" w:rsidRDefault="00320534" w:rsidP="003334A1">
            <w:pPr>
              <w:jc w:val="right"/>
              <w:rPr>
                <w:rFonts w:cs="Arial"/>
                <w:b/>
                <w:color w:val="000000"/>
                <w:sz w:val="20"/>
                <w:szCs w:val="20"/>
              </w:rPr>
            </w:pPr>
            <w:r w:rsidRPr="0036089D">
              <w:rPr>
                <w:rFonts w:cs="Arial"/>
                <w:b/>
                <w:color w:val="000000"/>
                <w:sz w:val="20"/>
                <w:szCs w:val="20"/>
              </w:rPr>
              <w:t>2015–16</w:t>
            </w:r>
          </w:p>
        </w:tc>
        <w:tc>
          <w:tcPr>
            <w:tcW w:w="1275" w:type="dxa"/>
            <w:vAlign w:val="center"/>
          </w:tcPr>
          <w:p w:rsidR="00320534" w:rsidRPr="0036089D" w:rsidRDefault="00320534" w:rsidP="003334A1">
            <w:pPr>
              <w:jc w:val="right"/>
              <w:rPr>
                <w:rFonts w:cs="Arial"/>
                <w:sz w:val="20"/>
                <w:szCs w:val="20"/>
              </w:rPr>
            </w:pPr>
            <w:r w:rsidRPr="0036089D">
              <w:rPr>
                <w:rFonts w:cs="Arial"/>
                <w:sz w:val="20"/>
                <w:szCs w:val="20"/>
              </w:rPr>
              <w:t>TBC</w:t>
            </w:r>
          </w:p>
        </w:tc>
        <w:tc>
          <w:tcPr>
            <w:tcW w:w="1276" w:type="dxa"/>
            <w:vAlign w:val="center"/>
          </w:tcPr>
          <w:p w:rsidR="00320534" w:rsidRPr="0036089D" w:rsidRDefault="00320534" w:rsidP="003334A1">
            <w:pPr>
              <w:jc w:val="right"/>
              <w:rPr>
                <w:rFonts w:cs="Arial"/>
                <w:sz w:val="20"/>
                <w:szCs w:val="20"/>
              </w:rPr>
            </w:pPr>
            <w:r w:rsidRPr="0036089D">
              <w:rPr>
                <w:rFonts w:cs="Arial"/>
                <w:sz w:val="20"/>
                <w:szCs w:val="20"/>
              </w:rPr>
              <w:t>TBC</w:t>
            </w:r>
          </w:p>
        </w:tc>
        <w:tc>
          <w:tcPr>
            <w:tcW w:w="1276" w:type="dxa"/>
            <w:vAlign w:val="center"/>
          </w:tcPr>
          <w:p w:rsidR="00320534" w:rsidRPr="0036089D" w:rsidRDefault="00320534" w:rsidP="003334A1">
            <w:pPr>
              <w:jc w:val="right"/>
              <w:rPr>
                <w:rFonts w:cs="Arial"/>
                <w:sz w:val="20"/>
                <w:szCs w:val="20"/>
              </w:rPr>
            </w:pPr>
            <w:r w:rsidRPr="0036089D">
              <w:rPr>
                <w:rFonts w:cs="Arial"/>
                <w:sz w:val="20"/>
                <w:szCs w:val="20"/>
              </w:rPr>
              <w:t>TBC</w:t>
            </w:r>
          </w:p>
        </w:tc>
        <w:tc>
          <w:tcPr>
            <w:tcW w:w="1276" w:type="dxa"/>
            <w:vAlign w:val="center"/>
          </w:tcPr>
          <w:p w:rsidR="00320534" w:rsidRPr="0036089D" w:rsidRDefault="00320534" w:rsidP="003334A1">
            <w:pPr>
              <w:jc w:val="right"/>
              <w:rPr>
                <w:rFonts w:cs="Arial"/>
                <w:sz w:val="20"/>
                <w:szCs w:val="20"/>
              </w:rPr>
            </w:pPr>
            <w:r w:rsidRPr="0036089D">
              <w:rPr>
                <w:rFonts w:cs="Arial"/>
                <w:sz w:val="20"/>
                <w:szCs w:val="20"/>
              </w:rPr>
              <w:t>TBC</w:t>
            </w:r>
          </w:p>
        </w:tc>
        <w:tc>
          <w:tcPr>
            <w:tcW w:w="1275" w:type="dxa"/>
            <w:vAlign w:val="center"/>
          </w:tcPr>
          <w:p w:rsidR="00320534" w:rsidRPr="0036089D" w:rsidRDefault="00320534" w:rsidP="003334A1">
            <w:pPr>
              <w:jc w:val="right"/>
              <w:rPr>
                <w:rFonts w:cs="Arial"/>
                <w:sz w:val="20"/>
                <w:szCs w:val="20"/>
              </w:rPr>
            </w:pPr>
            <w:r w:rsidRPr="0036089D">
              <w:rPr>
                <w:rFonts w:cs="Arial"/>
                <w:sz w:val="20"/>
                <w:szCs w:val="20"/>
              </w:rPr>
              <w:t>TBC</w:t>
            </w:r>
          </w:p>
        </w:tc>
        <w:tc>
          <w:tcPr>
            <w:tcW w:w="1276" w:type="dxa"/>
            <w:vAlign w:val="center"/>
          </w:tcPr>
          <w:p w:rsidR="00320534" w:rsidRPr="0036089D" w:rsidRDefault="00320534" w:rsidP="003334A1">
            <w:pPr>
              <w:jc w:val="right"/>
              <w:rPr>
                <w:rFonts w:cs="Arial"/>
                <w:sz w:val="20"/>
                <w:szCs w:val="20"/>
              </w:rPr>
            </w:pPr>
            <w:r w:rsidRPr="0036089D">
              <w:rPr>
                <w:rFonts w:cs="Arial"/>
                <w:sz w:val="20"/>
                <w:szCs w:val="20"/>
              </w:rPr>
              <w:t>TBC</w:t>
            </w:r>
          </w:p>
        </w:tc>
        <w:tc>
          <w:tcPr>
            <w:tcW w:w="1134" w:type="dxa"/>
            <w:vAlign w:val="center"/>
          </w:tcPr>
          <w:p w:rsidR="00320534" w:rsidRPr="0036089D" w:rsidRDefault="00C36667" w:rsidP="00C36667">
            <w:pPr>
              <w:jc w:val="right"/>
              <w:rPr>
                <w:rFonts w:cs="Arial"/>
                <w:color w:val="000000"/>
                <w:sz w:val="20"/>
                <w:szCs w:val="20"/>
              </w:rPr>
            </w:pPr>
            <w:r w:rsidRPr="0036089D">
              <w:rPr>
                <w:rFonts w:cs="Arial"/>
                <w:color w:val="000000"/>
                <w:sz w:val="20"/>
                <w:szCs w:val="20"/>
              </w:rPr>
              <w:t>106</w:t>
            </w:r>
            <w:r w:rsidR="00717374" w:rsidRPr="0036089D">
              <w:rPr>
                <w:rFonts w:cs="Arial"/>
                <w:color w:val="000000"/>
                <w:sz w:val="20"/>
                <w:szCs w:val="20"/>
              </w:rPr>
              <w:t>,</w:t>
            </w:r>
            <w:r w:rsidRPr="0036089D">
              <w:rPr>
                <w:rFonts w:cs="Arial"/>
                <w:color w:val="000000"/>
                <w:sz w:val="20"/>
                <w:szCs w:val="20"/>
              </w:rPr>
              <w:t>682.0</w:t>
            </w:r>
          </w:p>
        </w:tc>
        <w:tc>
          <w:tcPr>
            <w:tcW w:w="1276" w:type="dxa"/>
            <w:vAlign w:val="center"/>
          </w:tcPr>
          <w:p w:rsidR="00320534" w:rsidRPr="0036089D" w:rsidRDefault="00717374" w:rsidP="003334A1">
            <w:pPr>
              <w:jc w:val="right"/>
              <w:rPr>
                <w:rFonts w:cs="Arial"/>
                <w:color w:val="000000"/>
                <w:sz w:val="20"/>
                <w:szCs w:val="20"/>
              </w:rPr>
            </w:pPr>
            <w:r w:rsidRPr="0036089D">
              <w:rPr>
                <w:rFonts w:cs="Arial"/>
                <w:color w:val="000000"/>
                <w:sz w:val="20"/>
                <w:szCs w:val="20"/>
              </w:rPr>
              <w:t>50%</w:t>
            </w:r>
          </w:p>
        </w:tc>
        <w:tc>
          <w:tcPr>
            <w:tcW w:w="1276" w:type="dxa"/>
            <w:vAlign w:val="center"/>
          </w:tcPr>
          <w:p w:rsidR="00320534" w:rsidRPr="002C6EDC" w:rsidRDefault="0037095E" w:rsidP="00C36667">
            <w:pPr>
              <w:jc w:val="right"/>
              <w:rPr>
                <w:rFonts w:cs="Arial"/>
                <w:color w:val="000000"/>
                <w:sz w:val="20"/>
                <w:szCs w:val="20"/>
                <w:highlight w:val="yellow"/>
              </w:rPr>
            </w:pPr>
            <w:r w:rsidRPr="002C6EDC">
              <w:rPr>
                <w:rFonts w:cs="Arial"/>
                <w:color w:val="000000"/>
                <w:sz w:val="20"/>
                <w:szCs w:val="20"/>
              </w:rPr>
              <w:t>52,850</w:t>
            </w:r>
            <w:r w:rsidR="00717374" w:rsidRPr="002C6EDC">
              <w:rPr>
                <w:rFonts w:cs="Arial"/>
                <w:color w:val="000000"/>
                <w:sz w:val="20"/>
                <w:szCs w:val="20"/>
              </w:rPr>
              <w:t xml:space="preserve"> </w:t>
            </w:r>
          </w:p>
        </w:tc>
        <w:tc>
          <w:tcPr>
            <w:tcW w:w="1134" w:type="dxa"/>
            <w:vAlign w:val="center"/>
          </w:tcPr>
          <w:p w:rsidR="00320534" w:rsidRPr="0036089D" w:rsidRDefault="00717374" w:rsidP="003334A1">
            <w:pPr>
              <w:jc w:val="right"/>
              <w:rPr>
                <w:rFonts w:cs="Arial"/>
                <w:color w:val="000000"/>
                <w:sz w:val="20"/>
                <w:szCs w:val="20"/>
              </w:rPr>
            </w:pPr>
            <w:r w:rsidRPr="0036089D">
              <w:rPr>
                <w:rFonts w:cs="Arial"/>
                <w:color w:val="000000"/>
                <w:sz w:val="20"/>
                <w:szCs w:val="20"/>
              </w:rPr>
              <w:t>1</w:t>
            </w:r>
            <w:r w:rsidR="00C36667" w:rsidRPr="0036089D">
              <w:rPr>
                <w:rFonts w:cs="Arial"/>
                <w:color w:val="000000"/>
                <w:sz w:val="20"/>
                <w:szCs w:val="20"/>
              </w:rPr>
              <w:t>39</w:t>
            </w:r>
          </w:p>
        </w:tc>
        <w:tc>
          <w:tcPr>
            <w:tcW w:w="1417" w:type="dxa"/>
            <w:vAlign w:val="center"/>
          </w:tcPr>
          <w:p w:rsidR="00320534" w:rsidRDefault="00C36667" w:rsidP="003334A1">
            <w:pPr>
              <w:jc w:val="right"/>
              <w:rPr>
                <w:rFonts w:cs="Arial"/>
                <w:color w:val="000000"/>
                <w:sz w:val="20"/>
                <w:szCs w:val="20"/>
              </w:rPr>
            </w:pPr>
            <w:r w:rsidRPr="0036089D">
              <w:rPr>
                <w:rFonts w:cs="Arial"/>
                <w:color w:val="000000"/>
                <w:sz w:val="20"/>
                <w:szCs w:val="20"/>
              </w:rPr>
              <w:t>96.5</w:t>
            </w:r>
            <w:r w:rsidR="00717374" w:rsidRPr="0036089D">
              <w:rPr>
                <w:rFonts w:cs="Arial"/>
                <w:color w:val="000000"/>
                <w:sz w:val="20"/>
                <w:szCs w:val="20"/>
              </w:rPr>
              <w:t>%</w:t>
            </w:r>
          </w:p>
        </w:tc>
      </w:tr>
    </w:tbl>
    <w:p w:rsidR="00102E34" w:rsidRDefault="00102E34" w:rsidP="00B55B89">
      <w:pPr>
        <w:rPr>
          <w:rFonts w:asciiTheme="minorHAnsi" w:hAnsiTheme="minorHAnsi" w:cs="Adobe Garamond Pro"/>
          <w:color w:val="000000"/>
        </w:rPr>
      </w:pPr>
    </w:p>
    <w:p w:rsidR="00E924E6" w:rsidRPr="00E924E6" w:rsidRDefault="00E924E6" w:rsidP="00E924E6">
      <w:pPr>
        <w:spacing w:after="0" w:line="240" w:lineRule="auto"/>
        <w:rPr>
          <w:rFonts w:asciiTheme="minorHAnsi" w:hAnsiTheme="minorHAnsi" w:cs="Adobe Garamond Pro"/>
          <w:i/>
          <w:color w:val="000000"/>
        </w:rPr>
      </w:pPr>
    </w:p>
    <w:p w:rsidR="00CE17D0" w:rsidRPr="00C53E88" w:rsidRDefault="00CE17D0" w:rsidP="00B55B89">
      <w:pPr>
        <w:rPr>
          <w:rFonts w:asciiTheme="minorHAnsi" w:hAnsiTheme="minorHAnsi" w:cs="Adobe Garamond Pro"/>
          <w:color w:val="000000"/>
        </w:rPr>
      </w:pPr>
    </w:p>
    <w:sectPr w:rsidR="00CE17D0" w:rsidRPr="00C53E88" w:rsidSect="000C64EC">
      <w:pgSz w:w="16838" w:h="11906" w:orient="landscape" w:code="9"/>
      <w:pgMar w:top="1440" w:right="1440" w:bottom="1440" w:left="1134"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863" w:rsidRDefault="003A2863" w:rsidP="00786520">
      <w:pPr>
        <w:spacing w:after="0" w:line="240" w:lineRule="auto"/>
      </w:pPr>
      <w:r>
        <w:separator/>
      </w:r>
    </w:p>
  </w:endnote>
  <w:endnote w:type="continuationSeparator" w:id="0">
    <w:p w:rsidR="003A2863" w:rsidRDefault="003A2863" w:rsidP="0078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863" w:rsidRDefault="003A2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Content>
      <w:p w:rsidR="003A2863" w:rsidRDefault="003A2863">
        <w:pPr>
          <w:pStyle w:val="Footer"/>
          <w:jc w:val="center"/>
        </w:pPr>
        <w:r>
          <w:fldChar w:fldCharType="begin"/>
        </w:r>
        <w:r>
          <w:instrText xml:space="preserve"> PAGE   \* MERGEFORMAT </w:instrText>
        </w:r>
        <w:r>
          <w:fldChar w:fldCharType="separate"/>
        </w:r>
        <w:r w:rsidR="00135134">
          <w:rPr>
            <w:noProof/>
          </w:rPr>
          <w:t>24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863" w:rsidRDefault="003A2863">
    <w:pPr>
      <w:pStyle w:val="Footer"/>
    </w:pPr>
    <w:r w:rsidRPr="001E3C58">
      <w:rPr>
        <w:noProof/>
        <w:lang w:eastAsia="en-AU"/>
      </w:rPr>
      <w:drawing>
        <wp:anchor distT="0" distB="0" distL="114300" distR="114300" simplePos="0" relativeHeight="251659264" behindDoc="0" locked="0" layoutInCell="1" allowOverlap="1" wp14:anchorId="39D94DA9" wp14:editId="60851C57">
          <wp:simplePos x="0" y="0"/>
          <wp:positionH relativeFrom="page">
            <wp:posOffset>-2092</wp:posOffset>
          </wp:positionH>
          <wp:positionV relativeFrom="page">
            <wp:posOffset>9889262</wp:posOffset>
          </wp:positionV>
          <wp:extent cx="7591936" cy="37310"/>
          <wp:effectExtent l="19050" t="0" r="9014" b="0"/>
          <wp:wrapNone/>
          <wp:docPr id="6" name="Picture 1" descr="C:\Users\a11944\AppData\Local\Microsoft\Windows\Temporary Internet Files\Content.Outlook\DEX22WEH\HR_dotted_line_darker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1944\AppData\Local\Microsoft\Windows\Temporary Internet Files\Content.Outlook\DEX22WEH\HR_dotted_line_darkerblue.png"/>
                  <pic:cNvPicPr preferRelativeResize="0">
                    <a:picLocks noChangeAspect="1" noChangeArrowheads="1"/>
                  </pic:cNvPicPr>
                </pic:nvPicPr>
                <pic:blipFill>
                  <a:blip r:embed="rId1" cstate="print"/>
                  <a:srcRect/>
                  <a:stretch>
                    <a:fillRect/>
                  </a:stretch>
                </pic:blipFill>
                <pic:spPr bwMode="auto">
                  <a:xfrm>
                    <a:off x="0" y="0"/>
                    <a:ext cx="7591936" cy="37310"/>
                  </a:xfrm>
                  <a:prstGeom prst="rect">
                    <a:avLst/>
                  </a:prstGeom>
                  <a:noFill/>
                  <a:ln w="9525">
                    <a:noFill/>
                    <a:miter lim="800000"/>
                    <a:headEnd/>
                    <a:tailEnd/>
                  </a:ln>
                </pic:spPr>
              </pic:pic>
            </a:graphicData>
          </a:graphic>
        </wp:anchor>
      </w:drawing>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33807"/>
      <w:docPartObj>
        <w:docPartGallery w:val="Page Numbers (Bottom of Page)"/>
        <w:docPartUnique/>
      </w:docPartObj>
    </w:sdtPr>
    <w:sdtContent>
      <w:p w:rsidR="003A2863" w:rsidRDefault="003A2863" w:rsidP="00102E34">
        <w:pPr>
          <w:pStyle w:val="Footer"/>
          <w:jc w:val="center"/>
        </w:pPr>
        <w:sdt>
          <w:sdtPr>
            <w:id w:val="36533808"/>
            <w:docPartObj>
              <w:docPartGallery w:val="Page Numbers (Bottom of Page)"/>
              <w:docPartUnique/>
            </w:docPartObj>
          </w:sdtPr>
          <w:sdtContent>
            <w:r>
              <w:fldChar w:fldCharType="begin"/>
            </w:r>
            <w:r>
              <w:instrText xml:space="preserve"> PAGE   \* MERGEFORMAT </w:instrText>
            </w:r>
            <w:r>
              <w:fldChar w:fldCharType="separate"/>
            </w:r>
            <w:r w:rsidR="00135134">
              <w:rPr>
                <w:noProof/>
              </w:rPr>
              <w:t>25</w:t>
            </w:r>
            <w:r>
              <w:rPr>
                <w:noProof/>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863" w:rsidRDefault="003A2863" w:rsidP="00786520">
      <w:pPr>
        <w:spacing w:after="0" w:line="240" w:lineRule="auto"/>
      </w:pPr>
      <w:r>
        <w:separator/>
      </w:r>
    </w:p>
  </w:footnote>
  <w:footnote w:type="continuationSeparator" w:id="0">
    <w:p w:rsidR="003A2863" w:rsidRDefault="003A2863" w:rsidP="00786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863" w:rsidRDefault="003A2863" w:rsidP="00102E34">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rPr>
        <w:b/>
        <w:bCs/>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863" w:rsidRDefault="003A28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863" w:rsidRDefault="003A2863">
    <w:pPr>
      <w:pStyle w:val="Header"/>
    </w:pPr>
  </w:p>
  <w:p w:rsidR="003A2863" w:rsidRDefault="003A2863">
    <w:pPr>
      <w:pStyle w:val="Header"/>
    </w:pPr>
  </w:p>
  <w:p w:rsidR="003A2863" w:rsidRDefault="003A2863">
    <w:pPr>
      <w:pStyle w:val="Header"/>
    </w:pPr>
  </w:p>
  <w:p w:rsidR="003A2863" w:rsidRDefault="003A2863">
    <w:pPr>
      <w:pStyle w:val="Header"/>
    </w:pPr>
  </w:p>
  <w:p w:rsidR="003A2863" w:rsidRDefault="003A2863">
    <w:pPr>
      <w:pStyle w:val="Header"/>
    </w:pPr>
    <w:r w:rsidRPr="0055137B">
      <w:rPr>
        <w:noProof/>
        <w:lang w:eastAsia="en-AU"/>
      </w:rPr>
      <w:drawing>
        <wp:anchor distT="0" distB="0" distL="114300" distR="114300" simplePos="0" relativeHeight="251664384" behindDoc="0" locked="0" layoutInCell="1" allowOverlap="1" wp14:anchorId="609D7AFD" wp14:editId="1484238A">
          <wp:simplePos x="0" y="0"/>
          <wp:positionH relativeFrom="column">
            <wp:posOffset>-157480</wp:posOffset>
          </wp:positionH>
          <wp:positionV relativeFrom="paragraph">
            <wp:posOffset>68580</wp:posOffset>
          </wp:positionV>
          <wp:extent cx="3957955" cy="685800"/>
          <wp:effectExtent l="19050" t="0" r="4943" b="0"/>
          <wp:wrapNone/>
          <wp:docPr id="4"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EWPaC-inline_stacked_blue.png"/>
                  <pic:cNvPicPr/>
                </pic:nvPicPr>
                <pic:blipFill>
                  <a:blip r:embed="rId1"/>
                  <a:stretch>
                    <a:fillRect/>
                  </a:stretch>
                </pic:blipFill>
                <pic:spPr>
                  <a:xfrm>
                    <a:off x="0" y="0"/>
                    <a:ext cx="3957457" cy="687600"/>
                  </a:xfrm>
                  <a:prstGeom prst="rect">
                    <a:avLst/>
                  </a:prstGeom>
                </pic:spPr>
              </pic:pic>
            </a:graphicData>
          </a:graphic>
        </wp:anchor>
      </w:drawing>
    </w:r>
    <w:r>
      <w:rPr>
        <w:noProof/>
        <w:lang w:eastAsia="en-AU"/>
      </w:rPr>
      <w:drawing>
        <wp:anchor distT="0" distB="0" distL="114300" distR="114300" simplePos="0" relativeHeight="251662336" behindDoc="0" locked="0" layoutInCell="1" allowOverlap="1" wp14:anchorId="2C5420A1" wp14:editId="32747C82">
          <wp:simplePos x="0" y="0"/>
          <wp:positionH relativeFrom="column">
            <wp:posOffset>-157480</wp:posOffset>
          </wp:positionH>
          <wp:positionV relativeFrom="paragraph">
            <wp:posOffset>1905</wp:posOffset>
          </wp:positionV>
          <wp:extent cx="3177540" cy="685800"/>
          <wp:effectExtent l="19050" t="0" r="3810" b="0"/>
          <wp:wrapNone/>
          <wp:docPr id="1"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EWPaC-inline_stacked_blue.png"/>
                  <pic:cNvPicPr/>
                </pic:nvPicPr>
                <pic:blipFill>
                  <a:blip r:embed="rId2"/>
                  <a:stretch>
                    <a:fillRect/>
                  </a:stretch>
                </pic:blipFill>
                <pic:spPr>
                  <a:xfrm>
                    <a:off x="0" y="0"/>
                    <a:ext cx="3177540" cy="6858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863" w:rsidRDefault="003A2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30E78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9D2E8784"/>
    <w:lvl w:ilvl="0">
      <w:start w:val="1"/>
      <w:numFmt w:val="bullet"/>
      <w:pStyle w:val="ListBullet"/>
      <w:lvlText w:val=""/>
      <w:lvlJc w:val="left"/>
      <w:pPr>
        <w:ind w:left="369" w:hanging="369"/>
      </w:pPr>
      <w:rPr>
        <w:rFonts w:ascii="Symbol" w:hAnsi="Symbol" w:hint="default"/>
        <w:u w:val="none"/>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83A4E1B"/>
    <w:multiLevelType w:val="multilevel"/>
    <w:tmpl w:val="2E10943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856C5"/>
    <w:multiLevelType w:val="hybridMultilevel"/>
    <w:tmpl w:val="01CC54BA"/>
    <w:lvl w:ilvl="0" w:tplc="FDC2A51C">
      <w:start w:val="1"/>
      <w:numFmt w:val="bullet"/>
      <w:lvlText w:val=""/>
      <w:lvlJc w:val="left"/>
      <w:pPr>
        <w:ind w:left="360" w:hanging="360"/>
      </w:pPr>
      <w:rPr>
        <w:rFonts w:ascii="Symbol" w:hAnsi="Symbol" w:hint="default"/>
      </w:rPr>
    </w:lvl>
    <w:lvl w:ilvl="1" w:tplc="CCC67A6A">
      <w:start w:val="1"/>
      <w:numFmt w:val="bullet"/>
      <w:lvlText w:val="o"/>
      <w:lvlJc w:val="left"/>
      <w:pPr>
        <w:ind w:left="1080" w:hanging="360"/>
      </w:pPr>
      <w:rPr>
        <w:rFonts w:ascii="Courier New" w:hAnsi="Courier New" w:cs="Courier New" w:hint="default"/>
      </w:rPr>
    </w:lvl>
    <w:lvl w:ilvl="2" w:tplc="C6AAF1E6" w:tentative="1">
      <w:start w:val="1"/>
      <w:numFmt w:val="bullet"/>
      <w:lvlText w:val=""/>
      <w:lvlJc w:val="left"/>
      <w:pPr>
        <w:ind w:left="1800" w:hanging="360"/>
      </w:pPr>
      <w:rPr>
        <w:rFonts w:ascii="Wingdings" w:hAnsi="Wingdings" w:hint="default"/>
      </w:rPr>
    </w:lvl>
    <w:lvl w:ilvl="3" w:tplc="B30EB5E8" w:tentative="1">
      <w:start w:val="1"/>
      <w:numFmt w:val="bullet"/>
      <w:lvlText w:val=""/>
      <w:lvlJc w:val="left"/>
      <w:pPr>
        <w:ind w:left="2520" w:hanging="360"/>
      </w:pPr>
      <w:rPr>
        <w:rFonts w:ascii="Symbol" w:hAnsi="Symbol" w:hint="default"/>
      </w:rPr>
    </w:lvl>
    <w:lvl w:ilvl="4" w:tplc="134EDFE0" w:tentative="1">
      <w:start w:val="1"/>
      <w:numFmt w:val="bullet"/>
      <w:lvlText w:val="o"/>
      <w:lvlJc w:val="left"/>
      <w:pPr>
        <w:ind w:left="3240" w:hanging="360"/>
      </w:pPr>
      <w:rPr>
        <w:rFonts w:ascii="Courier New" w:hAnsi="Courier New" w:cs="Courier New" w:hint="default"/>
      </w:rPr>
    </w:lvl>
    <w:lvl w:ilvl="5" w:tplc="1506FD7A" w:tentative="1">
      <w:start w:val="1"/>
      <w:numFmt w:val="bullet"/>
      <w:lvlText w:val=""/>
      <w:lvlJc w:val="left"/>
      <w:pPr>
        <w:ind w:left="3960" w:hanging="360"/>
      </w:pPr>
      <w:rPr>
        <w:rFonts w:ascii="Wingdings" w:hAnsi="Wingdings" w:hint="default"/>
      </w:rPr>
    </w:lvl>
    <w:lvl w:ilvl="6" w:tplc="E1E2391C" w:tentative="1">
      <w:start w:val="1"/>
      <w:numFmt w:val="bullet"/>
      <w:lvlText w:val=""/>
      <w:lvlJc w:val="left"/>
      <w:pPr>
        <w:ind w:left="4680" w:hanging="360"/>
      </w:pPr>
      <w:rPr>
        <w:rFonts w:ascii="Symbol" w:hAnsi="Symbol" w:hint="default"/>
      </w:rPr>
    </w:lvl>
    <w:lvl w:ilvl="7" w:tplc="6430F762" w:tentative="1">
      <w:start w:val="1"/>
      <w:numFmt w:val="bullet"/>
      <w:lvlText w:val="o"/>
      <w:lvlJc w:val="left"/>
      <w:pPr>
        <w:ind w:left="5400" w:hanging="360"/>
      </w:pPr>
      <w:rPr>
        <w:rFonts w:ascii="Courier New" w:hAnsi="Courier New" w:cs="Courier New" w:hint="default"/>
      </w:rPr>
    </w:lvl>
    <w:lvl w:ilvl="8" w:tplc="0CA6A6FC" w:tentative="1">
      <w:start w:val="1"/>
      <w:numFmt w:val="bullet"/>
      <w:lvlText w:val=""/>
      <w:lvlJc w:val="left"/>
      <w:pPr>
        <w:ind w:left="6120" w:hanging="360"/>
      </w:pPr>
      <w:rPr>
        <w:rFonts w:ascii="Wingdings" w:hAnsi="Wingdings" w:hint="default"/>
      </w:rPr>
    </w:lvl>
  </w:abstractNum>
  <w:abstractNum w:abstractNumId="4" w15:restartNumberingAfterBreak="0">
    <w:nsid w:val="19A17C53"/>
    <w:multiLevelType w:val="hybridMultilevel"/>
    <w:tmpl w:val="1964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E5E89F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6F5D28"/>
    <w:multiLevelType w:val="hybridMultilevel"/>
    <w:tmpl w:val="DF429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B64B0D"/>
    <w:multiLevelType w:val="hybridMultilevel"/>
    <w:tmpl w:val="0E60C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EBD18CD"/>
    <w:multiLevelType w:val="hybridMultilevel"/>
    <w:tmpl w:val="72162882"/>
    <w:lvl w:ilvl="0" w:tplc="8E2A6F0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456429"/>
    <w:multiLevelType w:val="multilevel"/>
    <w:tmpl w:val="E898CC72"/>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pStyle w:val="ListNumber4"/>
      <w:lvlText w:val=""/>
      <w:lvlJc w:val="left"/>
    </w:lvl>
    <w:lvl w:ilvl="4">
      <w:numFmt w:val="decimal"/>
      <w:pStyle w:val="ListNumber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811D2B"/>
    <w:multiLevelType w:val="multilevel"/>
    <w:tmpl w:val="61989CF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5A44D2"/>
    <w:multiLevelType w:val="hybridMultilevel"/>
    <w:tmpl w:val="E626D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FBC2624"/>
    <w:multiLevelType w:val="hybridMultilevel"/>
    <w:tmpl w:val="F8C66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9"/>
  </w:num>
  <w:num w:numId="4">
    <w:abstractNumId w:val="6"/>
  </w:num>
  <w:num w:numId="5">
    <w:abstractNumId w:val="11"/>
  </w:num>
  <w:num w:numId="6">
    <w:abstractNumId w:val="5"/>
  </w:num>
  <w:num w:numId="7">
    <w:abstractNumId w:val="5"/>
  </w:num>
  <w:num w:numId="8">
    <w:abstractNumId w:val="0"/>
  </w:num>
  <w:num w:numId="9">
    <w:abstractNumId w:val="7"/>
  </w:num>
  <w:num w:numId="10">
    <w:abstractNumId w:val="5"/>
  </w:num>
  <w:num w:numId="11">
    <w:abstractNumId w:val="15"/>
  </w:num>
  <w:num w:numId="12">
    <w:abstractNumId w:val="8"/>
  </w:num>
  <w:num w:numId="13">
    <w:abstractNumId w:val="13"/>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num>
  <w:num w:numId="19">
    <w:abstractNumId w:val="10"/>
  </w:num>
  <w:num w:numId="20">
    <w:abstractNumId w:val="3"/>
  </w:num>
  <w:num w:numId="21">
    <w:abstractNumId w:val="6"/>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129025" style="mso-wrap-style:none;mso-position-vertical-relative:lin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86520"/>
    <w:rsid w:val="000003CF"/>
    <w:rsid w:val="000005F6"/>
    <w:rsid w:val="00001653"/>
    <w:rsid w:val="00003CD5"/>
    <w:rsid w:val="00007BCB"/>
    <w:rsid w:val="00007DB7"/>
    <w:rsid w:val="00010964"/>
    <w:rsid w:val="000122A8"/>
    <w:rsid w:val="00016775"/>
    <w:rsid w:val="000175EF"/>
    <w:rsid w:val="00020BA3"/>
    <w:rsid w:val="00021821"/>
    <w:rsid w:val="00022350"/>
    <w:rsid w:val="00024654"/>
    <w:rsid w:val="00024D7C"/>
    <w:rsid w:val="00031832"/>
    <w:rsid w:val="00033484"/>
    <w:rsid w:val="0003653D"/>
    <w:rsid w:val="00042B16"/>
    <w:rsid w:val="00043066"/>
    <w:rsid w:val="0004320E"/>
    <w:rsid w:val="0004425E"/>
    <w:rsid w:val="00045B0D"/>
    <w:rsid w:val="0004728F"/>
    <w:rsid w:val="000523ED"/>
    <w:rsid w:val="00052425"/>
    <w:rsid w:val="000561C6"/>
    <w:rsid w:val="000566D6"/>
    <w:rsid w:val="00057A4F"/>
    <w:rsid w:val="00057B1E"/>
    <w:rsid w:val="00061DDB"/>
    <w:rsid w:val="00063078"/>
    <w:rsid w:val="00071E87"/>
    <w:rsid w:val="0007300B"/>
    <w:rsid w:val="00073E41"/>
    <w:rsid w:val="0007460F"/>
    <w:rsid w:val="00074A9C"/>
    <w:rsid w:val="00075023"/>
    <w:rsid w:val="00083823"/>
    <w:rsid w:val="00086839"/>
    <w:rsid w:val="00087A4D"/>
    <w:rsid w:val="00090FCD"/>
    <w:rsid w:val="00093A89"/>
    <w:rsid w:val="00097892"/>
    <w:rsid w:val="000A394F"/>
    <w:rsid w:val="000A5050"/>
    <w:rsid w:val="000B28EC"/>
    <w:rsid w:val="000B2A82"/>
    <w:rsid w:val="000B65DF"/>
    <w:rsid w:val="000B6686"/>
    <w:rsid w:val="000B740C"/>
    <w:rsid w:val="000C25F1"/>
    <w:rsid w:val="000C32F3"/>
    <w:rsid w:val="000C368F"/>
    <w:rsid w:val="000C64EC"/>
    <w:rsid w:val="000C676F"/>
    <w:rsid w:val="000C6E60"/>
    <w:rsid w:val="000D00C6"/>
    <w:rsid w:val="000D0D62"/>
    <w:rsid w:val="000D57AE"/>
    <w:rsid w:val="000D7477"/>
    <w:rsid w:val="000E0386"/>
    <w:rsid w:val="000E2064"/>
    <w:rsid w:val="000E59B4"/>
    <w:rsid w:val="000E5FF2"/>
    <w:rsid w:val="000E7377"/>
    <w:rsid w:val="000F1C92"/>
    <w:rsid w:val="000F2AFE"/>
    <w:rsid w:val="000F2C99"/>
    <w:rsid w:val="000F393E"/>
    <w:rsid w:val="00102604"/>
    <w:rsid w:val="00102E34"/>
    <w:rsid w:val="00104C11"/>
    <w:rsid w:val="00104D6C"/>
    <w:rsid w:val="00105F57"/>
    <w:rsid w:val="001070ED"/>
    <w:rsid w:val="00115A6F"/>
    <w:rsid w:val="001179CA"/>
    <w:rsid w:val="00124622"/>
    <w:rsid w:val="001262E8"/>
    <w:rsid w:val="00126616"/>
    <w:rsid w:val="001334B6"/>
    <w:rsid w:val="00134AF6"/>
    <w:rsid w:val="00135134"/>
    <w:rsid w:val="00143773"/>
    <w:rsid w:val="00143C75"/>
    <w:rsid w:val="00146A3C"/>
    <w:rsid w:val="00152AA3"/>
    <w:rsid w:val="001530EE"/>
    <w:rsid w:val="00153CAA"/>
    <w:rsid w:val="00154058"/>
    <w:rsid w:val="00156D99"/>
    <w:rsid w:val="001700B5"/>
    <w:rsid w:val="001703AD"/>
    <w:rsid w:val="00170687"/>
    <w:rsid w:val="00171088"/>
    <w:rsid w:val="00171504"/>
    <w:rsid w:val="001738C8"/>
    <w:rsid w:val="00176C3E"/>
    <w:rsid w:val="00177FE6"/>
    <w:rsid w:val="001800D5"/>
    <w:rsid w:val="0018109E"/>
    <w:rsid w:val="00181AD2"/>
    <w:rsid w:val="00183515"/>
    <w:rsid w:val="00191940"/>
    <w:rsid w:val="00194B78"/>
    <w:rsid w:val="00195F38"/>
    <w:rsid w:val="00195FF7"/>
    <w:rsid w:val="00197C78"/>
    <w:rsid w:val="00197DC6"/>
    <w:rsid w:val="00197ED9"/>
    <w:rsid w:val="001A11D0"/>
    <w:rsid w:val="001A16BA"/>
    <w:rsid w:val="001A1CFA"/>
    <w:rsid w:val="001A36FE"/>
    <w:rsid w:val="001A50BA"/>
    <w:rsid w:val="001B0531"/>
    <w:rsid w:val="001B07FC"/>
    <w:rsid w:val="001B11E8"/>
    <w:rsid w:val="001B3368"/>
    <w:rsid w:val="001B57EE"/>
    <w:rsid w:val="001B61A0"/>
    <w:rsid w:val="001B61A9"/>
    <w:rsid w:val="001B68C2"/>
    <w:rsid w:val="001B7976"/>
    <w:rsid w:val="001C58BE"/>
    <w:rsid w:val="001C654B"/>
    <w:rsid w:val="001C7782"/>
    <w:rsid w:val="001D1995"/>
    <w:rsid w:val="001D2679"/>
    <w:rsid w:val="001D5D54"/>
    <w:rsid w:val="001D6D81"/>
    <w:rsid w:val="001E10FB"/>
    <w:rsid w:val="001E5FB9"/>
    <w:rsid w:val="001E6206"/>
    <w:rsid w:val="001F2A8E"/>
    <w:rsid w:val="001F2C8F"/>
    <w:rsid w:val="001F4EFA"/>
    <w:rsid w:val="001F528E"/>
    <w:rsid w:val="001F5E67"/>
    <w:rsid w:val="001F7389"/>
    <w:rsid w:val="0020051F"/>
    <w:rsid w:val="002016BA"/>
    <w:rsid w:val="00210BCC"/>
    <w:rsid w:val="00211A41"/>
    <w:rsid w:val="002120E4"/>
    <w:rsid w:val="00213706"/>
    <w:rsid w:val="00214A43"/>
    <w:rsid w:val="002154E2"/>
    <w:rsid w:val="00221F61"/>
    <w:rsid w:val="00222C95"/>
    <w:rsid w:val="00223134"/>
    <w:rsid w:val="00224ABF"/>
    <w:rsid w:val="00232307"/>
    <w:rsid w:val="002341EB"/>
    <w:rsid w:val="00237EBF"/>
    <w:rsid w:val="00242E8E"/>
    <w:rsid w:val="00244A7E"/>
    <w:rsid w:val="0024665D"/>
    <w:rsid w:val="002468D3"/>
    <w:rsid w:val="00247F21"/>
    <w:rsid w:val="0025195C"/>
    <w:rsid w:val="002519B5"/>
    <w:rsid w:val="002565CC"/>
    <w:rsid w:val="00256A59"/>
    <w:rsid w:val="00260677"/>
    <w:rsid w:val="00261484"/>
    <w:rsid w:val="0026236B"/>
    <w:rsid w:val="00263053"/>
    <w:rsid w:val="002654D4"/>
    <w:rsid w:val="00266606"/>
    <w:rsid w:val="00267F5C"/>
    <w:rsid w:val="00271777"/>
    <w:rsid w:val="00274FE6"/>
    <w:rsid w:val="00276A1F"/>
    <w:rsid w:val="00282D14"/>
    <w:rsid w:val="002837B2"/>
    <w:rsid w:val="00290087"/>
    <w:rsid w:val="002947A1"/>
    <w:rsid w:val="00296486"/>
    <w:rsid w:val="002A52D2"/>
    <w:rsid w:val="002A7366"/>
    <w:rsid w:val="002B2B07"/>
    <w:rsid w:val="002B307A"/>
    <w:rsid w:val="002C02D9"/>
    <w:rsid w:val="002C6854"/>
    <w:rsid w:val="002C6EDC"/>
    <w:rsid w:val="002D4E8E"/>
    <w:rsid w:val="002D72D8"/>
    <w:rsid w:val="002E5F85"/>
    <w:rsid w:val="002F456A"/>
    <w:rsid w:val="002F7463"/>
    <w:rsid w:val="00305ECE"/>
    <w:rsid w:val="00307AD9"/>
    <w:rsid w:val="00307CA7"/>
    <w:rsid w:val="00311CF8"/>
    <w:rsid w:val="0031468E"/>
    <w:rsid w:val="00320534"/>
    <w:rsid w:val="00322402"/>
    <w:rsid w:val="003231C9"/>
    <w:rsid w:val="00323300"/>
    <w:rsid w:val="003235C0"/>
    <w:rsid w:val="003251E8"/>
    <w:rsid w:val="00325F9E"/>
    <w:rsid w:val="003311B5"/>
    <w:rsid w:val="003331B6"/>
    <w:rsid w:val="003334A1"/>
    <w:rsid w:val="0033650C"/>
    <w:rsid w:val="0034015F"/>
    <w:rsid w:val="00341647"/>
    <w:rsid w:val="003422D0"/>
    <w:rsid w:val="00343016"/>
    <w:rsid w:val="003460B1"/>
    <w:rsid w:val="00346157"/>
    <w:rsid w:val="003517D6"/>
    <w:rsid w:val="00351F99"/>
    <w:rsid w:val="003538F9"/>
    <w:rsid w:val="00355DBF"/>
    <w:rsid w:val="00355E17"/>
    <w:rsid w:val="003607E4"/>
    <w:rsid w:val="0036089D"/>
    <w:rsid w:val="00362FAA"/>
    <w:rsid w:val="00367F08"/>
    <w:rsid w:val="0037095E"/>
    <w:rsid w:val="003722D1"/>
    <w:rsid w:val="003800A8"/>
    <w:rsid w:val="00380742"/>
    <w:rsid w:val="00382958"/>
    <w:rsid w:val="00383F14"/>
    <w:rsid w:val="003840F5"/>
    <w:rsid w:val="00384F98"/>
    <w:rsid w:val="00386628"/>
    <w:rsid w:val="00390D7D"/>
    <w:rsid w:val="00394492"/>
    <w:rsid w:val="003A0B92"/>
    <w:rsid w:val="003A1745"/>
    <w:rsid w:val="003A2863"/>
    <w:rsid w:val="003A5737"/>
    <w:rsid w:val="003A59F5"/>
    <w:rsid w:val="003B0392"/>
    <w:rsid w:val="003B1D1F"/>
    <w:rsid w:val="003B289E"/>
    <w:rsid w:val="003B5814"/>
    <w:rsid w:val="003B7D71"/>
    <w:rsid w:val="003C00F5"/>
    <w:rsid w:val="003C202E"/>
    <w:rsid w:val="003C30D8"/>
    <w:rsid w:val="003C49A5"/>
    <w:rsid w:val="003D2378"/>
    <w:rsid w:val="003D355B"/>
    <w:rsid w:val="003D4539"/>
    <w:rsid w:val="003D462F"/>
    <w:rsid w:val="003D4862"/>
    <w:rsid w:val="003D604E"/>
    <w:rsid w:val="003D60A6"/>
    <w:rsid w:val="003D76CA"/>
    <w:rsid w:val="003E2665"/>
    <w:rsid w:val="003E4A6B"/>
    <w:rsid w:val="003E68EA"/>
    <w:rsid w:val="003F066E"/>
    <w:rsid w:val="003F07AD"/>
    <w:rsid w:val="003F18C7"/>
    <w:rsid w:val="003F19A3"/>
    <w:rsid w:val="003F1A2B"/>
    <w:rsid w:val="003F2584"/>
    <w:rsid w:val="003F4138"/>
    <w:rsid w:val="003F4BCE"/>
    <w:rsid w:val="003F55F9"/>
    <w:rsid w:val="003F59E2"/>
    <w:rsid w:val="003F701E"/>
    <w:rsid w:val="0040433C"/>
    <w:rsid w:val="004043F0"/>
    <w:rsid w:val="00406C0C"/>
    <w:rsid w:val="00410EE7"/>
    <w:rsid w:val="00412298"/>
    <w:rsid w:val="004123CC"/>
    <w:rsid w:val="00412EC3"/>
    <w:rsid w:val="00415E3B"/>
    <w:rsid w:val="0042334E"/>
    <w:rsid w:val="00424EA6"/>
    <w:rsid w:val="004271F8"/>
    <w:rsid w:val="00431874"/>
    <w:rsid w:val="00431DB1"/>
    <w:rsid w:val="004379B8"/>
    <w:rsid w:val="00437E31"/>
    <w:rsid w:val="00442937"/>
    <w:rsid w:val="00442F4D"/>
    <w:rsid w:val="0044386D"/>
    <w:rsid w:val="00443DB1"/>
    <w:rsid w:val="004443BB"/>
    <w:rsid w:val="00445686"/>
    <w:rsid w:val="00446CA6"/>
    <w:rsid w:val="004470E1"/>
    <w:rsid w:val="004535ED"/>
    <w:rsid w:val="004544F9"/>
    <w:rsid w:val="0045658C"/>
    <w:rsid w:val="00456A14"/>
    <w:rsid w:val="004576B2"/>
    <w:rsid w:val="0046156A"/>
    <w:rsid w:val="004626EC"/>
    <w:rsid w:val="00463898"/>
    <w:rsid w:val="004666D4"/>
    <w:rsid w:val="004676AD"/>
    <w:rsid w:val="004701F8"/>
    <w:rsid w:val="00475761"/>
    <w:rsid w:val="00476551"/>
    <w:rsid w:val="00477902"/>
    <w:rsid w:val="00477DE9"/>
    <w:rsid w:val="004900BE"/>
    <w:rsid w:val="00490A58"/>
    <w:rsid w:val="00490D69"/>
    <w:rsid w:val="00491004"/>
    <w:rsid w:val="00492715"/>
    <w:rsid w:val="00492D9F"/>
    <w:rsid w:val="00495E32"/>
    <w:rsid w:val="00496F7D"/>
    <w:rsid w:val="004A22A8"/>
    <w:rsid w:val="004A6421"/>
    <w:rsid w:val="004B21A4"/>
    <w:rsid w:val="004B2255"/>
    <w:rsid w:val="004B280E"/>
    <w:rsid w:val="004B30C4"/>
    <w:rsid w:val="004B414A"/>
    <w:rsid w:val="004B5732"/>
    <w:rsid w:val="004B6C76"/>
    <w:rsid w:val="004B7DE9"/>
    <w:rsid w:val="004C54E2"/>
    <w:rsid w:val="004D1FA3"/>
    <w:rsid w:val="004D2255"/>
    <w:rsid w:val="004D2C75"/>
    <w:rsid w:val="004D3AF2"/>
    <w:rsid w:val="004D3F11"/>
    <w:rsid w:val="004E1353"/>
    <w:rsid w:val="004E23B6"/>
    <w:rsid w:val="004E26B9"/>
    <w:rsid w:val="004E2EB0"/>
    <w:rsid w:val="004E3750"/>
    <w:rsid w:val="004E53DC"/>
    <w:rsid w:val="004E5B1E"/>
    <w:rsid w:val="004E65E3"/>
    <w:rsid w:val="004F05EC"/>
    <w:rsid w:val="004F19DB"/>
    <w:rsid w:val="004F3880"/>
    <w:rsid w:val="004F574E"/>
    <w:rsid w:val="0050030E"/>
    <w:rsid w:val="00504820"/>
    <w:rsid w:val="00507977"/>
    <w:rsid w:val="005107D0"/>
    <w:rsid w:val="00510C71"/>
    <w:rsid w:val="005134A7"/>
    <w:rsid w:val="005149A2"/>
    <w:rsid w:val="00514D19"/>
    <w:rsid w:val="005175DD"/>
    <w:rsid w:val="00520463"/>
    <w:rsid w:val="00521912"/>
    <w:rsid w:val="00521E3C"/>
    <w:rsid w:val="00521F1E"/>
    <w:rsid w:val="005223CA"/>
    <w:rsid w:val="00522444"/>
    <w:rsid w:val="00523B8A"/>
    <w:rsid w:val="0053155A"/>
    <w:rsid w:val="00535B30"/>
    <w:rsid w:val="00542A9C"/>
    <w:rsid w:val="00545336"/>
    <w:rsid w:val="00546659"/>
    <w:rsid w:val="00546FA8"/>
    <w:rsid w:val="0055137B"/>
    <w:rsid w:val="0055178B"/>
    <w:rsid w:val="005535D0"/>
    <w:rsid w:val="0055415C"/>
    <w:rsid w:val="00554F67"/>
    <w:rsid w:val="0055654E"/>
    <w:rsid w:val="00556AC1"/>
    <w:rsid w:val="0056258B"/>
    <w:rsid w:val="00563BDB"/>
    <w:rsid w:val="00565B8A"/>
    <w:rsid w:val="00566D90"/>
    <w:rsid w:val="0057159B"/>
    <w:rsid w:val="0057327A"/>
    <w:rsid w:val="00573828"/>
    <w:rsid w:val="00576411"/>
    <w:rsid w:val="00582417"/>
    <w:rsid w:val="00583825"/>
    <w:rsid w:val="00586E16"/>
    <w:rsid w:val="00593D13"/>
    <w:rsid w:val="00597736"/>
    <w:rsid w:val="00597936"/>
    <w:rsid w:val="005A1BCC"/>
    <w:rsid w:val="005A7861"/>
    <w:rsid w:val="005B0B9C"/>
    <w:rsid w:val="005B0CE8"/>
    <w:rsid w:val="005B374C"/>
    <w:rsid w:val="005B516D"/>
    <w:rsid w:val="005B5A18"/>
    <w:rsid w:val="005C27D1"/>
    <w:rsid w:val="005C61C2"/>
    <w:rsid w:val="005C734B"/>
    <w:rsid w:val="005D5662"/>
    <w:rsid w:val="005D6780"/>
    <w:rsid w:val="005D7CEB"/>
    <w:rsid w:val="005E1377"/>
    <w:rsid w:val="005E3DCA"/>
    <w:rsid w:val="005E6E37"/>
    <w:rsid w:val="005F17A8"/>
    <w:rsid w:val="005F634D"/>
    <w:rsid w:val="005F79B8"/>
    <w:rsid w:val="006001CB"/>
    <w:rsid w:val="00601A82"/>
    <w:rsid w:val="00601BE9"/>
    <w:rsid w:val="00605E2A"/>
    <w:rsid w:val="00606A78"/>
    <w:rsid w:val="0062144E"/>
    <w:rsid w:val="00622249"/>
    <w:rsid w:val="00622419"/>
    <w:rsid w:val="00622855"/>
    <w:rsid w:val="00622A79"/>
    <w:rsid w:val="00624AB9"/>
    <w:rsid w:val="006257E5"/>
    <w:rsid w:val="006265F0"/>
    <w:rsid w:val="0063679E"/>
    <w:rsid w:val="006375B5"/>
    <w:rsid w:val="00637B4E"/>
    <w:rsid w:val="00646012"/>
    <w:rsid w:val="00652ED5"/>
    <w:rsid w:val="0066239F"/>
    <w:rsid w:val="00663C15"/>
    <w:rsid w:val="00672240"/>
    <w:rsid w:val="00672B6E"/>
    <w:rsid w:val="00674B28"/>
    <w:rsid w:val="00676ADF"/>
    <w:rsid w:val="00676C45"/>
    <w:rsid w:val="00677EDC"/>
    <w:rsid w:val="006819D9"/>
    <w:rsid w:val="00682D05"/>
    <w:rsid w:val="00682DE9"/>
    <w:rsid w:val="00684722"/>
    <w:rsid w:val="006918CE"/>
    <w:rsid w:val="006928C7"/>
    <w:rsid w:val="00694FC0"/>
    <w:rsid w:val="006960DD"/>
    <w:rsid w:val="006964D9"/>
    <w:rsid w:val="00696CFA"/>
    <w:rsid w:val="006B0570"/>
    <w:rsid w:val="006B439A"/>
    <w:rsid w:val="006C0C99"/>
    <w:rsid w:val="006C1BEA"/>
    <w:rsid w:val="006C1F05"/>
    <w:rsid w:val="006C218E"/>
    <w:rsid w:val="006D7035"/>
    <w:rsid w:val="006E114D"/>
    <w:rsid w:val="006E122B"/>
    <w:rsid w:val="006E2212"/>
    <w:rsid w:val="006E4F36"/>
    <w:rsid w:val="006E5BEC"/>
    <w:rsid w:val="006E6C36"/>
    <w:rsid w:val="006F1A4E"/>
    <w:rsid w:val="006F31C8"/>
    <w:rsid w:val="006F65C2"/>
    <w:rsid w:val="006F69B1"/>
    <w:rsid w:val="007014C9"/>
    <w:rsid w:val="0070475A"/>
    <w:rsid w:val="00707187"/>
    <w:rsid w:val="00707AA4"/>
    <w:rsid w:val="007120A2"/>
    <w:rsid w:val="00712136"/>
    <w:rsid w:val="00712C61"/>
    <w:rsid w:val="00713315"/>
    <w:rsid w:val="0071396B"/>
    <w:rsid w:val="00713DBB"/>
    <w:rsid w:val="00713E55"/>
    <w:rsid w:val="00713FAA"/>
    <w:rsid w:val="007161A1"/>
    <w:rsid w:val="00717374"/>
    <w:rsid w:val="00722DB3"/>
    <w:rsid w:val="00723578"/>
    <w:rsid w:val="00726245"/>
    <w:rsid w:val="00726942"/>
    <w:rsid w:val="007274CB"/>
    <w:rsid w:val="007325B9"/>
    <w:rsid w:val="00733678"/>
    <w:rsid w:val="0073427E"/>
    <w:rsid w:val="00735612"/>
    <w:rsid w:val="007358EE"/>
    <w:rsid w:val="00740E2C"/>
    <w:rsid w:val="007426E2"/>
    <w:rsid w:val="00742CA7"/>
    <w:rsid w:val="007432D1"/>
    <w:rsid w:val="00745CC9"/>
    <w:rsid w:val="0074644F"/>
    <w:rsid w:val="00750301"/>
    <w:rsid w:val="00753617"/>
    <w:rsid w:val="007537A2"/>
    <w:rsid w:val="007537A9"/>
    <w:rsid w:val="00762693"/>
    <w:rsid w:val="0076325D"/>
    <w:rsid w:val="00763770"/>
    <w:rsid w:val="007658A7"/>
    <w:rsid w:val="00765CA8"/>
    <w:rsid w:val="00770987"/>
    <w:rsid w:val="00770EF3"/>
    <w:rsid w:val="007712E6"/>
    <w:rsid w:val="007726F0"/>
    <w:rsid w:val="007779EC"/>
    <w:rsid w:val="00780929"/>
    <w:rsid w:val="00782DCC"/>
    <w:rsid w:val="00783068"/>
    <w:rsid w:val="007836A4"/>
    <w:rsid w:val="007843AB"/>
    <w:rsid w:val="0078514B"/>
    <w:rsid w:val="0078640A"/>
    <w:rsid w:val="00786520"/>
    <w:rsid w:val="007867F5"/>
    <w:rsid w:val="007913DD"/>
    <w:rsid w:val="007924BD"/>
    <w:rsid w:val="007A1EB4"/>
    <w:rsid w:val="007A5CA7"/>
    <w:rsid w:val="007A6014"/>
    <w:rsid w:val="007B0E82"/>
    <w:rsid w:val="007B214E"/>
    <w:rsid w:val="007B32AE"/>
    <w:rsid w:val="007C2360"/>
    <w:rsid w:val="007D45E5"/>
    <w:rsid w:val="007D522B"/>
    <w:rsid w:val="007E2413"/>
    <w:rsid w:val="007E412E"/>
    <w:rsid w:val="007E4DAB"/>
    <w:rsid w:val="007E6226"/>
    <w:rsid w:val="007E678D"/>
    <w:rsid w:val="007E7429"/>
    <w:rsid w:val="007E79BA"/>
    <w:rsid w:val="007F31A7"/>
    <w:rsid w:val="007F3E08"/>
    <w:rsid w:val="007F534A"/>
    <w:rsid w:val="008007F5"/>
    <w:rsid w:val="00801A93"/>
    <w:rsid w:val="00804815"/>
    <w:rsid w:val="00810FA2"/>
    <w:rsid w:val="0081457B"/>
    <w:rsid w:val="00814E4B"/>
    <w:rsid w:val="008168AA"/>
    <w:rsid w:val="00822565"/>
    <w:rsid w:val="00822833"/>
    <w:rsid w:val="0082547E"/>
    <w:rsid w:val="008266ED"/>
    <w:rsid w:val="00827048"/>
    <w:rsid w:val="0082723D"/>
    <w:rsid w:val="00831CCC"/>
    <w:rsid w:val="008369E6"/>
    <w:rsid w:val="0083703F"/>
    <w:rsid w:val="008441C3"/>
    <w:rsid w:val="00846887"/>
    <w:rsid w:val="00850529"/>
    <w:rsid w:val="00852ABB"/>
    <w:rsid w:val="00853054"/>
    <w:rsid w:val="008555D1"/>
    <w:rsid w:val="00857712"/>
    <w:rsid w:val="0086099E"/>
    <w:rsid w:val="00861D4C"/>
    <w:rsid w:val="00861EF6"/>
    <w:rsid w:val="00863016"/>
    <w:rsid w:val="0086609D"/>
    <w:rsid w:val="008675BA"/>
    <w:rsid w:val="008836EA"/>
    <w:rsid w:val="00884681"/>
    <w:rsid w:val="00886CC1"/>
    <w:rsid w:val="00887D9E"/>
    <w:rsid w:val="00892113"/>
    <w:rsid w:val="00894A74"/>
    <w:rsid w:val="008A0C11"/>
    <w:rsid w:val="008A13D5"/>
    <w:rsid w:val="008A349E"/>
    <w:rsid w:val="008A4125"/>
    <w:rsid w:val="008A4694"/>
    <w:rsid w:val="008A7113"/>
    <w:rsid w:val="008A7B8B"/>
    <w:rsid w:val="008B22CC"/>
    <w:rsid w:val="008B273A"/>
    <w:rsid w:val="008B2EDF"/>
    <w:rsid w:val="008B583D"/>
    <w:rsid w:val="008B6AD5"/>
    <w:rsid w:val="008C0CEA"/>
    <w:rsid w:val="008C1D50"/>
    <w:rsid w:val="008C209E"/>
    <w:rsid w:val="008C27A7"/>
    <w:rsid w:val="008C3F22"/>
    <w:rsid w:val="008C4C3E"/>
    <w:rsid w:val="008C607B"/>
    <w:rsid w:val="008D0458"/>
    <w:rsid w:val="008D2D8A"/>
    <w:rsid w:val="008D2DBA"/>
    <w:rsid w:val="008D4378"/>
    <w:rsid w:val="008D76BB"/>
    <w:rsid w:val="008E066B"/>
    <w:rsid w:val="008E2A09"/>
    <w:rsid w:val="008E347B"/>
    <w:rsid w:val="008E4BBD"/>
    <w:rsid w:val="008E50C1"/>
    <w:rsid w:val="008E5748"/>
    <w:rsid w:val="008F0642"/>
    <w:rsid w:val="008F1AAF"/>
    <w:rsid w:val="008F2E54"/>
    <w:rsid w:val="008F4E77"/>
    <w:rsid w:val="008F53BB"/>
    <w:rsid w:val="00902D04"/>
    <w:rsid w:val="00902E88"/>
    <w:rsid w:val="00903E74"/>
    <w:rsid w:val="00905E86"/>
    <w:rsid w:val="00911061"/>
    <w:rsid w:val="00911F9A"/>
    <w:rsid w:val="00912C3C"/>
    <w:rsid w:val="00914BB7"/>
    <w:rsid w:val="00915014"/>
    <w:rsid w:val="009153EF"/>
    <w:rsid w:val="00915466"/>
    <w:rsid w:val="00915C55"/>
    <w:rsid w:val="009204E9"/>
    <w:rsid w:val="00923EB1"/>
    <w:rsid w:val="0092545A"/>
    <w:rsid w:val="00930576"/>
    <w:rsid w:val="00931446"/>
    <w:rsid w:val="00932D69"/>
    <w:rsid w:val="0093780B"/>
    <w:rsid w:val="00943076"/>
    <w:rsid w:val="00945B46"/>
    <w:rsid w:val="009512B1"/>
    <w:rsid w:val="00953322"/>
    <w:rsid w:val="00955CD1"/>
    <w:rsid w:val="00956186"/>
    <w:rsid w:val="00956643"/>
    <w:rsid w:val="00956A1B"/>
    <w:rsid w:val="00956A9A"/>
    <w:rsid w:val="00956DC6"/>
    <w:rsid w:val="00960C24"/>
    <w:rsid w:val="0096150D"/>
    <w:rsid w:val="0096573E"/>
    <w:rsid w:val="00971C01"/>
    <w:rsid w:val="009735D5"/>
    <w:rsid w:val="0098034C"/>
    <w:rsid w:val="00980966"/>
    <w:rsid w:val="0098142C"/>
    <w:rsid w:val="00981BDD"/>
    <w:rsid w:val="00981EE4"/>
    <w:rsid w:val="0098594C"/>
    <w:rsid w:val="00985985"/>
    <w:rsid w:val="00997A0D"/>
    <w:rsid w:val="009A19E8"/>
    <w:rsid w:val="009A5DB6"/>
    <w:rsid w:val="009A7F6C"/>
    <w:rsid w:val="009B1DEF"/>
    <w:rsid w:val="009B26CC"/>
    <w:rsid w:val="009B4DDF"/>
    <w:rsid w:val="009B634C"/>
    <w:rsid w:val="009B768A"/>
    <w:rsid w:val="009C07F6"/>
    <w:rsid w:val="009C0996"/>
    <w:rsid w:val="009C125D"/>
    <w:rsid w:val="009C58C6"/>
    <w:rsid w:val="009D4622"/>
    <w:rsid w:val="009D7A8C"/>
    <w:rsid w:val="009D7D91"/>
    <w:rsid w:val="009E3725"/>
    <w:rsid w:val="009E6A29"/>
    <w:rsid w:val="009E73A1"/>
    <w:rsid w:val="009E7BB0"/>
    <w:rsid w:val="009F143A"/>
    <w:rsid w:val="009F2391"/>
    <w:rsid w:val="009F2F1A"/>
    <w:rsid w:val="009F70BD"/>
    <w:rsid w:val="009F7E1A"/>
    <w:rsid w:val="00A041C0"/>
    <w:rsid w:val="00A0427D"/>
    <w:rsid w:val="00A06D7C"/>
    <w:rsid w:val="00A10394"/>
    <w:rsid w:val="00A11187"/>
    <w:rsid w:val="00A11DBD"/>
    <w:rsid w:val="00A143A7"/>
    <w:rsid w:val="00A1532B"/>
    <w:rsid w:val="00A16B2F"/>
    <w:rsid w:val="00A16C1A"/>
    <w:rsid w:val="00A1715A"/>
    <w:rsid w:val="00A1763A"/>
    <w:rsid w:val="00A17AFE"/>
    <w:rsid w:val="00A20102"/>
    <w:rsid w:val="00A2071E"/>
    <w:rsid w:val="00A262A8"/>
    <w:rsid w:val="00A2762D"/>
    <w:rsid w:val="00A2767A"/>
    <w:rsid w:val="00A3318D"/>
    <w:rsid w:val="00A34B69"/>
    <w:rsid w:val="00A3548F"/>
    <w:rsid w:val="00A3773B"/>
    <w:rsid w:val="00A40811"/>
    <w:rsid w:val="00A412CC"/>
    <w:rsid w:val="00A41A2E"/>
    <w:rsid w:val="00A41BC3"/>
    <w:rsid w:val="00A427BA"/>
    <w:rsid w:val="00A42F07"/>
    <w:rsid w:val="00A44D30"/>
    <w:rsid w:val="00A46D53"/>
    <w:rsid w:val="00A52434"/>
    <w:rsid w:val="00A542B5"/>
    <w:rsid w:val="00A547C2"/>
    <w:rsid w:val="00A60D07"/>
    <w:rsid w:val="00A66DD2"/>
    <w:rsid w:val="00A67D91"/>
    <w:rsid w:val="00A72D8F"/>
    <w:rsid w:val="00A73C9B"/>
    <w:rsid w:val="00A73D0F"/>
    <w:rsid w:val="00A766DC"/>
    <w:rsid w:val="00A83CF5"/>
    <w:rsid w:val="00A876A2"/>
    <w:rsid w:val="00A90736"/>
    <w:rsid w:val="00A92A3F"/>
    <w:rsid w:val="00A93C73"/>
    <w:rsid w:val="00A96377"/>
    <w:rsid w:val="00AA229C"/>
    <w:rsid w:val="00AA3319"/>
    <w:rsid w:val="00AA34C4"/>
    <w:rsid w:val="00AA4728"/>
    <w:rsid w:val="00AA5473"/>
    <w:rsid w:val="00AA7E69"/>
    <w:rsid w:val="00AB2DD9"/>
    <w:rsid w:val="00AB641F"/>
    <w:rsid w:val="00AB66CC"/>
    <w:rsid w:val="00AC00BA"/>
    <w:rsid w:val="00AC2542"/>
    <w:rsid w:val="00AC2B1A"/>
    <w:rsid w:val="00AC2D10"/>
    <w:rsid w:val="00AC57FF"/>
    <w:rsid w:val="00AC6163"/>
    <w:rsid w:val="00AD16FD"/>
    <w:rsid w:val="00AD349E"/>
    <w:rsid w:val="00AD68B1"/>
    <w:rsid w:val="00AE28AB"/>
    <w:rsid w:val="00AE2F3A"/>
    <w:rsid w:val="00AF0D63"/>
    <w:rsid w:val="00AF47F2"/>
    <w:rsid w:val="00AF488B"/>
    <w:rsid w:val="00AF4E78"/>
    <w:rsid w:val="00B044EA"/>
    <w:rsid w:val="00B04E75"/>
    <w:rsid w:val="00B0529A"/>
    <w:rsid w:val="00B05CA9"/>
    <w:rsid w:val="00B05DC1"/>
    <w:rsid w:val="00B06052"/>
    <w:rsid w:val="00B064B2"/>
    <w:rsid w:val="00B064D5"/>
    <w:rsid w:val="00B12D4A"/>
    <w:rsid w:val="00B141BA"/>
    <w:rsid w:val="00B15276"/>
    <w:rsid w:val="00B1573A"/>
    <w:rsid w:val="00B174DD"/>
    <w:rsid w:val="00B175E7"/>
    <w:rsid w:val="00B231FB"/>
    <w:rsid w:val="00B24496"/>
    <w:rsid w:val="00B31A1C"/>
    <w:rsid w:val="00B36DBB"/>
    <w:rsid w:val="00B41106"/>
    <w:rsid w:val="00B438A2"/>
    <w:rsid w:val="00B45054"/>
    <w:rsid w:val="00B4505C"/>
    <w:rsid w:val="00B453B1"/>
    <w:rsid w:val="00B457F0"/>
    <w:rsid w:val="00B473CC"/>
    <w:rsid w:val="00B4790F"/>
    <w:rsid w:val="00B5152B"/>
    <w:rsid w:val="00B51CEA"/>
    <w:rsid w:val="00B55B89"/>
    <w:rsid w:val="00B5622A"/>
    <w:rsid w:val="00B62A65"/>
    <w:rsid w:val="00B63607"/>
    <w:rsid w:val="00B670A3"/>
    <w:rsid w:val="00B67152"/>
    <w:rsid w:val="00B702F8"/>
    <w:rsid w:val="00B7381D"/>
    <w:rsid w:val="00B74FAD"/>
    <w:rsid w:val="00B75089"/>
    <w:rsid w:val="00B76D16"/>
    <w:rsid w:val="00B80B08"/>
    <w:rsid w:val="00B817E7"/>
    <w:rsid w:val="00B81FE4"/>
    <w:rsid w:val="00B847A2"/>
    <w:rsid w:val="00B84CEF"/>
    <w:rsid w:val="00B964CA"/>
    <w:rsid w:val="00B97029"/>
    <w:rsid w:val="00B97C47"/>
    <w:rsid w:val="00BA0084"/>
    <w:rsid w:val="00BA1B28"/>
    <w:rsid w:val="00BA4932"/>
    <w:rsid w:val="00BA4B0D"/>
    <w:rsid w:val="00BA74B8"/>
    <w:rsid w:val="00BA7621"/>
    <w:rsid w:val="00BB2DA0"/>
    <w:rsid w:val="00BB3E99"/>
    <w:rsid w:val="00BB6F8E"/>
    <w:rsid w:val="00BB76CE"/>
    <w:rsid w:val="00BC00C8"/>
    <w:rsid w:val="00BC00DC"/>
    <w:rsid w:val="00BC35F2"/>
    <w:rsid w:val="00BC46A0"/>
    <w:rsid w:val="00BC4EC2"/>
    <w:rsid w:val="00BC548B"/>
    <w:rsid w:val="00BD3EE7"/>
    <w:rsid w:val="00BE0358"/>
    <w:rsid w:val="00BF2F2A"/>
    <w:rsid w:val="00C00422"/>
    <w:rsid w:val="00C029BB"/>
    <w:rsid w:val="00C03FAA"/>
    <w:rsid w:val="00C101DE"/>
    <w:rsid w:val="00C11E00"/>
    <w:rsid w:val="00C158A5"/>
    <w:rsid w:val="00C1704F"/>
    <w:rsid w:val="00C235F7"/>
    <w:rsid w:val="00C25538"/>
    <w:rsid w:val="00C27792"/>
    <w:rsid w:val="00C309EA"/>
    <w:rsid w:val="00C3155D"/>
    <w:rsid w:val="00C31CD7"/>
    <w:rsid w:val="00C3559A"/>
    <w:rsid w:val="00C36005"/>
    <w:rsid w:val="00C36667"/>
    <w:rsid w:val="00C37B9B"/>
    <w:rsid w:val="00C37D6D"/>
    <w:rsid w:val="00C4533C"/>
    <w:rsid w:val="00C4745E"/>
    <w:rsid w:val="00C5023F"/>
    <w:rsid w:val="00C53E88"/>
    <w:rsid w:val="00C56A8B"/>
    <w:rsid w:val="00C63A43"/>
    <w:rsid w:val="00C828F9"/>
    <w:rsid w:val="00C8425F"/>
    <w:rsid w:val="00C85C6A"/>
    <w:rsid w:val="00C87BCE"/>
    <w:rsid w:val="00C90690"/>
    <w:rsid w:val="00C90A08"/>
    <w:rsid w:val="00C91765"/>
    <w:rsid w:val="00C968E8"/>
    <w:rsid w:val="00CA0985"/>
    <w:rsid w:val="00CA1049"/>
    <w:rsid w:val="00CA1786"/>
    <w:rsid w:val="00CA2D8F"/>
    <w:rsid w:val="00CA6438"/>
    <w:rsid w:val="00CA7A20"/>
    <w:rsid w:val="00CB07CE"/>
    <w:rsid w:val="00CB1061"/>
    <w:rsid w:val="00CB108A"/>
    <w:rsid w:val="00CB3A04"/>
    <w:rsid w:val="00CC03B6"/>
    <w:rsid w:val="00CC0DB1"/>
    <w:rsid w:val="00CC3D21"/>
    <w:rsid w:val="00CC77E8"/>
    <w:rsid w:val="00CD1295"/>
    <w:rsid w:val="00CD178F"/>
    <w:rsid w:val="00CD1D96"/>
    <w:rsid w:val="00CD2695"/>
    <w:rsid w:val="00CD3B47"/>
    <w:rsid w:val="00CD4E05"/>
    <w:rsid w:val="00CD6019"/>
    <w:rsid w:val="00CE0057"/>
    <w:rsid w:val="00CE10CF"/>
    <w:rsid w:val="00CE12BD"/>
    <w:rsid w:val="00CE16CA"/>
    <w:rsid w:val="00CE17D0"/>
    <w:rsid w:val="00CE258F"/>
    <w:rsid w:val="00CE3CE9"/>
    <w:rsid w:val="00CE40F3"/>
    <w:rsid w:val="00CE5060"/>
    <w:rsid w:val="00CE598F"/>
    <w:rsid w:val="00CE6641"/>
    <w:rsid w:val="00CF0A3C"/>
    <w:rsid w:val="00CF1229"/>
    <w:rsid w:val="00CF1D73"/>
    <w:rsid w:val="00CF2FF7"/>
    <w:rsid w:val="00CF7729"/>
    <w:rsid w:val="00D04035"/>
    <w:rsid w:val="00D0445D"/>
    <w:rsid w:val="00D12833"/>
    <w:rsid w:val="00D1296E"/>
    <w:rsid w:val="00D12E5F"/>
    <w:rsid w:val="00D14A0E"/>
    <w:rsid w:val="00D14AB5"/>
    <w:rsid w:val="00D16D17"/>
    <w:rsid w:val="00D20404"/>
    <w:rsid w:val="00D21948"/>
    <w:rsid w:val="00D234C8"/>
    <w:rsid w:val="00D2413B"/>
    <w:rsid w:val="00D25CE4"/>
    <w:rsid w:val="00D25FFE"/>
    <w:rsid w:val="00D30538"/>
    <w:rsid w:val="00D34DAB"/>
    <w:rsid w:val="00D354E9"/>
    <w:rsid w:val="00D401CA"/>
    <w:rsid w:val="00D40A05"/>
    <w:rsid w:val="00D41146"/>
    <w:rsid w:val="00D424D8"/>
    <w:rsid w:val="00D45111"/>
    <w:rsid w:val="00D46EDB"/>
    <w:rsid w:val="00D53A70"/>
    <w:rsid w:val="00D5400D"/>
    <w:rsid w:val="00D65284"/>
    <w:rsid w:val="00D6713C"/>
    <w:rsid w:val="00D74C84"/>
    <w:rsid w:val="00D75947"/>
    <w:rsid w:val="00D768BF"/>
    <w:rsid w:val="00D815A1"/>
    <w:rsid w:val="00D83521"/>
    <w:rsid w:val="00D85D13"/>
    <w:rsid w:val="00D876E3"/>
    <w:rsid w:val="00D87B99"/>
    <w:rsid w:val="00D87EAC"/>
    <w:rsid w:val="00D920C3"/>
    <w:rsid w:val="00D93AE3"/>
    <w:rsid w:val="00D96875"/>
    <w:rsid w:val="00D979D8"/>
    <w:rsid w:val="00DA0173"/>
    <w:rsid w:val="00DA1B92"/>
    <w:rsid w:val="00DA4329"/>
    <w:rsid w:val="00DB2E39"/>
    <w:rsid w:val="00DB40EE"/>
    <w:rsid w:val="00DC08C7"/>
    <w:rsid w:val="00DC3EA6"/>
    <w:rsid w:val="00DC688C"/>
    <w:rsid w:val="00DD14DD"/>
    <w:rsid w:val="00DD1567"/>
    <w:rsid w:val="00DD184F"/>
    <w:rsid w:val="00DD7A66"/>
    <w:rsid w:val="00DE08B6"/>
    <w:rsid w:val="00DE36DE"/>
    <w:rsid w:val="00DE375D"/>
    <w:rsid w:val="00DE49B0"/>
    <w:rsid w:val="00DE5AA9"/>
    <w:rsid w:val="00DE6AF7"/>
    <w:rsid w:val="00DF2E28"/>
    <w:rsid w:val="00DF339E"/>
    <w:rsid w:val="00DF3A3F"/>
    <w:rsid w:val="00DF6BA7"/>
    <w:rsid w:val="00DF6D4D"/>
    <w:rsid w:val="00E02936"/>
    <w:rsid w:val="00E113D5"/>
    <w:rsid w:val="00E12F51"/>
    <w:rsid w:val="00E16188"/>
    <w:rsid w:val="00E163B8"/>
    <w:rsid w:val="00E214BB"/>
    <w:rsid w:val="00E23B6B"/>
    <w:rsid w:val="00E25CF5"/>
    <w:rsid w:val="00E3673D"/>
    <w:rsid w:val="00E37268"/>
    <w:rsid w:val="00E41C9F"/>
    <w:rsid w:val="00E43DA8"/>
    <w:rsid w:val="00E442CA"/>
    <w:rsid w:val="00E44B27"/>
    <w:rsid w:val="00E45A81"/>
    <w:rsid w:val="00E47101"/>
    <w:rsid w:val="00E516CD"/>
    <w:rsid w:val="00E52134"/>
    <w:rsid w:val="00E53C41"/>
    <w:rsid w:val="00E545ED"/>
    <w:rsid w:val="00E60581"/>
    <w:rsid w:val="00E61176"/>
    <w:rsid w:val="00E6286C"/>
    <w:rsid w:val="00E6295B"/>
    <w:rsid w:val="00E660BF"/>
    <w:rsid w:val="00E66A57"/>
    <w:rsid w:val="00E66E89"/>
    <w:rsid w:val="00E70CD6"/>
    <w:rsid w:val="00E7123B"/>
    <w:rsid w:val="00E72D20"/>
    <w:rsid w:val="00E73023"/>
    <w:rsid w:val="00E76A8D"/>
    <w:rsid w:val="00E813DF"/>
    <w:rsid w:val="00E861CE"/>
    <w:rsid w:val="00E90372"/>
    <w:rsid w:val="00E924E6"/>
    <w:rsid w:val="00E935DB"/>
    <w:rsid w:val="00E94D92"/>
    <w:rsid w:val="00E97A51"/>
    <w:rsid w:val="00EA1BE8"/>
    <w:rsid w:val="00EA3018"/>
    <w:rsid w:val="00EA4521"/>
    <w:rsid w:val="00EA49D2"/>
    <w:rsid w:val="00EA7988"/>
    <w:rsid w:val="00EA7DC4"/>
    <w:rsid w:val="00EB2F5B"/>
    <w:rsid w:val="00EB3112"/>
    <w:rsid w:val="00EC14BD"/>
    <w:rsid w:val="00EC22B8"/>
    <w:rsid w:val="00ED1CC1"/>
    <w:rsid w:val="00ED498B"/>
    <w:rsid w:val="00ED4CD2"/>
    <w:rsid w:val="00EE44EB"/>
    <w:rsid w:val="00EE5EB1"/>
    <w:rsid w:val="00EE6B9A"/>
    <w:rsid w:val="00EE7BFC"/>
    <w:rsid w:val="00EF1F17"/>
    <w:rsid w:val="00EF28DE"/>
    <w:rsid w:val="00EF56DC"/>
    <w:rsid w:val="00EF68F4"/>
    <w:rsid w:val="00F0105B"/>
    <w:rsid w:val="00F01A45"/>
    <w:rsid w:val="00F02337"/>
    <w:rsid w:val="00F02EB8"/>
    <w:rsid w:val="00F0335B"/>
    <w:rsid w:val="00F056E9"/>
    <w:rsid w:val="00F05FF5"/>
    <w:rsid w:val="00F11599"/>
    <w:rsid w:val="00F11B9F"/>
    <w:rsid w:val="00F12127"/>
    <w:rsid w:val="00F13DDD"/>
    <w:rsid w:val="00F22EA6"/>
    <w:rsid w:val="00F2650C"/>
    <w:rsid w:val="00F26E70"/>
    <w:rsid w:val="00F315E6"/>
    <w:rsid w:val="00F322B1"/>
    <w:rsid w:val="00F33D6F"/>
    <w:rsid w:val="00F35D4D"/>
    <w:rsid w:val="00F42BBD"/>
    <w:rsid w:val="00F42DE0"/>
    <w:rsid w:val="00F457D1"/>
    <w:rsid w:val="00F51CCA"/>
    <w:rsid w:val="00F52124"/>
    <w:rsid w:val="00F54C54"/>
    <w:rsid w:val="00F5797D"/>
    <w:rsid w:val="00F67269"/>
    <w:rsid w:val="00F7136B"/>
    <w:rsid w:val="00F839F0"/>
    <w:rsid w:val="00F842F7"/>
    <w:rsid w:val="00F93BF4"/>
    <w:rsid w:val="00FA1B1C"/>
    <w:rsid w:val="00FA2A6A"/>
    <w:rsid w:val="00FA300C"/>
    <w:rsid w:val="00FA445B"/>
    <w:rsid w:val="00FA4569"/>
    <w:rsid w:val="00FA62E1"/>
    <w:rsid w:val="00FA7D89"/>
    <w:rsid w:val="00FB1318"/>
    <w:rsid w:val="00FB5875"/>
    <w:rsid w:val="00FB6279"/>
    <w:rsid w:val="00FB6F9F"/>
    <w:rsid w:val="00FC2E91"/>
    <w:rsid w:val="00FC5A7E"/>
    <w:rsid w:val="00FC664E"/>
    <w:rsid w:val="00FC6E83"/>
    <w:rsid w:val="00FD3467"/>
    <w:rsid w:val="00FD3CC1"/>
    <w:rsid w:val="00FD49DB"/>
    <w:rsid w:val="00FE26CB"/>
    <w:rsid w:val="00FE2C91"/>
    <w:rsid w:val="00FE339C"/>
    <w:rsid w:val="00FE3CDA"/>
    <w:rsid w:val="00FE4E07"/>
    <w:rsid w:val="00FE6AB6"/>
    <w:rsid w:val="00FE6C65"/>
    <w:rsid w:val="00FF0392"/>
    <w:rsid w:val="00FF0FEF"/>
    <w:rsid w:val="00FF4273"/>
    <w:rsid w:val="00FF4E82"/>
    <w:rsid w:val="00FF6567"/>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129025" style="mso-wrap-style:none;mso-position-vertical-relative:line"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2C"/>
    <w:pPr>
      <w:spacing w:after="200" w:line="276" w:lineRule="auto"/>
    </w:pPr>
    <w:rPr>
      <w:sz w:val="22"/>
      <w:szCs w:val="22"/>
      <w:lang w:eastAsia="en-US"/>
    </w:rPr>
  </w:style>
  <w:style w:type="paragraph" w:styleId="Heading1">
    <w:name w:val="heading 1"/>
    <w:basedOn w:val="Normal"/>
    <w:next w:val="Normal"/>
    <w:link w:val="Heading1Char"/>
    <w:uiPriority w:val="9"/>
    <w:qFormat/>
    <w:rsid w:val="00CC2403"/>
    <w:pPr>
      <w:keepNext/>
      <w:outlineLvl w:val="0"/>
    </w:pPr>
    <w:rPr>
      <w:rFonts w:ascii="Calibri" w:hAnsi="Calibri" w:cs="Arial"/>
      <w:b/>
      <w:caps/>
      <w:sz w:val="40"/>
      <w:szCs w:val="40"/>
    </w:rPr>
  </w:style>
  <w:style w:type="paragraph" w:styleId="Heading2">
    <w:name w:val="heading 2"/>
    <w:basedOn w:val="Normal"/>
    <w:next w:val="Normal"/>
    <w:link w:val="Heading2Char"/>
    <w:uiPriority w:val="9"/>
    <w:qFormat/>
    <w:rsid w:val="00CA743D"/>
    <w:pPr>
      <w:keepNext/>
      <w:outlineLvl w:val="1"/>
    </w:pPr>
    <w:rPr>
      <w:rFonts w:cs="Arial"/>
      <w:b/>
    </w:rPr>
  </w:style>
  <w:style w:type="paragraph" w:styleId="Heading3">
    <w:name w:val="heading 3"/>
    <w:basedOn w:val="Normal"/>
    <w:next w:val="Normal"/>
    <w:link w:val="Heading3Char"/>
    <w:uiPriority w:val="9"/>
    <w:qFormat/>
    <w:rsid w:val="00CA743D"/>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C2403"/>
    <w:rPr>
      <w:rFonts w:ascii="Calibri" w:hAnsi="Calibri" w:cs="Arial"/>
      <w:b/>
      <w:caps/>
      <w:sz w:val="40"/>
      <w:szCs w:val="40"/>
      <w:lang w:eastAsia="en-US"/>
    </w:rPr>
  </w:style>
  <w:style w:type="character" w:customStyle="1" w:styleId="Heading2Char">
    <w:name w:val="Heading 2 Char"/>
    <w:basedOn w:val="DefaultParagraphFont"/>
    <w:link w:val="Heading2"/>
    <w:uiPriority w:val="9"/>
    <w:rsid w:val="00CA743D"/>
    <w:rPr>
      <w:rFonts w:cs="Arial"/>
      <w:b/>
      <w:sz w:val="22"/>
      <w:szCs w:val="22"/>
      <w:lang w:eastAsia="en-US"/>
    </w:rPr>
  </w:style>
  <w:style w:type="character" w:customStyle="1" w:styleId="Heading3Char">
    <w:name w:val="Heading 3 Char"/>
    <w:basedOn w:val="DefaultParagraphFont"/>
    <w:link w:val="Heading3"/>
    <w:uiPriority w:val="9"/>
    <w:rsid w:val="00CA743D"/>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2"/>
      </w:numPr>
    </w:pPr>
  </w:style>
  <w:style w:type="paragraph" w:styleId="ListBullet2">
    <w:name w:val="List Bullet 2"/>
    <w:basedOn w:val="Normal"/>
    <w:uiPriority w:val="99"/>
    <w:unhideWhenUsed/>
    <w:rsid w:val="00091608"/>
    <w:pPr>
      <w:numPr>
        <w:ilvl w:val="1"/>
        <w:numId w:val="2"/>
      </w:numPr>
    </w:pPr>
  </w:style>
  <w:style w:type="paragraph" w:styleId="ListBullet3">
    <w:name w:val="List Bullet 3"/>
    <w:basedOn w:val="Normal"/>
    <w:uiPriority w:val="99"/>
    <w:unhideWhenUsed/>
    <w:rsid w:val="00091608"/>
    <w:pPr>
      <w:numPr>
        <w:ilvl w:val="2"/>
        <w:numId w:val="2"/>
      </w:numPr>
    </w:pPr>
  </w:style>
  <w:style w:type="paragraph" w:styleId="ListBullet4">
    <w:name w:val="List Bullet 4"/>
    <w:basedOn w:val="Normal"/>
    <w:uiPriority w:val="99"/>
    <w:unhideWhenUsed/>
    <w:rsid w:val="00091608"/>
    <w:pPr>
      <w:numPr>
        <w:ilvl w:val="3"/>
        <w:numId w:val="2"/>
      </w:numPr>
    </w:pPr>
  </w:style>
  <w:style w:type="paragraph" w:styleId="ListBullet5">
    <w:name w:val="List Bullet 5"/>
    <w:basedOn w:val="Normal"/>
    <w:uiPriority w:val="99"/>
    <w:unhideWhenUsed/>
    <w:rsid w:val="00091608"/>
    <w:pPr>
      <w:numPr>
        <w:ilvl w:val="4"/>
        <w:numId w:val="2"/>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semiHidden/>
    <w:unhideWhenUsed/>
    <w:rsid w:val="007A2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52C"/>
    <w:rPr>
      <w:lang w:eastAsia="en-US"/>
    </w:rPr>
  </w:style>
  <w:style w:type="character" w:styleId="FootnoteReference">
    <w:name w:val="footnote reference"/>
    <w:basedOn w:val="DefaultParagraphFont"/>
    <w:uiPriority w:val="99"/>
    <w:semiHidden/>
    <w:unhideWhenUsed/>
    <w:rsid w:val="007A252C"/>
    <w:rPr>
      <w:vertAlign w:val="superscript"/>
    </w:rPr>
  </w:style>
  <w:style w:type="paragraph" w:styleId="Caption">
    <w:name w:val="caption"/>
    <w:basedOn w:val="Normal"/>
    <w:next w:val="Normal"/>
    <w:uiPriority w:val="35"/>
    <w:unhideWhenUsed/>
    <w:qFormat/>
    <w:rsid w:val="007A252C"/>
    <w:pPr>
      <w:spacing w:after="80"/>
    </w:pPr>
    <w:rPr>
      <w:b/>
      <w:bCs/>
      <w:sz w:val="20"/>
      <w:szCs w:val="18"/>
    </w:rPr>
  </w:style>
  <w:style w:type="paragraph" w:customStyle="1" w:styleId="ReportTitle">
    <w:name w:val="Report Title"/>
    <w:basedOn w:val="Normal"/>
    <w:uiPriority w:val="11"/>
    <w:qFormat/>
    <w:rsid w:val="00F96E05"/>
    <w:rPr>
      <w:b/>
      <w:color w:val="17365D" w:themeColor="text2" w:themeShade="BF"/>
      <w:sz w:val="52"/>
    </w:rPr>
  </w:style>
  <w:style w:type="paragraph" w:customStyle="1" w:styleId="Reportsubtitle">
    <w:name w:val="Report sub title"/>
    <w:basedOn w:val="ReportTitle"/>
    <w:uiPriority w:val="11"/>
    <w:qFormat/>
    <w:rsid w:val="006E1D7B"/>
    <w:rPr>
      <w:b w:val="0"/>
      <w:color w:val="auto"/>
      <w:sz w:val="32"/>
    </w:rPr>
  </w:style>
  <w:style w:type="paragraph" w:styleId="TOCHeading">
    <w:name w:val="TOC Heading"/>
    <w:basedOn w:val="Heading1"/>
    <w:next w:val="Normal"/>
    <w:uiPriority w:val="39"/>
    <w:unhideWhenUsed/>
    <w:qFormat/>
    <w:rsid w:val="00CA743D"/>
    <w:pPr>
      <w:keepLines/>
      <w:spacing w:before="480" w:after="360"/>
      <w:outlineLvl w:val="9"/>
    </w:pPr>
    <w:rPr>
      <w:bCs/>
      <w:szCs w:val="28"/>
      <w:lang w:val="en-US"/>
    </w:rPr>
  </w:style>
  <w:style w:type="paragraph" w:styleId="TOC1">
    <w:name w:val="toc 1"/>
    <w:basedOn w:val="Normal"/>
    <w:next w:val="Normal"/>
    <w:autoRedefine/>
    <w:uiPriority w:val="39"/>
    <w:unhideWhenUsed/>
    <w:rsid w:val="00D5672F"/>
    <w:pPr>
      <w:spacing w:after="100"/>
    </w:pPr>
    <w:rPr>
      <w:b/>
    </w:rPr>
  </w:style>
  <w:style w:type="paragraph" w:styleId="TOC2">
    <w:name w:val="toc 2"/>
    <w:basedOn w:val="Normal"/>
    <w:next w:val="Normal"/>
    <w:autoRedefine/>
    <w:uiPriority w:val="39"/>
    <w:unhideWhenUsed/>
    <w:rsid w:val="00D5672F"/>
    <w:pPr>
      <w:spacing w:after="100"/>
      <w:ind w:left="220"/>
    </w:pPr>
  </w:style>
  <w:style w:type="paragraph" w:styleId="TOC3">
    <w:name w:val="toc 3"/>
    <w:basedOn w:val="Normal"/>
    <w:next w:val="Normal"/>
    <w:autoRedefine/>
    <w:uiPriority w:val="39"/>
    <w:unhideWhenUsed/>
    <w:rsid w:val="00D5672F"/>
    <w:pPr>
      <w:spacing w:after="100"/>
      <w:ind w:left="440"/>
    </w:pPr>
    <w:rPr>
      <w:i/>
    </w:rPr>
  </w:style>
  <w:style w:type="character" w:styleId="Hyperlink">
    <w:name w:val="Hyperlink"/>
    <w:basedOn w:val="DefaultParagraphFont"/>
    <w:uiPriority w:val="99"/>
    <w:unhideWhenUsed/>
    <w:rsid w:val="00D5672F"/>
    <w:rPr>
      <w:color w:val="0000FF" w:themeColor="hyperlink"/>
      <w:u w:val="single"/>
    </w:rPr>
  </w:style>
  <w:style w:type="character" w:styleId="CommentReference">
    <w:name w:val="annotation reference"/>
    <w:basedOn w:val="DefaultParagraphFont"/>
    <w:uiPriority w:val="99"/>
    <w:semiHidden/>
    <w:unhideWhenUsed/>
    <w:rsid w:val="007518BF"/>
    <w:rPr>
      <w:sz w:val="16"/>
      <w:szCs w:val="16"/>
    </w:rPr>
  </w:style>
  <w:style w:type="paragraph" w:styleId="CommentText">
    <w:name w:val="annotation text"/>
    <w:basedOn w:val="Normal"/>
    <w:link w:val="CommentTextChar"/>
    <w:uiPriority w:val="99"/>
    <w:semiHidden/>
    <w:unhideWhenUsed/>
    <w:rsid w:val="007518BF"/>
    <w:pPr>
      <w:spacing w:line="240" w:lineRule="auto"/>
    </w:pPr>
    <w:rPr>
      <w:sz w:val="20"/>
      <w:szCs w:val="20"/>
    </w:rPr>
  </w:style>
  <w:style w:type="character" w:customStyle="1" w:styleId="CommentTextChar">
    <w:name w:val="Comment Text Char"/>
    <w:basedOn w:val="DefaultParagraphFont"/>
    <w:link w:val="CommentText"/>
    <w:uiPriority w:val="99"/>
    <w:semiHidden/>
    <w:rsid w:val="007518BF"/>
    <w:rPr>
      <w:lang w:eastAsia="en-US"/>
    </w:rPr>
  </w:style>
  <w:style w:type="paragraph" w:styleId="NormalWeb">
    <w:name w:val="Normal (Web)"/>
    <w:basedOn w:val="Normal"/>
    <w:uiPriority w:val="99"/>
    <w:unhideWhenUsed/>
    <w:rsid w:val="001964E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D53BF3"/>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673CFB"/>
    <w:rPr>
      <w:b/>
      <w:bCs/>
    </w:rPr>
  </w:style>
  <w:style w:type="character" w:customStyle="1" w:styleId="CommentSubjectChar">
    <w:name w:val="Comment Subject Char"/>
    <w:basedOn w:val="CommentTextChar"/>
    <w:link w:val="CommentSubject"/>
    <w:uiPriority w:val="99"/>
    <w:semiHidden/>
    <w:rsid w:val="00673CFB"/>
    <w:rPr>
      <w:b/>
      <w:bCs/>
      <w:lang w:eastAsia="en-US"/>
    </w:rPr>
  </w:style>
  <w:style w:type="character" w:styleId="Strong">
    <w:name w:val="Strong"/>
    <w:basedOn w:val="DefaultParagraphFont"/>
    <w:uiPriority w:val="22"/>
    <w:qFormat/>
    <w:rsid w:val="00DA6C4D"/>
    <w:rPr>
      <w:b/>
      <w:bCs/>
      <w:sz w:val="24"/>
      <w:szCs w:val="24"/>
      <w:bdr w:val="nil"/>
      <w:vertAlign w:val="baseline"/>
    </w:rPr>
  </w:style>
  <w:style w:type="paragraph" w:styleId="Revision">
    <w:name w:val="Revision"/>
    <w:hidden/>
    <w:uiPriority w:val="99"/>
    <w:semiHidden/>
    <w:rsid w:val="00DC688C"/>
    <w:rPr>
      <w:sz w:val="22"/>
      <w:szCs w:val="22"/>
      <w:lang w:eastAsia="en-US"/>
    </w:rPr>
  </w:style>
  <w:style w:type="table" w:customStyle="1" w:styleId="LightShading-Accent11">
    <w:name w:val="Light Shading - Accent 11"/>
    <w:basedOn w:val="TableNormal"/>
    <w:uiPriority w:val="60"/>
    <w:rsid w:val="003C202E"/>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3460B1"/>
    <w:rPr>
      <w:i/>
      <w:iCs/>
      <w:sz w:val="24"/>
      <w:szCs w:val="24"/>
      <w:bdr w:val="none" w:sz="0" w:space="0" w:color="auto" w:frame="1"/>
      <w:vertAlign w:val="baseline"/>
    </w:rPr>
  </w:style>
  <w:style w:type="table" w:styleId="MediumGrid3-Accent1">
    <w:name w:val="Medium Grid 3 Accent 1"/>
    <w:basedOn w:val="TableNormal"/>
    <w:uiPriority w:val="69"/>
    <w:rsid w:val="00351F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Shading1-Accent11">
    <w:name w:val="Medium Shading 1 - Accent 11"/>
    <w:basedOn w:val="TableNormal"/>
    <w:uiPriority w:val="63"/>
    <w:rsid w:val="00351F9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Accent12">
    <w:name w:val="Light Shading - Accent 12"/>
    <w:basedOn w:val="TableNormal"/>
    <w:uiPriority w:val="60"/>
    <w:rsid w:val="00F02EB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4">
    <w:name w:val="Pa4"/>
    <w:basedOn w:val="Default"/>
    <w:next w:val="Default"/>
    <w:uiPriority w:val="99"/>
    <w:rsid w:val="007358EE"/>
    <w:pPr>
      <w:spacing w:line="201" w:lineRule="atLeast"/>
    </w:pPr>
    <w:rPr>
      <w:rFonts w:ascii="Adobe Garamond Pro" w:hAnsi="Adobe Garamond Pro" w:cs="Times New Roman"/>
      <w:color w:val="auto"/>
    </w:rPr>
  </w:style>
  <w:style w:type="paragraph" w:customStyle="1" w:styleId="Pa8">
    <w:name w:val="Pa8"/>
    <w:basedOn w:val="Default"/>
    <w:next w:val="Default"/>
    <w:uiPriority w:val="99"/>
    <w:rsid w:val="007358EE"/>
    <w:pPr>
      <w:spacing w:line="201" w:lineRule="atLeast"/>
    </w:pPr>
    <w:rPr>
      <w:rFonts w:ascii="Adobe Garamond Pro" w:hAnsi="Adobe Garamond Pro" w:cs="Times New Roman"/>
      <w:color w:val="auto"/>
    </w:rPr>
  </w:style>
  <w:style w:type="paragraph" w:customStyle="1" w:styleId="Pa9">
    <w:name w:val="Pa9"/>
    <w:basedOn w:val="Default"/>
    <w:next w:val="Default"/>
    <w:uiPriority w:val="99"/>
    <w:rsid w:val="007358EE"/>
    <w:pPr>
      <w:spacing w:line="281" w:lineRule="atLeast"/>
    </w:pPr>
    <w:rPr>
      <w:rFonts w:ascii="Adobe Garamond Pro" w:hAnsi="Adobe Garamond Pro" w:cs="Times New Roman"/>
      <w:color w:val="auto"/>
    </w:rPr>
  </w:style>
  <w:style w:type="character" w:styleId="FollowedHyperlink">
    <w:name w:val="FollowedHyperlink"/>
    <w:basedOn w:val="DefaultParagraphFont"/>
    <w:uiPriority w:val="99"/>
    <w:semiHidden/>
    <w:unhideWhenUsed/>
    <w:rsid w:val="00FA7D89"/>
    <w:rPr>
      <w:color w:val="800080" w:themeColor="followedHyperlink"/>
      <w:u w:val="single"/>
    </w:rPr>
  </w:style>
  <w:style w:type="table" w:styleId="LightShading-Accent1">
    <w:name w:val="Light Shading Accent 1"/>
    <w:basedOn w:val="TableNormal"/>
    <w:uiPriority w:val="60"/>
    <w:rsid w:val="003F07A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3F07A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z-BottomofForm">
    <w:name w:val="HTML Bottom of Form"/>
    <w:basedOn w:val="Normal"/>
    <w:next w:val="Normal"/>
    <w:link w:val="z-BottomofFormChar"/>
    <w:hidden/>
    <w:uiPriority w:val="99"/>
    <w:unhideWhenUsed/>
    <w:rsid w:val="00674B28"/>
    <w:pPr>
      <w:pBdr>
        <w:top w:val="single" w:sz="6" w:space="1" w:color="auto"/>
      </w:pBdr>
      <w:spacing w:after="0" w:line="240" w:lineRule="auto"/>
      <w:jc w:val="center"/>
    </w:pPr>
    <w:rPr>
      <w:rFonts w:eastAsia="Times New Roman" w:cs="Arial"/>
      <w:vanish/>
      <w:sz w:val="16"/>
      <w:szCs w:val="16"/>
      <w:lang w:eastAsia="en-AU"/>
    </w:rPr>
  </w:style>
  <w:style w:type="character" w:customStyle="1" w:styleId="z-BottomofFormChar">
    <w:name w:val="z-Bottom of Form Char"/>
    <w:basedOn w:val="DefaultParagraphFont"/>
    <w:link w:val="z-BottomofForm"/>
    <w:uiPriority w:val="99"/>
    <w:rsid w:val="00674B28"/>
    <w:rPr>
      <w:rFonts w:eastAsia="Times New Roman"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3810">
      <w:bodyDiv w:val="1"/>
      <w:marLeft w:val="0"/>
      <w:marRight w:val="0"/>
      <w:marTop w:val="0"/>
      <w:marBottom w:val="0"/>
      <w:divBdr>
        <w:top w:val="none" w:sz="0" w:space="0" w:color="auto"/>
        <w:left w:val="none" w:sz="0" w:space="0" w:color="auto"/>
        <w:bottom w:val="none" w:sz="0" w:space="0" w:color="auto"/>
        <w:right w:val="none" w:sz="0" w:space="0" w:color="auto"/>
      </w:divBdr>
    </w:div>
    <w:div w:id="120618688">
      <w:bodyDiv w:val="1"/>
      <w:marLeft w:val="0"/>
      <w:marRight w:val="0"/>
      <w:marTop w:val="0"/>
      <w:marBottom w:val="0"/>
      <w:divBdr>
        <w:top w:val="none" w:sz="0" w:space="0" w:color="auto"/>
        <w:left w:val="none" w:sz="0" w:space="0" w:color="auto"/>
        <w:bottom w:val="none" w:sz="0" w:space="0" w:color="auto"/>
        <w:right w:val="none" w:sz="0" w:space="0" w:color="auto"/>
      </w:divBdr>
    </w:div>
    <w:div w:id="224293696">
      <w:bodyDiv w:val="1"/>
      <w:marLeft w:val="0"/>
      <w:marRight w:val="0"/>
      <w:marTop w:val="0"/>
      <w:marBottom w:val="0"/>
      <w:divBdr>
        <w:top w:val="none" w:sz="0" w:space="0" w:color="auto"/>
        <w:left w:val="none" w:sz="0" w:space="0" w:color="auto"/>
        <w:bottom w:val="none" w:sz="0" w:space="0" w:color="auto"/>
        <w:right w:val="none" w:sz="0" w:space="0" w:color="auto"/>
      </w:divBdr>
    </w:div>
    <w:div w:id="355471962">
      <w:bodyDiv w:val="1"/>
      <w:marLeft w:val="0"/>
      <w:marRight w:val="0"/>
      <w:marTop w:val="0"/>
      <w:marBottom w:val="0"/>
      <w:divBdr>
        <w:top w:val="none" w:sz="0" w:space="0" w:color="auto"/>
        <w:left w:val="none" w:sz="0" w:space="0" w:color="auto"/>
        <w:bottom w:val="none" w:sz="0" w:space="0" w:color="auto"/>
        <w:right w:val="none" w:sz="0" w:space="0" w:color="auto"/>
      </w:divBdr>
    </w:div>
    <w:div w:id="424768882">
      <w:bodyDiv w:val="1"/>
      <w:marLeft w:val="0"/>
      <w:marRight w:val="0"/>
      <w:marTop w:val="0"/>
      <w:marBottom w:val="0"/>
      <w:divBdr>
        <w:top w:val="none" w:sz="0" w:space="0" w:color="auto"/>
        <w:left w:val="none" w:sz="0" w:space="0" w:color="auto"/>
        <w:bottom w:val="none" w:sz="0" w:space="0" w:color="auto"/>
        <w:right w:val="none" w:sz="0" w:space="0" w:color="auto"/>
      </w:divBdr>
    </w:div>
    <w:div w:id="448815874">
      <w:bodyDiv w:val="1"/>
      <w:marLeft w:val="0"/>
      <w:marRight w:val="0"/>
      <w:marTop w:val="0"/>
      <w:marBottom w:val="0"/>
      <w:divBdr>
        <w:top w:val="none" w:sz="0" w:space="0" w:color="auto"/>
        <w:left w:val="none" w:sz="0" w:space="0" w:color="auto"/>
        <w:bottom w:val="none" w:sz="0" w:space="0" w:color="auto"/>
        <w:right w:val="none" w:sz="0" w:space="0" w:color="auto"/>
      </w:divBdr>
      <w:divsChild>
        <w:div w:id="1322075512">
          <w:marLeft w:val="0"/>
          <w:marRight w:val="0"/>
          <w:marTop w:val="0"/>
          <w:marBottom w:val="0"/>
          <w:divBdr>
            <w:top w:val="none" w:sz="0" w:space="0" w:color="auto"/>
            <w:left w:val="none" w:sz="0" w:space="0" w:color="auto"/>
            <w:bottom w:val="none" w:sz="0" w:space="0" w:color="auto"/>
            <w:right w:val="none" w:sz="0" w:space="0" w:color="auto"/>
          </w:divBdr>
          <w:divsChild>
            <w:div w:id="1920170288">
              <w:marLeft w:val="0"/>
              <w:marRight w:val="0"/>
              <w:marTop w:val="0"/>
              <w:marBottom w:val="0"/>
              <w:divBdr>
                <w:top w:val="none" w:sz="0" w:space="0" w:color="auto"/>
                <w:left w:val="none" w:sz="0" w:space="0" w:color="auto"/>
                <w:bottom w:val="none" w:sz="0" w:space="0" w:color="auto"/>
                <w:right w:val="none" w:sz="0" w:space="0" w:color="auto"/>
              </w:divBdr>
              <w:divsChild>
                <w:div w:id="851724026">
                  <w:marLeft w:val="0"/>
                  <w:marRight w:val="0"/>
                  <w:marTop w:val="0"/>
                  <w:marBottom w:val="0"/>
                  <w:divBdr>
                    <w:top w:val="none" w:sz="0" w:space="0" w:color="auto"/>
                    <w:left w:val="none" w:sz="0" w:space="0" w:color="auto"/>
                    <w:bottom w:val="none" w:sz="0" w:space="0" w:color="auto"/>
                    <w:right w:val="none" w:sz="0" w:space="0" w:color="auto"/>
                  </w:divBdr>
                  <w:divsChild>
                    <w:div w:id="1957911366">
                      <w:marLeft w:val="150"/>
                      <w:marRight w:val="150"/>
                      <w:marTop w:val="0"/>
                      <w:marBottom w:val="0"/>
                      <w:divBdr>
                        <w:top w:val="none" w:sz="0" w:space="0" w:color="auto"/>
                        <w:left w:val="none" w:sz="0" w:space="0" w:color="auto"/>
                        <w:bottom w:val="none" w:sz="0" w:space="0" w:color="auto"/>
                        <w:right w:val="none" w:sz="0" w:space="0" w:color="auto"/>
                      </w:divBdr>
                      <w:divsChild>
                        <w:div w:id="63455857">
                          <w:marLeft w:val="0"/>
                          <w:marRight w:val="0"/>
                          <w:marTop w:val="0"/>
                          <w:marBottom w:val="0"/>
                          <w:divBdr>
                            <w:top w:val="none" w:sz="0" w:space="0" w:color="auto"/>
                            <w:left w:val="none" w:sz="0" w:space="0" w:color="auto"/>
                            <w:bottom w:val="none" w:sz="0" w:space="0" w:color="auto"/>
                            <w:right w:val="none" w:sz="0" w:space="0" w:color="auto"/>
                          </w:divBdr>
                          <w:divsChild>
                            <w:div w:id="1120151038">
                              <w:marLeft w:val="0"/>
                              <w:marRight w:val="0"/>
                              <w:marTop w:val="0"/>
                              <w:marBottom w:val="240"/>
                              <w:divBdr>
                                <w:top w:val="none" w:sz="0" w:space="0" w:color="auto"/>
                                <w:left w:val="none" w:sz="0" w:space="0" w:color="auto"/>
                                <w:bottom w:val="none" w:sz="0" w:space="0" w:color="auto"/>
                                <w:right w:val="none" w:sz="0" w:space="0" w:color="auto"/>
                              </w:divBdr>
                              <w:divsChild>
                                <w:div w:id="1129738923">
                                  <w:marLeft w:val="0"/>
                                  <w:marRight w:val="0"/>
                                  <w:marTop w:val="0"/>
                                  <w:marBottom w:val="0"/>
                                  <w:divBdr>
                                    <w:top w:val="none" w:sz="0" w:space="0" w:color="auto"/>
                                    <w:left w:val="none" w:sz="0" w:space="0" w:color="auto"/>
                                    <w:bottom w:val="none" w:sz="0" w:space="0" w:color="auto"/>
                                    <w:right w:val="none" w:sz="0" w:space="0" w:color="auto"/>
                                  </w:divBdr>
                                  <w:divsChild>
                                    <w:div w:id="349336869">
                                      <w:marLeft w:val="0"/>
                                      <w:marRight w:val="0"/>
                                      <w:marTop w:val="0"/>
                                      <w:marBottom w:val="0"/>
                                      <w:divBdr>
                                        <w:top w:val="none" w:sz="0" w:space="0" w:color="auto"/>
                                        <w:left w:val="none" w:sz="0" w:space="0" w:color="auto"/>
                                        <w:bottom w:val="none" w:sz="0" w:space="0" w:color="auto"/>
                                        <w:right w:val="none" w:sz="0" w:space="0" w:color="auto"/>
                                      </w:divBdr>
                                      <w:divsChild>
                                        <w:div w:id="569772497">
                                          <w:marLeft w:val="0"/>
                                          <w:marRight w:val="0"/>
                                          <w:marTop w:val="0"/>
                                          <w:marBottom w:val="0"/>
                                          <w:divBdr>
                                            <w:top w:val="none" w:sz="0" w:space="0" w:color="auto"/>
                                            <w:left w:val="none" w:sz="0" w:space="0" w:color="auto"/>
                                            <w:bottom w:val="none" w:sz="0" w:space="0" w:color="auto"/>
                                            <w:right w:val="none" w:sz="0" w:space="0" w:color="auto"/>
                                          </w:divBdr>
                                          <w:divsChild>
                                            <w:div w:id="1626233937">
                                              <w:marLeft w:val="0"/>
                                              <w:marRight w:val="0"/>
                                              <w:marTop w:val="0"/>
                                              <w:marBottom w:val="0"/>
                                              <w:divBdr>
                                                <w:top w:val="none" w:sz="0" w:space="0" w:color="auto"/>
                                                <w:left w:val="none" w:sz="0" w:space="0" w:color="auto"/>
                                                <w:bottom w:val="none" w:sz="0" w:space="0" w:color="auto"/>
                                                <w:right w:val="none" w:sz="0" w:space="0" w:color="auto"/>
                                              </w:divBdr>
                                              <w:divsChild>
                                                <w:div w:id="350179706">
                                                  <w:marLeft w:val="0"/>
                                                  <w:marRight w:val="0"/>
                                                  <w:marTop w:val="0"/>
                                                  <w:marBottom w:val="0"/>
                                                  <w:divBdr>
                                                    <w:top w:val="none" w:sz="0" w:space="0" w:color="auto"/>
                                                    <w:left w:val="none" w:sz="0" w:space="0" w:color="auto"/>
                                                    <w:bottom w:val="none" w:sz="0" w:space="0" w:color="auto"/>
                                                    <w:right w:val="none" w:sz="0" w:space="0" w:color="auto"/>
                                                  </w:divBdr>
                                                  <w:divsChild>
                                                    <w:div w:id="1120339609">
                                                      <w:marLeft w:val="0"/>
                                                      <w:marRight w:val="0"/>
                                                      <w:marTop w:val="0"/>
                                                      <w:marBottom w:val="0"/>
                                                      <w:divBdr>
                                                        <w:top w:val="none" w:sz="0" w:space="0" w:color="auto"/>
                                                        <w:left w:val="none" w:sz="0" w:space="0" w:color="auto"/>
                                                        <w:bottom w:val="none" w:sz="0" w:space="0" w:color="auto"/>
                                                        <w:right w:val="none" w:sz="0" w:space="0" w:color="auto"/>
                                                      </w:divBdr>
                                                      <w:divsChild>
                                                        <w:div w:id="92437418">
                                                          <w:marLeft w:val="0"/>
                                                          <w:marRight w:val="0"/>
                                                          <w:marTop w:val="0"/>
                                                          <w:marBottom w:val="0"/>
                                                          <w:divBdr>
                                                            <w:top w:val="none" w:sz="0" w:space="0" w:color="auto"/>
                                                            <w:left w:val="none" w:sz="0" w:space="0" w:color="auto"/>
                                                            <w:bottom w:val="none" w:sz="0" w:space="0" w:color="auto"/>
                                                            <w:right w:val="none" w:sz="0" w:space="0" w:color="auto"/>
                                                          </w:divBdr>
                                                          <w:divsChild>
                                                            <w:div w:id="21320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482976">
      <w:bodyDiv w:val="1"/>
      <w:marLeft w:val="0"/>
      <w:marRight w:val="0"/>
      <w:marTop w:val="0"/>
      <w:marBottom w:val="0"/>
      <w:divBdr>
        <w:top w:val="none" w:sz="0" w:space="0" w:color="auto"/>
        <w:left w:val="none" w:sz="0" w:space="0" w:color="auto"/>
        <w:bottom w:val="none" w:sz="0" w:space="0" w:color="auto"/>
        <w:right w:val="none" w:sz="0" w:space="0" w:color="auto"/>
      </w:divBdr>
    </w:div>
    <w:div w:id="512888880">
      <w:bodyDiv w:val="1"/>
      <w:marLeft w:val="0"/>
      <w:marRight w:val="0"/>
      <w:marTop w:val="0"/>
      <w:marBottom w:val="0"/>
      <w:divBdr>
        <w:top w:val="none" w:sz="0" w:space="0" w:color="auto"/>
        <w:left w:val="none" w:sz="0" w:space="0" w:color="auto"/>
        <w:bottom w:val="none" w:sz="0" w:space="0" w:color="auto"/>
        <w:right w:val="none" w:sz="0" w:space="0" w:color="auto"/>
      </w:divBdr>
    </w:div>
    <w:div w:id="525874773">
      <w:bodyDiv w:val="1"/>
      <w:marLeft w:val="0"/>
      <w:marRight w:val="0"/>
      <w:marTop w:val="0"/>
      <w:marBottom w:val="0"/>
      <w:divBdr>
        <w:top w:val="none" w:sz="0" w:space="0" w:color="auto"/>
        <w:left w:val="none" w:sz="0" w:space="0" w:color="auto"/>
        <w:bottom w:val="none" w:sz="0" w:space="0" w:color="auto"/>
        <w:right w:val="none" w:sz="0" w:space="0" w:color="auto"/>
      </w:divBdr>
    </w:div>
    <w:div w:id="683359051">
      <w:bodyDiv w:val="1"/>
      <w:marLeft w:val="0"/>
      <w:marRight w:val="0"/>
      <w:marTop w:val="0"/>
      <w:marBottom w:val="0"/>
      <w:divBdr>
        <w:top w:val="none" w:sz="0" w:space="0" w:color="auto"/>
        <w:left w:val="none" w:sz="0" w:space="0" w:color="auto"/>
        <w:bottom w:val="none" w:sz="0" w:space="0" w:color="auto"/>
        <w:right w:val="none" w:sz="0" w:space="0" w:color="auto"/>
      </w:divBdr>
    </w:div>
    <w:div w:id="832573129">
      <w:bodyDiv w:val="1"/>
      <w:marLeft w:val="0"/>
      <w:marRight w:val="0"/>
      <w:marTop w:val="0"/>
      <w:marBottom w:val="0"/>
      <w:divBdr>
        <w:top w:val="none" w:sz="0" w:space="0" w:color="auto"/>
        <w:left w:val="none" w:sz="0" w:space="0" w:color="auto"/>
        <w:bottom w:val="none" w:sz="0" w:space="0" w:color="auto"/>
        <w:right w:val="none" w:sz="0" w:space="0" w:color="auto"/>
      </w:divBdr>
      <w:divsChild>
        <w:div w:id="1843160209">
          <w:marLeft w:val="0"/>
          <w:marRight w:val="0"/>
          <w:marTop w:val="0"/>
          <w:marBottom w:val="0"/>
          <w:divBdr>
            <w:top w:val="none" w:sz="0" w:space="0" w:color="auto"/>
            <w:left w:val="none" w:sz="0" w:space="0" w:color="auto"/>
            <w:bottom w:val="none" w:sz="0" w:space="0" w:color="auto"/>
            <w:right w:val="none" w:sz="0" w:space="0" w:color="auto"/>
          </w:divBdr>
          <w:divsChild>
            <w:div w:id="775835526">
              <w:marLeft w:val="0"/>
              <w:marRight w:val="0"/>
              <w:marTop w:val="0"/>
              <w:marBottom w:val="0"/>
              <w:divBdr>
                <w:top w:val="none" w:sz="0" w:space="0" w:color="auto"/>
                <w:left w:val="none" w:sz="0" w:space="0" w:color="auto"/>
                <w:bottom w:val="none" w:sz="0" w:space="0" w:color="auto"/>
                <w:right w:val="none" w:sz="0" w:space="0" w:color="auto"/>
              </w:divBdr>
              <w:divsChild>
                <w:div w:id="1301612822">
                  <w:marLeft w:val="0"/>
                  <w:marRight w:val="0"/>
                  <w:marTop w:val="0"/>
                  <w:marBottom w:val="0"/>
                  <w:divBdr>
                    <w:top w:val="none" w:sz="0" w:space="0" w:color="auto"/>
                    <w:left w:val="none" w:sz="0" w:space="0" w:color="auto"/>
                    <w:bottom w:val="none" w:sz="0" w:space="0" w:color="auto"/>
                    <w:right w:val="none" w:sz="0" w:space="0" w:color="auto"/>
                  </w:divBdr>
                  <w:divsChild>
                    <w:div w:id="886643255">
                      <w:marLeft w:val="150"/>
                      <w:marRight w:val="150"/>
                      <w:marTop w:val="0"/>
                      <w:marBottom w:val="0"/>
                      <w:divBdr>
                        <w:top w:val="none" w:sz="0" w:space="0" w:color="auto"/>
                        <w:left w:val="none" w:sz="0" w:space="0" w:color="auto"/>
                        <w:bottom w:val="none" w:sz="0" w:space="0" w:color="auto"/>
                        <w:right w:val="none" w:sz="0" w:space="0" w:color="auto"/>
                      </w:divBdr>
                      <w:divsChild>
                        <w:div w:id="1078670518">
                          <w:marLeft w:val="0"/>
                          <w:marRight w:val="0"/>
                          <w:marTop w:val="0"/>
                          <w:marBottom w:val="0"/>
                          <w:divBdr>
                            <w:top w:val="none" w:sz="0" w:space="0" w:color="auto"/>
                            <w:left w:val="none" w:sz="0" w:space="0" w:color="auto"/>
                            <w:bottom w:val="none" w:sz="0" w:space="0" w:color="auto"/>
                            <w:right w:val="none" w:sz="0" w:space="0" w:color="auto"/>
                          </w:divBdr>
                          <w:divsChild>
                            <w:div w:id="1432163591">
                              <w:marLeft w:val="0"/>
                              <w:marRight w:val="0"/>
                              <w:marTop w:val="0"/>
                              <w:marBottom w:val="240"/>
                              <w:divBdr>
                                <w:top w:val="none" w:sz="0" w:space="0" w:color="auto"/>
                                <w:left w:val="none" w:sz="0" w:space="0" w:color="auto"/>
                                <w:bottom w:val="none" w:sz="0" w:space="0" w:color="auto"/>
                                <w:right w:val="none" w:sz="0" w:space="0" w:color="auto"/>
                              </w:divBdr>
                              <w:divsChild>
                                <w:div w:id="1911961666">
                                  <w:marLeft w:val="0"/>
                                  <w:marRight w:val="0"/>
                                  <w:marTop w:val="0"/>
                                  <w:marBottom w:val="0"/>
                                  <w:divBdr>
                                    <w:top w:val="none" w:sz="0" w:space="0" w:color="auto"/>
                                    <w:left w:val="none" w:sz="0" w:space="0" w:color="auto"/>
                                    <w:bottom w:val="none" w:sz="0" w:space="0" w:color="auto"/>
                                    <w:right w:val="none" w:sz="0" w:space="0" w:color="auto"/>
                                  </w:divBdr>
                                  <w:divsChild>
                                    <w:div w:id="1864827480">
                                      <w:marLeft w:val="0"/>
                                      <w:marRight w:val="0"/>
                                      <w:marTop w:val="0"/>
                                      <w:marBottom w:val="0"/>
                                      <w:divBdr>
                                        <w:top w:val="none" w:sz="0" w:space="0" w:color="auto"/>
                                        <w:left w:val="none" w:sz="0" w:space="0" w:color="auto"/>
                                        <w:bottom w:val="none" w:sz="0" w:space="0" w:color="auto"/>
                                        <w:right w:val="none" w:sz="0" w:space="0" w:color="auto"/>
                                      </w:divBdr>
                                      <w:divsChild>
                                        <w:div w:id="1511791224">
                                          <w:marLeft w:val="0"/>
                                          <w:marRight w:val="0"/>
                                          <w:marTop w:val="0"/>
                                          <w:marBottom w:val="0"/>
                                          <w:divBdr>
                                            <w:top w:val="none" w:sz="0" w:space="0" w:color="auto"/>
                                            <w:left w:val="none" w:sz="0" w:space="0" w:color="auto"/>
                                            <w:bottom w:val="none" w:sz="0" w:space="0" w:color="auto"/>
                                            <w:right w:val="none" w:sz="0" w:space="0" w:color="auto"/>
                                          </w:divBdr>
                                          <w:divsChild>
                                            <w:div w:id="147482590">
                                              <w:marLeft w:val="0"/>
                                              <w:marRight w:val="0"/>
                                              <w:marTop w:val="0"/>
                                              <w:marBottom w:val="0"/>
                                              <w:divBdr>
                                                <w:top w:val="none" w:sz="0" w:space="0" w:color="auto"/>
                                                <w:left w:val="none" w:sz="0" w:space="0" w:color="auto"/>
                                                <w:bottom w:val="none" w:sz="0" w:space="0" w:color="auto"/>
                                                <w:right w:val="none" w:sz="0" w:space="0" w:color="auto"/>
                                              </w:divBdr>
                                              <w:divsChild>
                                                <w:div w:id="95948214">
                                                  <w:marLeft w:val="0"/>
                                                  <w:marRight w:val="0"/>
                                                  <w:marTop w:val="0"/>
                                                  <w:marBottom w:val="0"/>
                                                  <w:divBdr>
                                                    <w:top w:val="none" w:sz="0" w:space="0" w:color="auto"/>
                                                    <w:left w:val="none" w:sz="0" w:space="0" w:color="auto"/>
                                                    <w:bottom w:val="none" w:sz="0" w:space="0" w:color="auto"/>
                                                    <w:right w:val="none" w:sz="0" w:space="0" w:color="auto"/>
                                                  </w:divBdr>
                                                  <w:divsChild>
                                                    <w:div w:id="1073308752">
                                                      <w:marLeft w:val="0"/>
                                                      <w:marRight w:val="0"/>
                                                      <w:marTop w:val="0"/>
                                                      <w:marBottom w:val="0"/>
                                                      <w:divBdr>
                                                        <w:top w:val="none" w:sz="0" w:space="0" w:color="auto"/>
                                                        <w:left w:val="none" w:sz="0" w:space="0" w:color="auto"/>
                                                        <w:bottom w:val="none" w:sz="0" w:space="0" w:color="auto"/>
                                                        <w:right w:val="none" w:sz="0" w:space="0" w:color="auto"/>
                                                      </w:divBdr>
                                                      <w:divsChild>
                                                        <w:div w:id="446824543">
                                                          <w:marLeft w:val="0"/>
                                                          <w:marRight w:val="0"/>
                                                          <w:marTop w:val="0"/>
                                                          <w:marBottom w:val="0"/>
                                                          <w:divBdr>
                                                            <w:top w:val="none" w:sz="0" w:space="0" w:color="auto"/>
                                                            <w:left w:val="none" w:sz="0" w:space="0" w:color="auto"/>
                                                            <w:bottom w:val="none" w:sz="0" w:space="0" w:color="auto"/>
                                                            <w:right w:val="none" w:sz="0" w:space="0" w:color="auto"/>
                                                          </w:divBdr>
                                                          <w:divsChild>
                                                            <w:div w:id="10740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8057523">
      <w:bodyDiv w:val="1"/>
      <w:marLeft w:val="0"/>
      <w:marRight w:val="0"/>
      <w:marTop w:val="0"/>
      <w:marBottom w:val="0"/>
      <w:divBdr>
        <w:top w:val="none" w:sz="0" w:space="0" w:color="auto"/>
        <w:left w:val="none" w:sz="0" w:space="0" w:color="auto"/>
        <w:bottom w:val="none" w:sz="0" w:space="0" w:color="auto"/>
        <w:right w:val="none" w:sz="0" w:space="0" w:color="auto"/>
      </w:divBdr>
    </w:div>
    <w:div w:id="869994135">
      <w:bodyDiv w:val="1"/>
      <w:marLeft w:val="0"/>
      <w:marRight w:val="0"/>
      <w:marTop w:val="0"/>
      <w:marBottom w:val="0"/>
      <w:divBdr>
        <w:top w:val="none" w:sz="0" w:space="0" w:color="auto"/>
        <w:left w:val="none" w:sz="0" w:space="0" w:color="auto"/>
        <w:bottom w:val="none" w:sz="0" w:space="0" w:color="auto"/>
        <w:right w:val="none" w:sz="0" w:space="0" w:color="auto"/>
      </w:divBdr>
    </w:div>
    <w:div w:id="1362823512">
      <w:bodyDiv w:val="1"/>
      <w:marLeft w:val="0"/>
      <w:marRight w:val="0"/>
      <w:marTop w:val="0"/>
      <w:marBottom w:val="0"/>
      <w:divBdr>
        <w:top w:val="none" w:sz="0" w:space="0" w:color="auto"/>
        <w:left w:val="none" w:sz="0" w:space="0" w:color="auto"/>
        <w:bottom w:val="none" w:sz="0" w:space="0" w:color="auto"/>
        <w:right w:val="none" w:sz="0" w:space="0" w:color="auto"/>
      </w:divBdr>
    </w:div>
    <w:div w:id="1366129241">
      <w:bodyDiv w:val="1"/>
      <w:marLeft w:val="0"/>
      <w:marRight w:val="0"/>
      <w:marTop w:val="0"/>
      <w:marBottom w:val="0"/>
      <w:divBdr>
        <w:top w:val="none" w:sz="0" w:space="0" w:color="auto"/>
        <w:left w:val="none" w:sz="0" w:space="0" w:color="auto"/>
        <w:bottom w:val="none" w:sz="0" w:space="0" w:color="auto"/>
        <w:right w:val="none" w:sz="0" w:space="0" w:color="auto"/>
      </w:divBdr>
    </w:div>
    <w:div w:id="1391153815">
      <w:bodyDiv w:val="1"/>
      <w:marLeft w:val="0"/>
      <w:marRight w:val="0"/>
      <w:marTop w:val="0"/>
      <w:marBottom w:val="0"/>
      <w:divBdr>
        <w:top w:val="none" w:sz="0" w:space="0" w:color="auto"/>
        <w:left w:val="none" w:sz="0" w:space="0" w:color="auto"/>
        <w:bottom w:val="none" w:sz="0" w:space="0" w:color="auto"/>
        <w:right w:val="none" w:sz="0" w:space="0" w:color="auto"/>
      </w:divBdr>
    </w:div>
    <w:div w:id="1496066021">
      <w:bodyDiv w:val="1"/>
      <w:marLeft w:val="0"/>
      <w:marRight w:val="0"/>
      <w:marTop w:val="0"/>
      <w:marBottom w:val="0"/>
      <w:divBdr>
        <w:top w:val="none" w:sz="0" w:space="0" w:color="auto"/>
        <w:left w:val="none" w:sz="0" w:space="0" w:color="auto"/>
        <w:bottom w:val="none" w:sz="0" w:space="0" w:color="auto"/>
        <w:right w:val="none" w:sz="0" w:space="0" w:color="auto"/>
      </w:divBdr>
    </w:div>
    <w:div w:id="1496261862">
      <w:bodyDiv w:val="1"/>
      <w:marLeft w:val="0"/>
      <w:marRight w:val="0"/>
      <w:marTop w:val="0"/>
      <w:marBottom w:val="0"/>
      <w:divBdr>
        <w:top w:val="none" w:sz="0" w:space="0" w:color="auto"/>
        <w:left w:val="none" w:sz="0" w:space="0" w:color="auto"/>
        <w:bottom w:val="none" w:sz="0" w:space="0" w:color="auto"/>
        <w:right w:val="none" w:sz="0" w:space="0" w:color="auto"/>
      </w:divBdr>
    </w:div>
    <w:div w:id="1565333510">
      <w:bodyDiv w:val="1"/>
      <w:marLeft w:val="0"/>
      <w:marRight w:val="0"/>
      <w:marTop w:val="0"/>
      <w:marBottom w:val="0"/>
      <w:divBdr>
        <w:top w:val="none" w:sz="0" w:space="0" w:color="auto"/>
        <w:left w:val="none" w:sz="0" w:space="0" w:color="auto"/>
        <w:bottom w:val="none" w:sz="0" w:space="0" w:color="auto"/>
        <w:right w:val="none" w:sz="0" w:space="0" w:color="auto"/>
      </w:divBdr>
    </w:div>
    <w:div w:id="1566456171">
      <w:bodyDiv w:val="1"/>
      <w:marLeft w:val="0"/>
      <w:marRight w:val="0"/>
      <w:marTop w:val="0"/>
      <w:marBottom w:val="0"/>
      <w:divBdr>
        <w:top w:val="none" w:sz="0" w:space="0" w:color="auto"/>
        <w:left w:val="none" w:sz="0" w:space="0" w:color="auto"/>
        <w:bottom w:val="none" w:sz="0" w:space="0" w:color="auto"/>
        <w:right w:val="none" w:sz="0" w:space="0" w:color="auto"/>
      </w:divBdr>
    </w:div>
    <w:div w:id="1689329320">
      <w:bodyDiv w:val="1"/>
      <w:marLeft w:val="0"/>
      <w:marRight w:val="0"/>
      <w:marTop w:val="0"/>
      <w:marBottom w:val="0"/>
      <w:divBdr>
        <w:top w:val="none" w:sz="0" w:space="0" w:color="auto"/>
        <w:left w:val="none" w:sz="0" w:space="0" w:color="auto"/>
        <w:bottom w:val="none" w:sz="0" w:space="0" w:color="auto"/>
        <w:right w:val="none" w:sz="0" w:space="0" w:color="auto"/>
      </w:divBdr>
    </w:div>
    <w:div w:id="1943998475">
      <w:bodyDiv w:val="1"/>
      <w:marLeft w:val="0"/>
      <w:marRight w:val="0"/>
      <w:marTop w:val="0"/>
      <w:marBottom w:val="0"/>
      <w:divBdr>
        <w:top w:val="none" w:sz="0" w:space="0" w:color="auto"/>
        <w:left w:val="none" w:sz="0" w:space="0" w:color="auto"/>
        <w:bottom w:val="none" w:sz="0" w:space="0" w:color="auto"/>
        <w:right w:val="none" w:sz="0" w:space="0" w:color="auto"/>
      </w:divBdr>
    </w:div>
    <w:div w:id="2065252373">
      <w:bodyDiv w:val="1"/>
      <w:marLeft w:val="0"/>
      <w:marRight w:val="0"/>
      <w:marTop w:val="0"/>
      <w:marBottom w:val="0"/>
      <w:divBdr>
        <w:top w:val="none" w:sz="0" w:space="0" w:color="auto"/>
        <w:left w:val="none" w:sz="0" w:space="0" w:color="auto"/>
        <w:bottom w:val="none" w:sz="0" w:space="0" w:color="auto"/>
        <w:right w:val="none" w:sz="0" w:space="0" w:color="auto"/>
      </w:divBdr>
    </w:div>
    <w:div w:id="21330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hyperlink" Target="https://www.comlaw.gov.au/Details/F2015C00726" TargetMode="External"/><Relationship Id="rId26"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ris.dpmc.gov.au/2015/09/29/changes-to-the-national-television-and-computer-recycling-scheme/" TargetMode="External"/><Relationship Id="rId25" Type="http://schemas.openxmlformats.org/officeDocument/2006/relationships/chart" Target="charts/chart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vironment.gov.au/protection/national-waste-policy/television-and-computer-recycling-scheme/review" TargetMode="External"/><Relationship Id="rId20" Type="http://schemas.openxmlformats.org/officeDocument/2006/relationships/hyperlink" Target="http://www.environment.gov.au/ewaste" TargetMode="External"/><Relationship Id="rId29"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hart" Target="charts/chart2.xml"/><Relationship Id="rId28"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hyperlink" Target="http://www.environment.gov.au/protection/national-waste-policy/publications/factsheet-national-television-and-computer-recycling-scheme-changes" TargetMode="External"/><Relationship Id="rId31"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environment.gov.au/ewaste" TargetMode="External"/><Relationship Id="rId27" Type="http://schemas.openxmlformats.org/officeDocument/2006/relationships/diagramData" Target="diagrams/data1.xml"/><Relationship Id="rId30" Type="http://schemas.openxmlformats.org/officeDocument/2006/relationships/diagramColors" Target="diagrams/colors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title>
    <c:autoTitleDeleted val="0"/>
    <c:plotArea>
      <c:layout>
        <c:manualLayout>
          <c:layoutTarget val="inner"/>
          <c:xMode val="edge"/>
          <c:yMode val="edge"/>
          <c:x val="0.12749573343690862"/>
          <c:y val="0.10818413909865369"/>
          <c:w val="0.50001718395065531"/>
          <c:h val="0.77974707706991475"/>
        </c:manualLayout>
      </c:layout>
      <c:doughnutChart>
        <c:varyColors val="1"/>
        <c:ser>
          <c:idx val="0"/>
          <c:order val="0"/>
          <c:tx>
            <c:strRef>
              <c:f>Sheet1!$B$1</c:f>
              <c:strCache>
                <c:ptCount val="1"/>
                <c:pt idx="0">
                  <c:v>  </c:v>
                </c:pt>
              </c:strCache>
            </c:strRef>
          </c:tx>
          <c:dLbls>
            <c:dLbl>
              <c:idx val="0"/>
              <c:layout/>
              <c:tx>
                <c:rich>
                  <a:bodyPr/>
                  <a:lstStyle/>
                  <a:p>
                    <a:r>
                      <a:rPr lang="en-US" sz="1400" b="1">
                        <a:solidFill>
                          <a:schemeClr val="bg1"/>
                        </a:solidFill>
                      </a:rPr>
                      <a:t>5</a:t>
                    </a:r>
                    <a:r>
                      <a:rPr lang="en-US"/>
                      <a:t>9</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sz="1400" b="1">
                        <a:solidFill>
                          <a:schemeClr val="bg1"/>
                        </a:solidFill>
                      </a:rPr>
                      <a:t>6</a:t>
                    </a:r>
                    <a:r>
                      <a:rPr lang="en-US"/>
                      <a:t>4</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sz="1400" b="1">
                        <a:solidFill>
                          <a:schemeClr val="bg1"/>
                        </a:solidFill>
                      </a:rPr>
                      <a:t>6</a:t>
                    </a:r>
                    <a:r>
                      <a:rPr lang="en-US"/>
                      <a:t>2</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sz="1400" b="1">
                        <a:solidFill>
                          <a:schemeClr val="bg1"/>
                        </a:solidFill>
                      </a:rPr>
                      <a:t>3</a:t>
                    </a:r>
                    <a:r>
                      <a:rPr lang="en-US"/>
                      <a:t>2</a:t>
                    </a:r>
                  </a:p>
                </c:rich>
              </c:tx>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400" b="1">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Metropolitan</c:v>
                </c:pt>
                <c:pt idx="1">
                  <c:v>Inner Regional</c:v>
                </c:pt>
                <c:pt idx="2">
                  <c:v>Outer Regional</c:v>
                </c:pt>
                <c:pt idx="3">
                  <c:v>Remote (every two years)</c:v>
                </c:pt>
              </c:strCache>
            </c:strRef>
          </c:cat>
          <c:val>
            <c:numRef>
              <c:f>Sheet1!$B$2:$B$5</c:f>
              <c:numCache>
                <c:formatCode>General</c:formatCode>
                <c:ptCount val="4"/>
                <c:pt idx="0">
                  <c:v>59</c:v>
                </c:pt>
                <c:pt idx="1">
                  <c:v>64</c:v>
                </c:pt>
                <c:pt idx="2">
                  <c:v>62</c:v>
                </c:pt>
                <c:pt idx="3">
                  <c:v>32</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68923908054094163"/>
          <c:y val="0.31943887560130235"/>
          <c:w val="0.29282369972811834"/>
          <c:h val="0.55807890292783169"/>
        </c:manualLayout>
      </c:layout>
      <c:overlay val="0"/>
      <c:txPr>
        <a:bodyPr/>
        <a:lstStyle/>
        <a:p>
          <a:pPr>
            <a:defRPr sz="11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Sheet1!$B$1</c:f>
              <c:strCache>
                <c:ptCount val="1"/>
                <c:pt idx="0">
                  <c:v>Target</c:v>
                </c:pt>
              </c:strCache>
            </c:strRef>
          </c:tx>
          <c:invertIfNegative val="0"/>
          <c:cat>
            <c:strRef>
              <c:f>Sheet1!$A$2:$A$6</c:f>
              <c:strCache>
                <c:ptCount val="5"/>
                <c:pt idx="0">
                  <c:v>ANZRP</c:v>
                </c:pt>
                <c:pt idx="1">
                  <c:v>DHL</c:v>
                </c:pt>
                <c:pt idx="2">
                  <c:v>Ecycle</c:v>
                </c:pt>
                <c:pt idx="3">
                  <c:v>EPSA</c:v>
                </c:pt>
                <c:pt idx="4">
                  <c:v>Reverse E-waste</c:v>
                </c:pt>
              </c:strCache>
            </c:strRef>
          </c:cat>
          <c:val>
            <c:numRef>
              <c:f>Sheet1!$B$2:$B$6</c:f>
              <c:numCache>
                <c:formatCode>#,##0.00</c:formatCode>
                <c:ptCount val="5"/>
                <c:pt idx="0">
                  <c:v>19295.349999999962</c:v>
                </c:pt>
                <c:pt idx="1">
                  <c:v>12949.740000000014</c:v>
                </c:pt>
                <c:pt idx="2">
                  <c:v>2217.61</c:v>
                </c:pt>
                <c:pt idx="3">
                  <c:v>2559.88</c:v>
                </c:pt>
                <c:pt idx="4">
                  <c:v>5580.1</c:v>
                </c:pt>
              </c:numCache>
            </c:numRef>
          </c:val>
        </c:ser>
        <c:ser>
          <c:idx val="1"/>
          <c:order val="1"/>
          <c:tx>
            <c:strRef>
              <c:f>Sheet1!$C$1</c:f>
              <c:strCache>
                <c:ptCount val="1"/>
                <c:pt idx="0">
                  <c:v>Achieved</c:v>
                </c:pt>
              </c:strCache>
            </c:strRef>
          </c:tx>
          <c:invertIfNegative val="0"/>
          <c:cat>
            <c:strRef>
              <c:f>Sheet1!$A$2:$A$6</c:f>
              <c:strCache>
                <c:ptCount val="5"/>
                <c:pt idx="0">
                  <c:v>ANZRP</c:v>
                </c:pt>
                <c:pt idx="1">
                  <c:v>DHL</c:v>
                </c:pt>
                <c:pt idx="2">
                  <c:v>Ecycle</c:v>
                </c:pt>
                <c:pt idx="3">
                  <c:v>EPSA</c:v>
                </c:pt>
                <c:pt idx="4">
                  <c:v>Reverse E-waste</c:v>
                </c:pt>
              </c:strCache>
            </c:strRef>
          </c:cat>
          <c:val>
            <c:numRef>
              <c:f>Sheet1!$C$2:$C$6</c:f>
              <c:numCache>
                <c:formatCode>#,##0.00</c:formatCode>
                <c:ptCount val="5"/>
                <c:pt idx="0">
                  <c:v>19673.14</c:v>
                </c:pt>
                <c:pt idx="1">
                  <c:v>12949.740000000014</c:v>
                </c:pt>
                <c:pt idx="2">
                  <c:v>2217.61</c:v>
                </c:pt>
                <c:pt idx="3">
                  <c:v>4274.4800000000005</c:v>
                </c:pt>
                <c:pt idx="4">
                  <c:v>5494</c:v>
                </c:pt>
              </c:numCache>
            </c:numRef>
          </c:val>
        </c:ser>
        <c:dLbls>
          <c:showLegendKey val="0"/>
          <c:showVal val="0"/>
          <c:showCatName val="0"/>
          <c:showSerName val="0"/>
          <c:showPercent val="0"/>
          <c:showBubbleSize val="0"/>
        </c:dLbls>
        <c:gapWidth val="150"/>
        <c:axId val="329661912"/>
        <c:axId val="330172160"/>
      </c:barChart>
      <c:catAx>
        <c:axId val="329661912"/>
        <c:scaling>
          <c:orientation val="minMax"/>
        </c:scaling>
        <c:delete val="0"/>
        <c:axPos val="b"/>
        <c:numFmt formatCode="General" sourceLinked="0"/>
        <c:majorTickMark val="out"/>
        <c:minorTickMark val="none"/>
        <c:tickLblPos val="nextTo"/>
        <c:crossAx val="330172160"/>
        <c:crosses val="autoZero"/>
        <c:auto val="1"/>
        <c:lblAlgn val="ctr"/>
        <c:lblOffset val="100"/>
        <c:noMultiLvlLbl val="0"/>
      </c:catAx>
      <c:valAx>
        <c:axId val="330172160"/>
        <c:scaling>
          <c:orientation val="minMax"/>
          <c:max val="20000"/>
        </c:scaling>
        <c:delete val="0"/>
        <c:axPos val="l"/>
        <c:majorGridlines/>
        <c:numFmt formatCode="#,##0.00" sourceLinked="1"/>
        <c:majorTickMark val="out"/>
        <c:minorTickMark val="none"/>
        <c:tickLblPos val="nextTo"/>
        <c:crossAx val="3296619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Sheet1!$B$1</c:f>
              <c:strCache>
                <c:ptCount val="1"/>
                <c:pt idx="0">
                  <c:v>Q1</c:v>
                </c:pt>
              </c:strCache>
            </c:strRef>
          </c:tx>
          <c:invertIfNegative val="0"/>
          <c:cat>
            <c:strRef>
              <c:f>Sheet1!$A$2:$A$6</c:f>
              <c:strCache>
                <c:ptCount val="5"/>
                <c:pt idx="0">
                  <c:v>ANZRP</c:v>
                </c:pt>
                <c:pt idx="1">
                  <c:v>DHL</c:v>
                </c:pt>
                <c:pt idx="2">
                  <c:v>E-Cycle</c:v>
                </c:pt>
                <c:pt idx="3">
                  <c:v>EPSA</c:v>
                </c:pt>
                <c:pt idx="4">
                  <c:v>Reverse</c:v>
                </c:pt>
              </c:strCache>
            </c:strRef>
          </c:cat>
          <c:val>
            <c:numRef>
              <c:f>Sheet1!$B$2:$B$6</c:f>
              <c:numCache>
                <c:formatCode>#,##0</c:formatCode>
                <c:ptCount val="5"/>
                <c:pt idx="0" formatCode="#,##0.00">
                  <c:v>6027.8</c:v>
                </c:pt>
                <c:pt idx="1">
                  <c:v>2708</c:v>
                </c:pt>
                <c:pt idx="2" formatCode="General">
                  <c:v>398</c:v>
                </c:pt>
                <c:pt idx="3" formatCode="General">
                  <c:v>934</c:v>
                </c:pt>
                <c:pt idx="4" formatCode="General">
                  <c:v>926.2</c:v>
                </c:pt>
              </c:numCache>
            </c:numRef>
          </c:val>
        </c:ser>
        <c:ser>
          <c:idx val="1"/>
          <c:order val="1"/>
          <c:tx>
            <c:strRef>
              <c:f>Sheet1!$C$1</c:f>
              <c:strCache>
                <c:ptCount val="1"/>
                <c:pt idx="0">
                  <c:v>Q2</c:v>
                </c:pt>
              </c:strCache>
            </c:strRef>
          </c:tx>
          <c:invertIfNegative val="0"/>
          <c:cat>
            <c:strRef>
              <c:f>Sheet1!$A$2:$A$6</c:f>
              <c:strCache>
                <c:ptCount val="5"/>
                <c:pt idx="0">
                  <c:v>ANZRP</c:v>
                </c:pt>
                <c:pt idx="1">
                  <c:v>DHL</c:v>
                </c:pt>
                <c:pt idx="2">
                  <c:v>E-Cycle</c:v>
                </c:pt>
                <c:pt idx="3">
                  <c:v>EPSA</c:v>
                </c:pt>
                <c:pt idx="4">
                  <c:v>Reverse</c:v>
                </c:pt>
              </c:strCache>
            </c:strRef>
          </c:cat>
          <c:val>
            <c:numRef>
              <c:f>Sheet1!$C$2:$C$6</c:f>
              <c:numCache>
                <c:formatCode>#,##0</c:formatCode>
                <c:ptCount val="5"/>
                <c:pt idx="0" formatCode="#,##0.00">
                  <c:v>4023.8</c:v>
                </c:pt>
                <c:pt idx="1">
                  <c:v>3700</c:v>
                </c:pt>
                <c:pt idx="2" formatCode="General">
                  <c:v>372.3</c:v>
                </c:pt>
                <c:pt idx="3" formatCode="General">
                  <c:v>977.8</c:v>
                </c:pt>
                <c:pt idx="4" formatCode="General">
                  <c:v>998.6</c:v>
                </c:pt>
              </c:numCache>
            </c:numRef>
          </c:val>
        </c:ser>
        <c:ser>
          <c:idx val="2"/>
          <c:order val="2"/>
          <c:tx>
            <c:strRef>
              <c:f>Sheet1!$D$1</c:f>
              <c:strCache>
                <c:ptCount val="1"/>
                <c:pt idx="0">
                  <c:v>Q3</c:v>
                </c:pt>
              </c:strCache>
            </c:strRef>
          </c:tx>
          <c:invertIfNegative val="0"/>
          <c:cat>
            <c:strRef>
              <c:f>Sheet1!$A$2:$A$6</c:f>
              <c:strCache>
                <c:ptCount val="5"/>
                <c:pt idx="0">
                  <c:v>ANZRP</c:v>
                </c:pt>
                <c:pt idx="1">
                  <c:v>DHL</c:v>
                </c:pt>
                <c:pt idx="2">
                  <c:v>E-Cycle</c:v>
                </c:pt>
                <c:pt idx="3">
                  <c:v>EPSA</c:v>
                </c:pt>
                <c:pt idx="4">
                  <c:v>Reverse</c:v>
                </c:pt>
              </c:strCache>
            </c:strRef>
          </c:cat>
          <c:val>
            <c:numRef>
              <c:f>Sheet1!$D$2:$D$6</c:f>
              <c:numCache>
                <c:formatCode>#,##0</c:formatCode>
                <c:ptCount val="5"/>
                <c:pt idx="0" formatCode="#,##0.00">
                  <c:v>3522.1</c:v>
                </c:pt>
                <c:pt idx="1">
                  <c:v>1964</c:v>
                </c:pt>
                <c:pt idx="2" formatCode="General">
                  <c:v>455.4</c:v>
                </c:pt>
                <c:pt idx="3" formatCode="#,##0.00">
                  <c:v>1223.4000000000001</c:v>
                </c:pt>
                <c:pt idx="4" formatCode="#,##0.00">
                  <c:v>1592.1</c:v>
                </c:pt>
              </c:numCache>
            </c:numRef>
          </c:val>
        </c:ser>
        <c:ser>
          <c:idx val="3"/>
          <c:order val="3"/>
          <c:tx>
            <c:strRef>
              <c:f>Sheet1!$E$1</c:f>
              <c:strCache>
                <c:ptCount val="1"/>
                <c:pt idx="0">
                  <c:v>Q4</c:v>
                </c:pt>
              </c:strCache>
            </c:strRef>
          </c:tx>
          <c:invertIfNegative val="0"/>
          <c:cat>
            <c:strRef>
              <c:f>Sheet1!$A$2:$A$6</c:f>
              <c:strCache>
                <c:ptCount val="5"/>
                <c:pt idx="0">
                  <c:v>ANZRP</c:v>
                </c:pt>
                <c:pt idx="1">
                  <c:v>DHL</c:v>
                </c:pt>
                <c:pt idx="2">
                  <c:v>E-Cycle</c:v>
                </c:pt>
                <c:pt idx="3">
                  <c:v>EPSA</c:v>
                </c:pt>
                <c:pt idx="4">
                  <c:v>Reverse</c:v>
                </c:pt>
              </c:strCache>
            </c:strRef>
          </c:cat>
          <c:val>
            <c:numRef>
              <c:f>Sheet1!$E$2:$E$6</c:f>
              <c:numCache>
                <c:formatCode>#,##0</c:formatCode>
                <c:ptCount val="5"/>
                <c:pt idx="0" formatCode="#,##0.00">
                  <c:v>4318.2</c:v>
                </c:pt>
                <c:pt idx="1">
                  <c:v>3790</c:v>
                </c:pt>
                <c:pt idx="2" formatCode="General">
                  <c:v>502.4</c:v>
                </c:pt>
                <c:pt idx="3" formatCode="#,##0.00">
                  <c:v>1245.7</c:v>
                </c:pt>
                <c:pt idx="4">
                  <c:v>1776</c:v>
                </c:pt>
              </c:numCache>
            </c:numRef>
          </c:val>
        </c:ser>
        <c:dLbls>
          <c:showLegendKey val="0"/>
          <c:showVal val="0"/>
          <c:showCatName val="0"/>
          <c:showSerName val="0"/>
          <c:showPercent val="0"/>
          <c:showBubbleSize val="0"/>
        </c:dLbls>
        <c:gapWidth val="150"/>
        <c:axId val="330109048"/>
        <c:axId val="330507856"/>
      </c:barChart>
      <c:catAx>
        <c:axId val="330109048"/>
        <c:scaling>
          <c:orientation val="minMax"/>
        </c:scaling>
        <c:delete val="0"/>
        <c:axPos val="b"/>
        <c:numFmt formatCode="General" sourceLinked="0"/>
        <c:majorTickMark val="out"/>
        <c:minorTickMark val="none"/>
        <c:tickLblPos val="nextTo"/>
        <c:crossAx val="330507856"/>
        <c:crosses val="autoZero"/>
        <c:auto val="1"/>
        <c:lblAlgn val="ctr"/>
        <c:lblOffset val="100"/>
        <c:noMultiLvlLbl val="0"/>
      </c:catAx>
      <c:valAx>
        <c:axId val="330507856"/>
        <c:scaling>
          <c:orientation val="minMax"/>
        </c:scaling>
        <c:delete val="0"/>
        <c:axPos val="l"/>
        <c:majorGridlines/>
        <c:numFmt formatCode="#,##0.00" sourceLinked="1"/>
        <c:majorTickMark val="out"/>
        <c:minorTickMark val="none"/>
        <c:tickLblPos val="nextTo"/>
        <c:crossAx val="3301090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7408482826540758"/>
          <c:y val="0.18592636645494875"/>
          <c:w val="0.43539810665498113"/>
          <c:h val="0.73267898914448504"/>
        </c:manualLayout>
      </c:layout>
      <c:pieChart>
        <c:varyColors val="1"/>
        <c:ser>
          <c:idx val="0"/>
          <c:order val="0"/>
          <c:tx>
            <c:strRef>
              <c:f>Sheet1!$B$1</c:f>
              <c:strCache>
                <c:ptCount val="1"/>
                <c:pt idx="0">
                  <c:v>14/15 Material stats (kg)</c:v>
                </c:pt>
              </c:strCache>
            </c:strRef>
          </c:tx>
          <c:dLbls>
            <c:dLbl>
              <c:idx val="5"/>
              <c:layout>
                <c:manualLayout>
                  <c:x val="-1.8087146647064137E-3"/>
                  <c:y val="-3.5769124025659932E-2"/>
                </c:manualLayout>
              </c:layout>
              <c:tx>
                <c:rich>
                  <a:bodyPr/>
                  <a:lstStyle/>
                  <a:p>
                    <a:r>
                      <a:rPr lang="en-US" sz="1100">
                        <a:solidFill>
                          <a:sysClr val="windowText" lastClr="000000"/>
                        </a:solidFill>
                      </a:rPr>
                      <a:t>3</a:t>
                    </a:r>
                    <a:r>
                      <a:rPr lang="en-US">
                        <a:solidFill>
                          <a:sysClr val="windowText" lastClr="000000"/>
                        </a:solidFill>
                      </a:rPr>
                      <a:t>%</a:t>
                    </a:r>
                  </a:p>
                </c:rich>
              </c:tx>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100" b="1">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Sheet1!$A$2:$A$7</c:f>
              <c:strCache>
                <c:ptCount val="6"/>
                <c:pt idx="0">
                  <c:v>Metals</c:v>
                </c:pt>
                <c:pt idx="1">
                  <c:v>Plastics</c:v>
                </c:pt>
                <c:pt idx="2">
                  <c:v>Leaded glass</c:v>
                </c:pt>
                <c:pt idx="3">
                  <c:v>Non-leaded glass</c:v>
                </c:pt>
                <c:pt idx="4">
                  <c:v>Circuit boards</c:v>
                </c:pt>
                <c:pt idx="5">
                  <c:v>Other</c:v>
                </c:pt>
              </c:strCache>
            </c:strRef>
          </c:cat>
          <c:val>
            <c:numRef>
              <c:f>Sheet1!$B$2:$B$7</c:f>
              <c:numCache>
                <c:formatCode>#,##0.00</c:formatCode>
                <c:ptCount val="6"/>
                <c:pt idx="0">
                  <c:v>16162970</c:v>
                </c:pt>
                <c:pt idx="1">
                  <c:v>5973320</c:v>
                </c:pt>
                <c:pt idx="2">
                  <c:v>5385860</c:v>
                </c:pt>
                <c:pt idx="3">
                  <c:v>6040420</c:v>
                </c:pt>
                <c:pt idx="4">
                  <c:v>1952300</c:v>
                </c:pt>
                <c:pt idx="5">
                  <c:v>667110</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1100"/>
            </a:pPr>
            <a:endParaRPr lang="en-US"/>
          </a:p>
        </c:txPr>
      </c:legendEntry>
      <c:legendEntry>
        <c:idx val="1"/>
        <c:txPr>
          <a:bodyPr/>
          <a:lstStyle/>
          <a:p>
            <a:pPr>
              <a:defRPr sz="1100"/>
            </a:pPr>
            <a:endParaRPr lang="en-US"/>
          </a:p>
        </c:txPr>
      </c:legendEntry>
      <c:legendEntry>
        <c:idx val="2"/>
        <c:txPr>
          <a:bodyPr/>
          <a:lstStyle/>
          <a:p>
            <a:pPr>
              <a:defRPr sz="1100"/>
            </a:pPr>
            <a:endParaRPr lang="en-US"/>
          </a:p>
        </c:txPr>
      </c:legendEntry>
      <c:legendEntry>
        <c:idx val="3"/>
        <c:txPr>
          <a:bodyPr/>
          <a:lstStyle/>
          <a:p>
            <a:pPr>
              <a:defRPr sz="1100"/>
            </a:pPr>
            <a:endParaRPr lang="en-US"/>
          </a:p>
        </c:txPr>
      </c:legendEntry>
      <c:legendEntry>
        <c:idx val="4"/>
        <c:txPr>
          <a:bodyPr/>
          <a:lstStyle/>
          <a:p>
            <a:pPr>
              <a:defRPr sz="1100"/>
            </a:pPr>
            <a:endParaRPr lang="en-US"/>
          </a:p>
        </c:txPr>
      </c:legendEntry>
      <c:legendEntry>
        <c:idx val="5"/>
        <c:txPr>
          <a:bodyPr/>
          <a:lstStyle/>
          <a:p>
            <a:pPr>
              <a:defRPr sz="1100"/>
            </a:pPr>
            <a:endParaRPr lang="en-US"/>
          </a:p>
        </c:txPr>
      </c:legendEntry>
      <c:layout>
        <c:manualLayout>
          <c:xMode val="edge"/>
          <c:yMode val="edge"/>
          <c:x val="0.62085714151081262"/>
          <c:y val="0.30036650252555414"/>
          <c:w val="0.32653387805877948"/>
          <c:h val="0.5535634480735225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24439162085868"/>
          <c:y val="6.2499975607138498E-2"/>
          <c:w val="0.46422958450948348"/>
          <c:h val="0.91465308472128659"/>
        </c:manualLayout>
      </c:layout>
      <c:pieChart>
        <c:varyColors val="1"/>
        <c:ser>
          <c:idx val="0"/>
          <c:order val="0"/>
          <c:tx>
            <c:strRef>
              <c:f>Sheet1!$B$1</c:f>
              <c:strCache>
                <c:ptCount val="1"/>
                <c:pt idx="0">
                  <c:v>Weight of the recycled fractions from recycled products exported for processing under the co-regulatory arrangement during the financial year.</c:v>
                </c:pt>
              </c:strCache>
            </c:strRef>
          </c:tx>
          <c:dLbls>
            <c:dLbl>
              <c:idx val="4"/>
              <c:layout/>
              <c:tx>
                <c:rich>
                  <a:bodyPr/>
                  <a:lstStyle/>
                  <a:p>
                    <a:r>
                      <a:rPr lang="en-US">
                        <a:solidFill>
                          <a:sysClr val="windowText" lastClr="000000"/>
                        </a:solidFill>
                      </a:rPr>
                      <a:t>3%</a:t>
                    </a:r>
                  </a:p>
                </c:rich>
              </c:tx>
              <c:showLegendKey val="0"/>
              <c:showVal val="0"/>
              <c:showCatName val="0"/>
              <c:showSerName val="0"/>
              <c:showPercent val="1"/>
              <c:showBubbleSize val="0"/>
              <c:extLst>
                <c:ext xmlns:c15="http://schemas.microsoft.com/office/drawing/2012/chart" uri="{CE6537A1-D6FC-4f65-9D91-7224C49458BB}">
                  <c15:layout/>
                </c:ext>
              </c:extLst>
            </c:dLbl>
            <c:dLbl>
              <c:idx val="5"/>
              <c:layout/>
              <c:tx>
                <c:rich>
                  <a:bodyPr/>
                  <a:lstStyle/>
                  <a:p>
                    <a:r>
                      <a:rPr lang="en-US">
                        <a:solidFill>
                          <a:sysClr val="windowText" lastClr="000000"/>
                        </a:solidFill>
                      </a:rPr>
                      <a:t>2%</a:t>
                    </a:r>
                  </a:p>
                </c:rich>
              </c:tx>
              <c:showLegendKey val="0"/>
              <c:showVal val="0"/>
              <c:showCatName val="0"/>
              <c:showSerName val="0"/>
              <c:showPercent val="1"/>
              <c:showBubbleSize val="0"/>
              <c:extLst>
                <c:ext xmlns:c15="http://schemas.microsoft.com/office/drawing/2012/chart" uri="{CE6537A1-D6FC-4f65-9D91-7224C49458BB}">
                  <c15:layout/>
                </c:ext>
              </c:extLst>
            </c:dLbl>
            <c:dLbl>
              <c:idx val="6"/>
              <c:layout/>
              <c:tx>
                <c:rich>
                  <a:bodyPr/>
                  <a:lstStyle/>
                  <a:p>
                    <a:endParaRPr lang="en-US">
                      <a:solidFill>
                        <a:sysClr val="windowText" lastClr="000000"/>
                      </a:solidFill>
                    </a:endParaRPr>
                  </a:p>
                </c:rich>
              </c:tx>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100" b="1">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Sheet1!$A$2:$A$8</c:f>
              <c:strCache>
                <c:ptCount val="7"/>
                <c:pt idx="0">
                  <c:v>China - 6191.18 </c:v>
                </c:pt>
                <c:pt idx="1">
                  <c:v>Indonesia - 4094.05 </c:v>
                </c:pt>
                <c:pt idx="2">
                  <c:v>Japan - 2582.46 </c:v>
                </c:pt>
                <c:pt idx="3">
                  <c:v>Korea - 1125.38 </c:v>
                </c:pt>
                <c:pt idx="4">
                  <c:v>Hong Kong - 439.16 </c:v>
                </c:pt>
                <c:pt idx="5">
                  <c:v>Singapore - 265.46 </c:v>
                </c:pt>
                <c:pt idx="6">
                  <c:v>Thailand - 9.22 </c:v>
                </c:pt>
              </c:strCache>
            </c:strRef>
          </c:cat>
          <c:val>
            <c:numRef>
              <c:f>Sheet1!$B$2:$B$8</c:f>
              <c:numCache>
                <c:formatCode>General</c:formatCode>
                <c:ptCount val="7"/>
                <c:pt idx="0" formatCode="0.00">
                  <c:v>6191.18</c:v>
                </c:pt>
                <c:pt idx="1">
                  <c:v>4094.05</c:v>
                </c:pt>
                <c:pt idx="2">
                  <c:v>2582.46</c:v>
                </c:pt>
                <c:pt idx="3">
                  <c:v>1125.3799999999999</c:v>
                </c:pt>
                <c:pt idx="4">
                  <c:v>439.16</c:v>
                </c:pt>
                <c:pt idx="5">
                  <c:v>265.45999999999964</c:v>
                </c:pt>
                <c:pt idx="6">
                  <c:v>9.2200000000000006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691942752439356"/>
          <c:y val="0.21490884585372846"/>
          <c:w val="0.35798623285297043"/>
          <c:h val="0.64675853018373031"/>
        </c:manualLayout>
      </c:layout>
      <c:overlay val="0"/>
      <c:txPr>
        <a:bodyPr/>
        <a:lstStyle/>
        <a:p>
          <a:pPr>
            <a:defRPr sz="1100"/>
          </a:pPr>
          <a:endParaRPr lang="en-US"/>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EF80BB-BA35-4BA7-AE53-B3347E284504}" type="doc">
      <dgm:prSet loTypeId="urn:microsoft.com/office/officeart/2005/8/layout/chevron2" loCatId="process" qsTypeId="urn:microsoft.com/office/officeart/2005/8/quickstyle/simple1" qsCatId="simple" csTypeId="urn:microsoft.com/office/officeart/2005/8/colors/accent1_2" csCatId="accent1" phldr="1"/>
      <dgm:spPr/>
    </dgm:pt>
    <dgm:pt modelId="{9AE3A03E-05DB-45AB-A1A0-C5B299533819}">
      <dgm:prSet phldrT="[Text]"/>
      <dgm:spPr/>
      <dgm:t>
        <a:bodyPr/>
        <a:lstStyle/>
        <a:p>
          <a:r>
            <a:rPr lang="en-AU"/>
            <a:t>July</a:t>
          </a:r>
        </a:p>
      </dgm:t>
    </dgm:pt>
    <dgm:pt modelId="{18F93824-043E-495C-A5B3-B5AD823E4A61}" type="parTrans" cxnId="{C810F719-6418-40BB-ACBB-0134837FC106}">
      <dgm:prSet/>
      <dgm:spPr/>
      <dgm:t>
        <a:bodyPr/>
        <a:lstStyle/>
        <a:p>
          <a:endParaRPr lang="en-AU"/>
        </a:p>
      </dgm:t>
    </dgm:pt>
    <dgm:pt modelId="{A21627BA-DD95-4297-B7AA-2B360CDA2E26}" type="sibTrans" cxnId="{C810F719-6418-40BB-ACBB-0134837FC106}">
      <dgm:prSet/>
      <dgm:spPr/>
      <dgm:t>
        <a:bodyPr/>
        <a:lstStyle/>
        <a:p>
          <a:endParaRPr lang="en-AU"/>
        </a:p>
      </dgm:t>
    </dgm:pt>
    <dgm:pt modelId="{B850526F-CBA3-467D-B8E9-73E6BDDCAF12}">
      <dgm:prSet phldrT="[Text]"/>
      <dgm:spPr/>
      <dgm:t>
        <a:bodyPr/>
        <a:lstStyle/>
        <a:p>
          <a:r>
            <a:rPr lang="en-AU"/>
            <a:t>August</a:t>
          </a:r>
        </a:p>
      </dgm:t>
    </dgm:pt>
    <dgm:pt modelId="{A94E6900-6619-4F01-A9F9-E0BBC5F6647A}" type="parTrans" cxnId="{929C03EE-9BA6-4BAA-B16E-9A025CEBD30C}">
      <dgm:prSet/>
      <dgm:spPr/>
      <dgm:t>
        <a:bodyPr/>
        <a:lstStyle/>
        <a:p>
          <a:endParaRPr lang="en-AU"/>
        </a:p>
      </dgm:t>
    </dgm:pt>
    <dgm:pt modelId="{7D317030-FD74-4A2D-A5B8-432E36A84B7F}" type="sibTrans" cxnId="{929C03EE-9BA6-4BAA-B16E-9A025CEBD30C}">
      <dgm:prSet/>
      <dgm:spPr/>
      <dgm:t>
        <a:bodyPr/>
        <a:lstStyle/>
        <a:p>
          <a:endParaRPr lang="en-AU"/>
        </a:p>
      </dgm:t>
    </dgm:pt>
    <dgm:pt modelId="{DBE73029-0300-460F-B578-20532C256717}">
      <dgm:prSet phldrT="[Text]" custT="1"/>
      <dgm:spPr/>
      <dgm:t>
        <a:bodyPr/>
        <a:lstStyle/>
        <a:p>
          <a:r>
            <a:rPr lang="en-AU" sz="1200"/>
            <a:t>Finalised statements of advice provided to liable parties with data changes</a:t>
          </a:r>
        </a:p>
      </dgm:t>
    </dgm:pt>
    <dgm:pt modelId="{CA115494-F288-4DC1-946B-117BAB1E4E5C}" type="parTrans" cxnId="{356583F3-5606-433E-9B5A-7D98385D6BBE}">
      <dgm:prSet/>
      <dgm:spPr/>
      <dgm:t>
        <a:bodyPr/>
        <a:lstStyle/>
        <a:p>
          <a:endParaRPr lang="en-AU"/>
        </a:p>
      </dgm:t>
    </dgm:pt>
    <dgm:pt modelId="{342CBB3E-1D83-494D-86FF-0B3ADFA4D55C}" type="sibTrans" cxnId="{356583F3-5606-433E-9B5A-7D98385D6BBE}">
      <dgm:prSet/>
      <dgm:spPr/>
      <dgm:t>
        <a:bodyPr/>
        <a:lstStyle/>
        <a:p>
          <a:endParaRPr lang="en-AU"/>
        </a:p>
      </dgm:t>
    </dgm:pt>
    <dgm:pt modelId="{7C393FBA-1976-44D8-BB94-7B83DF64B90E}">
      <dgm:prSet phldrT="[Text]" custT="1"/>
      <dgm:spPr/>
      <dgm:t>
        <a:bodyPr/>
        <a:lstStyle/>
        <a:p>
          <a:r>
            <a:rPr lang="en-AU" sz="1000"/>
            <a:t>January</a:t>
          </a:r>
        </a:p>
      </dgm:t>
    </dgm:pt>
    <dgm:pt modelId="{0E464BED-1891-40D6-937C-CDE28265D440}" type="parTrans" cxnId="{F208D668-B6C5-452F-9AA0-0AA5A4E662E1}">
      <dgm:prSet/>
      <dgm:spPr/>
      <dgm:t>
        <a:bodyPr/>
        <a:lstStyle/>
        <a:p>
          <a:endParaRPr lang="en-AU"/>
        </a:p>
      </dgm:t>
    </dgm:pt>
    <dgm:pt modelId="{FCCD8EA2-9DBD-41E2-886E-CE4AE8D68673}" type="sibTrans" cxnId="{F208D668-B6C5-452F-9AA0-0AA5A4E662E1}">
      <dgm:prSet/>
      <dgm:spPr/>
      <dgm:t>
        <a:bodyPr/>
        <a:lstStyle/>
        <a:p>
          <a:endParaRPr lang="en-AU"/>
        </a:p>
      </dgm:t>
    </dgm:pt>
    <dgm:pt modelId="{F6B59A5E-8C2F-4ED1-91AE-BE944C001321}">
      <dgm:prSet phldrT="[Text]" custT="1"/>
      <dgm:spPr/>
      <dgm:t>
        <a:bodyPr/>
        <a:lstStyle/>
        <a:p>
          <a:r>
            <a:rPr lang="en-AU" sz="1200">
              <a:latin typeface="+mn-lt"/>
              <a:cs typeface="Arial" pitchFamily="34" charset="0"/>
            </a:rPr>
            <a:t>Import data provided by Department of Immigration and Border Protection</a:t>
          </a:r>
        </a:p>
      </dgm:t>
    </dgm:pt>
    <dgm:pt modelId="{6F2D53A8-6EFB-4AB2-9929-E68A2BD29640}" type="parTrans" cxnId="{66E9C58E-BD89-4852-A196-E96526389683}">
      <dgm:prSet/>
      <dgm:spPr/>
      <dgm:t>
        <a:bodyPr/>
        <a:lstStyle/>
        <a:p>
          <a:endParaRPr lang="en-AU"/>
        </a:p>
      </dgm:t>
    </dgm:pt>
    <dgm:pt modelId="{A3DF1875-723D-4F40-8E2B-A22E17D7DEEA}" type="sibTrans" cxnId="{66E9C58E-BD89-4852-A196-E96526389683}">
      <dgm:prSet/>
      <dgm:spPr/>
      <dgm:t>
        <a:bodyPr/>
        <a:lstStyle/>
        <a:p>
          <a:endParaRPr lang="en-AU"/>
        </a:p>
      </dgm:t>
    </dgm:pt>
    <dgm:pt modelId="{55D374F3-7A0F-4567-B8A6-5031F04852BF}">
      <dgm:prSet/>
      <dgm:spPr/>
      <dgm:t>
        <a:bodyPr/>
        <a:lstStyle/>
        <a:p>
          <a:r>
            <a:rPr lang="en-AU"/>
            <a:t>June</a:t>
          </a:r>
        </a:p>
      </dgm:t>
    </dgm:pt>
    <dgm:pt modelId="{81D06BC2-2858-46FD-9E4F-B25B3376830A}" type="parTrans" cxnId="{D5D465DA-80CC-4DAD-99B4-F0A83DED6FB0}">
      <dgm:prSet/>
      <dgm:spPr/>
      <dgm:t>
        <a:bodyPr/>
        <a:lstStyle/>
        <a:p>
          <a:endParaRPr lang="en-AU"/>
        </a:p>
      </dgm:t>
    </dgm:pt>
    <dgm:pt modelId="{9DEF2310-4A30-4435-BB88-9E2784A93D65}" type="sibTrans" cxnId="{D5D465DA-80CC-4DAD-99B4-F0A83DED6FB0}">
      <dgm:prSet/>
      <dgm:spPr/>
      <dgm:t>
        <a:bodyPr/>
        <a:lstStyle/>
        <a:p>
          <a:endParaRPr lang="en-AU"/>
        </a:p>
      </dgm:t>
    </dgm:pt>
    <dgm:pt modelId="{9D0B800F-530E-4E61-81B6-90CD0C8FBF36}">
      <dgm:prSet phldrT="[Text]" custT="1"/>
      <dgm:spPr/>
      <dgm:t>
        <a:bodyPr/>
        <a:lstStyle/>
        <a:p>
          <a:r>
            <a:rPr lang="en-AU" sz="1200"/>
            <a:t>Statements of Advice quantifying liability provided to liable parties</a:t>
          </a:r>
        </a:p>
      </dgm:t>
    </dgm:pt>
    <dgm:pt modelId="{0DBFFB8C-6357-4E59-8C7B-4549C4BCFA7C}" type="parTrans" cxnId="{1CB47B96-80B2-4F13-82AC-7EFB8F3AEEDE}">
      <dgm:prSet/>
      <dgm:spPr/>
      <dgm:t>
        <a:bodyPr/>
        <a:lstStyle/>
        <a:p>
          <a:endParaRPr lang="en-AU"/>
        </a:p>
      </dgm:t>
    </dgm:pt>
    <dgm:pt modelId="{75B445B6-F043-41B3-9B62-2848149A5338}" type="sibTrans" cxnId="{1CB47B96-80B2-4F13-82AC-7EFB8F3AEEDE}">
      <dgm:prSet/>
      <dgm:spPr/>
      <dgm:t>
        <a:bodyPr/>
        <a:lstStyle/>
        <a:p>
          <a:endParaRPr lang="en-AU"/>
        </a:p>
      </dgm:t>
    </dgm:pt>
    <dgm:pt modelId="{B6E336DE-3504-4362-AA66-C9DB888AF8F8}">
      <dgm:prSet phldrT="[Text]" custT="1"/>
      <dgm:spPr/>
      <dgm:t>
        <a:bodyPr/>
        <a:lstStyle/>
        <a:p>
          <a:r>
            <a:rPr lang="en-AU" sz="1200"/>
            <a:t>Liable parties identify any errors in their import data records and lodge any amendments with the Department of Immigration and Border Protection</a:t>
          </a:r>
        </a:p>
      </dgm:t>
    </dgm:pt>
    <dgm:pt modelId="{1EFDAE1C-7321-42FF-8FF7-98490BACFFA2}" type="parTrans" cxnId="{50DFDD89-89EF-4BFB-BA97-BDD8D184F8B0}">
      <dgm:prSet/>
      <dgm:spPr/>
      <dgm:t>
        <a:bodyPr/>
        <a:lstStyle/>
        <a:p>
          <a:endParaRPr lang="en-AU"/>
        </a:p>
      </dgm:t>
    </dgm:pt>
    <dgm:pt modelId="{AF3814CE-5EFC-41D8-A805-073480DF7157}" type="sibTrans" cxnId="{50DFDD89-89EF-4BFB-BA97-BDD8D184F8B0}">
      <dgm:prSet/>
      <dgm:spPr/>
      <dgm:t>
        <a:bodyPr/>
        <a:lstStyle/>
        <a:p>
          <a:endParaRPr lang="en-AU"/>
        </a:p>
      </dgm:t>
    </dgm:pt>
    <dgm:pt modelId="{7B13F7BD-1154-4698-98F3-FFD613EFC50D}">
      <dgm:prSet phldrT="[Text]"/>
      <dgm:spPr/>
      <dgm:t>
        <a:bodyPr/>
        <a:lstStyle/>
        <a:p>
          <a:r>
            <a:rPr lang="en-AU"/>
            <a:t>November</a:t>
          </a:r>
        </a:p>
      </dgm:t>
    </dgm:pt>
    <dgm:pt modelId="{B7043689-3C98-4297-B96C-7D7774BF0A6B}" type="parTrans" cxnId="{F1BF42CB-76A6-467C-B48B-58F72245DFB5}">
      <dgm:prSet/>
      <dgm:spPr/>
      <dgm:t>
        <a:bodyPr/>
        <a:lstStyle/>
        <a:p>
          <a:endParaRPr lang="en-AU"/>
        </a:p>
      </dgm:t>
    </dgm:pt>
    <dgm:pt modelId="{37C392C5-2810-4ACE-8E7A-0BE767EA16D2}" type="sibTrans" cxnId="{F1BF42CB-76A6-467C-B48B-58F72245DFB5}">
      <dgm:prSet/>
      <dgm:spPr/>
      <dgm:t>
        <a:bodyPr/>
        <a:lstStyle/>
        <a:p>
          <a:endParaRPr lang="en-AU"/>
        </a:p>
      </dgm:t>
    </dgm:pt>
    <dgm:pt modelId="{9804D43C-D006-4806-B16D-8DF2DE00FC63}">
      <dgm:prSet phldrT="[Text]" custT="1"/>
      <dgm:spPr/>
      <dgm:t>
        <a:bodyPr/>
        <a:lstStyle/>
        <a:p>
          <a:r>
            <a:rPr lang="en-AU" sz="1200"/>
            <a:t>Follow-up action in relation to any non-compliant liable parties</a:t>
          </a:r>
        </a:p>
      </dgm:t>
    </dgm:pt>
    <dgm:pt modelId="{D9B7313C-1AB8-40FC-AB30-E027231445FB}" type="parTrans" cxnId="{1E405ED9-D073-44EF-8CB8-76C58CC40335}">
      <dgm:prSet/>
      <dgm:spPr/>
      <dgm:t>
        <a:bodyPr/>
        <a:lstStyle/>
        <a:p>
          <a:endParaRPr lang="en-AU"/>
        </a:p>
      </dgm:t>
    </dgm:pt>
    <dgm:pt modelId="{685B49CD-2EE7-47DF-8426-40D3DD0AC37D}" type="sibTrans" cxnId="{1E405ED9-D073-44EF-8CB8-76C58CC40335}">
      <dgm:prSet/>
      <dgm:spPr/>
      <dgm:t>
        <a:bodyPr/>
        <a:lstStyle/>
        <a:p>
          <a:endParaRPr lang="en-AU"/>
        </a:p>
      </dgm:t>
    </dgm:pt>
    <dgm:pt modelId="{ACA73A72-5A64-4696-9892-35031880D8FC}">
      <dgm:prSet phldrT="[Text]" custT="1"/>
      <dgm:spPr/>
      <dgm:t>
        <a:bodyPr/>
        <a:lstStyle/>
        <a:p>
          <a:r>
            <a:rPr lang="en-AU" sz="1200">
              <a:latin typeface="+mn-lt"/>
              <a:cs typeface="Arial" pitchFamily="34" charset="0"/>
            </a:rPr>
            <a:t>Early notification letters sent to liable and potentially liable parties</a:t>
          </a:r>
        </a:p>
      </dgm:t>
    </dgm:pt>
    <dgm:pt modelId="{5692C51D-77B0-4964-B3A8-72113E6217B5}" type="parTrans" cxnId="{F9942C9B-CE07-4B55-967F-35B90F48659C}">
      <dgm:prSet/>
      <dgm:spPr/>
      <dgm:t>
        <a:bodyPr/>
        <a:lstStyle/>
        <a:p>
          <a:endParaRPr lang="en-AU"/>
        </a:p>
      </dgm:t>
    </dgm:pt>
    <dgm:pt modelId="{B6FA7B46-0D7F-4705-B761-EACF456E091F}" type="sibTrans" cxnId="{F9942C9B-CE07-4B55-967F-35B90F48659C}">
      <dgm:prSet/>
      <dgm:spPr/>
      <dgm:t>
        <a:bodyPr/>
        <a:lstStyle/>
        <a:p>
          <a:endParaRPr lang="en-AU"/>
        </a:p>
      </dgm:t>
    </dgm:pt>
    <dgm:pt modelId="{DEE09A0C-5481-4BE4-9E8C-A49BCB937BFE}">
      <dgm:prSet phldrT="[Text]" custT="1"/>
      <dgm:spPr/>
      <dgm:t>
        <a:bodyPr/>
        <a:lstStyle/>
        <a:p>
          <a:r>
            <a:rPr lang="en-AU" sz="1200"/>
            <a:t>Formal regulatory notices issued setting out obligations under the scheme</a:t>
          </a:r>
        </a:p>
      </dgm:t>
    </dgm:pt>
    <dgm:pt modelId="{50714E01-4CDD-4061-8233-51F424A55D67}" type="parTrans" cxnId="{34DFC690-6705-4835-968F-59A6F03066BE}">
      <dgm:prSet/>
      <dgm:spPr/>
      <dgm:t>
        <a:bodyPr/>
        <a:lstStyle/>
        <a:p>
          <a:endParaRPr lang="en-AU"/>
        </a:p>
      </dgm:t>
    </dgm:pt>
    <dgm:pt modelId="{0E839BFB-40AD-4A5E-BA5C-81A0041E630D}" type="sibTrans" cxnId="{34DFC690-6705-4835-968F-59A6F03066BE}">
      <dgm:prSet/>
      <dgm:spPr/>
      <dgm:t>
        <a:bodyPr/>
        <a:lstStyle/>
        <a:p>
          <a:endParaRPr lang="en-AU"/>
        </a:p>
      </dgm:t>
    </dgm:pt>
    <dgm:pt modelId="{4C9984B4-8996-4E93-8BA8-F644E275AB9F}" type="pres">
      <dgm:prSet presAssocID="{ABEF80BB-BA35-4BA7-AE53-B3347E284504}" presName="linearFlow" presStyleCnt="0">
        <dgm:presLayoutVars>
          <dgm:dir/>
          <dgm:animLvl val="lvl"/>
          <dgm:resizeHandles val="exact"/>
        </dgm:presLayoutVars>
      </dgm:prSet>
      <dgm:spPr/>
    </dgm:pt>
    <dgm:pt modelId="{D4B1CCF2-35BA-4EE6-94AD-54894EFD020F}" type="pres">
      <dgm:prSet presAssocID="{55D374F3-7A0F-4567-B8A6-5031F04852BF}" presName="composite" presStyleCnt="0"/>
      <dgm:spPr/>
    </dgm:pt>
    <dgm:pt modelId="{54E25DA4-A7E8-4910-AF0D-5B9AA73D8034}" type="pres">
      <dgm:prSet presAssocID="{55D374F3-7A0F-4567-B8A6-5031F04852BF}" presName="parentText" presStyleLbl="alignNode1" presStyleIdx="0" presStyleCnt="5">
        <dgm:presLayoutVars>
          <dgm:chMax val="1"/>
          <dgm:bulletEnabled val="1"/>
        </dgm:presLayoutVars>
      </dgm:prSet>
      <dgm:spPr/>
      <dgm:t>
        <a:bodyPr/>
        <a:lstStyle/>
        <a:p>
          <a:endParaRPr lang="en-AU"/>
        </a:p>
      </dgm:t>
    </dgm:pt>
    <dgm:pt modelId="{D37C2BCF-7E9B-43B1-A080-7E6D89A907B8}" type="pres">
      <dgm:prSet presAssocID="{55D374F3-7A0F-4567-B8A6-5031F04852BF}" presName="descendantText" presStyleLbl="alignAcc1" presStyleIdx="0" presStyleCnt="5">
        <dgm:presLayoutVars>
          <dgm:bulletEnabled val="1"/>
        </dgm:presLayoutVars>
      </dgm:prSet>
      <dgm:spPr/>
      <dgm:t>
        <a:bodyPr/>
        <a:lstStyle/>
        <a:p>
          <a:endParaRPr lang="en-AU"/>
        </a:p>
      </dgm:t>
    </dgm:pt>
    <dgm:pt modelId="{83E89962-DF93-4969-8FA2-5DCFA4BE3F4F}" type="pres">
      <dgm:prSet presAssocID="{9DEF2310-4A30-4435-BB88-9E2784A93D65}" presName="sp" presStyleCnt="0"/>
      <dgm:spPr/>
    </dgm:pt>
    <dgm:pt modelId="{92055002-0B0E-4178-A1C3-74F3A716C11A}" type="pres">
      <dgm:prSet presAssocID="{9AE3A03E-05DB-45AB-A1A0-C5B299533819}" presName="composite" presStyleCnt="0"/>
      <dgm:spPr/>
    </dgm:pt>
    <dgm:pt modelId="{5685DE35-8FDE-412E-B644-CD7A666BA9D9}" type="pres">
      <dgm:prSet presAssocID="{9AE3A03E-05DB-45AB-A1A0-C5B299533819}" presName="parentText" presStyleLbl="alignNode1" presStyleIdx="1" presStyleCnt="5">
        <dgm:presLayoutVars>
          <dgm:chMax val="1"/>
          <dgm:bulletEnabled val="1"/>
        </dgm:presLayoutVars>
      </dgm:prSet>
      <dgm:spPr/>
      <dgm:t>
        <a:bodyPr/>
        <a:lstStyle/>
        <a:p>
          <a:endParaRPr lang="en-AU"/>
        </a:p>
      </dgm:t>
    </dgm:pt>
    <dgm:pt modelId="{AE808208-0DE5-4A9E-AC7C-5C0A5165BD89}" type="pres">
      <dgm:prSet presAssocID="{9AE3A03E-05DB-45AB-A1A0-C5B299533819}" presName="descendantText" presStyleLbl="alignAcc1" presStyleIdx="1" presStyleCnt="5">
        <dgm:presLayoutVars>
          <dgm:bulletEnabled val="1"/>
        </dgm:presLayoutVars>
      </dgm:prSet>
      <dgm:spPr/>
      <dgm:t>
        <a:bodyPr/>
        <a:lstStyle/>
        <a:p>
          <a:endParaRPr lang="en-AU"/>
        </a:p>
      </dgm:t>
    </dgm:pt>
    <dgm:pt modelId="{F45B8CC9-8ED5-4E4C-B9DE-B3123E326808}" type="pres">
      <dgm:prSet presAssocID="{A21627BA-DD95-4297-B7AA-2B360CDA2E26}" presName="sp" presStyleCnt="0"/>
      <dgm:spPr/>
    </dgm:pt>
    <dgm:pt modelId="{79D84327-B72D-488A-852E-F041D562F96A}" type="pres">
      <dgm:prSet presAssocID="{B850526F-CBA3-467D-B8E9-73E6BDDCAF12}" presName="composite" presStyleCnt="0"/>
      <dgm:spPr/>
    </dgm:pt>
    <dgm:pt modelId="{30E9342B-F450-4FCC-BA50-2FF02D9A76A9}" type="pres">
      <dgm:prSet presAssocID="{B850526F-CBA3-467D-B8E9-73E6BDDCAF12}" presName="parentText" presStyleLbl="alignNode1" presStyleIdx="2" presStyleCnt="5">
        <dgm:presLayoutVars>
          <dgm:chMax val="1"/>
          <dgm:bulletEnabled val="1"/>
        </dgm:presLayoutVars>
      </dgm:prSet>
      <dgm:spPr/>
      <dgm:t>
        <a:bodyPr/>
        <a:lstStyle/>
        <a:p>
          <a:endParaRPr lang="en-AU"/>
        </a:p>
      </dgm:t>
    </dgm:pt>
    <dgm:pt modelId="{3CC93CA5-8D84-4DDF-8402-9CFABE8C59FF}" type="pres">
      <dgm:prSet presAssocID="{B850526F-CBA3-467D-B8E9-73E6BDDCAF12}" presName="descendantText" presStyleLbl="alignAcc1" presStyleIdx="2" presStyleCnt="5">
        <dgm:presLayoutVars>
          <dgm:bulletEnabled val="1"/>
        </dgm:presLayoutVars>
      </dgm:prSet>
      <dgm:spPr/>
      <dgm:t>
        <a:bodyPr/>
        <a:lstStyle/>
        <a:p>
          <a:endParaRPr lang="en-AU"/>
        </a:p>
      </dgm:t>
    </dgm:pt>
    <dgm:pt modelId="{3CBABE58-6F17-4CBD-BC5D-60606D22D3E0}" type="pres">
      <dgm:prSet presAssocID="{7D317030-FD74-4A2D-A5B8-432E36A84B7F}" presName="sp" presStyleCnt="0"/>
      <dgm:spPr/>
    </dgm:pt>
    <dgm:pt modelId="{3F1DB8C0-1E10-4620-BD57-6DD1FAE99306}" type="pres">
      <dgm:prSet presAssocID="{7B13F7BD-1154-4698-98F3-FFD613EFC50D}" presName="composite" presStyleCnt="0"/>
      <dgm:spPr/>
    </dgm:pt>
    <dgm:pt modelId="{E53BE32F-EE02-40A4-AB9A-3D25DD329B2D}" type="pres">
      <dgm:prSet presAssocID="{7B13F7BD-1154-4698-98F3-FFD613EFC50D}" presName="parentText" presStyleLbl="alignNode1" presStyleIdx="3" presStyleCnt="5">
        <dgm:presLayoutVars>
          <dgm:chMax val="1"/>
          <dgm:bulletEnabled val="1"/>
        </dgm:presLayoutVars>
      </dgm:prSet>
      <dgm:spPr/>
      <dgm:t>
        <a:bodyPr/>
        <a:lstStyle/>
        <a:p>
          <a:endParaRPr lang="en-AU"/>
        </a:p>
      </dgm:t>
    </dgm:pt>
    <dgm:pt modelId="{27B5BD42-3F5C-482C-8B52-6204FD09F481}" type="pres">
      <dgm:prSet presAssocID="{7B13F7BD-1154-4698-98F3-FFD613EFC50D}" presName="descendantText" presStyleLbl="alignAcc1" presStyleIdx="3" presStyleCnt="5">
        <dgm:presLayoutVars>
          <dgm:bulletEnabled val="1"/>
        </dgm:presLayoutVars>
      </dgm:prSet>
      <dgm:spPr/>
      <dgm:t>
        <a:bodyPr/>
        <a:lstStyle/>
        <a:p>
          <a:endParaRPr lang="en-AU"/>
        </a:p>
      </dgm:t>
    </dgm:pt>
    <dgm:pt modelId="{92847A6A-8417-4C26-B11A-06A37EE744EC}" type="pres">
      <dgm:prSet presAssocID="{37C392C5-2810-4ACE-8E7A-0BE767EA16D2}" presName="sp" presStyleCnt="0"/>
      <dgm:spPr/>
    </dgm:pt>
    <dgm:pt modelId="{56DE30A3-310C-4371-B0A0-FDFD39E198DB}" type="pres">
      <dgm:prSet presAssocID="{7C393FBA-1976-44D8-BB94-7B83DF64B90E}" presName="composite" presStyleCnt="0"/>
      <dgm:spPr/>
    </dgm:pt>
    <dgm:pt modelId="{3EF05C9B-2761-4B6E-889F-1A6C0F1221BF}" type="pres">
      <dgm:prSet presAssocID="{7C393FBA-1976-44D8-BB94-7B83DF64B90E}" presName="parentText" presStyleLbl="alignNode1" presStyleIdx="4" presStyleCnt="5">
        <dgm:presLayoutVars>
          <dgm:chMax val="1"/>
          <dgm:bulletEnabled val="1"/>
        </dgm:presLayoutVars>
      </dgm:prSet>
      <dgm:spPr/>
      <dgm:t>
        <a:bodyPr/>
        <a:lstStyle/>
        <a:p>
          <a:endParaRPr lang="en-AU"/>
        </a:p>
      </dgm:t>
    </dgm:pt>
    <dgm:pt modelId="{E2FFC0CA-9715-4457-B9E1-DB99F4CADB30}" type="pres">
      <dgm:prSet presAssocID="{7C393FBA-1976-44D8-BB94-7B83DF64B90E}" presName="descendantText" presStyleLbl="alignAcc1" presStyleIdx="4" presStyleCnt="5">
        <dgm:presLayoutVars>
          <dgm:bulletEnabled val="1"/>
        </dgm:presLayoutVars>
      </dgm:prSet>
      <dgm:spPr/>
      <dgm:t>
        <a:bodyPr/>
        <a:lstStyle/>
        <a:p>
          <a:endParaRPr lang="en-AU"/>
        </a:p>
      </dgm:t>
    </dgm:pt>
  </dgm:ptLst>
  <dgm:cxnLst>
    <dgm:cxn modelId="{C810F719-6418-40BB-ACBB-0134837FC106}" srcId="{ABEF80BB-BA35-4BA7-AE53-B3347E284504}" destId="{9AE3A03E-05DB-45AB-A1A0-C5B299533819}" srcOrd="1" destOrd="0" parTransId="{18F93824-043E-495C-A5B3-B5AD823E4A61}" sibTransId="{A21627BA-DD95-4297-B7AA-2B360CDA2E26}"/>
    <dgm:cxn modelId="{2A084E97-5451-46AE-8626-3C620F9F54BF}" type="presOf" srcId="{DEE09A0C-5481-4BE4-9E8C-A49BCB937BFE}" destId="{AE808208-0DE5-4A9E-AC7C-5C0A5165BD89}" srcOrd="0" destOrd="1" presId="urn:microsoft.com/office/officeart/2005/8/layout/chevron2"/>
    <dgm:cxn modelId="{929C03EE-9BA6-4BAA-B16E-9A025CEBD30C}" srcId="{ABEF80BB-BA35-4BA7-AE53-B3347E284504}" destId="{B850526F-CBA3-467D-B8E9-73E6BDDCAF12}" srcOrd="2" destOrd="0" parTransId="{A94E6900-6619-4F01-A9F9-E0BBC5F6647A}" sibTransId="{7D317030-FD74-4A2D-A5B8-432E36A84B7F}"/>
    <dgm:cxn modelId="{1CB47B96-80B2-4F13-82AC-7EFB8F3AEEDE}" srcId="{9AE3A03E-05DB-45AB-A1A0-C5B299533819}" destId="{9D0B800F-530E-4E61-81B6-90CD0C8FBF36}" srcOrd="0" destOrd="0" parTransId="{0DBFFB8C-6357-4E59-8C7B-4549C4BCFA7C}" sibTransId="{75B445B6-F043-41B3-9B62-2848149A5338}"/>
    <dgm:cxn modelId="{F208D668-B6C5-452F-9AA0-0AA5A4E662E1}" srcId="{ABEF80BB-BA35-4BA7-AE53-B3347E284504}" destId="{7C393FBA-1976-44D8-BB94-7B83DF64B90E}" srcOrd="4" destOrd="0" parTransId="{0E464BED-1891-40D6-937C-CDE28265D440}" sibTransId="{FCCD8EA2-9DBD-41E2-886E-CE4AE8D68673}"/>
    <dgm:cxn modelId="{1E405ED9-D073-44EF-8CB8-76C58CC40335}" srcId="{7C393FBA-1976-44D8-BB94-7B83DF64B90E}" destId="{9804D43C-D006-4806-B16D-8DF2DE00FC63}" srcOrd="0" destOrd="0" parTransId="{D9B7313C-1AB8-40FC-AB30-E027231445FB}" sibTransId="{685B49CD-2EE7-47DF-8426-40D3DD0AC37D}"/>
    <dgm:cxn modelId="{D5D465DA-80CC-4DAD-99B4-F0A83DED6FB0}" srcId="{ABEF80BB-BA35-4BA7-AE53-B3347E284504}" destId="{55D374F3-7A0F-4567-B8A6-5031F04852BF}" srcOrd="0" destOrd="0" parTransId="{81D06BC2-2858-46FD-9E4F-B25B3376830A}" sibTransId="{9DEF2310-4A30-4435-BB88-9E2784A93D65}"/>
    <dgm:cxn modelId="{8F69C606-C311-49C4-B7E7-915F81A6FADE}" type="presOf" srcId="{9AE3A03E-05DB-45AB-A1A0-C5B299533819}" destId="{5685DE35-8FDE-412E-B644-CD7A666BA9D9}" srcOrd="0" destOrd="0" presId="urn:microsoft.com/office/officeart/2005/8/layout/chevron2"/>
    <dgm:cxn modelId="{DEF45A94-C150-4BF7-A533-388136567867}" type="presOf" srcId="{55D374F3-7A0F-4567-B8A6-5031F04852BF}" destId="{54E25DA4-A7E8-4910-AF0D-5B9AA73D8034}" srcOrd="0" destOrd="0" presId="urn:microsoft.com/office/officeart/2005/8/layout/chevron2"/>
    <dgm:cxn modelId="{7CF4D224-B4D6-46BC-B130-32F1B74994E1}" type="presOf" srcId="{7C393FBA-1976-44D8-BB94-7B83DF64B90E}" destId="{3EF05C9B-2761-4B6E-889F-1A6C0F1221BF}" srcOrd="0" destOrd="0" presId="urn:microsoft.com/office/officeart/2005/8/layout/chevron2"/>
    <dgm:cxn modelId="{F9CB1DC4-75B8-41EC-A291-FBEAFA0009EB}" type="presOf" srcId="{9D0B800F-530E-4E61-81B6-90CD0C8FBF36}" destId="{AE808208-0DE5-4A9E-AC7C-5C0A5165BD89}" srcOrd="0" destOrd="0" presId="urn:microsoft.com/office/officeart/2005/8/layout/chevron2"/>
    <dgm:cxn modelId="{356583F3-5606-433E-9B5A-7D98385D6BBE}" srcId="{7B13F7BD-1154-4698-98F3-FFD613EFC50D}" destId="{DBE73029-0300-460F-B578-20532C256717}" srcOrd="0" destOrd="0" parTransId="{CA115494-F288-4DC1-946B-117BAB1E4E5C}" sibTransId="{342CBB3E-1D83-494D-86FF-0B3ADFA4D55C}"/>
    <dgm:cxn modelId="{15A80D12-993A-4EE4-BDB6-6C2F86A956D4}" type="presOf" srcId="{ACA73A72-5A64-4696-9892-35031880D8FC}" destId="{D37C2BCF-7E9B-43B1-A080-7E6D89A907B8}" srcOrd="0" destOrd="1" presId="urn:microsoft.com/office/officeart/2005/8/layout/chevron2"/>
    <dgm:cxn modelId="{7F370BBF-48EB-4AA4-ACEF-06D9D518618E}" type="presOf" srcId="{ABEF80BB-BA35-4BA7-AE53-B3347E284504}" destId="{4C9984B4-8996-4E93-8BA8-F644E275AB9F}" srcOrd="0" destOrd="0" presId="urn:microsoft.com/office/officeart/2005/8/layout/chevron2"/>
    <dgm:cxn modelId="{66E9C58E-BD89-4852-A196-E96526389683}" srcId="{55D374F3-7A0F-4567-B8A6-5031F04852BF}" destId="{F6B59A5E-8C2F-4ED1-91AE-BE944C001321}" srcOrd="0" destOrd="0" parTransId="{6F2D53A8-6EFB-4AB2-9929-E68A2BD29640}" sibTransId="{A3DF1875-723D-4F40-8E2B-A22E17D7DEEA}"/>
    <dgm:cxn modelId="{F9942C9B-CE07-4B55-967F-35B90F48659C}" srcId="{55D374F3-7A0F-4567-B8A6-5031F04852BF}" destId="{ACA73A72-5A64-4696-9892-35031880D8FC}" srcOrd="1" destOrd="0" parTransId="{5692C51D-77B0-4964-B3A8-72113E6217B5}" sibTransId="{B6FA7B46-0D7F-4705-B761-EACF456E091F}"/>
    <dgm:cxn modelId="{50DFDD89-89EF-4BFB-BA97-BDD8D184F8B0}" srcId="{B850526F-CBA3-467D-B8E9-73E6BDDCAF12}" destId="{B6E336DE-3504-4362-AA66-C9DB888AF8F8}" srcOrd="0" destOrd="0" parTransId="{1EFDAE1C-7321-42FF-8FF7-98490BACFFA2}" sibTransId="{AF3814CE-5EFC-41D8-A805-073480DF7157}"/>
    <dgm:cxn modelId="{3F304C0E-32FD-4467-A107-81259BC1C0F1}" type="presOf" srcId="{7B13F7BD-1154-4698-98F3-FFD613EFC50D}" destId="{E53BE32F-EE02-40A4-AB9A-3D25DD329B2D}" srcOrd="0" destOrd="0" presId="urn:microsoft.com/office/officeart/2005/8/layout/chevron2"/>
    <dgm:cxn modelId="{2C30D4AA-6128-4A1C-8EB7-A13989810C3B}" type="presOf" srcId="{F6B59A5E-8C2F-4ED1-91AE-BE944C001321}" destId="{D37C2BCF-7E9B-43B1-A080-7E6D89A907B8}" srcOrd="0" destOrd="0" presId="urn:microsoft.com/office/officeart/2005/8/layout/chevron2"/>
    <dgm:cxn modelId="{F1BF42CB-76A6-467C-B48B-58F72245DFB5}" srcId="{ABEF80BB-BA35-4BA7-AE53-B3347E284504}" destId="{7B13F7BD-1154-4698-98F3-FFD613EFC50D}" srcOrd="3" destOrd="0" parTransId="{B7043689-3C98-4297-B96C-7D7774BF0A6B}" sibTransId="{37C392C5-2810-4ACE-8E7A-0BE767EA16D2}"/>
    <dgm:cxn modelId="{34DFC690-6705-4835-968F-59A6F03066BE}" srcId="{9AE3A03E-05DB-45AB-A1A0-C5B299533819}" destId="{DEE09A0C-5481-4BE4-9E8C-A49BCB937BFE}" srcOrd="1" destOrd="0" parTransId="{50714E01-4CDD-4061-8233-51F424A55D67}" sibTransId="{0E839BFB-40AD-4A5E-BA5C-81A0041E630D}"/>
    <dgm:cxn modelId="{F0BE24D5-29BD-4A93-BBC9-B55E2B39B585}" type="presOf" srcId="{B850526F-CBA3-467D-B8E9-73E6BDDCAF12}" destId="{30E9342B-F450-4FCC-BA50-2FF02D9A76A9}" srcOrd="0" destOrd="0" presId="urn:microsoft.com/office/officeart/2005/8/layout/chevron2"/>
    <dgm:cxn modelId="{C302EEA8-7D9F-4B1D-BA23-4E469B3C6DA4}" type="presOf" srcId="{9804D43C-D006-4806-B16D-8DF2DE00FC63}" destId="{E2FFC0CA-9715-4457-B9E1-DB99F4CADB30}" srcOrd="0" destOrd="0" presId="urn:microsoft.com/office/officeart/2005/8/layout/chevron2"/>
    <dgm:cxn modelId="{49A9F1E3-884F-49FE-AEE1-2871506EA610}" type="presOf" srcId="{DBE73029-0300-460F-B578-20532C256717}" destId="{27B5BD42-3F5C-482C-8B52-6204FD09F481}" srcOrd="0" destOrd="0" presId="urn:microsoft.com/office/officeart/2005/8/layout/chevron2"/>
    <dgm:cxn modelId="{9358C1A1-77F1-47AB-B29F-6E54A5D2B08C}" type="presOf" srcId="{B6E336DE-3504-4362-AA66-C9DB888AF8F8}" destId="{3CC93CA5-8D84-4DDF-8402-9CFABE8C59FF}" srcOrd="0" destOrd="0" presId="urn:microsoft.com/office/officeart/2005/8/layout/chevron2"/>
    <dgm:cxn modelId="{DF546E2A-D5A8-4127-BD48-1A30F570B3B5}" type="presParOf" srcId="{4C9984B4-8996-4E93-8BA8-F644E275AB9F}" destId="{D4B1CCF2-35BA-4EE6-94AD-54894EFD020F}" srcOrd="0" destOrd="0" presId="urn:microsoft.com/office/officeart/2005/8/layout/chevron2"/>
    <dgm:cxn modelId="{D49E9972-A734-42EF-B805-A1DD0C45738A}" type="presParOf" srcId="{D4B1CCF2-35BA-4EE6-94AD-54894EFD020F}" destId="{54E25DA4-A7E8-4910-AF0D-5B9AA73D8034}" srcOrd="0" destOrd="0" presId="urn:microsoft.com/office/officeart/2005/8/layout/chevron2"/>
    <dgm:cxn modelId="{96EFF620-349E-44B2-A3E4-F1DBFD84FD63}" type="presParOf" srcId="{D4B1CCF2-35BA-4EE6-94AD-54894EFD020F}" destId="{D37C2BCF-7E9B-43B1-A080-7E6D89A907B8}" srcOrd="1" destOrd="0" presId="urn:microsoft.com/office/officeart/2005/8/layout/chevron2"/>
    <dgm:cxn modelId="{2AF0E923-95B6-447A-9DA7-C21B61EA642E}" type="presParOf" srcId="{4C9984B4-8996-4E93-8BA8-F644E275AB9F}" destId="{83E89962-DF93-4969-8FA2-5DCFA4BE3F4F}" srcOrd="1" destOrd="0" presId="urn:microsoft.com/office/officeart/2005/8/layout/chevron2"/>
    <dgm:cxn modelId="{8F9EA589-F0D7-45E3-BABA-7F0908510F48}" type="presParOf" srcId="{4C9984B4-8996-4E93-8BA8-F644E275AB9F}" destId="{92055002-0B0E-4178-A1C3-74F3A716C11A}" srcOrd="2" destOrd="0" presId="urn:microsoft.com/office/officeart/2005/8/layout/chevron2"/>
    <dgm:cxn modelId="{D257AC18-5A67-4C4F-9D32-91B33421EA3F}" type="presParOf" srcId="{92055002-0B0E-4178-A1C3-74F3A716C11A}" destId="{5685DE35-8FDE-412E-B644-CD7A666BA9D9}" srcOrd="0" destOrd="0" presId="urn:microsoft.com/office/officeart/2005/8/layout/chevron2"/>
    <dgm:cxn modelId="{528AA8FD-D18E-4829-83C6-495C62A5E1DB}" type="presParOf" srcId="{92055002-0B0E-4178-A1C3-74F3A716C11A}" destId="{AE808208-0DE5-4A9E-AC7C-5C0A5165BD89}" srcOrd="1" destOrd="0" presId="urn:microsoft.com/office/officeart/2005/8/layout/chevron2"/>
    <dgm:cxn modelId="{FF391E20-4F44-4FD4-84F1-41A34C0FB7B8}" type="presParOf" srcId="{4C9984B4-8996-4E93-8BA8-F644E275AB9F}" destId="{F45B8CC9-8ED5-4E4C-B9DE-B3123E326808}" srcOrd="3" destOrd="0" presId="urn:microsoft.com/office/officeart/2005/8/layout/chevron2"/>
    <dgm:cxn modelId="{FAF0272D-7987-4E39-9FA0-D3146D65AB55}" type="presParOf" srcId="{4C9984B4-8996-4E93-8BA8-F644E275AB9F}" destId="{79D84327-B72D-488A-852E-F041D562F96A}" srcOrd="4" destOrd="0" presId="urn:microsoft.com/office/officeart/2005/8/layout/chevron2"/>
    <dgm:cxn modelId="{E2DC7F78-5A8C-453D-93A9-61CAF01D83D0}" type="presParOf" srcId="{79D84327-B72D-488A-852E-F041D562F96A}" destId="{30E9342B-F450-4FCC-BA50-2FF02D9A76A9}" srcOrd="0" destOrd="0" presId="urn:microsoft.com/office/officeart/2005/8/layout/chevron2"/>
    <dgm:cxn modelId="{711873BE-6E01-462C-B9AF-379246BF35A2}" type="presParOf" srcId="{79D84327-B72D-488A-852E-F041D562F96A}" destId="{3CC93CA5-8D84-4DDF-8402-9CFABE8C59FF}" srcOrd="1" destOrd="0" presId="urn:microsoft.com/office/officeart/2005/8/layout/chevron2"/>
    <dgm:cxn modelId="{8C766CF4-2717-4BE4-A552-623B702460EE}" type="presParOf" srcId="{4C9984B4-8996-4E93-8BA8-F644E275AB9F}" destId="{3CBABE58-6F17-4CBD-BC5D-60606D22D3E0}" srcOrd="5" destOrd="0" presId="urn:microsoft.com/office/officeart/2005/8/layout/chevron2"/>
    <dgm:cxn modelId="{9617B035-318C-4D75-86C0-749A6538E43B}" type="presParOf" srcId="{4C9984B4-8996-4E93-8BA8-F644E275AB9F}" destId="{3F1DB8C0-1E10-4620-BD57-6DD1FAE99306}" srcOrd="6" destOrd="0" presId="urn:microsoft.com/office/officeart/2005/8/layout/chevron2"/>
    <dgm:cxn modelId="{B5AAD6D9-F4E2-43D4-A05D-B1AB79EB8A86}" type="presParOf" srcId="{3F1DB8C0-1E10-4620-BD57-6DD1FAE99306}" destId="{E53BE32F-EE02-40A4-AB9A-3D25DD329B2D}" srcOrd="0" destOrd="0" presId="urn:microsoft.com/office/officeart/2005/8/layout/chevron2"/>
    <dgm:cxn modelId="{6DC01617-AFBE-45CF-8D71-4192DD9AF9FD}" type="presParOf" srcId="{3F1DB8C0-1E10-4620-BD57-6DD1FAE99306}" destId="{27B5BD42-3F5C-482C-8B52-6204FD09F481}" srcOrd="1" destOrd="0" presId="urn:microsoft.com/office/officeart/2005/8/layout/chevron2"/>
    <dgm:cxn modelId="{BF234EE1-1310-4C2B-8E73-A11DC646A620}" type="presParOf" srcId="{4C9984B4-8996-4E93-8BA8-F644E275AB9F}" destId="{92847A6A-8417-4C26-B11A-06A37EE744EC}" srcOrd="7" destOrd="0" presId="urn:microsoft.com/office/officeart/2005/8/layout/chevron2"/>
    <dgm:cxn modelId="{DC31FF1F-92B3-43F1-9F58-38098897C344}" type="presParOf" srcId="{4C9984B4-8996-4E93-8BA8-F644E275AB9F}" destId="{56DE30A3-310C-4371-B0A0-FDFD39E198DB}" srcOrd="8" destOrd="0" presId="urn:microsoft.com/office/officeart/2005/8/layout/chevron2"/>
    <dgm:cxn modelId="{A5986A5A-4B33-47A2-9208-43AE52D2105B}" type="presParOf" srcId="{56DE30A3-310C-4371-B0A0-FDFD39E198DB}" destId="{3EF05C9B-2761-4B6E-889F-1A6C0F1221BF}" srcOrd="0" destOrd="0" presId="urn:microsoft.com/office/officeart/2005/8/layout/chevron2"/>
    <dgm:cxn modelId="{580CC44A-3F77-4F5D-B288-C951DCAAD494}" type="presParOf" srcId="{56DE30A3-310C-4371-B0A0-FDFD39E198DB}" destId="{E2FFC0CA-9715-4457-B9E1-DB99F4CADB30}"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25DA4-A7E8-4910-AF0D-5B9AA73D8034}">
      <dsp:nvSpPr>
        <dsp:cNvPr id="0" name=""/>
        <dsp:cNvSpPr/>
      </dsp:nvSpPr>
      <dsp:spPr>
        <a:xfrm rot="5400000">
          <a:off x="-124167" y="125980"/>
          <a:ext cx="827782" cy="5794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June</a:t>
          </a:r>
        </a:p>
      </dsp:txBody>
      <dsp:txXfrm rot="-5400000">
        <a:off x="1" y="291537"/>
        <a:ext cx="579447" cy="248335"/>
      </dsp:txXfrm>
    </dsp:sp>
    <dsp:sp modelId="{D37C2BCF-7E9B-43B1-A080-7E6D89A907B8}">
      <dsp:nvSpPr>
        <dsp:cNvPr id="0" name=""/>
        <dsp:cNvSpPr/>
      </dsp:nvSpPr>
      <dsp:spPr>
        <a:xfrm rot="5400000">
          <a:off x="2959157" y="-2377896"/>
          <a:ext cx="538058" cy="529747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mn-lt"/>
              <a:cs typeface="Arial" pitchFamily="34" charset="0"/>
            </a:rPr>
            <a:t>Import data provided by Department of Immigration and Border Protection</a:t>
          </a:r>
        </a:p>
        <a:p>
          <a:pPr marL="114300" lvl="1" indent="-114300" algn="l" defTabSz="533400">
            <a:lnSpc>
              <a:spcPct val="90000"/>
            </a:lnSpc>
            <a:spcBef>
              <a:spcPct val="0"/>
            </a:spcBef>
            <a:spcAft>
              <a:spcPct val="15000"/>
            </a:spcAft>
            <a:buChar char="••"/>
          </a:pPr>
          <a:r>
            <a:rPr lang="en-AU" sz="1200" kern="1200">
              <a:latin typeface="+mn-lt"/>
              <a:cs typeface="Arial" pitchFamily="34" charset="0"/>
            </a:rPr>
            <a:t>Early notification letters sent to liable and potentially liable parties</a:t>
          </a:r>
        </a:p>
      </dsp:txBody>
      <dsp:txXfrm rot="-5400000">
        <a:off x="579448" y="28079"/>
        <a:ext cx="5271211" cy="485526"/>
      </dsp:txXfrm>
    </dsp:sp>
    <dsp:sp modelId="{5685DE35-8FDE-412E-B644-CD7A666BA9D9}">
      <dsp:nvSpPr>
        <dsp:cNvPr id="0" name=""/>
        <dsp:cNvSpPr/>
      </dsp:nvSpPr>
      <dsp:spPr>
        <a:xfrm rot="5400000">
          <a:off x="-124167" y="832528"/>
          <a:ext cx="827782" cy="5794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July</a:t>
          </a:r>
        </a:p>
      </dsp:txBody>
      <dsp:txXfrm rot="-5400000">
        <a:off x="1" y="998085"/>
        <a:ext cx="579447" cy="248335"/>
      </dsp:txXfrm>
    </dsp:sp>
    <dsp:sp modelId="{AE808208-0DE5-4A9E-AC7C-5C0A5165BD89}">
      <dsp:nvSpPr>
        <dsp:cNvPr id="0" name=""/>
        <dsp:cNvSpPr/>
      </dsp:nvSpPr>
      <dsp:spPr>
        <a:xfrm rot="5400000">
          <a:off x="2959157" y="-1671348"/>
          <a:ext cx="538058" cy="529747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t>Statements of Advice quantifying liability provided to liable parties</a:t>
          </a:r>
        </a:p>
        <a:p>
          <a:pPr marL="114300" lvl="1" indent="-114300" algn="l" defTabSz="533400">
            <a:lnSpc>
              <a:spcPct val="90000"/>
            </a:lnSpc>
            <a:spcBef>
              <a:spcPct val="0"/>
            </a:spcBef>
            <a:spcAft>
              <a:spcPct val="15000"/>
            </a:spcAft>
            <a:buChar char="••"/>
          </a:pPr>
          <a:r>
            <a:rPr lang="en-AU" sz="1200" kern="1200"/>
            <a:t>Formal regulatory notices issued setting out obligations under the scheme</a:t>
          </a:r>
        </a:p>
      </dsp:txBody>
      <dsp:txXfrm rot="-5400000">
        <a:off x="579448" y="734627"/>
        <a:ext cx="5271211" cy="485526"/>
      </dsp:txXfrm>
    </dsp:sp>
    <dsp:sp modelId="{30E9342B-F450-4FCC-BA50-2FF02D9A76A9}">
      <dsp:nvSpPr>
        <dsp:cNvPr id="0" name=""/>
        <dsp:cNvSpPr/>
      </dsp:nvSpPr>
      <dsp:spPr>
        <a:xfrm rot="5400000">
          <a:off x="-124167" y="1539076"/>
          <a:ext cx="827782" cy="5794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August</a:t>
          </a:r>
        </a:p>
      </dsp:txBody>
      <dsp:txXfrm rot="-5400000">
        <a:off x="1" y="1704633"/>
        <a:ext cx="579447" cy="248335"/>
      </dsp:txXfrm>
    </dsp:sp>
    <dsp:sp modelId="{3CC93CA5-8D84-4DDF-8402-9CFABE8C59FF}">
      <dsp:nvSpPr>
        <dsp:cNvPr id="0" name=""/>
        <dsp:cNvSpPr/>
      </dsp:nvSpPr>
      <dsp:spPr>
        <a:xfrm rot="5400000">
          <a:off x="2959157" y="-964800"/>
          <a:ext cx="538058" cy="529747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t>Liable parties identify any errors in their import data records and lodge any amendments with the Department of Immigration and Border Protection</a:t>
          </a:r>
        </a:p>
      </dsp:txBody>
      <dsp:txXfrm rot="-5400000">
        <a:off x="579448" y="1441175"/>
        <a:ext cx="5271211" cy="485526"/>
      </dsp:txXfrm>
    </dsp:sp>
    <dsp:sp modelId="{E53BE32F-EE02-40A4-AB9A-3D25DD329B2D}">
      <dsp:nvSpPr>
        <dsp:cNvPr id="0" name=""/>
        <dsp:cNvSpPr/>
      </dsp:nvSpPr>
      <dsp:spPr>
        <a:xfrm rot="5400000">
          <a:off x="-124167" y="2245624"/>
          <a:ext cx="827782" cy="5794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November</a:t>
          </a:r>
        </a:p>
      </dsp:txBody>
      <dsp:txXfrm rot="-5400000">
        <a:off x="1" y="2411181"/>
        <a:ext cx="579447" cy="248335"/>
      </dsp:txXfrm>
    </dsp:sp>
    <dsp:sp modelId="{27B5BD42-3F5C-482C-8B52-6204FD09F481}">
      <dsp:nvSpPr>
        <dsp:cNvPr id="0" name=""/>
        <dsp:cNvSpPr/>
      </dsp:nvSpPr>
      <dsp:spPr>
        <a:xfrm rot="5400000">
          <a:off x="2959157" y="-258252"/>
          <a:ext cx="538058" cy="529747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t>Finalised statements of advice provided to liable parties with data changes</a:t>
          </a:r>
        </a:p>
      </dsp:txBody>
      <dsp:txXfrm rot="-5400000">
        <a:off x="579448" y="2147723"/>
        <a:ext cx="5271211" cy="485526"/>
      </dsp:txXfrm>
    </dsp:sp>
    <dsp:sp modelId="{3EF05C9B-2761-4B6E-889F-1A6C0F1221BF}">
      <dsp:nvSpPr>
        <dsp:cNvPr id="0" name=""/>
        <dsp:cNvSpPr/>
      </dsp:nvSpPr>
      <dsp:spPr>
        <a:xfrm rot="5400000">
          <a:off x="-124167" y="2952171"/>
          <a:ext cx="827782" cy="5794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January</a:t>
          </a:r>
        </a:p>
      </dsp:txBody>
      <dsp:txXfrm rot="-5400000">
        <a:off x="1" y="3117728"/>
        <a:ext cx="579447" cy="248335"/>
      </dsp:txXfrm>
    </dsp:sp>
    <dsp:sp modelId="{E2FFC0CA-9715-4457-B9E1-DB99F4CADB30}">
      <dsp:nvSpPr>
        <dsp:cNvPr id="0" name=""/>
        <dsp:cNvSpPr/>
      </dsp:nvSpPr>
      <dsp:spPr>
        <a:xfrm rot="5400000">
          <a:off x="2959157" y="448294"/>
          <a:ext cx="538058" cy="529747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t>Follow-up action in relation to any non-compliant liable parties</a:t>
          </a:r>
        </a:p>
      </dsp:txBody>
      <dsp:txXfrm rot="-5400000">
        <a:off x="579448" y="2854269"/>
        <a:ext cx="5271211" cy="48552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DBE81E63.dotm</Template>
  <TotalTime>0</TotalTime>
  <Pages>25</Pages>
  <Words>6474</Words>
  <Characters>36905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National Television and Computer Recycling Scheme Outcomes 2014–15</vt:lpstr>
    </vt:vector>
  </TitlesOfParts>
  <Company/>
  <LinksUpToDate>false</LinksUpToDate>
  <CharactersWithSpaces>43293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Television and Computer Recycling Scheme Outcomes 2014–15</dc:title>
  <dc:subject/>
  <dc:creator/>
  <dc:description/>
  <cp:lastModifiedBy/>
  <cp:revision>1</cp:revision>
  <dcterms:created xsi:type="dcterms:W3CDTF">2016-11-22T03:51:00Z</dcterms:created>
  <dcterms:modified xsi:type="dcterms:W3CDTF">2016-11-22T03:54:00Z</dcterms:modified>
</cp:coreProperties>
</file>