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7CB1C" w14:textId="77777777" w:rsidR="00454715" w:rsidRDefault="00454715" w:rsidP="001C65B9">
      <w:pPr>
        <w:pStyle w:val="Heading1"/>
      </w:pPr>
    </w:p>
    <w:p w14:paraId="43C8E05D" w14:textId="304DC3EC" w:rsidR="00454715" w:rsidRPr="00454715" w:rsidRDefault="00454715" w:rsidP="00454715">
      <w:pPr>
        <w:pStyle w:val="BasicParagraph"/>
        <w:spacing w:line="240" w:lineRule="auto"/>
        <w:jc w:val="center"/>
        <w:rPr>
          <w:rFonts w:ascii="Calibri" w:hAnsi="Calibri" w:cs="Calibri"/>
          <w:b/>
          <w:bCs/>
          <w:caps/>
          <w:spacing w:val="-19"/>
          <w:sz w:val="70"/>
          <w:szCs w:val="70"/>
        </w:rPr>
      </w:pPr>
      <w:r w:rsidRPr="00454715">
        <w:rPr>
          <w:rFonts w:ascii="Calibri" w:hAnsi="Calibri" w:cs="Calibri"/>
          <w:b/>
          <w:bCs/>
          <w:caps/>
          <w:sz w:val="70"/>
          <w:szCs w:val="70"/>
        </w:rPr>
        <w:t xml:space="preserve">National </w:t>
      </w:r>
      <w:r w:rsidRPr="00454715">
        <w:rPr>
          <w:rFonts w:ascii="Calibri" w:hAnsi="Calibri" w:cs="Calibri"/>
          <w:b/>
          <w:bCs/>
          <w:caps/>
          <w:sz w:val="70"/>
          <w:szCs w:val="70"/>
        </w:rPr>
        <w:br/>
      </w:r>
      <w:r w:rsidRPr="00454715">
        <w:rPr>
          <w:rFonts w:ascii="Calibri" w:hAnsi="Calibri" w:cs="Calibri"/>
          <w:b/>
          <w:bCs/>
          <w:caps/>
          <w:spacing w:val="-29"/>
          <w:sz w:val="70"/>
          <w:szCs w:val="70"/>
        </w:rPr>
        <w:t>Waste</w:t>
      </w:r>
      <w:r w:rsidRPr="00454715">
        <w:rPr>
          <w:rFonts w:ascii="Calibri" w:hAnsi="Calibri" w:cs="Calibri"/>
          <w:b/>
          <w:bCs/>
          <w:caps/>
          <w:sz w:val="70"/>
          <w:szCs w:val="70"/>
        </w:rPr>
        <w:t xml:space="preserve"> </w:t>
      </w:r>
      <w:r w:rsidRPr="00454715">
        <w:rPr>
          <w:rFonts w:ascii="Calibri" w:hAnsi="Calibri" w:cs="Calibri"/>
          <w:b/>
          <w:bCs/>
          <w:caps/>
          <w:spacing w:val="-19"/>
          <w:sz w:val="70"/>
          <w:szCs w:val="70"/>
        </w:rPr>
        <w:t>Poli</w:t>
      </w:r>
      <w:bookmarkStart w:id="0" w:name="_GoBack"/>
      <w:bookmarkEnd w:id="0"/>
      <w:r w:rsidRPr="00454715">
        <w:rPr>
          <w:rFonts w:ascii="Calibri" w:hAnsi="Calibri" w:cs="Calibri"/>
          <w:b/>
          <w:bCs/>
          <w:caps/>
          <w:spacing w:val="-19"/>
          <w:sz w:val="70"/>
          <w:szCs w:val="70"/>
        </w:rPr>
        <w:t>cy</w:t>
      </w:r>
    </w:p>
    <w:p w14:paraId="12A59E1F" w14:textId="77777777" w:rsidR="00454715" w:rsidRPr="00454715" w:rsidRDefault="00454715" w:rsidP="00454715">
      <w:pPr>
        <w:pStyle w:val="BasicParagraph"/>
        <w:spacing w:line="240" w:lineRule="auto"/>
        <w:jc w:val="center"/>
        <w:rPr>
          <w:rFonts w:ascii="Calibri" w:hAnsi="Calibri" w:cs="Calibri"/>
          <w:b/>
          <w:bCs/>
          <w:caps/>
          <w:color w:val="D8766D"/>
          <w:spacing w:val="14"/>
          <w:sz w:val="70"/>
          <w:szCs w:val="70"/>
        </w:rPr>
      </w:pPr>
      <w:r w:rsidRPr="00454715">
        <w:rPr>
          <w:rFonts w:ascii="Calibri" w:hAnsi="Calibri" w:cs="Calibri"/>
          <w:b/>
          <w:bCs/>
          <w:caps/>
          <w:color w:val="D8766D"/>
          <w:spacing w:val="14"/>
          <w:sz w:val="70"/>
          <w:szCs w:val="70"/>
        </w:rPr>
        <w:t>Action Plan</w:t>
      </w:r>
    </w:p>
    <w:p w14:paraId="5F75F2A3" w14:textId="55659F5B" w:rsidR="00454715" w:rsidRDefault="00454715" w:rsidP="00454715">
      <w:pPr>
        <w:pStyle w:val="BasicParagraph"/>
        <w:spacing w:line="240" w:lineRule="auto"/>
        <w:jc w:val="center"/>
        <w:rPr>
          <w:rFonts w:ascii="Calibri" w:hAnsi="Calibri" w:cs="Calibri"/>
          <w:b/>
          <w:bCs/>
          <w:sz w:val="70"/>
          <w:szCs w:val="70"/>
        </w:rPr>
      </w:pPr>
      <w:r w:rsidRPr="00454715">
        <w:rPr>
          <w:rFonts w:ascii="Calibri" w:hAnsi="Calibri" w:cs="Calibri"/>
          <w:b/>
          <w:bCs/>
          <w:sz w:val="70"/>
          <w:szCs w:val="70"/>
        </w:rPr>
        <w:t>2019</w:t>
      </w:r>
    </w:p>
    <w:p w14:paraId="369F490A" w14:textId="77777777" w:rsidR="00673CF5" w:rsidRDefault="00673CF5" w:rsidP="00673CF5">
      <w:pPr>
        <w:pStyle w:val="BasicParagraph"/>
        <w:spacing w:line="240" w:lineRule="auto"/>
        <w:jc w:val="center"/>
        <w:rPr>
          <w:rFonts w:ascii="Calibri" w:hAnsi="Calibri" w:cs="Calibri"/>
          <w:b/>
          <w:bCs/>
          <w:sz w:val="70"/>
          <w:szCs w:val="70"/>
        </w:rPr>
      </w:pPr>
    </w:p>
    <w:p w14:paraId="762A7208" w14:textId="17C1DC74" w:rsidR="00673CF5" w:rsidRDefault="00673CF5" w:rsidP="00673CF5">
      <w:pPr>
        <w:pStyle w:val="Strategyheading"/>
        <w:jc w:val="center"/>
      </w:pPr>
      <w:r>
        <w:t xml:space="preserve">The National Waste Policy Action Plan 2019 was prepared by the Australian Government, </w:t>
      </w:r>
      <w:r>
        <w:br/>
        <w:t>state and territory governments and the Australian Local Government Association.</w:t>
      </w:r>
    </w:p>
    <w:p w14:paraId="29CDCD73" w14:textId="574F74D7" w:rsidR="00454715" w:rsidRDefault="00454715" w:rsidP="00454715">
      <w:pPr>
        <w:pStyle w:val="BasicParagraph"/>
        <w:spacing w:line="240" w:lineRule="auto"/>
        <w:jc w:val="center"/>
        <w:rPr>
          <w:rFonts w:ascii="Calibri" w:hAnsi="Calibri" w:cs="Calibri"/>
          <w:b/>
          <w:bCs/>
          <w:sz w:val="70"/>
          <w:szCs w:val="70"/>
        </w:rPr>
      </w:pPr>
    </w:p>
    <w:sdt>
      <w:sdtPr>
        <w:rPr>
          <w:rFonts w:asciiTheme="minorHAnsi" w:eastAsiaTheme="minorHAnsi" w:hAnsiTheme="minorHAnsi" w:cstheme="minorBidi"/>
          <w:b w:val="0"/>
          <w:bCs w:val="0"/>
          <w:color w:val="auto"/>
          <w:sz w:val="24"/>
          <w:szCs w:val="24"/>
          <w:lang w:val="en-AU"/>
        </w:rPr>
        <w:id w:val="1880348664"/>
        <w:docPartObj>
          <w:docPartGallery w:val="Table of Contents"/>
          <w:docPartUnique/>
        </w:docPartObj>
      </w:sdtPr>
      <w:sdtEndPr>
        <w:rPr>
          <w:noProof/>
        </w:rPr>
      </w:sdtEndPr>
      <w:sdtContent>
        <w:p w14:paraId="7CB02943" w14:textId="3AB2FC43" w:rsidR="00454715" w:rsidRDefault="00454715">
          <w:pPr>
            <w:pStyle w:val="TOCHeading"/>
          </w:pPr>
          <w:r>
            <w:t>Table of Contents</w:t>
          </w:r>
        </w:p>
        <w:p w14:paraId="2F2076E5" w14:textId="091D39CC" w:rsidR="00454715" w:rsidRDefault="00454715">
          <w:pPr>
            <w:pStyle w:val="TOC1"/>
            <w:tabs>
              <w:tab w:val="right" w:leader="dot" w:pos="10790"/>
            </w:tabs>
            <w:rPr>
              <w:rFonts w:eastAsiaTheme="minorEastAsia" w:cstheme="minorBidi"/>
              <w:b w:val="0"/>
              <w:bCs w:val="0"/>
              <w:i w:val="0"/>
              <w:iCs w:val="0"/>
              <w:noProof/>
              <w:lang w:eastAsia="en-GB"/>
            </w:rPr>
          </w:pPr>
          <w:r>
            <w:rPr>
              <w:b w:val="0"/>
              <w:bCs w:val="0"/>
            </w:rPr>
            <w:fldChar w:fldCharType="begin"/>
          </w:r>
          <w:r>
            <w:instrText xml:space="preserve"> TOC \o "1-3" \h \z \u </w:instrText>
          </w:r>
          <w:r>
            <w:rPr>
              <w:b w:val="0"/>
              <w:bCs w:val="0"/>
            </w:rPr>
            <w:fldChar w:fldCharType="separate"/>
          </w:r>
          <w:hyperlink w:anchor="_Toc24118125" w:history="1">
            <w:r w:rsidRPr="00D75EE4">
              <w:rPr>
                <w:rStyle w:val="Hyperlink"/>
                <w:noProof/>
              </w:rPr>
              <w:t>2018 National Waste Policy: From waste to resource</w:t>
            </w:r>
            <w:r>
              <w:rPr>
                <w:noProof/>
                <w:webHidden/>
              </w:rPr>
              <w:tab/>
            </w:r>
            <w:r>
              <w:rPr>
                <w:noProof/>
                <w:webHidden/>
              </w:rPr>
              <w:fldChar w:fldCharType="begin"/>
            </w:r>
            <w:r>
              <w:rPr>
                <w:noProof/>
                <w:webHidden/>
              </w:rPr>
              <w:instrText xml:space="preserve"> PAGEREF _Toc24118125 \h </w:instrText>
            </w:r>
            <w:r>
              <w:rPr>
                <w:noProof/>
                <w:webHidden/>
              </w:rPr>
            </w:r>
            <w:r>
              <w:rPr>
                <w:noProof/>
                <w:webHidden/>
              </w:rPr>
              <w:fldChar w:fldCharType="separate"/>
            </w:r>
            <w:r>
              <w:rPr>
                <w:noProof/>
                <w:webHidden/>
              </w:rPr>
              <w:t>3</w:t>
            </w:r>
            <w:r>
              <w:rPr>
                <w:noProof/>
                <w:webHidden/>
              </w:rPr>
              <w:fldChar w:fldCharType="end"/>
            </w:r>
          </w:hyperlink>
        </w:p>
        <w:p w14:paraId="0B7DFFAB" w14:textId="7E155A11" w:rsidR="00454715" w:rsidRDefault="004B13BE">
          <w:pPr>
            <w:pStyle w:val="TOC1"/>
            <w:tabs>
              <w:tab w:val="right" w:leader="dot" w:pos="10790"/>
            </w:tabs>
            <w:rPr>
              <w:rFonts w:eastAsiaTheme="minorEastAsia" w:cstheme="minorBidi"/>
              <w:b w:val="0"/>
              <w:bCs w:val="0"/>
              <w:i w:val="0"/>
              <w:iCs w:val="0"/>
              <w:noProof/>
              <w:lang w:eastAsia="en-GB"/>
            </w:rPr>
          </w:pPr>
          <w:hyperlink w:anchor="_Toc24118126" w:history="1">
            <w:r w:rsidR="00454715" w:rsidRPr="00D75EE4">
              <w:rPr>
                <w:rStyle w:val="Hyperlink"/>
                <w:noProof/>
              </w:rPr>
              <w:t>National targets</w:t>
            </w:r>
            <w:r w:rsidR="00454715">
              <w:rPr>
                <w:noProof/>
                <w:webHidden/>
              </w:rPr>
              <w:tab/>
            </w:r>
            <w:r w:rsidR="00454715">
              <w:rPr>
                <w:noProof/>
                <w:webHidden/>
              </w:rPr>
              <w:fldChar w:fldCharType="begin"/>
            </w:r>
            <w:r w:rsidR="00454715">
              <w:rPr>
                <w:noProof/>
                <w:webHidden/>
              </w:rPr>
              <w:instrText xml:space="preserve"> PAGEREF _Toc24118126 \h </w:instrText>
            </w:r>
            <w:r w:rsidR="00454715">
              <w:rPr>
                <w:noProof/>
                <w:webHidden/>
              </w:rPr>
            </w:r>
            <w:r w:rsidR="00454715">
              <w:rPr>
                <w:noProof/>
                <w:webHidden/>
              </w:rPr>
              <w:fldChar w:fldCharType="separate"/>
            </w:r>
            <w:r w:rsidR="00454715">
              <w:rPr>
                <w:noProof/>
                <w:webHidden/>
              </w:rPr>
              <w:t>4</w:t>
            </w:r>
            <w:r w:rsidR="00454715">
              <w:rPr>
                <w:noProof/>
                <w:webHidden/>
              </w:rPr>
              <w:fldChar w:fldCharType="end"/>
            </w:r>
          </w:hyperlink>
        </w:p>
        <w:p w14:paraId="7BC5F9BE" w14:textId="38121CB2" w:rsidR="00454715" w:rsidRDefault="004B13BE">
          <w:pPr>
            <w:pStyle w:val="TOC2"/>
            <w:tabs>
              <w:tab w:val="right" w:leader="dot" w:pos="10790"/>
            </w:tabs>
            <w:rPr>
              <w:rFonts w:eastAsiaTheme="minorEastAsia" w:cstheme="minorBidi"/>
              <w:b w:val="0"/>
              <w:bCs w:val="0"/>
              <w:noProof/>
              <w:sz w:val="24"/>
              <w:szCs w:val="24"/>
              <w:lang w:eastAsia="en-GB"/>
            </w:rPr>
          </w:pPr>
          <w:hyperlink w:anchor="_Toc24118127" w:history="1">
            <w:r w:rsidR="00454715" w:rsidRPr="00D75EE4">
              <w:rPr>
                <w:rStyle w:val="Hyperlink"/>
                <w:noProof/>
              </w:rPr>
              <w:t>Target 1: Ban on export of waste plastic, paper, glass and tyres, commencing in the second half of 2020</w:t>
            </w:r>
            <w:r w:rsidR="00454715">
              <w:rPr>
                <w:noProof/>
                <w:webHidden/>
              </w:rPr>
              <w:tab/>
            </w:r>
            <w:r w:rsidR="00454715">
              <w:rPr>
                <w:noProof/>
                <w:webHidden/>
              </w:rPr>
              <w:fldChar w:fldCharType="begin"/>
            </w:r>
            <w:r w:rsidR="00454715">
              <w:rPr>
                <w:noProof/>
                <w:webHidden/>
              </w:rPr>
              <w:instrText xml:space="preserve"> PAGEREF _Toc24118127 \h </w:instrText>
            </w:r>
            <w:r w:rsidR="00454715">
              <w:rPr>
                <w:noProof/>
                <w:webHidden/>
              </w:rPr>
            </w:r>
            <w:r w:rsidR="00454715">
              <w:rPr>
                <w:noProof/>
                <w:webHidden/>
              </w:rPr>
              <w:fldChar w:fldCharType="separate"/>
            </w:r>
            <w:r w:rsidR="00454715">
              <w:rPr>
                <w:noProof/>
                <w:webHidden/>
              </w:rPr>
              <w:t>6</w:t>
            </w:r>
            <w:r w:rsidR="00454715">
              <w:rPr>
                <w:noProof/>
                <w:webHidden/>
              </w:rPr>
              <w:fldChar w:fldCharType="end"/>
            </w:r>
          </w:hyperlink>
        </w:p>
        <w:p w14:paraId="750AD7D2" w14:textId="299BDC55" w:rsidR="00454715" w:rsidRDefault="004B13BE">
          <w:pPr>
            <w:pStyle w:val="TOC2"/>
            <w:tabs>
              <w:tab w:val="right" w:leader="dot" w:pos="10790"/>
            </w:tabs>
            <w:rPr>
              <w:rFonts w:eastAsiaTheme="minorEastAsia" w:cstheme="minorBidi"/>
              <w:b w:val="0"/>
              <w:bCs w:val="0"/>
              <w:noProof/>
              <w:sz w:val="24"/>
              <w:szCs w:val="24"/>
              <w:lang w:eastAsia="en-GB"/>
            </w:rPr>
          </w:pPr>
          <w:hyperlink w:anchor="_Toc24118128" w:history="1">
            <w:r w:rsidR="00454715" w:rsidRPr="00D75EE4">
              <w:rPr>
                <w:rStyle w:val="Hyperlink"/>
                <w:noProof/>
              </w:rPr>
              <w:t>Target 2: Reduce total waste generated in Australia by 10% per person by 2030</w:t>
            </w:r>
            <w:r w:rsidR="00454715">
              <w:rPr>
                <w:noProof/>
                <w:webHidden/>
              </w:rPr>
              <w:tab/>
            </w:r>
            <w:r w:rsidR="00454715">
              <w:rPr>
                <w:noProof/>
                <w:webHidden/>
              </w:rPr>
              <w:fldChar w:fldCharType="begin"/>
            </w:r>
            <w:r w:rsidR="00454715">
              <w:rPr>
                <w:noProof/>
                <w:webHidden/>
              </w:rPr>
              <w:instrText xml:space="preserve"> PAGEREF _Toc24118128 \h </w:instrText>
            </w:r>
            <w:r w:rsidR="00454715">
              <w:rPr>
                <w:noProof/>
                <w:webHidden/>
              </w:rPr>
            </w:r>
            <w:r w:rsidR="00454715">
              <w:rPr>
                <w:noProof/>
                <w:webHidden/>
              </w:rPr>
              <w:fldChar w:fldCharType="separate"/>
            </w:r>
            <w:r w:rsidR="00454715">
              <w:rPr>
                <w:noProof/>
                <w:webHidden/>
              </w:rPr>
              <w:t>8</w:t>
            </w:r>
            <w:r w:rsidR="00454715">
              <w:rPr>
                <w:noProof/>
                <w:webHidden/>
              </w:rPr>
              <w:fldChar w:fldCharType="end"/>
            </w:r>
          </w:hyperlink>
        </w:p>
        <w:p w14:paraId="3C067F69" w14:textId="60444D0B" w:rsidR="00454715" w:rsidRDefault="004B13BE">
          <w:pPr>
            <w:pStyle w:val="TOC2"/>
            <w:tabs>
              <w:tab w:val="right" w:leader="dot" w:pos="10790"/>
            </w:tabs>
            <w:rPr>
              <w:rFonts w:eastAsiaTheme="minorEastAsia" w:cstheme="minorBidi"/>
              <w:b w:val="0"/>
              <w:bCs w:val="0"/>
              <w:noProof/>
              <w:sz w:val="24"/>
              <w:szCs w:val="24"/>
              <w:lang w:eastAsia="en-GB"/>
            </w:rPr>
          </w:pPr>
          <w:hyperlink w:anchor="_Toc24118129" w:history="1">
            <w:r w:rsidR="00454715" w:rsidRPr="00D75EE4">
              <w:rPr>
                <w:rStyle w:val="Hyperlink"/>
                <w:noProof/>
              </w:rPr>
              <w:t>Target 3: 80% average resource recovery rate from all waste streams following the waste hierarchy by 2030</w:t>
            </w:r>
            <w:r w:rsidR="00454715">
              <w:rPr>
                <w:noProof/>
                <w:webHidden/>
              </w:rPr>
              <w:tab/>
            </w:r>
            <w:r w:rsidR="00454715">
              <w:rPr>
                <w:noProof/>
                <w:webHidden/>
              </w:rPr>
              <w:fldChar w:fldCharType="begin"/>
            </w:r>
            <w:r w:rsidR="00454715">
              <w:rPr>
                <w:noProof/>
                <w:webHidden/>
              </w:rPr>
              <w:instrText xml:space="preserve"> PAGEREF _Toc24118129 \h </w:instrText>
            </w:r>
            <w:r w:rsidR="00454715">
              <w:rPr>
                <w:noProof/>
                <w:webHidden/>
              </w:rPr>
            </w:r>
            <w:r w:rsidR="00454715">
              <w:rPr>
                <w:noProof/>
                <w:webHidden/>
              </w:rPr>
              <w:fldChar w:fldCharType="separate"/>
            </w:r>
            <w:r w:rsidR="00454715">
              <w:rPr>
                <w:noProof/>
                <w:webHidden/>
              </w:rPr>
              <w:t>11</w:t>
            </w:r>
            <w:r w:rsidR="00454715">
              <w:rPr>
                <w:noProof/>
                <w:webHidden/>
              </w:rPr>
              <w:fldChar w:fldCharType="end"/>
            </w:r>
          </w:hyperlink>
        </w:p>
        <w:p w14:paraId="6052BD2E" w14:textId="1E350071" w:rsidR="00454715" w:rsidRDefault="004B13BE">
          <w:pPr>
            <w:pStyle w:val="TOC2"/>
            <w:tabs>
              <w:tab w:val="right" w:leader="dot" w:pos="10790"/>
            </w:tabs>
            <w:rPr>
              <w:rFonts w:eastAsiaTheme="minorEastAsia" w:cstheme="minorBidi"/>
              <w:b w:val="0"/>
              <w:bCs w:val="0"/>
              <w:noProof/>
              <w:sz w:val="24"/>
              <w:szCs w:val="24"/>
              <w:lang w:eastAsia="en-GB"/>
            </w:rPr>
          </w:pPr>
          <w:hyperlink w:anchor="_Toc24118130" w:history="1">
            <w:r w:rsidR="00454715" w:rsidRPr="00D75EE4">
              <w:rPr>
                <w:rStyle w:val="Hyperlink"/>
                <w:noProof/>
              </w:rPr>
              <w:t>Target 4: Significantly increase the use of recycled content by governments and industry</w:t>
            </w:r>
            <w:r w:rsidR="00454715">
              <w:rPr>
                <w:noProof/>
                <w:webHidden/>
              </w:rPr>
              <w:tab/>
            </w:r>
            <w:r w:rsidR="00454715">
              <w:rPr>
                <w:noProof/>
                <w:webHidden/>
              </w:rPr>
              <w:fldChar w:fldCharType="begin"/>
            </w:r>
            <w:r w:rsidR="00454715">
              <w:rPr>
                <w:noProof/>
                <w:webHidden/>
              </w:rPr>
              <w:instrText xml:space="preserve"> PAGEREF _Toc24118130 \h </w:instrText>
            </w:r>
            <w:r w:rsidR="00454715">
              <w:rPr>
                <w:noProof/>
                <w:webHidden/>
              </w:rPr>
            </w:r>
            <w:r w:rsidR="00454715">
              <w:rPr>
                <w:noProof/>
                <w:webHidden/>
              </w:rPr>
              <w:fldChar w:fldCharType="separate"/>
            </w:r>
            <w:r w:rsidR="00454715">
              <w:rPr>
                <w:noProof/>
                <w:webHidden/>
              </w:rPr>
              <w:t>15</w:t>
            </w:r>
            <w:r w:rsidR="00454715">
              <w:rPr>
                <w:noProof/>
                <w:webHidden/>
              </w:rPr>
              <w:fldChar w:fldCharType="end"/>
            </w:r>
          </w:hyperlink>
        </w:p>
        <w:p w14:paraId="613065FA" w14:textId="74088F59" w:rsidR="00454715" w:rsidRDefault="004B13BE">
          <w:pPr>
            <w:pStyle w:val="TOC2"/>
            <w:tabs>
              <w:tab w:val="right" w:leader="dot" w:pos="10790"/>
            </w:tabs>
            <w:rPr>
              <w:rFonts w:eastAsiaTheme="minorEastAsia" w:cstheme="minorBidi"/>
              <w:b w:val="0"/>
              <w:bCs w:val="0"/>
              <w:noProof/>
              <w:sz w:val="24"/>
              <w:szCs w:val="24"/>
              <w:lang w:eastAsia="en-GB"/>
            </w:rPr>
          </w:pPr>
          <w:hyperlink w:anchor="_Toc24118131" w:history="1">
            <w:r w:rsidR="00454715" w:rsidRPr="00D75EE4">
              <w:rPr>
                <w:rStyle w:val="Hyperlink"/>
                <w:noProof/>
              </w:rPr>
              <w:t>Target 5: Phase out problematic and unnecessary plastics by 2025</w:t>
            </w:r>
            <w:r w:rsidR="00454715">
              <w:rPr>
                <w:noProof/>
                <w:webHidden/>
              </w:rPr>
              <w:tab/>
            </w:r>
            <w:r w:rsidR="00454715">
              <w:rPr>
                <w:noProof/>
                <w:webHidden/>
              </w:rPr>
              <w:fldChar w:fldCharType="begin"/>
            </w:r>
            <w:r w:rsidR="00454715">
              <w:rPr>
                <w:noProof/>
                <w:webHidden/>
              </w:rPr>
              <w:instrText xml:space="preserve"> PAGEREF _Toc24118131 \h </w:instrText>
            </w:r>
            <w:r w:rsidR="00454715">
              <w:rPr>
                <w:noProof/>
                <w:webHidden/>
              </w:rPr>
            </w:r>
            <w:r w:rsidR="00454715">
              <w:rPr>
                <w:noProof/>
                <w:webHidden/>
              </w:rPr>
              <w:fldChar w:fldCharType="separate"/>
            </w:r>
            <w:r w:rsidR="00454715">
              <w:rPr>
                <w:noProof/>
                <w:webHidden/>
              </w:rPr>
              <w:t>17</w:t>
            </w:r>
            <w:r w:rsidR="00454715">
              <w:rPr>
                <w:noProof/>
                <w:webHidden/>
              </w:rPr>
              <w:fldChar w:fldCharType="end"/>
            </w:r>
          </w:hyperlink>
        </w:p>
        <w:p w14:paraId="18C5009D" w14:textId="588211F7" w:rsidR="00454715" w:rsidRDefault="004B13BE">
          <w:pPr>
            <w:pStyle w:val="TOC2"/>
            <w:tabs>
              <w:tab w:val="right" w:leader="dot" w:pos="10790"/>
            </w:tabs>
            <w:rPr>
              <w:rFonts w:eastAsiaTheme="minorEastAsia" w:cstheme="minorBidi"/>
              <w:b w:val="0"/>
              <w:bCs w:val="0"/>
              <w:noProof/>
              <w:sz w:val="24"/>
              <w:szCs w:val="24"/>
              <w:lang w:eastAsia="en-GB"/>
            </w:rPr>
          </w:pPr>
          <w:hyperlink w:anchor="_Toc24118132" w:history="1">
            <w:r w:rsidR="00454715" w:rsidRPr="00D75EE4">
              <w:rPr>
                <w:rStyle w:val="Hyperlink"/>
                <w:noProof/>
              </w:rPr>
              <w:t>Target 6: Halve the amount of organic waste sent to landfill for disposal by 2030</w:t>
            </w:r>
            <w:r w:rsidR="00454715">
              <w:rPr>
                <w:noProof/>
                <w:webHidden/>
              </w:rPr>
              <w:tab/>
            </w:r>
            <w:r w:rsidR="00454715">
              <w:rPr>
                <w:noProof/>
                <w:webHidden/>
              </w:rPr>
              <w:fldChar w:fldCharType="begin"/>
            </w:r>
            <w:r w:rsidR="00454715">
              <w:rPr>
                <w:noProof/>
                <w:webHidden/>
              </w:rPr>
              <w:instrText xml:space="preserve"> PAGEREF _Toc24118132 \h </w:instrText>
            </w:r>
            <w:r w:rsidR="00454715">
              <w:rPr>
                <w:noProof/>
                <w:webHidden/>
              </w:rPr>
            </w:r>
            <w:r w:rsidR="00454715">
              <w:rPr>
                <w:noProof/>
                <w:webHidden/>
              </w:rPr>
              <w:fldChar w:fldCharType="separate"/>
            </w:r>
            <w:r w:rsidR="00454715">
              <w:rPr>
                <w:noProof/>
                <w:webHidden/>
              </w:rPr>
              <w:t>19</w:t>
            </w:r>
            <w:r w:rsidR="00454715">
              <w:rPr>
                <w:noProof/>
                <w:webHidden/>
              </w:rPr>
              <w:fldChar w:fldCharType="end"/>
            </w:r>
          </w:hyperlink>
        </w:p>
        <w:p w14:paraId="58B543E0" w14:textId="5871492E" w:rsidR="00454715" w:rsidRDefault="004B13BE">
          <w:pPr>
            <w:pStyle w:val="TOC2"/>
            <w:tabs>
              <w:tab w:val="right" w:leader="dot" w:pos="10790"/>
            </w:tabs>
            <w:rPr>
              <w:rFonts w:eastAsiaTheme="minorEastAsia" w:cstheme="minorBidi"/>
              <w:b w:val="0"/>
              <w:bCs w:val="0"/>
              <w:noProof/>
              <w:sz w:val="24"/>
              <w:szCs w:val="24"/>
              <w:lang w:eastAsia="en-GB"/>
            </w:rPr>
          </w:pPr>
          <w:hyperlink w:anchor="_Toc24118133" w:history="1">
            <w:r w:rsidR="00454715" w:rsidRPr="00D75EE4">
              <w:rPr>
                <w:rStyle w:val="Hyperlink"/>
                <w:noProof/>
              </w:rPr>
              <w:t>Target 7: Make comprehensive, economy-wide and timely data publicly available to support better consumer, investment and policy decisions</w:t>
            </w:r>
            <w:r w:rsidR="00454715">
              <w:rPr>
                <w:noProof/>
                <w:webHidden/>
              </w:rPr>
              <w:tab/>
            </w:r>
            <w:r w:rsidR="00454715">
              <w:rPr>
                <w:noProof/>
                <w:webHidden/>
              </w:rPr>
              <w:fldChar w:fldCharType="begin"/>
            </w:r>
            <w:r w:rsidR="00454715">
              <w:rPr>
                <w:noProof/>
                <w:webHidden/>
              </w:rPr>
              <w:instrText xml:space="preserve"> PAGEREF _Toc24118133 \h </w:instrText>
            </w:r>
            <w:r w:rsidR="00454715">
              <w:rPr>
                <w:noProof/>
                <w:webHidden/>
              </w:rPr>
            </w:r>
            <w:r w:rsidR="00454715">
              <w:rPr>
                <w:noProof/>
                <w:webHidden/>
              </w:rPr>
              <w:fldChar w:fldCharType="separate"/>
            </w:r>
            <w:r w:rsidR="00454715">
              <w:rPr>
                <w:noProof/>
                <w:webHidden/>
              </w:rPr>
              <w:t>20</w:t>
            </w:r>
            <w:r w:rsidR="00454715">
              <w:rPr>
                <w:noProof/>
                <w:webHidden/>
              </w:rPr>
              <w:fldChar w:fldCharType="end"/>
            </w:r>
          </w:hyperlink>
        </w:p>
        <w:p w14:paraId="3CF9D519" w14:textId="5DBF4BFB" w:rsidR="00454715" w:rsidRDefault="004B13BE">
          <w:pPr>
            <w:pStyle w:val="TOC1"/>
            <w:tabs>
              <w:tab w:val="right" w:leader="dot" w:pos="10790"/>
            </w:tabs>
            <w:rPr>
              <w:rFonts w:eastAsiaTheme="minorEastAsia" w:cstheme="minorBidi"/>
              <w:b w:val="0"/>
              <w:bCs w:val="0"/>
              <w:i w:val="0"/>
              <w:iCs w:val="0"/>
              <w:noProof/>
              <w:lang w:eastAsia="en-GB"/>
            </w:rPr>
          </w:pPr>
          <w:hyperlink w:anchor="_Toc24118134" w:history="1">
            <w:r w:rsidR="00454715" w:rsidRPr="00D75EE4">
              <w:rPr>
                <w:rStyle w:val="Hyperlink"/>
                <w:noProof/>
              </w:rPr>
              <w:t>Appendix A: Implementing the National Action Plan</w:t>
            </w:r>
            <w:r w:rsidR="00454715">
              <w:rPr>
                <w:noProof/>
                <w:webHidden/>
              </w:rPr>
              <w:tab/>
            </w:r>
            <w:r w:rsidR="00454715">
              <w:rPr>
                <w:noProof/>
                <w:webHidden/>
              </w:rPr>
              <w:fldChar w:fldCharType="begin"/>
            </w:r>
            <w:r w:rsidR="00454715">
              <w:rPr>
                <w:noProof/>
                <w:webHidden/>
              </w:rPr>
              <w:instrText xml:space="preserve"> PAGEREF _Toc24118134 \h </w:instrText>
            </w:r>
            <w:r w:rsidR="00454715">
              <w:rPr>
                <w:noProof/>
                <w:webHidden/>
              </w:rPr>
            </w:r>
            <w:r w:rsidR="00454715">
              <w:rPr>
                <w:noProof/>
                <w:webHidden/>
              </w:rPr>
              <w:fldChar w:fldCharType="separate"/>
            </w:r>
            <w:r w:rsidR="00454715">
              <w:rPr>
                <w:noProof/>
                <w:webHidden/>
              </w:rPr>
              <w:t>22</w:t>
            </w:r>
            <w:r w:rsidR="00454715">
              <w:rPr>
                <w:noProof/>
                <w:webHidden/>
              </w:rPr>
              <w:fldChar w:fldCharType="end"/>
            </w:r>
          </w:hyperlink>
        </w:p>
        <w:p w14:paraId="5770E910" w14:textId="7DFDF69C" w:rsidR="00454715" w:rsidRDefault="004B13BE">
          <w:pPr>
            <w:pStyle w:val="TOC1"/>
            <w:tabs>
              <w:tab w:val="right" w:leader="dot" w:pos="10790"/>
            </w:tabs>
            <w:rPr>
              <w:rFonts w:eastAsiaTheme="minorEastAsia" w:cstheme="minorBidi"/>
              <w:b w:val="0"/>
              <w:bCs w:val="0"/>
              <w:i w:val="0"/>
              <w:iCs w:val="0"/>
              <w:noProof/>
              <w:lang w:eastAsia="en-GB"/>
            </w:rPr>
          </w:pPr>
          <w:hyperlink w:anchor="_Toc24118135" w:history="1">
            <w:r w:rsidR="00454715" w:rsidRPr="00D75EE4">
              <w:rPr>
                <w:rStyle w:val="Hyperlink"/>
                <w:noProof/>
              </w:rPr>
              <w:t>Appendix B: Waste and recycling targets across jurisdictions</w:t>
            </w:r>
            <w:r w:rsidR="00454715">
              <w:rPr>
                <w:noProof/>
                <w:webHidden/>
              </w:rPr>
              <w:tab/>
            </w:r>
            <w:r w:rsidR="00454715">
              <w:rPr>
                <w:noProof/>
                <w:webHidden/>
              </w:rPr>
              <w:fldChar w:fldCharType="begin"/>
            </w:r>
            <w:r w:rsidR="00454715">
              <w:rPr>
                <w:noProof/>
                <w:webHidden/>
              </w:rPr>
              <w:instrText xml:space="preserve"> PAGEREF _Toc24118135 \h </w:instrText>
            </w:r>
            <w:r w:rsidR="00454715">
              <w:rPr>
                <w:noProof/>
                <w:webHidden/>
              </w:rPr>
            </w:r>
            <w:r w:rsidR="00454715">
              <w:rPr>
                <w:noProof/>
                <w:webHidden/>
              </w:rPr>
              <w:fldChar w:fldCharType="separate"/>
            </w:r>
            <w:r w:rsidR="00454715">
              <w:rPr>
                <w:noProof/>
                <w:webHidden/>
              </w:rPr>
              <w:t>24</w:t>
            </w:r>
            <w:r w:rsidR="00454715">
              <w:rPr>
                <w:noProof/>
                <w:webHidden/>
              </w:rPr>
              <w:fldChar w:fldCharType="end"/>
            </w:r>
          </w:hyperlink>
        </w:p>
        <w:p w14:paraId="21A9E182" w14:textId="4A96379B" w:rsidR="00454715" w:rsidRDefault="004B13BE">
          <w:pPr>
            <w:pStyle w:val="TOC1"/>
            <w:tabs>
              <w:tab w:val="right" w:leader="dot" w:pos="10790"/>
            </w:tabs>
            <w:rPr>
              <w:rFonts w:eastAsiaTheme="minorEastAsia" w:cstheme="minorBidi"/>
              <w:b w:val="0"/>
              <w:bCs w:val="0"/>
              <w:i w:val="0"/>
              <w:iCs w:val="0"/>
              <w:noProof/>
              <w:lang w:eastAsia="en-GB"/>
            </w:rPr>
          </w:pPr>
          <w:hyperlink w:anchor="_Toc24118136" w:history="1">
            <w:r w:rsidR="00454715" w:rsidRPr="00D75EE4">
              <w:rPr>
                <w:rStyle w:val="Hyperlink"/>
                <w:noProof/>
              </w:rPr>
              <w:t>Glossary</w:t>
            </w:r>
            <w:r w:rsidR="00454715">
              <w:rPr>
                <w:noProof/>
                <w:webHidden/>
              </w:rPr>
              <w:tab/>
            </w:r>
            <w:r w:rsidR="00454715">
              <w:rPr>
                <w:noProof/>
                <w:webHidden/>
              </w:rPr>
              <w:fldChar w:fldCharType="begin"/>
            </w:r>
            <w:r w:rsidR="00454715">
              <w:rPr>
                <w:noProof/>
                <w:webHidden/>
              </w:rPr>
              <w:instrText xml:space="preserve"> PAGEREF _Toc24118136 \h </w:instrText>
            </w:r>
            <w:r w:rsidR="00454715">
              <w:rPr>
                <w:noProof/>
                <w:webHidden/>
              </w:rPr>
            </w:r>
            <w:r w:rsidR="00454715">
              <w:rPr>
                <w:noProof/>
                <w:webHidden/>
              </w:rPr>
              <w:fldChar w:fldCharType="separate"/>
            </w:r>
            <w:r w:rsidR="00454715">
              <w:rPr>
                <w:noProof/>
                <w:webHidden/>
              </w:rPr>
              <w:t>26</w:t>
            </w:r>
            <w:r w:rsidR="00454715">
              <w:rPr>
                <w:noProof/>
                <w:webHidden/>
              </w:rPr>
              <w:fldChar w:fldCharType="end"/>
            </w:r>
          </w:hyperlink>
        </w:p>
        <w:p w14:paraId="0D2BF58A" w14:textId="0D3CF1C6" w:rsidR="00454715" w:rsidRDefault="00454715">
          <w:r>
            <w:rPr>
              <w:b/>
              <w:bCs/>
              <w:noProof/>
            </w:rPr>
            <w:fldChar w:fldCharType="end"/>
          </w:r>
        </w:p>
      </w:sdtContent>
    </w:sdt>
    <w:p w14:paraId="1E424190" w14:textId="77777777" w:rsidR="00454715" w:rsidRPr="00454715" w:rsidRDefault="00454715" w:rsidP="00454715">
      <w:pPr>
        <w:pStyle w:val="BasicParagraph"/>
        <w:spacing w:line="240" w:lineRule="auto"/>
        <w:jc w:val="center"/>
        <w:rPr>
          <w:rFonts w:ascii="Calibri" w:hAnsi="Calibri" w:cs="Calibri"/>
          <w:b/>
          <w:bCs/>
          <w:sz w:val="70"/>
          <w:szCs w:val="70"/>
        </w:rPr>
      </w:pPr>
    </w:p>
    <w:p w14:paraId="438F33BE" w14:textId="295C2753" w:rsidR="001C65B9" w:rsidRDefault="001C65B9" w:rsidP="001C65B9">
      <w:pPr>
        <w:pStyle w:val="Heading1"/>
      </w:pPr>
      <w:bookmarkStart w:id="1" w:name="_Toc24118125"/>
      <w:r>
        <w:lastRenderedPageBreak/>
        <w:t xml:space="preserve">2018 National </w:t>
      </w:r>
      <w:r w:rsidRPr="001C65B9">
        <w:t>Waste Policy: From waste to</w:t>
      </w:r>
      <w:r>
        <w:t xml:space="preserve"> resource</w:t>
      </w:r>
      <w:bookmarkEnd w:id="1"/>
      <w:r>
        <w:t xml:space="preserve"> </w:t>
      </w:r>
    </w:p>
    <w:p w14:paraId="1A967071" w14:textId="04D93E35" w:rsidR="00EC25DE" w:rsidRDefault="00EC25DE" w:rsidP="00EC25DE">
      <w:pPr>
        <w:pStyle w:val="INTROPARA"/>
      </w:pPr>
      <w:r>
        <w:t>We all generate waste and this waste has an impact on our environment. We all have a role in working to reduce waste where possible, making productive use of our waste as resources where we can’t avoid waste generation.</w:t>
      </w:r>
    </w:p>
    <w:p w14:paraId="18644CD6" w14:textId="77777777" w:rsidR="00EC25DE" w:rsidRDefault="00EC25DE" w:rsidP="00EC25DE">
      <w:pPr>
        <w:pStyle w:val="Text"/>
      </w:pPr>
      <w:r>
        <w:t xml:space="preserve">This is important for the sustainability of our environment, our economy and our own wellbeing. </w:t>
      </w:r>
    </w:p>
    <w:p w14:paraId="5AE4608B" w14:textId="77777777" w:rsidR="00EC25DE" w:rsidRDefault="00EC25DE" w:rsidP="00EC25DE">
      <w:pPr>
        <w:pStyle w:val="Text"/>
      </w:pPr>
      <w:r>
        <w:t xml:space="preserve">The </w:t>
      </w:r>
      <w:r>
        <w:rPr>
          <w:i/>
          <w:iCs/>
        </w:rPr>
        <w:t>2018 National Waste Policy: Less waste, more resources</w:t>
      </w:r>
      <w:r>
        <w:t xml:space="preserve"> was agreed by Australia’s Environment Ministers and the President of the Australian Local Government Association in December 2018. It sets a new unified direction for waste and recycling in Australia.</w:t>
      </w:r>
    </w:p>
    <w:p w14:paraId="0658942F" w14:textId="77777777" w:rsidR="00EC25DE" w:rsidRDefault="00EC25DE" w:rsidP="00EC25DE">
      <w:pPr>
        <w:pStyle w:val="Text"/>
      </w:pPr>
      <w:r>
        <w:t xml:space="preserve">The policy provides a framework for collective, national action on waste management, recycling and resource recovery to 2030. </w:t>
      </w:r>
    </w:p>
    <w:p w14:paraId="0F3980D4" w14:textId="77777777" w:rsidR="00EC25DE" w:rsidRDefault="00EC25DE" w:rsidP="00EC25DE">
      <w:pPr>
        <w:pStyle w:val="Text"/>
      </w:pPr>
      <w:r>
        <w:t xml:space="preserve">It reflects new ways of thinking about waste as a resource, and it applies principles of a circular economy to waste management to support better and repeated use of our resources. </w:t>
      </w:r>
    </w:p>
    <w:p w14:paraId="2C100FDF" w14:textId="77777777" w:rsidR="00EC25DE" w:rsidRDefault="00EC25DE" w:rsidP="00EC25DE">
      <w:pPr>
        <w:pStyle w:val="Text"/>
        <w:pBdr>
          <w:bottom w:val="dotted" w:sz="8" w:space="5" w:color="D7510C"/>
        </w:pBdr>
      </w:pPr>
      <w:r>
        <w:t>Those circular economy principles for waste are:</w:t>
      </w:r>
    </w:p>
    <w:p w14:paraId="7F3DA318" w14:textId="77777777" w:rsidR="00EC25DE" w:rsidRDefault="00EC25DE" w:rsidP="00EC25DE">
      <w:pPr>
        <w:pStyle w:val="TABLETEXT"/>
        <w:ind w:left="227" w:hanging="227"/>
      </w:pPr>
      <w:r>
        <w:t>1.</w:t>
      </w:r>
      <w:r>
        <w:tab/>
        <w:t>Avoid waste</w:t>
      </w:r>
    </w:p>
    <w:p w14:paraId="7AA6BBB0" w14:textId="77777777" w:rsidR="00EC25DE" w:rsidRDefault="00EC25DE" w:rsidP="00EC25DE">
      <w:pPr>
        <w:pStyle w:val="TABLETEXT"/>
        <w:ind w:left="227" w:hanging="227"/>
      </w:pPr>
      <w:r>
        <w:t>2.</w:t>
      </w:r>
      <w:r>
        <w:tab/>
        <w:t>Improve resource recovery</w:t>
      </w:r>
    </w:p>
    <w:p w14:paraId="697B4566" w14:textId="77777777" w:rsidR="00EC25DE" w:rsidRDefault="00EC25DE" w:rsidP="00EC25DE">
      <w:pPr>
        <w:pStyle w:val="TABLETEXT"/>
        <w:ind w:left="227" w:hanging="227"/>
      </w:pPr>
      <w:r>
        <w:t>3.</w:t>
      </w:r>
      <w:r>
        <w:tab/>
        <w:t>Increase use of recycled material and build demand and markets for recycled products</w:t>
      </w:r>
    </w:p>
    <w:p w14:paraId="39223AA3" w14:textId="77777777" w:rsidR="00EC25DE" w:rsidRDefault="00EC25DE" w:rsidP="00EC25DE">
      <w:pPr>
        <w:pStyle w:val="TABLETEXT"/>
        <w:ind w:left="227" w:hanging="227"/>
      </w:pPr>
      <w:r>
        <w:t>4.</w:t>
      </w:r>
      <w:r>
        <w:tab/>
        <w:t>Better manage material flows to benefit human health, the environment and the economy</w:t>
      </w:r>
    </w:p>
    <w:p w14:paraId="71305E39" w14:textId="77777777" w:rsidR="00EC25DE" w:rsidRDefault="00EC25DE" w:rsidP="00EC25DE">
      <w:pPr>
        <w:pStyle w:val="TABLETEXT"/>
        <w:ind w:left="227" w:hanging="227"/>
      </w:pPr>
      <w:r>
        <w:t>5.</w:t>
      </w:r>
      <w:r>
        <w:tab/>
        <w:t xml:space="preserve">Improve information to support innovation, guide investment and enable informed consumer decisions. </w:t>
      </w:r>
    </w:p>
    <w:p w14:paraId="56F65965" w14:textId="77777777" w:rsidR="00EC25DE" w:rsidRDefault="00EC25DE" w:rsidP="00EC25DE">
      <w:pPr>
        <w:pStyle w:val="Subhead2"/>
      </w:pPr>
      <w:r>
        <w:t>National Action Plan</w:t>
      </w:r>
    </w:p>
    <w:p w14:paraId="43D066BC" w14:textId="77777777" w:rsidR="00EC25DE" w:rsidRDefault="00EC25DE" w:rsidP="00EC25DE">
      <w:pPr>
        <w:pStyle w:val="Text"/>
      </w:pPr>
      <w:r>
        <w:t xml:space="preserve">This National Action Plan presents targets and actions to implement the 2018 National Waste Policy. These targets and actions will guide investment and national efforts to 2030 and beyond. </w:t>
      </w:r>
    </w:p>
    <w:p w14:paraId="2D021B7B" w14:textId="77777777" w:rsidR="00EC25DE" w:rsidRDefault="00EC25DE" w:rsidP="00EC25DE">
      <w:pPr>
        <w:pStyle w:val="Text"/>
      </w:pPr>
      <w:r>
        <w:t>This plan complements and supports the implementation of national packaging targets developed and agreed by Australian businesses and industry through the Australian Packaging Covenant Organisation, and the separate policies committed to by each state and territory jurisdiction set out in Appendix B.</w:t>
      </w:r>
    </w:p>
    <w:p w14:paraId="44E507B6" w14:textId="77777777" w:rsidR="00EC25DE" w:rsidRDefault="00EC25DE" w:rsidP="00EC25DE">
      <w:pPr>
        <w:pStyle w:val="Text"/>
      </w:pPr>
      <w:r>
        <w:t xml:space="preserve">It also aims to address impediments to a circular economy for waste in Australia—to support businesses and households realise the full value of recyclable materials and work towards more sustainable resource use. </w:t>
      </w:r>
    </w:p>
    <w:p w14:paraId="2165BCA4" w14:textId="77777777" w:rsidR="00EC25DE" w:rsidRDefault="00EC25DE" w:rsidP="00EC25DE">
      <w:pPr>
        <w:pStyle w:val="Text"/>
      </w:pPr>
      <w:r>
        <w:t xml:space="preserve">We know that for every 10,000 tonnes of waste recycled, 9.2 jobs are created. Each year $2.9 billion is raised through sales of recovered materials. By working together, businesses, governments, communities and individuals can support our economy, while protecting human health and reducing environmental impacts. </w:t>
      </w:r>
    </w:p>
    <w:p w14:paraId="5702AC27" w14:textId="7F8EACD8" w:rsidR="001C65B9" w:rsidRDefault="00EC25DE" w:rsidP="00EC25DE">
      <w:pPr>
        <w:pStyle w:val="Text"/>
      </w:pPr>
      <w:r>
        <w:t>Actions in the National Action Plan will be updated as new challenges arise and more information becomes available. More information on implementation of the plan is at Appendix A.</w:t>
      </w:r>
    </w:p>
    <w:p w14:paraId="1F89CF0F" w14:textId="77777777" w:rsidR="001C65B9" w:rsidRDefault="001C65B9">
      <w:pPr>
        <w:rPr>
          <w:rFonts w:ascii="Calibri" w:hAnsi="Calibri" w:cs="Calibri"/>
          <w:color w:val="000000"/>
          <w:sz w:val="18"/>
          <w:szCs w:val="18"/>
          <w:lang w:val="en-GB"/>
        </w:rPr>
      </w:pPr>
      <w:r>
        <w:br w:type="page"/>
      </w:r>
    </w:p>
    <w:p w14:paraId="0CA05FFA" w14:textId="77777777" w:rsidR="00EC25DE" w:rsidRDefault="00EC25DE" w:rsidP="00EC25DE">
      <w:pPr>
        <w:pStyle w:val="Text"/>
      </w:pPr>
    </w:p>
    <w:p w14:paraId="1C934670" w14:textId="77777777" w:rsidR="00EC25DE" w:rsidRPr="00EC25DE" w:rsidRDefault="00EC25DE" w:rsidP="00EC25DE">
      <w:pPr>
        <w:pStyle w:val="Heading1"/>
        <w:rPr>
          <w:rStyle w:val="UNDERLINESPANNEDTEXT"/>
        </w:rPr>
      </w:pPr>
      <w:bookmarkStart w:id="2" w:name="_Toc24118126"/>
      <w:r w:rsidRPr="00EC25DE">
        <w:rPr>
          <w:rStyle w:val="UNDERLINESPANNEDTEXT"/>
        </w:rPr>
        <w:t>National targets</w:t>
      </w:r>
      <w:bookmarkEnd w:id="2"/>
    </w:p>
    <w:p w14:paraId="5901EA3D" w14:textId="77777777" w:rsidR="00EC25DE" w:rsidRDefault="00EC25DE" w:rsidP="00EC25DE">
      <w:pPr>
        <w:pStyle w:val="Text"/>
        <w:ind w:left="340" w:hanging="340"/>
        <w:rPr>
          <w:b/>
          <w:bCs/>
          <w:sz w:val="26"/>
          <w:szCs w:val="26"/>
        </w:rPr>
      </w:pPr>
      <w:r>
        <w:rPr>
          <w:b/>
          <w:bCs/>
          <w:sz w:val="26"/>
          <w:szCs w:val="26"/>
        </w:rPr>
        <w:t>1.</w:t>
      </w:r>
      <w:r>
        <w:rPr>
          <w:b/>
          <w:bCs/>
          <w:sz w:val="26"/>
          <w:szCs w:val="26"/>
        </w:rPr>
        <w:tab/>
        <w:t xml:space="preserve">Ban the export of waste plastic, paper, glass and tyres, commencing in the second half of 2020 </w:t>
      </w:r>
    </w:p>
    <w:p w14:paraId="3983FECD" w14:textId="77777777" w:rsidR="00EC25DE" w:rsidRDefault="00EC25DE" w:rsidP="00EC25DE">
      <w:pPr>
        <w:pStyle w:val="Text"/>
        <w:ind w:left="340" w:hanging="340"/>
        <w:rPr>
          <w:b/>
          <w:bCs/>
          <w:sz w:val="26"/>
          <w:szCs w:val="26"/>
        </w:rPr>
      </w:pPr>
      <w:r>
        <w:rPr>
          <w:b/>
          <w:bCs/>
          <w:sz w:val="26"/>
          <w:szCs w:val="26"/>
        </w:rPr>
        <w:t>2.</w:t>
      </w:r>
      <w:r>
        <w:rPr>
          <w:b/>
          <w:bCs/>
          <w:sz w:val="26"/>
          <w:szCs w:val="26"/>
        </w:rPr>
        <w:tab/>
        <w:t>Reduce total waste generated in Australia by 10% per person by 2030</w:t>
      </w:r>
    </w:p>
    <w:p w14:paraId="17D2D3BE" w14:textId="77777777" w:rsidR="00EC25DE" w:rsidRDefault="00EC25DE" w:rsidP="00EC25DE">
      <w:pPr>
        <w:pStyle w:val="Text"/>
        <w:ind w:left="340" w:hanging="340"/>
        <w:rPr>
          <w:b/>
          <w:bCs/>
          <w:sz w:val="26"/>
          <w:szCs w:val="26"/>
        </w:rPr>
      </w:pPr>
      <w:r>
        <w:rPr>
          <w:b/>
          <w:bCs/>
          <w:sz w:val="26"/>
          <w:szCs w:val="26"/>
        </w:rPr>
        <w:t>3.</w:t>
      </w:r>
      <w:r>
        <w:rPr>
          <w:b/>
          <w:bCs/>
          <w:sz w:val="26"/>
          <w:szCs w:val="26"/>
        </w:rPr>
        <w:tab/>
        <w:t>80% average resource recovery rate from all waste streams following the waste hierarchy by 2030</w:t>
      </w:r>
    </w:p>
    <w:p w14:paraId="60FC385B" w14:textId="34C85B6F" w:rsidR="00EC25DE" w:rsidRDefault="00EC25DE" w:rsidP="00CA6A92">
      <w:pPr>
        <w:pStyle w:val="Text"/>
        <w:ind w:left="340" w:hanging="340"/>
        <w:rPr>
          <w:b/>
          <w:bCs/>
          <w:sz w:val="26"/>
          <w:szCs w:val="26"/>
        </w:rPr>
      </w:pPr>
      <w:r>
        <w:rPr>
          <w:b/>
          <w:bCs/>
          <w:sz w:val="26"/>
          <w:szCs w:val="26"/>
        </w:rPr>
        <w:t>4.</w:t>
      </w:r>
      <w:r>
        <w:rPr>
          <w:b/>
          <w:bCs/>
          <w:sz w:val="26"/>
          <w:szCs w:val="26"/>
        </w:rPr>
        <w:tab/>
        <w:t xml:space="preserve">Significantly increase the use of recycled content by governments and industry </w:t>
      </w:r>
    </w:p>
    <w:p w14:paraId="470AD8CB" w14:textId="77777777" w:rsidR="00EC25DE" w:rsidRDefault="00EC25DE" w:rsidP="00EC25DE">
      <w:pPr>
        <w:pStyle w:val="Text"/>
        <w:ind w:left="340" w:hanging="340"/>
        <w:rPr>
          <w:b/>
          <w:bCs/>
          <w:sz w:val="26"/>
          <w:szCs w:val="26"/>
        </w:rPr>
      </w:pPr>
      <w:r>
        <w:rPr>
          <w:b/>
          <w:bCs/>
          <w:sz w:val="26"/>
          <w:szCs w:val="26"/>
        </w:rPr>
        <w:t>5.</w:t>
      </w:r>
      <w:r>
        <w:rPr>
          <w:b/>
          <w:bCs/>
          <w:sz w:val="26"/>
          <w:szCs w:val="26"/>
        </w:rPr>
        <w:tab/>
        <w:t>Phase out problematic and unnecessary plastics by 2025</w:t>
      </w:r>
    </w:p>
    <w:p w14:paraId="062BC681" w14:textId="77777777" w:rsidR="00EC25DE" w:rsidRDefault="00EC25DE" w:rsidP="00EC25DE">
      <w:pPr>
        <w:pStyle w:val="Text"/>
        <w:ind w:left="340" w:hanging="340"/>
        <w:rPr>
          <w:b/>
          <w:bCs/>
          <w:sz w:val="26"/>
          <w:szCs w:val="26"/>
        </w:rPr>
      </w:pPr>
      <w:r>
        <w:rPr>
          <w:b/>
          <w:bCs/>
          <w:sz w:val="26"/>
          <w:szCs w:val="26"/>
        </w:rPr>
        <w:t>6.</w:t>
      </w:r>
      <w:r>
        <w:rPr>
          <w:b/>
          <w:bCs/>
          <w:sz w:val="26"/>
          <w:szCs w:val="26"/>
        </w:rPr>
        <w:tab/>
        <w:t>Halve the amount of organic waste sent to landfill by 2030</w:t>
      </w:r>
    </w:p>
    <w:p w14:paraId="586B05C6" w14:textId="77777777" w:rsidR="00EC25DE" w:rsidRDefault="00EC25DE" w:rsidP="00EC25DE">
      <w:pPr>
        <w:pStyle w:val="Text"/>
        <w:ind w:left="340" w:hanging="340"/>
        <w:rPr>
          <w:sz w:val="26"/>
          <w:szCs w:val="26"/>
        </w:rPr>
      </w:pPr>
      <w:r>
        <w:rPr>
          <w:b/>
          <w:bCs/>
          <w:sz w:val="26"/>
          <w:szCs w:val="26"/>
        </w:rPr>
        <w:t>7.</w:t>
      </w:r>
      <w:r>
        <w:rPr>
          <w:b/>
          <w:bCs/>
          <w:sz w:val="26"/>
          <w:szCs w:val="26"/>
        </w:rPr>
        <w:tab/>
        <w:t xml:space="preserve">Make comprehensive, economy-wide and timely data publicly available to support better consumer, investment and policy decisions </w:t>
      </w:r>
    </w:p>
    <w:p w14:paraId="1CC95EA3" w14:textId="3222D69C" w:rsidR="00EC25DE" w:rsidRPr="006C277E" w:rsidRDefault="00EC25DE" w:rsidP="00EC25DE">
      <w:pPr>
        <w:pStyle w:val="Text"/>
      </w:pPr>
      <w:r w:rsidRPr="006C277E">
        <w:t xml:space="preserve">Note: All targets will be measured against baselines in the 2018 National Waste Report </w:t>
      </w:r>
    </w:p>
    <w:p w14:paraId="7D8FDEE2" w14:textId="77777777" w:rsidR="006C277E" w:rsidRDefault="006C277E" w:rsidP="00EC25DE">
      <w:pPr>
        <w:pStyle w:val="Text"/>
        <w:rPr>
          <w:sz w:val="16"/>
          <w:szCs w:val="16"/>
        </w:rPr>
      </w:pPr>
    </w:p>
    <w:p w14:paraId="4A79B4CC" w14:textId="77777777" w:rsidR="006C277E" w:rsidRPr="006C277E" w:rsidRDefault="006C277E" w:rsidP="006C277E">
      <w:pPr>
        <w:shd w:val="clear" w:color="auto" w:fill="E7E6E6" w:themeFill="background2"/>
        <w:suppressAutoHyphens/>
        <w:autoSpaceDE w:val="0"/>
        <w:autoSpaceDN w:val="0"/>
        <w:adjustRightInd w:val="0"/>
        <w:spacing w:after="60"/>
        <w:textAlignment w:val="center"/>
        <w:rPr>
          <w:rFonts w:ascii="Calibri" w:hAnsi="Calibri" w:cs="Calibri"/>
          <w:b/>
          <w:bCs/>
          <w:caps/>
          <w:color w:val="414D59"/>
          <w:lang w:val="en-US"/>
        </w:rPr>
      </w:pPr>
      <w:r w:rsidRPr="006C277E">
        <w:rPr>
          <w:rFonts w:ascii="Calibri" w:hAnsi="Calibri" w:cs="Calibri"/>
          <w:b/>
          <w:bCs/>
          <w:caps/>
          <w:color w:val="414D59"/>
          <w:lang w:val="en-US"/>
        </w:rPr>
        <w:t>IN 2030, OUR TARGETS WILL MEAN THAT:</w:t>
      </w:r>
    </w:p>
    <w:p w14:paraId="01777462" w14:textId="67AFE11C" w:rsidR="006C277E" w:rsidRPr="006C277E" w:rsidRDefault="006C277E" w:rsidP="006C277E">
      <w:pPr>
        <w:shd w:val="clear" w:color="auto" w:fill="E7E6E6" w:themeFill="background2"/>
        <w:suppressAutoHyphens/>
        <w:autoSpaceDE w:val="0"/>
        <w:autoSpaceDN w:val="0"/>
        <w:adjustRightInd w:val="0"/>
        <w:spacing w:after="60"/>
        <w:textAlignment w:val="center"/>
        <w:rPr>
          <w:rFonts w:ascii="Calibri" w:hAnsi="Calibri" w:cs="Calibri"/>
          <w:caps/>
          <w:color w:val="414D59"/>
          <w:lang w:val="en-US"/>
        </w:rPr>
      </w:pPr>
      <w:r w:rsidRPr="006C277E">
        <w:rPr>
          <w:rFonts w:ascii="Calibri" w:hAnsi="Calibri" w:cs="Calibri"/>
          <w:caps/>
          <w:color w:val="414D59"/>
          <w:lang w:val="en-US"/>
        </w:rPr>
        <w:t>We can turn our waste into valuable commodities</w:t>
      </w:r>
    </w:p>
    <w:p w14:paraId="5EC74489" w14:textId="77777777" w:rsidR="006C277E" w:rsidRPr="006C277E" w:rsidRDefault="006C277E" w:rsidP="006C277E">
      <w:pPr>
        <w:shd w:val="clear" w:color="auto" w:fill="E7E6E6" w:themeFill="background2"/>
        <w:suppressAutoHyphens/>
        <w:autoSpaceDE w:val="0"/>
        <w:autoSpaceDN w:val="0"/>
        <w:adjustRightInd w:val="0"/>
        <w:spacing w:after="60"/>
        <w:textAlignment w:val="center"/>
        <w:rPr>
          <w:rFonts w:ascii="Calibri" w:hAnsi="Calibri" w:cs="Calibri"/>
          <w:caps/>
          <w:color w:val="414D59"/>
          <w:lang w:val="en-US"/>
        </w:rPr>
      </w:pPr>
      <w:r w:rsidRPr="006C277E">
        <w:rPr>
          <w:rFonts w:ascii="Calibri" w:hAnsi="Calibri" w:cs="Calibri"/>
          <w:caps/>
          <w:color w:val="414D59"/>
          <w:lang w:val="en-US"/>
        </w:rPr>
        <w:t>Each of us generates about 300 kilograms less waste every year by 2030</w:t>
      </w:r>
    </w:p>
    <w:p w14:paraId="20233C10" w14:textId="3657A904" w:rsidR="006C277E" w:rsidRPr="006C277E" w:rsidRDefault="006C277E" w:rsidP="00673CF5">
      <w:pPr>
        <w:pStyle w:val="Infographicstext"/>
        <w:shd w:val="clear" w:color="auto" w:fill="E7E6E6" w:themeFill="background2"/>
        <w:spacing w:before="0" w:after="60" w:line="240" w:lineRule="auto"/>
        <w:rPr>
          <w:rFonts w:ascii="Calibri" w:hAnsi="Calibri" w:cs="Calibri"/>
          <w:b w:val="0"/>
          <w:bCs w:val="0"/>
          <w:caps/>
          <w:sz w:val="24"/>
          <w:szCs w:val="24"/>
        </w:rPr>
      </w:pPr>
      <w:r w:rsidRPr="006C277E">
        <w:rPr>
          <w:rFonts w:ascii="Calibri" w:hAnsi="Calibri" w:cs="Calibri"/>
          <w:b w:val="0"/>
          <w:bCs w:val="0"/>
          <w:caps/>
          <w:sz w:val="24"/>
          <w:szCs w:val="24"/>
        </w:rPr>
        <w:t>We recover an extra</w:t>
      </w:r>
      <w:r w:rsidR="00673CF5">
        <w:rPr>
          <w:rFonts w:ascii="Calibri" w:hAnsi="Calibri" w:cs="Calibri"/>
          <w:b w:val="0"/>
          <w:bCs w:val="0"/>
          <w:caps/>
          <w:sz w:val="24"/>
          <w:szCs w:val="24"/>
        </w:rPr>
        <w:t xml:space="preserve"> 15 </w:t>
      </w:r>
      <w:r w:rsidRPr="006C277E">
        <w:rPr>
          <w:rFonts w:ascii="Calibri" w:hAnsi="Calibri" w:cs="Calibri"/>
          <w:b w:val="0"/>
          <w:bCs w:val="0"/>
          <w:caps/>
          <w:spacing w:val="-9"/>
          <w:sz w:val="24"/>
          <w:szCs w:val="24"/>
        </w:rPr>
        <w:t>million tonnes</w:t>
      </w:r>
      <w:r w:rsidRPr="006C277E">
        <w:rPr>
          <w:b w:val="0"/>
          <w:bCs w:val="0"/>
          <w:caps/>
          <w:sz w:val="24"/>
          <w:szCs w:val="24"/>
        </w:rPr>
        <w:t xml:space="preserve"> </w:t>
      </w:r>
      <w:r w:rsidRPr="006C277E">
        <w:rPr>
          <w:rFonts w:ascii="Calibri" w:hAnsi="Calibri" w:cs="Calibri"/>
          <w:b w:val="0"/>
          <w:bCs w:val="0"/>
          <w:caps/>
          <w:sz w:val="24"/>
          <w:szCs w:val="24"/>
        </w:rPr>
        <w:t>of material</w:t>
      </w:r>
      <w:r w:rsidRPr="006C277E">
        <w:rPr>
          <w:b w:val="0"/>
          <w:bCs w:val="0"/>
          <w:caps/>
          <w:sz w:val="24"/>
          <w:szCs w:val="24"/>
        </w:rPr>
        <w:t xml:space="preserve"> </w:t>
      </w:r>
      <w:r w:rsidRPr="006C277E">
        <w:rPr>
          <w:rFonts w:ascii="Calibri" w:hAnsi="Calibri" w:cs="Calibri"/>
          <w:b w:val="0"/>
          <w:bCs w:val="0"/>
          <w:caps/>
          <w:sz w:val="24"/>
          <w:szCs w:val="24"/>
        </w:rPr>
        <w:t>every year</w:t>
      </w:r>
    </w:p>
    <w:p w14:paraId="146E176E" w14:textId="77777777" w:rsidR="006C277E" w:rsidRPr="006C277E" w:rsidRDefault="006C277E" w:rsidP="006C277E">
      <w:pPr>
        <w:shd w:val="clear" w:color="auto" w:fill="E7E6E6" w:themeFill="background2"/>
        <w:suppressAutoHyphens/>
        <w:autoSpaceDE w:val="0"/>
        <w:autoSpaceDN w:val="0"/>
        <w:adjustRightInd w:val="0"/>
        <w:spacing w:after="60"/>
        <w:textAlignment w:val="center"/>
        <w:rPr>
          <w:rFonts w:ascii="Calibri" w:hAnsi="Calibri" w:cs="Calibri"/>
          <w:caps/>
          <w:color w:val="414D59"/>
          <w:lang w:val="en-US"/>
        </w:rPr>
      </w:pPr>
      <w:r w:rsidRPr="006C277E">
        <w:rPr>
          <w:rFonts w:ascii="Calibri" w:hAnsi="Calibri" w:cs="Calibri"/>
          <w:caps/>
          <w:color w:val="414D59"/>
          <w:lang w:val="en-US"/>
        </w:rPr>
        <w:t xml:space="preserve">We buy and use more products with recycled content and keep resources out of our landfills </w:t>
      </w:r>
    </w:p>
    <w:p w14:paraId="45532E64" w14:textId="0CCFCDA6" w:rsidR="006C277E" w:rsidRPr="006C277E" w:rsidRDefault="006C277E" w:rsidP="006C277E">
      <w:pPr>
        <w:shd w:val="clear" w:color="auto" w:fill="E7E6E6" w:themeFill="background2"/>
        <w:suppressAutoHyphens/>
        <w:autoSpaceDE w:val="0"/>
        <w:autoSpaceDN w:val="0"/>
        <w:adjustRightInd w:val="0"/>
        <w:spacing w:after="60"/>
        <w:textAlignment w:val="center"/>
        <w:rPr>
          <w:rFonts w:ascii="Calibri" w:hAnsi="Calibri" w:cs="Calibri"/>
          <w:caps/>
          <w:color w:val="414D59"/>
          <w:lang w:val="en-US"/>
        </w:rPr>
      </w:pPr>
      <w:r w:rsidRPr="006C277E">
        <w:rPr>
          <w:rFonts w:ascii="Calibri" w:hAnsi="Calibri" w:cs="Calibri"/>
          <w:caps/>
          <w:color w:val="414D59"/>
          <w:lang w:val="en-US"/>
        </w:rPr>
        <w:t>WE DO NOT USE harmful plastics items that pollute our environment and our oceanS</w:t>
      </w:r>
    </w:p>
    <w:p w14:paraId="03EB9897" w14:textId="233A0C4A" w:rsidR="006C277E" w:rsidRPr="006C277E" w:rsidRDefault="006C277E" w:rsidP="006C277E">
      <w:pPr>
        <w:pStyle w:val="Infographicstext"/>
        <w:shd w:val="clear" w:color="auto" w:fill="E7E6E6" w:themeFill="background2"/>
        <w:spacing w:before="0" w:after="60" w:line="240" w:lineRule="auto"/>
        <w:rPr>
          <w:rFonts w:ascii="Calibri" w:hAnsi="Calibri" w:cs="Calibri"/>
          <w:b w:val="0"/>
          <w:bCs w:val="0"/>
          <w:caps/>
          <w:sz w:val="24"/>
          <w:szCs w:val="24"/>
        </w:rPr>
      </w:pPr>
      <w:r w:rsidRPr="006C277E">
        <w:rPr>
          <w:rFonts w:ascii="Calibri" w:hAnsi="Calibri" w:cs="Calibri"/>
          <w:b w:val="0"/>
          <w:bCs w:val="0"/>
          <w:caps/>
          <w:sz w:val="24"/>
          <w:szCs w:val="24"/>
        </w:rPr>
        <w:t xml:space="preserve">2.7 </w:t>
      </w:r>
      <w:r w:rsidRPr="006C277E">
        <w:rPr>
          <w:rFonts w:ascii="Calibri" w:hAnsi="Calibri" w:cs="Calibri"/>
          <w:b w:val="0"/>
          <w:bCs w:val="0"/>
          <w:caps/>
          <w:spacing w:val="-4"/>
          <w:sz w:val="24"/>
          <w:szCs w:val="24"/>
        </w:rPr>
        <w:t>million tonnes</w:t>
      </w:r>
      <w:r w:rsidRPr="006C277E">
        <w:rPr>
          <w:b w:val="0"/>
          <w:bCs w:val="0"/>
          <w:caps/>
          <w:spacing w:val="-7"/>
          <w:sz w:val="24"/>
          <w:szCs w:val="24"/>
        </w:rPr>
        <w:t xml:space="preserve"> </w:t>
      </w:r>
      <w:r w:rsidRPr="006C277E">
        <w:rPr>
          <w:rFonts w:ascii="Calibri" w:hAnsi="Calibri" w:cs="Calibri"/>
          <w:b w:val="0"/>
          <w:bCs w:val="0"/>
          <w:caps/>
          <w:spacing w:val="-7"/>
          <w:sz w:val="24"/>
          <w:szCs w:val="24"/>
        </w:rPr>
        <w:t>less organic waste goes</w:t>
      </w:r>
      <w:r w:rsidRPr="006C277E">
        <w:rPr>
          <w:rFonts w:ascii="Calibri" w:hAnsi="Calibri" w:cs="Calibri"/>
          <w:b w:val="0"/>
          <w:bCs w:val="0"/>
          <w:caps/>
          <w:spacing w:val="7"/>
          <w:sz w:val="24"/>
          <w:szCs w:val="24"/>
        </w:rPr>
        <w:t xml:space="preserve"> to landfill </w:t>
      </w:r>
      <w:r w:rsidRPr="006C277E">
        <w:rPr>
          <w:rFonts w:ascii="Calibri" w:hAnsi="Calibri" w:cs="Calibri"/>
          <w:b w:val="0"/>
          <w:bCs w:val="0"/>
          <w:caps/>
          <w:sz w:val="24"/>
          <w:szCs w:val="24"/>
        </w:rPr>
        <w:t>every year</w:t>
      </w:r>
    </w:p>
    <w:p w14:paraId="770FBF17" w14:textId="77777777" w:rsidR="006C277E" w:rsidRPr="006C277E" w:rsidRDefault="006C277E" w:rsidP="006C277E">
      <w:pPr>
        <w:shd w:val="clear" w:color="auto" w:fill="E7E6E6" w:themeFill="background2"/>
        <w:suppressAutoHyphens/>
        <w:autoSpaceDE w:val="0"/>
        <w:autoSpaceDN w:val="0"/>
        <w:adjustRightInd w:val="0"/>
        <w:spacing w:after="60"/>
        <w:textAlignment w:val="center"/>
        <w:rPr>
          <w:rFonts w:ascii="Calibri" w:hAnsi="Calibri" w:cs="Calibri"/>
          <w:caps/>
          <w:color w:val="414D59"/>
          <w:lang w:val="en-US"/>
        </w:rPr>
      </w:pPr>
      <w:r w:rsidRPr="006C277E">
        <w:rPr>
          <w:rFonts w:ascii="Calibri" w:hAnsi="Calibri" w:cs="Calibri"/>
          <w:caps/>
          <w:color w:val="414D59"/>
          <w:lang w:val="en-US"/>
        </w:rPr>
        <w:t>We have the best possible information to help us make decisions</w:t>
      </w:r>
    </w:p>
    <w:p w14:paraId="417245B0" w14:textId="00499DDE" w:rsidR="006C277E" w:rsidRPr="006C277E" w:rsidRDefault="006C277E" w:rsidP="006C277E">
      <w:pPr>
        <w:suppressAutoHyphens/>
        <w:autoSpaceDE w:val="0"/>
        <w:autoSpaceDN w:val="0"/>
        <w:adjustRightInd w:val="0"/>
        <w:spacing w:after="60"/>
        <w:textAlignment w:val="center"/>
        <w:rPr>
          <w:rFonts w:ascii="Calibri" w:hAnsi="Calibri" w:cs="Calibri"/>
          <w:caps/>
          <w:color w:val="414D59"/>
          <w:spacing w:val="-4"/>
          <w:sz w:val="21"/>
          <w:szCs w:val="21"/>
          <w:lang w:val="en-US"/>
        </w:rPr>
      </w:pPr>
    </w:p>
    <w:p w14:paraId="6E672727" w14:textId="02C3F4F4" w:rsidR="006C277E" w:rsidRPr="006C277E" w:rsidRDefault="006C277E" w:rsidP="006C277E">
      <w:pPr>
        <w:pStyle w:val="Infographicstext"/>
        <w:spacing w:before="177"/>
        <w:rPr>
          <w:rFonts w:ascii="Calibri" w:hAnsi="Calibri" w:cs="Calibri"/>
          <w:caps/>
          <w:sz w:val="19"/>
          <w:szCs w:val="19"/>
        </w:rPr>
      </w:pPr>
    </w:p>
    <w:p w14:paraId="32D78AE8" w14:textId="0655F0CB" w:rsidR="006C277E" w:rsidRPr="006C277E" w:rsidRDefault="006C277E" w:rsidP="006C277E">
      <w:pPr>
        <w:pStyle w:val="Infographicstext"/>
        <w:spacing w:before="365"/>
        <w:rPr>
          <w:rFonts w:ascii="Calibri" w:hAnsi="Calibri" w:cs="Calibri"/>
          <w:caps/>
          <w:spacing w:val="-9"/>
          <w:sz w:val="44"/>
          <w:szCs w:val="44"/>
        </w:rPr>
      </w:pPr>
    </w:p>
    <w:p w14:paraId="54E787B8" w14:textId="11F8A3A7" w:rsidR="006C277E" w:rsidRPr="006C277E" w:rsidRDefault="006C277E" w:rsidP="006C277E">
      <w:pPr>
        <w:pStyle w:val="Infographicstext"/>
        <w:spacing w:before="443"/>
        <w:rPr>
          <w:rFonts w:ascii="Calibri" w:hAnsi="Calibri" w:cs="Calibri"/>
          <w:caps/>
          <w:spacing w:val="-61"/>
          <w:sz w:val="102"/>
          <w:szCs w:val="102"/>
        </w:rPr>
      </w:pPr>
    </w:p>
    <w:p w14:paraId="31DF2A7A" w14:textId="514E8FA9" w:rsidR="006C277E" w:rsidRPr="006C277E" w:rsidRDefault="006C277E" w:rsidP="006C277E">
      <w:pPr>
        <w:suppressAutoHyphens/>
        <w:autoSpaceDE w:val="0"/>
        <w:autoSpaceDN w:val="0"/>
        <w:adjustRightInd w:val="0"/>
        <w:spacing w:before="177" w:line="288" w:lineRule="auto"/>
        <w:textAlignment w:val="center"/>
        <w:rPr>
          <w:rFonts w:ascii="Calibri" w:hAnsi="Calibri" w:cs="Calibri"/>
          <w:b/>
          <w:bCs/>
          <w:caps/>
          <w:color w:val="414D59"/>
          <w:sz w:val="19"/>
          <w:szCs w:val="19"/>
          <w:lang w:val="en-US"/>
        </w:rPr>
      </w:pPr>
    </w:p>
    <w:p w14:paraId="65D58D11" w14:textId="66EE5957" w:rsidR="00EC25DE" w:rsidRPr="00EC25DE" w:rsidRDefault="001C65B9" w:rsidP="00454715">
      <w:r>
        <w:br w:type="page"/>
      </w:r>
      <w:r w:rsidR="00EC25DE" w:rsidRPr="00EC25DE">
        <w:lastRenderedPageBreak/>
        <w:t>Key action areas to deliver against the targets</w:t>
      </w:r>
    </w:p>
    <w:p w14:paraId="0DBB7E05" w14:textId="77777777" w:rsidR="00EC25DE" w:rsidRDefault="00EC25DE" w:rsidP="00EC25DE">
      <w:pPr>
        <w:pStyle w:val="INTROPARA"/>
      </w:pPr>
      <w:r>
        <w:t>The key action areas will drive change in the waste industry, businesses, governments and the community, and make Australia more responsible for its own waste. Along with other specific actions on research, national policy setting and targeted investment, the following action areas will be critical to achieving the national targets.</w:t>
      </w:r>
    </w:p>
    <w:p w14:paraId="2471021C" w14:textId="77777777" w:rsidR="00EC25DE" w:rsidRDefault="00EC25DE" w:rsidP="00EC25DE">
      <w:pPr>
        <w:pStyle w:val="Subhead2"/>
      </w:pPr>
      <w:r>
        <w:t>Ban the export of waste plastic, paper, glass and tyres</w:t>
      </w:r>
    </w:p>
    <w:p w14:paraId="1E6AB23B" w14:textId="77777777" w:rsidR="00EC25DE" w:rsidRDefault="00EC25DE" w:rsidP="00EC25DE">
      <w:pPr>
        <w:pStyle w:val="Text"/>
      </w:pPr>
      <w:r>
        <w:t>Banning the export of waste plastic, paper, glass and tyres, while building Australia’s capacity to generate and use high value recycled commodities will increase our resource recovery rate and produce high quality materials for reuse.</w:t>
      </w:r>
    </w:p>
    <w:p w14:paraId="1E7A0919" w14:textId="77777777" w:rsidR="00EC25DE" w:rsidRDefault="00EC25DE" w:rsidP="00EC25DE">
      <w:pPr>
        <w:pStyle w:val="Text"/>
      </w:pPr>
      <w:r>
        <w:t>Transforming these wastes into high value materials will create jobs, build a more sophisticated industry, and provide positive outcomes for the environment and community wellbeing.</w:t>
      </w:r>
    </w:p>
    <w:p w14:paraId="1F2FF29B" w14:textId="77777777" w:rsidR="00EC25DE" w:rsidRDefault="00EC25DE" w:rsidP="00EC25DE">
      <w:pPr>
        <w:pStyle w:val="Subhead2"/>
      </w:pPr>
      <w:r>
        <w:t>Phase out problematic and unnecessary plastics</w:t>
      </w:r>
    </w:p>
    <w:p w14:paraId="0D7AE460" w14:textId="77777777" w:rsidR="00EC25DE" w:rsidRDefault="00EC25DE" w:rsidP="00EC25DE">
      <w:pPr>
        <w:pStyle w:val="Text"/>
      </w:pPr>
      <w:r>
        <w:t>Once plastic enters the environment it never disappears, breaking down into smaller and smaller fragments, impacting aquatic life.</w:t>
      </w:r>
    </w:p>
    <w:p w14:paraId="3E97F5F7" w14:textId="77777777" w:rsidR="00EC25DE" w:rsidRDefault="00EC25DE" w:rsidP="00EC25DE">
      <w:pPr>
        <w:pStyle w:val="Text"/>
      </w:pPr>
      <w:r>
        <w:t>Plastic products and packaging are some of the main contributors to plastic waste in the environment and oceans.</w:t>
      </w:r>
    </w:p>
    <w:p w14:paraId="66C3DC52" w14:textId="77777777" w:rsidR="00EC25DE" w:rsidRDefault="00EC25DE" w:rsidP="00EC25DE">
      <w:pPr>
        <w:pStyle w:val="Text"/>
      </w:pPr>
      <w:r>
        <w:t>Business and industry groups are developing a priority list of problematic and unnecessary plastic packaging as part of delivering on the National Packaging Targets.</w:t>
      </w:r>
    </w:p>
    <w:p w14:paraId="02E81C98" w14:textId="77777777" w:rsidR="00EC25DE" w:rsidRDefault="00EC25DE" w:rsidP="00EC25DE">
      <w:pPr>
        <w:pStyle w:val="Text"/>
      </w:pPr>
      <w:r>
        <w:t>Developing a national plastics plan and working with the Pacific region will ensure firm and collective action to reduce the amount of plastics used, and the amount ending up in our rivers and oceans.</w:t>
      </w:r>
    </w:p>
    <w:p w14:paraId="1D9DAECA" w14:textId="77777777" w:rsidR="00EC25DE" w:rsidRDefault="00EC25DE" w:rsidP="00EC25DE">
      <w:pPr>
        <w:pStyle w:val="Text"/>
      </w:pPr>
      <w:r>
        <w:t>This existing work will be complemented by community campaigns to clean up plastic waste on beaches and in our rivers, and support for consumer education and tools to improve recycling of plastics.</w:t>
      </w:r>
    </w:p>
    <w:p w14:paraId="45473E5F" w14:textId="77777777" w:rsidR="00EC25DE" w:rsidRDefault="00EC25DE" w:rsidP="00EC25DE">
      <w:pPr>
        <w:pStyle w:val="Subhead2"/>
      </w:pPr>
      <w:r>
        <w:t>Governments use their purchasing power to increase recycling</w:t>
      </w:r>
    </w:p>
    <w:p w14:paraId="59309BD3" w14:textId="77777777" w:rsidR="00EC25DE" w:rsidRDefault="00EC25DE" w:rsidP="00EC25DE">
      <w:pPr>
        <w:pStyle w:val="Text"/>
      </w:pPr>
      <w:r>
        <w:t>Without stable demand, there is little incentive for investment in innovation or new infrastructure. Governments and major companies have an important role in promoting sustainable procurement. For example, increasing procurement of goods and infrastructure containing recycled materials will help to:</w:t>
      </w:r>
    </w:p>
    <w:p w14:paraId="38D6DB46" w14:textId="77777777" w:rsidR="00EC25DE" w:rsidRDefault="00EC25DE" w:rsidP="001C65B9">
      <w:pPr>
        <w:pStyle w:val="Bullet1"/>
        <w:numPr>
          <w:ilvl w:val="0"/>
          <w:numId w:val="6"/>
        </w:numPr>
      </w:pPr>
      <w:r>
        <w:t>stimulate demand for recycled materials relative to virgin materials</w:t>
      </w:r>
    </w:p>
    <w:p w14:paraId="25A6DC4E" w14:textId="77777777" w:rsidR="00EC25DE" w:rsidRDefault="00EC25DE" w:rsidP="001C65B9">
      <w:pPr>
        <w:pStyle w:val="Bullet1"/>
        <w:numPr>
          <w:ilvl w:val="0"/>
          <w:numId w:val="6"/>
        </w:numPr>
      </w:pPr>
      <w:r>
        <w:t>encourage innovation and investment in recycling to meet demand from new markets</w:t>
      </w:r>
    </w:p>
    <w:p w14:paraId="0D5E67F1" w14:textId="77777777" w:rsidR="00EC25DE" w:rsidRDefault="00EC25DE" w:rsidP="001C65B9">
      <w:pPr>
        <w:pStyle w:val="Bullet1"/>
        <w:numPr>
          <w:ilvl w:val="0"/>
          <w:numId w:val="6"/>
        </w:numPr>
      </w:pPr>
      <w:r>
        <w:t>support domestic jobs and industries by retaining the value of recycled materials</w:t>
      </w:r>
    </w:p>
    <w:p w14:paraId="79C64697" w14:textId="77777777" w:rsidR="00EC25DE" w:rsidRDefault="00EC25DE" w:rsidP="001C65B9">
      <w:pPr>
        <w:pStyle w:val="Bullet1"/>
        <w:numPr>
          <w:ilvl w:val="0"/>
          <w:numId w:val="6"/>
        </w:numPr>
      </w:pPr>
      <w:r>
        <w:t>encourage economy-wide behaviour change.</w:t>
      </w:r>
    </w:p>
    <w:p w14:paraId="75CC2C07" w14:textId="5CED9DB1" w:rsidR="00EC25DE" w:rsidRDefault="00EC25DE" w:rsidP="001C65B9">
      <w:pPr>
        <w:pStyle w:val="Text"/>
      </w:pPr>
      <w:r>
        <w:t xml:space="preserve">An early focus will be purchasing goods and investing in infrastructure that contains recycled materials such as glass, plastic and rubber. </w:t>
      </w:r>
    </w:p>
    <w:p w14:paraId="34C1EC33" w14:textId="77777777" w:rsidR="00EC25DE" w:rsidRDefault="00EC25DE" w:rsidP="00EC25DE">
      <w:pPr>
        <w:pStyle w:val="Subhead2"/>
      </w:pPr>
      <w:r>
        <w:t>Improve waste data collection and information sharing</w:t>
      </w:r>
    </w:p>
    <w:p w14:paraId="0E8F2A7C" w14:textId="77777777" w:rsidR="00EC25DE" w:rsidRDefault="00EC25DE" w:rsidP="00EC25DE">
      <w:pPr>
        <w:pStyle w:val="Text"/>
      </w:pPr>
      <w:r>
        <w:t>Better data will inform better decision making and reduce the risks of illegal dumping and stockpiling of wastes. Clearer understanding of how waste moves around Australia, how kerbside recycling is processed and reused, and how high value recycled commodities are traded are all key to measuring success.</w:t>
      </w:r>
    </w:p>
    <w:p w14:paraId="255D953D" w14:textId="2A4008F3" w:rsidR="00EC25DE" w:rsidRDefault="00EC25DE" w:rsidP="00EC25DE">
      <w:pPr>
        <w:pStyle w:val="Text"/>
      </w:pPr>
      <w:r>
        <w:t>As close to real time reporting, and easy to use online systems will enhance investment and growth in our waste management sector, and help all levels of government work together on common policy and systems approaches across Australia.</w:t>
      </w:r>
    </w:p>
    <w:p w14:paraId="75A42080" w14:textId="2A61D8A1" w:rsidR="001C65B9" w:rsidRDefault="001C65B9">
      <w:pPr>
        <w:rPr>
          <w:rFonts w:ascii="Calibri" w:hAnsi="Calibri" w:cs="Calibri"/>
          <w:color w:val="000000"/>
          <w:sz w:val="18"/>
          <w:szCs w:val="18"/>
          <w:lang w:val="en-GB"/>
        </w:rPr>
      </w:pPr>
      <w:r>
        <w:br w:type="page"/>
      </w:r>
    </w:p>
    <w:p w14:paraId="615A369A" w14:textId="5DAB4080" w:rsidR="001C65B9" w:rsidRPr="00454715" w:rsidRDefault="00EC25DE" w:rsidP="00454715">
      <w:pPr>
        <w:pStyle w:val="Heading2"/>
      </w:pPr>
      <w:bookmarkStart w:id="3" w:name="_Toc24118127"/>
      <w:r w:rsidRPr="00454715">
        <w:lastRenderedPageBreak/>
        <w:t>Target 1: Ban on export of waste plastic, paper, glass and tyres, commencing in the second half of 2020</w:t>
      </w:r>
      <w:bookmarkEnd w:id="3"/>
    </w:p>
    <w:p w14:paraId="4CDA6473" w14:textId="1E84A27C" w:rsidR="00EC25DE" w:rsidRDefault="00EC25DE" w:rsidP="00EC25DE">
      <w:pPr>
        <w:pStyle w:val="Subhead2"/>
        <w:spacing w:after="0"/>
      </w:pPr>
      <w:r>
        <w:rPr>
          <w:color w:val="414D59"/>
        </w:rPr>
        <w:t xml:space="preserve"> </w:t>
      </w:r>
    </w:p>
    <w:p w14:paraId="714C6D36" w14:textId="77777777" w:rsidR="00EC25DE" w:rsidRDefault="00EC25DE" w:rsidP="00EC25DE">
      <w:pPr>
        <w:pStyle w:val="INTROPARA"/>
        <w:rPr>
          <w:color w:val="000000"/>
        </w:rPr>
      </w:pPr>
      <w:r>
        <w:rPr>
          <w:color w:val="000000"/>
        </w:rPr>
        <w:t xml:space="preserve">We need to be responsible for managing our own waste to improve the long-term sustainability of our recycling industry and become world leaders. </w:t>
      </w:r>
    </w:p>
    <w:p w14:paraId="1C069DDD" w14:textId="77777777" w:rsidR="00EC25DE" w:rsidRDefault="00EC25DE" w:rsidP="00EC25DE">
      <w:pPr>
        <w:pStyle w:val="Text"/>
        <w:rPr>
          <w:sz w:val="22"/>
          <w:szCs w:val="22"/>
        </w:rPr>
      </w:pPr>
      <w:r>
        <w:rPr>
          <w:sz w:val="22"/>
          <w:szCs w:val="22"/>
        </w:rPr>
        <w:t>All Australian governments have agreed that we should establish a timetable to ban the export of waste plastic, paper, glass and tyres. We also need to build our capacity to turn recyclable materials into products that people want and need.</w:t>
      </w:r>
    </w:p>
    <w:p w14:paraId="44E2FAD5" w14:textId="77777777" w:rsidR="00EC25DE" w:rsidRDefault="00EC25DE" w:rsidP="00EC25DE">
      <w:pPr>
        <w:pStyle w:val="Text"/>
        <w:rPr>
          <w:sz w:val="22"/>
          <w:szCs w:val="22"/>
        </w:rPr>
      </w:pPr>
      <w:r>
        <w:rPr>
          <w:sz w:val="22"/>
          <w:szCs w:val="22"/>
        </w:rPr>
        <w:t>Boosting our onshore plastic recycling industry in particular has the potential to create over three times as many jobs as exporting our plastic waste. Recent figures suggest that only 12% of plastic waste generated in Australia each year is recycled.</w:t>
      </w:r>
    </w:p>
    <w:p w14:paraId="52BD8529" w14:textId="77777777" w:rsidR="00EC25DE" w:rsidRDefault="00EC25DE" w:rsidP="00EC25DE">
      <w:pPr>
        <w:pStyle w:val="Text"/>
        <w:rPr>
          <w:sz w:val="22"/>
          <w:szCs w:val="22"/>
        </w:rPr>
      </w:pPr>
      <w:r>
        <w:rPr>
          <w:sz w:val="22"/>
          <w:szCs w:val="22"/>
        </w:rPr>
        <w:t>Drawing on the best available science, research and commercial experience, we will work together to maximise the capability of our waste management and recycling sector to collect, recycle, reuse, convert and recover waste.</w:t>
      </w:r>
    </w:p>
    <w:p w14:paraId="4BAA502F" w14:textId="77777777" w:rsidR="00EC25DE" w:rsidRDefault="00EC25DE" w:rsidP="00EC25DE">
      <w:pPr>
        <w:pStyle w:val="Text"/>
        <w:rPr>
          <w:sz w:val="22"/>
          <w:szCs w:val="22"/>
        </w:rPr>
      </w:pPr>
      <w:r>
        <w:rPr>
          <w:sz w:val="22"/>
          <w:szCs w:val="22"/>
        </w:rPr>
        <w:t xml:space="preserve">A detailed response strategy and timetable for the exports ban will be developed with researchers, industry and other stakeholders and involve actions listed here. Actions detailed under Strategies 7, 8 and 14 will also be critical to implementation of the waste export ban. </w:t>
      </w:r>
    </w:p>
    <w:p w14:paraId="5FD2F031" w14:textId="77777777" w:rsidR="00EC25DE" w:rsidRDefault="00EC25DE" w:rsidP="00EC25DE">
      <w:pPr>
        <w:pStyle w:val="Text"/>
        <w:rPr>
          <w:sz w:val="22"/>
          <w:szCs w:val="22"/>
        </w:rPr>
      </w:pPr>
    </w:p>
    <w:tbl>
      <w:tblPr>
        <w:tblW w:w="0" w:type="auto"/>
        <w:tblInd w:w="-8" w:type="dxa"/>
        <w:tblBorders>
          <w:top w:val="dotted" w:sz="8" w:space="0" w:color="414D59"/>
          <w:bottom w:val="dotted" w:sz="8" w:space="0" w:color="414D59"/>
          <w:insideH w:val="dotted" w:sz="8" w:space="0" w:color="414D59"/>
        </w:tblBorders>
        <w:tblLayout w:type="fixed"/>
        <w:tblCellMar>
          <w:left w:w="0" w:type="dxa"/>
          <w:right w:w="0" w:type="dxa"/>
        </w:tblCellMar>
        <w:tblLook w:val="0000" w:firstRow="0" w:lastRow="0" w:firstColumn="0" w:lastColumn="0" w:noHBand="0" w:noVBand="0"/>
      </w:tblPr>
      <w:tblGrid>
        <w:gridCol w:w="4573"/>
        <w:gridCol w:w="1785"/>
        <w:gridCol w:w="2032"/>
        <w:gridCol w:w="1039"/>
      </w:tblGrid>
      <w:tr w:rsidR="00EC25DE" w14:paraId="0F68F268" w14:textId="77777777" w:rsidTr="001C65B9">
        <w:trPr>
          <w:trHeight w:val="362"/>
          <w:tblHeader/>
        </w:trPr>
        <w:tc>
          <w:tcPr>
            <w:tcW w:w="4573" w:type="dxa"/>
            <w:tcBorders>
              <w:bottom w:val="dotted" w:sz="8" w:space="0" w:color="414D59"/>
            </w:tcBorders>
            <w:shd w:val="solid" w:color="414D59" w:fill="auto"/>
            <w:tcMar>
              <w:top w:w="170" w:type="dxa"/>
              <w:left w:w="113" w:type="dxa"/>
              <w:bottom w:w="170" w:type="dxa"/>
              <w:right w:w="113" w:type="dxa"/>
            </w:tcMar>
          </w:tcPr>
          <w:p w14:paraId="3A556ED4" w14:textId="77777777" w:rsidR="00EC25DE" w:rsidRPr="00673CF5" w:rsidRDefault="00EC25DE">
            <w:pPr>
              <w:pStyle w:val="Text"/>
              <w:rPr>
                <w:color w:val="FFFFFF" w:themeColor="background1"/>
              </w:rPr>
            </w:pPr>
            <w:r w:rsidRPr="00673CF5">
              <w:rPr>
                <w:b/>
                <w:bCs/>
                <w:color w:val="FFFFFF" w:themeColor="background1"/>
                <w14:textOutline w14:w="9525" w14:cap="flat" w14:cmpd="sng" w14:algn="ctr">
                  <w14:noFill/>
                  <w14:prstDash w14:val="solid"/>
                  <w14:round/>
                </w14:textOutline>
              </w:rPr>
              <w:t>Action</w:t>
            </w:r>
          </w:p>
        </w:tc>
        <w:tc>
          <w:tcPr>
            <w:tcW w:w="1785" w:type="dxa"/>
            <w:tcBorders>
              <w:bottom w:val="dotted" w:sz="8" w:space="0" w:color="414D59"/>
            </w:tcBorders>
            <w:shd w:val="solid" w:color="414D59" w:fill="auto"/>
            <w:tcMar>
              <w:top w:w="170" w:type="dxa"/>
              <w:left w:w="113" w:type="dxa"/>
              <w:bottom w:w="170" w:type="dxa"/>
              <w:right w:w="113" w:type="dxa"/>
            </w:tcMar>
          </w:tcPr>
          <w:p w14:paraId="7A898B7C" w14:textId="77777777" w:rsidR="00EC25DE" w:rsidRPr="00673CF5" w:rsidRDefault="00EC25DE">
            <w:pPr>
              <w:pStyle w:val="Text"/>
              <w:rPr>
                <w:color w:val="FFFFFF" w:themeColor="background1"/>
              </w:rPr>
            </w:pPr>
            <w:r w:rsidRPr="00673CF5">
              <w:rPr>
                <w:b/>
                <w:bCs/>
                <w:color w:val="FFFFFF" w:themeColor="background1"/>
                <w14:textOutline w14:w="9525" w14:cap="flat" w14:cmpd="sng" w14:algn="ctr">
                  <w14:noFill/>
                  <w14:prstDash w14:val="solid"/>
                  <w14:round/>
                </w14:textOutline>
              </w:rPr>
              <w:t>Lead</w:t>
            </w:r>
          </w:p>
        </w:tc>
        <w:tc>
          <w:tcPr>
            <w:tcW w:w="2032" w:type="dxa"/>
            <w:tcBorders>
              <w:bottom w:val="dotted" w:sz="8" w:space="0" w:color="414D59"/>
            </w:tcBorders>
            <w:shd w:val="solid" w:color="414D59" w:fill="auto"/>
            <w:tcMar>
              <w:top w:w="170" w:type="dxa"/>
              <w:left w:w="113" w:type="dxa"/>
              <w:bottom w:w="170" w:type="dxa"/>
              <w:right w:w="113" w:type="dxa"/>
            </w:tcMar>
          </w:tcPr>
          <w:p w14:paraId="09B91766" w14:textId="77777777" w:rsidR="00EC25DE" w:rsidRPr="00673CF5" w:rsidRDefault="00EC25DE">
            <w:pPr>
              <w:pStyle w:val="Text"/>
              <w:rPr>
                <w:color w:val="FFFFFF" w:themeColor="background1"/>
              </w:rPr>
            </w:pPr>
            <w:r w:rsidRPr="00673CF5">
              <w:rPr>
                <w:b/>
                <w:bCs/>
                <w:color w:val="FFFFFF" w:themeColor="background1"/>
                <w14:textOutline w14:w="9525" w14:cap="flat" w14:cmpd="sng" w14:algn="ctr">
                  <w14:noFill/>
                  <w14:prstDash w14:val="solid"/>
                  <w14:round/>
                </w14:textOutline>
              </w:rPr>
              <w:t>Partners</w:t>
            </w:r>
          </w:p>
        </w:tc>
        <w:tc>
          <w:tcPr>
            <w:tcW w:w="1039" w:type="dxa"/>
            <w:tcBorders>
              <w:bottom w:val="dotted" w:sz="8" w:space="0" w:color="414D59"/>
            </w:tcBorders>
            <w:shd w:val="solid" w:color="414D59" w:fill="auto"/>
            <w:tcMar>
              <w:top w:w="170" w:type="dxa"/>
              <w:left w:w="113" w:type="dxa"/>
              <w:bottom w:w="170" w:type="dxa"/>
              <w:right w:w="113" w:type="dxa"/>
            </w:tcMar>
          </w:tcPr>
          <w:p w14:paraId="1CC36791" w14:textId="77777777" w:rsidR="00EC25DE" w:rsidRPr="00673CF5" w:rsidRDefault="00EC25DE">
            <w:pPr>
              <w:pStyle w:val="Text"/>
              <w:rPr>
                <w:color w:val="FFFFFF" w:themeColor="background1"/>
              </w:rPr>
            </w:pPr>
            <w:r w:rsidRPr="00673CF5">
              <w:rPr>
                <w:b/>
                <w:bCs/>
                <w:color w:val="FFFFFF" w:themeColor="background1"/>
                <w14:textOutline w14:w="9525" w14:cap="flat" w14:cmpd="sng" w14:algn="ctr">
                  <w14:noFill/>
                  <w14:prstDash w14:val="solid"/>
                  <w14:round/>
                </w14:textOutline>
              </w:rPr>
              <w:t>By</w:t>
            </w:r>
          </w:p>
        </w:tc>
      </w:tr>
      <w:tr w:rsidR="00EC25DE" w14:paraId="49433CA6" w14:textId="77777777" w:rsidTr="001C65B9">
        <w:trPr>
          <w:trHeight w:val="362"/>
        </w:trPr>
        <w:tc>
          <w:tcPr>
            <w:tcW w:w="9429" w:type="dxa"/>
            <w:gridSpan w:val="4"/>
            <w:tcBorders>
              <w:bottom w:val="dotted" w:sz="8" w:space="0" w:color="414D59"/>
            </w:tcBorders>
            <w:shd w:val="clear" w:color="414D59" w:fill="7F7F7F" w:themeFill="text1" w:themeFillTint="80"/>
            <w:tcMar>
              <w:top w:w="170" w:type="dxa"/>
              <w:left w:w="113" w:type="dxa"/>
              <w:bottom w:w="170" w:type="dxa"/>
              <w:right w:w="113" w:type="dxa"/>
            </w:tcMar>
          </w:tcPr>
          <w:p w14:paraId="48283342" w14:textId="77777777" w:rsidR="00EC25DE" w:rsidRPr="00673CF5" w:rsidRDefault="00EC25DE">
            <w:pPr>
              <w:pStyle w:val="Text"/>
              <w:rPr>
                <w:color w:val="000000" w:themeColor="text1"/>
              </w:rPr>
            </w:pPr>
            <w:r w:rsidRPr="00673CF5">
              <w:rPr>
                <w:rStyle w:val="TextBold"/>
                <w:color w:val="000000" w:themeColor="text1"/>
                <w14:textOutline w14:w="9525" w14:cap="flat" w14:cmpd="sng" w14:algn="ctr">
                  <w14:noFill/>
                  <w14:prstDash w14:val="solid"/>
                  <w14:round/>
                </w14:textOutline>
              </w:rPr>
              <w:t>Export ban commitment</w:t>
            </w:r>
          </w:p>
        </w:tc>
      </w:tr>
      <w:tr w:rsidR="00EC25DE" w14:paraId="7E67CBE3" w14:textId="77777777" w:rsidTr="001C65B9">
        <w:trPr>
          <w:trHeight w:val="362"/>
        </w:trPr>
        <w:tc>
          <w:tcPr>
            <w:tcW w:w="9429" w:type="dxa"/>
            <w:gridSpan w:val="4"/>
            <w:shd w:val="clear" w:color="414D59" w:fill="A6A6A6" w:themeFill="background1" w:themeFillShade="A6"/>
            <w:tcMar>
              <w:top w:w="170" w:type="dxa"/>
              <w:left w:w="113" w:type="dxa"/>
              <w:bottom w:w="170" w:type="dxa"/>
              <w:right w:w="113" w:type="dxa"/>
            </w:tcMar>
          </w:tcPr>
          <w:p w14:paraId="337A85B2" w14:textId="77777777" w:rsidR="00EC25DE" w:rsidRPr="00673CF5" w:rsidRDefault="00EC25DE">
            <w:pPr>
              <w:pStyle w:val="Text"/>
              <w:rPr>
                <w:color w:val="000000" w:themeColor="text1"/>
              </w:rPr>
            </w:pPr>
            <w:r w:rsidRPr="00673CF5">
              <w:rPr>
                <w:b/>
                <w:bCs/>
                <w:color w:val="000000" w:themeColor="text1"/>
              </w:rPr>
              <w:t>Ban the export of waste plastic, paper, glass and tyres</w:t>
            </w:r>
          </w:p>
        </w:tc>
      </w:tr>
      <w:tr w:rsidR="00EC25DE" w14:paraId="7C176B06" w14:textId="77777777" w:rsidTr="001C65B9">
        <w:trPr>
          <w:trHeight w:val="708"/>
        </w:trPr>
        <w:tc>
          <w:tcPr>
            <w:tcW w:w="4573" w:type="dxa"/>
            <w:tcMar>
              <w:top w:w="170" w:type="dxa"/>
              <w:left w:w="113" w:type="dxa"/>
              <w:bottom w:w="170" w:type="dxa"/>
              <w:right w:w="113" w:type="dxa"/>
            </w:tcMar>
          </w:tcPr>
          <w:p w14:paraId="6F05B594" w14:textId="77777777" w:rsidR="00EC25DE" w:rsidRDefault="00EC25DE">
            <w:pPr>
              <w:pStyle w:val="TABLETEXT"/>
              <w:ind w:left="397" w:hanging="397"/>
            </w:pPr>
            <w:r>
              <w:t>1.1</w:t>
            </w:r>
            <w:r>
              <w:tab/>
              <w:t>Establish nationally consistent definitions and specifications for waste and recycled commodities to define the scope of export bans</w:t>
            </w:r>
          </w:p>
        </w:tc>
        <w:tc>
          <w:tcPr>
            <w:tcW w:w="1785" w:type="dxa"/>
            <w:tcMar>
              <w:top w:w="170" w:type="dxa"/>
              <w:left w:w="113" w:type="dxa"/>
              <w:bottom w:w="170" w:type="dxa"/>
              <w:right w:w="113" w:type="dxa"/>
            </w:tcMar>
          </w:tcPr>
          <w:p w14:paraId="4913E12E" w14:textId="77777777" w:rsidR="00EC25DE" w:rsidRDefault="00EC25DE">
            <w:pPr>
              <w:pStyle w:val="TABLETEXT"/>
            </w:pPr>
            <w:r>
              <w:t>Australian Government</w:t>
            </w:r>
          </w:p>
        </w:tc>
        <w:tc>
          <w:tcPr>
            <w:tcW w:w="2032" w:type="dxa"/>
            <w:tcMar>
              <w:top w:w="170" w:type="dxa"/>
              <w:left w:w="113" w:type="dxa"/>
              <w:bottom w:w="170" w:type="dxa"/>
              <w:right w:w="113" w:type="dxa"/>
            </w:tcMar>
          </w:tcPr>
          <w:p w14:paraId="1AB289A4" w14:textId="77777777" w:rsidR="00EC25DE" w:rsidRDefault="00EC25DE">
            <w:pPr>
              <w:pStyle w:val="TABLETEXT"/>
            </w:pPr>
            <w:r>
              <w:t>All governments</w:t>
            </w:r>
          </w:p>
        </w:tc>
        <w:tc>
          <w:tcPr>
            <w:tcW w:w="1039" w:type="dxa"/>
            <w:tcMar>
              <w:top w:w="170" w:type="dxa"/>
              <w:left w:w="113" w:type="dxa"/>
              <w:bottom w:w="170" w:type="dxa"/>
              <w:right w:w="113" w:type="dxa"/>
            </w:tcMar>
          </w:tcPr>
          <w:p w14:paraId="4E570995" w14:textId="77777777" w:rsidR="00EC25DE" w:rsidRDefault="00EC25DE">
            <w:pPr>
              <w:pStyle w:val="TABLETEXT"/>
            </w:pPr>
            <w:r>
              <w:t>2020</w:t>
            </w:r>
          </w:p>
        </w:tc>
      </w:tr>
      <w:tr w:rsidR="00EC25DE" w14:paraId="19B7D085" w14:textId="77777777" w:rsidTr="001C65B9">
        <w:trPr>
          <w:trHeight w:val="708"/>
        </w:trPr>
        <w:tc>
          <w:tcPr>
            <w:tcW w:w="4573" w:type="dxa"/>
            <w:tcMar>
              <w:top w:w="170" w:type="dxa"/>
              <w:left w:w="113" w:type="dxa"/>
              <w:bottom w:w="170" w:type="dxa"/>
              <w:right w:w="113" w:type="dxa"/>
            </w:tcMar>
          </w:tcPr>
          <w:p w14:paraId="2971B37A" w14:textId="77777777" w:rsidR="00EC25DE" w:rsidRDefault="00EC25DE">
            <w:pPr>
              <w:pStyle w:val="TABLETEXT"/>
              <w:ind w:left="397" w:hanging="397"/>
            </w:pPr>
            <w:r>
              <w:t>1.2</w:t>
            </w:r>
            <w:r>
              <w:tab/>
              <w:t>Ensure there is an effective Commonwealth legislative framework to ban the export of waste plastic, paper, glass and tyres</w:t>
            </w:r>
          </w:p>
        </w:tc>
        <w:tc>
          <w:tcPr>
            <w:tcW w:w="1785" w:type="dxa"/>
            <w:tcMar>
              <w:top w:w="170" w:type="dxa"/>
              <w:left w:w="113" w:type="dxa"/>
              <w:bottom w:w="170" w:type="dxa"/>
              <w:right w:w="113" w:type="dxa"/>
            </w:tcMar>
          </w:tcPr>
          <w:p w14:paraId="09FF1130" w14:textId="77777777" w:rsidR="00EC25DE" w:rsidRDefault="00EC25DE">
            <w:pPr>
              <w:pStyle w:val="TABLETEXT"/>
            </w:pPr>
            <w:r>
              <w:t>Australian Government</w:t>
            </w:r>
          </w:p>
        </w:tc>
        <w:tc>
          <w:tcPr>
            <w:tcW w:w="2032" w:type="dxa"/>
            <w:tcMar>
              <w:top w:w="170" w:type="dxa"/>
              <w:left w:w="113" w:type="dxa"/>
              <w:bottom w:w="170" w:type="dxa"/>
              <w:right w:w="113" w:type="dxa"/>
            </w:tcMar>
          </w:tcPr>
          <w:p w14:paraId="194304F4" w14:textId="77777777" w:rsidR="00EC25DE" w:rsidRDefault="00EC25DE">
            <w:pPr>
              <w:pStyle w:val="NoParagraphStyle"/>
              <w:spacing w:line="240" w:lineRule="auto"/>
              <w:textAlignment w:val="auto"/>
              <w:rPr>
                <w:rFonts w:ascii="Calibri" w:hAnsi="Calibri" w:cs="Calibri"/>
                <w:color w:val="auto"/>
              </w:rPr>
            </w:pPr>
          </w:p>
        </w:tc>
        <w:tc>
          <w:tcPr>
            <w:tcW w:w="1039" w:type="dxa"/>
            <w:tcMar>
              <w:top w:w="170" w:type="dxa"/>
              <w:left w:w="113" w:type="dxa"/>
              <w:bottom w:w="170" w:type="dxa"/>
              <w:right w:w="113" w:type="dxa"/>
            </w:tcMar>
          </w:tcPr>
          <w:p w14:paraId="3B21C60E" w14:textId="77777777" w:rsidR="00EC25DE" w:rsidRDefault="00EC25DE">
            <w:pPr>
              <w:pStyle w:val="TABLETEXT"/>
            </w:pPr>
            <w:r>
              <w:t>2020</w:t>
            </w:r>
          </w:p>
        </w:tc>
      </w:tr>
      <w:tr w:rsidR="00EC25DE" w14:paraId="545FFFE7" w14:textId="77777777" w:rsidTr="001C65B9">
        <w:trPr>
          <w:trHeight w:val="708"/>
        </w:trPr>
        <w:tc>
          <w:tcPr>
            <w:tcW w:w="4573" w:type="dxa"/>
            <w:tcMar>
              <w:top w:w="170" w:type="dxa"/>
              <w:left w:w="113" w:type="dxa"/>
              <w:bottom w:w="170" w:type="dxa"/>
              <w:right w:w="113" w:type="dxa"/>
            </w:tcMar>
          </w:tcPr>
          <w:p w14:paraId="3BC73218" w14:textId="77777777" w:rsidR="00EC25DE" w:rsidRDefault="00EC25DE">
            <w:pPr>
              <w:pStyle w:val="TABLETEXT"/>
              <w:ind w:left="397" w:hanging="397"/>
            </w:pPr>
            <w:r>
              <w:t>1.3</w:t>
            </w:r>
            <w:r>
              <w:tab/>
              <w:t>Develop new markets for recycled products and materials</w:t>
            </w:r>
          </w:p>
        </w:tc>
        <w:tc>
          <w:tcPr>
            <w:tcW w:w="1785" w:type="dxa"/>
            <w:tcMar>
              <w:top w:w="170" w:type="dxa"/>
              <w:left w:w="113" w:type="dxa"/>
              <w:bottom w:w="170" w:type="dxa"/>
              <w:right w:w="113" w:type="dxa"/>
            </w:tcMar>
          </w:tcPr>
          <w:p w14:paraId="63D989E6" w14:textId="77777777" w:rsidR="00EC25DE" w:rsidRDefault="00EC25DE">
            <w:pPr>
              <w:pStyle w:val="TABLETEXT"/>
            </w:pPr>
            <w:r>
              <w:t>All governments</w:t>
            </w:r>
          </w:p>
        </w:tc>
        <w:tc>
          <w:tcPr>
            <w:tcW w:w="2032" w:type="dxa"/>
            <w:tcMar>
              <w:top w:w="170" w:type="dxa"/>
              <w:left w:w="113" w:type="dxa"/>
              <w:bottom w:w="170" w:type="dxa"/>
              <w:right w:w="113" w:type="dxa"/>
            </w:tcMar>
          </w:tcPr>
          <w:p w14:paraId="2B8C2BD3" w14:textId="77777777" w:rsidR="00EC25DE" w:rsidRDefault="00EC25DE">
            <w:pPr>
              <w:pStyle w:val="TABLETEXT"/>
            </w:pPr>
            <w:r>
              <w:t>Business sector</w:t>
            </w:r>
          </w:p>
        </w:tc>
        <w:tc>
          <w:tcPr>
            <w:tcW w:w="1039" w:type="dxa"/>
            <w:tcMar>
              <w:top w:w="170" w:type="dxa"/>
              <w:left w:w="113" w:type="dxa"/>
              <w:bottom w:w="170" w:type="dxa"/>
              <w:right w:w="113" w:type="dxa"/>
            </w:tcMar>
          </w:tcPr>
          <w:p w14:paraId="3B7A0D60" w14:textId="77777777" w:rsidR="00EC25DE" w:rsidRDefault="00EC25DE">
            <w:pPr>
              <w:pStyle w:val="TABLETEXT"/>
            </w:pPr>
            <w:r>
              <w:t>Ongoing</w:t>
            </w:r>
          </w:p>
        </w:tc>
      </w:tr>
      <w:tr w:rsidR="00EC25DE" w14:paraId="7E60C88E" w14:textId="77777777" w:rsidTr="001C65B9">
        <w:trPr>
          <w:trHeight w:val="708"/>
        </w:trPr>
        <w:tc>
          <w:tcPr>
            <w:tcW w:w="4573" w:type="dxa"/>
            <w:tcMar>
              <w:top w:w="170" w:type="dxa"/>
              <w:left w:w="113" w:type="dxa"/>
              <w:bottom w:w="170" w:type="dxa"/>
              <w:right w:w="113" w:type="dxa"/>
            </w:tcMar>
          </w:tcPr>
          <w:p w14:paraId="01E92D91" w14:textId="77777777" w:rsidR="00EC25DE" w:rsidRDefault="00EC25DE">
            <w:pPr>
              <w:pStyle w:val="TABLETEXT"/>
              <w:ind w:left="397" w:hanging="397"/>
            </w:pPr>
            <w:r>
              <w:lastRenderedPageBreak/>
              <w:t xml:space="preserve">1.4 </w:t>
            </w:r>
            <w:r>
              <w:tab/>
              <w:t>Build industry capacity and infrastructure to collect, separate, recycle and remanufacture recycled materials</w:t>
            </w:r>
          </w:p>
        </w:tc>
        <w:tc>
          <w:tcPr>
            <w:tcW w:w="1785" w:type="dxa"/>
            <w:tcMar>
              <w:top w:w="170" w:type="dxa"/>
              <w:left w:w="113" w:type="dxa"/>
              <w:bottom w:w="170" w:type="dxa"/>
              <w:right w:w="113" w:type="dxa"/>
            </w:tcMar>
          </w:tcPr>
          <w:p w14:paraId="6985D5AF" w14:textId="77777777" w:rsidR="00EC25DE" w:rsidRDefault="00EC25DE">
            <w:pPr>
              <w:pStyle w:val="TABLETEXT"/>
            </w:pPr>
            <w:r>
              <w:t>All governments</w:t>
            </w:r>
          </w:p>
        </w:tc>
        <w:tc>
          <w:tcPr>
            <w:tcW w:w="2032" w:type="dxa"/>
            <w:tcMar>
              <w:top w:w="170" w:type="dxa"/>
              <w:left w:w="113" w:type="dxa"/>
              <w:bottom w:w="170" w:type="dxa"/>
              <w:right w:w="113" w:type="dxa"/>
            </w:tcMar>
          </w:tcPr>
          <w:p w14:paraId="4E639BC1" w14:textId="77777777" w:rsidR="00EC25DE" w:rsidRDefault="00EC25DE">
            <w:pPr>
              <w:pStyle w:val="TABLETEXT"/>
            </w:pPr>
            <w:r>
              <w:t>Waste and resource recovery industry</w:t>
            </w:r>
          </w:p>
          <w:p w14:paraId="5E5B0B49" w14:textId="77777777" w:rsidR="00EC25DE" w:rsidRDefault="00EC25DE">
            <w:pPr>
              <w:pStyle w:val="TABLETEXT"/>
            </w:pPr>
            <w:r>
              <w:t>Business sector</w:t>
            </w:r>
          </w:p>
        </w:tc>
        <w:tc>
          <w:tcPr>
            <w:tcW w:w="1039" w:type="dxa"/>
            <w:tcMar>
              <w:top w:w="170" w:type="dxa"/>
              <w:left w:w="113" w:type="dxa"/>
              <w:bottom w:w="170" w:type="dxa"/>
              <w:right w:w="113" w:type="dxa"/>
            </w:tcMar>
          </w:tcPr>
          <w:p w14:paraId="65CCD6FE" w14:textId="77777777" w:rsidR="00EC25DE" w:rsidRDefault="00EC25DE">
            <w:pPr>
              <w:pStyle w:val="TABLETEXT"/>
            </w:pPr>
            <w:r>
              <w:t>Ongoing</w:t>
            </w:r>
          </w:p>
        </w:tc>
      </w:tr>
      <w:tr w:rsidR="00EC25DE" w14:paraId="714C1E48" w14:textId="77777777" w:rsidTr="001C65B9">
        <w:trPr>
          <w:trHeight w:val="708"/>
        </w:trPr>
        <w:tc>
          <w:tcPr>
            <w:tcW w:w="4573" w:type="dxa"/>
            <w:tcMar>
              <w:top w:w="170" w:type="dxa"/>
              <w:left w:w="113" w:type="dxa"/>
              <w:bottom w:w="170" w:type="dxa"/>
              <w:right w:w="113" w:type="dxa"/>
            </w:tcMar>
          </w:tcPr>
          <w:p w14:paraId="61FADA35" w14:textId="77777777" w:rsidR="00EC25DE" w:rsidRDefault="00EC25DE">
            <w:pPr>
              <w:pStyle w:val="TABLETEXT"/>
              <w:ind w:left="397" w:hanging="397"/>
            </w:pPr>
            <w:r>
              <w:t xml:space="preserve">1.5 </w:t>
            </w:r>
            <w:r>
              <w:tab/>
              <w:t>Use the Australian Recycling Investment Fund through the Clean Energy Finance Corporation to support manufacturing of recycled content products</w:t>
            </w:r>
          </w:p>
        </w:tc>
        <w:tc>
          <w:tcPr>
            <w:tcW w:w="1785" w:type="dxa"/>
            <w:tcMar>
              <w:top w:w="170" w:type="dxa"/>
              <w:left w:w="113" w:type="dxa"/>
              <w:bottom w:w="170" w:type="dxa"/>
              <w:right w:w="113" w:type="dxa"/>
            </w:tcMar>
          </w:tcPr>
          <w:p w14:paraId="6F920F5F" w14:textId="77777777" w:rsidR="00EC25DE" w:rsidRDefault="00EC25DE">
            <w:pPr>
              <w:pStyle w:val="TABLETEXT"/>
            </w:pPr>
            <w:r>
              <w:t>Australian Government</w:t>
            </w:r>
          </w:p>
        </w:tc>
        <w:tc>
          <w:tcPr>
            <w:tcW w:w="2032" w:type="dxa"/>
            <w:tcMar>
              <w:top w:w="170" w:type="dxa"/>
              <w:left w:w="113" w:type="dxa"/>
              <w:bottom w:w="170" w:type="dxa"/>
              <w:right w:w="113" w:type="dxa"/>
            </w:tcMar>
          </w:tcPr>
          <w:p w14:paraId="5164B3D6" w14:textId="77777777" w:rsidR="00EC25DE" w:rsidRDefault="00EC25DE">
            <w:pPr>
              <w:pStyle w:val="NoParagraphStyle"/>
              <w:spacing w:line="240" w:lineRule="auto"/>
              <w:textAlignment w:val="auto"/>
              <w:rPr>
                <w:rFonts w:ascii="Calibri" w:hAnsi="Calibri" w:cs="Calibri"/>
                <w:color w:val="auto"/>
              </w:rPr>
            </w:pPr>
          </w:p>
        </w:tc>
        <w:tc>
          <w:tcPr>
            <w:tcW w:w="1039" w:type="dxa"/>
            <w:tcMar>
              <w:top w:w="170" w:type="dxa"/>
              <w:left w:w="113" w:type="dxa"/>
              <w:bottom w:w="170" w:type="dxa"/>
              <w:right w:w="113" w:type="dxa"/>
            </w:tcMar>
          </w:tcPr>
          <w:p w14:paraId="1F53EA31" w14:textId="77777777" w:rsidR="00EC25DE" w:rsidRDefault="00EC25DE">
            <w:pPr>
              <w:pStyle w:val="TABLETEXT"/>
            </w:pPr>
            <w:r>
              <w:t>2020</w:t>
            </w:r>
          </w:p>
        </w:tc>
      </w:tr>
      <w:tr w:rsidR="00EC25DE" w14:paraId="5DC007B3" w14:textId="77777777" w:rsidTr="001C65B9">
        <w:trPr>
          <w:trHeight w:val="708"/>
        </w:trPr>
        <w:tc>
          <w:tcPr>
            <w:tcW w:w="4573" w:type="dxa"/>
            <w:tcMar>
              <w:top w:w="170" w:type="dxa"/>
              <w:left w:w="113" w:type="dxa"/>
              <w:bottom w:w="170" w:type="dxa"/>
              <w:right w:w="113" w:type="dxa"/>
            </w:tcMar>
          </w:tcPr>
          <w:p w14:paraId="1032B11C" w14:textId="77777777" w:rsidR="00EC25DE" w:rsidRDefault="00EC25DE">
            <w:pPr>
              <w:pStyle w:val="TABLETEXT"/>
              <w:ind w:left="397" w:hanging="397"/>
            </w:pPr>
            <w:r>
              <w:t xml:space="preserve">1.6 </w:t>
            </w:r>
            <w:r>
              <w:tab/>
              <w:t>Analyse and report on national infrastructure capacity requirements with a particular focus on plastics, paper, glass and tyres</w:t>
            </w:r>
          </w:p>
        </w:tc>
        <w:tc>
          <w:tcPr>
            <w:tcW w:w="1785" w:type="dxa"/>
            <w:tcMar>
              <w:top w:w="170" w:type="dxa"/>
              <w:left w:w="113" w:type="dxa"/>
              <w:bottom w:w="170" w:type="dxa"/>
              <w:right w:w="113" w:type="dxa"/>
            </w:tcMar>
          </w:tcPr>
          <w:p w14:paraId="03C149E1" w14:textId="77777777" w:rsidR="00EC25DE" w:rsidRDefault="00EC25DE">
            <w:pPr>
              <w:pStyle w:val="TABLETEXT"/>
            </w:pPr>
            <w:r>
              <w:t>All governments</w:t>
            </w:r>
          </w:p>
        </w:tc>
        <w:tc>
          <w:tcPr>
            <w:tcW w:w="2032" w:type="dxa"/>
            <w:tcMar>
              <w:top w:w="170" w:type="dxa"/>
              <w:left w:w="113" w:type="dxa"/>
              <w:bottom w:w="170" w:type="dxa"/>
              <w:right w:w="113" w:type="dxa"/>
            </w:tcMar>
          </w:tcPr>
          <w:p w14:paraId="293BF3E3" w14:textId="77777777" w:rsidR="00EC25DE" w:rsidRDefault="00EC25DE">
            <w:pPr>
              <w:pStyle w:val="TABLETEXT"/>
            </w:pPr>
            <w:r>
              <w:t>Waste and resource recovery industry</w:t>
            </w:r>
          </w:p>
        </w:tc>
        <w:tc>
          <w:tcPr>
            <w:tcW w:w="1039" w:type="dxa"/>
            <w:tcMar>
              <w:top w:w="170" w:type="dxa"/>
              <w:left w:w="113" w:type="dxa"/>
              <w:bottom w:w="170" w:type="dxa"/>
              <w:right w:w="113" w:type="dxa"/>
            </w:tcMar>
          </w:tcPr>
          <w:p w14:paraId="7C081950" w14:textId="77777777" w:rsidR="00EC25DE" w:rsidRDefault="00EC25DE">
            <w:pPr>
              <w:pStyle w:val="TABLETEXT"/>
            </w:pPr>
            <w:r>
              <w:t>2020</w:t>
            </w:r>
          </w:p>
        </w:tc>
      </w:tr>
      <w:tr w:rsidR="00EC25DE" w14:paraId="10C082C4" w14:textId="77777777" w:rsidTr="001C65B9">
        <w:trPr>
          <w:trHeight w:val="708"/>
        </w:trPr>
        <w:tc>
          <w:tcPr>
            <w:tcW w:w="4573" w:type="dxa"/>
            <w:tcMar>
              <w:top w:w="170" w:type="dxa"/>
              <w:left w:w="113" w:type="dxa"/>
              <w:bottom w:w="170" w:type="dxa"/>
              <w:right w:w="113" w:type="dxa"/>
            </w:tcMar>
          </w:tcPr>
          <w:p w14:paraId="2AF43EC3" w14:textId="77777777" w:rsidR="00EC25DE" w:rsidRDefault="00EC25DE">
            <w:pPr>
              <w:pStyle w:val="TABLETEXT"/>
              <w:ind w:left="397" w:hanging="397"/>
            </w:pPr>
            <w:r>
              <w:t>1.7</w:t>
            </w:r>
            <w:r>
              <w:tab/>
              <w:t>Adopt sustainable procurement policies, targets and guidance for the use of recycled content and support government agencies to improve their recycled content procurement practices</w:t>
            </w:r>
          </w:p>
        </w:tc>
        <w:tc>
          <w:tcPr>
            <w:tcW w:w="1785" w:type="dxa"/>
            <w:tcMar>
              <w:top w:w="170" w:type="dxa"/>
              <w:left w:w="113" w:type="dxa"/>
              <w:bottom w:w="170" w:type="dxa"/>
              <w:right w:w="113" w:type="dxa"/>
            </w:tcMar>
          </w:tcPr>
          <w:p w14:paraId="7718856B" w14:textId="77777777" w:rsidR="00EC25DE" w:rsidRDefault="00EC25DE">
            <w:pPr>
              <w:pStyle w:val="TABLETEXT"/>
            </w:pPr>
            <w:r>
              <w:t>All governments</w:t>
            </w:r>
          </w:p>
        </w:tc>
        <w:tc>
          <w:tcPr>
            <w:tcW w:w="2032" w:type="dxa"/>
            <w:tcMar>
              <w:top w:w="170" w:type="dxa"/>
              <w:left w:w="113" w:type="dxa"/>
              <w:bottom w:w="170" w:type="dxa"/>
              <w:right w:w="113" w:type="dxa"/>
            </w:tcMar>
          </w:tcPr>
          <w:p w14:paraId="02C35E20" w14:textId="77777777" w:rsidR="00EC25DE" w:rsidRDefault="00EC25DE">
            <w:pPr>
              <w:pStyle w:val="NoParagraphStyle"/>
              <w:spacing w:line="240" w:lineRule="auto"/>
              <w:textAlignment w:val="auto"/>
              <w:rPr>
                <w:rFonts w:ascii="Calibri" w:hAnsi="Calibri" w:cs="Calibri"/>
                <w:color w:val="auto"/>
              </w:rPr>
            </w:pPr>
          </w:p>
        </w:tc>
        <w:tc>
          <w:tcPr>
            <w:tcW w:w="1039" w:type="dxa"/>
            <w:tcMar>
              <w:top w:w="170" w:type="dxa"/>
              <w:left w:w="113" w:type="dxa"/>
              <w:bottom w:w="170" w:type="dxa"/>
              <w:right w:w="113" w:type="dxa"/>
            </w:tcMar>
          </w:tcPr>
          <w:p w14:paraId="1BFE95AB" w14:textId="77777777" w:rsidR="00EC25DE" w:rsidRDefault="00EC25DE">
            <w:pPr>
              <w:pStyle w:val="TABLETEXT"/>
            </w:pPr>
            <w:r>
              <w:t>2020</w:t>
            </w:r>
          </w:p>
        </w:tc>
      </w:tr>
      <w:tr w:rsidR="00EC25DE" w14:paraId="3487EE53" w14:textId="77777777" w:rsidTr="001C65B9">
        <w:trPr>
          <w:trHeight w:val="708"/>
        </w:trPr>
        <w:tc>
          <w:tcPr>
            <w:tcW w:w="4573" w:type="dxa"/>
            <w:tcMar>
              <w:top w:w="170" w:type="dxa"/>
              <w:left w:w="113" w:type="dxa"/>
              <w:bottom w:w="170" w:type="dxa"/>
              <w:right w:w="113" w:type="dxa"/>
            </w:tcMar>
          </w:tcPr>
          <w:p w14:paraId="446541D0" w14:textId="77777777" w:rsidR="00EC25DE" w:rsidRDefault="00EC25DE">
            <w:pPr>
              <w:pStyle w:val="TABLETEXT"/>
              <w:ind w:left="397" w:hanging="397"/>
            </w:pPr>
            <w:r>
              <w:t xml:space="preserve">1.8 </w:t>
            </w:r>
            <w:r>
              <w:tab/>
              <w:t>Explore opportunities to improve environmentally responsible trade in high value commodities in the Asia-Pacific region</w:t>
            </w:r>
          </w:p>
        </w:tc>
        <w:tc>
          <w:tcPr>
            <w:tcW w:w="1785" w:type="dxa"/>
            <w:tcMar>
              <w:top w:w="170" w:type="dxa"/>
              <w:left w:w="113" w:type="dxa"/>
              <w:bottom w:w="170" w:type="dxa"/>
              <w:right w:w="113" w:type="dxa"/>
            </w:tcMar>
          </w:tcPr>
          <w:p w14:paraId="7B9AB3A2" w14:textId="77777777" w:rsidR="00EC25DE" w:rsidRDefault="00EC25DE">
            <w:pPr>
              <w:pStyle w:val="TABLETEXT"/>
            </w:pPr>
            <w:r>
              <w:t>Australian Government</w:t>
            </w:r>
          </w:p>
        </w:tc>
        <w:tc>
          <w:tcPr>
            <w:tcW w:w="2032" w:type="dxa"/>
            <w:tcMar>
              <w:top w:w="170" w:type="dxa"/>
              <w:left w:w="113" w:type="dxa"/>
              <w:bottom w:w="170" w:type="dxa"/>
              <w:right w:w="113" w:type="dxa"/>
            </w:tcMar>
          </w:tcPr>
          <w:p w14:paraId="78EA3D57" w14:textId="77777777" w:rsidR="00EC25DE" w:rsidRDefault="00EC25DE">
            <w:pPr>
              <w:pStyle w:val="NoParagraphStyle"/>
              <w:spacing w:line="240" w:lineRule="auto"/>
              <w:textAlignment w:val="auto"/>
              <w:rPr>
                <w:rFonts w:ascii="Calibri" w:hAnsi="Calibri" w:cs="Calibri"/>
                <w:color w:val="auto"/>
              </w:rPr>
            </w:pPr>
          </w:p>
        </w:tc>
        <w:tc>
          <w:tcPr>
            <w:tcW w:w="1039" w:type="dxa"/>
            <w:tcMar>
              <w:top w:w="170" w:type="dxa"/>
              <w:left w:w="113" w:type="dxa"/>
              <w:bottom w:w="170" w:type="dxa"/>
              <w:right w:w="113" w:type="dxa"/>
            </w:tcMar>
          </w:tcPr>
          <w:p w14:paraId="4D403D99" w14:textId="77777777" w:rsidR="00EC25DE" w:rsidRDefault="00EC25DE">
            <w:pPr>
              <w:pStyle w:val="TABLETEXT"/>
            </w:pPr>
            <w:r>
              <w:t>2022</w:t>
            </w:r>
          </w:p>
        </w:tc>
      </w:tr>
      <w:tr w:rsidR="00EC25DE" w14:paraId="3DFD87AF" w14:textId="77777777" w:rsidTr="001C65B9">
        <w:trPr>
          <w:trHeight w:val="708"/>
        </w:trPr>
        <w:tc>
          <w:tcPr>
            <w:tcW w:w="4573" w:type="dxa"/>
            <w:tcMar>
              <w:top w:w="170" w:type="dxa"/>
              <w:left w:w="113" w:type="dxa"/>
              <w:bottom w:w="170" w:type="dxa"/>
              <w:right w:w="113" w:type="dxa"/>
            </w:tcMar>
          </w:tcPr>
          <w:p w14:paraId="5DCEB487" w14:textId="77777777" w:rsidR="00EC25DE" w:rsidRDefault="00EC25DE">
            <w:pPr>
              <w:pStyle w:val="TABLETEXT"/>
              <w:ind w:left="397" w:hanging="397"/>
            </w:pPr>
            <w:r>
              <w:t xml:space="preserve">1.9 </w:t>
            </w:r>
            <w:r>
              <w:tab/>
              <w:t xml:space="preserve">Explore a legislative framework to prevent the landfilling of recyclable material </w:t>
            </w:r>
          </w:p>
        </w:tc>
        <w:tc>
          <w:tcPr>
            <w:tcW w:w="1785" w:type="dxa"/>
            <w:tcMar>
              <w:top w:w="170" w:type="dxa"/>
              <w:left w:w="113" w:type="dxa"/>
              <w:bottom w:w="170" w:type="dxa"/>
              <w:right w:w="113" w:type="dxa"/>
            </w:tcMar>
          </w:tcPr>
          <w:p w14:paraId="5DF078BB" w14:textId="77777777" w:rsidR="00EC25DE" w:rsidRDefault="00EC25DE">
            <w:pPr>
              <w:pStyle w:val="TABLETEXT"/>
            </w:pPr>
            <w:r>
              <w:t>All governments</w:t>
            </w:r>
          </w:p>
        </w:tc>
        <w:tc>
          <w:tcPr>
            <w:tcW w:w="2032" w:type="dxa"/>
            <w:tcMar>
              <w:top w:w="170" w:type="dxa"/>
              <w:left w:w="113" w:type="dxa"/>
              <w:bottom w:w="170" w:type="dxa"/>
              <w:right w:w="113" w:type="dxa"/>
            </w:tcMar>
          </w:tcPr>
          <w:p w14:paraId="6D548808" w14:textId="77777777" w:rsidR="00EC25DE" w:rsidRDefault="00EC25DE">
            <w:pPr>
              <w:pStyle w:val="NoParagraphStyle"/>
              <w:spacing w:line="240" w:lineRule="auto"/>
              <w:textAlignment w:val="auto"/>
              <w:rPr>
                <w:rFonts w:ascii="Calibri" w:hAnsi="Calibri" w:cs="Calibri"/>
                <w:color w:val="auto"/>
              </w:rPr>
            </w:pPr>
          </w:p>
        </w:tc>
        <w:tc>
          <w:tcPr>
            <w:tcW w:w="1039" w:type="dxa"/>
            <w:tcMar>
              <w:top w:w="170" w:type="dxa"/>
              <w:left w:w="113" w:type="dxa"/>
              <w:bottom w:w="170" w:type="dxa"/>
              <w:right w:w="113" w:type="dxa"/>
            </w:tcMar>
          </w:tcPr>
          <w:p w14:paraId="5EF37C89" w14:textId="77777777" w:rsidR="00EC25DE" w:rsidRDefault="00EC25DE">
            <w:pPr>
              <w:pStyle w:val="TABLETEXT"/>
            </w:pPr>
            <w:r>
              <w:t>2022</w:t>
            </w:r>
          </w:p>
        </w:tc>
      </w:tr>
    </w:tbl>
    <w:p w14:paraId="424B1E57" w14:textId="77777777" w:rsidR="00EC25DE" w:rsidRDefault="00EC25DE" w:rsidP="00EC25DE">
      <w:pPr>
        <w:pStyle w:val="Text"/>
      </w:pPr>
    </w:p>
    <w:p w14:paraId="56D7BA4F" w14:textId="11176D35" w:rsidR="00424906" w:rsidRDefault="00424906">
      <w:pPr>
        <w:rPr>
          <w:rFonts w:ascii="Calibri" w:hAnsi="Calibri" w:cs="Calibri"/>
          <w:color w:val="000000"/>
          <w:sz w:val="18"/>
          <w:szCs w:val="18"/>
          <w:lang w:val="en-GB"/>
        </w:rPr>
      </w:pPr>
      <w:r>
        <w:br w:type="page"/>
      </w:r>
    </w:p>
    <w:p w14:paraId="57795377" w14:textId="4B006A23" w:rsidR="00EC25DE" w:rsidRDefault="00EC25DE" w:rsidP="00454715">
      <w:pPr>
        <w:pStyle w:val="Heading2"/>
        <w:rPr>
          <w:vertAlign w:val="superscript"/>
        </w:rPr>
      </w:pPr>
      <w:bookmarkStart w:id="4" w:name="_Toc24118128"/>
      <w:r>
        <w:lastRenderedPageBreak/>
        <w:t>Target 2: Reduce total waste generated in Australia by 10% per person by 2030</w:t>
      </w:r>
      <w:r w:rsidR="006C277E">
        <w:rPr>
          <w:rStyle w:val="FootnoteReference"/>
        </w:rPr>
        <w:footnoteReference w:id="1"/>
      </w:r>
      <w:bookmarkEnd w:id="4"/>
    </w:p>
    <w:p w14:paraId="5898F314" w14:textId="77777777" w:rsidR="00424906" w:rsidRDefault="00424906" w:rsidP="00EC25DE">
      <w:pPr>
        <w:pStyle w:val="Subhead2"/>
        <w:spacing w:after="0"/>
        <w:rPr>
          <w:color w:val="414D59"/>
        </w:rPr>
      </w:pPr>
    </w:p>
    <w:p w14:paraId="6483F1DE" w14:textId="77777777" w:rsidR="00EC25DE" w:rsidRDefault="00EC25DE" w:rsidP="00EC25DE">
      <w:pPr>
        <w:pStyle w:val="Text"/>
        <w:rPr>
          <w:sz w:val="22"/>
          <w:szCs w:val="22"/>
        </w:rPr>
      </w:pPr>
      <w:r>
        <w:rPr>
          <w:sz w:val="22"/>
          <w:szCs w:val="22"/>
        </w:rPr>
        <w:t xml:space="preserve">Reducing the amount of waste we generate is a top priority. </w:t>
      </w:r>
    </w:p>
    <w:p w14:paraId="34E2B23B" w14:textId="77777777" w:rsidR="00EC25DE" w:rsidRDefault="00EC25DE" w:rsidP="00EC25DE">
      <w:pPr>
        <w:pStyle w:val="Text"/>
        <w:rPr>
          <w:sz w:val="22"/>
          <w:szCs w:val="22"/>
        </w:rPr>
      </w:pPr>
      <w:r>
        <w:rPr>
          <w:sz w:val="22"/>
          <w:szCs w:val="22"/>
        </w:rPr>
        <w:t>If we don’t use our resources more efficiently and reduce the amount we throw away, our recycling infrastructure will struggle to cope with increased waste and the negative impacts on the environment and oceans will continue to grow.</w:t>
      </w:r>
    </w:p>
    <w:p w14:paraId="77DC6071" w14:textId="77777777" w:rsidR="00EC25DE" w:rsidRDefault="00EC25DE" w:rsidP="00EC25DE">
      <w:pPr>
        <w:pStyle w:val="Text"/>
        <w:rPr>
          <w:sz w:val="22"/>
          <w:szCs w:val="22"/>
        </w:rPr>
      </w:pPr>
      <w:r>
        <w:rPr>
          <w:sz w:val="22"/>
          <w:szCs w:val="22"/>
        </w:rPr>
        <w:t xml:space="preserve">In 2016–17, we generated 2.7 tonnes of waste per person. While the amount of waste we’re producing per person has been reducing over the past decade, waste is increasing overall. We need to act now to address this growing problem. </w:t>
      </w:r>
    </w:p>
    <w:p w14:paraId="5C6CB52D" w14:textId="77777777" w:rsidR="00EC25DE" w:rsidRDefault="00EC25DE" w:rsidP="00EC25DE">
      <w:pPr>
        <w:pStyle w:val="Text"/>
        <w:rPr>
          <w:sz w:val="22"/>
          <w:szCs w:val="22"/>
        </w:rPr>
      </w:pPr>
      <w:r>
        <w:rPr>
          <w:sz w:val="22"/>
          <w:szCs w:val="22"/>
        </w:rPr>
        <w:t>Reducing the waste we generate by a further 10% by 2030 will mean a reduction of about 300 kilograms per person.</w:t>
      </w:r>
    </w:p>
    <w:p w14:paraId="516F6F5D" w14:textId="77777777" w:rsidR="00EC25DE" w:rsidRDefault="00EC25DE" w:rsidP="00EC25DE">
      <w:pPr>
        <w:pStyle w:val="Text"/>
      </w:pPr>
      <w:r>
        <w:rPr>
          <w:sz w:val="22"/>
          <w:szCs w:val="22"/>
        </w:rPr>
        <w:t>We’ve already made many of the easy reductions and we now need to tackle the harder wastes, including through targeted waste avoidance action, better design and using knowledge sharing, education and behaviour change to drive new ways to reduce waste.</w:t>
      </w:r>
    </w:p>
    <w:tbl>
      <w:tblPr>
        <w:tblW w:w="0" w:type="auto"/>
        <w:tblInd w:w="-8" w:type="dxa"/>
        <w:tblBorders>
          <w:top w:val="dotted" w:sz="8" w:space="0" w:color="414D59"/>
          <w:bottom w:val="dotted" w:sz="8" w:space="0" w:color="414D59"/>
          <w:insideH w:val="dotted" w:sz="8" w:space="0" w:color="414D59"/>
        </w:tblBorders>
        <w:tblLayout w:type="fixed"/>
        <w:tblCellMar>
          <w:left w:w="0" w:type="dxa"/>
          <w:right w:w="0" w:type="dxa"/>
        </w:tblCellMar>
        <w:tblLook w:val="0000" w:firstRow="0" w:lastRow="0" w:firstColumn="0" w:lastColumn="0" w:noHBand="0" w:noVBand="0"/>
      </w:tblPr>
      <w:tblGrid>
        <w:gridCol w:w="4573"/>
        <w:gridCol w:w="246"/>
        <w:gridCol w:w="1512"/>
        <w:gridCol w:w="60"/>
        <w:gridCol w:w="2010"/>
        <w:gridCol w:w="1020"/>
      </w:tblGrid>
      <w:tr w:rsidR="00EC25DE" w14:paraId="0BCE22D4" w14:textId="77777777" w:rsidTr="00424906">
        <w:trPr>
          <w:trHeight w:val="362"/>
          <w:tblHeader/>
        </w:trPr>
        <w:tc>
          <w:tcPr>
            <w:tcW w:w="4573" w:type="dxa"/>
            <w:tcBorders>
              <w:bottom w:val="dotted" w:sz="8" w:space="0" w:color="414D59"/>
            </w:tcBorders>
            <w:shd w:val="solid" w:color="414D59" w:fill="auto"/>
            <w:tcMar>
              <w:top w:w="170" w:type="dxa"/>
              <w:left w:w="113" w:type="dxa"/>
              <w:bottom w:w="170" w:type="dxa"/>
              <w:right w:w="113" w:type="dxa"/>
            </w:tcMar>
          </w:tcPr>
          <w:p w14:paraId="3B1031D4" w14:textId="77777777" w:rsidR="00EC25DE" w:rsidRPr="00424906" w:rsidRDefault="00EC25DE">
            <w:pPr>
              <w:pStyle w:val="TABLETEXT"/>
              <w:rPr>
                <w:color w:val="FFFFFF" w:themeColor="background1"/>
              </w:rPr>
            </w:pPr>
            <w:r w:rsidRPr="00424906">
              <w:rPr>
                <w:b/>
                <w:bCs/>
                <w:color w:val="FFFFFF" w:themeColor="background1"/>
                <w14:textOutline w14:w="9525" w14:cap="flat" w14:cmpd="sng" w14:algn="ctr">
                  <w14:noFill/>
                  <w14:prstDash w14:val="solid"/>
                  <w14:round/>
                </w14:textOutline>
              </w:rPr>
              <w:t>Action</w:t>
            </w:r>
          </w:p>
        </w:tc>
        <w:tc>
          <w:tcPr>
            <w:tcW w:w="1748" w:type="dxa"/>
            <w:gridSpan w:val="2"/>
            <w:tcBorders>
              <w:bottom w:val="dotted" w:sz="8" w:space="0" w:color="414D59"/>
            </w:tcBorders>
            <w:shd w:val="solid" w:color="414D59" w:fill="auto"/>
            <w:tcMar>
              <w:top w:w="170" w:type="dxa"/>
              <w:left w:w="113" w:type="dxa"/>
              <w:bottom w:w="170" w:type="dxa"/>
              <w:right w:w="113" w:type="dxa"/>
            </w:tcMar>
          </w:tcPr>
          <w:p w14:paraId="77547332" w14:textId="77777777" w:rsidR="00EC25DE" w:rsidRPr="00424906" w:rsidRDefault="00EC25DE">
            <w:pPr>
              <w:pStyle w:val="TABLETEXT"/>
              <w:rPr>
                <w:color w:val="FFFFFF" w:themeColor="background1"/>
              </w:rPr>
            </w:pPr>
            <w:r w:rsidRPr="00424906">
              <w:rPr>
                <w:b/>
                <w:bCs/>
                <w:color w:val="FFFFFF" w:themeColor="background1"/>
                <w14:textOutline w14:w="9525" w14:cap="flat" w14:cmpd="sng" w14:algn="ctr">
                  <w14:noFill/>
                  <w14:prstDash w14:val="solid"/>
                  <w14:round/>
                </w14:textOutline>
              </w:rPr>
              <w:t>Lead</w:t>
            </w:r>
          </w:p>
        </w:tc>
        <w:tc>
          <w:tcPr>
            <w:tcW w:w="2070" w:type="dxa"/>
            <w:gridSpan w:val="2"/>
            <w:tcBorders>
              <w:bottom w:val="dotted" w:sz="8" w:space="0" w:color="414D59"/>
            </w:tcBorders>
            <w:shd w:val="solid" w:color="414D59" w:fill="auto"/>
            <w:tcMar>
              <w:top w:w="170" w:type="dxa"/>
              <w:left w:w="113" w:type="dxa"/>
              <w:bottom w:w="170" w:type="dxa"/>
              <w:right w:w="113" w:type="dxa"/>
            </w:tcMar>
          </w:tcPr>
          <w:p w14:paraId="7DD4358E" w14:textId="77777777" w:rsidR="00EC25DE" w:rsidRPr="00424906" w:rsidRDefault="00EC25DE">
            <w:pPr>
              <w:pStyle w:val="TABLETEXT"/>
              <w:rPr>
                <w:color w:val="FFFFFF" w:themeColor="background1"/>
              </w:rPr>
            </w:pPr>
            <w:r w:rsidRPr="00424906">
              <w:rPr>
                <w:b/>
                <w:bCs/>
                <w:color w:val="FFFFFF" w:themeColor="background1"/>
                <w14:textOutline w14:w="9525" w14:cap="flat" w14:cmpd="sng" w14:algn="ctr">
                  <w14:noFill/>
                  <w14:prstDash w14:val="solid"/>
                  <w14:round/>
                </w14:textOutline>
              </w:rPr>
              <w:t>Partners</w:t>
            </w:r>
          </w:p>
        </w:tc>
        <w:tc>
          <w:tcPr>
            <w:tcW w:w="1020" w:type="dxa"/>
            <w:tcBorders>
              <w:bottom w:val="dotted" w:sz="8" w:space="0" w:color="414D59"/>
            </w:tcBorders>
            <w:shd w:val="solid" w:color="414D59" w:fill="auto"/>
            <w:tcMar>
              <w:top w:w="170" w:type="dxa"/>
              <w:left w:w="113" w:type="dxa"/>
              <w:bottom w:w="170" w:type="dxa"/>
              <w:right w:w="113" w:type="dxa"/>
            </w:tcMar>
          </w:tcPr>
          <w:p w14:paraId="5117741B" w14:textId="77777777" w:rsidR="00EC25DE" w:rsidRPr="00424906" w:rsidRDefault="00EC25DE">
            <w:pPr>
              <w:pStyle w:val="TABLETEXT"/>
              <w:rPr>
                <w:color w:val="FFFFFF" w:themeColor="background1"/>
              </w:rPr>
            </w:pPr>
            <w:r w:rsidRPr="00424906">
              <w:rPr>
                <w:b/>
                <w:bCs/>
                <w:color w:val="FFFFFF" w:themeColor="background1"/>
                <w14:textOutline w14:w="9525" w14:cap="flat" w14:cmpd="sng" w14:algn="ctr">
                  <w14:noFill/>
                  <w14:prstDash w14:val="solid"/>
                  <w14:round/>
                </w14:textOutline>
              </w:rPr>
              <w:t>By</w:t>
            </w:r>
          </w:p>
        </w:tc>
      </w:tr>
      <w:tr w:rsidR="00EC25DE" w14:paraId="18B8600D" w14:textId="77777777" w:rsidTr="00424906">
        <w:trPr>
          <w:trHeight w:val="362"/>
        </w:trPr>
        <w:tc>
          <w:tcPr>
            <w:tcW w:w="4573" w:type="dxa"/>
            <w:tcBorders>
              <w:bottom w:val="dotted" w:sz="8" w:space="0" w:color="414D59"/>
            </w:tcBorders>
            <w:shd w:val="clear" w:color="414D59" w:fill="7F7F7F" w:themeFill="text1" w:themeFillTint="80"/>
            <w:tcMar>
              <w:top w:w="170" w:type="dxa"/>
              <w:left w:w="113" w:type="dxa"/>
              <w:bottom w:w="170" w:type="dxa"/>
              <w:right w:w="113" w:type="dxa"/>
            </w:tcMar>
          </w:tcPr>
          <w:p w14:paraId="7E1ACB85" w14:textId="77777777" w:rsidR="00EC25DE" w:rsidRPr="00673CF5" w:rsidRDefault="00EC25DE">
            <w:pPr>
              <w:pStyle w:val="TABLETEXT"/>
              <w:rPr>
                <w:color w:val="000000" w:themeColor="text1"/>
              </w:rPr>
            </w:pPr>
            <w:r w:rsidRPr="00673CF5">
              <w:rPr>
                <w:rStyle w:val="TextBold"/>
                <w:color w:val="000000" w:themeColor="text1"/>
                <w14:textOutline w14:w="9525" w14:cap="flat" w14:cmpd="sng" w14:algn="ctr">
                  <w14:noFill/>
                  <w14:prstDash w14:val="solid"/>
                  <w14:round/>
                </w14:textOutline>
              </w:rPr>
              <w:t>Waste Avoidance</w:t>
            </w:r>
          </w:p>
        </w:tc>
        <w:tc>
          <w:tcPr>
            <w:tcW w:w="4838" w:type="dxa"/>
            <w:gridSpan w:val="5"/>
            <w:tcBorders>
              <w:bottom w:val="dotted" w:sz="8" w:space="0" w:color="414D59"/>
            </w:tcBorders>
            <w:shd w:val="clear" w:color="414D59" w:fill="7F7F7F" w:themeFill="text1" w:themeFillTint="80"/>
            <w:tcMar>
              <w:top w:w="170" w:type="dxa"/>
              <w:left w:w="113" w:type="dxa"/>
              <w:bottom w:w="170" w:type="dxa"/>
              <w:right w:w="113" w:type="dxa"/>
            </w:tcMar>
          </w:tcPr>
          <w:p w14:paraId="64FEA978" w14:textId="77777777" w:rsidR="00EC25DE" w:rsidRPr="00424906" w:rsidRDefault="00EC25DE">
            <w:pPr>
              <w:pStyle w:val="NoParagraphStyle"/>
              <w:spacing w:line="240" w:lineRule="auto"/>
              <w:textAlignment w:val="auto"/>
              <w:rPr>
                <w:rFonts w:ascii="Calibri" w:hAnsi="Calibri" w:cs="Calibri"/>
                <w:color w:val="FFFFFF" w:themeColor="background1"/>
              </w:rPr>
            </w:pPr>
          </w:p>
        </w:tc>
      </w:tr>
      <w:tr w:rsidR="00EC25DE" w14:paraId="58132EB0" w14:textId="77777777" w:rsidTr="00424906">
        <w:trPr>
          <w:trHeight w:val="362"/>
        </w:trPr>
        <w:tc>
          <w:tcPr>
            <w:tcW w:w="4573" w:type="dxa"/>
            <w:shd w:val="clear" w:color="414D59" w:fill="A6A6A6" w:themeFill="background1" w:themeFillShade="A6"/>
            <w:tcMar>
              <w:top w:w="170" w:type="dxa"/>
              <w:left w:w="113" w:type="dxa"/>
              <w:bottom w:w="170" w:type="dxa"/>
              <w:right w:w="113" w:type="dxa"/>
            </w:tcMar>
          </w:tcPr>
          <w:p w14:paraId="74498512" w14:textId="77777777" w:rsidR="00EC25DE" w:rsidRPr="00673CF5" w:rsidRDefault="00EC25DE">
            <w:pPr>
              <w:pStyle w:val="TABLETEXT"/>
              <w:rPr>
                <w:color w:val="000000" w:themeColor="text1"/>
              </w:rPr>
            </w:pPr>
            <w:r w:rsidRPr="00673CF5">
              <w:rPr>
                <w:rStyle w:val="TextBold"/>
                <w:color w:val="000000" w:themeColor="text1"/>
              </w:rPr>
              <w:t>Avoid Food Waste</w:t>
            </w:r>
          </w:p>
        </w:tc>
        <w:tc>
          <w:tcPr>
            <w:tcW w:w="236" w:type="dxa"/>
            <w:shd w:val="clear" w:color="414D59" w:fill="A6A6A6" w:themeFill="background1" w:themeFillShade="A6"/>
            <w:tcMar>
              <w:top w:w="170" w:type="dxa"/>
              <w:left w:w="113" w:type="dxa"/>
              <w:bottom w:w="170" w:type="dxa"/>
              <w:right w:w="113" w:type="dxa"/>
            </w:tcMar>
          </w:tcPr>
          <w:p w14:paraId="43830624"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1572" w:type="dxa"/>
            <w:gridSpan w:val="2"/>
            <w:shd w:val="clear" w:color="414D59" w:fill="A6A6A6" w:themeFill="background1" w:themeFillShade="A6"/>
            <w:tcMar>
              <w:top w:w="170" w:type="dxa"/>
              <w:left w:w="113" w:type="dxa"/>
              <w:bottom w:w="170" w:type="dxa"/>
              <w:right w:w="113" w:type="dxa"/>
            </w:tcMar>
          </w:tcPr>
          <w:p w14:paraId="148F5DA2"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3030" w:type="dxa"/>
            <w:gridSpan w:val="2"/>
            <w:shd w:val="clear" w:color="414D59" w:fill="A6A6A6" w:themeFill="background1" w:themeFillShade="A6"/>
            <w:tcMar>
              <w:top w:w="170" w:type="dxa"/>
              <w:left w:w="113" w:type="dxa"/>
              <w:bottom w:w="170" w:type="dxa"/>
              <w:right w:w="113" w:type="dxa"/>
            </w:tcMar>
          </w:tcPr>
          <w:p w14:paraId="5B07DF6D" w14:textId="77777777" w:rsidR="00EC25DE" w:rsidRPr="00424906" w:rsidRDefault="00EC25DE">
            <w:pPr>
              <w:pStyle w:val="NoParagraphStyle"/>
              <w:spacing w:line="240" w:lineRule="auto"/>
              <w:textAlignment w:val="auto"/>
              <w:rPr>
                <w:rFonts w:ascii="Calibri" w:hAnsi="Calibri" w:cs="Calibri"/>
                <w:color w:val="FFFFFF" w:themeColor="background1"/>
              </w:rPr>
            </w:pPr>
          </w:p>
        </w:tc>
      </w:tr>
      <w:tr w:rsidR="00EC25DE" w14:paraId="3A6327B4" w14:textId="77777777" w:rsidTr="00424906">
        <w:trPr>
          <w:trHeight w:val="708"/>
        </w:trPr>
        <w:tc>
          <w:tcPr>
            <w:tcW w:w="4573" w:type="dxa"/>
            <w:tcMar>
              <w:top w:w="170" w:type="dxa"/>
              <w:left w:w="113" w:type="dxa"/>
              <w:bottom w:w="170" w:type="dxa"/>
              <w:right w:w="113" w:type="dxa"/>
            </w:tcMar>
          </w:tcPr>
          <w:p w14:paraId="72F30AD3" w14:textId="77777777" w:rsidR="00EC25DE" w:rsidRDefault="00EC25DE">
            <w:pPr>
              <w:pStyle w:val="TABLETEXT"/>
              <w:ind w:left="340" w:hanging="340"/>
            </w:pPr>
            <w:r>
              <w:t xml:space="preserve">2.1 </w:t>
            </w:r>
            <w:r>
              <w:tab/>
              <w:t>Establish a voluntary commitment program for businesses across the supply and consumption chain to engage in food waste reduction activities, to encourage industry-led action</w:t>
            </w:r>
          </w:p>
        </w:tc>
        <w:tc>
          <w:tcPr>
            <w:tcW w:w="1748" w:type="dxa"/>
            <w:gridSpan w:val="2"/>
            <w:tcMar>
              <w:top w:w="170" w:type="dxa"/>
              <w:left w:w="113" w:type="dxa"/>
              <w:bottom w:w="170" w:type="dxa"/>
              <w:right w:w="113" w:type="dxa"/>
            </w:tcMar>
          </w:tcPr>
          <w:p w14:paraId="70F32847" w14:textId="77777777" w:rsidR="00EC25DE" w:rsidRDefault="00EC25DE">
            <w:pPr>
              <w:pStyle w:val="TABLETEXT"/>
            </w:pPr>
            <w:r>
              <w:t xml:space="preserve">Food Innovation Australia Limited (FIAL) </w:t>
            </w:r>
          </w:p>
          <w:p w14:paraId="3B5D0DBA" w14:textId="77777777" w:rsidR="00EC25DE" w:rsidRDefault="00EC25DE">
            <w:pPr>
              <w:pStyle w:val="TABLETEXT"/>
            </w:pPr>
          </w:p>
        </w:tc>
        <w:tc>
          <w:tcPr>
            <w:tcW w:w="2070" w:type="dxa"/>
            <w:gridSpan w:val="2"/>
            <w:tcMar>
              <w:top w:w="170" w:type="dxa"/>
              <w:left w:w="113" w:type="dxa"/>
              <w:bottom w:w="170" w:type="dxa"/>
              <w:right w:w="113" w:type="dxa"/>
            </w:tcMar>
          </w:tcPr>
          <w:p w14:paraId="7BE45BA1" w14:textId="77777777" w:rsidR="00EC25DE" w:rsidRDefault="00EC25DE">
            <w:pPr>
              <w:pStyle w:val="TABLETEXT"/>
            </w:pPr>
            <w:r>
              <w:t>Business sector</w:t>
            </w:r>
          </w:p>
        </w:tc>
        <w:tc>
          <w:tcPr>
            <w:tcW w:w="1020" w:type="dxa"/>
            <w:tcMar>
              <w:top w:w="170" w:type="dxa"/>
              <w:left w:w="113" w:type="dxa"/>
              <w:bottom w:w="170" w:type="dxa"/>
              <w:right w:w="113" w:type="dxa"/>
            </w:tcMar>
          </w:tcPr>
          <w:p w14:paraId="029C1F23" w14:textId="77777777" w:rsidR="00EC25DE" w:rsidRDefault="00EC25DE">
            <w:pPr>
              <w:pStyle w:val="TABLETEXT"/>
            </w:pPr>
            <w:r>
              <w:t>2020</w:t>
            </w:r>
          </w:p>
        </w:tc>
      </w:tr>
      <w:tr w:rsidR="00EC25DE" w14:paraId="6B2F5275" w14:textId="77777777" w:rsidTr="00424906">
        <w:trPr>
          <w:trHeight w:val="708"/>
        </w:trPr>
        <w:tc>
          <w:tcPr>
            <w:tcW w:w="4573" w:type="dxa"/>
            <w:tcMar>
              <w:top w:w="170" w:type="dxa"/>
              <w:left w:w="113" w:type="dxa"/>
              <w:bottom w:w="170" w:type="dxa"/>
              <w:right w:w="113" w:type="dxa"/>
            </w:tcMar>
          </w:tcPr>
          <w:p w14:paraId="08F701C2" w14:textId="77777777" w:rsidR="00EC25DE" w:rsidRDefault="00EC25DE">
            <w:pPr>
              <w:pStyle w:val="TABLETEXT"/>
              <w:ind w:left="340" w:hanging="340"/>
            </w:pPr>
            <w:r>
              <w:t>2.2</w:t>
            </w:r>
            <w:r>
              <w:tab/>
              <w:t>Develop and publish a National Food Waste Implementation Plan, to halve food waste by 2030</w:t>
            </w:r>
          </w:p>
        </w:tc>
        <w:tc>
          <w:tcPr>
            <w:tcW w:w="1748" w:type="dxa"/>
            <w:gridSpan w:val="2"/>
            <w:tcMar>
              <w:top w:w="170" w:type="dxa"/>
              <w:left w:w="113" w:type="dxa"/>
              <w:bottom w:w="170" w:type="dxa"/>
              <w:right w:w="113" w:type="dxa"/>
            </w:tcMar>
          </w:tcPr>
          <w:p w14:paraId="070B2009" w14:textId="77777777" w:rsidR="00EC25DE" w:rsidRDefault="00EC25DE">
            <w:pPr>
              <w:pStyle w:val="TABLETEXT"/>
            </w:pPr>
            <w:r>
              <w:t>FIAL</w:t>
            </w:r>
          </w:p>
        </w:tc>
        <w:tc>
          <w:tcPr>
            <w:tcW w:w="2070" w:type="dxa"/>
            <w:gridSpan w:val="2"/>
            <w:tcMar>
              <w:top w:w="170" w:type="dxa"/>
              <w:left w:w="113" w:type="dxa"/>
              <w:bottom w:w="170" w:type="dxa"/>
              <w:right w:w="113" w:type="dxa"/>
            </w:tcMar>
          </w:tcPr>
          <w:p w14:paraId="50D8A15B" w14:textId="77777777" w:rsidR="00EC25DE" w:rsidRDefault="00EC25DE">
            <w:pPr>
              <w:pStyle w:val="TABLETEXT"/>
            </w:pPr>
            <w:r>
              <w:t>All governments</w:t>
            </w:r>
          </w:p>
        </w:tc>
        <w:tc>
          <w:tcPr>
            <w:tcW w:w="1020" w:type="dxa"/>
            <w:tcMar>
              <w:top w:w="170" w:type="dxa"/>
              <w:left w:w="113" w:type="dxa"/>
              <w:bottom w:w="170" w:type="dxa"/>
              <w:right w:w="113" w:type="dxa"/>
            </w:tcMar>
          </w:tcPr>
          <w:p w14:paraId="21B300B8" w14:textId="77777777" w:rsidR="00EC25DE" w:rsidRDefault="00EC25DE">
            <w:pPr>
              <w:pStyle w:val="TABLETEXT"/>
            </w:pPr>
            <w:r>
              <w:t>2020</w:t>
            </w:r>
          </w:p>
        </w:tc>
      </w:tr>
      <w:tr w:rsidR="00EC25DE" w14:paraId="3E369DC3" w14:textId="77777777" w:rsidTr="00424906">
        <w:trPr>
          <w:trHeight w:val="708"/>
        </w:trPr>
        <w:tc>
          <w:tcPr>
            <w:tcW w:w="4573" w:type="dxa"/>
            <w:tcBorders>
              <w:bottom w:val="dotted" w:sz="8" w:space="0" w:color="414D59"/>
            </w:tcBorders>
            <w:tcMar>
              <w:top w:w="170" w:type="dxa"/>
              <w:left w:w="113" w:type="dxa"/>
              <w:bottom w:w="170" w:type="dxa"/>
              <w:right w:w="113" w:type="dxa"/>
            </w:tcMar>
          </w:tcPr>
          <w:p w14:paraId="117B3483" w14:textId="77777777" w:rsidR="00EC25DE" w:rsidRDefault="00EC25DE">
            <w:pPr>
              <w:pStyle w:val="TABLETEXT"/>
              <w:ind w:left="340" w:hanging="340"/>
            </w:pPr>
            <w:r>
              <w:t>2.3</w:t>
            </w:r>
            <w:r>
              <w:tab/>
              <w:t>Support the Fight Food Waste campaign, to divert foodstuffs from landfill</w:t>
            </w:r>
          </w:p>
        </w:tc>
        <w:tc>
          <w:tcPr>
            <w:tcW w:w="1748" w:type="dxa"/>
            <w:gridSpan w:val="2"/>
            <w:tcBorders>
              <w:bottom w:val="dotted" w:sz="8" w:space="0" w:color="414D59"/>
            </w:tcBorders>
            <w:tcMar>
              <w:top w:w="170" w:type="dxa"/>
              <w:left w:w="113" w:type="dxa"/>
              <w:bottom w:w="170" w:type="dxa"/>
              <w:right w:w="113" w:type="dxa"/>
            </w:tcMar>
          </w:tcPr>
          <w:p w14:paraId="3E9A4F8B" w14:textId="77777777" w:rsidR="00EC25DE" w:rsidRDefault="00EC25DE">
            <w:pPr>
              <w:pStyle w:val="TABLETEXT"/>
            </w:pPr>
            <w:r>
              <w:t>All governments</w:t>
            </w:r>
          </w:p>
        </w:tc>
        <w:tc>
          <w:tcPr>
            <w:tcW w:w="2070" w:type="dxa"/>
            <w:gridSpan w:val="2"/>
            <w:tcBorders>
              <w:bottom w:val="dotted" w:sz="8" w:space="0" w:color="414D59"/>
            </w:tcBorders>
            <w:tcMar>
              <w:top w:w="170" w:type="dxa"/>
              <w:left w:w="113" w:type="dxa"/>
              <w:bottom w:w="170" w:type="dxa"/>
              <w:right w:w="113" w:type="dxa"/>
            </w:tcMar>
          </w:tcPr>
          <w:p w14:paraId="40EA6C0D" w14:textId="77777777" w:rsidR="00EC25DE" w:rsidRDefault="00EC25DE">
            <w:pPr>
              <w:pStyle w:val="TABLETEXT"/>
            </w:pPr>
            <w:r>
              <w:t>NGOs</w:t>
            </w:r>
          </w:p>
        </w:tc>
        <w:tc>
          <w:tcPr>
            <w:tcW w:w="1020" w:type="dxa"/>
            <w:tcBorders>
              <w:bottom w:val="dotted" w:sz="8" w:space="0" w:color="414D59"/>
            </w:tcBorders>
            <w:tcMar>
              <w:top w:w="170" w:type="dxa"/>
              <w:left w:w="113" w:type="dxa"/>
              <w:bottom w:w="170" w:type="dxa"/>
              <w:right w:w="113" w:type="dxa"/>
            </w:tcMar>
          </w:tcPr>
          <w:p w14:paraId="7C3FFF6B" w14:textId="77777777" w:rsidR="00EC25DE" w:rsidRDefault="00EC25DE">
            <w:pPr>
              <w:pStyle w:val="TABLETEXT"/>
            </w:pPr>
            <w:r>
              <w:t>2020</w:t>
            </w:r>
          </w:p>
        </w:tc>
      </w:tr>
      <w:tr w:rsidR="00EC25DE" w14:paraId="5FF54B76" w14:textId="77777777" w:rsidTr="00424906">
        <w:trPr>
          <w:trHeight w:val="383"/>
        </w:trPr>
        <w:tc>
          <w:tcPr>
            <w:tcW w:w="4573" w:type="dxa"/>
            <w:shd w:val="clear" w:color="414D59" w:fill="A6A6A6" w:themeFill="background1" w:themeFillShade="A6"/>
            <w:tcMar>
              <w:top w:w="170" w:type="dxa"/>
              <w:left w:w="113" w:type="dxa"/>
              <w:bottom w:w="170" w:type="dxa"/>
              <w:right w:w="113" w:type="dxa"/>
            </w:tcMar>
          </w:tcPr>
          <w:p w14:paraId="504F1F46" w14:textId="77777777" w:rsidR="00EC25DE" w:rsidRPr="00424906" w:rsidRDefault="00EC25DE">
            <w:pPr>
              <w:pStyle w:val="TABLETEXT"/>
              <w:ind w:left="340" w:hanging="340"/>
              <w:rPr>
                <w:color w:val="FFFFFF" w:themeColor="background1"/>
              </w:rPr>
            </w:pPr>
            <w:r w:rsidRPr="00673CF5">
              <w:rPr>
                <w:rStyle w:val="TextBold"/>
                <w:color w:val="000000" w:themeColor="text1"/>
              </w:rPr>
              <w:t xml:space="preserve">Avoid Business Waste </w:t>
            </w:r>
          </w:p>
        </w:tc>
        <w:tc>
          <w:tcPr>
            <w:tcW w:w="1748" w:type="dxa"/>
            <w:gridSpan w:val="2"/>
            <w:shd w:val="clear" w:color="414D59" w:fill="A6A6A6" w:themeFill="background1" w:themeFillShade="A6"/>
            <w:tcMar>
              <w:top w:w="170" w:type="dxa"/>
              <w:left w:w="113" w:type="dxa"/>
              <w:bottom w:w="170" w:type="dxa"/>
              <w:right w:w="113" w:type="dxa"/>
            </w:tcMar>
          </w:tcPr>
          <w:p w14:paraId="066FADAE"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2070" w:type="dxa"/>
            <w:gridSpan w:val="2"/>
            <w:shd w:val="clear" w:color="414D59" w:fill="A6A6A6" w:themeFill="background1" w:themeFillShade="A6"/>
            <w:tcMar>
              <w:top w:w="170" w:type="dxa"/>
              <w:left w:w="113" w:type="dxa"/>
              <w:bottom w:w="170" w:type="dxa"/>
              <w:right w:w="113" w:type="dxa"/>
            </w:tcMar>
          </w:tcPr>
          <w:p w14:paraId="0566993F"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1020" w:type="dxa"/>
            <w:shd w:val="clear" w:color="414D59" w:fill="A6A6A6" w:themeFill="background1" w:themeFillShade="A6"/>
            <w:tcMar>
              <w:top w:w="170" w:type="dxa"/>
              <w:left w:w="113" w:type="dxa"/>
              <w:bottom w:w="170" w:type="dxa"/>
              <w:right w:w="113" w:type="dxa"/>
            </w:tcMar>
          </w:tcPr>
          <w:p w14:paraId="4C11BFBB" w14:textId="77777777" w:rsidR="00EC25DE" w:rsidRPr="00424906" w:rsidRDefault="00EC25DE">
            <w:pPr>
              <w:pStyle w:val="NoParagraphStyle"/>
              <w:spacing w:line="240" w:lineRule="auto"/>
              <w:textAlignment w:val="auto"/>
              <w:rPr>
                <w:rFonts w:ascii="Calibri" w:hAnsi="Calibri" w:cs="Calibri"/>
                <w:color w:val="FFFFFF" w:themeColor="background1"/>
              </w:rPr>
            </w:pPr>
          </w:p>
        </w:tc>
      </w:tr>
      <w:tr w:rsidR="00EC25DE" w14:paraId="0F4C7FA7" w14:textId="77777777" w:rsidTr="00424906">
        <w:trPr>
          <w:trHeight w:val="708"/>
        </w:trPr>
        <w:tc>
          <w:tcPr>
            <w:tcW w:w="4573" w:type="dxa"/>
            <w:tcMar>
              <w:top w:w="170" w:type="dxa"/>
              <w:left w:w="113" w:type="dxa"/>
              <w:bottom w:w="170" w:type="dxa"/>
              <w:right w:w="113" w:type="dxa"/>
            </w:tcMar>
          </w:tcPr>
          <w:p w14:paraId="605CE899" w14:textId="77777777" w:rsidR="00EC25DE" w:rsidRDefault="00EC25DE">
            <w:pPr>
              <w:pStyle w:val="TABLETEXT"/>
              <w:ind w:left="340" w:hanging="340"/>
            </w:pPr>
            <w:r>
              <w:lastRenderedPageBreak/>
              <w:t xml:space="preserve">2.4 </w:t>
            </w:r>
            <w:r>
              <w:tab/>
              <w:t>Report on lessons learned and options to support waste reduction in the commercial and industrial, and construction and demolition waste streams</w:t>
            </w:r>
          </w:p>
        </w:tc>
        <w:tc>
          <w:tcPr>
            <w:tcW w:w="1748" w:type="dxa"/>
            <w:gridSpan w:val="2"/>
            <w:tcMar>
              <w:top w:w="170" w:type="dxa"/>
              <w:left w:w="113" w:type="dxa"/>
              <w:bottom w:w="170" w:type="dxa"/>
              <w:right w:w="113" w:type="dxa"/>
            </w:tcMar>
          </w:tcPr>
          <w:p w14:paraId="675423A6" w14:textId="77777777" w:rsidR="00EC25DE" w:rsidRDefault="00EC25DE">
            <w:pPr>
              <w:pStyle w:val="TABLETEXT"/>
            </w:pPr>
            <w:r>
              <w:t>All governments</w:t>
            </w:r>
          </w:p>
        </w:tc>
        <w:tc>
          <w:tcPr>
            <w:tcW w:w="2070" w:type="dxa"/>
            <w:gridSpan w:val="2"/>
            <w:tcMar>
              <w:top w:w="170" w:type="dxa"/>
              <w:left w:w="113" w:type="dxa"/>
              <w:bottom w:w="170" w:type="dxa"/>
              <w:right w:w="113" w:type="dxa"/>
            </w:tcMar>
          </w:tcPr>
          <w:p w14:paraId="21E890FE" w14:textId="77777777" w:rsidR="00EC25DE" w:rsidRDefault="00EC25DE">
            <w:pPr>
              <w:pStyle w:val="TABLETEXT"/>
            </w:pPr>
            <w:r>
              <w:t>Business sector</w:t>
            </w:r>
          </w:p>
          <w:p w14:paraId="720F1326" w14:textId="77777777" w:rsidR="00EC25DE" w:rsidRDefault="00EC25DE">
            <w:pPr>
              <w:pStyle w:val="TABLETEXT"/>
            </w:pPr>
            <w:r>
              <w:t>Waste and resource recovery industry</w:t>
            </w:r>
          </w:p>
        </w:tc>
        <w:tc>
          <w:tcPr>
            <w:tcW w:w="1020" w:type="dxa"/>
            <w:tcMar>
              <w:top w:w="170" w:type="dxa"/>
              <w:left w:w="113" w:type="dxa"/>
              <w:bottom w:w="170" w:type="dxa"/>
              <w:right w:w="113" w:type="dxa"/>
            </w:tcMar>
          </w:tcPr>
          <w:p w14:paraId="475E7F75" w14:textId="77777777" w:rsidR="00EC25DE" w:rsidRDefault="00EC25DE">
            <w:pPr>
              <w:pStyle w:val="TABLETEXT"/>
            </w:pPr>
            <w:r>
              <w:t>2021</w:t>
            </w:r>
          </w:p>
        </w:tc>
      </w:tr>
      <w:tr w:rsidR="00EC25DE" w14:paraId="34942AA9" w14:textId="77777777" w:rsidTr="00424906">
        <w:trPr>
          <w:trHeight w:val="708"/>
        </w:trPr>
        <w:tc>
          <w:tcPr>
            <w:tcW w:w="4573" w:type="dxa"/>
            <w:tcBorders>
              <w:bottom w:val="dotted" w:sz="8" w:space="0" w:color="414D59"/>
            </w:tcBorders>
            <w:tcMar>
              <w:top w:w="170" w:type="dxa"/>
              <w:left w:w="113" w:type="dxa"/>
              <w:bottom w:w="170" w:type="dxa"/>
              <w:right w:w="113" w:type="dxa"/>
            </w:tcMar>
          </w:tcPr>
          <w:p w14:paraId="04C9DC79" w14:textId="77777777" w:rsidR="00EC25DE" w:rsidRDefault="00EC25DE">
            <w:pPr>
              <w:pStyle w:val="TABLETEXT"/>
              <w:ind w:left="340" w:hanging="340"/>
            </w:pPr>
            <w:r>
              <w:t>2.5</w:t>
            </w:r>
            <w:r>
              <w:tab/>
              <w:t>Deliver targeted programs to build businesses’ capability to identify and act on opportunities to avoid waste and increase materials efficiency and recovery</w:t>
            </w:r>
          </w:p>
        </w:tc>
        <w:tc>
          <w:tcPr>
            <w:tcW w:w="1748" w:type="dxa"/>
            <w:gridSpan w:val="2"/>
            <w:tcBorders>
              <w:bottom w:val="dotted" w:sz="8" w:space="0" w:color="414D59"/>
            </w:tcBorders>
            <w:tcMar>
              <w:top w:w="170" w:type="dxa"/>
              <w:left w:w="113" w:type="dxa"/>
              <w:bottom w:w="170" w:type="dxa"/>
              <w:right w:w="113" w:type="dxa"/>
            </w:tcMar>
          </w:tcPr>
          <w:p w14:paraId="4F1BC747" w14:textId="77777777" w:rsidR="00EC25DE" w:rsidRDefault="00EC25DE">
            <w:pPr>
              <w:pStyle w:val="TABLETEXT"/>
            </w:pPr>
            <w:r>
              <w:t>All governments</w:t>
            </w:r>
          </w:p>
        </w:tc>
        <w:tc>
          <w:tcPr>
            <w:tcW w:w="2070" w:type="dxa"/>
            <w:gridSpan w:val="2"/>
            <w:tcBorders>
              <w:bottom w:val="dotted" w:sz="8" w:space="0" w:color="414D59"/>
            </w:tcBorders>
            <w:tcMar>
              <w:top w:w="170" w:type="dxa"/>
              <w:left w:w="113" w:type="dxa"/>
              <w:bottom w:w="170" w:type="dxa"/>
              <w:right w:w="113" w:type="dxa"/>
            </w:tcMar>
          </w:tcPr>
          <w:p w14:paraId="77B8C6E8" w14:textId="77777777" w:rsidR="00EC25DE" w:rsidRDefault="00EC25DE">
            <w:pPr>
              <w:pStyle w:val="TABLETEXT"/>
            </w:pPr>
            <w:r>
              <w:t>Business sector</w:t>
            </w:r>
          </w:p>
        </w:tc>
        <w:tc>
          <w:tcPr>
            <w:tcW w:w="1020" w:type="dxa"/>
            <w:tcBorders>
              <w:bottom w:val="dotted" w:sz="8" w:space="0" w:color="414D59"/>
            </w:tcBorders>
            <w:tcMar>
              <w:top w:w="170" w:type="dxa"/>
              <w:left w:w="113" w:type="dxa"/>
              <w:bottom w:w="170" w:type="dxa"/>
              <w:right w:w="113" w:type="dxa"/>
            </w:tcMar>
          </w:tcPr>
          <w:p w14:paraId="06B3A380" w14:textId="77777777" w:rsidR="00EC25DE" w:rsidRDefault="00EC25DE">
            <w:pPr>
              <w:pStyle w:val="TABLETEXT"/>
            </w:pPr>
            <w:r>
              <w:t>Ongoing</w:t>
            </w:r>
          </w:p>
        </w:tc>
      </w:tr>
      <w:tr w:rsidR="00EC25DE" w14:paraId="7F005A5E" w14:textId="77777777" w:rsidTr="00424906">
        <w:trPr>
          <w:trHeight w:val="358"/>
        </w:trPr>
        <w:tc>
          <w:tcPr>
            <w:tcW w:w="4573" w:type="dxa"/>
            <w:shd w:val="clear" w:color="auto" w:fill="A6A6A6" w:themeFill="background1" w:themeFillShade="A6"/>
            <w:tcMar>
              <w:top w:w="170" w:type="dxa"/>
              <w:left w:w="113" w:type="dxa"/>
              <w:bottom w:w="170" w:type="dxa"/>
              <w:right w:w="113" w:type="dxa"/>
            </w:tcMar>
          </w:tcPr>
          <w:p w14:paraId="333561F9" w14:textId="77777777" w:rsidR="00EC25DE" w:rsidRDefault="00EC25DE">
            <w:pPr>
              <w:pStyle w:val="TABLETEXT"/>
              <w:ind w:left="340" w:hanging="340"/>
            </w:pPr>
            <w:r w:rsidRPr="00673CF5">
              <w:rPr>
                <w:rStyle w:val="TextBold"/>
                <w:color w:val="000000" w:themeColor="text1"/>
              </w:rPr>
              <w:t xml:space="preserve">Improve Reuse and Reparability </w:t>
            </w:r>
          </w:p>
        </w:tc>
        <w:tc>
          <w:tcPr>
            <w:tcW w:w="1748" w:type="dxa"/>
            <w:gridSpan w:val="2"/>
            <w:shd w:val="clear" w:color="auto" w:fill="A6A6A6" w:themeFill="background1" w:themeFillShade="A6"/>
            <w:tcMar>
              <w:top w:w="170" w:type="dxa"/>
              <w:left w:w="113" w:type="dxa"/>
              <w:bottom w:w="170" w:type="dxa"/>
              <w:right w:w="113" w:type="dxa"/>
            </w:tcMar>
          </w:tcPr>
          <w:p w14:paraId="21FC595D" w14:textId="77777777" w:rsidR="00EC25DE" w:rsidRDefault="00EC25DE">
            <w:pPr>
              <w:pStyle w:val="NoParagraphStyle"/>
              <w:spacing w:line="240" w:lineRule="auto"/>
              <w:textAlignment w:val="auto"/>
              <w:rPr>
                <w:rFonts w:ascii="Calibri" w:hAnsi="Calibri" w:cs="Calibri"/>
                <w:color w:val="auto"/>
              </w:rPr>
            </w:pPr>
          </w:p>
        </w:tc>
        <w:tc>
          <w:tcPr>
            <w:tcW w:w="2070" w:type="dxa"/>
            <w:gridSpan w:val="2"/>
            <w:shd w:val="clear" w:color="auto" w:fill="A6A6A6" w:themeFill="background1" w:themeFillShade="A6"/>
            <w:tcMar>
              <w:top w:w="170" w:type="dxa"/>
              <w:left w:w="113" w:type="dxa"/>
              <w:bottom w:w="170" w:type="dxa"/>
              <w:right w:w="113" w:type="dxa"/>
            </w:tcMar>
          </w:tcPr>
          <w:p w14:paraId="68FCF855" w14:textId="77777777" w:rsidR="00EC25DE" w:rsidRDefault="00EC25DE">
            <w:pPr>
              <w:pStyle w:val="NoParagraphStyle"/>
              <w:spacing w:line="240" w:lineRule="auto"/>
              <w:textAlignment w:val="auto"/>
              <w:rPr>
                <w:rFonts w:ascii="Calibri" w:hAnsi="Calibri" w:cs="Calibri"/>
                <w:color w:val="auto"/>
              </w:rPr>
            </w:pPr>
          </w:p>
        </w:tc>
        <w:tc>
          <w:tcPr>
            <w:tcW w:w="1020" w:type="dxa"/>
            <w:shd w:val="clear" w:color="auto" w:fill="A6A6A6" w:themeFill="background1" w:themeFillShade="A6"/>
            <w:tcMar>
              <w:top w:w="170" w:type="dxa"/>
              <w:left w:w="113" w:type="dxa"/>
              <w:bottom w:w="170" w:type="dxa"/>
              <w:right w:w="113" w:type="dxa"/>
            </w:tcMar>
          </w:tcPr>
          <w:p w14:paraId="4BCFD3E2" w14:textId="77777777" w:rsidR="00EC25DE" w:rsidRDefault="00EC25DE">
            <w:pPr>
              <w:pStyle w:val="NoParagraphStyle"/>
              <w:spacing w:line="240" w:lineRule="auto"/>
              <w:textAlignment w:val="auto"/>
              <w:rPr>
                <w:rFonts w:ascii="Calibri" w:hAnsi="Calibri" w:cs="Calibri"/>
                <w:color w:val="auto"/>
              </w:rPr>
            </w:pPr>
          </w:p>
        </w:tc>
      </w:tr>
      <w:tr w:rsidR="00EC25DE" w14:paraId="71E42BBA" w14:textId="77777777" w:rsidTr="00424906">
        <w:trPr>
          <w:trHeight w:val="708"/>
        </w:trPr>
        <w:tc>
          <w:tcPr>
            <w:tcW w:w="4573" w:type="dxa"/>
            <w:tcMar>
              <w:top w:w="170" w:type="dxa"/>
              <w:left w:w="113" w:type="dxa"/>
              <w:bottom w:w="170" w:type="dxa"/>
              <w:right w:w="113" w:type="dxa"/>
            </w:tcMar>
          </w:tcPr>
          <w:p w14:paraId="4B97BD1C" w14:textId="77777777" w:rsidR="00EC25DE" w:rsidRDefault="00EC25DE">
            <w:pPr>
              <w:pStyle w:val="TABLETEXT"/>
              <w:ind w:left="340" w:hanging="340"/>
            </w:pPr>
            <w:r>
              <w:t>2.6</w:t>
            </w:r>
            <w:r>
              <w:tab/>
              <w:t xml:space="preserve">Review and report on recommendations to introduce laws to improve consumers’ ‘right to repair’ options </w:t>
            </w:r>
          </w:p>
        </w:tc>
        <w:tc>
          <w:tcPr>
            <w:tcW w:w="1748" w:type="dxa"/>
            <w:gridSpan w:val="2"/>
            <w:tcMar>
              <w:top w:w="170" w:type="dxa"/>
              <w:left w:w="113" w:type="dxa"/>
              <w:bottom w:w="170" w:type="dxa"/>
              <w:right w:w="113" w:type="dxa"/>
            </w:tcMar>
          </w:tcPr>
          <w:p w14:paraId="173EC9D8" w14:textId="77777777" w:rsidR="00EC25DE" w:rsidRDefault="00EC25DE">
            <w:pPr>
              <w:pStyle w:val="TABLETEXT"/>
            </w:pPr>
            <w:r>
              <w:t>Australian Government</w:t>
            </w:r>
          </w:p>
        </w:tc>
        <w:tc>
          <w:tcPr>
            <w:tcW w:w="2070" w:type="dxa"/>
            <w:gridSpan w:val="2"/>
            <w:tcMar>
              <w:top w:w="170" w:type="dxa"/>
              <w:left w:w="113" w:type="dxa"/>
              <w:bottom w:w="170" w:type="dxa"/>
              <w:right w:w="113" w:type="dxa"/>
            </w:tcMar>
          </w:tcPr>
          <w:p w14:paraId="5ED221CF" w14:textId="77777777" w:rsidR="00EC25DE" w:rsidRDefault="00EC25DE">
            <w:pPr>
              <w:pStyle w:val="TABLETEXT"/>
            </w:pPr>
            <w:r>
              <w:t>State and territory governments</w:t>
            </w:r>
          </w:p>
          <w:p w14:paraId="3E67E0D6" w14:textId="77777777" w:rsidR="00EC25DE" w:rsidRDefault="00EC25DE">
            <w:pPr>
              <w:pStyle w:val="TABLETEXT"/>
            </w:pPr>
            <w:r>
              <w:t>Business sector</w:t>
            </w:r>
          </w:p>
        </w:tc>
        <w:tc>
          <w:tcPr>
            <w:tcW w:w="1020" w:type="dxa"/>
            <w:tcMar>
              <w:top w:w="170" w:type="dxa"/>
              <w:left w:w="113" w:type="dxa"/>
              <w:bottom w:w="170" w:type="dxa"/>
              <w:right w:w="113" w:type="dxa"/>
            </w:tcMar>
          </w:tcPr>
          <w:p w14:paraId="32293507" w14:textId="77777777" w:rsidR="00EC25DE" w:rsidRDefault="00EC25DE">
            <w:pPr>
              <w:pStyle w:val="TABLETEXT"/>
            </w:pPr>
            <w:r>
              <w:t>2021</w:t>
            </w:r>
          </w:p>
        </w:tc>
      </w:tr>
      <w:tr w:rsidR="00EC25DE" w14:paraId="684D4B0B" w14:textId="77777777" w:rsidTr="00424906">
        <w:trPr>
          <w:trHeight w:val="708"/>
        </w:trPr>
        <w:tc>
          <w:tcPr>
            <w:tcW w:w="4573" w:type="dxa"/>
            <w:tcMar>
              <w:top w:w="170" w:type="dxa"/>
              <w:left w:w="113" w:type="dxa"/>
              <w:bottom w:w="170" w:type="dxa"/>
              <w:right w:w="113" w:type="dxa"/>
            </w:tcMar>
          </w:tcPr>
          <w:p w14:paraId="596E64C5" w14:textId="77777777" w:rsidR="00EC25DE" w:rsidRDefault="00EC25DE">
            <w:pPr>
              <w:pStyle w:val="TABLETEXT"/>
              <w:ind w:left="340" w:hanging="340"/>
            </w:pPr>
            <w:r>
              <w:t xml:space="preserve">2.7 </w:t>
            </w:r>
            <w:r>
              <w:tab/>
              <w:t>Support community-based reuse and repair centres, enabling communities to avoid creating waste</w:t>
            </w:r>
          </w:p>
        </w:tc>
        <w:tc>
          <w:tcPr>
            <w:tcW w:w="1748" w:type="dxa"/>
            <w:gridSpan w:val="2"/>
            <w:tcMar>
              <w:top w:w="170" w:type="dxa"/>
              <w:left w:w="113" w:type="dxa"/>
              <w:bottom w:w="170" w:type="dxa"/>
              <w:right w:w="113" w:type="dxa"/>
            </w:tcMar>
          </w:tcPr>
          <w:p w14:paraId="7B1CD079" w14:textId="77777777" w:rsidR="00EC25DE" w:rsidRDefault="00EC25DE">
            <w:pPr>
              <w:pStyle w:val="TABLETEXT"/>
            </w:pPr>
            <w:r>
              <w:t>All governments</w:t>
            </w:r>
          </w:p>
        </w:tc>
        <w:tc>
          <w:tcPr>
            <w:tcW w:w="2070" w:type="dxa"/>
            <w:gridSpan w:val="2"/>
            <w:tcMar>
              <w:top w:w="170" w:type="dxa"/>
              <w:left w:w="113" w:type="dxa"/>
              <w:bottom w:w="170" w:type="dxa"/>
              <w:right w:w="113" w:type="dxa"/>
            </w:tcMar>
          </w:tcPr>
          <w:p w14:paraId="1B76BC47" w14:textId="77777777" w:rsidR="00EC25DE" w:rsidRDefault="00EC25DE">
            <w:pPr>
              <w:pStyle w:val="TABLETEXT"/>
            </w:pPr>
            <w:r>
              <w:t>NGOs</w:t>
            </w:r>
          </w:p>
        </w:tc>
        <w:tc>
          <w:tcPr>
            <w:tcW w:w="1020" w:type="dxa"/>
            <w:tcMar>
              <w:top w:w="170" w:type="dxa"/>
              <w:left w:w="113" w:type="dxa"/>
              <w:bottom w:w="170" w:type="dxa"/>
              <w:right w:w="113" w:type="dxa"/>
            </w:tcMar>
          </w:tcPr>
          <w:p w14:paraId="3521AF42" w14:textId="77777777" w:rsidR="00EC25DE" w:rsidRDefault="00EC25DE">
            <w:pPr>
              <w:pStyle w:val="TABLETEXT"/>
            </w:pPr>
            <w:r>
              <w:t>Ongoing</w:t>
            </w:r>
          </w:p>
        </w:tc>
      </w:tr>
    </w:tbl>
    <w:p w14:paraId="7844DD8D" w14:textId="77777777" w:rsidR="00EC25DE" w:rsidRDefault="00EC25DE" w:rsidP="00EC25DE">
      <w:pPr>
        <w:pStyle w:val="Text"/>
      </w:pPr>
    </w:p>
    <w:tbl>
      <w:tblPr>
        <w:tblW w:w="0" w:type="auto"/>
        <w:tblInd w:w="-8" w:type="dxa"/>
        <w:tblBorders>
          <w:top w:val="dotted" w:sz="8" w:space="0" w:color="414D59"/>
          <w:bottom w:val="dotted" w:sz="8" w:space="0" w:color="414D59"/>
          <w:insideH w:val="dotted" w:sz="8" w:space="0" w:color="414D59"/>
        </w:tblBorders>
        <w:tblLayout w:type="fixed"/>
        <w:tblCellMar>
          <w:left w:w="0" w:type="dxa"/>
          <w:right w:w="0" w:type="dxa"/>
        </w:tblCellMar>
        <w:tblLook w:val="0000" w:firstRow="0" w:lastRow="0" w:firstColumn="0" w:lastColumn="0" w:noHBand="0" w:noVBand="0"/>
      </w:tblPr>
      <w:tblGrid>
        <w:gridCol w:w="4535"/>
        <w:gridCol w:w="38"/>
        <w:gridCol w:w="1748"/>
        <w:gridCol w:w="2070"/>
        <w:gridCol w:w="1115"/>
        <w:gridCol w:w="37"/>
      </w:tblGrid>
      <w:tr w:rsidR="00EC25DE" w14:paraId="3060F0D7" w14:textId="77777777" w:rsidTr="00424906">
        <w:trPr>
          <w:trHeight w:val="22"/>
          <w:tblHeader/>
        </w:trPr>
        <w:tc>
          <w:tcPr>
            <w:tcW w:w="4535" w:type="dxa"/>
            <w:tcBorders>
              <w:bottom w:val="dotted" w:sz="8" w:space="0" w:color="414D59"/>
            </w:tcBorders>
            <w:shd w:val="solid" w:color="414D59" w:fill="auto"/>
            <w:tcMar>
              <w:top w:w="170" w:type="dxa"/>
              <w:left w:w="113" w:type="dxa"/>
              <w:bottom w:w="170" w:type="dxa"/>
              <w:right w:w="113" w:type="dxa"/>
            </w:tcMar>
          </w:tcPr>
          <w:p w14:paraId="04F47465" w14:textId="77777777" w:rsidR="00EC25DE" w:rsidRPr="00424906" w:rsidRDefault="00EC25DE">
            <w:pPr>
              <w:pStyle w:val="TABLETEXT"/>
              <w:ind w:left="425" w:hanging="425"/>
              <w:rPr>
                <w:color w:val="FFFFFF" w:themeColor="background1"/>
              </w:rPr>
            </w:pPr>
            <w:r w:rsidRPr="00424906">
              <w:rPr>
                <w:b/>
                <w:bCs/>
                <w:color w:val="FFFFFF" w:themeColor="background1"/>
                <w14:textOutline w14:w="9525" w14:cap="flat" w14:cmpd="sng" w14:algn="ctr">
                  <w14:noFill/>
                  <w14:prstDash w14:val="solid"/>
                  <w14:round/>
                </w14:textOutline>
              </w:rPr>
              <w:t>Action</w:t>
            </w:r>
          </w:p>
        </w:tc>
        <w:tc>
          <w:tcPr>
            <w:tcW w:w="1786" w:type="dxa"/>
            <w:gridSpan w:val="2"/>
            <w:tcBorders>
              <w:bottom w:val="dotted" w:sz="8" w:space="0" w:color="414D59"/>
            </w:tcBorders>
            <w:shd w:val="solid" w:color="414D59" w:fill="auto"/>
            <w:tcMar>
              <w:top w:w="170" w:type="dxa"/>
              <w:left w:w="113" w:type="dxa"/>
              <w:bottom w:w="170" w:type="dxa"/>
              <w:right w:w="0" w:type="dxa"/>
            </w:tcMar>
          </w:tcPr>
          <w:p w14:paraId="3121F812" w14:textId="77777777" w:rsidR="00EC25DE" w:rsidRPr="00424906" w:rsidRDefault="00EC25DE">
            <w:pPr>
              <w:pStyle w:val="TABLETEXT"/>
              <w:rPr>
                <w:color w:val="FFFFFF" w:themeColor="background1"/>
              </w:rPr>
            </w:pPr>
            <w:r w:rsidRPr="00424906">
              <w:rPr>
                <w:b/>
                <w:bCs/>
                <w:color w:val="FFFFFF" w:themeColor="background1"/>
                <w14:textOutline w14:w="9525" w14:cap="flat" w14:cmpd="sng" w14:algn="ctr">
                  <w14:noFill/>
                  <w14:prstDash w14:val="solid"/>
                  <w14:round/>
                </w14:textOutline>
              </w:rPr>
              <w:t>Lead</w:t>
            </w:r>
          </w:p>
        </w:tc>
        <w:tc>
          <w:tcPr>
            <w:tcW w:w="2070" w:type="dxa"/>
            <w:tcBorders>
              <w:bottom w:val="dotted" w:sz="8" w:space="0" w:color="414D59"/>
            </w:tcBorders>
            <w:shd w:val="solid" w:color="414D59" w:fill="auto"/>
            <w:tcMar>
              <w:top w:w="170" w:type="dxa"/>
              <w:left w:w="113" w:type="dxa"/>
              <w:bottom w:w="170" w:type="dxa"/>
              <w:right w:w="113" w:type="dxa"/>
            </w:tcMar>
          </w:tcPr>
          <w:p w14:paraId="7F3698E9" w14:textId="77777777" w:rsidR="00EC25DE" w:rsidRPr="00424906" w:rsidRDefault="00EC25DE">
            <w:pPr>
              <w:pStyle w:val="TABLETEXT"/>
              <w:rPr>
                <w:color w:val="FFFFFF" w:themeColor="background1"/>
              </w:rPr>
            </w:pPr>
            <w:r w:rsidRPr="00424906">
              <w:rPr>
                <w:b/>
                <w:bCs/>
                <w:color w:val="FFFFFF" w:themeColor="background1"/>
                <w14:textOutline w14:w="9525" w14:cap="flat" w14:cmpd="sng" w14:algn="ctr">
                  <w14:noFill/>
                  <w14:prstDash w14:val="solid"/>
                  <w14:round/>
                </w14:textOutline>
              </w:rPr>
              <w:t>Partners</w:t>
            </w:r>
          </w:p>
        </w:tc>
        <w:tc>
          <w:tcPr>
            <w:tcW w:w="1152" w:type="dxa"/>
            <w:gridSpan w:val="2"/>
            <w:tcBorders>
              <w:bottom w:val="dotted" w:sz="8" w:space="0" w:color="414D59"/>
            </w:tcBorders>
            <w:shd w:val="solid" w:color="414D59" w:fill="auto"/>
            <w:tcMar>
              <w:top w:w="170" w:type="dxa"/>
              <w:left w:w="113" w:type="dxa"/>
              <w:bottom w:w="170" w:type="dxa"/>
              <w:right w:w="113" w:type="dxa"/>
            </w:tcMar>
          </w:tcPr>
          <w:p w14:paraId="6C9522B2" w14:textId="77777777" w:rsidR="00EC25DE" w:rsidRPr="00424906" w:rsidRDefault="00EC25DE">
            <w:pPr>
              <w:pStyle w:val="TABLETEXT"/>
              <w:rPr>
                <w:color w:val="FFFFFF" w:themeColor="background1"/>
              </w:rPr>
            </w:pPr>
            <w:r w:rsidRPr="00424906">
              <w:rPr>
                <w:b/>
                <w:bCs/>
                <w:color w:val="FFFFFF" w:themeColor="background1"/>
                <w14:textOutline w14:w="9525" w14:cap="flat" w14:cmpd="sng" w14:algn="ctr">
                  <w14:noFill/>
                  <w14:prstDash w14:val="solid"/>
                  <w14:round/>
                </w14:textOutline>
              </w:rPr>
              <w:t>By</w:t>
            </w:r>
          </w:p>
        </w:tc>
      </w:tr>
      <w:tr w:rsidR="00EC25DE" w14:paraId="524E5967" w14:textId="77777777" w:rsidTr="00424906">
        <w:trPr>
          <w:trHeight w:val="127"/>
        </w:trPr>
        <w:tc>
          <w:tcPr>
            <w:tcW w:w="4535" w:type="dxa"/>
            <w:tcBorders>
              <w:bottom w:val="dotted" w:sz="8" w:space="0" w:color="414D59"/>
            </w:tcBorders>
            <w:shd w:val="clear" w:color="414D59" w:fill="7F7F7F" w:themeFill="text1" w:themeFillTint="80"/>
            <w:tcMar>
              <w:top w:w="170" w:type="dxa"/>
              <w:left w:w="113" w:type="dxa"/>
              <w:bottom w:w="170" w:type="dxa"/>
              <w:right w:w="113" w:type="dxa"/>
            </w:tcMar>
          </w:tcPr>
          <w:p w14:paraId="12042A6C" w14:textId="77777777" w:rsidR="00EC25DE" w:rsidRPr="00673CF5" w:rsidRDefault="00EC25DE">
            <w:pPr>
              <w:pStyle w:val="TABLETEXT"/>
              <w:ind w:left="425" w:hanging="425"/>
              <w:rPr>
                <w:color w:val="000000" w:themeColor="text1"/>
              </w:rPr>
            </w:pPr>
            <w:r w:rsidRPr="00673CF5">
              <w:rPr>
                <w:rStyle w:val="TextBold"/>
                <w:color w:val="000000" w:themeColor="text1"/>
                <w14:textOutline w14:w="9525" w14:cap="flat" w14:cmpd="sng" w14:algn="ctr">
                  <w14:noFill/>
                  <w14:prstDash w14:val="solid"/>
                  <w14:round/>
                </w14:textOutline>
              </w:rPr>
              <w:t>Design</w:t>
            </w:r>
          </w:p>
        </w:tc>
        <w:tc>
          <w:tcPr>
            <w:tcW w:w="1786" w:type="dxa"/>
            <w:gridSpan w:val="2"/>
            <w:tcBorders>
              <w:bottom w:val="dotted" w:sz="8" w:space="0" w:color="414D59"/>
            </w:tcBorders>
            <w:shd w:val="clear" w:color="414D59" w:fill="7F7F7F" w:themeFill="text1" w:themeFillTint="80"/>
            <w:tcMar>
              <w:top w:w="170" w:type="dxa"/>
              <w:left w:w="113" w:type="dxa"/>
              <w:bottom w:w="170" w:type="dxa"/>
              <w:right w:w="0" w:type="dxa"/>
            </w:tcMar>
          </w:tcPr>
          <w:p w14:paraId="44DC1B32"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2070" w:type="dxa"/>
            <w:tcBorders>
              <w:bottom w:val="dotted" w:sz="8" w:space="0" w:color="414D59"/>
            </w:tcBorders>
            <w:shd w:val="clear" w:color="414D59" w:fill="7F7F7F" w:themeFill="text1" w:themeFillTint="80"/>
            <w:tcMar>
              <w:top w:w="170" w:type="dxa"/>
              <w:left w:w="113" w:type="dxa"/>
              <w:bottom w:w="170" w:type="dxa"/>
              <w:right w:w="113" w:type="dxa"/>
            </w:tcMar>
          </w:tcPr>
          <w:p w14:paraId="4B0C1C37"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1152" w:type="dxa"/>
            <w:gridSpan w:val="2"/>
            <w:tcBorders>
              <w:bottom w:val="dotted" w:sz="8" w:space="0" w:color="414D59"/>
            </w:tcBorders>
            <w:shd w:val="clear" w:color="414D59" w:fill="7F7F7F" w:themeFill="text1" w:themeFillTint="80"/>
            <w:tcMar>
              <w:top w:w="170" w:type="dxa"/>
              <w:left w:w="113" w:type="dxa"/>
              <w:bottom w:w="170" w:type="dxa"/>
              <w:right w:w="113" w:type="dxa"/>
            </w:tcMar>
          </w:tcPr>
          <w:p w14:paraId="2AA335A9" w14:textId="77777777" w:rsidR="00EC25DE" w:rsidRPr="00424906" w:rsidRDefault="00EC25DE">
            <w:pPr>
              <w:pStyle w:val="NoParagraphStyle"/>
              <w:spacing w:line="240" w:lineRule="auto"/>
              <w:textAlignment w:val="auto"/>
              <w:rPr>
                <w:rFonts w:ascii="Calibri" w:hAnsi="Calibri" w:cs="Calibri"/>
                <w:color w:val="FFFFFF" w:themeColor="background1"/>
              </w:rPr>
            </w:pPr>
          </w:p>
        </w:tc>
      </w:tr>
      <w:tr w:rsidR="00EC25DE" w14:paraId="32A76A90" w14:textId="77777777" w:rsidTr="00424906">
        <w:trPr>
          <w:trHeight w:val="164"/>
        </w:trPr>
        <w:tc>
          <w:tcPr>
            <w:tcW w:w="4535" w:type="dxa"/>
            <w:shd w:val="clear" w:color="414D59" w:fill="A6A6A6" w:themeFill="background1" w:themeFillShade="A6"/>
            <w:tcMar>
              <w:top w:w="170" w:type="dxa"/>
              <w:left w:w="113" w:type="dxa"/>
              <w:bottom w:w="170" w:type="dxa"/>
              <w:right w:w="113" w:type="dxa"/>
            </w:tcMar>
          </w:tcPr>
          <w:p w14:paraId="22C8A96C" w14:textId="77777777" w:rsidR="00EC25DE" w:rsidRPr="00673CF5" w:rsidRDefault="00EC25DE">
            <w:pPr>
              <w:pStyle w:val="TABLETEXT"/>
              <w:ind w:left="425" w:hanging="425"/>
              <w:rPr>
                <w:color w:val="000000" w:themeColor="text1"/>
              </w:rPr>
            </w:pPr>
            <w:r w:rsidRPr="00673CF5">
              <w:rPr>
                <w:rStyle w:val="TextBold"/>
                <w:color w:val="000000" w:themeColor="text1"/>
              </w:rPr>
              <w:t>Encourage Innovation</w:t>
            </w:r>
          </w:p>
        </w:tc>
        <w:tc>
          <w:tcPr>
            <w:tcW w:w="1786" w:type="dxa"/>
            <w:gridSpan w:val="2"/>
            <w:shd w:val="clear" w:color="414D59" w:fill="A6A6A6" w:themeFill="background1" w:themeFillShade="A6"/>
            <w:tcMar>
              <w:top w:w="170" w:type="dxa"/>
              <w:left w:w="113" w:type="dxa"/>
              <w:bottom w:w="170" w:type="dxa"/>
              <w:right w:w="0" w:type="dxa"/>
            </w:tcMar>
          </w:tcPr>
          <w:p w14:paraId="07186862"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2070" w:type="dxa"/>
            <w:shd w:val="clear" w:color="414D59" w:fill="A6A6A6" w:themeFill="background1" w:themeFillShade="A6"/>
            <w:tcMar>
              <w:top w:w="170" w:type="dxa"/>
              <w:left w:w="113" w:type="dxa"/>
              <w:bottom w:w="170" w:type="dxa"/>
              <w:right w:w="113" w:type="dxa"/>
            </w:tcMar>
          </w:tcPr>
          <w:p w14:paraId="4E692A67"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1152" w:type="dxa"/>
            <w:gridSpan w:val="2"/>
            <w:shd w:val="clear" w:color="414D59" w:fill="A6A6A6" w:themeFill="background1" w:themeFillShade="A6"/>
            <w:tcMar>
              <w:top w:w="170" w:type="dxa"/>
              <w:left w:w="113" w:type="dxa"/>
              <w:bottom w:w="170" w:type="dxa"/>
              <w:right w:w="113" w:type="dxa"/>
            </w:tcMar>
          </w:tcPr>
          <w:p w14:paraId="338C911A" w14:textId="77777777" w:rsidR="00EC25DE" w:rsidRPr="00424906" w:rsidRDefault="00EC25DE">
            <w:pPr>
              <w:pStyle w:val="NoParagraphStyle"/>
              <w:spacing w:line="240" w:lineRule="auto"/>
              <w:textAlignment w:val="auto"/>
              <w:rPr>
                <w:rFonts w:ascii="Calibri" w:hAnsi="Calibri" w:cs="Calibri"/>
                <w:color w:val="FFFFFF" w:themeColor="background1"/>
              </w:rPr>
            </w:pPr>
          </w:p>
        </w:tc>
      </w:tr>
      <w:tr w:rsidR="00EC25DE" w14:paraId="574ECDBD" w14:textId="77777777" w:rsidTr="00424906">
        <w:trPr>
          <w:trHeight w:val="673"/>
        </w:trPr>
        <w:tc>
          <w:tcPr>
            <w:tcW w:w="4535" w:type="dxa"/>
            <w:tcMar>
              <w:top w:w="170" w:type="dxa"/>
              <w:left w:w="113" w:type="dxa"/>
              <w:bottom w:w="170" w:type="dxa"/>
              <w:right w:w="113" w:type="dxa"/>
            </w:tcMar>
          </w:tcPr>
          <w:p w14:paraId="5BAFE12A" w14:textId="77777777" w:rsidR="00EC25DE" w:rsidRDefault="00EC25DE">
            <w:pPr>
              <w:pStyle w:val="TABLETEXT"/>
              <w:ind w:left="425" w:hanging="425"/>
            </w:pPr>
            <w:r>
              <w:t xml:space="preserve">2.8 </w:t>
            </w:r>
            <w:r>
              <w:tab/>
              <w:t>Give greater public recognition to businesses that are promoting sustainable packaging design through design awards</w:t>
            </w:r>
          </w:p>
        </w:tc>
        <w:tc>
          <w:tcPr>
            <w:tcW w:w="1786" w:type="dxa"/>
            <w:gridSpan w:val="2"/>
            <w:tcMar>
              <w:top w:w="170" w:type="dxa"/>
              <w:left w:w="113" w:type="dxa"/>
              <w:bottom w:w="170" w:type="dxa"/>
              <w:right w:w="0" w:type="dxa"/>
            </w:tcMar>
          </w:tcPr>
          <w:p w14:paraId="055DF3B5" w14:textId="77777777" w:rsidR="00EC25DE" w:rsidRDefault="00EC25DE">
            <w:pPr>
              <w:pStyle w:val="TABLETEXT"/>
            </w:pPr>
            <w:r>
              <w:t>Australian Packaging Covenant Organisation</w:t>
            </w:r>
          </w:p>
        </w:tc>
        <w:tc>
          <w:tcPr>
            <w:tcW w:w="2070" w:type="dxa"/>
            <w:tcMar>
              <w:top w:w="170" w:type="dxa"/>
              <w:left w:w="113" w:type="dxa"/>
              <w:bottom w:w="170" w:type="dxa"/>
              <w:right w:w="113" w:type="dxa"/>
            </w:tcMar>
          </w:tcPr>
          <w:p w14:paraId="005B2C5E" w14:textId="77777777" w:rsidR="00EC25DE" w:rsidRDefault="00EC25DE">
            <w:pPr>
              <w:pStyle w:val="TABLETEXT"/>
            </w:pPr>
            <w:r>
              <w:t>All governments</w:t>
            </w:r>
          </w:p>
        </w:tc>
        <w:tc>
          <w:tcPr>
            <w:tcW w:w="1152" w:type="dxa"/>
            <w:gridSpan w:val="2"/>
            <w:tcMar>
              <w:top w:w="170" w:type="dxa"/>
              <w:left w:w="113" w:type="dxa"/>
              <w:bottom w:w="170" w:type="dxa"/>
              <w:right w:w="113" w:type="dxa"/>
            </w:tcMar>
          </w:tcPr>
          <w:p w14:paraId="44C1BBCF" w14:textId="77777777" w:rsidR="00EC25DE" w:rsidRDefault="00EC25DE">
            <w:pPr>
              <w:pStyle w:val="TABLETEXT"/>
            </w:pPr>
            <w:r>
              <w:t>Ongoing</w:t>
            </w:r>
          </w:p>
        </w:tc>
      </w:tr>
      <w:tr w:rsidR="00EC25DE" w14:paraId="7C74877B" w14:textId="77777777" w:rsidTr="00424906">
        <w:trPr>
          <w:trHeight w:val="591"/>
        </w:trPr>
        <w:tc>
          <w:tcPr>
            <w:tcW w:w="4535" w:type="dxa"/>
            <w:tcMar>
              <w:top w:w="170" w:type="dxa"/>
              <w:left w:w="113" w:type="dxa"/>
              <w:bottom w:w="170" w:type="dxa"/>
              <w:right w:w="113" w:type="dxa"/>
            </w:tcMar>
          </w:tcPr>
          <w:p w14:paraId="0537B636" w14:textId="77777777" w:rsidR="00EC25DE" w:rsidRDefault="00EC25DE">
            <w:pPr>
              <w:pStyle w:val="TABLETEXT"/>
              <w:ind w:left="425" w:hanging="425"/>
            </w:pPr>
            <w:r>
              <w:t>2.9</w:t>
            </w:r>
            <w:r>
              <w:tab/>
              <w:t>Deliver the industry-led target of 100% of all Australia’s packaging being reusable, recyclable or compostable</w:t>
            </w:r>
          </w:p>
        </w:tc>
        <w:tc>
          <w:tcPr>
            <w:tcW w:w="1786" w:type="dxa"/>
            <w:gridSpan w:val="2"/>
            <w:tcMar>
              <w:top w:w="170" w:type="dxa"/>
              <w:left w:w="113" w:type="dxa"/>
              <w:bottom w:w="170" w:type="dxa"/>
              <w:right w:w="0" w:type="dxa"/>
            </w:tcMar>
          </w:tcPr>
          <w:p w14:paraId="4555F455" w14:textId="77777777" w:rsidR="00EC25DE" w:rsidRDefault="00EC25DE">
            <w:pPr>
              <w:pStyle w:val="TABLETEXT"/>
            </w:pPr>
            <w:r>
              <w:t>Australian Packaging Covenant Organisation</w:t>
            </w:r>
          </w:p>
        </w:tc>
        <w:tc>
          <w:tcPr>
            <w:tcW w:w="2070" w:type="dxa"/>
            <w:tcMar>
              <w:top w:w="170" w:type="dxa"/>
              <w:left w:w="113" w:type="dxa"/>
              <w:bottom w:w="170" w:type="dxa"/>
              <w:right w:w="113" w:type="dxa"/>
            </w:tcMar>
          </w:tcPr>
          <w:p w14:paraId="0D8B3BFF" w14:textId="77777777" w:rsidR="00EC25DE" w:rsidRDefault="00EC25DE">
            <w:pPr>
              <w:pStyle w:val="TABLETEXT"/>
            </w:pPr>
            <w:r>
              <w:t>All governments</w:t>
            </w:r>
          </w:p>
        </w:tc>
        <w:tc>
          <w:tcPr>
            <w:tcW w:w="1152" w:type="dxa"/>
            <w:gridSpan w:val="2"/>
            <w:tcMar>
              <w:top w:w="170" w:type="dxa"/>
              <w:left w:w="113" w:type="dxa"/>
              <w:bottom w:w="170" w:type="dxa"/>
              <w:right w:w="113" w:type="dxa"/>
            </w:tcMar>
          </w:tcPr>
          <w:p w14:paraId="31895451" w14:textId="77777777" w:rsidR="00EC25DE" w:rsidRDefault="00EC25DE">
            <w:pPr>
              <w:pStyle w:val="TABLETEXT"/>
            </w:pPr>
            <w:r>
              <w:t>2025</w:t>
            </w:r>
          </w:p>
        </w:tc>
      </w:tr>
      <w:tr w:rsidR="00EC25DE" w14:paraId="40D19265" w14:textId="77777777" w:rsidTr="00424906">
        <w:trPr>
          <w:trHeight w:val="591"/>
        </w:trPr>
        <w:tc>
          <w:tcPr>
            <w:tcW w:w="4535" w:type="dxa"/>
            <w:tcBorders>
              <w:bottom w:val="dotted" w:sz="8" w:space="0" w:color="414D59"/>
            </w:tcBorders>
            <w:tcMar>
              <w:top w:w="170" w:type="dxa"/>
              <w:left w:w="113" w:type="dxa"/>
              <w:bottom w:w="170" w:type="dxa"/>
              <w:right w:w="113" w:type="dxa"/>
            </w:tcMar>
          </w:tcPr>
          <w:p w14:paraId="1D7E74A5" w14:textId="77777777" w:rsidR="00EC25DE" w:rsidRDefault="00EC25DE">
            <w:pPr>
              <w:pStyle w:val="TABLETEXT"/>
              <w:ind w:left="425" w:hanging="425"/>
            </w:pPr>
            <w:r>
              <w:t xml:space="preserve">2.10 </w:t>
            </w:r>
            <w:r>
              <w:tab/>
              <w:t>Deliver a Cooperative Research Centres Projects (CRC-P) round with priority funding for new and innovative solutions to plastic recycling and plastic waste reduction</w:t>
            </w:r>
          </w:p>
        </w:tc>
        <w:tc>
          <w:tcPr>
            <w:tcW w:w="1786" w:type="dxa"/>
            <w:gridSpan w:val="2"/>
            <w:tcBorders>
              <w:bottom w:val="dotted" w:sz="8" w:space="0" w:color="414D59"/>
            </w:tcBorders>
            <w:tcMar>
              <w:top w:w="170" w:type="dxa"/>
              <w:left w:w="113" w:type="dxa"/>
              <w:bottom w:w="170" w:type="dxa"/>
              <w:right w:w="0" w:type="dxa"/>
            </w:tcMar>
          </w:tcPr>
          <w:p w14:paraId="174D9444" w14:textId="77777777" w:rsidR="00EC25DE" w:rsidRDefault="00EC25DE">
            <w:pPr>
              <w:pStyle w:val="TABLETEXT"/>
            </w:pPr>
            <w:r>
              <w:t>Australian Government</w:t>
            </w:r>
          </w:p>
        </w:tc>
        <w:tc>
          <w:tcPr>
            <w:tcW w:w="2070" w:type="dxa"/>
            <w:tcBorders>
              <w:bottom w:val="dotted" w:sz="8" w:space="0" w:color="414D59"/>
            </w:tcBorders>
            <w:tcMar>
              <w:top w:w="170" w:type="dxa"/>
              <w:left w:w="113" w:type="dxa"/>
              <w:bottom w:w="170" w:type="dxa"/>
              <w:right w:w="113" w:type="dxa"/>
            </w:tcMar>
          </w:tcPr>
          <w:p w14:paraId="163DC2A2" w14:textId="77777777" w:rsidR="00EC25DE" w:rsidRDefault="00EC25DE">
            <w:pPr>
              <w:pStyle w:val="TABLETEXT"/>
            </w:pPr>
            <w:r>
              <w:t>Business and Research sectors</w:t>
            </w:r>
          </w:p>
        </w:tc>
        <w:tc>
          <w:tcPr>
            <w:tcW w:w="1152" w:type="dxa"/>
            <w:gridSpan w:val="2"/>
            <w:tcBorders>
              <w:bottom w:val="dotted" w:sz="8" w:space="0" w:color="414D59"/>
            </w:tcBorders>
            <w:tcMar>
              <w:top w:w="170" w:type="dxa"/>
              <w:left w:w="113" w:type="dxa"/>
              <w:bottom w:w="170" w:type="dxa"/>
              <w:right w:w="113" w:type="dxa"/>
            </w:tcMar>
          </w:tcPr>
          <w:p w14:paraId="5A6070BB" w14:textId="77777777" w:rsidR="00EC25DE" w:rsidRDefault="00EC25DE">
            <w:pPr>
              <w:pStyle w:val="TABLETEXT"/>
            </w:pPr>
            <w:r>
              <w:t>2020</w:t>
            </w:r>
          </w:p>
        </w:tc>
      </w:tr>
      <w:tr w:rsidR="00EC25DE" w14:paraId="29829D09" w14:textId="77777777" w:rsidTr="00424906">
        <w:trPr>
          <w:trHeight w:val="60"/>
        </w:trPr>
        <w:tc>
          <w:tcPr>
            <w:tcW w:w="4535" w:type="dxa"/>
            <w:shd w:val="clear" w:color="414D59" w:fill="A6A6A6" w:themeFill="background1" w:themeFillShade="A6"/>
            <w:tcMar>
              <w:top w:w="170" w:type="dxa"/>
              <w:left w:w="113" w:type="dxa"/>
              <w:bottom w:w="170" w:type="dxa"/>
              <w:right w:w="113" w:type="dxa"/>
            </w:tcMar>
          </w:tcPr>
          <w:p w14:paraId="42EA0C13" w14:textId="77777777" w:rsidR="00EC25DE" w:rsidRPr="00424906" w:rsidRDefault="00EC25DE">
            <w:pPr>
              <w:pStyle w:val="TABLETEXT"/>
              <w:ind w:left="425" w:hanging="425"/>
              <w:rPr>
                <w:color w:val="FFFFFF" w:themeColor="background1"/>
              </w:rPr>
            </w:pPr>
            <w:r w:rsidRPr="00673CF5">
              <w:rPr>
                <w:rStyle w:val="TextBold"/>
                <w:color w:val="000000" w:themeColor="text1"/>
              </w:rPr>
              <w:t>Encourage Sustainable Design</w:t>
            </w:r>
          </w:p>
        </w:tc>
        <w:tc>
          <w:tcPr>
            <w:tcW w:w="1786" w:type="dxa"/>
            <w:gridSpan w:val="2"/>
            <w:shd w:val="clear" w:color="414D59" w:fill="A6A6A6" w:themeFill="background1" w:themeFillShade="A6"/>
            <w:tcMar>
              <w:top w:w="170" w:type="dxa"/>
              <w:left w:w="113" w:type="dxa"/>
              <w:bottom w:w="170" w:type="dxa"/>
              <w:right w:w="0" w:type="dxa"/>
            </w:tcMar>
          </w:tcPr>
          <w:p w14:paraId="27DE1783" w14:textId="77777777" w:rsidR="00EC25DE" w:rsidRDefault="00EC25DE">
            <w:pPr>
              <w:pStyle w:val="NoParagraphStyle"/>
              <w:spacing w:line="240" w:lineRule="auto"/>
              <w:textAlignment w:val="auto"/>
              <w:rPr>
                <w:rFonts w:ascii="Calibri" w:hAnsi="Calibri" w:cs="Calibri"/>
                <w:color w:val="auto"/>
              </w:rPr>
            </w:pPr>
          </w:p>
        </w:tc>
        <w:tc>
          <w:tcPr>
            <w:tcW w:w="2070" w:type="dxa"/>
            <w:shd w:val="clear" w:color="414D59" w:fill="A6A6A6" w:themeFill="background1" w:themeFillShade="A6"/>
            <w:tcMar>
              <w:top w:w="170" w:type="dxa"/>
              <w:left w:w="113" w:type="dxa"/>
              <w:bottom w:w="170" w:type="dxa"/>
              <w:right w:w="113" w:type="dxa"/>
            </w:tcMar>
          </w:tcPr>
          <w:p w14:paraId="0E38B191" w14:textId="77777777" w:rsidR="00EC25DE" w:rsidRDefault="00EC25DE">
            <w:pPr>
              <w:pStyle w:val="NoParagraphStyle"/>
              <w:spacing w:line="240" w:lineRule="auto"/>
              <w:textAlignment w:val="auto"/>
              <w:rPr>
                <w:rFonts w:ascii="Calibri" w:hAnsi="Calibri" w:cs="Calibri"/>
                <w:color w:val="auto"/>
              </w:rPr>
            </w:pPr>
          </w:p>
        </w:tc>
        <w:tc>
          <w:tcPr>
            <w:tcW w:w="1152" w:type="dxa"/>
            <w:gridSpan w:val="2"/>
            <w:shd w:val="clear" w:color="414D59" w:fill="A6A6A6" w:themeFill="background1" w:themeFillShade="A6"/>
            <w:tcMar>
              <w:top w:w="170" w:type="dxa"/>
              <w:left w:w="113" w:type="dxa"/>
              <w:bottom w:w="170" w:type="dxa"/>
              <w:right w:w="113" w:type="dxa"/>
            </w:tcMar>
          </w:tcPr>
          <w:p w14:paraId="3000CB43" w14:textId="77777777" w:rsidR="00EC25DE" w:rsidRDefault="00EC25DE">
            <w:pPr>
              <w:pStyle w:val="NoParagraphStyle"/>
              <w:spacing w:line="240" w:lineRule="auto"/>
              <w:textAlignment w:val="auto"/>
              <w:rPr>
                <w:rFonts w:ascii="Calibri" w:hAnsi="Calibri" w:cs="Calibri"/>
                <w:color w:val="auto"/>
              </w:rPr>
            </w:pPr>
          </w:p>
        </w:tc>
      </w:tr>
      <w:tr w:rsidR="00EC25DE" w14:paraId="21A56044" w14:textId="77777777" w:rsidTr="00424906">
        <w:trPr>
          <w:trHeight w:val="591"/>
        </w:trPr>
        <w:tc>
          <w:tcPr>
            <w:tcW w:w="4535" w:type="dxa"/>
            <w:tcMar>
              <w:top w:w="170" w:type="dxa"/>
              <w:left w:w="113" w:type="dxa"/>
              <w:bottom w:w="170" w:type="dxa"/>
              <w:right w:w="113" w:type="dxa"/>
            </w:tcMar>
          </w:tcPr>
          <w:p w14:paraId="12CF37FE" w14:textId="77777777" w:rsidR="00EC25DE" w:rsidRDefault="00EC25DE">
            <w:pPr>
              <w:pStyle w:val="TABLETEXT"/>
              <w:ind w:left="425" w:hanging="425"/>
            </w:pPr>
            <w:r>
              <w:t xml:space="preserve">2.11 </w:t>
            </w:r>
            <w:r>
              <w:tab/>
              <w:t xml:space="preserve">Develop Australian standards or adopt appropriate international standards that maximise the value of </w:t>
            </w:r>
            <w:r>
              <w:lastRenderedPageBreak/>
              <w:t>materials throughout the life of a product, to increase life cycle potential and avoid waste</w:t>
            </w:r>
          </w:p>
        </w:tc>
        <w:tc>
          <w:tcPr>
            <w:tcW w:w="1786" w:type="dxa"/>
            <w:gridSpan w:val="2"/>
            <w:tcMar>
              <w:top w:w="170" w:type="dxa"/>
              <w:left w:w="113" w:type="dxa"/>
              <w:bottom w:w="170" w:type="dxa"/>
              <w:right w:w="0" w:type="dxa"/>
            </w:tcMar>
          </w:tcPr>
          <w:p w14:paraId="32A3B6F5" w14:textId="77777777" w:rsidR="00EC25DE" w:rsidRDefault="00EC25DE">
            <w:pPr>
              <w:pStyle w:val="TABLETEXT"/>
            </w:pPr>
            <w:r>
              <w:lastRenderedPageBreak/>
              <w:t xml:space="preserve">Business sector </w:t>
            </w:r>
          </w:p>
        </w:tc>
        <w:tc>
          <w:tcPr>
            <w:tcW w:w="2070" w:type="dxa"/>
            <w:tcMar>
              <w:top w:w="170" w:type="dxa"/>
              <w:left w:w="113" w:type="dxa"/>
              <w:bottom w:w="170" w:type="dxa"/>
              <w:right w:w="113" w:type="dxa"/>
            </w:tcMar>
          </w:tcPr>
          <w:p w14:paraId="4DAEAADF" w14:textId="77777777" w:rsidR="00EC25DE" w:rsidRDefault="00EC25DE">
            <w:pPr>
              <w:pStyle w:val="TABLETEXT"/>
            </w:pPr>
            <w:r>
              <w:t xml:space="preserve">All governments </w:t>
            </w:r>
          </w:p>
        </w:tc>
        <w:tc>
          <w:tcPr>
            <w:tcW w:w="1152" w:type="dxa"/>
            <w:gridSpan w:val="2"/>
            <w:tcMar>
              <w:top w:w="170" w:type="dxa"/>
              <w:left w:w="113" w:type="dxa"/>
              <w:bottom w:w="170" w:type="dxa"/>
              <w:right w:w="113" w:type="dxa"/>
            </w:tcMar>
          </w:tcPr>
          <w:p w14:paraId="40DE0CFF" w14:textId="77777777" w:rsidR="00EC25DE" w:rsidRDefault="00EC25DE">
            <w:pPr>
              <w:pStyle w:val="TABLETEXT"/>
            </w:pPr>
            <w:r>
              <w:t>2021</w:t>
            </w:r>
          </w:p>
        </w:tc>
      </w:tr>
      <w:tr w:rsidR="00EC25DE" w14:paraId="1AFD4013" w14:textId="77777777" w:rsidTr="00424906">
        <w:trPr>
          <w:trHeight w:val="591"/>
        </w:trPr>
        <w:tc>
          <w:tcPr>
            <w:tcW w:w="4535" w:type="dxa"/>
            <w:tcMar>
              <w:top w:w="170" w:type="dxa"/>
              <w:left w:w="113" w:type="dxa"/>
              <w:bottom w:w="170" w:type="dxa"/>
              <w:right w:w="113" w:type="dxa"/>
            </w:tcMar>
          </w:tcPr>
          <w:p w14:paraId="606ACB12" w14:textId="77777777" w:rsidR="00EC25DE" w:rsidRDefault="00EC25DE">
            <w:pPr>
              <w:pStyle w:val="TABLETEXT"/>
              <w:ind w:left="425" w:hanging="425"/>
            </w:pPr>
            <w:r>
              <w:t xml:space="preserve">2.12 </w:t>
            </w:r>
            <w:r>
              <w:tab/>
              <w:t xml:space="preserve">Support and promote circular economy principles in urban planning, infrastructure and development projects </w:t>
            </w:r>
          </w:p>
        </w:tc>
        <w:tc>
          <w:tcPr>
            <w:tcW w:w="1786" w:type="dxa"/>
            <w:gridSpan w:val="2"/>
            <w:tcMar>
              <w:top w:w="170" w:type="dxa"/>
              <w:left w:w="113" w:type="dxa"/>
              <w:bottom w:w="170" w:type="dxa"/>
              <w:right w:w="0" w:type="dxa"/>
            </w:tcMar>
          </w:tcPr>
          <w:p w14:paraId="7BFD5E7B" w14:textId="77777777" w:rsidR="00EC25DE" w:rsidRDefault="00EC25DE">
            <w:pPr>
              <w:pStyle w:val="TABLETEXT"/>
            </w:pPr>
            <w:r>
              <w:t>All governments</w:t>
            </w:r>
          </w:p>
        </w:tc>
        <w:tc>
          <w:tcPr>
            <w:tcW w:w="2070" w:type="dxa"/>
            <w:tcMar>
              <w:top w:w="170" w:type="dxa"/>
              <w:left w:w="113" w:type="dxa"/>
              <w:bottom w:w="170" w:type="dxa"/>
              <w:right w:w="113" w:type="dxa"/>
            </w:tcMar>
          </w:tcPr>
          <w:p w14:paraId="421E98EF" w14:textId="77777777" w:rsidR="00EC25DE" w:rsidRDefault="00EC25DE">
            <w:pPr>
              <w:pStyle w:val="TABLETEXT"/>
            </w:pPr>
            <w:r>
              <w:t>Business sector</w:t>
            </w:r>
          </w:p>
        </w:tc>
        <w:tc>
          <w:tcPr>
            <w:tcW w:w="1152" w:type="dxa"/>
            <w:gridSpan w:val="2"/>
            <w:tcMar>
              <w:top w:w="170" w:type="dxa"/>
              <w:left w:w="113" w:type="dxa"/>
              <w:bottom w:w="170" w:type="dxa"/>
              <w:right w:w="113" w:type="dxa"/>
            </w:tcMar>
          </w:tcPr>
          <w:p w14:paraId="2ADDD33B" w14:textId="77777777" w:rsidR="00EC25DE" w:rsidRDefault="00EC25DE">
            <w:pPr>
              <w:pStyle w:val="TABLETEXT"/>
            </w:pPr>
            <w:r>
              <w:t>Ongoing</w:t>
            </w:r>
          </w:p>
        </w:tc>
      </w:tr>
      <w:tr w:rsidR="00EC25DE" w14:paraId="3E001F54" w14:textId="77777777" w:rsidTr="00424906">
        <w:trPr>
          <w:gridAfter w:val="1"/>
          <w:wAfter w:w="37" w:type="dxa"/>
          <w:trHeight w:val="248"/>
        </w:trPr>
        <w:tc>
          <w:tcPr>
            <w:tcW w:w="8391" w:type="dxa"/>
            <w:gridSpan w:val="4"/>
            <w:shd w:val="clear" w:color="414D59" w:fill="7F7F7F" w:themeFill="text1" w:themeFillTint="80"/>
            <w:tcMar>
              <w:top w:w="170" w:type="dxa"/>
              <w:left w:w="113" w:type="dxa"/>
              <w:bottom w:w="170" w:type="dxa"/>
              <w:right w:w="113" w:type="dxa"/>
            </w:tcMar>
          </w:tcPr>
          <w:p w14:paraId="35D529BA" w14:textId="77777777" w:rsidR="00EC25DE" w:rsidRPr="00673CF5" w:rsidRDefault="00EC25DE">
            <w:pPr>
              <w:pStyle w:val="TABLETEXT"/>
              <w:ind w:left="425" w:hanging="425"/>
              <w:rPr>
                <w:color w:val="000000" w:themeColor="text1"/>
              </w:rPr>
            </w:pPr>
            <w:r w:rsidRPr="00673CF5">
              <w:rPr>
                <w:rStyle w:val="TextBold"/>
                <w:color w:val="000000" w:themeColor="text1"/>
                <w14:textOutline w14:w="9525" w14:cap="flat" w14:cmpd="sng" w14:algn="ctr">
                  <w14:noFill/>
                  <w14:prstDash w14:val="solid"/>
                  <w14:round/>
                </w14:textOutline>
              </w:rPr>
              <w:t>Knowledge sharing, education and behaviour change</w:t>
            </w:r>
          </w:p>
        </w:tc>
        <w:tc>
          <w:tcPr>
            <w:tcW w:w="1115" w:type="dxa"/>
            <w:shd w:val="clear" w:color="414D59" w:fill="7F7F7F" w:themeFill="text1" w:themeFillTint="80"/>
            <w:tcMar>
              <w:top w:w="170" w:type="dxa"/>
              <w:left w:w="113" w:type="dxa"/>
              <w:bottom w:w="170" w:type="dxa"/>
              <w:right w:w="113" w:type="dxa"/>
            </w:tcMar>
          </w:tcPr>
          <w:p w14:paraId="4DAE97BD" w14:textId="77777777" w:rsidR="00EC25DE" w:rsidRPr="00424906" w:rsidRDefault="00EC25DE">
            <w:pPr>
              <w:pStyle w:val="NoParagraphStyle"/>
              <w:spacing w:line="240" w:lineRule="auto"/>
              <w:textAlignment w:val="auto"/>
              <w:rPr>
                <w:rFonts w:ascii="Calibri" w:hAnsi="Calibri" w:cs="Calibri"/>
                <w:color w:val="FFFFFF" w:themeColor="background1"/>
              </w:rPr>
            </w:pPr>
          </w:p>
        </w:tc>
      </w:tr>
      <w:tr w:rsidR="00EC25DE" w14:paraId="50EC02C1" w14:textId="77777777" w:rsidTr="00424906">
        <w:trPr>
          <w:gridAfter w:val="1"/>
          <w:wAfter w:w="37" w:type="dxa"/>
          <w:trHeight w:val="158"/>
        </w:trPr>
        <w:tc>
          <w:tcPr>
            <w:tcW w:w="4573" w:type="dxa"/>
            <w:gridSpan w:val="2"/>
            <w:shd w:val="clear" w:color="414D59" w:fill="A6A6A6" w:themeFill="background1" w:themeFillShade="A6"/>
            <w:tcMar>
              <w:top w:w="170" w:type="dxa"/>
              <w:left w:w="113" w:type="dxa"/>
              <w:bottom w:w="170" w:type="dxa"/>
              <w:right w:w="113" w:type="dxa"/>
            </w:tcMar>
          </w:tcPr>
          <w:p w14:paraId="25BEA20C" w14:textId="77777777" w:rsidR="00EC25DE" w:rsidRPr="00673CF5" w:rsidRDefault="00EC25DE">
            <w:pPr>
              <w:pStyle w:val="TABLETEXT"/>
              <w:ind w:left="425" w:hanging="425"/>
              <w:rPr>
                <w:color w:val="000000" w:themeColor="text1"/>
              </w:rPr>
            </w:pPr>
            <w:r w:rsidRPr="00673CF5">
              <w:rPr>
                <w:rStyle w:val="TextBold"/>
                <w:color w:val="000000" w:themeColor="text1"/>
              </w:rPr>
              <w:t>Improve consumer awareness</w:t>
            </w:r>
          </w:p>
        </w:tc>
        <w:tc>
          <w:tcPr>
            <w:tcW w:w="1748" w:type="dxa"/>
            <w:shd w:val="clear" w:color="414D59" w:fill="A6A6A6" w:themeFill="background1" w:themeFillShade="A6"/>
            <w:tcMar>
              <w:top w:w="170" w:type="dxa"/>
              <w:left w:w="113" w:type="dxa"/>
              <w:bottom w:w="170" w:type="dxa"/>
              <w:right w:w="113" w:type="dxa"/>
            </w:tcMar>
          </w:tcPr>
          <w:p w14:paraId="1D5B799B"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2070" w:type="dxa"/>
            <w:shd w:val="clear" w:color="414D59" w:fill="A6A6A6" w:themeFill="background1" w:themeFillShade="A6"/>
            <w:tcMar>
              <w:top w:w="170" w:type="dxa"/>
              <w:left w:w="113" w:type="dxa"/>
              <w:bottom w:w="170" w:type="dxa"/>
              <w:right w:w="113" w:type="dxa"/>
            </w:tcMar>
          </w:tcPr>
          <w:p w14:paraId="59550194"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1115" w:type="dxa"/>
            <w:shd w:val="clear" w:color="414D59" w:fill="A6A6A6" w:themeFill="background1" w:themeFillShade="A6"/>
            <w:tcMar>
              <w:top w:w="170" w:type="dxa"/>
              <w:left w:w="113" w:type="dxa"/>
              <w:bottom w:w="170" w:type="dxa"/>
              <w:right w:w="113" w:type="dxa"/>
            </w:tcMar>
          </w:tcPr>
          <w:p w14:paraId="2D2A758A" w14:textId="77777777" w:rsidR="00EC25DE" w:rsidRPr="00424906" w:rsidRDefault="00EC25DE">
            <w:pPr>
              <w:pStyle w:val="NoParagraphStyle"/>
              <w:spacing w:line="240" w:lineRule="auto"/>
              <w:textAlignment w:val="auto"/>
              <w:rPr>
                <w:rFonts w:ascii="Calibri" w:hAnsi="Calibri" w:cs="Calibri"/>
                <w:color w:val="FFFFFF" w:themeColor="background1"/>
              </w:rPr>
            </w:pPr>
          </w:p>
        </w:tc>
      </w:tr>
      <w:tr w:rsidR="00EC25DE" w14:paraId="761355A1" w14:textId="77777777" w:rsidTr="00424906">
        <w:trPr>
          <w:gridAfter w:val="1"/>
          <w:wAfter w:w="37" w:type="dxa"/>
          <w:trHeight w:val="839"/>
        </w:trPr>
        <w:tc>
          <w:tcPr>
            <w:tcW w:w="4573" w:type="dxa"/>
            <w:gridSpan w:val="2"/>
            <w:tcMar>
              <w:top w:w="170" w:type="dxa"/>
              <w:left w:w="113" w:type="dxa"/>
              <w:bottom w:w="170" w:type="dxa"/>
              <w:right w:w="113" w:type="dxa"/>
            </w:tcMar>
          </w:tcPr>
          <w:p w14:paraId="093274DE" w14:textId="77777777" w:rsidR="00EC25DE" w:rsidRDefault="00EC25DE">
            <w:pPr>
              <w:pStyle w:val="TABLETEXT"/>
              <w:ind w:left="425" w:hanging="425"/>
            </w:pPr>
            <w:r>
              <w:t>2.13</w:t>
            </w:r>
            <w:r>
              <w:tab/>
              <w:t>Align community education efforts to reduce food waste, to maximise impact and reduce confusion</w:t>
            </w:r>
          </w:p>
        </w:tc>
        <w:tc>
          <w:tcPr>
            <w:tcW w:w="1748" w:type="dxa"/>
            <w:tcMar>
              <w:top w:w="170" w:type="dxa"/>
              <w:left w:w="113" w:type="dxa"/>
              <w:bottom w:w="170" w:type="dxa"/>
              <w:right w:w="113" w:type="dxa"/>
            </w:tcMar>
          </w:tcPr>
          <w:p w14:paraId="6FBA1873" w14:textId="77777777" w:rsidR="00EC25DE" w:rsidRDefault="00EC25DE">
            <w:pPr>
              <w:pStyle w:val="TABLETEXT"/>
            </w:pPr>
            <w:r>
              <w:t>State and territory governments</w:t>
            </w:r>
          </w:p>
          <w:p w14:paraId="5148EFA2" w14:textId="77777777" w:rsidR="00EC25DE" w:rsidRDefault="00EC25DE">
            <w:pPr>
              <w:pStyle w:val="TABLETEXT"/>
            </w:pPr>
            <w:r>
              <w:t xml:space="preserve">Local governments </w:t>
            </w:r>
          </w:p>
        </w:tc>
        <w:tc>
          <w:tcPr>
            <w:tcW w:w="2070" w:type="dxa"/>
            <w:tcMar>
              <w:top w:w="170" w:type="dxa"/>
              <w:left w:w="113" w:type="dxa"/>
              <w:bottom w:w="170" w:type="dxa"/>
              <w:right w:w="113" w:type="dxa"/>
            </w:tcMar>
          </w:tcPr>
          <w:p w14:paraId="761DFD6E" w14:textId="77777777" w:rsidR="00EC25DE" w:rsidRDefault="00EC25DE">
            <w:pPr>
              <w:pStyle w:val="TABLETEXT"/>
            </w:pPr>
            <w:r>
              <w:t>Australian Government</w:t>
            </w:r>
          </w:p>
        </w:tc>
        <w:tc>
          <w:tcPr>
            <w:tcW w:w="1115" w:type="dxa"/>
            <w:tcMar>
              <w:top w:w="170" w:type="dxa"/>
              <w:left w:w="113" w:type="dxa"/>
              <w:bottom w:w="170" w:type="dxa"/>
              <w:right w:w="113" w:type="dxa"/>
            </w:tcMar>
          </w:tcPr>
          <w:p w14:paraId="77904E28" w14:textId="77777777" w:rsidR="00EC25DE" w:rsidRDefault="00EC25DE">
            <w:pPr>
              <w:pStyle w:val="TABLETEXT"/>
            </w:pPr>
            <w:r>
              <w:t>2020</w:t>
            </w:r>
          </w:p>
        </w:tc>
      </w:tr>
      <w:tr w:rsidR="00EC25DE" w14:paraId="21FBC194" w14:textId="77777777" w:rsidTr="00424906">
        <w:trPr>
          <w:gridAfter w:val="1"/>
          <w:wAfter w:w="37" w:type="dxa"/>
          <w:trHeight w:val="889"/>
        </w:trPr>
        <w:tc>
          <w:tcPr>
            <w:tcW w:w="4573" w:type="dxa"/>
            <w:gridSpan w:val="2"/>
            <w:tcMar>
              <w:top w:w="170" w:type="dxa"/>
              <w:left w:w="113" w:type="dxa"/>
              <w:bottom w:w="170" w:type="dxa"/>
              <w:right w:w="113" w:type="dxa"/>
            </w:tcMar>
          </w:tcPr>
          <w:p w14:paraId="5EC9007D" w14:textId="77777777" w:rsidR="00EC25DE" w:rsidRDefault="00EC25DE">
            <w:pPr>
              <w:pStyle w:val="TABLETEXT"/>
              <w:ind w:left="425" w:hanging="425"/>
            </w:pPr>
            <w:r>
              <w:t>2.14</w:t>
            </w:r>
            <w:r>
              <w:tab/>
              <w:t>Improve consumer information to increase recycling rates and improve the quality of materials in kerbside recycling collection through the Australasian Recycling Label</w:t>
            </w:r>
          </w:p>
        </w:tc>
        <w:tc>
          <w:tcPr>
            <w:tcW w:w="1748" w:type="dxa"/>
            <w:tcMar>
              <w:top w:w="170" w:type="dxa"/>
              <w:left w:w="113" w:type="dxa"/>
              <w:bottom w:w="170" w:type="dxa"/>
              <w:right w:w="113" w:type="dxa"/>
            </w:tcMar>
          </w:tcPr>
          <w:p w14:paraId="6024B71D" w14:textId="77777777" w:rsidR="00EC25DE" w:rsidRDefault="00EC25DE">
            <w:pPr>
              <w:pStyle w:val="TABLETEXT"/>
            </w:pPr>
            <w:r>
              <w:t>Australian Packaging Covenant Organisation</w:t>
            </w:r>
          </w:p>
        </w:tc>
        <w:tc>
          <w:tcPr>
            <w:tcW w:w="2070" w:type="dxa"/>
            <w:tcMar>
              <w:top w:w="170" w:type="dxa"/>
              <w:left w:w="113" w:type="dxa"/>
              <w:bottom w:w="170" w:type="dxa"/>
              <w:right w:w="113" w:type="dxa"/>
            </w:tcMar>
          </w:tcPr>
          <w:p w14:paraId="7B91CF77" w14:textId="77777777" w:rsidR="00EC25DE" w:rsidRDefault="00EC25DE">
            <w:pPr>
              <w:pStyle w:val="TABLETEXT"/>
            </w:pPr>
            <w:r>
              <w:t>All governments</w:t>
            </w:r>
          </w:p>
        </w:tc>
        <w:tc>
          <w:tcPr>
            <w:tcW w:w="1115" w:type="dxa"/>
            <w:tcMar>
              <w:top w:w="170" w:type="dxa"/>
              <w:left w:w="113" w:type="dxa"/>
              <w:bottom w:w="170" w:type="dxa"/>
              <w:right w:w="113" w:type="dxa"/>
            </w:tcMar>
          </w:tcPr>
          <w:p w14:paraId="23D0F2B5" w14:textId="77777777" w:rsidR="00EC25DE" w:rsidRDefault="00EC25DE">
            <w:pPr>
              <w:pStyle w:val="TABLETEXT"/>
            </w:pPr>
            <w:r>
              <w:t>Ongoing</w:t>
            </w:r>
          </w:p>
        </w:tc>
      </w:tr>
      <w:tr w:rsidR="00EC25DE" w14:paraId="32A6A133" w14:textId="77777777" w:rsidTr="00424906">
        <w:trPr>
          <w:gridAfter w:val="1"/>
          <w:wAfter w:w="37" w:type="dxa"/>
          <w:trHeight w:val="667"/>
        </w:trPr>
        <w:tc>
          <w:tcPr>
            <w:tcW w:w="4573" w:type="dxa"/>
            <w:gridSpan w:val="2"/>
            <w:tcMar>
              <w:top w:w="170" w:type="dxa"/>
              <w:left w:w="113" w:type="dxa"/>
              <w:bottom w:w="170" w:type="dxa"/>
              <w:right w:w="113" w:type="dxa"/>
            </w:tcMar>
          </w:tcPr>
          <w:p w14:paraId="523E0A9B" w14:textId="77777777" w:rsidR="00EC25DE" w:rsidRDefault="00EC25DE">
            <w:pPr>
              <w:pStyle w:val="TABLETEXT"/>
              <w:ind w:left="425" w:hanging="425"/>
            </w:pPr>
            <w:r>
              <w:t>2.15</w:t>
            </w:r>
            <w:r>
              <w:tab/>
              <w:t>Undertake research to better understand the contributing factors of household contamination of kerbside recycling collection, to inform future interventions</w:t>
            </w:r>
          </w:p>
        </w:tc>
        <w:tc>
          <w:tcPr>
            <w:tcW w:w="1748" w:type="dxa"/>
            <w:tcMar>
              <w:top w:w="170" w:type="dxa"/>
              <w:left w:w="113" w:type="dxa"/>
              <w:bottom w:w="170" w:type="dxa"/>
              <w:right w:w="113" w:type="dxa"/>
            </w:tcMar>
          </w:tcPr>
          <w:p w14:paraId="3129ACDC" w14:textId="77777777" w:rsidR="00EC25DE" w:rsidRDefault="00EC25DE">
            <w:pPr>
              <w:pStyle w:val="TABLETEXT"/>
            </w:pPr>
            <w:r>
              <w:t>Australian Government</w:t>
            </w:r>
          </w:p>
        </w:tc>
        <w:tc>
          <w:tcPr>
            <w:tcW w:w="2070" w:type="dxa"/>
            <w:tcMar>
              <w:top w:w="170" w:type="dxa"/>
              <w:left w:w="113" w:type="dxa"/>
              <w:bottom w:w="170" w:type="dxa"/>
              <w:right w:w="113" w:type="dxa"/>
            </w:tcMar>
          </w:tcPr>
          <w:p w14:paraId="26D93184" w14:textId="77777777" w:rsidR="00EC25DE" w:rsidRDefault="00EC25DE">
            <w:pPr>
              <w:pStyle w:val="TABLETEXT"/>
            </w:pPr>
            <w:r>
              <w:t>Local governments</w:t>
            </w:r>
          </w:p>
        </w:tc>
        <w:tc>
          <w:tcPr>
            <w:tcW w:w="1115" w:type="dxa"/>
            <w:tcMar>
              <w:top w:w="170" w:type="dxa"/>
              <w:left w:w="113" w:type="dxa"/>
              <w:bottom w:w="170" w:type="dxa"/>
              <w:right w:w="113" w:type="dxa"/>
            </w:tcMar>
          </w:tcPr>
          <w:p w14:paraId="754D5444" w14:textId="77777777" w:rsidR="00EC25DE" w:rsidRDefault="00EC25DE">
            <w:pPr>
              <w:pStyle w:val="TABLETEXT"/>
            </w:pPr>
            <w:r>
              <w:t>2020</w:t>
            </w:r>
          </w:p>
        </w:tc>
      </w:tr>
      <w:tr w:rsidR="00EC25DE" w14:paraId="2B2D1365" w14:textId="77777777" w:rsidTr="00424906">
        <w:trPr>
          <w:gridAfter w:val="1"/>
          <w:wAfter w:w="37" w:type="dxa"/>
          <w:trHeight w:val="249"/>
        </w:trPr>
        <w:tc>
          <w:tcPr>
            <w:tcW w:w="4573" w:type="dxa"/>
            <w:gridSpan w:val="2"/>
            <w:shd w:val="clear" w:color="414D59" w:fill="A6A6A6" w:themeFill="background1" w:themeFillShade="A6"/>
            <w:tcMar>
              <w:top w:w="170" w:type="dxa"/>
              <w:left w:w="113" w:type="dxa"/>
              <w:bottom w:w="170" w:type="dxa"/>
              <w:right w:w="113" w:type="dxa"/>
            </w:tcMar>
          </w:tcPr>
          <w:p w14:paraId="3D82FBF7" w14:textId="77777777" w:rsidR="00EC25DE" w:rsidRPr="00424906" w:rsidRDefault="00EC25DE">
            <w:pPr>
              <w:pStyle w:val="TABLETEXT"/>
              <w:ind w:left="425" w:hanging="425"/>
              <w:rPr>
                <w:color w:val="FFFFFF" w:themeColor="background1"/>
              </w:rPr>
            </w:pPr>
            <w:r w:rsidRPr="00673CF5">
              <w:rPr>
                <w:rStyle w:val="TextBold"/>
                <w:color w:val="000000" w:themeColor="text1"/>
              </w:rPr>
              <w:t>Support consumer choices</w:t>
            </w:r>
          </w:p>
        </w:tc>
        <w:tc>
          <w:tcPr>
            <w:tcW w:w="1748" w:type="dxa"/>
            <w:shd w:val="clear" w:color="414D59" w:fill="A6A6A6" w:themeFill="background1" w:themeFillShade="A6"/>
            <w:tcMar>
              <w:top w:w="170" w:type="dxa"/>
              <w:left w:w="113" w:type="dxa"/>
              <w:bottom w:w="170" w:type="dxa"/>
              <w:right w:w="113" w:type="dxa"/>
            </w:tcMar>
          </w:tcPr>
          <w:p w14:paraId="650915C9"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2070" w:type="dxa"/>
            <w:shd w:val="clear" w:color="414D59" w:fill="A6A6A6" w:themeFill="background1" w:themeFillShade="A6"/>
            <w:tcMar>
              <w:top w:w="170" w:type="dxa"/>
              <w:left w:w="113" w:type="dxa"/>
              <w:bottom w:w="170" w:type="dxa"/>
              <w:right w:w="113" w:type="dxa"/>
            </w:tcMar>
          </w:tcPr>
          <w:p w14:paraId="28959ECE"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1115" w:type="dxa"/>
            <w:shd w:val="clear" w:color="414D59" w:fill="A6A6A6" w:themeFill="background1" w:themeFillShade="A6"/>
            <w:tcMar>
              <w:top w:w="170" w:type="dxa"/>
              <w:left w:w="113" w:type="dxa"/>
              <w:bottom w:w="170" w:type="dxa"/>
              <w:right w:w="113" w:type="dxa"/>
            </w:tcMar>
          </w:tcPr>
          <w:p w14:paraId="0EFA1610" w14:textId="77777777" w:rsidR="00EC25DE" w:rsidRPr="00424906" w:rsidRDefault="00EC25DE">
            <w:pPr>
              <w:pStyle w:val="NoParagraphStyle"/>
              <w:spacing w:line="240" w:lineRule="auto"/>
              <w:textAlignment w:val="auto"/>
              <w:rPr>
                <w:rFonts w:ascii="Calibri" w:hAnsi="Calibri" w:cs="Calibri"/>
                <w:color w:val="FFFFFF" w:themeColor="background1"/>
              </w:rPr>
            </w:pPr>
          </w:p>
        </w:tc>
      </w:tr>
      <w:tr w:rsidR="00EC25DE" w14:paraId="08F4208A" w14:textId="77777777" w:rsidTr="00424906">
        <w:trPr>
          <w:gridAfter w:val="1"/>
          <w:wAfter w:w="37" w:type="dxa"/>
          <w:trHeight w:val="889"/>
        </w:trPr>
        <w:tc>
          <w:tcPr>
            <w:tcW w:w="4573" w:type="dxa"/>
            <w:gridSpan w:val="2"/>
            <w:tcMar>
              <w:top w:w="170" w:type="dxa"/>
              <w:left w:w="113" w:type="dxa"/>
              <w:bottom w:w="170" w:type="dxa"/>
              <w:right w:w="113" w:type="dxa"/>
            </w:tcMar>
          </w:tcPr>
          <w:p w14:paraId="7B4DCA47" w14:textId="77777777" w:rsidR="00EC25DE" w:rsidRDefault="00EC25DE">
            <w:pPr>
              <w:pStyle w:val="TABLETEXT"/>
              <w:ind w:left="425" w:hanging="425"/>
            </w:pPr>
            <w:r>
              <w:t>2.16</w:t>
            </w:r>
            <w:r>
              <w:tab/>
              <w:t xml:space="preserve">Develop and launch a Circular Economy Hub online platform and marketplace to highlight sustainability education and resources, and match buyers and sellers of recovered resources </w:t>
            </w:r>
          </w:p>
        </w:tc>
        <w:tc>
          <w:tcPr>
            <w:tcW w:w="1748" w:type="dxa"/>
            <w:tcMar>
              <w:top w:w="170" w:type="dxa"/>
              <w:left w:w="113" w:type="dxa"/>
              <w:bottom w:w="170" w:type="dxa"/>
              <w:right w:w="113" w:type="dxa"/>
            </w:tcMar>
          </w:tcPr>
          <w:p w14:paraId="7255F5A8" w14:textId="77777777" w:rsidR="00EC25DE" w:rsidRDefault="00EC25DE">
            <w:pPr>
              <w:pStyle w:val="TABLETEXT"/>
              <w:spacing w:after="170"/>
            </w:pPr>
            <w:r>
              <w:t xml:space="preserve">Australian Packaging Covenant Organisation    </w:t>
            </w:r>
          </w:p>
          <w:p w14:paraId="66BE3593" w14:textId="77777777" w:rsidR="00EC25DE" w:rsidRDefault="00EC25DE">
            <w:pPr>
              <w:pStyle w:val="TABLETEXT"/>
            </w:pPr>
            <w:r>
              <w:t>Planet Ark</w:t>
            </w:r>
          </w:p>
        </w:tc>
        <w:tc>
          <w:tcPr>
            <w:tcW w:w="2070" w:type="dxa"/>
            <w:tcMar>
              <w:top w:w="170" w:type="dxa"/>
              <w:left w:w="113" w:type="dxa"/>
              <w:bottom w:w="170" w:type="dxa"/>
              <w:right w:w="113" w:type="dxa"/>
            </w:tcMar>
          </w:tcPr>
          <w:p w14:paraId="2A1A38DF" w14:textId="77777777" w:rsidR="00EC25DE" w:rsidRDefault="00EC25DE">
            <w:pPr>
              <w:pStyle w:val="TABLETEXT"/>
            </w:pPr>
            <w:r>
              <w:t xml:space="preserve">Australian Government </w:t>
            </w:r>
          </w:p>
        </w:tc>
        <w:tc>
          <w:tcPr>
            <w:tcW w:w="1115" w:type="dxa"/>
            <w:tcMar>
              <w:top w:w="170" w:type="dxa"/>
              <w:left w:w="113" w:type="dxa"/>
              <w:bottom w:w="170" w:type="dxa"/>
              <w:right w:w="113" w:type="dxa"/>
            </w:tcMar>
          </w:tcPr>
          <w:p w14:paraId="4B048F23" w14:textId="77777777" w:rsidR="00EC25DE" w:rsidRDefault="00EC25DE">
            <w:pPr>
              <w:pStyle w:val="TABLETEXT"/>
            </w:pPr>
            <w:r>
              <w:t>2021</w:t>
            </w:r>
          </w:p>
        </w:tc>
      </w:tr>
      <w:tr w:rsidR="00EC25DE" w14:paraId="78241D57" w14:textId="77777777" w:rsidTr="00424906">
        <w:trPr>
          <w:gridAfter w:val="1"/>
          <w:wAfter w:w="37" w:type="dxa"/>
          <w:trHeight w:val="889"/>
        </w:trPr>
        <w:tc>
          <w:tcPr>
            <w:tcW w:w="4573" w:type="dxa"/>
            <w:gridSpan w:val="2"/>
            <w:tcMar>
              <w:top w:w="170" w:type="dxa"/>
              <w:left w:w="113" w:type="dxa"/>
              <w:bottom w:w="170" w:type="dxa"/>
              <w:right w:w="113" w:type="dxa"/>
            </w:tcMar>
          </w:tcPr>
          <w:p w14:paraId="1890F40D" w14:textId="77777777" w:rsidR="00EC25DE" w:rsidRDefault="00EC25DE">
            <w:pPr>
              <w:pStyle w:val="TABLETEXT"/>
              <w:ind w:left="425" w:hanging="425"/>
            </w:pPr>
            <w:r>
              <w:t xml:space="preserve">2.17 </w:t>
            </w:r>
            <w:r>
              <w:tab/>
              <w:t>Develop and launch a recyclability app to support community participation and reduce contamination rates in municipal solid waste</w:t>
            </w:r>
          </w:p>
        </w:tc>
        <w:tc>
          <w:tcPr>
            <w:tcW w:w="1748" w:type="dxa"/>
            <w:tcMar>
              <w:top w:w="170" w:type="dxa"/>
              <w:left w:w="113" w:type="dxa"/>
              <w:bottom w:w="170" w:type="dxa"/>
              <w:right w:w="113" w:type="dxa"/>
            </w:tcMar>
          </w:tcPr>
          <w:p w14:paraId="0BEF46C1" w14:textId="77777777" w:rsidR="00EC25DE" w:rsidRDefault="00EC25DE">
            <w:pPr>
              <w:pStyle w:val="TABLETEXT"/>
            </w:pPr>
            <w:r>
              <w:t>Australian Council of Recycling</w:t>
            </w:r>
          </w:p>
        </w:tc>
        <w:tc>
          <w:tcPr>
            <w:tcW w:w="2070" w:type="dxa"/>
            <w:tcMar>
              <w:top w:w="170" w:type="dxa"/>
              <w:left w:w="113" w:type="dxa"/>
              <w:bottom w:w="170" w:type="dxa"/>
              <w:right w:w="113" w:type="dxa"/>
            </w:tcMar>
          </w:tcPr>
          <w:p w14:paraId="757A1E25" w14:textId="77777777" w:rsidR="00EC25DE" w:rsidRDefault="00EC25DE">
            <w:pPr>
              <w:pStyle w:val="TABLETEXT"/>
            </w:pPr>
            <w:r>
              <w:t>Australian Government</w:t>
            </w:r>
          </w:p>
        </w:tc>
        <w:tc>
          <w:tcPr>
            <w:tcW w:w="1115" w:type="dxa"/>
            <w:tcMar>
              <w:top w:w="170" w:type="dxa"/>
              <w:left w:w="113" w:type="dxa"/>
              <w:bottom w:w="170" w:type="dxa"/>
              <w:right w:w="113" w:type="dxa"/>
            </w:tcMar>
          </w:tcPr>
          <w:p w14:paraId="68E36EF2" w14:textId="77777777" w:rsidR="00EC25DE" w:rsidRDefault="00EC25DE">
            <w:pPr>
              <w:pStyle w:val="TABLETEXT"/>
            </w:pPr>
            <w:r>
              <w:t>2020</w:t>
            </w:r>
          </w:p>
        </w:tc>
      </w:tr>
    </w:tbl>
    <w:p w14:paraId="1C86943C" w14:textId="77777777" w:rsidR="00EC25DE" w:rsidRDefault="00EC25DE" w:rsidP="00EC25DE">
      <w:pPr>
        <w:pStyle w:val="Text"/>
      </w:pPr>
    </w:p>
    <w:p w14:paraId="71F17E90" w14:textId="62D167F0" w:rsidR="00424906" w:rsidRDefault="00424906">
      <w:pPr>
        <w:rPr>
          <w:rFonts w:ascii="Calibri" w:hAnsi="Calibri" w:cs="Calibri"/>
          <w:color w:val="000000"/>
          <w:sz w:val="18"/>
          <w:szCs w:val="18"/>
          <w:lang w:val="en-GB"/>
        </w:rPr>
      </w:pPr>
      <w:r>
        <w:br w:type="page"/>
      </w:r>
    </w:p>
    <w:p w14:paraId="5753996D" w14:textId="65DA6247" w:rsidR="00EC25DE" w:rsidRDefault="00EC25DE" w:rsidP="00454715">
      <w:pPr>
        <w:pStyle w:val="Heading2"/>
      </w:pPr>
      <w:bookmarkStart w:id="5" w:name="_Toc24118129"/>
      <w:r>
        <w:lastRenderedPageBreak/>
        <w:t>Target 3:</w:t>
      </w:r>
      <w:r w:rsidR="00454715">
        <w:t xml:space="preserve"> </w:t>
      </w:r>
      <w:r>
        <w:t>80% average resource recovery rate from all waste streams following the waste hierarchy by 2030</w:t>
      </w:r>
      <w:bookmarkEnd w:id="5"/>
    </w:p>
    <w:p w14:paraId="3A2EB995" w14:textId="77777777" w:rsidR="00424906" w:rsidRDefault="00424906" w:rsidP="00EC25DE">
      <w:pPr>
        <w:pStyle w:val="Subhead2"/>
        <w:spacing w:after="0"/>
        <w:rPr>
          <w:color w:val="414D59"/>
        </w:rPr>
      </w:pPr>
    </w:p>
    <w:p w14:paraId="3D31CEDA" w14:textId="77777777" w:rsidR="00EC25DE" w:rsidRDefault="00EC25DE" w:rsidP="00EC25DE">
      <w:pPr>
        <w:pStyle w:val="Text"/>
        <w:rPr>
          <w:sz w:val="22"/>
          <w:szCs w:val="22"/>
        </w:rPr>
      </w:pPr>
      <w:r>
        <w:rPr>
          <w:sz w:val="22"/>
          <w:szCs w:val="22"/>
        </w:rPr>
        <w:t xml:space="preserve">Resource recovery means making use of a waste material, including recycling and recovering energy or other resources from waste. If we increase Australia’s resource recovery rate to 80%, an extra 15 million tonnes will be recovered every year. Taking no action would place increasing pressure on our remaining landfill sites, some of which are reaching capacity. </w:t>
      </w:r>
    </w:p>
    <w:p w14:paraId="3AD95C62" w14:textId="77777777" w:rsidR="00EC25DE" w:rsidRDefault="00EC25DE" w:rsidP="00EC25DE">
      <w:pPr>
        <w:pStyle w:val="Text"/>
        <w:rPr>
          <w:sz w:val="22"/>
          <w:szCs w:val="22"/>
        </w:rPr>
      </w:pPr>
      <w:r>
        <w:rPr>
          <w:sz w:val="22"/>
          <w:szCs w:val="22"/>
        </w:rPr>
        <w:t>Every year, we dispose of 28 million tonnes of materials into landfill. We are losing the value of those resources and missing opportunities to create jobs. For every 10,000 tonnes of waste that is recycled, 9.2 jobs are created, compared with only 2.8 jobs if the same amount goes to landfill.</w:t>
      </w:r>
    </w:p>
    <w:p w14:paraId="3FB9F79D" w14:textId="77777777" w:rsidR="00EC25DE" w:rsidRDefault="00EC25DE" w:rsidP="00EC25DE">
      <w:pPr>
        <w:pStyle w:val="Text"/>
        <w:rPr>
          <w:sz w:val="22"/>
          <w:szCs w:val="22"/>
        </w:rPr>
      </w:pPr>
      <w:r>
        <w:rPr>
          <w:sz w:val="22"/>
          <w:szCs w:val="22"/>
        </w:rPr>
        <w:t xml:space="preserve">If we increase Australia’s resource recovery rate to 80%, an extra 15 million tonnes of material will be recovered every year. </w:t>
      </w:r>
    </w:p>
    <w:p w14:paraId="5C5D1DF9" w14:textId="77777777" w:rsidR="00EC25DE" w:rsidRDefault="00EC25DE" w:rsidP="00EC25DE">
      <w:pPr>
        <w:pStyle w:val="Text"/>
        <w:rPr>
          <w:sz w:val="22"/>
          <w:szCs w:val="22"/>
        </w:rPr>
      </w:pPr>
      <w:r>
        <w:rPr>
          <w:sz w:val="22"/>
          <w:szCs w:val="22"/>
        </w:rPr>
        <w:t>Commitments made by governments across Australia are increasing resource recovery rates. But more needs to be done. The use of product stewardship, so manufacturers are responsible for the entire lifecycle of products, adopting common approaches to policy and regulation nationally, improving access to services for regional Australians and increasing industry capacity will all help achieve this target.</w:t>
      </w:r>
    </w:p>
    <w:tbl>
      <w:tblPr>
        <w:tblW w:w="0" w:type="auto"/>
        <w:tblInd w:w="-8" w:type="dxa"/>
        <w:tblBorders>
          <w:top w:val="dotted" w:sz="8" w:space="0" w:color="414D59"/>
          <w:bottom w:val="dotted" w:sz="8" w:space="0" w:color="414D59"/>
          <w:insideH w:val="dotted" w:sz="8" w:space="0" w:color="414D59"/>
        </w:tblBorders>
        <w:tblLayout w:type="fixed"/>
        <w:tblCellMar>
          <w:left w:w="0" w:type="dxa"/>
          <w:right w:w="0" w:type="dxa"/>
        </w:tblCellMar>
        <w:tblLook w:val="0000" w:firstRow="0" w:lastRow="0" w:firstColumn="0" w:lastColumn="0" w:noHBand="0" w:noVBand="0"/>
      </w:tblPr>
      <w:tblGrid>
        <w:gridCol w:w="4573"/>
        <w:gridCol w:w="1748"/>
        <w:gridCol w:w="2070"/>
        <w:gridCol w:w="992"/>
      </w:tblGrid>
      <w:tr w:rsidR="00EC25DE" w14:paraId="6BBCFEA6" w14:textId="77777777" w:rsidTr="00454715">
        <w:trPr>
          <w:trHeight w:val="283"/>
          <w:tblHeader/>
        </w:trPr>
        <w:tc>
          <w:tcPr>
            <w:tcW w:w="4573" w:type="dxa"/>
            <w:shd w:val="solid" w:color="414D59" w:fill="auto"/>
            <w:tcMar>
              <w:top w:w="170" w:type="dxa"/>
              <w:left w:w="113" w:type="dxa"/>
              <w:bottom w:w="170" w:type="dxa"/>
              <w:right w:w="113" w:type="dxa"/>
            </w:tcMar>
          </w:tcPr>
          <w:p w14:paraId="7B53AE6C" w14:textId="77777777" w:rsidR="00EC25DE" w:rsidRPr="00424906" w:rsidRDefault="00EC25DE">
            <w:pPr>
              <w:pStyle w:val="TABLETEXT"/>
              <w:ind w:left="425" w:hanging="425"/>
              <w:rPr>
                <w:color w:val="FFFFFF" w:themeColor="background1"/>
              </w:rPr>
            </w:pPr>
            <w:r w:rsidRPr="00424906">
              <w:rPr>
                <w:b/>
                <w:bCs/>
                <w:color w:val="FFFFFF" w:themeColor="background1"/>
                <w14:textOutline w14:w="9525" w14:cap="flat" w14:cmpd="sng" w14:algn="ctr">
                  <w14:noFill/>
                  <w14:prstDash w14:val="solid"/>
                  <w14:round/>
                </w14:textOutline>
              </w:rPr>
              <w:t>Action</w:t>
            </w:r>
          </w:p>
        </w:tc>
        <w:tc>
          <w:tcPr>
            <w:tcW w:w="1748" w:type="dxa"/>
            <w:shd w:val="solid" w:color="414D59" w:fill="auto"/>
            <w:tcMar>
              <w:top w:w="170" w:type="dxa"/>
              <w:left w:w="113" w:type="dxa"/>
              <w:bottom w:w="170" w:type="dxa"/>
              <w:right w:w="113" w:type="dxa"/>
            </w:tcMar>
          </w:tcPr>
          <w:p w14:paraId="545764B0" w14:textId="77777777" w:rsidR="00EC25DE" w:rsidRPr="00424906" w:rsidRDefault="00EC25DE">
            <w:pPr>
              <w:pStyle w:val="TABLETEXT"/>
              <w:rPr>
                <w:color w:val="FFFFFF" w:themeColor="background1"/>
              </w:rPr>
            </w:pPr>
            <w:r w:rsidRPr="00424906">
              <w:rPr>
                <w:b/>
                <w:bCs/>
                <w:color w:val="FFFFFF" w:themeColor="background1"/>
                <w14:textOutline w14:w="9525" w14:cap="flat" w14:cmpd="sng" w14:algn="ctr">
                  <w14:noFill/>
                  <w14:prstDash w14:val="solid"/>
                  <w14:round/>
                </w14:textOutline>
              </w:rPr>
              <w:t>Lead</w:t>
            </w:r>
          </w:p>
        </w:tc>
        <w:tc>
          <w:tcPr>
            <w:tcW w:w="2070" w:type="dxa"/>
            <w:shd w:val="solid" w:color="414D59" w:fill="auto"/>
            <w:tcMar>
              <w:top w:w="170" w:type="dxa"/>
              <w:left w:w="113" w:type="dxa"/>
              <w:bottom w:w="170" w:type="dxa"/>
              <w:right w:w="113" w:type="dxa"/>
            </w:tcMar>
          </w:tcPr>
          <w:p w14:paraId="37BE8CBA" w14:textId="77777777" w:rsidR="00EC25DE" w:rsidRPr="00424906" w:rsidRDefault="00EC25DE">
            <w:pPr>
              <w:pStyle w:val="TABLETEXT"/>
              <w:rPr>
                <w:color w:val="FFFFFF" w:themeColor="background1"/>
              </w:rPr>
            </w:pPr>
            <w:r w:rsidRPr="00424906">
              <w:rPr>
                <w:b/>
                <w:bCs/>
                <w:color w:val="FFFFFF" w:themeColor="background1"/>
                <w14:textOutline w14:w="9525" w14:cap="flat" w14:cmpd="sng" w14:algn="ctr">
                  <w14:noFill/>
                  <w14:prstDash w14:val="solid"/>
                  <w14:round/>
                </w14:textOutline>
              </w:rPr>
              <w:t>Partners</w:t>
            </w:r>
          </w:p>
        </w:tc>
        <w:tc>
          <w:tcPr>
            <w:tcW w:w="992" w:type="dxa"/>
            <w:shd w:val="solid" w:color="414D59" w:fill="auto"/>
            <w:tcMar>
              <w:top w:w="170" w:type="dxa"/>
              <w:left w:w="113" w:type="dxa"/>
              <w:bottom w:w="170" w:type="dxa"/>
              <w:right w:w="0" w:type="dxa"/>
            </w:tcMar>
          </w:tcPr>
          <w:p w14:paraId="24299EC7" w14:textId="77777777" w:rsidR="00EC25DE" w:rsidRPr="00424906" w:rsidRDefault="00EC25DE">
            <w:pPr>
              <w:pStyle w:val="TABLETEXT"/>
              <w:rPr>
                <w:color w:val="FFFFFF" w:themeColor="background1"/>
              </w:rPr>
            </w:pPr>
            <w:r w:rsidRPr="00424906">
              <w:rPr>
                <w:b/>
                <w:bCs/>
                <w:color w:val="FFFFFF" w:themeColor="background1"/>
                <w14:textOutline w14:w="9525" w14:cap="flat" w14:cmpd="sng" w14:algn="ctr">
                  <w14:noFill/>
                  <w14:prstDash w14:val="solid"/>
                  <w14:round/>
                </w14:textOutline>
              </w:rPr>
              <w:t>By</w:t>
            </w:r>
          </w:p>
        </w:tc>
      </w:tr>
      <w:tr w:rsidR="00EC25DE" w14:paraId="35855826" w14:textId="77777777" w:rsidTr="00454715">
        <w:trPr>
          <w:trHeight w:val="283"/>
        </w:trPr>
        <w:tc>
          <w:tcPr>
            <w:tcW w:w="9383" w:type="dxa"/>
            <w:gridSpan w:val="4"/>
            <w:shd w:val="clear" w:color="414D59" w:fill="7F7F7F" w:themeFill="text1" w:themeFillTint="80"/>
            <w:tcMar>
              <w:top w:w="170" w:type="dxa"/>
              <w:left w:w="113" w:type="dxa"/>
              <w:bottom w:w="170" w:type="dxa"/>
              <w:right w:w="113" w:type="dxa"/>
            </w:tcMar>
          </w:tcPr>
          <w:p w14:paraId="4C8215A6" w14:textId="77777777" w:rsidR="00EC25DE" w:rsidRPr="00673CF5" w:rsidRDefault="00EC25DE">
            <w:pPr>
              <w:pStyle w:val="TABLETEXT"/>
              <w:ind w:left="425" w:hanging="425"/>
              <w:rPr>
                <w:color w:val="000000" w:themeColor="text1"/>
              </w:rPr>
            </w:pPr>
            <w:r w:rsidRPr="00673CF5">
              <w:rPr>
                <w:rStyle w:val="TextBold"/>
                <w:color w:val="000000" w:themeColor="text1"/>
                <w14:textOutline w14:w="9525" w14:cap="flat" w14:cmpd="sng" w14:algn="ctr">
                  <w14:noFill/>
                  <w14:prstDash w14:val="solid"/>
                  <w14:round/>
                </w14:textOutline>
              </w:rPr>
              <w:t>Product Stewardship</w:t>
            </w:r>
          </w:p>
        </w:tc>
      </w:tr>
      <w:tr w:rsidR="00EC25DE" w14:paraId="4E6DE24C" w14:textId="77777777" w:rsidTr="00454715">
        <w:trPr>
          <w:trHeight w:val="283"/>
        </w:trPr>
        <w:tc>
          <w:tcPr>
            <w:tcW w:w="9383" w:type="dxa"/>
            <w:gridSpan w:val="4"/>
            <w:shd w:val="clear" w:color="414D59" w:fill="A6A6A6" w:themeFill="background1" w:themeFillShade="A6"/>
            <w:tcMar>
              <w:top w:w="170" w:type="dxa"/>
              <w:left w:w="113" w:type="dxa"/>
              <w:bottom w:w="170" w:type="dxa"/>
              <w:right w:w="113" w:type="dxa"/>
            </w:tcMar>
          </w:tcPr>
          <w:p w14:paraId="57937149" w14:textId="77777777" w:rsidR="00EC25DE" w:rsidRPr="00673CF5" w:rsidRDefault="00EC25DE">
            <w:pPr>
              <w:pStyle w:val="TABLETEXT"/>
              <w:ind w:left="425" w:hanging="425"/>
              <w:rPr>
                <w:color w:val="000000" w:themeColor="text1"/>
              </w:rPr>
            </w:pPr>
            <w:r w:rsidRPr="00673CF5">
              <w:rPr>
                <w:rStyle w:val="TextBold"/>
                <w:color w:val="000000" w:themeColor="text1"/>
              </w:rPr>
              <w:t>Implement effective Product Stewardship for priority products</w:t>
            </w:r>
          </w:p>
        </w:tc>
      </w:tr>
      <w:tr w:rsidR="00EC25DE" w14:paraId="2A0E0D85" w14:textId="77777777" w:rsidTr="00454715">
        <w:trPr>
          <w:trHeight w:val="283"/>
        </w:trPr>
        <w:tc>
          <w:tcPr>
            <w:tcW w:w="4573" w:type="dxa"/>
            <w:tcMar>
              <w:top w:w="170" w:type="dxa"/>
              <w:left w:w="113" w:type="dxa"/>
              <w:bottom w:w="170" w:type="dxa"/>
              <w:right w:w="113" w:type="dxa"/>
            </w:tcMar>
          </w:tcPr>
          <w:p w14:paraId="688F6336" w14:textId="77777777" w:rsidR="00EC25DE" w:rsidRDefault="00EC25DE">
            <w:pPr>
              <w:pStyle w:val="TABLETEXT"/>
              <w:ind w:left="425" w:hanging="425"/>
            </w:pPr>
            <w:r>
              <w:t>3.1</w:t>
            </w:r>
            <w:r>
              <w:tab/>
              <w:t xml:space="preserve">Implement the Australian Government response to the review of the </w:t>
            </w:r>
            <w:r>
              <w:rPr>
                <w:i/>
                <w:iCs/>
              </w:rPr>
              <w:t>Product Stewardship Act 2011</w:t>
            </w:r>
            <w:r>
              <w:t xml:space="preserve"> including consideration of regulatory measures.</w:t>
            </w:r>
          </w:p>
        </w:tc>
        <w:tc>
          <w:tcPr>
            <w:tcW w:w="1748" w:type="dxa"/>
            <w:tcMar>
              <w:top w:w="170" w:type="dxa"/>
              <w:left w:w="113" w:type="dxa"/>
              <w:bottom w:w="170" w:type="dxa"/>
              <w:right w:w="113" w:type="dxa"/>
            </w:tcMar>
          </w:tcPr>
          <w:p w14:paraId="5FDDF425" w14:textId="77777777" w:rsidR="00EC25DE" w:rsidRDefault="00EC25DE">
            <w:pPr>
              <w:pStyle w:val="TABLETEXT"/>
            </w:pPr>
            <w:r>
              <w:t>Australian Government</w:t>
            </w:r>
          </w:p>
        </w:tc>
        <w:tc>
          <w:tcPr>
            <w:tcW w:w="2070" w:type="dxa"/>
            <w:tcMar>
              <w:top w:w="170" w:type="dxa"/>
              <w:left w:w="113" w:type="dxa"/>
              <w:bottom w:w="170" w:type="dxa"/>
              <w:right w:w="113" w:type="dxa"/>
            </w:tcMar>
          </w:tcPr>
          <w:p w14:paraId="60EC0E00" w14:textId="77777777" w:rsidR="00EC25DE" w:rsidRDefault="00EC25DE">
            <w:pPr>
              <w:pStyle w:val="NoParagraphStyle"/>
              <w:spacing w:line="240" w:lineRule="auto"/>
              <w:textAlignment w:val="auto"/>
              <w:rPr>
                <w:rFonts w:ascii="Calibri" w:hAnsi="Calibri" w:cs="Calibri"/>
                <w:color w:val="auto"/>
              </w:rPr>
            </w:pPr>
          </w:p>
        </w:tc>
        <w:tc>
          <w:tcPr>
            <w:tcW w:w="992" w:type="dxa"/>
            <w:tcMar>
              <w:top w:w="170" w:type="dxa"/>
              <w:left w:w="113" w:type="dxa"/>
              <w:bottom w:w="170" w:type="dxa"/>
              <w:right w:w="0" w:type="dxa"/>
            </w:tcMar>
          </w:tcPr>
          <w:p w14:paraId="5AE1F8AE" w14:textId="77777777" w:rsidR="00EC25DE" w:rsidRDefault="00EC25DE">
            <w:pPr>
              <w:pStyle w:val="TABLETEXT"/>
            </w:pPr>
            <w:r>
              <w:t>2020</w:t>
            </w:r>
          </w:p>
        </w:tc>
      </w:tr>
      <w:tr w:rsidR="00EC25DE" w14:paraId="25928A40" w14:textId="77777777" w:rsidTr="00454715">
        <w:trPr>
          <w:trHeight w:val="283"/>
        </w:trPr>
        <w:tc>
          <w:tcPr>
            <w:tcW w:w="4573" w:type="dxa"/>
            <w:tcMar>
              <w:top w:w="170" w:type="dxa"/>
              <w:left w:w="113" w:type="dxa"/>
              <w:bottom w:w="170" w:type="dxa"/>
              <w:right w:w="113" w:type="dxa"/>
            </w:tcMar>
          </w:tcPr>
          <w:p w14:paraId="782966C7" w14:textId="77777777" w:rsidR="00EC25DE" w:rsidRDefault="00EC25DE">
            <w:pPr>
              <w:pStyle w:val="TABLETEXT"/>
              <w:ind w:left="425" w:hanging="425"/>
            </w:pPr>
            <w:r>
              <w:t xml:space="preserve">3.2 </w:t>
            </w:r>
            <w:r>
              <w:tab/>
              <w:t>Establish a Product Stewardship Investment Fund to accelerate work on new industry-led recycling schemes, including for batteries, electrical and electronic products, photovoltaic systems and plastic oil containers</w:t>
            </w:r>
          </w:p>
        </w:tc>
        <w:tc>
          <w:tcPr>
            <w:tcW w:w="1748" w:type="dxa"/>
            <w:tcMar>
              <w:top w:w="170" w:type="dxa"/>
              <w:left w:w="113" w:type="dxa"/>
              <w:bottom w:w="170" w:type="dxa"/>
              <w:right w:w="113" w:type="dxa"/>
            </w:tcMar>
          </w:tcPr>
          <w:p w14:paraId="6758DAB9" w14:textId="77777777" w:rsidR="00EC25DE" w:rsidRDefault="00EC25DE">
            <w:pPr>
              <w:pStyle w:val="TABLETEXT"/>
            </w:pPr>
            <w:r>
              <w:t>Australian Government</w:t>
            </w:r>
          </w:p>
        </w:tc>
        <w:tc>
          <w:tcPr>
            <w:tcW w:w="2070" w:type="dxa"/>
            <w:tcMar>
              <w:top w:w="170" w:type="dxa"/>
              <w:left w:w="113" w:type="dxa"/>
              <w:bottom w:w="170" w:type="dxa"/>
              <w:right w:w="113" w:type="dxa"/>
            </w:tcMar>
          </w:tcPr>
          <w:p w14:paraId="56CBE3EA" w14:textId="77777777" w:rsidR="00EC25DE" w:rsidRDefault="00EC25DE">
            <w:pPr>
              <w:pStyle w:val="NoParagraphStyle"/>
              <w:spacing w:line="240" w:lineRule="auto"/>
              <w:textAlignment w:val="auto"/>
              <w:rPr>
                <w:rFonts w:ascii="Calibri" w:hAnsi="Calibri" w:cs="Calibri"/>
                <w:color w:val="auto"/>
              </w:rPr>
            </w:pPr>
          </w:p>
        </w:tc>
        <w:tc>
          <w:tcPr>
            <w:tcW w:w="992" w:type="dxa"/>
            <w:tcMar>
              <w:top w:w="170" w:type="dxa"/>
              <w:left w:w="113" w:type="dxa"/>
              <w:bottom w:w="170" w:type="dxa"/>
              <w:right w:w="0" w:type="dxa"/>
            </w:tcMar>
          </w:tcPr>
          <w:p w14:paraId="66F379BF" w14:textId="77777777" w:rsidR="00EC25DE" w:rsidRDefault="00EC25DE">
            <w:pPr>
              <w:pStyle w:val="TABLETEXT"/>
            </w:pPr>
            <w:r>
              <w:t>2020</w:t>
            </w:r>
          </w:p>
        </w:tc>
      </w:tr>
      <w:tr w:rsidR="00EC25DE" w14:paraId="26AE3DDC" w14:textId="77777777" w:rsidTr="00454715">
        <w:trPr>
          <w:trHeight w:val="283"/>
        </w:trPr>
        <w:tc>
          <w:tcPr>
            <w:tcW w:w="4573" w:type="dxa"/>
            <w:tcMar>
              <w:top w:w="170" w:type="dxa"/>
              <w:left w:w="113" w:type="dxa"/>
              <w:bottom w:w="170" w:type="dxa"/>
              <w:right w:w="113" w:type="dxa"/>
            </w:tcMar>
          </w:tcPr>
          <w:p w14:paraId="01CE8861" w14:textId="77777777" w:rsidR="00EC25DE" w:rsidRDefault="00EC25DE">
            <w:pPr>
              <w:pStyle w:val="TABLETEXT"/>
              <w:ind w:left="425" w:hanging="425"/>
            </w:pPr>
            <w:r>
              <w:t>3.3</w:t>
            </w:r>
            <w:r>
              <w:tab/>
              <w:t xml:space="preserve">Evaluate the effectiveness of product stewardship and extended producer responsibility activities across the country, to help inform future efforts </w:t>
            </w:r>
          </w:p>
        </w:tc>
        <w:tc>
          <w:tcPr>
            <w:tcW w:w="1748" w:type="dxa"/>
            <w:tcMar>
              <w:top w:w="170" w:type="dxa"/>
              <w:left w:w="113" w:type="dxa"/>
              <w:bottom w:w="170" w:type="dxa"/>
              <w:right w:w="113" w:type="dxa"/>
            </w:tcMar>
          </w:tcPr>
          <w:p w14:paraId="6B529D85" w14:textId="77777777" w:rsidR="00EC25DE" w:rsidRDefault="00EC25DE">
            <w:pPr>
              <w:pStyle w:val="TABLETEXT"/>
            </w:pPr>
            <w:r>
              <w:t xml:space="preserve">Australian Government </w:t>
            </w:r>
          </w:p>
        </w:tc>
        <w:tc>
          <w:tcPr>
            <w:tcW w:w="2070" w:type="dxa"/>
            <w:tcMar>
              <w:top w:w="170" w:type="dxa"/>
              <w:left w:w="113" w:type="dxa"/>
              <w:bottom w:w="170" w:type="dxa"/>
              <w:right w:w="113" w:type="dxa"/>
            </w:tcMar>
          </w:tcPr>
          <w:p w14:paraId="5B71DE92" w14:textId="77777777" w:rsidR="00EC25DE" w:rsidRDefault="00EC25DE">
            <w:pPr>
              <w:pStyle w:val="TABLETEXT"/>
            </w:pPr>
            <w:r>
              <w:t xml:space="preserve">All governments </w:t>
            </w:r>
          </w:p>
          <w:p w14:paraId="3A745D22" w14:textId="77777777" w:rsidR="00EC25DE" w:rsidRDefault="00EC25DE">
            <w:pPr>
              <w:pStyle w:val="TABLETEXT"/>
            </w:pPr>
            <w:r>
              <w:t>Business sector</w:t>
            </w:r>
          </w:p>
          <w:p w14:paraId="1D25AFE1" w14:textId="77777777" w:rsidR="00EC25DE" w:rsidRDefault="00EC25DE">
            <w:pPr>
              <w:pStyle w:val="TABLETEXT"/>
            </w:pPr>
            <w:r>
              <w:t>Waste and resource recovery industry</w:t>
            </w:r>
          </w:p>
        </w:tc>
        <w:tc>
          <w:tcPr>
            <w:tcW w:w="992" w:type="dxa"/>
            <w:tcMar>
              <w:top w:w="170" w:type="dxa"/>
              <w:left w:w="113" w:type="dxa"/>
              <w:bottom w:w="170" w:type="dxa"/>
              <w:right w:w="0" w:type="dxa"/>
            </w:tcMar>
          </w:tcPr>
          <w:p w14:paraId="49D90C00" w14:textId="77777777" w:rsidR="00EC25DE" w:rsidRDefault="00EC25DE">
            <w:pPr>
              <w:pStyle w:val="TABLETEXT"/>
            </w:pPr>
            <w:r>
              <w:t>2021</w:t>
            </w:r>
          </w:p>
        </w:tc>
      </w:tr>
      <w:tr w:rsidR="00EC25DE" w14:paraId="02E537D2" w14:textId="77777777" w:rsidTr="00454715">
        <w:trPr>
          <w:trHeight w:val="283"/>
        </w:trPr>
        <w:tc>
          <w:tcPr>
            <w:tcW w:w="4573" w:type="dxa"/>
            <w:tcMar>
              <w:top w:w="170" w:type="dxa"/>
              <w:left w:w="113" w:type="dxa"/>
              <w:bottom w:w="170" w:type="dxa"/>
              <w:right w:w="113" w:type="dxa"/>
            </w:tcMar>
          </w:tcPr>
          <w:p w14:paraId="0587DCF1" w14:textId="77777777" w:rsidR="00EC25DE" w:rsidRDefault="00EC25DE">
            <w:pPr>
              <w:pStyle w:val="TABLETEXT"/>
              <w:ind w:left="425" w:hanging="425"/>
            </w:pPr>
            <w:r>
              <w:t xml:space="preserve">3.4 </w:t>
            </w:r>
            <w:r>
              <w:tab/>
              <w:t xml:space="preserve">Preferred stewardship scheme for batteries (a) identified and (b) in place </w:t>
            </w:r>
          </w:p>
        </w:tc>
        <w:tc>
          <w:tcPr>
            <w:tcW w:w="1748" w:type="dxa"/>
            <w:tcMar>
              <w:top w:w="170" w:type="dxa"/>
              <w:left w:w="113" w:type="dxa"/>
              <w:bottom w:w="170" w:type="dxa"/>
              <w:right w:w="113" w:type="dxa"/>
            </w:tcMar>
          </w:tcPr>
          <w:p w14:paraId="4833CFFC" w14:textId="77777777" w:rsidR="00EC25DE" w:rsidRDefault="00EC25DE">
            <w:pPr>
              <w:pStyle w:val="TABLETEXT"/>
            </w:pPr>
            <w:r>
              <w:t xml:space="preserve">Queensland Government </w:t>
            </w:r>
          </w:p>
        </w:tc>
        <w:tc>
          <w:tcPr>
            <w:tcW w:w="2070" w:type="dxa"/>
            <w:tcMar>
              <w:top w:w="170" w:type="dxa"/>
              <w:left w:w="113" w:type="dxa"/>
              <w:bottom w:w="170" w:type="dxa"/>
              <w:right w:w="113" w:type="dxa"/>
            </w:tcMar>
          </w:tcPr>
          <w:p w14:paraId="06BEC680" w14:textId="77777777" w:rsidR="00EC25DE" w:rsidRDefault="00EC25DE">
            <w:pPr>
              <w:pStyle w:val="TABLETEXT"/>
            </w:pPr>
            <w:r>
              <w:t>All governments Business sector</w:t>
            </w:r>
          </w:p>
          <w:p w14:paraId="5FD1C8B5" w14:textId="77777777" w:rsidR="00EC25DE" w:rsidRDefault="00EC25DE">
            <w:pPr>
              <w:pStyle w:val="TABLETEXT"/>
            </w:pPr>
            <w:r>
              <w:lastRenderedPageBreak/>
              <w:t>Waste and resource recovery industry</w:t>
            </w:r>
          </w:p>
        </w:tc>
        <w:tc>
          <w:tcPr>
            <w:tcW w:w="992" w:type="dxa"/>
            <w:tcMar>
              <w:top w:w="170" w:type="dxa"/>
              <w:left w:w="113" w:type="dxa"/>
              <w:bottom w:w="170" w:type="dxa"/>
              <w:right w:w="0" w:type="dxa"/>
            </w:tcMar>
          </w:tcPr>
          <w:p w14:paraId="0E0DA80A" w14:textId="77777777" w:rsidR="00EC25DE" w:rsidRDefault="00EC25DE">
            <w:pPr>
              <w:pStyle w:val="TABLETEXT"/>
            </w:pPr>
            <w:r>
              <w:lastRenderedPageBreak/>
              <w:t>(a) 2020</w:t>
            </w:r>
          </w:p>
          <w:p w14:paraId="3CF44AC5" w14:textId="77777777" w:rsidR="00EC25DE" w:rsidRDefault="00EC25DE">
            <w:pPr>
              <w:pStyle w:val="TABLETEXT"/>
            </w:pPr>
            <w:r>
              <w:t>(b) 2022</w:t>
            </w:r>
          </w:p>
        </w:tc>
      </w:tr>
      <w:tr w:rsidR="00EC25DE" w14:paraId="1CF97310" w14:textId="77777777" w:rsidTr="00454715">
        <w:trPr>
          <w:trHeight w:val="283"/>
        </w:trPr>
        <w:tc>
          <w:tcPr>
            <w:tcW w:w="4573" w:type="dxa"/>
            <w:tcMar>
              <w:top w:w="170" w:type="dxa"/>
              <w:left w:w="113" w:type="dxa"/>
              <w:bottom w:w="170" w:type="dxa"/>
              <w:right w:w="113" w:type="dxa"/>
            </w:tcMar>
          </w:tcPr>
          <w:p w14:paraId="2E9B1502" w14:textId="77777777" w:rsidR="00EC25DE" w:rsidRDefault="00EC25DE">
            <w:pPr>
              <w:pStyle w:val="TABLETEXT"/>
              <w:ind w:left="425" w:hanging="425"/>
            </w:pPr>
            <w:r>
              <w:t xml:space="preserve">3.5 </w:t>
            </w:r>
            <w:r>
              <w:tab/>
              <w:t>Preferred stewardship scheme for photovoltaic systems (a) identified and (b) in place</w:t>
            </w:r>
          </w:p>
        </w:tc>
        <w:tc>
          <w:tcPr>
            <w:tcW w:w="1748" w:type="dxa"/>
            <w:tcMar>
              <w:top w:w="170" w:type="dxa"/>
              <w:left w:w="113" w:type="dxa"/>
              <w:bottom w:w="170" w:type="dxa"/>
              <w:right w:w="113" w:type="dxa"/>
            </w:tcMar>
          </w:tcPr>
          <w:p w14:paraId="0E81BD88" w14:textId="77777777" w:rsidR="00EC25DE" w:rsidRDefault="00EC25DE">
            <w:pPr>
              <w:pStyle w:val="TABLETEXT"/>
            </w:pPr>
            <w:r>
              <w:t xml:space="preserve">Victorian Government </w:t>
            </w:r>
          </w:p>
        </w:tc>
        <w:tc>
          <w:tcPr>
            <w:tcW w:w="2070" w:type="dxa"/>
            <w:tcMar>
              <w:top w:w="170" w:type="dxa"/>
              <w:left w:w="113" w:type="dxa"/>
              <w:bottom w:w="170" w:type="dxa"/>
              <w:right w:w="113" w:type="dxa"/>
            </w:tcMar>
          </w:tcPr>
          <w:p w14:paraId="2250BFAF" w14:textId="77777777" w:rsidR="00EC25DE" w:rsidRDefault="00EC25DE">
            <w:pPr>
              <w:pStyle w:val="TABLETEXT"/>
            </w:pPr>
            <w:r>
              <w:t>All governments Business sector</w:t>
            </w:r>
          </w:p>
          <w:p w14:paraId="0ED655AC" w14:textId="77777777" w:rsidR="00EC25DE" w:rsidRDefault="00EC25DE">
            <w:pPr>
              <w:pStyle w:val="TABLETEXT"/>
            </w:pPr>
            <w:r>
              <w:t>Waste and resource recovery industry</w:t>
            </w:r>
          </w:p>
        </w:tc>
        <w:tc>
          <w:tcPr>
            <w:tcW w:w="992" w:type="dxa"/>
            <w:tcMar>
              <w:top w:w="170" w:type="dxa"/>
              <w:left w:w="113" w:type="dxa"/>
              <w:bottom w:w="170" w:type="dxa"/>
              <w:right w:w="0" w:type="dxa"/>
            </w:tcMar>
          </w:tcPr>
          <w:p w14:paraId="4FA16AB2" w14:textId="77777777" w:rsidR="00EC25DE" w:rsidRDefault="00EC25DE">
            <w:pPr>
              <w:pStyle w:val="TABLETEXT"/>
            </w:pPr>
            <w:r>
              <w:t>(a) 2021</w:t>
            </w:r>
          </w:p>
          <w:p w14:paraId="7E8705E1" w14:textId="77777777" w:rsidR="00EC25DE" w:rsidRDefault="00EC25DE">
            <w:pPr>
              <w:pStyle w:val="TABLETEXT"/>
            </w:pPr>
            <w:r>
              <w:t>(b) 2023</w:t>
            </w:r>
          </w:p>
        </w:tc>
      </w:tr>
      <w:tr w:rsidR="00EC25DE" w14:paraId="27BB3ECF" w14:textId="77777777" w:rsidTr="00454715">
        <w:trPr>
          <w:trHeight w:val="283"/>
        </w:trPr>
        <w:tc>
          <w:tcPr>
            <w:tcW w:w="4573" w:type="dxa"/>
            <w:shd w:val="clear" w:color="414D59" w:fill="7F7F7F" w:themeFill="text1" w:themeFillTint="80"/>
            <w:tcMar>
              <w:top w:w="170" w:type="dxa"/>
              <w:left w:w="113" w:type="dxa"/>
              <w:bottom w:w="170" w:type="dxa"/>
              <w:right w:w="113" w:type="dxa"/>
            </w:tcMar>
          </w:tcPr>
          <w:p w14:paraId="28BFFD10" w14:textId="77777777" w:rsidR="00EC25DE" w:rsidRPr="00673CF5" w:rsidRDefault="00EC25DE">
            <w:pPr>
              <w:pStyle w:val="TABLETEXT"/>
              <w:ind w:left="425" w:hanging="425"/>
              <w:rPr>
                <w:color w:val="000000" w:themeColor="text1"/>
              </w:rPr>
            </w:pPr>
            <w:r w:rsidRPr="00673CF5">
              <w:rPr>
                <w:rStyle w:val="TextBold"/>
                <w:color w:val="000000" w:themeColor="text1"/>
                <w14:textOutline w14:w="9525" w14:cap="flat" w14:cmpd="sng" w14:algn="ctr">
                  <w14:noFill/>
                  <w14:prstDash w14:val="solid"/>
                  <w14:round/>
                </w14:textOutline>
              </w:rPr>
              <w:t>A Common Approach</w:t>
            </w:r>
          </w:p>
        </w:tc>
        <w:tc>
          <w:tcPr>
            <w:tcW w:w="1748" w:type="dxa"/>
            <w:shd w:val="clear" w:color="414D59" w:fill="7F7F7F" w:themeFill="text1" w:themeFillTint="80"/>
            <w:tcMar>
              <w:top w:w="170" w:type="dxa"/>
              <w:left w:w="113" w:type="dxa"/>
              <w:bottom w:w="170" w:type="dxa"/>
              <w:right w:w="113" w:type="dxa"/>
            </w:tcMar>
          </w:tcPr>
          <w:p w14:paraId="685C16E4" w14:textId="77777777" w:rsidR="00EC25DE" w:rsidRDefault="00EC25DE">
            <w:pPr>
              <w:pStyle w:val="NoParagraphStyle"/>
              <w:spacing w:line="240" w:lineRule="auto"/>
              <w:textAlignment w:val="auto"/>
              <w:rPr>
                <w:rFonts w:ascii="Calibri" w:hAnsi="Calibri" w:cs="Calibri"/>
                <w:color w:val="auto"/>
              </w:rPr>
            </w:pPr>
          </w:p>
        </w:tc>
        <w:tc>
          <w:tcPr>
            <w:tcW w:w="2070" w:type="dxa"/>
            <w:shd w:val="clear" w:color="414D59" w:fill="7F7F7F" w:themeFill="text1" w:themeFillTint="80"/>
            <w:tcMar>
              <w:top w:w="170" w:type="dxa"/>
              <w:left w:w="113" w:type="dxa"/>
              <w:bottom w:w="170" w:type="dxa"/>
              <w:right w:w="113" w:type="dxa"/>
            </w:tcMar>
          </w:tcPr>
          <w:p w14:paraId="2FE71EFE" w14:textId="77777777" w:rsidR="00EC25DE" w:rsidRDefault="00EC25DE">
            <w:pPr>
              <w:pStyle w:val="NoParagraphStyle"/>
              <w:spacing w:line="240" w:lineRule="auto"/>
              <w:textAlignment w:val="auto"/>
              <w:rPr>
                <w:rFonts w:ascii="Calibri" w:hAnsi="Calibri" w:cs="Calibri"/>
                <w:color w:val="auto"/>
              </w:rPr>
            </w:pPr>
          </w:p>
        </w:tc>
        <w:tc>
          <w:tcPr>
            <w:tcW w:w="992" w:type="dxa"/>
            <w:shd w:val="clear" w:color="414D59" w:fill="7F7F7F" w:themeFill="text1" w:themeFillTint="80"/>
            <w:tcMar>
              <w:top w:w="170" w:type="dxa"/>
              <w:left w:w="113" w:type="dxa"/>
              <w:bottom w:w="170" w:type="dxa"/>
              <w:right w:w="0" w:type="dxa"/>
            </w:tcMar>
          </w:tcPr>
          <w:p w14:paraId="509CBAE8" w14:textId="77777777" w:rsidR="00EC25DE" w:rsidRDefault="00EC25DE">
            <w:pPr>
              <w:pStyle w:val="NoParagraphStyle"/>
              <w:spacing w:line="240" w:lineRule="auto"/>
              <w:textAlignment w:val="auto"/>
              <w:rPr>
                <w:rFonts w:ascii="Calibri" w:hAnsi="Calibri" w:cs="Calibri"/>
                <w:color w:val="auto"/>
              </w:rPr>
            </w:pPr>
          </w:p>
        </w:tc>
      </w:tr>
      <w:tr w:rsidR="00EC25DE" w14:paraId="1F5B7F72" w14:textId="77777777" w:rsidTr="00454715">
        <w:trPr>
          <w:trHeight w:val="283"/>
        </w:trPr>
        <w:tc>
          <w:tcPr>
            <w:tcW w:w="4573" w:type="dxa"/>
            <w:shd w:val="clear" w:color="414D59" w:fill="A6A6A6" w:themeFill="background1" w:themeFillShade="A6"/>
            <w:tcMar>
              <w:top w:w="170" w:type="dxa"/>
              <w:left w:w="113" w:type="dxa"/>
              <w:bottom w:w="170" w:type="dxa"/>
              <w:right w:w="113" w:type="dxa"/>
            </w:tcMar>
          </w:tcPr>
          <w:p w14:paraId="55654D96" w14:textId="77777777" w:rsidR="00EC25DE" w:rsidRPr="00673CF5" w:rsidRDefault="00EC25DE">
            <w:pPr>
              <w:pStyle w:val="TABLETEXT"/>
              <w:ind w:left="425" w:hanging="425"/>
              <w:rPr>
                <w:color w:val="000000" w:themeColor="text1"/>
              </w:rPr>
            </w:pPr>
            <w:r w:rsidRPr="00673CF5">
              <w:rPr>
                <w:rStyle w:val="TextBold"/>
                <w:color w:val="000000" w:themeColor="text1"/>
              </w:rPr>
              <w:t>National Standards and Specifications</w:t>
            </w:r>
          </w:p>
        </w:tc>
        <w:tc>
          <w:tcPr>
            <w:tcW w:w="1748" w:type="dxa"/>
            <w:shd w:val="clear" w:color="414D59" w:fill="A6A6A6" w:themeFill="background1" w:themeFillShade="A6"/>
            <w:tcMar>
              <w:top w:w="170" w:type="dxa"/>
              <w:left w:w="113" w:type="dxa"/>
              <w:bottom w:w="170" w:type="dxa"/>
              <w:right w:w="113" w:type="dxa"/>
            </w:tcMar>
          </w:tcPr>
          <w:p w14:paraId="2A5E4AC9" w14:textId="77777777" w:rsidR="00EC25DE" w:rsidRDefault="00EC25DE">
            <w:pPr>
              <w:pStyle w:val="NoParagraphStyle"/>
              <w:spacing w:line="240" w:lineRule="auto"/>
              <w:textAlignment w:val="auto"/>
              <w:rPr>
                <w:rFonts w:ascii="Calibri" w:hAnsi="Calibri" w:cs="Calibri"/>
                <w:color w:val="auto"/>
              </w:rPr>
            </w:pPr>
          </w:p>
        </w:tc>
        <w:tc>
          <w:tcPr>
            <w:tcW w:w="2070" w:type="dxa"/>
            <w:shd w:val="clear" w:color="414D59" w:fill="A6A6A6" w:themeFill="background1" w:themeFillShade="A6"/>
            <w:tcMar>
              <w:top w:w="170" w:type="dxa"/>
              <w:left w:w="113" w:type="dxa"/>
              <w:bottom w:w="170" w:type="dxa"/>
              <w:right w:w="113" w:type="dxa"/>
            </w:tcMar>
          </w:tcPr>
          <w:p w14:paraId="7E67CBF2" w14:textId="77777777" w:rsidR="00EC25DE" w:rsidRDefault="00EC25DE">
            <w:pPr>
              <w:pStyle w:val="NoParagraphStyle"/>
              <w:spacing w:line="240" w:lineRule="auto"/>
              <w:textAlignment w:val="auto"/>
              <w:rPr>
                <w:rFonts w:ascii="Calibri" w:hAnsi="Calibri" w:cs="Calibri"/>
                <w:color w:val="auto"/>
              </w:rPr>
            </w:pPr>
          </w:p>
        </w:tc>
        <w:tc>
          <w:tcPr>
            <w:tcW w:w="992" w:type="dxa"/>
            <w:shd w:val="clear" w:color="414D59" w:fill="A6A6A6" w:themeFill="background1" w:themeFillShade="A6"/>
            <w:tcMar>
              <w:top w:w="170" w:type="dxa"/>
              <w:left w:w="113" w:type="dxa"/>
              <w:bottom w:w="170" w:type="dxa"/>
              <w:right w:w="0" w:type="dxa"/>
            </w:tcMar>
          </w:tcPr>
          <w:p w14:paraId="6F07F554" w14:textId="77777777" w:rsidR="00EC25DE" w:rsidRDefault="00EC25DE">
            <w:pPr>
              <w:pStyle w:val="NoParagraphStyle"/>
              <w:spacing w:line="240" w:lineRule="auto"/>
              <w:textAlignment w:val="auto"/>
              <w:rPr>
                <w:rFonts w:ascii="Calibri" w:hAnsi="Calibri" w:cs="Calibri"/>
                <w:color w:val="auto"/>
              </w:rPr>
            </w:pPr>
          </w:p>
        </w:tc>
      </w:tr>
      <w:tr w:rsidR="00EC25DE" w14:paraId="64D6B407" w14:textId="77777777" w:rsidTr="00454715">
        <w:trPr>
          <w:trHeight w:val="283"/>
        </w:trPr>
        <w:tc>
          <w:tcPr>
            <w:tcW w:w="4573" w:type="dxa"/>
            <w:tcMar>
              <w:top w:w="170" w:type="dxa"/>
              <w:left w:w="113" w:type="dxa"/>
              <w:bottom w:w="170" w:type="dxa"/>
              <w:right w:w="113" w:type="dxa"/>
            </w:tcMar>
          </w:tcPr>
          <w:p w14:paraId="1434E97F" w14:textId="77777777" w:rsidR="00EC25DE" w:rsidRDefault="00EC25DE">
            <w:pPr>
              <w:pStyle w:val="TABLETEXT"/>
              <w:ind w:left="425" w:hanging="425"/>
            </w:pPr>
            <w:r>
              <w:t xml:space="preserve">3.6 </w:t>
            </w:r>
            <w:r>
              <w:tab/>
              <w:t>Prioritise the development of national standards and specifications, or adopt appropriate international standards and specifications, for the use of recycled content in a broad range of capital works projects, prioritising road and rail</w:t>
            </w:r>
          </w:p>
        </w:tc>
        <w:tc>
          <w:tcPr>
            <w:tcW w:w="1748" w:type="dxa"/>
            <w:tcMar>
              <w:top w:w="170" w:type="dxa"/>
              <w:left w:w="113" w:type="dxa"/>
              <w:bottom w:w="170" w:type="dxa"/>
              <w:right w:w="113" w:type="dxa"/>
            </w:tcMar>
          </w:tcPr>
          <w:p w14:paraId="4CEE5FA3" w14:textId="77777777" w:rsidR="00EC25DE" w:rsidRDefault="00EC25DE">
            <w:pPr>
              <w:pStyle w:val="TABLETEXT"/>
            </w:pPr>
            <w:r>
              <w:t>Australian Government</w:t>
            </w:r>
          </w:p>
        </w:tc>
        <w:tc>
          <w:tcPr>
            <w:tcW w:w="2070" w:type="dxa"/>
            <w:tcMar>
              <w:top w:w="170" w:type="dxa"/>
              <w:left w:w="113" w:type="dxa"/>
              <w:bottom w:w="170" w:type="dxa"/>
              <w:right w:w="113" w:type="dxa"/>
            </w:tcMar>
          </w:tcPr>
          <w:p w14:paraId="6FD7DA63" w14:textId="77777777" w:rsidR="00EC25DE" w:rsidRDefault="00EC25DE">
            <w:pPr>
              <w:pStyle w:val="TABLETEXT"/>
            </w:pPr>
            <w:r>
              <w:t>All governments</w:t>
            </w:r>
          </w:p>
        </w:tc>
        <w:tc>
          <w:tcPr>
            <w:tcW w:w="992" w:type="dxa"/>
            <w:tcMar>
              <w:top w:w="170" w:type="dxa"/>
              <w:left w:w="113" w:type="dxa"/>
              <w:bottom w:w="170" w:type="dxa"/>
              <w:right w:w="0" w:type="dxa"/>
            </w:tcMar>
          </w:tcPr>
          <w:p w14:paraId="46E1F091" w14:textId="77777777" w:rsidR="00EC25DE" w:rsidRDefault="00EC25DE">
            <w:pPr>
              <w:pStyle w:val="TABLETEXT"/>
            </w:pPr>
            <w:r>
              <w:t>2020</w:t>
            </w:r>
          </w:p>
        </w:tc>
      </w:tr>
      <w:tr w:rsidR="00EC25DE" w14:paraId="4E5753DD" w14:textId="77777777" w:rsidTr="00454715">
        <w:trPr>
          <w:trHeight w:val="283"/>
        </w:trPr>
        <w:tc>
          <w:tcPr>
            <w:tcW w:w="4573" w:type="dxa"/>
            <w:tcMar>
              <w:top w:w="170" w:type="dxa"/>
              <w:left w:w="113" w:type="dxa"/>
              <w:bottom w:w="170" w:type="dxa"/>
              <w:right w:w="113" w:type="dxa"/>
            </w:tcMar>
          </w:tcPr>
          <w:p w14:paraId="1BC56A14" w14:textId="77777777" w:rsidR="00EC25DE" w:rsidRDefault="00EC25DE">
            <w:pPr>
              <w:pStyle w:val="TABLETEXT"/>
              <w:ind w:left="425" w:hanging="425"/>
            </w:pPr>
            <w:r>
              <w:t>3.7</w:t>
            </w:r>
            <w:r>
              <w:tab/>
              <w:t>Consider national standards for kerbside recycling collection and materials recovery facilities to improve consistency and performance</w:t>
            </w:r>
          </w:p>
        </w:tc>
        <w:tc>
          <w:tcPr>
            <w:tcW w:w="1748" w:type="dxa"/>
            <w:tcMar>
              <w:top w:w="170" w:type="dxa"/>
              <w:left w:w="113" w:type="dxa"/>
              <w:bottom w:w="170" w:type="dxa"/>
              <w:right w:w="113" w:type="dxa"/>
            </w:tcMar>
          </w:tcPr>
          <w:p w14:paraId="7F834C91" w14:textId="77777777" w:rsidR="00EC25DE" w:rsidRDefault="00EC25DE">
            <w:pPr>
              <w:pStyle w:val="TABLETEXT"/>
            </w:pPr>
            <w:r>
              <w:t>All governments</w:t>
            </w:r>
          </w:p>
        </w:tc>
        <w:tc>
          <w:tcPr>
            <w:tcW w:w="2070" w:type="dxa"/>
            <w:tcMar>
              <w:top w:w="170" w:type="dxa"/>
              <w:left w:w="113" w:type="dxa"/>
              <w:bottom w:w="170" w:type="dxa"/>
              <w:right w:w="113" w:type="dxa"/>
            </w:tcMar>
          </w:tcPr>
          <w:p w14:paraId="6B1D4591" w14:textId="77777777" w:rsidR="00EC25DE" w:rsidRDefault="00EC25DE">
            <w:pPr>
              <w:pStyle w:val="TABLETEXT"/>
            </w:pPr>
            <w:r>
              <w:t>ALGA</w:t>
            </w:r>
          </w:p>
        </w:tc>
        <w:tc>
          <w:tcPr>
            <w:tcW w:w="992" w:type="dxa"/>
            <w:tcMar>
              <w:top w:w="170" w:type="dxa"/>
              <w:left w:w="113" w:type="dxa"/>
              <w:bottom w:w="170" w:type="dxa"/>
              <w:right w:w="0" w:type="dxa"/>
            </w:tcMar>
          </w:tcPr>
          <w:p w14:paraId="5D02C548" w14:textId="77777777" w:rsidR="00EC25DE" w:rsidRDefault="00EC25DE">
            <w:pPr>
              <w:pStyle w:val="TABLETEXT"/>
            </w:pPr>
            <w:r>
              <w:t>2022</w:t>
            </w:r>
          </w:p>
        </w:tc>
      </w:tr>
      <w:tr w:rsidR="00EC25DE" w14:paraId="37E8F69C" w14:textId="77777777" w:rsidTr="00454715">
        <w:trPr>
          <w:trHeight w:val="283"/>
        </w:trPr>
        <w:tc>
          <w:tcPr>
            <w:tcW w:w="4573" w:type="dxa"/>
            <w:tcMar>
              <w:top w:w="170" w:type="dxa"/>
              <w:left w:w="113" w:type="dxa"/>
              <w:bottom w:w="170" w:type="dxa"/>
              <w:right w:w="113" w:type="dxa"/>
            </w:tcMar>
          </w:tcPr>
          <w:p w14:paraId="07393708" w14:textId="77777777" w:rsidR="00EC25DE" w:rsidRDefault="00EC25DE">
            <w:pPr>
              <w:pStyle w:val="TABLETEXT"/>
              <w:ind w:left="425" w:hanging="425"/>
            </w:pPr>
            <w:r>
              <w:t xml:space="preserve">3.8 </w:t>
            </w:r>
            <w:r>
              <w:tab/>
              <w:t>Explore how to better align reporting systems to agreed national classifications and definitions for data and reporting, including surveys of recycling, to improve sharing of information</w:t>
            </w:r>
          </w:p>
        </w:tc>
        <w:tc>
          <w:tcPr>
            <w:tcW w:w="1748" w:type="dxa"/>
            <w:tcMar>
              <w:top w:w="170" w:type="dxa"/>
              <w:left w:w="113" w:type="dxa"/>
              <w:bottom w:w="170" w:type="dxa"/>
              <w:right w:w="113" w:type="dxa"/>
            </w:tcMar>
          </w:tcPr>
          <w:p w14:paraId="3900D70B" w14:textId="77777777" w:rsidR="00EC25DE" w:rsidRDefault="00EC25DE">
            <w:pPr>
              <w:pStyle w:val="TABLETEXT"/>
            </w:pPr>
            <w:r>
              <w:t>All governments</w:t>
            </w:r>
          </w:p>
        </w:tc>
        <w:tc>
          <w:tcPr>
            <w:tcW w:w="2070" w:type="dxa"/>
            <w:tcMar>
              <w:top w:w="170" w:type="dxa"/>
              <w:left w:w="113" w:type="dxa"/>
              <w:bottom w:w="170" w:type="dxa"/>
              <w:right w:w="113" w:type="dxa"/>
            </w:tcMar>
          </w:tcPr>
          <w:p w14:paraId="7046901E" w14:textId="77777777" w:rsidR="00EC25DE" w:rsidRDefault="00EC25DE">
            <w:pPr>
              <w:pStyle w:val="NoParagraphStyle"/>
              <w:spacing w:line="240" w:lineRule="auto"/>
              <w:textAlignment w:val="auto"/>
              <w:rPr>
                <w:rFonts w:ascii="Calibri" w:hAnsi="Calibri" w:cs="Calibri"/>
                <w:color w:val="auto"/>
              </w:rPr>
            </w:pPr>
          </w:p>
        </w:tc>
        <w:tc>
          <w:tcPr>
            <w:tcW w:w="992" w:type="dxa"/>
            <w:tcMar>
              <w:top w:w="170" w:type="dxa"/>
              <w:left w:w="113" w:type="dxa"/>
              <w:bottom w:w="170" w:type="dxa"/>
              <w:right w:w="0" w:type="dxa"/>
            </w:tcMar>
          </w:tcPr>
          <w:p w14:paraId="5E13C7E8" w14:textId="77777777" w:rsidR="00EC25DE" w:rsidRDefault="00EC25DE">
            <w:pPr>
              <w:pStyle w:val="TABLETEXT"/>
            </w:pPr>
            <w:r>
              <w:t>2020</w:t>
            </w:r>
          </w:p>
        </w:tc>
      </w:tr>
      <w:tr w:rsidR="00EC25DE" w14:paraId="536DFFC1" w14:textId="77777777" w:rsidTr="00454715">
        <w:trPr>
          <w:trHeight w:val="283"/>
        </w:trPr>
        <w:tc>
          <w:tcPr>
            <w:tcW w:w="4573" w:type="dxa"/>
            <w:tcMar>
              <w:top w:w="170" w:type="dxa"/>
              <w:left w:w="113" w:type="dxa"/>
              <w:bottom w:w="170" w:type="dxa"/>
              <w:right w:w="113" w:type="dxa"/>
            </w:tcMar>
          </w:tcPr>
          <w:p w14:paraId="7F4984A7" w14:textId="77777777" w:rsidR="00EC25DE" w:rsidRDefault="00EC25DE">
            <w:pPr>
              <w:pStyle w:val="TABLETEXT"/>
              <w:ind w:left="425" w:hanging="425"/>
            </w:pPr>
            <w:r>
              <w:t>3.9</w:t>
            </w:r>
            <w:r>
              <w:tab/>
              <w:t>Develop a common approach to restrict the disposal of priority products and materials in landfill, starting with lithium-ion batteries, materials collected for the purpose of recycling, and e-waste</w:t>
            </w:r>
          </w:p>
        </w:tc>
        <w:tc>
          <w:tcPr>
            <w:tcW w:w="1748" w:type="dxa"/>
            <w:tcMar>
              <w:top w:w="170" w:type="dxa"/>
              <w:left w:w="113" w:type="dxa"/>
              <w:bottom w:w="170" w:type="dxa"/>
              <w:right w:w="113" w:type="dxa"/>
            </w:tcMar>
          </w:tcPr>
          <w:p w14:paraId="4272ED89" w14:textId="77777777" w:rsidR="00EC25DE" w:rsidRDefault="00EC25DE">
            <w:pPr>
              <w:pStyle w:val="TABLETEXT"/>
            </w:pPr>
            <w:r>
              <w:t>All governments</w:t>
            </w:r>
          </w:p>
        </w:tc>
        <w:tc>
          <w:tcPr>
            <w:tcW w:w="2070" w:type="dxa"/>
            <w:tcMar>
              <w:top w:w="170" w:type="dxa"/>
              <w:left w:w="113" w:type="dxa"/>
              <w:bottom w:w="170" w:type="dxa"/>
              <w:right w:w="113" w:type="dxa"/>
            </w:tcMar>
          </w:tcPr>
          <w:p w14:paraId="4E0F65C7" w14:textId="77777777" w:rsidR="00EC25DE" w:rsidRDefault="00EC25DE">
            <w:pPr>
              <w:pStyle w:val="NoParagraphStyle"/>
              <w:spacing w:line="240" w:lineRule="auto"/>
              <w:textAlignment w:val="auto"/>
              <w:rPr>
                <w:rFonts w:ascii="Calibri" w:hAnsi="Calibri" w:cs="Calibri"/>
                <w:color w:val="auto"/>
              </w:rPr>
            </w:pPr>
          </w:p>
        </w:tc>
        <w:tc>
          <w:tcPr>
            <w:tcW w:w="992" w:type="dxa"/>
            <w:tcMar>
              <w:top w:w="170" w:type="dxa"/>
              <w:left w:w="113" w:type="dxa"/>
              <w:bottom w:w="170" w:type="dxa"/>
              <w:right w:w="0" w:type="dxa"/>
            </w:tcMar>
          </w:tcPr>
          <w:p w14:paraId="3FC0684C" w14:textId="77777777" w:rsidR="00EC25DE" w:rsidRDefault="00EC25DE">
            <w:pPr>
              <w:pStyle w:val="TABLETEXT"/>
            </w:pPr>
            <w:r>
              <w:t>2021</w:t>
            </w:r>
          </w:p>
        </w:tc>
      </w:tr>
      <w:tr w:rsidR="00424906" w:rsidRPr="00424906" w14:paraId="24224B7A" w14:textId="77777777" w:rsidTr="00454715">
        <w:trPr>
          <w:trHeight w:val="283"/>
        </w:trPr>
        <w:tc>
          <w:tcPr>
            <w:tcW w:w="9383" w:type="dxa"/>
            <w:gridSpan w:val="4"/>
            <w:shd w:val="clear" w:color="414D59" w:fill="A6A6A6" w:themeFill="background1" w:themeFillShade="A6"/>
            <w:tcMar>
              <w:top w:w="170" w:type="dxa"/>
              <w:left w:w="113" w:type="dxa"/>
              <w:bottom w:w="170" w:type="dxa"/>
              <w:right w:w="113" w:type="dxa"/>
            </w:tcMar>
          </w:tcPr>
          <w:p w14:paraId="3DF96847" w14:textId="77777777" w:rsidR="00EC25DE" w:rsidRPr="00424906" w:rsidRDefault="00EC25DE">
            <w:pPr>
              <w:pStyle w:val="TABLETEXT"/>
              <w:ind w:left="425" w:hanging="425"/>
              <w:rPr>
                <w:color w:val="FFFFFF" w:themeColor="background1"/>
              </w:rPr>
            </w:pPr>
            <w:r w:rsidRPr="00673CF5">
              <w:rPr>
                <w:rStyle w:val="TextBold"/>
                <w:color w:val="000000" w:themeColor="text1"/>
              </w:rPr>
              <w:t>Exports, cross-border transportation of waste, proximity principle and waste levies</w:t>
            </w:r>
          </w:p>
        </w:tc>
      </w:tr>
      <w:tr w:rsidR="00EC25DE" w14:paraId="017DC6B0" w14:textId="77777777" w:rsidTr="00454715">
        <w:trPr>
          <w:trHeight w:val="283"/>
        </w:trPr>
        <w:tc>
          <w:tcPr>
            <w:tcW w:w="4573" w:type="dxa"/>
            <w:tcMar>
              <w:top w:w="170" w:type="dxa"/>
              <w:left w:w="113" w:type="dxa"/>
              <w:bottom w:w="170" w:type="dxa"/>
              <w:right w:w="113" w:type="dxa"/>
            </w:tcMar>
          </w:tcPr>
          <w:p w14:paraId="52B65F6F" w14:textId="77777777" w:rsidR="00EC25DE" w:rsidRDefault="00EC25DE">
            <w:pPr>
              <w:pStyle w:val="TABLETEXT"/>
              <w:ind w:left="425" w:hanging="425"/>
            </w:pPr>
            <w:r>
              <w:t>3.10</w:t>
            </w:r>
            <w:r>
              <w:tab/>
              <w:t>Acknowledging existing jurisdictional settings, investigate options to harmonise waste levies across Australia through government treasuries to encourage best practice waste management</w:t>
            </w:r>
          </w:p>
        </w:tc>
        <w:tc>
          <w:tcPr>
            <w:tcW w:w="1748" w:type="dxa"/>
            <w:tcMar>
              <w:top w:w="170" w:type="dxa"/>
              <w:left w:w="113" w:type="dxa"/>
              <w:bottom w:w="170" w:type="dxa"/>
              <w:right w:w="113" w:type="dxa"/>
            </w:tcMar>
          </w:tcPr>
          <w:p w14:paraId="3978168B" w14:textId="77777777" w:rsidR="00EC25DE" w:rsidRDefault="00EC25DE">
            <w:pPr>
              <w:pStyle w:val="TABLETEXT"/>
            </w:pPr>
            <w:r>
              <w:t>Victorian Government</w:t>
            </w:r>
          </w:p>
        </w:tc>
        <w:tc>
          <w:tcPr>
            <w:tcW w:w="2070" w:type="dxa"/>
            <w:tcMar>
              <w:top w:w="170" w:type="dxa"/>
              <w:left w:w="113" w:type="dxa"/>
              <w:bottom w:w="170" w:type="dxa"/>
              <w:right w:w="113" w:type="dxa"/>
            </w:tcMar>
          </w:tcPr>
          <w:p w14:paraId="4F059794" w14:textId="77777777" w:rsidR="00EC25DE" w:rsidRDefault="00EC25DE">
            <w:pPr>
              <w:pStyle w:val="TABLETEXT"/>
            </w:pPr>
            <w:r>
              <w:t>All governments</w:t>
            </w:r>
          </w:p>
        </w:tc>
        <w:tc>
          <w:tcPr>
            <w:tcW w:w="992" w:type="dxa"/>
            <w:tcMar>
              <w:top w:w="170" w:type="dxa"/>
              <w:left w:w="113" w:type="dxa"/>
              <w:bottom w:w="170" w:type="dxa"/>
              <w:right w:w="0" w:type="dxa"/>
            </w:tcMar>
          </w:tcPr>
          <w:p w14:paraId="2494F4BD" w14:textId="77777777" w:rsidR="00EC25DE" w:rsidRDefault="00EC25DE">
            <w:pPr>
              <w:pStyle w:val="TABLETEXT"/>
            </w:pPr>
            <w:r>
              <w:t>2020</w:t>
            </w:r>
          </w:p>
        </w:tc>
      </w:tr>
      <w:tr w:rsidR="00EC25DE" w14:paraId="36B50809" w14:textId="77777777" w:rsidTr="00454715">
        <w:trPr>
          <w:trHeight w:val="283"/>
        </w:trPr>
        <w:tc>
          <w:tcPr>
            <w:tcW w:w="4573" w:type="dxa"/>
            <w:tcMar>
              <w:top w:w="170" w:type="dxa"/>
              <w:left w:w="113" w:type="dxa"/>
              <w:bottom w:w="170" w:type="dxa"/>
              <w:right w:w="113" w:type="dxa"/>
            </w:tcMar>
          </w:tcPr>
          <w:p w14:paraId="513C011D" w14:textId="77777777" w:rsidR="00EC25DE" w:rsidRDefault="00EC25DE">
            <w:pPr>
              <w:pStyle w:val="TABLETEXT"/>
              <w:ind w:left="425" w:hanging="425"/>
            </w:pPr>
            <w:r>
              <w:t>3.11</w:t>
            </w:r>
            <w:r>
              <w:tab/>
              <w:t>Develop a nationally consistent classification scheme for non-regulated waste, to be developed through a phased implementation plan, allowing clarity on waste movements and management nationally</w:t>
            </w:r>
          </w:p>
        </w:tc>
        <w:tc>
          <w:tcPr>
            <w:tcW w:w="1748" w:type="dxa"/>
            <w:tcMar>
              <w:top w:w="170" w:type="dxa"/>
              <w:left w:w="113" w:type="dxa"/>
              <w:bottom w:w="170" w:type="dxa"/>
              <w:right w:w="113" w:type="dxa"/>
            </w:tcMar>
          </w:tcPr>
          <w:p w14:paraId="060391B4" w14:textId="77777777" w:rsidR="00EC25DE" w:rsidRDefault="00EC25DE">
            <w:pPr>
              <w:pStyle w:val="TABLETEXT"/>
            </w:pPr>
            <w:r>
              <w:t>Queensland and South Australian governments</w:t>
            </w:r>
          </w:p>
        </w:tc>
        <w:tc>
          <w:tcPr>
            <w:tcW w:w="2070" w:type="dxa"/>
            <w:tcMar>
              <w:top w:w="170" w:type="dxa"/>
              <w:left w:w="113" w:type="dxa"/>
              <w:bottom w:w="170" w:type="dxa"/>
              <w:right w:w="113" w:type="dxa"/>
            </w:tcMar>
          </w:tcPr>
          <w:p w14:paraId="51F94F00" w14:textId="77777777" w:rsidR="00EC25DE" w:rsidRDefault="00EC25DE">
            <w:pPr>
              <w:pStyle w:val="TABLETEXT"/>
            </w:pPr>
            <w:r>
              <w:t>All governments</w:t>
            </w:r>
          </w:p>
        </w:tc>
        <w:tc>
          <w:tcPr>
            <w:tcW w:w="992" w:type="dxa"/>
            <w:tcMar>
              <w:top w:w="170" w:type="dxa"/>
              <w:left w:w="113" w:type="dxa"/>
              <w:bottom w:w="170" w:type="dxa"/>
              <w:right w:w="0" w:type="dxa"/>
            </w:tcMar>
          </w:tcPr>
          <w:p w14:paraId="64589E12" w14:textId="77777777" w:rsidR="00EC25DE" w:rsidRDefault="00EC25DE">
            <w:pPr>
              <w:pStyle w:val="TABLETEXT"/>
            </w:pPr>
            <w:r>
              <w:t>2020</w:t>
            </w:r>
          </w:p>
        </w:tc>
      </w:tr>
      <w:tr w:rsidR="00EC25DE" w14:paraId="7F3F1CC3" w14:textId="77777777" w:rsidTr="00454715">
        <w:trPr>
          <w:trHeight w:val="283"/>
        </w:trPr>
        <w:tc>
          <w:tcPr>
            <w:tcW w:w="4573" w:type="dxa"/>
            <w:tcMar>
              <w:top w:w="170" w:type="dxa"/>
              <w:left w:w="113" w:type="dxa"/>
              <w:bottom w:w="170" w:type="dxa"/>
              <w:right w:w="113" w:type="dxa"/>
            </w:tcMar>
          </w:tcPr>
          <w:p w14:paraId="5A01FF89" w14:textId="77777777" w:rsidR="00EC25DE" w:rsidRDefault="00EC25DE">
            <w:pPr>
              <w:pStyle w:val="TABLETEXT"/>
              <w:ind w:left="425" w:hanging="425"/>
            </w:pPr>
            <w:r>
              <w:lastRenderedPageBreak/>
              <w:t>3.12</w:t>
            </w:r>
            <w:r>
              <w:tab/>
              <w:t>Investigate and provide alternatives for consideration of reporting on non-regulated waste received at end points, specifying the geographical origin of the material</w:t>
            </w:r>
          </w:p>
        </w:tc>
        <w:tc>
          <w:tcPr>
            <w:tcW w:w="1748" w:type="dxa"/>
            <w:tcMar>
              <w:top w:w="170" w:type="dxa"/>
              <w:left w:w="113" w:type="dxa"/>
              <w:bottom w:w="170" w:type="dxa"/>
              <w:right w:w="113" w:type="dxa"/>
            </w:tcMar>
          </w:tcPr>
          <w:p w14:paraId="19B50270" w14:textId="77777777" w:rsidR="00EC25DE" w:rsidRDefault="00EC25DE">
            <w:pPr>
              <w:pStyle w:val="TABLETEXT"/>
            </w:pPr>
            <w:r>
              <w:t>Queensland and South Australian governments</w:t>
            </w:r>
          </w:p>
        </w:tc>
        <w:tc>
          <w:tcPr>
            <w:tcW w:w="2070" w:type="dxa"/>
            <w:tcMar>
              <w:top w:w="170" w:type="dxa"/>
              <w:left w:w="113" w:type="dxa"/>
              <w:bottom w:w="170" w:type="dxa"/>
              <w:right w:w="113" w:type="dxa"/>
            </w:tcMar>
          </w:tcPr>
          <w:p w14:paraId="502B4A18" w14:textId="77777777" w:rsidR="00EC25DE" w:rsidRDefault="00EC25DE">
            <w:pPr>
              <w:pStyle w:val="TABLETEXT"/>
            </w:pPr>
            <w:r>
              <w:t>All governments</w:t>
            </w:r>
          </w:p>
        </w:tc>
        <w:tc>
          <w:tcPr>
            <w:tcW w:w="992" w:type="dxa"/>
            <w:tcMar>
              <w:top w:w="170" w:type="dxa"/>
              <w:left w:w="113" w:type="dxa"/>
              <w:bottom w:w="170" w:type="dxa"/>
              <w:right w:w="0" w:type="dxa"/>
            </w:tcMar>
          </w:tcPr>
          <w:p w14:paraId="27C65888" w14:textId="77777777" w:rsidR="00EC25DE" w:rsidRDefault="00EC25DE">
            <w:pPr>
              <w:pStyle w:val="TABLETEXT"/>
            </w:pPr>
            <w:r>
              <w:t>2021</w:t>
            </w:r>
          </w:p>
        </w:tc>
      </w:tr>
      <w:tr w:rsidR="00EC25DE" w14:paraId="1714E2CE" w14:textId="77777777" w:rsidTr="00454715">
        <w:trPr>
          <w:trHeight w:val="283"/>
        </w:trPr>
        <w:tc>
          <w:tcPr>
            <w:tcW w:w="4573" w:type="dxa"/>
            <w:tcMar>
              <w:top w:w="170" w:type="dxa"/>
              <w:left w:w="113" w:type="dxa"/>
              <w:bottom w:w="170" w:type="dxa"/>
              <w:right w:w="113" w:type="dxa"/>
            </w:tcMar>
          </w:tcPr>
          <w:p w14:paraId="333F705C" w14:textId="77777777" w:rsidR="00EC25DE" w:rsidRDefault="00EC25DE">
            <w:pPr>
              <w:pStyle w:val="TABLETEXT"/>
              <w:ind w:left="425" w:hanging="425"/>
            </w:pPr>
            <w:r>
              <w:t>3.13</w:t>
            </w:r>
            <w:r>
              <w:tab/>
              <w:t xml:space="preserve">Investigate how to develop and best implement an agreed national approach to the movement of waste, to improve environmental outcomes of waste management </w:t>
            </w:r>
          </w:p>
        </w:tc>
        <w:tc>
          <w:tcPr>
            <w:tcW w:w="1748" w:type="dxa"/>
            <w:tcMar>
              <w:top w:w="170" w:type="dxa"/>
              <w:left w:w="113" w:type="dxa"/>
              <w:bottom w:w="170" w:type="dxa"/>
              <w:right w:w="113" w:type="dxa"/>
            </w:tcMar>
          </w:tcPr>
          <w:p w14:paraId="23C6354B" w14:textId="77777777" w:rsidR="00EC25DE" w:rsidRDefault="00EC25DE">
            <w:pPr>
              <w:pStyle w:val="TABLETEXT"/>
            </w:pPr>
            <w:r>
              <w:t>All governments</w:t>
            </w:r>
          </w:p>
        </w:tc>
        <w:tc>
          <w:tcPr>
            <w:tcW w:w="2070" w:type="dxa"/>
            <w:tcMar>
              <w:top w:w="170" w:type="dxa"/>
              <w:left w:w="113" w:type="dxa"/>
              <w:bottom w:w="170" w:type="dxa"/>
              <w:right w:w="113" w:type="dxa"/>
            </w:tcMar>
          </w:tcPr>
          <w:p w14:paraId="05F736BF" w14:textId="77777777" w:rsidR="00EC25DE" w:rsidRDefault="00EC25DE">
            <w:pPr>
              <w:pStyle w:val="NoParagraphStyle"/>
              <w:spacing w:line="240" w:lineRule="auto"/>
              <w:textAlignment w:val="auto"/>
              <w:rPr>
                <w:rFonts w:ascii="Calibri" w:hAnsi="Calibri" w:cs="Calibri"/>
                <w:color w:val="auto"/>
              </w:rPr>
            </w:pPr>
          </w:p>
        </w:tc>
        <w:tc>
          <w:tcPr>
            <w:tcW w:w="992" w:type="dxa"/>
            <w:tcMar>
              <w:top w:w="170" w:type="dxa"/>
              <w:left w:w="113" w:type="dxa"/>
              <w:bottom w:w="170" w:type="dxa"/>
              <w:right w:w="0" w:type="dxa"/>
            </w:tcMar>
          </w:tcPr>
          <w:p w14:paraId="77FBEF36" w14:textId="77777777" w:rsidR="00EC25DE" w:rsidRDefault="00EC25DE">
            <w:pPr>
              <w:pStyle w:val="TABLETEXT"/>
            </w:pPr>
            <w:r>
              <w:t>2020</w:t>
            </w:r>
          </w:p>
        </w:tc>
      </w:tr>
      <w:tr w:rsidR="00EC25DE" w14:paraId="42299A6E" w14:textId="77777777" w:rsidTr="00454715">
        <w:trPr>
          <w:trHeight w:val="283"/>
        </w:trPr>
        <w:tc>
          <w:tcPr>
            <w:tcW w:w="4573" w:type="dxa"/>
            <w:shd w:val="clear" w:color="414D59" w:fill="7F7F7F" w:themeFill="text1" w:themeFillTint="80"/>
            <w:tcMar>
              <w:top w:w="170" w:type="dxa"/>
              <w:left w:w="113" w:type="dxa"/>
              <w:bottom w:w="170" w:type="dxa"/>
              <w:right w:w="113" w:type="dxa"/>
            </w:tcMar>
          </w:tcPr>
          <w:p w14:paraId="174DB9CD" w14:textId="77777777" w:rsidR="00EC25DE" w:rsidRPr="00673CF5" w:rsidRDefault="00EC25DE">
            <w:pPr>
              <w:pStyle w:val="TABLETEXT"/>
              <w:ind w:left="425" w:hanging="425"/>
              <w:rPr>
                <w:color w:val="000000" w:themeColor="text1"/>
              </w:rPr>
            </w:pPr>
            <w:r w:rsidRPr="00673CF5">
              <w:rPr>
                <w:rStyle w:val="TextBold"/>
                <w:color w:val="000000" w:themeColor="text1"/>
                <w14:textOutline w14:w="9525" w14:cap="flat" w14:cmpd="sng" w14:algn="ctr">
                  <w14:noFill/>
                  <w14:prstDash w14:val="solid"/>
                  <w14:round/>
                </w14:textOutline>
              </w:rPr>
              <w:t>Improving Access</w:t>
            </w:r>
          </w:p>
        </w:tc>
        <w:tc>
          <w:tcPr>
            <w:tcW w:w="1748" w:type="dxa"/>
            <w:shd w:val="clear" w:color="414D59" w:fill="7F7F7F" w:themeFill="text1" w:themeFillTint="80"/>
            <w:tcMar>
              <w:top w:w="170" w:type="dxa"/>
              <w:left w:w="113" w:type="dxa"/>
              <w:bottom w:w="170" w:type="dxa"/>
              <w:right w:w="113" w:type="dxa"/>
            </w:tcMar>
          </w:tcPr>
          <w:p w14:paraId="1BDDB375" w14:textId="77777777" w:rsidR="00EC25DE" w:rsidRPr="00673CF5" w:rsidRDefault="00EC25DE">
            <w:pPr>
              <w:pStyle w:val="NoParagraphStyle"/>
              <w:spacing w:line="240" w:lineRule="auto"/>
              <w:textAlignment w:val="auto"/>
              <w:rPr>
                <w:rFonts w:ascii="Calibri" w:hAnsi="Calibri" w:cs="Calibri"/>
                <w:color w:val="000000" w:themeColor="text1"/>
              </w:rPr>
            </w:pPr>
          </w:p>
        </w:tc>
        <w:tc>
          <w:tcPr>
            <w:tcW w:w="2070" w:type="dxa"/>
            <w:shd w:val="clear" w:color="414D59" w:fill="7F7F7F" w:themeFill="text1" w:themeFillTint="80"/>
            <w:tcMar>
              <w:top w:w="170" w:type="dxa"/>
              <w:left w:w="113" w:type="dxa"/>
              <w:bottom w:w="170" w:type="dxa"/>
              <w:right w:w="113" w:type="dxa"/>
            </w:tcMar>
          </w:tcPr>
          <w:p w14:paraId="233A5C02" w14:textId="77777777" w:rsidR="00EC25DE" w:rsidRPr="00673CF5" w:rsidRDefault="00EC25DE">
            <w:pPr>
              <w:pStyle w:val="NoParagraphStyle"/>
              <w:spacing w:line="240" w:lineRule="auto"/>
              <w:textAlignment w:val="auto"/>
              <w:rPr>
                <w:rFonts w:ascii="Calibri" w:hAnsi="Calibri" w:cs="Calibri"/>
                <w:color w:val="000000" w:themeColor="text1"/>
              </w:rPr>
            </w:pPr>
          </w:p>
        </w:tc>
        <w:tc>
          <w:tcPr>
            <w:tcW w:w="992" w:type="dxa"/>
            <w:shd w:val="clear" w:color="414D59" w:fill="7F7F7F" w:themeFill="text1" w:themeFillTint="80"/>
            <w:tcMar>
              <w:top w:w="170" w:type="dxa"/>
              <w:left w:w="113" w:type="dxa"/>
              <w:bottom w:w="170" w:type="dxa"/>
              <w:right w:w="113" w:type="dxa"/>
            </w:tcMar>
          </w:tcPr>
          <w:p w14:paraId="10E87DAA" w14:textId="77777777" w:rsidR="00EC25DE" w:rsidRPr="00673CF5" w:rsidRDefault="00EC25DE">
            <w:pPr>
              <w:pStyle w:val="NoParagraphStyle"/>
              <w:spacing w:line="240" w:lineRule="auto"/>
              <w:textAlignment w:val="auto"/>
              <w:rPr>
                <w:rFonts w:ascii="Calibri" w:hAnsi="Calibri" w:cs="Calibri"/>
                <w:color w:val="000000" w:themeColor="text1"/>
              </w:rPr>
            </w:pPr>
          </w:p>
        </w:tc>
      </w:tr>
      <w:tr w:rsidR="00EC25DE" w14:paraId="5E90F7DC" w14:textId="77777777" w:rsidTr="00454715">
        <w:trPr>
          <w:trHeight w:val="283"/>
        </w:trPr>
        <w:tc>
          <w:tcPr>
            <w:tcW w:w="9383" w:type="dxa"/>
            <w:gridSpan w:val="4"/>
            <w:shd w:val="clear" w:color="414D59" w:fill="A6A6A6" w:themeFill="background1" w:themeFillShade="A6"/>
            <w:tcMar>
              <w:top w:w="170" w:type="dxa"/>
              <w:left w:w="113" w:type="dxa"/>
              <w:bottom w:w="170" w:type="dxa"/>
              <w:right w:w="113" w:type="dxa"/>
            </w:tcMar>
          </w:tcPr>
          <w:p w14:paraId="5116463A" w14:textId="77777777" w:rsidR="00EC25DE" w:rsidRPr="00673CF5" w:rsidRDefault="00EC25DE">
            <w:pPr>
              <w:pStyle w:val="TABLETEXT"/>
              <w:ind w:left="425" w:hanging="425"/>
              <w:rPr>
                <w:color w:val="000000" w:themeColor="text1"/>
              </w:rPr>
            </w:pPr>
            <w:r w:rsidRPr="00673CF5">
              <w:rPr>
                <w:rStyle w:val="TextBold"/>
                <w:color w:val="000000" w:themeColor="text1"/>
              </w:rPr>
              <w:t xml:space="preserve">All </w:t>
            </w:r>
            <w:r w:rsidRPr="00673CF5">
              <w:rPr>
                <w:rStyle w:val="TextBold"/>
                <w:color w:val="000000" w:themeColor="text1"/>
                <w:shd w:val="clear" w:color="auto" w:fill="A6A6A6" w:themeFill="background1" w:themeFillShade="A6"/>
              </w:rPr>
              <w:t>communities have access to waste management and processing</w:t>
            </w:r>
          </w:p>
        </w:tc>
      </w:tr>
      <w:tr w:rsidR="00EC25DE" w14:paraId="306A41EA" w14:textId="77777777" w:rsidTr="00454715">
        <w:trPr>
          <w:trHeight w:val="283"/>
        </w:trPr>
        <w:tc>
          <w:tcPr>
            <w:tcW w:w="4573" w:type="dxa"/>
            <w:tcMar>
              <w:top w:w="170" w:type="dxa"/>
              <w:left w:w="113" w:type="dxa"/>
              <w:bottom w:w="170" w:type="dxa"/>
              <w:right w:w="113" w:type="dxa"/>
            </w:tcMar>
          </w:tcPr>
          <w:p w14:paraId="7A819620" w14:textId="77777777" w:rsidR="00EC25DE" w:rsidRDefault="00EC25DE">
            <w:pPr>
              <w:pStyle w:val="TABLETEXT"/>
              <w:ind w:left="425" w:hanging="425"/>
            </w:pPr>
            <w:r>
              <w:t>3.14</w:t>
            </w:r>
            <w:r>
              <w:tab/>
              <w:t>Report on opportunities to promote regional collection and recycling of soft plastics through expansion of the Regional Model for Soft Plastics</w:t>
            </w:r>
          </w:p>
        </w:tc>
        <w:tc>
          <w:tcPr>
            <w:tcW w:w="1748" w:type="dxa"/>
            <w:tcMar>
              <w:top w:w="170" w:type="dxa"/>
              <w:left w:w="113" w:type="dxa"/>
              <w:bottom w:w="170" w:type="dxa"/>
              <w:right w:w="113" w:type="dxa"/>
            </w:tcMar>
          </w:tcPr>
          <w:p w14:paraId="58693658" w14:textId="77777777" w:rsidR="00EC25DE" w:rsidRDefault="00EC25DE">
            <w:pPr>
              <w:pStyle w:val="TABLETEXT"/>
            </w:pPr>
            <w:r>
              <w:t>Australian Packaging Covenant Organisation</w:t>
            </w:r>
          </w:p>
        </w:tc>
        <w:tc>
          <w:tcPr>
            <w:tcW w:w="2070" w:type="dxa"/>
            <w:tcMar>
              <w:top w:w="170" w:type="dxa"/>
              <w:left w:w="113" w:type="dxa"/>
              <w:bottom w:w="170" w:type="dxa"/>
              <w:right w:w="113" w:type="dxa"/>
            </w:tcMar>
          </w:tcPr>
          <w:p w14:paraId="5756BD63" w14:textId="77777777" w:rsidR="00EC25DE" w:rsidRDefault="00EC25DE">
            <w:pPr>
              <w:pStyle w:val="TABLETEXT"/>
            </w:pPr>
            <w:r>
              <w:t>All governments</w:t>
            </w:r>
          </w:p>
        </w:tc>
        <w:tc>
          <w:tcPr>
            <w:tcW w:w="992" w:type="dxa"/>
            <w:tcMar>
              <w:top w:w="170" w:type="dxa"/>
              <w:left w:w="113" w:type="dxa"/>
              <w:bottom w:w="170" w:type="dxa"/>
              <w:right w:w="0" w:type="dxa"/>
            </w:tcMar>
          </w:tcPr>
          <w:p w14:paraId="35AC5CA0" w14:textId="77777777" w:rsidR="00EC25DE" w:rsidRDefault="00EC25DE">
            <w:pPr>
              <w:pStyle w:val="TABLETEXT"/>
            </w:pPr>
            <w:r>
              <w:t>2021</w:t>
            </w:r>
          </w:p>
        </w:tc>
      </w:tr>
      <w:tr w:rsidR="00EC25DE" w14:paraId="303DC648" w14:textId="77777777" w:rsidTr="00454715">
        <w:trPr>
          <w:trHeight w:val="283"/>
        </w:trPr>
        <w:tc>
          <w:tcPr>
            <w:tcW w:w="4573" w:type="dxa"/>
            <w:tcMar>
              <w:top w:w="170" w:type="dxa"/>
              <w:left w:w="113" w:type="dxa"/>
              <w:bottom w:w="170" w:type="dxa"/>
              <w:right w:w="113" w:type="dxa"/>
            </w:tcMar>
          </w:tcPr>
          <w:p w14:paraId="776F7509" w14:textId="77777777" w:rsidR="00EC25DE" w:rsidRDefault="00EC25DE">
            <w:pPr>
              <w:pStyle w:val="TABLETEXT"/>
              <w:ind w:left="425" w:hanging="425"/>
            </w:pPr>
            <w:r>
              <w:t>3.15</w:t>
            </w:r>
            <w:r>
              <w:tab/>
              <w:t>Develop shared infrastructure and collection processes for packaging waste in remote and regional areas through the Remote and Regional Waste Collection Partnership</w:t>
            </w:r>
          </w:p>
        </w:tc>
        <w:tc>
          <w:tcPr>
            <w:tcW w:w="1748" w:type="dxa"/>
            <w:tcMar>
              <w:top w:w="170" w:type="dxa"/>
              <w:left w:w="113" w:type="dxa"/>
              <w:bottom w:w="170" w:type="dxa"/>
              <w:right w:w="113" w:type="dxa"/>
            </w:tcMar>
          </w:tcPr>
          <w:p w14:paraId="09E9E1F8" w14:textId="77777777" w:rsidR="00EC25DE" w:rsidRDefault="00EC25DE">
            <w:pPr>
              <w:pStyle w:val="TABLETEXT"/>
            </w:pPr>
            <w:r>
              <w:t>Australian Packaging Covenant Organisation</w:t>
            </w:r>
          </w:p>
        </w:tc>
        <w:tc>
          <w:tcPr>
            <w:tcW w:w="2070" w:type="dxa"/>
            <w:tcMar>
              <w:top w:w="170" w:type="dxa"/>
              <w:left w:w="113" w:type="dxa"/>
              <w:bottom w:w="170" w:type="dxa"/>
              <w:right w:w="113" w:type="dxa"/>
            </w:tcMar>
          </w:tcPr>
          <w:p w14:paraId="6C8E98C5" w14:textId="77777777" w:rsidR="00EC25DE" w:rsidRDefault="00EC25DE">
            <w:pPr>
              <w:pStyle w:val="TABLETEXT"/>
            </w:pPr>
            <w:r>
              <w:t>All governments</w:t>
            </w:r>
          </w:p>
        </w:tc>
        <w:tc>
          <w:tcPr>
            <w:tcW w:w="992" w:type="dxa"/>
            <w:tcMar>
              <w:top w:w="170" w:type="dxa"/>
              <w:left w:w="113" w:type="dxa"/>
              <w:bottom w:w="170" w:type="dxa"/>
              <w:right w:w="0" w:type="dxa"/>
            </w:tcMar>
          </w:tcPr>
          <w:p w14:paraId="3587A7D1" w14:textId="77777777" w:rsidR="00EC25DE" w:rsidRDefault="00EC25DE">
            <w:pPr>
              <w:pStyle w:val="TABLETEXT"/>
            </w:pPr>
            <w:r>
              <w:t>Ongoing</w:t>
            </w:r>
          </w:p>
        </w:tc>
      </w:tr>
      <w:tr w:rsidR="00EC25DE" w14:paraId="75AA391D" w14:textId="77777777" w:rsidTr="00454715">
        <w:trPr>
          <w:trHeight w:val="283"/>
        </w:trPr>
        <w:tc>
          <w:tcPr>
            <w:tcW w:w="4573" w:type="dxa"/>
            <w:tcMar>
              <w:top w:w="170" w:type="dxa"/>
              <w:left w:w="113" w:type="dxa"/>
              <w:bottom w:w="170" w:type="dxa"/>
              <w:right w:w="113" w:type="dxa"/>
            </w:tcMar>
          </w:tcPr>
          <w:p w14:paraId="4CEC8B54" w14:textId="77777777" w:rsidR="00EC25DE" w:rsidRDefault="00EC25DE">
            <w:pPr>
              <w:pStyle w:val="TABLETEXT"/>
              <w:ind w:left="425" w:hanging="425"/>
            </w:pPr>
            <w:r>
              <w:t>3.16</w:t>
            </w:r>
            <w:r>
              <w:tab/>
              <w:t>Explore opportunities to leverage existing regional development programs to support better waste management and resource recovery</w:t>
            </w:r>
          </w:p>
        </w:tc>
        <w:tc>
          <w:tcPr>
            <w:tcW w:w="1748" w:type="dxa"/>
            <w:tcMar>
              <w:top w:w="170" w:type="dxa"/>
              <w:left w:w="113" w:type="dxa"/>
              <w:bottom w:w="170" w:type="dxa"/>
              <w:right w:w="113" w:type="dxa"/>
            </w:tcMar>
          </w:tcPr>
          <w:p w14:paraId="29A9E0D2" w14:textId="77777777" w:rsidR="00EC25DE" w:rsidRDefault="00EC25DE">
            <w:pPr>
              <w:pStyle w:val="TABLETEXT"/>
            </w:pPr>
            <w:r>
              <w:t>All governments</w:t>
            </w:r>
          </w:p>
        </w:tc>
        <w:tc>
          <w:tcPr>
            <w:tcW w:w="2070" w:type="dxa"/>
            <w:tcMar>
              <w:top w:w="170" w:type="dxa"/>
              <w:left w:w="113" w:type="dxa"/>
              <w:bottom w:w="170" w:type="dxa"/>
              <w:right w:w="113" w:type="dxa"/>
            </w:tcMar>
          </w:tcPr>
          <w:p w14:paraId="7522A0D1" w14:textId="77777777" w:rsidR="00EC25DE" w:rsidRDefault="00EC25DE">
            <w:pPr>
              <w:pStyle w:val="NoParagraphStyle"/>
              <w:spacing w:line="240" w:lineRule="auto"/>
              <w:textAlignment w:val="auto"/>
              <w:rPr>
                <w:rFonts w:ascii="Calibri" w:hAnsi="Calibri" w:cs="Calibri"/>
                <w:color w:val="auto"/>
              </w:rPr>
            </w:pPr>
          </w:p>
        </w:tc>
        <w:tc>
          <w:tcPr>
            <w:tcW w:w="992" w:type="dxa"/>
            <w:tcMar>
              <w:top w:w="170" w:type="dxa"/>
              <w:left w:w="113" w:type="dxa"/>
              <w:bottom w:w="170" w:type="dxa"/>
              <w:right w:w="0" w:type="dxa"/>
            </w:tcMar>
          </w:tcPr>
          <w:p w14:paraId="4C806B89" w14:textId="77777777" w:rsidR="00EC25DE" w:rsidRDefault="00EC25DE">
            <w:pPr>
              <w:pStyle w:val="TABLETEXT"/>
            </w:pPr>
            <w:r>
              <w:t>2021</w:t>
            </w:r>
          </w:p>
        </w:tc>
      </w:tr>
      <w:tr w:rsidR="00EC25DE" w14:paraId="181AD344" w14:textId="77777777" w:rsidTr="00454715">
        <w:trPr>
          <w:trHeight w:val="283"/>
        </w:trPr>
        <w:tc>
          <w:tcPr>
            <w:tcW w:w="4573" w:type="dxa"/>
            <w:tcMar>
              <w:top w:w="170" w:type="dxa"/>
              <w:left w:w="113" w:type="dxa"/>
              <w:bottom w:w="170" w:type="dxa"/>
              <w:right w:w="113" w:type="dxa"/>
            </w:tcMar>
          </w:tcPr>
          <w:p w14:paraId="1E5DFF47" w14:textId="77777777" w:rsidR="00EC25DE" w:rsidRDefault="00EC25DE">
            <w:pPr>
              <w:pStyle w:val="TABLETEXT"/>
              <w:ind w:left="425" w:hanging="425"/>
            </w:pPr>
            <w:r>
              <w:t>3.17</w:t>
            </w:r>
            <w:r>
              <w:tab/>
              <w:t>Increase access to resource recovery and waste management infrastructure for regional, remote and Indigenous communities in every state and territory</w:t>
            </w:r>
          </w:p>
        </w:tc>
        <w:tc>
          <w:tcPr>
            <w:tcW w:w="1748" w:type="dxa"/>
            <w:tcMar>
              <w:top w:w="170" w:type="dxa"/>
              <w:left w:w="113" w:type="dxa"/>
              <w:bottom w:w="170" w:type="dxa"/>
              <w:right w:w="113" w:type="dxa"/>
            </w:tcMar>
          </w:tcPr>
          <w:p w14:paraId="17171672" w14:textId="77777777" w:rsidR="00EC25DE" w:rsidRDefault="00EC25DE">
            <w:pPr>
              <w:pStyle w:val="TABLETEXT"/>
            </w:pPr>
            <w:r>
              <w:t>All governments</w:t>
            </w:r>
          </w:p>
        </w:tc>
        <w:tc>
          <w:tcPr>
            <w:tcW w:w="2070" w:type="dxa"/>
            <w:tcMar>
              <w:top w:w="170" w:type="dxa"/>
              <w:left w:w="113" w:type="dxa"/>
              <w:bottom w:w="170" w:type="dxa"/>
              <w:right w:w="113" w:type="dxa"/>
            </w:tcMar>
          </w:tcPr>
          <w:p w14:paraId="6BC4CA1C" w14:textId="77777777" w:rsidR="00EC25DE" w:rsidRDefault="00EC25DE">
            <w:pPr>
              <w:pStyle w:val="NoParagraphStyle"/>
              <w:spacing w:line="240" w:lineRule="auto"/>
              <w:textAlignment w:val="auto"/>
              <w:rPr>
                <w:rFonts w:ascii="Calibri" w:hAnsi="Calibri" w:cs="Calibri"/>
                <w:color w:val="auto"/>
              </w:rPr>
            </w:pPr>
          </w:p>
        </w:tc>
        <w:tc>
          <w:tcPr>
            <w:tcW w:w="992" w:type="dxa"/>
            <w:tcMar>
              <w:top w:w="170" w:type="dxa"/>
              <w:left w:w="113" w:type="dxa"/>
              <w:bottom w:w="170" w:type="dxa"/>
              <w:right w:w="0" w:type="dxa"/>
            </w:tcMar>
          </w:tcPr>
          <w:p w14:paraId="778A84F0" w14:textId="77777777" w:rsidR="00EC25DE" w:rsidRDefault="00EC25DE">
            <w:pPr>
              <w:pStyle w:val="TABLETEXT"/>
            </w:pPr>
            <w:r>
              <w:t>2023</w:t>
            </w:r>
          </w:p>
        </w:tc>
      </w:tr>
      <w:tr w:rsidR="00EC25DE" w14:paraId="4B1E1715" w14:textId="77777777" w:rsidTr="00454715">
        <w:trPr>
          <w:trHeight w:val="283"/>
        </w:trPr>
        <w:tc>
          <w:tcPr>
            <w:tcW w:w="4573" w:type="dxa"/>
            <w:shd w:val="clear" w:color="414D59" w:fill="7F7F7F" w:themeFill="text1" w:themeFillTint="80"/>
            <w:tcMar>
              <w:top w:w="170" w:type="dxa"/>
              <w:left w:w="113" w:type="dxa"/>
              <w:bottom w:w="170" w:type="dxa"/>
              <w:right w:w="113" w:type="dxa"/>
            </w:tcMar>
          </w:tcPr>
          <w:p w14:paraId="582796B7" w14:textId="77777777" w:rsidR="00EC25DE" w:rsidRPr="00673CF5" w:rsidRDefault="00EC25DE">
            <w:pPr>
              <w:pStyle w:val="TABLETEXT"/>
              <w:ind w:left="425" w:hanging="425"/>
              <w:rPr>
                <w:color w:val="000000" w:themeColor="text1"/>
              </w:rPr>
            </w:pPr>
            <w:r w:rsidRPr="00673CF5">
              <w:rPr>
                <w:rStyle w:val="TextBold"/>
                <w:color w:val="000000" w:themeColor="text1"/>
                <w14:textOutline w14:w="9525" w14:cap="flat" w14:cmpd="sng" w14:algn="ctr">
                  <w14:noFill/>
                  <w14:prstDash w14:val="solid"/>
                  <w14:round/>
                </w14:textOutline>
              </w:rPr>
              <w:t>Increasing industry capacity</w:t>
            </w:r>
          </w:p>
        </w:tc>
        <w:tc>
          <w:tcPr>
            <w:tcW w:w="1748" w:type="dxa"/>
            <w:shd w:val="clear" w:color="414D59" w:fill="7F7F7F" w:themeFill="text1" w:themeFillTint="80"/>
            <w:tcMar>
              <w:top w:w="170" w:type="dxa"/>
              <w:left w:w="113" w:type="dxa"/>
              <w:bottom w:w="170" w:type="dxa"/>
              <w:right w:w="113" w:type="dxa"/>
            </w:tcMar>
          </w:tcPr>
          <w:p w14:paraId="01CDE179"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2070" w:type="dxa"/>
            <w:shd w:val="clear" w:color="414D59" w:fill="7F7F7F" w:themeFill="text1" w:themeFillTint="80"/>
            <w:tcMar>
              <w:top w:w="170" w:type="dxa"/>
              <w:left w:w="113" w:type="dxa"/>
              <w:bottom w:w="170" w:type="dxa"/>
              <w:right w:w="113" w:type="dxa"/>
            </w:tcMar>
          </w:tcPr>
          <w:p w14:paraId="524F7D27"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992" w:type="dxa"/>
            <w:shd w:val="clear" w:color="414D59" w:fill="7F7F7F" w:themeFill="text1" w:themeFillTint="80"/>
            <w:tcMar>
              <w:top w:w="170" w:type="dxa"/>
              <w:left w:w="113" w:type="dxa"/>
              <w:bottom w:w="170" w:type="dxa"/>
              <w:right w:w="113" w:type="dxa"/>
            </w:tcMar>
          </w:tcPr>
          <w:p w14:paraId="4E8122BA" w14:textId="77777777" w:rsidR="00EC25DE" w:rsidRPr="00424906" w:rsidRDefault="00EC25DE">
            <w:pPr>
              <w:pStyle w:val="NoParagraphStyle"/>
              <w:spacing w:line="240" w:lineRule="auto"/>
              <w:textAlignment w:val="auto"/>
              <w:rPr>
                <w:rFonts w:ascii="Calibri" w:hAnsi="Calibri" w:cs="Calibri"/>
                <w:color w:val="FFFFFF" w:themeColor="background1"/>
              </w:rPr>
            </w:pPr>
          </w:p>
        </w:tc>
      </w:tr>
      <w:tr w:rsidR="00EC25DE" w14:paraId="3465D7A1" w14:textId="77777777" w:rsidTr="00454715">
        <w:trPr>
          <w:trHeight w:val="283"/>
        </w:trPr>
        <w:tc>
          <w:tcPr>
            <w:tcW w:w="4573" w:type="dxa"/>
            <w:shd w:val="clear" w:color="414D59" w:fill="A6A6A6" w:themeFill="background1" w:themeFillShade="A6"/>
            <w:tcMar>
              <w:top w:w="170" w:type="dxa"/>
              <w:left w:w="113" w:type="dxa"/>
              <w:bottom w:w="170" w:type="dxa"/>
              <w:right w:w="113" w:type="dxa"/>
            </w:tcMar>
          </w:tcPr>
          <w:p w14:paraId="5C684E7A" w14:textId="77777777" w:rsidR="00EC25DE" w:rsidRPr="00673CF5" w:rsidRDefault="00EC25DE">
            <w:pPr>
              <w:pStyle w:val="TABLETEXT"/>
              <w:ind w:left="425" w:hanging="425"/>
              <w:rPr>
                <w:color w:val="000000" w:themeColor="text1"/>
              </w:rPr>
            </w:pPr>
            <w:r w:rsidRPr="00673CF5">
              <w:rPr>
                <w:rStyle w:val="TextBold"/>
                <w:color w:val="000000" w:themeColor="text1"/>
              </w:rPr>
              <w:t>Support Waste Industry Transformation</w:t>
            </w:r>
          </w:p>
        </w:tc>
        <w:tc>
          <w:tcPr>
            <w:tcW w:w="1748" w:type="dxa"/>
            <w:shd w:val="clear" w:color="414D59" w:fill="A6A6A6" w:themeFill="background1" w:themeFillShade="A6"/>
            <w:tcMar>
              <w:top w:w="170" w:type="dxa"/>
              <w:left w:w="113" w:type="dxa"/>
              <w:bottom w:w="170" w:type="dxa"/>
              <w:right w:w="113" w:type="dxa"/>
            </w:tcMar>
          </w:tcPr>
          <w:p w14:paraId="289793F6"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2070" w:type="dxa"/>
            <w:shd w:val="clear" w:color="414D59" w:fill="A6A6A6" w:themeFill="background1" w:themeFillShade="A6"/>
            <w:tcMar>
              <w:top w:w="170" w:type="dxa"/>
              <w:left w:w="113" w:type="dxa"/>
              <w:bottom w:w="170" w:type="dxa"/>
              <w:right w:w="113" w:type="dxa"/>
            </w:tcMar>
          </w:tcPr>
          <w:p w14:paraId="5A13FE96"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992" w:type="dxa"/>
            <w:shd w:val="clear" w:color="414D59" w:fill="A6A6A6" w:themeFill="background1" w:themeFillShade="A6"/>
            <w:tcMar>
              <w:top w:w="170" w:type="dxa"/>
              <w:left w:w="113" w:type="dxa"/>
              <w:bottom w:w="170" w:type="dxa"/>
              <w:right w:w="113" w:type="dxa"/>
            </w:tcMar>
          </w:tcPr>
          <w:p w14:paraId="4C1A9F80" w14:textId="77777777" w:rsidR="00EC25DE" w:rsidRPr="00424906" w:rsidRDefault="00EC25DE">
            <w:pPr>
              <w:pStyle w:val="NoParagraphStyle"/>
              <w:spacing w:line="240" w:lineRule="auto"/>
              <w:textAlignment w:val="auto"/>
              <w:rPr>
                <w:rFonts w:ascii="Calibri" w:hAnsi="Calibri" w:cs="Calibri"/>
                <w:color w:val="FFFFFF" w:themeColor="background1"/>
              </w:rPr>
            </w:pPr>
          </w:p>
        </w:tc>
      </w:tr>
      <w:tr w:rsidR="00EC25DE" w14:paraId="4E91F534" w14:textId="77777777" w:rsidTr="00454715">
        <w:trPr>
          <w:trHeight w:val="283"/>
        </w:trPr>
        <w:tc>
          <w:tcPr>
            <w:tcW w:w="4573" w:type="dxa"/>
            <w:tcMar>
              <w:top w:w="170" w:type="dxa"/>
              <w:left w:w="113" w:type="dxa"/>
              <w:bottom w:w="170" w:type="dxa"/>
              <w:right w:w="113" w:type="dxa"/>
            </w:tcMar>
          </w:tcPr>
          <w:p w14:paraId="420E0511" w14:textId="77777777" w:rsidR="00EC25DE" w:rsidRDefault="00EC25DE">
            <w:pPr>
              <w:pStyle w:val="TABLETEXT"/>
              <w:ind w:left="425" w:hanging="425"/>
            </w:pPr>
            <w:r>
              <w:t>3.18</w:t>
            </w:r>
            <w:r>
              <w:tab/>
              <w:t xml:space="preserve">Identify financial and other incentives that may assist key industries, including the waste and resource recovery industry, to transition to a more circular economy </w:t>
            </w:r>
          </w:p>
        </w:tc>
        <w:tc>
          <w:tcPr>
            <w:tcW w:w="1748" w:type="dxa"/>
            <w:tcMar>
              <w:top w:w="170" w:type="dxa"/>
              <w:left w:w="113" w:type="dxa"/>
              <w:bottom w:w="170" w:type="dxa"/>
              <w:right w:w="113" w:type="dxa"/>
            </w:tcMar>
          </w:tcPr>
          <w:p w14:paraId="2EE54541" w14:textId="77777777" w:rsidR="00EC25DE" w:rsidRDefault="00EC25DE">
            <w:pPr>
              <w:pStyle w:val="TABLETEXT"/>
            </w:pPr>
            <w:r>
              <w:t>Australian Government</w:t>
            </w:r>
          </w:p>
        </w:tc>
        <w:tc>
          <w:tcPr>
            <w:tcW w:w="2070" w:type="dxa"/>
            <w:tcMar>
              <w:top w:w="170" w:type="dxa"/>
              <w:left w:w="113" w:type="dxa"/>
              <w:bottom w:w="170" w:type="dxa"/>
              <w:right w:w="113" w:type="dxa"/>
            </w:tcMar>
          </w:tcPr>
          <w:p w14:paraId="2C9E8D8E" w14:textId="77777777" w:rsidR="00EC25DE" w:rsidRDefault="00EC25DE">
            <w:pPr>
              <w:pStyle w:val="NoParagraphStyle"/>
              <w:spacing w:line="240" w:lineRule="auto"/>
              <w:textAlignment w:val="auto"/>
              <w:rPr>
                <w:rFonts w:ascii="Calibri" w:hAnsi="Calibri" w:cs="Calibri"/>
                <w:color w:val="auto"/>
              </w:rPr>
            </w:pPr>
          </w:p>
        </w:tc>
        <w:tc>
          <w:tcPr>
            <w:tcW w:w="992" w:type="dxa"/>
            <w:tcMar>
              <w:top w:w="170" w:type="dxa"/>
              <w:left w:w="113" w:type="dxa"/>
              <w:bottom w:w="170" w:type="dxa"/>
              <w:right w:w="113" w:type="dxa"/>
            </w:tcMar>
          </w:tcPr>
          <w:p w14:paraId="59A94A3D" w14:textId="77777777" w:rsidR="00EC25DE" w:rsidRDefault="00EC25DE">
            <w:pPr>
              <w:pStyle w:val="TABLETEXT"/>
            </w:pPr>
            <w:r>
              <w:t>2020</w:t>
            </w:r>
          </w:p>
        </w:tc>
      </w:tr>
      <w:tr w:rsidR="00EC25DE" w14:paraId="03F44B88" w14:textId="77777777" w:rsidTr="00454715">
        <w:trPr>
          <w:trHeight w:val="283"/>
        </w:trPr>
        <w:tc>
          <w:tcPr>
            <w:tcW w:w="4573" w:type="dxa"/>
            <w:tcMar>
              <w:top w:w="170" w:type="dxa"/>
              <w:left w:w="113" w:type="dxa"/>
              <w:bottom w:w="170" w:type="dxa"/>
              <w:right w:w="113" w:type="dxa"/>
            </w:tcMar>
          </w:tcPr>
          <w:p w14:paraId="5078AD12" w14:textId="77777777" w:rsidR="00EC25DE" w:rsidRDefault="00EC25DE">
            <w:pPr>
              <w:pStyle w:val="TABLETEXT"/>
              <w:ind w:left="425" w:hanging="425"/>
            </w:pPr>
            <w:r>
              <w:t xml:space="preserve">3.19 </w:t>
            </w:r>
            <w:r>
              <w:tab/>
              <w:t xml:space="preserve">Develop performance standards for material recovery facilities, and assess opportunities for other standards (such as for markets, products and waste professionals) </w:t>
            </w:r>
          </w:p>
        </w:tc>
        <w:tc>
          <w:tcPr>
            <w:tcW w:w="1748" w:type="dxa"/>
            <w:tcMar>
              <w:top w:w="170" w:type="dxa"/>
              <w:left w:w="113" w:type="dxa"/>
              <w:bottom w:w="170" w:type="dxa"/>
              <w:right w:w="113" w:type="dxa"/>
            </w:tcMar>
          </w:tcPr>
          <w:p w14:paraId="40947BEF" w14:textId="77777777" w:rsidR="00EC25DE" w:rsidRDefault="00EC25DE">
            <w:pPr>
              <w:pStyle w:val="TABLETEXT"/>
            </w:pPr>
            <w:r>
              <w:t>Waste and resource recovery industry</w:t>
            </w:r>
          </w:p>
        </w:tc>
        <w:tc>
          <w:tcPr>
            <w:tcW w:w="2070" w:type="dxa"/>
            <w:tcMar>
              <w:top w:w="170" w:type="dxa"/>
              <w:left w:w="113" w:type="dxa"/>
              <w:bottom w:w="170" w:type="dxa"/>
              <w:right w:w="113" w:type="dxa"/>
            </w:tcMar>
          </w:tcPr>
          <w:p w14:paraId="1B6344FC" w14:textId="77777777" w:rsidR="00EC25DE" w:rsidRDefault="00EC25DE">
            <w:pPr>
              <w:pStyle w:val="TABLETEXT"/>
            </w:pPr>
            <w:r>
              <w:t>All governments</w:t>
            </w:r>
          </w:p>
        </w:tc>
        <w:tc>
          <w:tcPr>
            <w:tcW w:w="992" w:type="dxa"/>
            <w:tcMar>
              <w:top w:w="170" w:type="dxa"/>
              <w:left w:w="113" w:type="dxa"/>
              <w:bottom w:w="170" w:type="dxa"/>
              <w:right w:w="113" w:type="dxa"/>
            </w:tcMar>
          </w:tcPr>
          <w:p w14:paraId="4A5A4420" w14:textId="77777777" w:rsidR="00EC25DE" w:rsidRDefault="00EC25DE">
            <w:pPr>
              <w:pStyle w:val="TABLETEXT"/>
            </w:pPr>
            <w:r>
              <w:t>2020</w:t>
            </w:r>
          </w:p>
        </w:tc>
      </w:tr>
      <w:tr w:rsidR="00EC25DE" w14:paraId="791FD822" w14:textId="77777777" w:rsidTr="00454715">
        <w:trPr>
          <w:trHeight w:val="283"/>
        </w:trPr>
        <w:tc>
          <w:tcPr>
            <w:tcW w:w="4573" w:type="dxa"/>
            <w:tcMar>
              <w:top w:w="170" w:type="dxa"/>
              <w:left w:w="113" w:type="dxa"/>
              <w:bottom w:w="170" w:type="dxa"/>
              <w:right w:w="113" w:type="dxa"/>
            </w:tcMar>
          </w:tcPr>
          <w:p w14:paraId="4E0253F5" w14:textId="77777777" w:rsidR="00EC25DE" w:rsidRDefault="00EC25DE">
            <w:pPr>
              <w:pStyle w:val="TABLETEXT"/>
              <w:ind w:left="425" w:hanging="425"/>
            </w:pPr>
            <w:r>
              <w:lastRenderedPageBreak/>
              <w:t>3.20</w:t>
            </w:r>
            <w:r>
              <w:tab/>
              <w:t>Taking into account relevant international standards, establish a nationally consistent framework to enable ships to discharge clean segregated recyclable materials at Australian ports to divert this waste from landfill</w:t>
            </w:r>
          </w:p>
        </w:tc>
        <w:tc>
          <w:tcPr>
            <w:tcW w:w="1748" w:type="dxa"/>
            <w:tcMar>
              <w:top w:w="170" w:type="dxa"/>
              <w:left w:w="113" w:type="dxa"/>
              <w:bottom w:w="170" w:type="dxa"/>
              <w:right w:w="113" w:type="dxa"/>
            </w:tcMar>
          </w:tcPr>
          <w:p w14:paraId="4A5BB6A5" w14:textId="77777777" w:rsidR="00EC25DE" w:rsidRDefault="00EC25DE">
            <w:pPr>
              <w:pStyle w:val="TABLETEXT"/>
            </w:pPr>
            <w:r>
              <w:t>Australian Government</w:t>
            </w:r>
          </w:p>
        </w:tc>
        <w:tc>
          <w:tcPr>
            <w:tcW w:w="2070" w:type="dxa"/>
            <w:tcMar>
              <w:top w:w="170" w:type="dxa"/>
              <w:left w:w="113" w:type="dxa"/>
              <w:bottom w:w="170" w:type="dxa"/>
              <w:right w:w="113" w:type="dxa"/>
            </w:tcMar>
          </w:tcPr>
          <w:p w14:paraId="3B7AAD36" w14:textId="77777777" w:rsidR="00EC25DE" w:rsidRDefault="00EC25DE">
            <w:pPr>
              <w:pStyle w:val="TABLETEXT"/>
            </w:pPr>
            <w:r>
              <w:t>State and territory governments</w:t>
            </w:r>
          </w:p>
          <w:p w14:paraId="6C53BF37" w14:textId="77777777" w:rsidR="00EC25DE" w:rsidRDefault="00EC25DE">
            <w:pPr>
              <w:pStyle w:val="TABLETEXT"/>
            </w:pPr>
            <w:r>
              <w:t>Business sector</w:t>
            </w:r>
          </w:p>
        </w:tc>
        <w:tc>
          <w:tcPr>
            <w:tcW w:w="992" w:type="dxa"/>
            <w:tcMar>
              <w:top w:w="170" w:type="dxa"/>
              <w:left w:w="113" w:type="dxa"/>
              <w:bottom w:w="170" w:type="dxa"/>
              <w:right w:w="113" w:type="dxa"/>
            </w:tcMar>
          </w:tcPr>
          <w:p w14:paraId="63DB8F93" w14:textId="77777777" w:rsidR="00EC25DE" w:rsidRDefault="00EC25DE">
            <w:pPr>
              <w:pStyle w:val="TABLETEXT"/>
            </w:pPr>
            <w:r>
              <w:t>2022</w:t>
            </w:r>
          </w:p>
        </w:tc>
      </w:tr>
      <w:tr w:rsidR="00EC25DE" w14:paraId="160FD913" w14:textId="77777777" w:rsidTr="00454715">
        <w:trPr>
          <w:trHeight w:val="283"/>
        </w:trPr>
        <w:tc>
          <w:tcPr>
            <w:tcW w:w="4573" w:type="dxa"/>
            <w:tcMar>
              <w:top w:w="170" w:type="dxa"/>
              <w:left w:w="113" w:type="dxa"/>
              <w:bottom w:w="170" w:type="dxa"/>
              <w:right w:w="113" w:type="dxa"/>
            </w:tcMar>
          </w:tcPr>
          <w:p w14:paraId="55B39978" w14:textId="77777777" w:rsidR="00EC25DE" w:rsidRDefault="00EC25DE">
            <w:pPr>
              <w:pStyle w:val="TABLETEXT"/>
              <w:ind w:left="425" w:hanging="425"/>
            </w:pPr>
            <w:r>
              <w:t xml:space="preserve">3.21 </w:t>
            </w:r>
            <w:r>
              <w:tab/>
              <w:t>Deliver industry-led target of 70% of Australia’s plastic packaging being recycled or composted</w:t>
            </w:r>
          </w:p>
        </w:tc>
        <w:tc>
          <w:tcPr>
            <w:tcW w:w="1748" w:type="dxa"/>
            <w:tcMar>
              <w:top w:w="170" w:type="dxa"/>
              <w:left w:w="113" w:type="dxa"/>
              <w:bottom w:w="170" w:type="dxa"/>
              <w:right w:w="113" w:type="dxa"/>
            </w:tcMar>
          </w:tcPr>
          <w:p w14:paraId="66137A04" w14:textId="77777777" w:rsidR="00EC25DE" w:rsidRDefault="00EC25DE">
            <w:pPr>
              <w:pStyle w:val="TABLETEXT"/>
            </w:pPr>
            <w:r>
              <w:t>Australian Packaging Covenant Organisation</w:t>
            </w:r>
          </w:p>
        </w:tc>
        <w:tc>
          <w:tcPr>
            <w:tcW w:w="2070" w:type="dxa"/>
            <w:tcMar>
              <w:top w:w="170" w:type="dxa"/>
              <w:left w:w="113" w:type="dxa"/>
              <w:bottom w:w="170" w:type="dxa"/>
              <w:right w:w="113" w:type="dxa"/>
            </w:tcMar>
          </w:tcPr>
          <w:p w14:paraId="143CDB19" w14:textId="77777777" w:rsidR="00EC25DE" w:rsidRDefault="00EC25DE">
            <w:pPr>
              <w:pStyle w:val="TABLETEXT"/>
            </w:pPr>
            <w:r>
              <w:t>Business sector</w:t>
            </w:r>
          </w:p>
          <w:p w14:paraId="7DAE1A48" w14:textId="77777777" w:rsidR="00EC25DE" w:rsidRDefault="00EC25DE">
            <w:pPr>
              <w:pStyle w:val="TABLETEXT"/>
            </w:pPr>
            <w:r>
              <w:t>All governments</w:t>
            </w:r>
          </w:p>
        </w:tc>
        <w:tc>
          <w:tcPr>
            <w:tcW w:w="992" w:type="dxa"/>
            <w:tcMar>
              <w:top w:w="170" w:type="dxa"/>
              <w:left w:w="113" w:type="dxa"/>
              <w:bottom w:w="170" w:type="dxa"/>
              <w:right w:w="113" w:type="dxa"/>
            </w:tcMar>
          </w:tcPr>
          <w:p w14:paraId="1B3331F2" w14:textId="77777777" w:rsidR="00EC25DE" w:rsidRDefault="00EC25DE">
            <w:pPr>
              <w:pStyle w:val="TABLETEXT"/>
            </w:pPr>
            <w:r>
              <w:t>2025</w:t>
            </w:r>
          </w:p>
        </w:tc>
      </w:tr>
    </w:tbl>
    <w:p w14:paraId="79075E4E" w14:textId="77777777" w:rsidR="00EC25DE" w:rsidRDefault="00EC25DE" w:rsidP="00EC25DE">
      <w:pPr>
        <w:pStyle w:val="Text"/>
      </w:pPr>
    </w:p>
    <w:p w14:paraId="2AB9BD37" w14:textId="6AD56875" w:rsidR="00424906" w:rsidRDefault="00424906">
      <w:pPr>
        <w:rPr>
          <w:rFonts w:ascii="Calibri" w:hAnsi="Calibri" w:cs="Calibri"/>
          <w:color w:val="000000"/>
          <w:sz w:val="18"/>
          <w:szCs w:val="18"/>
          <w:lang w:val="en-GB"/>
        </w:rPr>
      </w:pPr>
      <w:r>
        <w:br w:type="page"/>
      </w:r>
    </w:p>
    <w:p w14:paraId="3F22F20D" w14:textId="581FDEF2" w:rsidR="00EC25DE" w:rsidRPr="00454715" w:rsidRDefault="00EC25DE" w:rsidP="00454715">
      <w:pPr>
        <w:pStyle w:val="Heading2"/>
      </w:pPr>
      <w:bookmarkStart w:id="6" w:name="_Toc24118130"/>
      <w:r w:rsidRPr="00454715">
        <w:lastRenderedPageBreak/>
        <w:t>Target 4: Significantly increase the use of recycled content by governments and industry</w:t>
      </w:r>
      <w:bookmarkEnd w:id="6"/>
      <w:r w:rsidRPr="00454715">
        <w:t xml:space="preserve"> </w:t>
      </w:r>
    </w:p>
    <w:p w14:paraId="00721A73" w14:textId="77777777" w:rsidR="00424906" w:rsidRDefault="00424906" w:rsidP="00EC25DE">
      <w:pPr>
        <w:pStyle w:val="Subhead2"/>
        <w:spacing w:after="0"/>
        <w:rPr>
          <w:color w:val="414D59"/>
        </w:rPr>
      </w:pPr>
    </w:p>
    <w:p w14:paraId="3AACC1A7" w14:textId="77777777" w:rsidR="00EC25DE" w:rsidRDefault="00EC25DE" w:rsidP="00EC25DE">
      <w:pPr>
        <w:pStyle w:val="Text"/>
        <w:rPr>
          <w:sz w:val="22"/>
          <w:szCs w:val="22"/>
        </w:rPr>
      </w:pPr>
      <w:r>
        <w:rPr>
          <w:sz w:val="22"/>
          <w:szCs w:val="22"/>
        </w:rPr>
        <w:t xml:space="preserve">Improving the quality of our recyclable materials is important; equally important is finding ways to use that material productively. If we don’t increase demand for recyclables, the industry is not sustainable. </w:t>
      </w:r>
    </w:p>
    <w:p w14:paraId="108DF0D9" w14:textId="77777777" w:rsidR="00EC25DE" w:rsidRDefault="00EC25DE" w:rsidP="00EC25DE">
      <w:pPr>
        <w:pStyle w:val="Text"/>
        <w:rPr>
          <w:sz w:val="22"/>
          <w:szCs w:val="22"/>
        </w:rPr>
      </w:pPr>
      <w:r>
        <w:rPr>
          <w:sz w:val="22"/>
          <w:szCs w:val="22"/>
        </w:rPr>
        <w:t xml:space="preserve">Governments, businesses and individuals have an important role to play in buying and using recycled material to create new products, buildings and infrastructure. Recycled glass and rubber can be used in road base and asphalt; fly ash from power generation can improve the performance and quality of concrete; and soft plastics can be recycled into many products such as outdoor furniture, decking and bollards.  </w:t>
      </w:r>
    </w:p>
    <w:p w14:paraId="305D6BC1" w14:textId="77777777" w:rsidR="00EC25DE" w:rsidRDefault="00EC25DE" w:rsidP="00EC25DE">
      <w:pPr>
        <w:pStyle w:val="Text"/>
        <w:rPr>
          <w:sz w:val="22"/>
          <w:szCs w:val="22"/>
        </w:rPr>
      </w:pPr>
      <w:r>
        <w:rPr>
          <w:sz w:val="22"/>
          <w:szCs w:val="22"/>
        </w:rPr>
        <w:t>We need to close the loop on recycling. Without demand for products made from recycled material, they end up in landfill. Sustainable procurement by governments, businesses and individuals is needed to make the recycling sector thrive.</w:t>
      </w:r>
    </w:p>
    <w:tbl>
      <w:tblPr>
        <w:tblW w:w="0" w:type="auto"/>
        <w:tblInd w:w="-8" w:type="dxa"/>
        <w:tblBorders>
          <w:top w:val="dotted" w:sz="8" w:space="0" w:color="414D59"/>
          <w:bottom w:val="dotted" w:sz="8" w:space="0" w:color="414D59"/>
          <w:insideH w:val="dotted" w:sz="8" w:space="0" w:color="414D59"/>
        </w:tblBorders>
        <w:tblLayout w:type="fixed"/>
        <w:tblCellMar>
          <w:left w:w="0" w:type="dxa"/>
          <w:right w:w="0" w:type="dxa"/>
        </w:tblCellMar>
        <w:tblLook w:val="0000" w:firstRow="0" w:lastRow="0" w:firstColumn="0" w:lastColumn="0" w:noHBand="0" w:noVBand="0"/>
      </w:tblPr>
      <w:tblGrid>
        <w:gridCol w:w="4563"/>
        <w:gridCol w:w="1748"/>
        <w:gridCol w:w="1966"/>
        <w:gridCol w:w="1155"/>
      </w:tblGrid>
      <w:tr w:rsidR="00EC25DE" w14:paraId="33874F94" w14:textId="77777777" w:rsidTr="00424906">
        <w:trPr>
          <w:trHeight w:val="352"/>
          <w:tblHeader/>
        </w:trPr>
        <w:tc>
          <w:tcPr>
            <w:tcW w:w="4563" w:type="dxa"/>
            <w:shd w:val="solid" w:color="414D59" w:fill="auto"/>
            <w:tcMar>
              <w:top w:w="170" w:type="dxa"/>
              <w:left w:w="113" w:type="dxa"/>
              <w:bottom w:w="170" w:type="dxa"/>
              <w:right w:w="113" w:type="dxa"/>
            </w:tcMar>
          </w:tcPr>
          <w:p w14:paraId="0AFBAA6D" w14:textId="77777777" w:rsidR="00EC25DE" w:rsidRPr="00424906" w:rsidRDefault="00EC25DE">
            <w:pPr>
              <w:pStyle w:val="TABLETEXT"/>
              <w:rPr>
                <w:color w:val="FFFFFF" w:themeColor="background1"/>
              </w:rPr>
            </w:pPr>
            <w:r w:rsidRPr="00424906">
              <w:rPr>
                <w:b/>
                <w:bCs/>
                <w:color w:val="FFFFFF" w:themeColor="background1"/>
                <w14:textOutline w14:w="9525" w14:cap="flat" w14:cmpd="sng" w14:algn="ctr">
                  <w14:noFill/>
                  <w14:prstDash w14:val="solid"/>
                  <w14:round/>
                </w14:textOutline>
              </w:rPr>
              <w:t>Action</w:t>
            </w:r>
          </w:p>
        </w:tc>
        <w:tc>
          <w:tcPr>
            <w:tcW w:w="1748" w:type="dxa"/>
            <w:shd w:val="solid" w:color="414D59" w:fill="auto"/>
            <w:tcMar>
              <w:top w:w="170" w:type="dxa"/>
              <w:left w:w="113" w:type="dxa"/>
              <w:bottom w:w="170" w:type="dxa"/>
              <w:right w:w="113" w:type="dxa"/>
            </w:tcMar>
          </w:tcPr>
          <w:p w14:paraId="73C5CCDE" w14:textId="77777777" w:rsidR="00EC25DE" w:rsidRPr="00424906" w:rsidRDefault="00EC25DE">
            <w:pPr>
              <w:pStyle w:val="TABLETEXT"/>
              <w:rPr>
                <w:color w:val="FFFFFF" w:themeColor="background1"/>
              </w:rPr>
            </w:pPr>
            <w:r w:rsidRPr="00424906">
              <w:rPr>
                <w:b/>
                <w:bCs/>
                <w:color w:val="FFFFFF" w:themeColor="background1"/>
                <w14:textOutline w14:w="9525" w14:cap="flat" w14:cmpd="sng" w14:algn="ctr">
                  <w14:noFill/>
                  <w14:prstDash w14:val="solid"/>
                  <w14:round/>
                </w14:textOutline>
              </w:rPr>
              <w:t>Lead</w:t>
            </w:r>
          </w:p>
        </w:tc>
        <w:tc>
          <w:tcPr>
            <w:tcW w:w="1966" w:type="dxa"/>
            <w:shd w:val="solid" w:color="414D59" w:fill="auto"/>
            <w:tcMar>
              <w:top w:w="170" w:type="dxa"/>
              <w:left w:w="113" w:type="dxa"/>
              <w:bottom w:w="170" w:type="dxa"/>
              <w:right w:w="113" w:type="dxa"/>
            </w:tcMar>
          </w:tcPr>
          <w:p w14:paraId="06516679" w14:textId="77777777" w:rsidR="00EC25DE" w:rsidRPr="00424906" w:rsidRDefault="00EC25DE">
            <w:pPr>
              <w:pStyle w:val="TABLETEXT"/>
              <w:rPr>
                <w:color w:val="FFFFFF" w:themeColor="background1"/>
              </w:rPr>
            </w:pPr>
            <w:r w:rsidRPr="00424906">
              <w:rPr>
                <w:b/>
                <w:bCs/>
                <w:color w:val="FFFFFF" w:themeColor="background1"/>
                <w14:textOutline w14:w="9525" w14:cap="flat" w14:cmpd="sng" w14:algn="ctr">
                  <w14:noFill/>
                  <w14:prstDash w14:val="solid"/>
                  <w14:round/>
                </w14:textOutline>
              </w:rPr>
              <w:t>Partners</w:t>
            </w:r>
          </w:p>
        </w:tc>
        <w:tc>
          <w:tcPr>
            <w:tcW w:w="1155" w:type="dxa"/>
            <w:shd w:val="solid" w:color="414D59" w:fill="auto"/>
            <w:tcMar>
              <w:top w:w="170" w:type="dxa"/>
              <w:left w:w="113" w:type="dxa"/>
              <w:bottom w:w="170" w:type="dxa"/>
              <w:right w:w="113" w:type="dxa"/>
            </w:tcMar>
          </w:tcPr>
          <w:p w14:paraId="7BD4F350" w14:textId="77777777" w:rsidR="00EC25DE" w:rsidRPr="00424906" w:rsidRDefault="00EC25DE">
            <w:pPr>
              <w:pStyle w:val="TABLETEXT"/>
              <w:rPr>
                <w:color w:val="FFFFFF" w:themeColor="background1"/>
              </w:rPr>
            </w:pPr>
            <w:r w:rsidRPr="00424906">
              <w:rPr>
                <w:b/>
                <w:bCs/>
                <w:color w:val="FFFFFF" w:themeColor="background1"/>
                <w14:textOutline w14:w="9525" w14:cap="flat" w14:cmpd="sng" w14:algn="ctr">
                  <w14:noFill/>
                  <w14:prstDash w14:val="solid"/>
                  <w14:round/>
                </w14:textOutline>
              </w:rPr>
              <w:t>By</w:t>
            </w:r>
          </w:p>
        </w:tc>
      </w:tr>
      <w:tr w:rsidR="00EC25DE" w14:paraId="18320F6A" w14:textId="77777777" w:rsidTr="00424906">
        <w:trPr>
          <w:trHeight w:val="352"/>
        </w:trPr>
        <w:tc>
          <w:tcPr>
            <w:tcW w:w="6311" w:type="dxa"/>
            <w:gridSpan w:val="2"/>
            <w:shd w:val="clear" w:color="414D59" w:fill="7F7F7F" w:themeFill="text1" w:themeFillTint="80"/>
            <w:tcMar>
              <w:top w:w="170" w:type="dxa"/>
              <w:left w:w="113" w:type="dxa"/>
              <w:bottom w:w="170" w:type="dxa"/>
              <w:right w:w="113" w:type="dxa"/>
            </w:tcMar>
          </w:tcPr>
          <w:p w14:paraId="6904C2FF" w14:textId="77777777" w:rsidR="00EC25DE" w:rsidRPr="00673CF5" w:rsidRDefault="00EC25DE">
            <w:pPr>
              <w:pStyle w:val="TABLETEXT"/>
              <w:rPr>
                <w:color w:val="000000" w:themeColor="text1"/>
              </w:rPr>
            </w:pPr>
            <w:r w:rsidRPr="00673CF5">
              <w:rPr>
                <w:b/>
                <w:bCs/>
                <w:color w:val="000000" w:themeColor="text1"/>
                <w14:textOutline w14:w="9525" w14:cap="flat" w14:cmpd="sng" w14:algn="ctr">
                  <w14:noFill/>
                  <w14:prstDash w14:val="solid"/>
                  <w14:round/>
                </w14:textOutline>
              </w:rPr>
              <w:t>Sustainable procurement by governments</w:t>
            </w:r>
          </w:p>
        </w:tc>
        <w:tc>
          <w:tcPr>
            <w:tcW w:w="1966" w:type="dxa"/>
            <w:shd w:val="clear" w:color="414D59" w:fill="7F7F7F" w:themeFill="text1" w:themeFillTint="80"/>
            <w:tcMar>
              <w:top w:w="170" w:type="dxa"/>
              <w:left w:w="113" w:type="dxa"/>
              <w:bottom w:w="170" w:type="dxa"/>
              <w:right w:w="113" w:type="dxa"/>
            </w:tcMar>
          </w:tcPr>
          <w:p w14:paraId="76B98F7E"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1155" w:type="dxa"/>
            <w:shd w:val="clear" w:color="414D59" w:fill="7F7F7F" w:themeFill="text1" w:themeFillTint="80"/>
            <w:tcMar>
              <w:top w:w="170" w:type="dxa"/>
              <w:left w:w="113" w:type="dxa"/>
              <w:bottom w:w="170" w:type="dxa"/>
              <w:right w:w="113" w:type="dxa"/>
            </w:tcMar>
          </w:tcPr>
          <w:p w14:paraId="47C2D354" w14:textId="77777777" w:rsidR="00EC25DE" w:rsidRPr="00424906" w:rsidRDefault="00EC25DE">
            <w:pPr>
              <w:pStyle w:val="NoParagraphStyle"/>
              <w:spacing w:line="240" w:lineRule="auto"/>
              <w:textAlignment w:val="auto"/>
              <w:rPr>
                <w:rFonts w:ascii="Calibri" w:hAnsi="Calibri" w:cs="Calibri"/>
                <w:color w:val="FFFFFF" w:themeColor="background1"/>
              </w:rPr>
            </w:pPr>
          </w:p>
        </w:tc>
      </w:tr>
      <w:tr w:rsidR="00EC25DE" w14:paraId="6AE5CFE0" w14:textId="77777777" w:rsidTr="00424906">
        <w:trPr>
          <w:trHeight w:val="352"/>
        </w:trPr>
        <w:tc>
          <w:tcPr>
            <w:tcW w:w="6311" w:type="dxa"/>
            <w:gridSpan w:val="2"/>
            <w:shd w:val="clear" w:color="414D59" w:fill="A6A6A6" w:themeFill="background1" w:themeFillShade="A6"/>
            <w:tcMar>
              <w:top w:w="170" w:type="dxa"/>
              <w:left w:w="113" w:type="dxa"/>
              <w:bottom w:w="170" w:type="dxa"/>
              <w:right w:w="113" w:type="dxa"/>
            </w:tcMar>
          </w:tcPr>
          <w:p w14:paraId="53861D70" w14:textId="77777777" w:rsidR="00EC25DE" w:rsidRPr="00673CF5" w:rsidRDefault="00EC25DE">
            <w:pPr>
              <w:pStyle w:val="TABLETEXT"/>
              <w:rPr>
                <w:color w:val="000000" w:themeColor="text1"/>
              </w:rPr>
            </w:pPr>
            <w:r w:rsidRPr="00673CF5">
              <w:rPr>
                <w:b/>
                <w:bCs/>
                <w:color w:val="000000" w:themeColor="text1"/>
              </w:rPr>
              <w:t xml:space="preserve">Governments model sustainable practices </w:t>
            </w:r>
          </w:p>
        </w:tc>
        <w:tc>
          <w:tcPr>
            <w:tcW w:w="1966" w:type="dxa"/>
            <w:shd w:val="clear" w:color="414D59" w:fill="A6A6A6" w:themeFill="background1" w:themeFillShade="A6"/>
            <w:tcMar>
              <w:top w:w="170" w:type="dxa"/>
              <w:left w:w="113" w:type="dxa"/>
              <w:bottom w:w="170" w:type="dxa"/>
              <w:right w:w="113" w:type="dxa"/>
            </w:tcMar>
          </w:tcPr>
          <w:p w14:paraId="5B2439E9"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1155" w:type="dxa"/>
            <w:shd w:val="clear" w:color="414D59" w:fill="A6A6A6" w:themeFill="background1" w:themeFillShade="A6"/>
            <w:tcMar>
              <w:top w:w="170" w:type="dxa"/>
              <w:left w:w="113" w:type="dxa"/>
              <w:bottom w:w="170" w:type="dxa"/>
              <w:right w:w="113" w:type="dxa"/>
            </w:tcMar>
          </w:tcPr>
          <w:p w14:paraId="17CE92E3" w14:textId="77777777" w:rsidR="00EC25DE" w:rsidRPr="00424906" w:rsidRDefault="00EC25DE">
            <w:pPr>
              <w:pStyle w:val="NoParagraphStyle"/>
              <w:spacing w:line="240" w:lineRule="auto"/>
              <w:textAlignment w:val="auto"/>
              <w:rPr>
                <w:rFonts w:ascii="Calibri" w:hAnsi="Calibri" w:cs="Calibri"/>
                <w:color w:val="FFFFFF" w:themeColor="background1"/>
              </w:rPr>
            </w:pPr>
          </w:p>
        </w:tc>
      </w:tr>
      <w:tr w:rsidR="00EC25DE" w14:paraId="2B9DD989" w14:textId="77777777" w:rsidTr="00424906">
        <w:trPr>
          <w:trHeight w:val="730"/>
        </w:trPr>
        <w:tc>
          <w:tcPr>
            <w:tcW w:w="4563" w:type="dxa"/>
            <w:tcMar>
              <w:top w:w="170" w:type="dxa"/>
              <w:left w:w="113" w:type="dxa"/>
              <w:bottom w:w="170" w:type="dxa"/>
              <w:right w:w="113" w:type="dxa"/>
            </w:tcMar>
          </w:tcPr>
          <w:p w14:paraId="0D64B42C" w14:textId="77777777" w:rsidR="00EC25DE" w:rsidRDefault="00EC25DE">
            <w:pPr>
              <w:pStyle w:val="TABLETEXT"/>
              <w:ind w:left="397" w:hanging="397"/>
            </w:pPr>
            <w:r>
              <w:t xml:space="preserve">4.1 </w:t>
            </w:r>
            <w:r>
              <w:tab/>
              <w:t>Determine use of recycled content in road construction to establish a baseline and allow reporting on actions to significantly increase recycled content use</w:t>
            </w:r>
          </w:p>
        </w:tc>
        <w:tc>
          <w:tcPr>
            <w:tcW w:w="1748" w:type="dxa"/>
            <w:tcMar>
              <w:top w:w="170" w:type="dxa"/>
              <w:left w:w="113" w:type="dxa"/>
              <w:bottom w:w="170" w:type="dxa"/>
              <w:right w:w="113" w:type="dxa"/>
            </w:tcMar>
          </w:tcPr>
          <w:p w14:paraId="6B60AFC2" w14:textId="77777777" w:rsidR="00EC25DE" w:rsidRDefault="00EC25DE">
            <w:pPr>
              <w:pStyle w:val="TABLETEXT"/>
            </w:pPr>
            <w:r>
              <w:t>Australian Government</w:t>
            </w:r>
          </w:p>
        </w:tc>
        <w:tc>
          <w:tcPr>
            <w:tcW w:w="1966" w:type="dxa"/>
            <w:tcMar>
              <w:top w:w="170" w:type="dxa"/>
              <w:left w:w="113" w:type="dxa"/>
              <w:bottom w:w="170" w:type="dxa"/>
              <w:right w:w="113" w:type="dxa"/>
            </w:tcMar>
          </w:tcPr>
          <w:p w14:paraId="77439305" w14:textId="77777777" w:rsidR="00EC25DE" w:rsidRDefault="00EC25DE">
            <w:pPr>
              <w:pStyle w:val="TABLETEXT"/>
            </w:pPr>
            <w:r>
              <w:t>All governments</w:t>
            </w:r>
          </w:p>
        </w:tc>
        <w:tc>
          <w:tcPr>
            <w:tcW w:w="1155" w:type="dxa"/>
            <w:tcMar>
              <w:top w:w="170" w:type="dxa"/>
              <w:left w:w="113" w:type="dxa"/>
              <w:bottom w:w="170" w:type="dxa"/>
              <w:right w:w="113" w:type="dxa"/>
            </w:tcMar>
          </w:tcPr>
          <w:p w14:paraId="766C163B" w14:textId="77777777" w:rsidR="00EC25DE" w:rsidRDefault="00EC25DE">
            <w:pPr>
              <w:pStyle w:val="TABLETEXT"/>
            </w:pPr>
            <w:r>
              <w:t>2020</w:t>
            </w:r>
          </w:p>
        </w:tc>
      </w:tr>
      <w:tr w:rsidR="00EC25DE" w14:paraId="7A8EDF68" w14:textId="77777777" w:rsidTr="00424906">
        <w:trPr>
          <w:trHeight w:val="730"/>
        </w:trPr>
        <w:tc>
          <w:tcPr>
            <w:tcW w:w="4563" w:type="dxa"/>
            <w:tcMar>
              <w:top w:w="170" w:type="dxa"/>
              <w:left w:w="113" w:type="dxa"/>
              <w:bottom w:w="170" w:type="dxa"/>
              <w:right w:w="113" w:type="dxa"/>
            </w:tcMar>
          </w:tcPr>
          <w:p w14:paraId="61AF193C" w14:textId="77777777" w:rsidR="00EC25DE" w:rsidRDefault="00EC25DE">
            <w:pPr>
              <w:pStyle w:val="TABLETEXT"/>
              <w:ind w:left="397" w:hanging="397"/>
            </w:pPr>
            <w:r>
              <w:t xml:space="preserve">4.2 </w:t>
            </w:r>
            <w:r>
              <w:tab/>
              <w:t xml:space="preserve">Partner with Infrastructure Australia, the Green Building Council of Australia and the Australian Institute of Quantity Surveyors to improve demand for recycled materials </w:t>
            </w:r>
          </w:p>
        </w:tc>
        <w:tc>
          <w:tcPr>
            <w:tcW w:w="1748" w:type="dxa"/>
            <w:tcMar>
              <w:top w:w="170" w:type="dxa"/>
              <w:left w:w="113" w:type="dxa"/>
              <w:bottom w:w="170" w:type="dxa"/>
              <w:right w:w="113" w:type="dxa"/>
            </w:tcMar>
          </w:tcPr>
          <w:p w14:paraId="1568030B" w14:textId="77777777" w:rsidR="00EC25DE" w:rsidRDefault="00EC25DE">
            <w:pPr>
              <w:pStyle w:val="TABLETEXT"/>
            </w:pPr>
            <w:r>
              <w:t>Australian Government</w:t>
            </w:r>
          </w:p>
        </w:tc>
        <w:tc>
          <w:tcPr>
            <w:tcW w:w="1966" w:type="dxa"/>
            <w:tcMar>
              <w:top w:w="170" w:type="dxa"/>
              <w:left w:w="113" w:type="dxa"/>
              <w:bottom w:w="170" w:type="dxa"/>
              <w:right w:w="113" w:type="dxa"/>
            </w:tcMar>
          </w:tcPr>
          <w:p w14:paraId="52497438" w14:textId="77777777" w:rsidR="00EC25DE" w:rsidRDefault="00EC25DE">
            <w:pPr>
              <w:pStyle w:val="TABLETEXT"/>
            </w:pPr>
            <w:r>
              <w:t>All governments</w:t>
            </w:r>
          </w:p>
        </w:tc>
        <w:tc>
          <w:tcPr>
            <w:tcW w:w="1155" w:type="dxa"/>
            <w:tcMar>
              <w:top w:w="170" w:type="dxa"/>
              <w:left w:w="113" w:type="dxa"/>
              <w:bottom w:w="170" w:type="dxa"/>
              <w:right w:w="113" w:type="dxa"/>
            </w:tcMar>
          </w:tcPr>
          <w:p w14:paraId="66FC5D29" w14:textId="77777777" w:rsidR="00EC25DE" w:rsidRDefault="00EC25DE">
            <w:pPr>
              <w:pStyle w:val="TABLETEXT"/>
            </w:pPr>
            <w:r>
              <w:t>2020</w:t>
            </w:r>
          </w:p>
        </w:tc>
      </w:tr>
      <w:tr w:rsidR="00EC25DE" w14:paraId="35982927" w14:textId="77777777" w:rsidTr="00424906">
        <w:trPr>
          <w:trHeight w:val="730"/>
        </w:trPr>
        <w:tc>
          <w:tcPr>
            <w:tcW w:w="4563" w:type="dxa"/>
            <w:tcMar>
              <w:top w:w="170" w:type="dxa"/>
              <w:left w:w="113" w:type="dxa"/>
              <w:bottom w:w="170" w:type="dxa"/>
              <w:right w:w="113" w:type="dxa"/>
            </w:tcMar>
          </w:tcPr>
          <w:p w14:paraId="561DA01A" w14:textId="77777777" w:rsidR="00EC25DE" w:rsidRDefault="00EC25DE">
            <w:pPr>
              <w:pStyle w:val="TABLETEXT"/>
              <w:ind w:left="397" w:hanging="397"/>
            </w:pPr>
            <w:r>
              <w:t xml:space="preserve">4.3 </w:t>
            </w:r>
            <w:r>
              <w:tab/>
              <w:t>Work with industry to identify specific opportunities to increase uptake of recycled content in buildings and infrastructure with priority given to plastics, glass and rubber</w:t>
            </w:r>
          </w:p>
        </w:tc>
        <w:tc>
          <w:tcPr>
            <w:tcW w:w="1748" w:type="dxa"/>
            <w:tcMar>
              <w:top w:w="170" w:type="dxa"/>
              <w:left w:w="113" w:type="dxa"/>
              <w:bottom w:w="170" w:type="dxa"/>
              <w:right w:w="113" w:type="dxa"/>
            </w:tcMar>
          </w:tcPr>
          <w:p w14:paraId="4993E115" w14:textId="77777777" w:rsidR="00EC25DE" w:rsidRDefault="00EC25DE">
            <w:pPr>
              <w:pStyle w:val="TABLETEXT"/>
            </w:pPr>
            <w:r>
              <w:t xml:space="preserve">All governments </w:t>
            </w:r>
          </w:p>
          <w:p w14:paraId="492EC216" w14:textId="77777777" w:rsidR="00EC25DE" w:rsidRDefault="00EC25DE">
            <w:pPr>
              <w:pStyle w:val="TABLETEXT"/>
              <w:ind w:left="397" w:hanging="397"/>
            </w:pPr>
            <w:r>
              <w:t>Business sector</w:t>
            </w:r>
          </w:p>
        </w:tc>
        <w:tc>
          <w:tcPr>
            <w:tcW w:w="1966" w:type="dxa"/>
            <w:tcMar>
              <w:top w:w="170" w:type="dxa"/>
              <w:left w:w="113" w:type="dxa"/>
              <w:bottom w:w="170" w:type="dxa"/>
              <w:right w:w="113" w:type="dxa"/>
            </w:tcMar>
          </w:tcPr>
          <w:p w14:paraId="21D8AF91" w14:textId="77777777" w:rsidR="00EC25DE" w:rsidRDefault="00EC25DE">
            <w:pPr>
              <w:pStyle w:val="TABLETEXT"/>
            </w:pPr>
            <w:r>
              <w:t xml:space="preserve">Waste and resource recovery industry </w:t>
            </w:r>
          </w:p>
        </w:tc>
        <w:tc>
          <w:tcPr>
            <w:tcW w:w="1155" w:type="dxa"/>
            <w:tcMar>
              <w:top w:w="170" w:type="dxa"/>
              <w:left w:w="113" w:type="dxa"/>
              <w:bottom w:w="170" w:type="dxa"/>
              <w:right w:w="113" w:type="dxa"/>
            </w:tcMar>
          </w:tcPr>
          <w:p w14:paraId="10D424E5" w14:textId="77777777" w:rsidR="00EC25DE" w:rsidRDefault="00EC25DE">
            <w:pPr>
              <w:pStyle w:val="TABLETEXT"/>
            </w:pPr>
            <w:r>
              <w:t>2020</w:t>
            </w:r>
          </w:p>
        </w:tc>
      </w:tr>
      <w:tr w:rsidR="00EC25DE" w14:paraId="1463DEBC" w14:textId="77777777" w:rsidTr="00424906">
        <w:trPr>
          <w:trHeight w:val="730"/>
        </w:trPr>
        <w:tc>
          <w:tcPr>
            <w:tcW w:w="4563" w:type="dxa"/>
            <w:tcMar>
              <w:top w:w="170" w:type="dxa"/>
              <w:left w:w="113" w:type="dxa"/>
              <w:bottom w:w="170" w:type="dxa"/>
              <w:right w:w="113" w:type="dxa"/>
            </w:tcMar>
          </w:tcPr>
          <w:p w14:paraId="296F8D58" w14:textId="77777777" w:rsidR="00EC25DE" w:rsidRDefault="00EC25DE">
            <w:pPr>
              <w:pStyle w:val="TABLETEXT"/>
              <w:ind w:left="397" w:hanging="397"/>
            </w:pPr>
            <w:r>
              <w:t>4.4</w:t>
            </w:r>
            <w:r>
              <w:tab/>
              <w:t xml:space="preserve">Devise specific procurement targets across all government procurement, with details about how the target will be calculated, achieved and audited. </w:t>
            </w:r>
          </w:p>
        </w:tc>
        <w:tc>
          <w:tcPr>
            <w:tcW w:w="1748" w:type="dxa"/>
            <w:tcMar>
              <w:top w:w="170" w:type="dxa"/>
              <w:left w:w="113" w:type="dxa"/>
              <w:bottom w:w="170" w:type="dxa"/>
              <w:right w:w="113" w:type="dxa"/>
            </w:tcMar>
          </w:tcPr>
          <w:p w14:paraId="378E2A15" w14:textId="77777777" w:rsidR="00EC25DE" w:rsidRDefault="00EC25DE">
            <w:pPr>
              <w:pStyle w:val="TABLETEXT"/>
            </w:pPr>
            <w:r>
              <w:t>All governments</w:t>
            </w:r>
          </w:p>
        </w:tc>
        <w:tc>
          <w:tcPr>
            <w:tcW w:w="1966" w:type="dxa"/>
            <w:tcMar>
              <w:top w:w="170" w:type="dxa"/>
              <w:left w:w="113" w:type="dxa"/>
              <w:bottom w:w="170" w:type="dxa"/>
              <w:right w:w="113" w:type="dxa"/>
            </w:tcMar>
          </w:tcPr>
          <w:p w14:paraId="63F13B8C" w14:textId="77777777" w:rsidR="00EC25DE" w:rsidRDefault="00EC25DE">
            <w:pPr>
              <w:pStyle w:val="NoParagraphStyle"/>
              <w:spacing w:line="240" w:lineRule="auto"/>
              <w:textAlignment w:val="auto"/>
              <w:rPr>
                <w:rFonts w:ascii="Calibri" w:hAnsi="Calibri" w:cs="Calibri"/>
                <w:color w:val="auto"/>
              </w:rPr>
            </w:pPr>
          </w:p>
        </w:tc>
        <w:tc>
          <w:tcPr>
            <w:tcW w:w="1155" w:type="dxa"/>
            <w:tcMar>
              <w:top w:w="170" w:type="dxa"/>
              <w:left w:w="113" w:type="dxa"/>
              <w:bottom w:w="170" w:type="dxa"/>
              <w:right w:w="113" w:type="dxa"/>
            </w:tcMar>
          </w:tcPr>
          <w:p w14:paraId="3886547C" w14:textId="77777777" w:rsidR="00EC25DE" w:rsidRDefault="00EC25DE">
            <w:pPr>
              <w:pStyle w:val="TABLETEXT"/>
            </w:pPr>
            <w:r>
              <w:t>2020</w:t>
            </w:r>
          </w:p>
        </w:tc>
      </w:tr>
      <w:tr w:rsidR="00EC25DE" w14:paraId="4A183753" w14:textId="77777777" w:rsidTr="00424906">
        <w:trPr>
          <w:trHeight w:val="730"/>
        </w:trPr>
        <w:tc>
          <w:tcPr>
            <w:tcW w:w="4563" w:type="dxa"/>
            <w:tcMar>
              <w:top w:w="170" w:type="dxa"/>
              <w:left w:w="113" w:type="dxa"/>
              <w:bottom w:w="170" w:type="dxa"/>
              <w:right w:w="113" w:type="dxa"/>
            </w:tcMar>
          </w:tcPr>
          <w:p w14:paraId="566482ED" w14:textId="77777777" w:rsidR="00EC25DE" w:rsidRDefault="00EC25DE">
            <w:pPr>
              <w:pStyle w:val="TABLETEXT"/>
              <w:ind w:left="397" w:hanging="397"/>
            </w:pPr>
            <w:r>
              <w:t xml:space="preserve">4.5 </w:t>
            </w:r>
            <w:r>
              <w:tab/>
              <w:t xml:space="preserve">Report on government procurement activities that have significantly increased the use of recycled material in infrastructure projects, including where possible the percentage of capital works projects that include recycled content. </w:t>
            </w:r>
          </w:p>
        </w:tc>
        <w:tc>
          <w:tcPr>
            <w:tcW w:w="1748" w:type="dxa"/>
            <w:tcMar>
              <w:top w:w="170" w:type="dxa"/>
              <w:left w:w="113" w:type="dxa"/>
              <w:bottom w:w="170" w:type="dxa"/>
              <w:right w:w="113" w:type="dxa"/>
            </w:tcMar>
          </w:tcPr>
          <w:p w14:paraId="68FF9384" w14:textId="77777777" w:rsidR="00EC25DE" w:rsidRDefault="00EC25DE">
            <w:pPr>
              <w:pStyle w:val="TABLETEXT"/>
            </w:pPr>
            <w:r>
              <w:t>All governments</w:t>
            </w:r>
          </w:p>
        </w:tc>
        <w:tc>
          <w:tcPr>
            <w:tcW w:w="1966" w:type="dxa"/>
            <w:tcMar>
              <w:top w:w="170" w:type="dxa"/>
              <w:left w:w="113" w:type="dxa"/>
              <w:bottom w:w="170" w:type="dxa"/>
              <w:right w:w="113" w:type="dxa"/>
            </w:tcMar>
          </w:tcPr>
          <w:p w14:paraId="2FCB0B7E" w14:textId="77777777" w:rsidR="00EC25DE" w:rsidRDefault="00EC25DE">
            <w:pPr>
              <w:pStyle w:val="NoParagraphStyle"/>
              <w:spacing w:line="240" w:lineRule="auto"/>
              <w:textAlignment w:val="auto"/>
              <w:rPr>
                <w:rFonts w:ascii="Calibri" w:hAnsi="Calibri" w:cs="Calibri"/>
                <w:color w:val="auto"/>
              </w:rPr>
            </w:pPr>
          </w:p>
        </w:tc>
        <w:tc>
          <w:tcPr>
            <w:tcW w:w="1155" w:type="dxa"/>
            <w:tcMar>
              <w:top w:w="170" w:type="dxa"/>
              <w:left w:w="113" w:type="dxa"/>
              <w:bottom w:w="170" w:type="dxa"/>
              <w:right w:w="113" w:type="dxa"/>
            </w:tcMar>
          </w:tcPr>
          <w:p w14:paraId="1B84A0C4" w14:textId="77777777" w:rsidR="00EC25DE" w:rsidRDefault="00EC25DE">
            <w:pPr>
              <w:pStyle w:val="TABLETEXT"/>
            </w:pPr>
            <w:r>
              <w:t>2021</w:t>
            </w:r>
          </w:p>
        </w:tc>
      </w:tr>
      <w:tr w:rsidR="00EC25DE" w14:paraId="6402DC4A" w14:textId="77777777" w:rsidTr="00424906">
        <w:trPr>
          <w:trHeight w:val="730"/>
        </w:trPr>
        <w:tc>
          <w:tcPr>
            <w:tcW w:w="4563" w:type="dxa"/>
            <w:tcMar>
              <w:top w:w="170" w:type="dxa"/>
              <w:left w:w="113" w:type="dxa"/>
              <w:bottom w:w="170" w:type="dxa"/>
              <w:right w:w="113" w:type="dxa"/>
            </w:tcMar>
          </w:tcPr>
          <w:p w14:paraId="1E0F46DE" w14:textId="77777777" w:rsidR="00EC25DE" w:rsidRDefault="00EC25DE">
            <w:pPr>
              <w:pStyle w:val="TABLETEXT"/>
              <w:ind w:left="397" w:hanging="397"/>
            </w:pPr>
            <w:r>
              <w:lastRenderedPageBreak/>
              <w:t>4.6</w:t>
            </w:r>
            <w:r>
              <w:tab/>
              <w:t xml:space="preserve">Report on progress in achieving procurement targets </w:t>
            </w:r>
          </w:p>
        </w:tc>
        <w:tc>
          <w:tcPr>
            <w:tcW w:w="1748" w:type="dxa"/>
            <w:tcMar>
              <w:top w:w="170" w:type="dxa"/>
              <w:left w:w="113" w:type="dxa"/>
              <w:bottom w:w="170" w:type="dxa"/>
              <w:right w:w="113" w:type="dxa"/>
            </w:tcMar>
          </w:tcPr>
          <w:p w14:paraId="4B1E72B6" w14:textId="77777777" w:rsidR="00EC25DE" w:rsidRDefault="00EC25DE">
            <w:pPr>
              <w:pStyle w:val="TABLETEXT"/>
            </w:pPr>
            <w:r>
              <w:t>All governments</w:t>
            </w:r>
          </w:p>
        </w:tc>
        <w:tc>
          <w:tcPr>
            <w:tcW w:w="1966" w:type="dxa"/>
            <w:tcMar>
              <w:top w:w="170" w:type="dxa"/>
              <w:left w:w="113" w:type="dxa"/>
              <w:bottom w:w="170" w:type="dxa"/>
              <w:right w:w="113" w:type="dxa"/>
            </w:tcMar>
          </w:tcPr>
          <w:p w14:paraId="6A239591" w14:textId="77777777" w:rsidR="00EC25DE" w:rsidRDefault="00EC25DE">
            <w:pPr>
              <w:pStyle w:val="NoParagraphStyle"/>
              <w:spacing w:line="240" w:lineRule="auto"/>
              <w:textAlignment w:val="auto"/>
              <w:rPr>
                <w:rFonts w:ascii="Calibri" w:hAnsi="Calibri" w:cs="Calibri"/>
                <w:color w:val="auto"/>
              </w:rPr>
            </w:pPr>
          </w:p>
        </w:tc>
        <w:tc>
          <w:tcPr>
            <w:tcW w:w="1155" w:type="dxa"/>
            <w:tcMar>
              <w:top w:w="170" w:type="dxa"/>
              <w:left w:w="113" w:type="dxa"/>
              <w:bottom w:w="170" w:type="dxa"/>
              <w:right w:w="113" w:type="dxa"/>
            </w:tcMar>
          </w:tcPr>
          <w:p w14:paraId="722DD9A1" w14:textId="77777777" w:rsidR="00EC25DE" w:rsidRDefault="00EC25DE">
            <w:pPr>
              <w:pStyle w:val="TABLETEXT"/>
            </w:pPr>
            <w:r>
              <w:t>Ongoing</w:t>
            </w:r>
          </w:p>
        </w:tc>
      </w:tr>
      <w:tr w:rsidR="00EC25DE" w14:paraId="485BE8E9" w14:textId="77777777" w:rsidTr="00424906">
        <w:trPr>
          <w:trHeight w:val="283"/>
        </w:trPr>
        <w:tc>
          <w:tcPr>
            <w:tcW w:w="9432" w:type="dxa"/>
            <w:gridSpan w:val="4"/>
            <w:shd w:val="clear" w:color="414D59" w:fill="7F7F7F" w:themeFill="text1" w:themeFillTint="80"/>
            <w:tcMar>
              <w:top w:w="170" w:type="dxa"/>
              <w:left w:w="113" w:type="dxa"/>
              <w:bottom w:w="170" w:type="dxa"/>
              <w:right w:w="113" w:type="dxa"/>
            </w:tcMar>
          </w:tcPr>
          <w:p w14:paraId="5CC9E4D0" w14:textId="77777777" w:rsidR="00EC25DE" w:rsidRPr="00673CF5" w:rsidRDefault="00EC25DE">
            <w:pPr>
              <w:pStyle w:val="TABLETEXT"/>
              <w:rPr>
                <w:color w:val="000000" w:themeColor="text1"/>
              </w:rPr>
            </w:pPr>
            <w:r w:rsidRPr="00673CF5">
              <w:rPr>
                <w:b/>
                <w:bCs/>
                <w:color w:val="000000" w:themeColor="text1"/>
                <w14:textOutline w14:w="9525" w14:cap="flat" w14:cmpd="sng" w14:algn="ctr">
                  <w14:noFill/>
                  <w14:prstDash w14:val="solid"/>
                  <w14:round/>
                </w14:textOutline>
              </w:rPr>
              <w:t>Sustainable procurement by business and individuals</w:t>
            </w:r>
          </w:p>
        </w:tc>
      </w:tr>
      <w:tr w:rsidR="00EC25DE" w14:paraId="43BDF6FE" w14:textId="77777777" w:rsidTr="00424906">
        <w:trPr>
          <w:trHeight w:val="283"/>
        </w:trPr>
        <w:tc>
          <w:tcPr>
            <w:tcW w:w="4563" w:type="dxa"/>
            <w:shd w:val="clear" w:color="414D59" w:fill="A6A6A6" w:themeFill="background1" w:themeFillShade="A6"/>
            <w:tcMar>
              <w:top w:w="170" w:type="dxa"/>
              <w:left w:w="113" w:type="dxa"/>
              <w:bottom w:w="170" w:type="dxa"/>
              <w:right w:w="113" w:type="dxa"/>
            </w:tcMar>
          </w:tcPr>
          <w:p w14:paraId="09031B53" w14:textId="77777777" w:rsidR="00EC25DE" w:rsidRPr="00673CF5" w:rsidRDefault="00EC25DE">
            <w:pPr>
              <w:pStyle w:val="TABLETEXT"/>
              <w:rPr>
                <w:color w:val="000000" w:themeColor="text1"/>
              </w:rPr>
            </w:pPr>
            <w:r w:rsidRPr="00673CF5">
              <w:rPr>
                <w:b/>
                <w:bCs/>
                <w:color w:val="000000" w:themeColor="text1"/>
              </w:rPr>
              <w:t>Labelling and Support</w:t>
            </w:r>
          </w:p>
        </w:tc>
        <w:tc>
          <w:tcPr>
            <w:tcW w:w="1748" w:type="dxa"/>
            <w:shd w:val="clear" w:color="414D59" w:fill="A6A6A6" w:themeFill="background1" w:themeFillShade="A6"/>
            <w:tcMar>
              <w:top w:w="170" w:type="dxa"/>
              <w:left w:w="113" w:type="dxa"/>
              <w:bottom w:w="170" w:type="dxa"/>
              <w:right w:w="113" w:type="dxa"/>
            </w:tcMar>
          </w:tcPr>
          <w:p w14:paraId="573BE91C" w14:textId="77777777" w:rsidR="00EC25DE" w:rsidRDefault="00EC25DE">
            <w:pPr>
              <w:pStyle w:val="NoParagraphStyle"/>
              <w:spacing w:line="240" w:lineRule="auto"/>
              <w:textAlignment w:val="auto"/>
              <w:rPr>
                <w:rFonts w:ascii="Calibri" w:hAnsi="Calibri" w:cs="Calibri"/>
                <w:color w:val="auto"/>
              </w:rPr>
            </w:pPr>
          </w:p>
        </w:tc>
        <w:tc>
          <w:tcPr>
            <w:tcW w:w="1966" w:type="dxa"/>
            <w:shd w:val="clear" w:color="414D59" w:fill="A6A6A6" w:themeFill="background1" w:themeFillShade="A6"/>
            <w:tcMar>
              <w:top w:w="170" w:type="dxa"/>
              <w:left w:w="113" w:type="dxa"/>
              <w:bottom w:w="170" w:type="dxa"/>
              <w:right w:w="113" w:type="dxa"/>
            </w:tcMar>
          </w:tcPr>
          <w:p w14:paraId="306ACC96" w14:textId="77777777" w:rsidR="00EC25DE" w:rsidRPr="00424906" w:rsidRDefault="00EC25DE">
            <w:pPr>
              <w:pStyle w:val="NoParagraphStyle"/>
              <w:spacing w:line="240" w:lineRule="auto"/>
              <w:textAlignment w:val="auto"/>
              <w:rPr>
                <w:rFonts w:ascii="Calibri" w:hAnsi="Calibri" w:cs="Calibri"/>
                <w:color w:val="FFFFFF" w:themeColor="background1"/>
              </w:rPr>
            </w:pPr>
          </w:p>
        </w:tc>
        <w:tc>
          <w:tcPr>
            <w:tcW w:w="1155" w:type="dxa"/>
            <w:shd w:val="clear" w:color="414D59" w:fill="A6A6A6" w:themeFill="background1" w:themeFillShade="A6"/>
            <w:tcMar>
              <w:top w:w="170" w:type="dxa"/>
              <w:left w:w="113" w:type="dxa"/>
              <w:bottom w:w="170" w:type="dxa"/>
              <w:right w:w="113" w:type="dxa"/>
            </w:tcMar>
          </w:tcPr>
          <w:p w14:paraId="0C37622C" w14:textId="77777777" w:rsidR="00EC25DE" w:rsidRPr="00424906" w:rsidRDefault="00EC25DE">
            <w:pPr>
              <w:pStyle w:val="NoParagraphStyle"/>
              <w:spacing w:line="240" w:lineRule="auto"/>
              <w:textAlignment w:val="auto"/>
              <w:rPr>
                <w:rFonts w:ascii="Calibri" w:hAnsi="Calibri" w:cs="Calibri"/>
                <w:color w:val="FFFFFF" w:themeColor="background1"/>
              </w:rPr>
            </w:pPr>
          </w:p>
        </w:tc>
      </w:tr>
      <w:tr w:rsidR="00EC25DE" w14:paraId="2259335B" w14:textId="77777777" w:rsidTr="00424906">
        <w:trPr>
          <w:trHeight w:val="689"/>
        </w:trPr>
        <w:tc>
          <w:tcPr>
            <w:tcW w:w="4563" w:type="dxa"/>
            <w:tcMar>
              <w:top w:w="170" w:type="dxa"/>
              <w:left w:w="113" w:type="dxa"/>
              <w:bottom w:w="170" w:type="dxa"/>
              <w:right w:w="113" w:type="dxa"/>
            </w:tcMar>
          </w:tcPr>
          <w:p w14:paraId="69B95346" w14:textId="77777777" w:rsidR="00EC25DE" w:rsidRDefault="00EC25DE">
            <w:pPr>
              <w:pStyle w:val="TABLETEXT"/>
              <w:ind w:left="397" w:hanging="397"/>
            </w:pPr>
            <w:r>
              <w:t xml:space="preserve">4.7 </w:t>
            </w:r>
            <w:r>
              <w:tab/>
              <w:t>Investigate ways to support and promote businesses using circular economy practices, such as awards or recognition schemes</w:t>
            </w:r>
          </w:p>
        </w:tc>
        <w:tc>
          <w:tcPr>
            <w:tcW w:w="1748" w:type="dxa"/>
            <w:tcMar>
              <w:top w:w="170" w:type="dxa"/>
              <w:left w:w="113" w:type="dxa"/>
              <w:bottom w:w="170" w:type="dxa"/>
              <w:right w:w="113" w:type="dxa"/>
            </w:tcMar>
          </w:tcPr>
          <w:p w14:paraId="05BC9EF1" w14:textId="77777777" w:rsidR="00EC25DE" w:rsidRDefault="00EC25DE">
            <w:pPr>
              <w:pStyle w:val="TABLETEXT"/>
            </w:pPr>
            <w:r>
              <w:t xml:space="preserve">All governments </w:t>
            </w:r>
          </w:p>
        </w:tc>
        <w:tc>
          <w:tcPr>
            <w:tcW w:w="1966" w:type="dxa"/>
            <w:tcMar>
              <w:top w:w="170" w:type="dxa"/>
              <w:left w:w="113" w:type="dxa"/>
              <w:bottom w:w="170" w:type="dxa"/>
              <w:right w:w="113" w:type="dxa"/>
            </w:tcMar>
          </w:tcPr>
          <w:p w14:paraId="302A365A" w14:textId="77777777" w:rsidR="00EC25DE" w:rsidRDefault="00EC25DE">
            <w:pPr>
              <w:pStyle w:val="TABLETEXT"/>
            </w:pPr>
            <w:r>
              <w:t>Business sector</w:t>
            </w:r>
          </w:p>
        </w:tc>
        <w:tc>
          <w:tcPr>
            <w:tcW w:w="1155" w:type="dxa"/>
            <w:tcMar>
              <w:top w:w="170" w:type="dxa"/>
              <w:left w:w="113" w:type="dxa"/>
              <w:bottom w:w="170" w:type="dxa"/>
              <w:right w:w="113" w:type="dxa"/>
            </w:tcMar>
          </w:tcPr>
          <w:p w14:paraId="5E73FA61" w14:textId="77777777" w:rsidR="00EC25DE" w:rsidRDefault="00EC25DE">
            <w:pPr>
              <w:pStyle w:val="TABLETEXT"/>
            </w:pPr>
            <w:r>
              <w:t>2021</w:t>
            </w:r>
          </w:p>
        </w:tc>
      </w:tr>
      <w:tr w:rsidR="00EC25DE" w14:paraId="5354C5AC" w14:textId="77777777" w:rsidTr="00424906">
        <w:trPr>
          <w:trHeight w:val="689"/>
        </w:trPr>
        <w:tc>
          <w:tcPr>
            <w:tcW w:w="4563" w:type="dxa"/>
            <w:tcMar>
              <w:top w:w="170" w:type="dxa"/>
              <w:left w:w="113" w:type="dxa"/>
              <w:bottom w:w="170" w:type="dxa"/>
              <w:right w:w="113" w:type="dxa"/>
            </w:tcMar>
          </w:tcPr>
          <w:p w14:paraId="5313F4E9" w14:textId="77777777" w:rsidR="00EC25DE" w:rsidRDefault="00EC25DE">
            <w:pPr>
              <w:pStyle w:val="TABLETEXT"/>
              <w:ind w:left="397" w:hanging="397"/>
            </w:pPr>
            <w:r>
              <w:t xml:space="preserve">4.8 </w:t>
            </w:r>
            <w:r>
              <w:tab/>
              <w:t>Incorporate information about the percentage of recycled content in packaging into the Australasian Recycling Label, to allow informed consumer choice</w:t>
            </w:r>
          </w:p>
        </w:tc>
        <w:tc>
          <w:tcPr>
            <w:tcW w:w="1748" w:type="dxa"/>
            <w:tcMar>
              <w:top w:w="170" w:type="dxa"/>
              <w:left w:w="113" w:type="dxa"/>
              <w:bottom w:w="170" w:type="dxa"/>
              <w:right w:w="113" w:type="dxa"/>
            </w:tcMar>
          </w:tcPr>
          <w:p w14:paraId="3FA77A18" w14:textId="77777777" w:rsidR="00EC25DE" w:rsidRDefault="00EC25DE">
            <w:pPr>
              <w:pStyle w:val="TABLETEXT"/>
            </w:pPr>
            <w:r>
              <w:t>Australian Packaging Covenant Organisation</w:t>
            </w:r>
          </w:p>
        </w:tc>
        <w:tc>
          <w:tcPr>
            <w:tcW w:w="1966" w:type="dxa"/>
            <w:tcMar>
              <w:top w:w="170" w:type="dxa"/>
              <w:left w:w="113" w:type="dxa"/>
              <w:bottom w:w="170" w:type="dxa"/>
              <w:right w:w="113" w:type="dxa"/>
            </w:tcMar>
          </w:tcPr>
          <w:p w14:paraId="1703B054" w14:textId="77777777" w:rsidR="00EC25DE" w:rsidRDefault="00EC25DE">
            <w:pPr>
              <w:pStyle w:val="TABLETEXT"/>
            </w:pPr>
            <w:r>
              <w:t>All governments</w:t>
            </w:r>
          </w:p>
        </w:tc>
        <w:tc>
          <w:tcPr>
            <w:tcW w:w="1155" w:type="dxa"/>
            <w:tcMar>
              <w:top w:w="170" w:type="dxa"/>
              <w:left w:w="113" w:type="dxa"/>
              <w:bottom w:w="170" w:type="dxa"/>
              <w:right w:w="113" w:type="dxa"/>
            </w:tcMar>
          </w:tcPr>
          <w:p w14:paraId="0390568B" w14:textId="77777777" w:rsidR="00EC25DE" w:rsidRDefault="00EC25DE">
            <w:pPr>
              <w:pStyle w:val="TABLETEXT"/>
            </w:pPr>
            <w:r>
              <w:t>2021</w:t>
            </w:r>
          </w:p>
        </w:tc>
      </w:tr>
      <w:tr w:rsidR="00EC25DE" w14:paraId="592576CA" w14:textId="77777777" w:rsidTr="00424906">
        <w:trPr>
          <w:trHeight w:val="689"/>
        </w:trPr>
        <w:tc>
          <w:tcPr>
            <w:tcW w:w="4563" w:type="dxa"/>
            <w:tcMar>
              <w:top w:w="170" w:type="dxa"/>
              <w:left w:w="113" w:type="dxa"/>
              <w:bottom w:w="170" w:type="dxa"/>
              <w:right w:w="113" w:type="dxa"/>
            </w:tcMar>
          </w:tcPr>
          <w:p w14:paraId="763033A5" w14:textId="77777777" w:rsidR="00EC25DE" w:rsidRDefault="00EC25DE">
            <w:pPr>
              <w:pStyle w:val="TABLETEXT"/>
              <w:ind w:left="425" w:hanging="425"/>
            </w:pPr>
            <w:r>
              <w:t xml:space="preserve">4.9 </w:t>
            </w:r>
            <w:r>
              <w:tab/>
              <w:t xml:space="preserve">Encourage Australian businesses to adopt and publish sustainable procurement policies, including use of recycled content </w:t>
            </w:r>
          </w:p>
        </w:tc>
        <w:tc>
          <w:tcPr>
            <w:tcW w:w="1748" w:type="dxa"/>
            <w:tcMar>
              <w:top w:w="170" w:type="dxa"/>
              <w:left w:w="113" w:type="dxa"/>
              <w:bottom w:w="170" w:type="dxa"/>
              <w:right w:w="113" w:type="dxa"/>
            </w:tcMar>
          </w:tcPr>
          <w:p w14:paraId="323A2AD1" w14:textId="77777777" w:rsidR="00EC25DE" w:rsidRDefault="00EC25DE">
            <w:pPr>
              <w:pStyle w:val="TABLETEXT"/>
            </w:pPr>
            <w:r>
              <w:t>Business sector</w:t>
            </w:r>
          </w:p>
        </w:tc>
        <w:tc>
          <w:tcPr>
            <w:tcW w:w="1966" w:type="dxa"/>
            <w:tcMar>
              <w:top w:w="170" w:type="dxa"/>
              <w:left w:w="113" w:type="dxa"/>
              <w:bottom w:w="170" w:type="dxa"/>
              <w:right w:w="113" w:type="dxa"/>
            </w:tcMar>
          </w:tcPr>
          <w:p w14:paraId="7C8960B9" w14:textId="77777777" w:rsidR="00EC25DE" w:rsidRDefault="00EC25DE">
            <w:pPr>
              <w:pStyle w:val="TABLETEXT"/>
            </w:pPr>
            <w:r>
              <w:t xml:space="preserve"> All governments</w:t>
            </w:r>
          </w:p>
        </w:tc>
        <w:tc>
          <w:tcPr>
            <w:tcW w:w="1155" w:type="dxa"/>
            <w:tcMar>
              <w:top w:w="170" w:type="dxa"/>
              <w:left w:w="113" w:type="dxa"/>
              <w:bottom w:w="170" w:type="dxa"/>
              <w:right w:w="113" w:type="dxa"/>
            </w:tcMar>
          </w:tcPr>
          <w:p w14:paraId="3D50A061" w14:textId="77777777" w:rsidR="00EC25DE" w:rsidRDefault="00EC25DE">
            <w:pPr>
              <w:pStyle w:val="TABLETEXT"/>
            </w:pPr>
            <w:r>
              <w:t>2022</w:t>
            </w:r>
          </w:p>
        </w:tc>
      </w:tr>
      <w:tr w:rsidR="00EC25DE" w14:paraId="3B6E21DD" w14:textId="77777777" w:rsidTr="00424906">
        <w:trPr>
          <w:trHeight w:val="689"/>
        </w:trPr>
        <w:tc>
          <w:tcPr>
            <w:tcW w:w="4563" w:type="dxa"/>
            <w:tcMar>
              <w:top w:w="170" w:type="dxa"/>
              <w:left w:w="113" w:type="dxa"/>
              <w:bottom w:w="170" w:type="dxa"/>
              <w:right w:w="113" w:type="dxa"/>
            </w:tcMar>
          </w:tcPr>
          <w:p w14:paraId="0D4AFD26" w14:textId="77777777" w:rsidR="00EC25DE" w:rsidRDefault="00EC25DE">
            <w:pPr>
              <w:pStyle w:val="TABLETEXT"/>
              <w:ind w:left="425" w:hanging="425"/>
            </w:pPr>
            <w:r>
              <w:t xml:space="preserve">4.10 </w:t>
            </w:r>
            <w:r>
              <w:tab/>
              <w:t>Support the Australian Packaging Covenant Organisation to develop and deliver an industry-led target for average recycled content to be included across all packaging</w:t>
            </w:r>
          </w:p>
        </w:tc>
        <w:tc>
          <w:tcPr>
            <w:tcW w:w="1748" w:type="dxa"/>
            <w:tcMar>
              <w:top w:w="170" w:type="dxa"/>
              <w:left w:w="113" w:type="dxa"/>
              <w:bottom w:w="170" w:type="dxa"/>
              <w:right w:w="113" w:type="dxa"/>
            </w:tcMar>
          </w:tcPr>
          <w:p w14:paraId="10DE6583" w14:textId="77777777" w:rsidR="00EC25DE" w:rsidRDefault="00EC25DE">
            <w:pPr>
              <w:pStyle w:val="TABLETEXT"/>
            </w:pPr>
            <w:r>
              <w:t>All governments</w:t>
            </w:r>
          </w:p>
        </w:tc>
        <w:tc>
          <w:tcPr>
            <w:tcW w:w="1966" w:type="dxa"/>
            <w:tcMar>
              <w:top w:w="170" w:type="dxa"/>
              <w:left w:w="113" w:type="dxa"/>
              <w:bottom w:w="170" w:type="dxa"/>
              <w:right w:w="113" w:type="dxa"/>
            </w:tcMar>
          </w:tcPr>
          <w:p w14:paraId="3EE909BD" w14:textId="77777777" w:rsidR="00EC25DE" w:rsidRDefault="00EC25DE">
            <w:pPr>
              <w:pStyle w:val="TABLETEXT"/>
            </w:pPr>
            <w:r>
              <w:t>Business sector</w:t>
            </w:r>
          </w:p>
        </w:tc>
        <w:tc>
          <w:tcPr>
            <w:tcW w:w="1155" w:type="dxa"/>
            <w:tcMar>
              <w:top w:w="170" w:type="dxa"/>
              <w:left w:w="113" w:type="dxa"/>
              <w:bottom w:w="170" w:type="dxa"/>
              <w:right w:w="113" w:type="dxa"/>
            </w:tcMar>
          </w:tcPr>
          <w:p w14:paraId="0D276584" w14:textId="77777777" w:rsidR="00EC25DE" w:rsidRDefault="00EC25DE">
            <w:pPr>
              <w:pStyle w:val="TABLETEXT"/>
            </w:pPr>
            <w:r>
              <w:t>2025</w:t>
            </w:r>
          </w:p>
        </w:tc>
      </w:tr>
      <w:tr w:rsidR="00EC25DE" w14:paraId="7066E935" w14:textId="77777777" w:rsidTr="00424906">
        <w:trPr>
          <w:trHeight w:val="689"/>
        </w:trPr>
        <w:tc>
          <w:tcPr>
            <w:tcW w:w="4563" w:type="dxa"/>
            <w:tcMar>
              <w:top w:w="170" w:type="dxa"/>
              <w:left w:w="113" w:type="dxa"/>
              <w:bottom w:w="170" w:type="dxa"/>
              <w:right w:w="113" w:type="dxa"/>
            </w:tcMar>
          </w:tcPr>
          <w:p w14:paraId="0B15FBDF" w14:textId="77777777" w:rsidR="00EC25DE" w:rsidRDefault="00EC25DE">
            <w:pPr>
              <w:pStyle w:val="TABLETEXT"/>
              <w:ind w:left="425" w:hanging="425"/>
            </w:pPr>
            <w:r>
              <w:t xml:space="preserve">4.11 </w:t>
            </w:r>
            <w:r>
              <w:tab/>
              <w:t>Identify financial and other incentives to assist businesses to design for, and use, greater volumes of recycled materials across their supply chains</w:t>
            </w:r>
          </w:p>
        </w:tc>
        <w:tc>
          <w:tcPr>
            <w:tcW w:w="1748" w:type="dxa"/>
            <w:tcMar>
              <w:top w:w="170" w:type="dxa"/>
              <w:left w:w="113" w:type="dxa"/>
              <w:bottom w:w="170" w:type="dxa"/>
              <w:right w:w="113" w:type="dxa"/>
            </w:tcMar>
          </w:tcPr>
          <w:p w14:paraId="656C52A8" w14:textId="77777777" w:rsidR="00EC25DE" w:rsidRDefault="00EC25DE">
            <w:pPr>
              <w:pStyle w:val="TABLETEXT"/>
            </w:pPr>
            <w:r>
              <w:t>Australian Government</w:t>
            </w:r>
          </w:p>
        </w:tc>
        <w:tc>
          <w:tcPr>
            <w:tcW w:w="1966" w:type="dxa"/>
            <w:tcMar>
              <w:top w:w="170" w:type="dxa"/>
              <w:left w:w="113" w:type="dxa"/>
              <w:bottom w:w="170" w:type="dxa"/>
              <w:right w:w="113" w:type="dxa"/>
            </w:tcMar>
          </w:tcPr>
          <w:p w14:paraId="07ABDD2A" w14:textId="77777777" w:rsidR="00EC25DE" w:rsidRDefault="00EC25DE">
            <w:pPr>
              <w:pStyle w:val="TABLETEXT"/>
            </w:pPr>
            <w:r>
              <w:t>All governments</w:t>
            </w:r>
          </w:p>
          <w:p w14:paraId="67503779" w14:textId="77777777" w:rsidR="00EC25DE" w:rsidRDefault="00EC25DE">
            <w:pPr>
              <w:pStyle w:val="TABLETEXT"/>
            </w:pPr>
            <w:r>
              <w:t>Business sector</w:t>
            </w:r>
          </w:p>
        </w:tc>
        <w:tc>
          <w:tcPr>
            <w:tcW w:w="1155" w:type="dxa"/>
            <w:tcMar>
              <w:top w:w="170" w:type="dxa"/>
              <w:left w:w="113" w:type="dxa"/>
              <w:bottom w:w="170" w:type="dxa"/>
              <w:right w:w="113" w:type="dxa"/>
            </w:tcMar>
          </w:tcPr>
          <w:p w14:paraId="0B6D0509" w14:textId="77777777" w:rsidR="00EC25DE" w:rsidRDefault="00EC25DE">
            <w:pPr>
              <w:pStyle w:val="TABLETEXT"/>
            </w:pPr>
            <w:r>
              <w:t>2020</w:t>
            </w:r>
          </w:p>
        </w:tc>
      </w:tr>
    </w:tbl>
    <w:p w14:paraId="370D8646" w14:textId="77777777" w:rsidR="00EC25DE" w:rsidRDefault="00EC25DE" w:rsidP="00EC25DE">
      <w:pPr>
        <w:pStyle w:val="Text"/>
      </w:pPr>
    </w:p>
    <w:p w14:paraId="75EB28BE" w14:textId="77777777" w:rsidR="00E02E51" w:rsidRDefault="00E02E51">
      <w:pPr>
        <w:rPr>
          <w:rFonts w:ascii="Calibri" w:hAnsi="Calibri" w:cs="Calibri"/>
          <w:b/>
          <w:bCs/>
          <w:color w:val="414D59"/>
          <w:sz w:val="50"/>
          <w:szCs w:val="50"/>
          <w:lang w:val="en-GB"/>
        </w:rPr>
      </w:pPr>
      <w:r>
        <w:rPr>
          <w:color w:val="414D59"/>
          <w:sz w:val="50"/>
          <w:szCs w:val="50"/>
        </w:rPr>
        <w:br w:type="page"/>
      </w:r>
    </w:p>
    <w:p w14:paraId="2AF9433C" w14:textId="59B8CD1E" w:rsidR="00E02E51" w:rsidRPr="00454715" w:rsidRDefault="00EC25DE" w:rsidP="00454715">
      <w:pPr>
        <w:pStyle w:val="Heading2"/>
      </w:pPr>
      <w:bookmarkStart w:id="7" w:name="_Toc24118131"/>
      <w:r w:rsidRPr="00454715">
        <w:lastRenderedPageBreak/>
        <w:t>Target 5: Phase out problematic and unnecessary plastics by 2025</w:t>
      </w:r>
      <w:bookmarkEnd w:id="7"/>
    </w:p>
    <w:p w14:paraId="1678973A" w14:textId="5986FF34" w:rsidR="00EC25DE" w:rsidRDefault="00EC25DE" w:rsidP="00EC25DE">
      <w:pPr>
        <w:pStyle w:val="Subhead2"/>
        <w:spacing w:after="0"/>
        <w:rPr>
          <w:color w:val="414D59"/>
        </w:rPr>
      </w:pPr>
      <w:r>
        <w:rPr>
          <w:color w:val="414D59"/>
        </w:rPr>
        <w:t xml:space="preserve"> </w:t>
      </w:r>
    </w:p>
    <w:p w14:paraId="2B4E51FB" w14:textId="77777777" w:rsidR="00EC25DE" w:rsidRDefault="00EC25DE" w:rsidP="00EC25DE">
      <w:pPr>
        <w:pStyle w:val="Text"/>
        <w:rPr>
          <w:sz w:val="22"/>
          <w:szCs w:val="22"/>
        </w:rPr>
      </w:pPr>
      <w:r>
        <w:rPr>
          <w:sz w:val="22"/>
          <w:szCs w:val="22"/>
        </w:rPr>
        <w:t xml:space="preserve">Reducing waste overall is important, but particular resources and materials deserve extra attention, including plastics and packaging. </w:t>
      </w:r>
    </w:p>
    <w:p w14:paraId="76ABCFB7" w14:textId="77777777" w:rsidR="00EC25DE" w:rsidRDefault="00EC25DE" w:rsidP="00EC25DE">
      <w:pPr>
        <w:pStyle w:val="Text"/>
        <w:rPr>
          <w:sz w:val="22"/>
          <w:szCs w:val="22"/>
        </w:rPr>
      </w:pPr>
      <w:r>
        <w:rPr>
          <w:sz w:val="22"/>
          <w:szCs w:val="22"/>
        </w:rPr>
        <w:t>Plastic litter is one of the most insidious forms of pollution. Around 80% of marine litter is plastic. It is estimated that by 2050, there will be more plastic in the ocean than fish by weight. We need to act now to identify and stop using the plastics that we can’t manage effectively.</w:t>
      </w:r>
    </w:p>
    <w:p w14:paraId="384C8EE6" w14:textId="77777777" w:rsidR="00EC25DE" w:rsidRDefault="00EC25DE" w:rsidP="00EC25DE">
      <w:pPr>
        <w:pStyle w:val="Text"/>
        <w:rPr>
          <w:sz w:val="22"/>
          <w:szCs w:val="22"/>
        </w:rPr>
      </w:pPr>
      <w:r>
        <w:rPr>
          <w:sz w:val="22"/>
          <w:szCs w:val="22"/>
        </w:rPr>
        <w:t xml:space="preserve">The sound management of chemicals and hazardous wastes throughout their lifecycle is also intrinsic to this approach, to minimise the materials that could harm us and the environment. </w:t>
      </w:r>
    </w:p>
    <w:tbl>
      <w:tblPr>
        <w:tblW w:w="0" w:type="auto"/>
        <w:tblInd w:w="-8" w:type="dxa"/>
        <w:tblBorders>
          <w:top w:val="dotted" w:sz="8" w:space="0" w:color="414D59"/>
          <w:bottom w:val="dotted" w:sz="8" w:space="0" w:color="414D59"/>
          <w:insideH w:val="dotted" w:sz="8" w:space="0" w:color="414D59"/>
        </w:tblBorders>
        <w:tblLayout w:type="fixed"/>
        <w:tblCellMar>
          <w:left w:w="0" w:type="dxa"/>
          <w:right w:w="0" w:type="dxa"/>
        </w:tblCellMar>
        <w:tblLook w:val="0000" w:firstRow="0" w:lastRow="0" w:firstColumn="0" w:lastColumn="0" w:noHBand="0" w:noVBand="0"/>
      </w:tblPr>
      <w:tblGrid>
        <w:gridCol w:w="4573"/>
        <w:gridCol w:w="1693"/>
        <w:gridCol w:w="2125"/>
        <w:gridCol w:w="1020"/>
      </w:tblGrid>
      <w:tr w:rsidR="00EC25DE" w14:paraId="569F67E1" w14:textId="77777777" w:rsidTr="00424906">
        <w:trPr>
          <w:trHeight w:val="170"/>
          <w:tblHeader/>
        </w:trPr>
        <w:tc>
          <w:tcPr>
            <w:tcW w:w="4573" w:type="dxa"/>
            <w:shd w:val="solid" w:color="414D59" w:fill="auto"/>
            <w:tcMar>
              <w:top w:w="170" w:type="dxa"/>
              <w:left w:w="113" w:type="dxa"/>
              <w:bottom w:w="170" w:type="dxa"/>
              <w:right w:w="113" w:type="dxa"/>
            </w:tcMar>
          </w:tcPr>
          <w:p w14:paraId="292A4EA4" w14:textId="77777777" w:rsidR="00EC25DE" w:rsidRPr="00E02E51" w:rsidRDefault="00EC25DE">
            <w:pPr>
              <w:pStyle w:val="TABLETEXT"/>
              <w:ind w:left="454" w:hanging="454"/>
              <w:rPr>
                <w:color w:val="FFFFFF" w:themeColor="background1"/>
              </w:rPr>
            </w:pPr>
            <w:r w:rsidRPr="00E02E51">
              <w:rPr>
                <w:b/>
                <w:bCs/>
                <w:color w:val="FFFFFF" w:themeColor="background1"/>
                <w14:textOutline w14:w="9525" w14:cap="flat" w14:cmpd="sng" w14:algn="ctr">
                  <w14:noFill/>
                  <w14:prstDash w14:val="solid"/>
                  <w14:round/>
                </w14:textOutline>
              </w:rPr>
              <w:t>Action</w:t>
            </w:r>
          </w:p>
        </w:tc>
        <w:tc>
          <w:tcPr>
            <w:tcW w:w="1693" w:type="dxa"/>
            <w:shd w:val="solid" w:color="414D59" w:fill="auto"/>
            <w:tcMar>
              <w:top w:w="170" w:type="dxa"/>
              <w:left w:w="113" w:type="dxa"/>
              <w:bottom w:w="170" w:type="dxa"/>
              <w:right w:w="113" w:type="dxa"/>
            </w:tcMar>
          </w:tcPr>
          <w:p w14:paraId="5717B2DB" w14:textId="77777777" w:rsidR="00EC25DE" w:rsidRPr="00E02E51" w:rsidRDefault="00EC25DE">
            <w:pPr>
              <w:pStyle w:val="TABLETEXT"/>
              <w:rPr>
                <w:color w:val="FFFFFF" w:themeColor="background1"/>
              </w:rPr>
            </w:pPr>
            <w:r w:rsidRPr="00E02E51">
              <w:rPr>
                <w:b/>
                <w:bCs/>
                <w:color w:val="FFFFFF" w:themeColor="background1"/>
                <w14:textOutline w14:w="9525" w14:cap="flat" w14:cmpd="sng" w14:algn="ctr">
                  <w14:noFill/>
                  <w14:prstDash w14:val="solid"/>
                  <w14:round/>
                </w14:textOutline>
              </w:rPr>
              <w:t>Lead</w:t>
            </w:r>
          </w:p>
        </w:tc>
        <w:tc>
          <w:tcPr>
            <w:tcW w:w="2125" w:type="dxa"/>
            <w:shd w:val="solid" w:color="414D59" w:fill="auto"/>
            <w:tcMar>
              <w:top w:w="170" w:type="dxa"/>
              <w:left w:w="113" w:type="dxa"/>
              <w:bottom w:w="170" w:type="dxa"/>
              <w:right w:w="113" w:type="dxa"/>
            </w:tcMar>
          </w:tcPr>
          <w:p w14:paraId="43356E20" w14:textId="77777777" w:rsidR="00EC25DE" w:rsidRPr="00E02E51" w:rsidRDefault="00EC25DE">
            <w:pPr>
              <w:pStyle w:val="TABLETEXT"/>
              <w:rPr>
                <w:color w:val="FFFFFF" w:themeColor="background1"/>
              </w:rPr>
            </w:pPr>
            <w:r w:rsidRPr="00E02E51">
              <w:rPr>
                <w:b/>
                <w:bCs/>
                <w:color w:val="FFFFFF" w:themeColor="background1"/>
                <w14:textOutline w14:w="9525" w14:cap="flat" w14:cmpd="sng" w14:algn="ctr">
                  <w14:noFill/>
                  <w14:prstDash w14:val="solid"/>
                  <w14:round/>
                </w14:textOutline>
              </w:rPr>
              <w:t>Partners</w:t>
            </w:r>
          </w:p>
        </w:tc>
        <w:tc>
          <w:tcPr>
            <w:tcW w:w="1020" w:type="dxa"/>
            <w:shd w:val="solid" w:color="414D59" w:fill="auto"/>
            <w:tcMar>
              <w:top w:w="170" w:type="dxa"/>
              <w:left w:w="113" w:type="dxa"/>
              <w:bottom w:w="170" w:type="dxa"/>
              <w:right w:w="113" w:type="dxa"/>
            </w:tcMar>
          </w:tcPr>
          <w:p w14:paraId="73CE910C" w14:textId="77777777" w:rsidR="00EC25DE" w:rsidRPr="00E02E51" w:rsidRDefault="00EC25DE">
            <w:pPr>
              <w:pStyle w:val="TABLETEXT"/>
              <w:rPr>
                <w:color w:val="FFFFFF" w:themeColor="background1"/>
              </w:rPr>
            </w:pPr>
            <w:r w:rsidRPr="00E02E51">
              <w:rPr>
                <w:b/>
                <w:bCs/>
                <w:color w:val="FFFFFF" w:themeColor="background1"/>
                <w14:textOutline w14:w="9525" w14:cap="flat" w14:cmpd="sng" w14:algn="ctr">
                  <w14:noFill/>
                  <w14:prstDash w14:val="solid"/>
                  <w14:round/>
                </w14:textOutline>
              </w:rPr>
              <w:t>By</w:t>
            </w:r>
          </w:p>
        </w:tc>
      </w:tr>
      <w:tr w:rsidR="00EC25DE" w14:paraId="248348B7" w14:textId="77777777" w:rsidTr="00424906">
        <w:trPr>
          <w:trHeight w:val="170"/>
        </w:trPr>
        <w:tc>
          <w:tcPr>
            <w:tcW w:w="4573" w:type="dxa"/>
            <w:shd w:val="solid" w:color="808080" w:fill="auto"/>
            <w:tcMar>
              <w:top w:w="170" w:type="dxa"/>
              <w:left w:w="113" w:type="dxa"/>
              <w:bottom w:w="170" w:type="dxa"/>
              <w:right w:w="113" w:type="dxa"/>
            </w:tcMar>
          </w:tcPr>
          <w:p w14:paraId="3C60F995" w14:textId="77777777" w:rsidR="00EC25DE" w:rsidRPr="00673CF5" w:rsidRDefault="00EC25DE">
            <w:pPr>
              <w:pStyle w:val="TABLETEXT"/>
              <w:ind w:left="454" w:hanging="454"/>
              <w:rPr>
                <w:color w:val="000000" w:themeColor="text1"/>
              </w:rPr>
            </w:pPr>
            <w:r w:rsidRPr="00673CF5">
              <w:rPr>
                <w:b/>
                <w:bCs/>
                <w:color w:val="000000" w:themeColor="text1"/>
                <w14:textOutline w14:w="9525" w14:cap="flat" w14:cmpd="sng" w14:algn="ctr">
                  <w14:noFill/>
                  <w14:prstDash w14:val="solid"/>
                  <w14:round/>
                </w14:textOutline>
              </w:rPr>
              <w:t>Plastics and packaging</w:t>
            </w:r>
          </w:p>
        </w:tc>
        <w:tc>
          <w:tcPr>
            <w:tcW w:w="1693" w:type="dxa"/>
            <w:shd w:val="solid" w:color="808080" w:fill="auto"/>
            <w:tcMar>
              <w:top w:w="170" w:type="dxa"/>
              <w:left w:w="113" w:type="dxa"/>
              <w:bottom w:w="170" w:type="dxa"/>
              <w:right w:w="113" w:type="dxa"/>
            </w:tcMar>
          </w:tcPr>
          <w:p w14:paraId="6F53909C" w14:textId="77777777" w:rsidR="00EC25DE" w:rsidRPr="00E02E51" w:rsidRDefault="00EC25DE">
            <w:pPr>
              <w:pStyle w:val="NoParagraphStyle"/>
              <w:spacing w:line="240" w:lineRule="auto"/>
              <w:textAlignment w:val="auto"/>
              <w:rPr>
                <w:rFonts w:ascii="Calibri" w:hAnsi="Calibri" w:cs="Calibri"/>
                <w:color w:val="FFFFFF" w:themeColor="background1"/>
              </w:rPr>
            </w:pPr>
          </w:p>
        </w:tc>
        <w:tc>
          <w:tcPr>
            <w:tcW w:w="2125" w:type="dxa"/>
            <w:shd w:val="solid" w:color="808080" w:fill="auto"/>
            <w:tcMar>
              <w:top w:w="170" w:type="dxa"/>
              <w:left w:w="113" w:type="dxa"/>
              <w:bottom w:w="170" w:type="dxa"/>
              <w:right w:w="113" w:type="dxa"/>
            </w:tcMar>
          </w:tcPr>
          <w:p w14:paraId="73DF9573" w14:textId="77777777" w:rsidR="00EC25DE" w:rsidRPr="00E02E51" w:rsidRDefault="00EC25DE">
            <w:pPr>
              <w:pStyle w:val="NoParagraphStyle"/>
              <w:spacing w:line="240" w:lineRule="auto"/>
              <w:textAlignment w:val="auto"/>
              <w:rPr>
                <w:rFonts w:ascii="Calibri" w:hAnsi="Calibri" w:cs="Calibri"/>
                <w:color w:val="FFFFFF" w:themeColor="background1"/>
              </w:rPr>
            </w:pPr>
          </w:p>
        </w:tc>
        <w:tc>
          <w:tcPr>
            <w:tcW w:w="1020" w:type="dxa"/>
            <w:shd w:val="solid" w:color="808080" w:fill="auto"/>
            <w:tcMar>
              <w:top w:w="170" w:type="dxa"/>
              <w:left w:w="113" w:type="dxa"/>
              <w:bottom w:w="170" w:type="dxa"/>
              <w:right w:w="113" w:type="dxa"/>
            </w:tcMar>
          </w:tcPr>
          <w:p w14:paraId="63754274" w14:textId="77777777" w:rsidR="00EC25DE" w:rsidRPr="00E02E51" w:rsidRDefault="00EC25DE">
            <w:pPr>
              <w:pStyle w:val="NoParagraphStyle"/>
              <w:spacing w:line="240" w:lineRule="auto"/>
              <w:textAlignment w:val="auto"/>
              <w:rPr>
                <w:rFonts w:ascii="Calibri" w:hAnsi="Calibri" w:cs="Calibri"/>
                <w:color w:val="FFFFFF" w:themeColor="background1"/>
              </w:rPr>
            </w:pPr>
          </w:p>
        </w:tc>
      </w:tr>
      <w:tr w:rsidR="00EC25DE" w14:paraId="25F098FD" w14:textId="77777777" w:rsidTr="00424906">
        <w:trPr>
          <w:trHeight w:val="170"/>
        </w:trPr>
        <w:tc>
          <w:tcPr>
            <w:tcW w:w="4573" w:type="dxa"/>
            <w:shd w:val="clear" w:color="414D59" w:fill="A6A6A6" w:themeFill="background1" w:themeFillShade="A6"/>
            <w:tcMar>
              <w:top w:w="170" w:type="dxa"/>
              <w:left w:w="113" w:type="dxa"/>
              <w:bottom w:w="170" w:type="dxa"/>
              <w:right w:w="113" w:type="dxa"/>
            </w:tcMar>
          </w:tcPr>
          <w:p w14:paraId="5B894F86" w14:textId="77777777" w:rsidR="00EC25DE" w:rsidRPr="00673CF5" w:rsidRDefault="00EC25DE">
            <w:pPr>
              <w:pStyle w:val="TABLETEXT"/>
              <w:ind w:left="454" w:hanging="454"/>
              <w:rPr>
                <w:color w:val="000000" w:themeColor="text1"/>
              </w:rPr>
            </w:pPr>
            <w:r w:rsidRPr="00673CF5">
              <w:rPr>
                <w:b/>
                <w:bCs/>
                <w:color w:val="000000" w:themeColor="text1"/>
              </w:rPr>
              <w:t>Reduce and clean up plastic litter</w:t>
            </w:r>
          </w:p>
        </w:tc>
        <w:tc>
          <w:tcPr>
            <w:tcW w:w="1693" w:type="dxa"/>
            <w:shd w:val="clear" w:color="414D59" w:fill="A6A6A6" w:themeFill="background1" w:themeFillShade="A6"/>
            <w:tcMar>
              <w:top w:w="170" w:type="dxa"/>
              <w:left w:w="113" w:type="dxa"/>
              <w:bottom w:w="170" w:type="dxa"/>
              <w:right w:w="113" w:type="dxa"/>
            </w:tcMar>
          </w:tcPr>
          <w:p w14:paraId="3DBCA69D" w14:textId="77777777" w:rsidR="00EC25DE" w:rsidRPr="00E02E51" w:rsidRDefault="00EC25DE">
            <w:pPr>
              <w:pStyle w:val="NoParagraphStyle"/>
              <w:spacing w:line="240" w:lineRule="auto"/>
              <w:textAlignment w:val="auto"/>
              <w:rPr>
                <w:rFonts w:ascii="Calibri" w:hAnsi="Calibri" w:cs="Calibri"/>
                <w:color w:val="FFFFFF" w:themeColor="background1"/>
              </w:rPr>
            </w:pPr>
          </w:p>
        </w:tc>
        <w:tc>
          <w:tcPr>
            <w:tcW w:w="2125" w:type="dxa"/>
            <w:shd w:val="clear" w:color="414D59" w:fill="A6A6A6" w:themeFill="background1" w:themeFillShade="A6"/>
            <w:tcMar>
              <w:top w:w="170" w:type="dxa"/>
              <w:left w:w="113" w:type="dxa"/>
              <w:bottom w:w="170" w:type="dxa"/>
              <w:right w:w="113" w:type="dxa"/>
            </w:tcMar>
          </w:tcPr>
          <w:p w14:paraId="0950B433" w14:textId="77777777" w:rsidR="00EC25DE" w:rsidRPr="00E02E51" w:rsidRDefault="00EC25DE">
            <w:pPr>
              <w:pStyle w:val="NoParagraphStyle"/>
              <w:spacing w:line="240" w:lineRule="auto"/>
              <w:textAlignment w:val="auto"/>
              <w:rPr>
                <w:rFonts w:ascii="Calibri" w:hAnsi="Calibri" w:cs="Calibri"/>
                <w:color w:val="FFFFFF" w:themeColor="background1"/>
              </w:rPr>
            </w:pPr>
          </w:p>
        </w:tc>
        <w:tc>
          <w:tcPr>
            <w:tcW w:w="1020" w:type="dxa"/>
            <w:shd w:val="clear" w:color="414D59" w:fill="A6A6A6" w:themeFill="background1" w:themeFillShade="A6"/>
            <w:tcMar>
              <w:top w:w="170" w:type="dxa"/>
              <w:left w:w="113" w:type="dxa"/>
              <w:bottom w:w="170" w:type="dxa"/>
              <w:right w:w="113" w:type="dxa"/>
            </w:tcMar>
          </w:tcPr>
          <w:p w14:paraId="781DAFDD" w14:textId="77777777" w:rsidR="00EC25DE" w:rsidRPr="00E02E51" w:rsidRDefault="00EC25DE">
            <w:pPr>
              <w:pStyle w:val="NoParagraphStyle"/>
              <w:spacing w:line="240" w:lineRule="auto"/>
              <w:textAlignment w:val="auto"/>
              <w:rPr>
                <w:rFonts w:ascii="Calibri" w:hAnsi="Calibri" w:cs="Calibri"/>
                <w:color w:val="FFFFFF" w:themeColor="background1"/>
              </w:rPr>
            </w:pPr>
          </w:p>
        </w:tc>
      </w:tr>
      <w:tr w:rsidR="00EC25DE" w14:paraId="24DE9B53" w14:textId="77777777" w:rsidTr="00424906">
        <w:trPr>
          <w:trHeight w:val="170"/>
        </w:trPr>
        <w:tc>
          <w:tcPr>
            <w:tcW w:w="4573" w:type="dxa"/>
            <w:tcMar>
              <w:top w:w="170" w:type="dxa"/>
              <w:left w:w="113" w:type="dxa"/>
              <w:bottom w:w="170" w:type="dxa"/>
              <w:right w:w="113" w:type="dxa"/>
            </w:tcMar>
          </w:tcPr>
          <w:p w14:paraId="1A29E460" w14:textId="77777777" w:rsidR="00EC25DE" w:rsidRDefault="00EC25DE">
            <w:pPr>
              <w:pStyle w:val="TABLETEXT"/>
              <w:ind w:left="454" w:hanging="454"/>
            </w:pPr>
            <w:r>
              <w:t xml:space="preserve">5.1 </w:t>
            </w:r>
            <w:r>
              <w:tab/>
              <w:t>Coordinate community campaigns to reduce and clean up waste on our coastlines and in our rivers, through the Environment Restoration Fund</w:t>
            </w:r>
          </w:p>
        </w:tc>
        <w:tc>
          <w:tcPr>
            <w:tcW w:w="1693" w:type="dxa"/>
            <w:tcMar>
              <w:top w:w="170" w:type="dxa"/>
              <w:left w:w="113" w:type="dxa"/>
              <w:bottom w:w="170" w:type="dxa"/>
              <w:right w:w="113" w:type="dxa"/>
            </w:tcMar>
          </w:tcPr>
          <w:p w14:paraId="542AEEC5" w14:textId="77777777" w:rsidR="00EC25DE" w:rsidRDefault="00EC25DE">
            <w:pPr>
              <w:pStyle w:val="TABLETEXT"/>
            </w:pPr>
            <w:r>
              <w:t xml:space="preserve">Australian Government </w:t>
            </w:r>
          </w:p>
        </w:tc>
        <w:tc>
          <w:tcPr>
            <w:tcW w:w="2125" w:type="dxa"/>
            <w:tcMar>
              <w:top w:w="170" w:type="dxa"/>
              <w:left w:w="113" w:type="dxa"/>
              <w:bottom w:w="170" w:type="dxa"/>
              <w:right w:w="113" w:type="dxa"/>
            </w:tcMar>
          </w:tcPr>
          <w:p w14:paraId="0E16E8BE" w14:textId="77777777" w:rsidR="00EC25DE" w:rsidRDefault="00EC25DE">
            <w:pPr>
              <w:pStyle w:val="TABLETEXT"/>
            </w:pPr>
            <w:r>
              <w:t>Conservation Volunteers Australia, Clean Up Australia, Keep Australia Beautiful</w:t>
            </w:r>
          </w:p>
        </w:tc>
        <w:tc>
          <w:tcPr>
            <w:tcW w:w="1020" w:type="dxa"/>
            <w:tcMar>
              <w:top w:w="170" w:type="dxa"/>
              <w:left w:w="113" w:type="dxa"/>
              <w:bottom w:w="170" w:type="dxa"/>
              <w:right w:w="113" w:type="dxa"/>
            </w:tcMar>
          </w:tcPr>
          <w:p w14:paraId="1FEB6717" w14:textId="77777777" w:rsidR="00EC25DE" w:rsidRDefault="00EC25DE">
            <w:pPr>
              <w:pStyle w:val="TABLETEXT"/>
            </w:pPr>
            <w:r>
              <w:t>2020</w:t>
            </w:r>
          </w:p>
        </w:tc>
      </w:tr>
      <w:tr w:rsidR="00EC25DE" w14:paraId="0F770D1A" w14:textId="77777777" w:rsidTr="00424906">
        <w:trPr>
          <w:trHeight w:val="170"/>
        </w:trPr>
        <w:tc>
          <w:tcPr>
            <w:tcW w:w="4573" w:type="dxa"/>
            <w:tcMar>
              <w:top w:w="170" w:type="dxa"/>
              <w:left w:w="113" w:type="dxa"/>
              <w:bottom w:w="170" w:type="dxa"/>
              <w:right w:w="113" w:type="dxa"/>
            </w:tcMar>
          </w:tcPr>
          <w:p w14:paraId="0AF97AF3" w14:textId="77777777" w:rsidR="00EC25DE" w:rsidRDefault="00EC25DE">
            <w:pPr>
              <w:pStyle w:val="TABLETEXT"/>
              <w:ind w:left="454" w:hanging="454"/>
            </w:pPr>
            <w:r>
              <w:t>5.2</w:t>
            </w:r>
            <w:r>
              <w:tab/>
              <w:t xml:space="preserve">Implement the Pacific Ocean Litter Project, to reduce plastics and other waste in oceans </w:t>
            </w:r>
          </w:p>
        </w:tc>
        <w:tc>
          <w:tcPr>
            <w:tcW w:w="1693" w:type="dxa"/>
            <w:tcMar>
              <w:top w:w="170" w:type="dxa"/>
              <w:left w:w="113" w:type="dxa"/>
              <w:bottom w:w="170" w:type="dxa"/>
              <w:right w:w="113" w:type="dxa"/>
            </w:tcMar>
          </w:tcPr>
          <w:p w14:paraId="1FEE6DCF" w14:textId="77777777" w:rsidR="00EC25DE" w:rsidRDefault="00EC25DE">
            <w:pPr>
              <w:pStyle w:val="TABLETEXT"/>
            </w:pPr>
            <w:r>
              <w:t>Australian Government</w:t>
            </w:r>
          </w:p>
        </w:tc>
        <w:tc>
          <w:tcPr>
            <w:tcW w:w="2125" w:type="dxa"/>
            <w:tcMar>
              <w:top w:w="170" w:type="dxa"/>
              <w:left w:w="113" w:type="dxa"/>
              <w:bottom w:w="170" w:type="dxa"/>
              <w:right w:w="113" w:type="dxa"/>
            </w:tcMar>
          </w:tcPr>
          <w:p w14:paraId="18F75426" w14:textId="77777777" w:rsidR="00EC25DE" w:rsidRDefault="00EC25DE">
            <w:pPr>
              <w:pStyle w:val="TABLETEXT"/>
            </w:pPr>
            <w:r>
              <w:t>NGOs</w:t>
            </w:r>
          </w:p>
        </w:tc>
        <w:tc>
          <w:tcPr>
            <w:tcW w:w="1020" w:type="dxa"/>
            <w:tcMar>
              <w:top w:w="170" w:type="dxa"/>
              <w:left w:w="113" w:type="dxa"/>
              <w:bottom w:w="170" w:type="dxa"/>
              <w:right w:w="113" w:type="dxa"/>
            </w:tcMar>
          </w:tcPr>
          <w:p w14:paraId="63640740" w14:textId="77777777" w:rsidR="00EC25DE" w:rsidRDefault="00EC25DE">
            <w:pPr>
              <w:pStyle w:val="TABLETEXT"/>
            </w:pPr>
            <w:r>
              <w:t>2020</w:t>
            </w:r>
          </w:p>
        </w:tc>
      </w:tr>
      <w:tr w:rsidR="00EC25DE" w14:paraId="4A9DB98E" w14:textId="77777777" w:rsidTr="00424906">
        <w:trPr>
          <w:trHeight w:val="170"/>
        </w:trPr>
        <w:tc>
          <w:tcPr>
            <w:tcW w:w="4573" w:type="dxa"/>
            <w:tcMar>
              <w:top w:w="170" w:type="dxa"/>
              <w:left w:w="113" w:type="dxa"/>
              <w:bottom w:w="170" w:type="dxa"/>
              <w:right w:w="113" w:type="dxa"/>
            </w:tcMar>
          </w:tcPr>
          <w:p w14:paraId="653E52AB" w14:textId="77777777" w:rsidR="00EC25DE" w:rsidRDefault="00EC25DE">
            <w:pPr>
              <w:pStyle w:val="TABLETEXT"/>
              <w:ind w:left="454" w:hanging="454"/>
            </w:pPr>
            <w:r>
              <w:t xml:space="preserve">5.3 </w:t>
            </w:r>
            <w:r>
              <w:tab/>
              <w:t>Implement measures to reduce ship-sourced waste in accordance with the International Maritime Organisation’s Action Plan to address marine plastic litter from ships</w:t>
            </w:r>
          </w:p>
        </w:tc>
        <w:tc>
          <w:tcPr>
            <w:tcW w:w="1693" w:type="dxa"/>
            <w:tcMar>
              <w:top w:w="170" w:type="dxa"/>
              <w:left w:w="113" w:type="dxa"/>
              <w:bottom w:w="170" w:type="dxa"/>
              <w:right w:w="113" w:type="dxa"/>
            </w:tcMar>
          </w:tcPr>
          <w:p w14:paraId="22F65B1D" w14:textId="77777777" w:rsidR="00EC25DE" w:rsidRDefault="00EC25DE">
            <w:pPr>
              <w:pStyle w:val="TABLETEXT"/>
            </w:pPr>
            <w:r>
              <w:t>Australian Government</w:t>
            </w:r>
          </w:p>
        </w:tc>
        <w:tc>
          <w:tcPr>
            <w:tcW w:w="2125" w:type="dxa"/>
            <w:tcMar>
              <w:top w:w="170" w:type="dxa"/>
              <w:left w:w="113" w:type="dxa"/>
              <w:bottom w:w="170" w:type="dxa"/>
              <w:right w:w="113" w:type="dxa"/>
            </w:tcMar>
          </w:tcPr>
          <w:p w14:paraId="60123E13" w14:textId="77777777" w:rsidR="00EC25DE" w:rsidRDefault="00EC25DE">
            <w:pPr>
              <w:pStyle w:val="TABLETEXT"/>
            </w:pPr>
            <w:r>
              <w:t>All governments</w:t>
            </w:r>
          </w:p>
          <w:p w14:paraId="36E4573D" w14:textId="77777777" w:rsidR="00EC25DE" w:rsidRDefault="00EC25DE">
            <w:pPr>
              <w:pStyle w:val="TABLETEXT"/>
            </w:pPr>
            <w:r>
              <w:t>Business sector</w:t>
            </w:r>
          </w:p>
        </w:tc>
        <w:tc>
          <w:tcPr>
            <w:tcW w:w="1020" w:type="dxa"/>
            <w:tcMar>
              <w:top w:w="170" w:type="dxa"/>
              <w:left w:w="113" w:type="dxa"/>
              <w:bottom w:w="170" w:type="dxa"/>
              <w:right w:w="113" w:type="dxa"/>
            </w:tcMar>
          </w:tcPr>
          <w:p w14:paraId="70F38E0F" w14:textId="77777777" w:rsidR="00EC25DE" w:rsidRDefault="00EC25DE">
            <w:pPr>
              <w:pStyle w:val="TABLETEXT"/>
            </w:pPr>
            <w:r>
              <w:t>2023</w:t>
            </w:r>
          </w:p>
        </w:tc>
      </w:tr>
      <w:tr w:rsidR="00EC25DE" w14:paraId="6B1762B1" w14:textId="77777777" w:rsidTr="00424906">
        <w:trPr>
          <w:trHeight w:val="170"/>
        </w:trPr>
        <w:tc>
          <w:tcPr>
            <w:tcW w:w="4573" w:type="dxa"/>
            <w:shd w:val="clear" w:color="414D59" w:fill="A6A6A6" w:themeFill="background1" w:themeFillShade="A6"/>
            <w:tcMar>
              <w:top w:w="170" w:type="dxa"/>
              <w:left w:w="113" w:type="dxa"/>
              <w:bottom w:w="170" w:type="dxa"/>
              <w:right w:w="113" w:type="dxa"/>
            </w:tcMar>
          </w:tcPr>
          <w:p w14:paraId="1FE449D7" w14:textId="77777777" w:rsidR="00EC25DE" w:rsidRPr="00673CF5" w:rsidRDefault="00EC25DE">
            <w:pPr>
              <w:pStyle w:val="TABLETEXT"/>
              <w:ind w:left="454" w:hanging="454"/>
              <w:rPr>
                <w:color w:val="000000" w:themeColor="text1"/>
              </w:rPr>
            </w:pPr>
            <w:r w:rsidRPr="00673CF5">
              <w:rPr>
                <w:b/>
                <w:bCs/>
                <w:color w:val="000000" w:themeColor="text1"/>
              </w:rPr>
              <w:t>Reduce reliance on problematic plastics</w:t>
            </w:r>
          </w:p>
        </w:tc>
        <w:tc>
          <w:tcPr>
            <w:tcW w:w="1693" w:type="dxa"/>
            <w:shd w:val="clear" w:color="414D59" w:fill="A6A6A6" w:themeFill="background1" w:themeFillShade="A6"/>
            <w:tcMar>
              <w:top w:w="170" w:type="dxa"/>
              <w:left w:w="113" w:type="dxa"/>
              <w:bottom w:w="170" w:type="dxa"/>
              <w:right w:w="113" w:type="dxa"/>
            </w:tcMar>
          </w:tcPr>
          <w:p w14:paraId="13F17B00" w14:textId="77777777" w:rsidR="00EC25DE" w:rsidRDefault="00EC25DE">
            <w:pPr>
              <w:pStyle w:val="NoParagraphStyle"/>
              <w:spacing w:line="240" w:lineRule="auto"/>
              <w:textAlignment w:val="auto"/>
              <w:rPr>
                <w:rFonts w:ascii="Calibri" w:hAnsi="Calibri" w:cs="Calibri"/>
                <w:color w:val="auto"/>
              </w:rPr>
            </w:pPr>
          </w:p>
        </w:tc>
        <w:tc>
          <w:tcPr>
            <w:tcW w:w="2125" w:type="dxa"/>
            <w:shd w:val="clear" w:color="414D59" w:fill="A6A6A6" w:themeFill="background1" w:themeFillShade="A6"/>
            <w:tcMar>
              <w:top w:w="170" w:type="dxa"/>
              <w:left w:w="113" w:type="dxa"/>
              <w:bottom w:w="170" w:type="dxa"/>
              <w:right w:w="113" w:type="dxa"/>
            </w:tcMar>
          </w:tcPr>
          <w:p w14:paraId="320863D3" w14:textId="77777777" w:rsidR="00EC25DE" w:rsidRDefault="00EC25DE">
            <w:pPr>
              <w:pStyle w:val="NoParagraphStyle"/>
              <w:spacing w:line="240" w:lineRule="auto"/>
              <w:textAlignment w:val="auto"/>
              <w:rPr>
                <w:rFonts w:ascii="Calibri" w:hAnsi="Calibri" w:cs="Calibri"/>
                <w:color w:val="auto"/>
              </w:rPr>
            </w:pPr>
          </w:p>
        </w:tc>
        <w:tc>
          <w:tcPr>
            <w:tcW w:w="1020" w:type="dxa"/>
            <w:shd w:val="clear" w:color="414D59" w:fill="A6A6A6" w:themeFill="background1" w:themeFillShade="A6"/>
            <w:tcMar>
              <w:top w:w="170" w:type="dxa"/>
              <w:left w:w="113" w:type="dxa"/>
              <w:bottom w:w="170" w:type="dxa"/>
              <w:right w:w="113" w:type="dxa"/>
            </w:tcMar>
          </w:tcPr>
          <w:p w14:paraId="06EA71AB" w14:textId="77777777" w:rsidR="00EC25DE" w:rsidRDefault="00EC25DE">
            <w:pPr>
              <w:pStyle w:val="NoParagraphStyle"/>
              <w:spacing w:line="240" w:lineRule="auto"/>
              <w:textAlignment w:val="auto"/>
              <w:rPr>
                <w:rFonts w:ascii="Calibri" w:hAnsi="Calibri" w:cs="Calibri"/>
                <w:color w:val="auto"/>
              </w:rPr>
            </w:pPr>
          </w:p>
        </w:tc>
      </w:tr>
      <w:tr w:rsidR="00EC25DE" w14:paraId="0DFD1A54" w14:textId="77777777" w:rsidTr="00424906">
        <w:trPr>
          <w:trHeight w:val="170"/>
        </w:trPr>
        <w:tc>
          <w:tcPr>
            <w:tcW w:w="4573" w:type="dxa"/>
            <w:tcMar>
              <w:top w:w="170" w:type="dxa"/>
              <w:left w:w="113" w:type="dxa"/>
              <w:bottom w:w="170" w:type="dxa"/>
              <w:right w:w="113" w:type="dxa"/>
            </w:tcMar>
          </w:tcPr>
          <w:p w14:paraId="7B321BA1" w14:textId="77777777" w:rsidR="00EC25DE" w:rsidRDefault="00EC25DE">
            <w:pPr>
              <w:pStyle w:val="TABLETEXT"/>
              <w:ind w:left="454" w:hanging="454"/>
            </w:pPr>
            <w:r>
              <w:t>5.4</w:t>
            </w:r>
            <w:r>
              <w:tab/>
              <w:t>Identify problematic and unnecessary single-use plastic packaging to provide an evidence base for industry to take coordinated action</w:t>
            </w:r>
          </w:p>
        </w:tc>
        <w:tc>
          <w:tcPr>
            <w:tcW w:w="1693" w:type="dxa"/>
            <w:tcMar>
              <w:top w:w="170" w:type="dxa"/>
              <w:left w:w="113" w:type="dxa"/>
              <w:bottom w:w="170" w:type="dxa"/>
              <w:right w:w="113" w:type="dxa"/>
            </w:tcMar>
          </w:tcPr>
          <w:p w14:paraId="4C5AEF17" w14:textId="77777777" w:rsidR="00EC25DE" w:rsidRDefault="00EC25DE">
            <w:pPr>
              <w:pStyle w:val="TABLETEXT"/>
            </w:pPr>
            <w:r>
              <w:t>Australian Packaging Covenant Organisation</w:t>
            </w:r>
          </w:p>
        </w:tc>
        <w:tc>
          <w:tcPr>
            <w:tcW w:w="2125" w:type="dxa"/>
            <w:tcMar>
              <w:top w:w="170" w:type="dxa"/>
              <w:left w:w="113" w:type="dxa"/>
              <w:bottom w:w="170" w:type="dxa"/>
              <w:right w:w="113" w:type="dxa"/>
            </w:tcMar>
          </w:tcPr>
          <w:p w14:paraId="57932C15" w14:textId="77777777" w:rsidR="00EC25DE" w:rsidRDefault="00EC25DE">
            <w:pPr>
              <w:pStyle w:val="TABLETEXT"/>
            </w:pPr>
            <w:r>
              <w:t>All governments</w:t>
            </w:r>
          </w:p>
        </w:tc>
        <w:tc>
          <w:tcPr>
            <w:tcW w:w="1020" w:type="dxa"/>
            <w:tcMar>
              <w:top w:w="170" w:type="dxa"/>
              <w:left w:w="113" w:type="dxa"/>
              <w:bottom w:w="170" w:type="dxa"/>
              <w:right w:w="113" w:type="dxa"/>
            </w:tcMar>
          </w:tcPr>
          <w:p w14:paraId="440EFC98" w14:textId="77777777" w:rsidR="00EC25DE" w:rsidRDefault="00EC25DE">
            <w:pPr>
              <w:pStyle w:val="TABLETEXT"/>
            </w:pPr>
            <w:r>
              <w:t>2019</w:t>
            </w:r>
          </w:p>
        </w:tc>
      </w:tr>
      <w:tr w:rsidR="00EC25DE" w14:paraId="79301905" w14:textId="77777777" w:rsidTr="00424906">
        <w:trPr>
          <w:trHeight w:val="170"/>
        </w:trPr>
        <w:tc>
          <w:tcPr>
            <w:tcW w:w="4573" w:type="dxa"/>
            <w:tcMar>
              <w:top w:w="170" w:type="dxa"/>
              <w:left w:w="113" w:type="dxa"/>
              <w:bottom w:w="170" w:type="dxa"/>
              <w:right w:w="113" w:type="dxa"/>
            </w:tcMar>
          </w:tcPr>
          <w:p w14:paraId="41E7CA74" w14:textId="77777777" w:rsidR="00EC25DE" w:rsidRDefault="00EC25DE">
            <w:pPr>
              <w:pStyle w:val="TABLETEXT"/>
              <w:ind w:left="454" w:hanging="454"/>
            </w:pPr>
            <w:r>
              <w:t>5.5</w:t>
            </w:r>
            <w:r>
              <w:tab/>
              <w:t>Develop a national plastics plan to increase recycling rates and reduce plastic pollution</w:t>
            </w:r>
          </w:p>
        </w:tc>
        <w:tc>
          <w:tcPr>
            <w:tcW w:w="1693" w:type="dxa"/>
            <w:tcMar>
              <w:top w:w="170" w:type="dxa"/>
              <w:left w:w="113" w:type="dxa"/>
              <w:bottom w:w="170" w:type="dxa"/>
              <w:right w:w="113" w:type="dxa"/>
            </w:tcMar>
          </w:tcPr>
          <w:p w14:paraId="744E97FC" w14:textId="77777777" w:rsidR="00EC25DE" w:rsidRDefault="00EC25DE">
            <w:pPr>
              <w:pStyle w:val="TABLETEXT"/>
            </w:pPr>
            <w:r>
              <w:t>Australian Government</w:t>
            </w:r>
          </w:p>
        </w:tc>
        <w:tc>
          <w:tcPr>
            <w:tcW w:w="2125" w:type="dxa"/>
            <w:tcMar>
              <w:top w:w="170" w:type="dxa"/>
              <w:left w:w="113" w:type="dxa"/>
              <w:bottom w:w="170" w:type="dxa"/>
              <w:right w:w="113" w:type="dxa"/>
            </w:tcMar>
          </w:tcPr>
          <w:p w14:paraId="06298235" w14:textId="77777777" w:rsidR="00EC25DE" w:rsidRDefault="00EC25DE">
            <w:pPr>
              <w:pStyle w:val="TABLETEXT"/>
            </w:pPr>
            <w:r>
              <w:t>State and territory governments</w:t>
            </w:r>
          </w:p>
        </w:tc>
        <w:tc>
          <w:tcPr>
            <w:tcW w:w="1020" w:type="dxa"/>
            <w:tcMar>
              <w:top w:w="170" w:type="dxa"/>
              <w:left w:w="113" w:type="dxa"/>
              <w:bottom w:w="170" w:type="dxa"/>
              <w:right w:w="113" w:type="dxa"/>
            </w:tcMar>
          </w:tcPr>
          <w:p w14:paraId="0174CED9" w14:textId="77777777" w:rsidR="00EC25DE" w:rsidRDefault="00EC25DE">
            <w:pPr>
              <w:pStyle w:val="TABLETEXT"/>
            </w:pPr>
            <w:r>
              <w:t>2020</w:t>
            </w:r>
          </w:p>
        </w:tc>
      </w:tr>
      <w:tr w:rsidR="00EC25DE" w14:paraId="12612732" w14:textId="77777777" w:rsidTr="00424906">
        <w:trPr>
          <w:trHeight w:val="170"/>
        </w:trPr>
        <w:tc>
          <w:tcPr>
            <w:tcW w:w="4573" w:type="dxa"/>
            <w:tcMar>
              <w:top w:w="170" w:type="dxa"/>
              <w:left w:w="113" w:type="dxa"/>
              <w:bottom w:w="170" w:type="dxa"/>
              <w:right w:w="113" w:type="dxa"/>
            </w:tcMar>
          </w:tcPr>
          <w:p w14:paraId="453CCBE1" w14:textId="77777777" w:rsidR="00EC25DE" w:rsidRDefault="00EC25DE">
            <w:pPr>
              <w:pStyle w:val="TABLETEXT"/>
              <w:ind w:left="454" w:hanging="454"/>
            </w:pPr>
            <w:r>
              <w:t xml:space="preserve">5.6 </w:t>
            </w:r>
            <w:r>
              <w:tab/>
              <w:t>Phase out 100% of microbeads from rinse off cosmetic and personal care products, and report on options to broaden the phase out to other products</w:t>
            </w:r>
          </w:p>
        </w:tc>
        <w:tc>
          <w:tcPr>
            <w:tcW w:w="1693" w:type="dxa"/>
            <w:tcMar>
              <w:top w:w="170" w:type="dxa"/>
              <w:left w:w="113" w:type="dxa"/>
              <w:bottom w:w="170" w:type="dxa"/>
              <w:right w:w="113" w:type="dxa"/>
            </w:tcMar>
          </w:tcPr>
          <w:p w14:paraId="48664DE1" w14:textId="77777777" w:rsidR="00EC25DE" w:rsidRDefault="00EC25DE">
            <w:pPr>
              <w:pStyle w:val="TABLETEXT"/>
            </w:pPr>
            <w:r>
              <w:t>Business sector</w:t>
            </w:r>
          </w:p>
        </w:tc>
        <w:tc>
          <w:tcPr>
            <w:tcW w:w="2125" w:type="dxa"/>
            <w:tcMar>
              <w:top w:w="170" w:type="dxa"/>
              <w:left w:w="113" w:type="dxa"/>
              <w:bottom w:w="170" w:type="dxa"/>
              <w:right w:w="113" w:type="dxa"/>
            </w:tcMar>
          </w:tcPr>
          <w:p w14:paraId="17C69419" w14:textId="77777777" w:rsidR="00EC25DE" w:rsidRDefault="00EC25DE">
            <w:pPr>
              <w:pStyle w:val="TABLETEXT"/>
            </w:pPr>
            <w:r>
              <w:t>All governments</w:t>
            </w:r>
          </w:p>
        </w:tc>
        <w:tc>
          <w:tcPr>
            <w:tcW w:w="1020" w:type="dxa"/>
            <w:tcMar>
              <w:top w:w="170" w:type="dxa"/>
              <w:left w:w="113" w:type="dxa"/>
              <w:bottom w:w="170" w:type="dxa"/>
              <w:right w:w="113" w:type="dxa"/>
            </w:tcMar>
          </w:tcPr>
          <w:p w14:paraId="382C3104" w14:textId="77777777" w:rsidR="00EC25DE" w:rsidRDefault="00EC25DE">
            <w:pPr>
              <w:pStyle w:val="TABLETEXT"/>
            </w:pPr>
            <w:r>
              <w:t>2020</w:t>
            </w:r>
          </w:p>
        </w:tc>
      </w:tr>
      <w:tr w:rsidR="00EC25DE" w14:paraId="165ECBD4" w14:textId="77777777" w:rsidTr="00424906">
        <w:trPr>
          <w:trHeight w:val="170"/>
        </w:trPr>
        <w:tc>
          <w:tcPr>
            <w:tcW w:w="4573" w:type="dxa"/>
            <w:tcMar>
              <w:top w:w="170" w:type="dxa"/>
              <w:left w:w="113" w:type="dxa"/>
              <w:bottom w:w="170" w:type="dxa"/>
              <w:right w:w="113" w:type="dxa"/>
            </w:tcMar>
          </w:tcPr>
          <w:p w14:paraId="34295A3E" w14:textId="77777777" w:rsidR="00EC25DE" w:rsidRDefault="00EC25DE">
            <w:pPr>
              <w:pStyle w:val="TABLETEXT"/>
              <w:ind w:left="454" w:hanging="454"/>
            </w:pPr>
            <w:r>
              <w:lastRenderedPageBreak/>
              <w:t>5.7</w:t>
            </w:r>
            <w:r>
              <w:tab/>
              <w:t>Phase out problematic and unnecessary single-use plastic packaging through design, innovation or introduction of alternatives</w:t>
            </w:r>
          </w:p>
        </w:tc>
        <w:tc>
          <w:tcPr>
            <w:tcW w:w="1693" w:type="dxa"/>
            <w:tcMar>
              <w:top w:w="170" w:type="dxa"/>
              <w:left w:w="113" w:type="dxa"/>
              <w:bottom w:w="170" w:type="dxa"/>
              <w:right w:w="113" w:type="dxa"/>
            </w:tcMar>
          </w:tcPr>
          <w:p w14:paraId="3177D564" w14:textId="77777777" w:rsidR="00EC25DE" w:rsidRDefault="00EC25DE">
            <w:pPr>
              <w:pStyle w:val="TABLETEXT"/>
            </w:pPr>
            <w:r>
              <w:t>Australian Packaging Covenant Organisation</w:t>
            </w:r>
          </w:p>
        </w:tc>
        <w:tc>
          <w:tcPr>
            <w:tcW w:w="2125" w:type="dxa"/>
            <w:tcMar>
              <w:top w:w="170" w:type="dxa"/>
              <w:left w:w="113" w:type="dxa"/>
              <w:bottom w:w="170" w:type="dxa"/>
              <w:right w:w="113" w:type="dxa"/>
            </w:tcMar>
          </w:tcPr>
          <w:p w14:paraId="5D422123" w14:textId="77777777" w:rsidR="00EC25DE" w:rsidRDefault="00EC25DE">
            <w:pPr>
              <w:pStyle w:val="TABLETEXT"/>
            </w:pPr>
            <w:r>
              <w:t>All governments</w:t>
            </w:r>
          </w:p>
          <w:p w14:paraId="4CFE2450" w14:textId="77777777" w:rsidR="00EC25DE" w:rsidRDefault="00EC25DE">
            <w:pPr>
              <w:pStyle w:val="TABLETEXT"/>
            </w:pPr>
            <w:r>
              <w:t>Business sector</w:t>
            </w:r>
          </w:p>
        </w:tc>
        <w:tc>
          <w:tcPr>
            <w:tcW w:w="1020" w:type="dxa"/>
            <w:tcMar>
              <w:top w:w="170" w:type="dxa"/>
              <w:left w:w="113" w:type="dxa"/>
              <w:bottom w:w="170" w:type="dxa"/>
              <w:right w:w="113" w:type="dxa"/>
            </w:tcMar>
          </w:tcPr>
          <w:p w14:paraId="4CC400C8" w14:textId="77777777" w:rsidR="00EC25DE" w:rsidRDefault="00EC25DE">
            <w:pPr>
              <w:pStyle w:val="TABLETEXT"/>
            </w:pPr>
            <w:r>
              <w:t>2025</w:t>
            </w:r>
          </w:p>
        </w:tc>
      </w:tr>
      <w:tr w:rsidR="00EC25DE" w14:paraId="18F5C553" w14:textId="77777777" w:rsidTr="00424906">
        <w:trPr>
          <w:trHeight w:val="170"/>
        </w:trPr>
        <w:tc>
          <w:tcPr>
            <w:tcW w:w="9411" w:type="dxa"/>
            <w:gridSpan w:val="4"/>
            <w:shd w:val="solid" w:color="808080" w:fill="7F7F7F" w:themeFill="text1" w:themeFillTint="80"/>
            <w:tcMar>
              <w:top w:w="170" w:type="dxa"/>
              <w:left w:w="113" w:type="dxa"/>
              <w:bottom w:w="170" w:type="dxa"/>
              <w:right w:w="113" w:type="dxa"/>
            </w:tcMar>
          </w:tcPr>
          <w:p w14:paraId="4DBE4F51" w14:textId="77777777" w:rsidR="00EC25DE" w:rsidRPr="00673CF5" w:rsidRDefault="00EC25DE">
            <w:pPr>
              <w:pStyle w:val="TABLETEXT"/>
              <w:ind w:left="454" w:hanging="454"/>
              <w:rPr>
                <w:color w:val="000000" w:themeColor="text1"/>
              </w:rPr>
            </w:pPr>
            <w:r w:rsidRPr="00673CF5">
              <w:rPr>
                <w:b/>
                <w:bCs/>
                <w:color w:val="000000" w:themeColor="text1"/>
                <w14:textOutline w14:w="9525" w14:cap="flat" w14:cmpd="sng" w14:algn="ctr">
                  <w14:noFill/>
                  <w14:prstDash w14:val="solid"/>
                  <w14:round/>
                </w14:textOutline>
              </w:rPr>
              <w:t>Sound management of chemicals and hazardous waste</w:t>
            </w:r>
          </w:p>
        </w:tc>
      </w:tr>
      <w:tr w:rsidR="00EC25DE" w14:paraId="70B984AA" w14:textId="77777777" w:rsidTr="00424906">
        <w:trPr>
          <w:trHeight w:val="170"/>
        </w:trPr>
        <w:tc>
          <w:tcPr>
            <w:tcW w:w="4573" w:type="dxa"/>
            <w:shd w:val="clear" w:color="auto" w:fill="A6A6A6" w:themeFill="background1" w:themeFillShade="A6"/>
            <w:tcMar>
              <w:top w:w="170" w:type="dxa"/>
              <w:left w:w="113" w:type="dxa"/>
              <w:bottom w:w="170" w:type="dxa"/>
              <w:right w:w="113" w:type="dxa"/>
            </w:tcMar>
          </w:tcPr>
          <w:p w14:paraId="279FAE09" w14:textId="77777777" w:rsidR="00EC25DE" w:rsidRPr="00673CF5" w:rsidRDefault="00EC25DE">
            <w:pPr>
              <w:pStyle w:val="TABLETEXT"/>
              <w:ind w:left="454" w:hanging="454"/>
              <w:rPr>
                <w:color w:val="000000" w:themeColor="text1"/>
              </w:rPr>
            </w:pPr>
            <w:r w:rsidRPr="00673CF5">
              <w:rPr>
                <w:b/>
                <w:bCs/>
                <w:color w:val="000000" w:themeColor="text1"/>
              </w:rPr>
              <w:t>Chemicals and hazardous waste</w:t>
            </w:r>
          </w:p>
        </w:tc>
        <w:tc>
          <w:tcPr>
            <w:tcW w:w="1693" w:type="dxa"/>
            <w:shd w:val="clear" w:color="auto" w:fill="A6A6A6" w:themeFill="background1" w:themeFillShade="A6"/>
            <w:tcMar>
              <w:top w:w="170" w:type="dxa"/>
              <w:left w:w="113" w:type="dxa"/>
              <w:bottom w:w="170" w:type="dxa"/>
              <w:right w:w="113" w:type="dxa"/>
            </w:tcMar>
          </w:tcPr>
          <w:p w14:paraId="33E4618B" w14:textId="77777777" w:rsidR="00EC25DE" w:rsidRDefault="00EC25DE">
            <w:pPr>
              <w:pStyle w:val="NoParagraphStyle"/>
              <w:spacing w:line="240" w:lineRule="auto"/>
              <w:textAlignment w:val="auto"/>
              <w:rPr>
                <w:rFonts w:ascii="Calibri" w:hAnsi="Calibri" w:cs="Calibri"/>
                <w:color w:val="auto"/>
              </w:rPr>
            </w:pPr>
          </w:p>
        </w:tc>
        <w:tc>
          <w:tcPr>
            <w:tcW w:w="2125" w:type="dxa"/>
            <w:shd w:val="clear" w:color="auto" w:fill="A6A6A6" w:themeFill="background1" w:themeFillShade="A6"/>
            <w:tcMar>
              <w:top w:w="170" w:type="dxa"/>
              <w:left w:w="113" w:type="dxa"/>
              <w:bottom w:w="170" w:type="dxa"/>
              <w:right w:w="113" w:type="dxa"/>
            </w:tcMar>
          </w:tcPr>
          <w:p w14:paraId="5B7ED5E7" w14:textId="77777777" w:rsidR="00EC25DE" w:rsidRDefault="00EC25DE">
            <w:pPr>
              <w:pStyle w:val="NoParagraphStyle"/>
              <w:spacing w:line="240" w:lineRule="auto"/>
              <w:textAlignment w:val="auto"/>
              <w:rPr>
                <w:rFonts w:ascii="Calibri" w:hAnsi="Calibri" w:cs="Calibri"/>
                <w:color w:val="auto"/>
              </w:rPr>
            </w:pPr>
          </w:p>
        </w:tc>
        <w:tc>
          <w:tcPr>
            <w:tcW w:w="1020" w:type="dxa"/>
            <w:shd w:val="clear" w:color="auto" w:fill="A6A6A6" w:themeFill="background1" w:themeFillShade="A6"/>
            <w:tcMar>
              <w:top w:w="170" w:type="dxa"/>
              <w:left w:w="113" w:type="dxa"/>
              <w:bottom w:w="170" w:type="dxa"/>
              <w:right w:w="113" w:type="dxa"/>
            </w:tcMar>
          </w:tcPr>
          <w:p w14:paraId="2BE0F8E7" w14:textId="77777777" w:rsidR="00EC25DE" w:rsidRDefault="00EC25DE">
            <w:pPr>
              <w:pStyle w:val="NoParagraphStyle"/>
              <w:spacing w:line="240" w:lineRule="auto"/>
              <w:textAlignment w:val="auto"/>
              <w:rPr>
                <w:rFonts w:ascii="Calibri" w:hAnsi="Calibri" w:cs="Calibri"/>
                <w:color w:val="auto"/>
              </w:rPr>
            </w:pPr>
          </w:p>
        </w:tc>
      </w:tr>
      <w:tr w:rsidR="00EC25DE" w14:paraId="220E75DC" w14:textId="77777777" w:rsidTr="00424906">
        <w:trPr>
          <w:trHeight w:val="170"/>
        </w:trPr>
        <w:tc>
          <w:tcPr>
            <w:tcW w:w="4573" w:type="dxa"/>
            <w:tcMar>
              <w:top w:w="170" w:type="dxa"/>
              <w:left w:w="113" w:type="dxa"/>
              <w:bottom w:w="170" w:type="dxa"/>
              <w:right w:w="113" w:type="dxa"/>
            </w:tcMar>
          </w:tcPr>
          <w:p w14:paraId="18236A4B" w14:textId="77777777" w:rsidR="00EC25DE" w:rsidRDefault="00EC25DE">
            <w:pPr>
              <w:pStyle w:val="TABLETEXT"/>
              <w:ind w:left="454" w:hanging="454"/>
            </w:pPr>
            <w:r>
              <w:t xml:space="preserve">5.8 </w:t>
            </w:r>
            <w:r>
              <w:tab/>
              <w:t>Develop a strategy for consistent, transparent, predictable and streamlined regulation and reporting, to manage the environmental risks of chemicals and hazardous substances</w:t>
            </w:r>
          </w:p>
        </w:tc>
        <w:tc>
          <w:tcPr>
            <w:tcW w:w="1693" w:type="dxa"/>
            <w:tcMar>
              <w:top w:w="170" w:type="dxa"/>
              <w:left w:w="113" w:type="dxa"/>
              <w:bottom w:w="170" w:type="dxa"/>
              <w:right w:w="113" w:type="dxa"/>
            </w:tcMar>
          </w:tcPr>
          <w:p w14:paraId="21B16E87" w14:textId="77777777" w:rsidR="00EC25DE" w:rsidRDefault="00EC25DE">
            <w:pPr>
              <w:pStyle w:val="TABLETEXT"/>
            </w:pPr>
            <w:r>
              <w:t>Australian Government</w:t>
            </w:r>
          </w:p>
        </w:tc>
        <w:tc>
          <w:tcPr>
            <w:tcW w:w="2125" w:type="dxa"/>
            <w:tcMar>
              <w:top w:w="170" w:type="dxa"/>
              <w:left w:w="113" w:type="dxa"/>
              <w:bottom w:w="170" w:type="dxa"/>
              <w:right w:w="113" w:type="dxa"/>
            </w:tcMar>
          </w:tcPr>
          <w:p w14:paraId="2EE9FC1F" w14:textId="77777777" w:rsidR="00EC25DE" w:rsidRDefault="00EC25DE">
            <w:pPr>
              <w:pStyle w:val="NoParagraphStyle"/>
              <w:spacing w:line="240" w:lineRule="auto"/>
              <w:textAlignment w:val="auto"/>
              <w:rPr>
                <w:rFonts w:ascii="Calibri" w:hAnsi="Calibri" w:cs="Calibri"/>
                <w:color w:val="auto"/>
              </w:rPr>
            </w:pPr>
          </w:p>
        </w:tc>
        <w:tc>
          <w:tcPr>
            <w:tcW w:w="1020" w:type="dxa"/>
            <w:tcMar>
              <w:top w:w="170" w:type="dxa"/>
              <w:left w:w="113" w:type="dxa"/>
              <w:bottom w:w="170" w:type="dxa"/>
              <w:right w:w="113" w:type="dxa"/>
            </w:tcMar>
          </w:tcPr>
          <w:p w14:paraId="617A0B40" w14:textId="77777777" w:rsidR="00EC25DE" w:rsidRDefault="00EC25DE">
            <w:pPr>
              <w:pStyle w:val="TABLETEXT"/>
            </w:pPr>
            <w:r>
              <w:t>2021</w:t>
            </w:r>
          </w:p>
        </w:tc>
      </w:tr>
      <w:tr w:rsidR="00EC25DE" w14:paraId="4C719DF7" w14:textId="77777777" w:rsidTr="00424906">
        <w:trPr>
          <w:trHeight w:val="170"/>
        </w:trPr>
        <w:tc>
          <w:tcPr>
            <w:tcW w:w="4573" w:type="dxa"/>
            <w:tcMar>
              <w:top w:w="170" w:type="dxa"/>
              <w:left w:w="113" w:type="dxa"/>
              <w:bottom w:w="170" w:type="dxa"/>
              <w:right w:w="113" w:type="dxa"/>
            </w:tcMar>
          </w:tcPr>
          <w:p w14:paraId="1FCC4A12" w14:textId="77777777" w:rsidR="00EC25DE" w:rsidRDefault="00EC25DE">
            <w:pPr>
              <w:pStyle w:val="TABLETEXT"/>
              <w:ind w:left="454" w:hanging="454"/>
            </w:pPr>
            <w:r>
              <w:t xml:space="preserve">5.9 </w:t>
            </w:r>
            <w:r>
              <w:tab/>
              <w:t>Better manage the import, export, use, manufacture and end-of-life disposal of products and articles containing hazardous substances</w:t>
            </w:r>
          </w:p>
        </w:tc>
        <w:tc>
          <w:tcPr>
            <w:tcW w:w="1693" w:type="dxa"/>
            <w:tcMar>
              <w:top w:w="170" w:type="dxa"/>
              <w:left w:w="113" w:type="dxa"/>
              <w:bottom w:w="170" w:type="dxa"/>
              <w:right w:w="113" w:type="dxa"/>
            </w:tcMar>
          </w:tcPr>
          <w:p w14:paraId="7B426383" w14:textId="77777777" w:rsidR="00EC25DE" w:rsidRDefault="00EC25DE">
            <w:pPr>
              <w:pStyle w:val="TABLETEXT"/>
            </w:pPr>
            <w:r>
              <w:t>All governments</w:t>
            </w:r>
          </w:p>
        </w:tc>
        <w:tc>
          <w:tcPr>
            <w:tcW w:w="2125" w:type="dxa"/>
            <w:tcMar>
              <w:top w:w="170" w:type="dxa"/>
              <w:left w:w="113" w:type="dxa"/>
              <w:bottom w:w="170" w:type="dxa"/>
              <w:right w:w="113" w:type="dxa"/>
            </w:tcMar>
          </w:tcPr>
          <w:p w14:paraId="3CF083AA" w14:textId="77777777" w:rsidR="00EC25DE" w:rsidRDefault="00EC25DE">
            <w:pPr>
              <w:pStyle w:val="NoParagraphStyle"/>
              <w:spacing w:line="240" w:lineRule="auto"/>
              <w:textAlignment w:val="auto"/>
              <w:rPr>
                <w:rFonts w:ascii="Calibri" w:hAnsi="Calibri" w:cs="Calibri"/>
                <w:color w:val="auto"/>
              </w:rPr>
            </w:pPr>
          </w:p>
        </w:tc>
        <w:tc>
          <w:tcPr>
            <w:tcW w:w="1020" w:type="dxa"/>
            <w:tcMar>
              <w:top w:w="170" w:type="dxa"/>
              <w:left w:w="113" w:type="dxa"/>
              <w:bottom w:w="170" w:type="dxa"/>
              <w:right w:w="113" w:type="dxa"/>
            </w:tcMar>
          </w:tcPr>
          <w:p w14:paraId="71F7D9F6" w14:textId="77777777" w:rsidR="00EC25DE" w:rsidRDefault="00EC25DE">
            <w:pPr>
              <w:pStyle w:val="TABLETEXT"/>
            </w:pPr>
            <w:r>
              <w:t>2022</w:t>
            </w:r>
          </w:p>
        </w:tc>
      </w:tr>
      <w:tr w:rsidR="00EC25DE" w14:paraId="4D267EC5" w14:textId="77777777" w:rsidTr="00424906">
        <w:trPr>
          <w:trHeight w:val="170"/>
        </w:trPr>
        <w:tc>
          <w:tcPr>
            <w:tcW w:w="4573" w:type="dxa"/>
            <w:tcMar>
              <w:top w:w="170" w:type="dxa"/>
              <w:left w:w="113" w:type="dxa"/>
              <w:bottom w:w="170" w:type="dxa"/>
              <w:right w:w="113" w:type="dxa"/>
            </w:tcMar>
          </w:tcPr>
          <w:p w14:paraId="3DC5E047" w14:textId="77777777" w:rsidR="00EC25DE" w:rsidRDefault="00EC25DE">
            <w:pPr>
              <w:pStyle w:val="TABLETEXT"/>
              <w:ind w:left="454" w:hanging="454"/>
            </w:pPr>
            <w:r>
              <w:t>5.10</w:t>
            </w:r>
            <w:r>
              <w:tab/>
              <w:t>Develop a nationally consistent tracking and data system for the movement and stockpiling of hazardous and controlled wastes</w:t>
            </w:r>
          </w:p>
        </w:tc>
        <w:tc>
          <w:tcPr>
            <w:tcW w:w="1693" w:type="dxa"/>
            <w:tcMar>
              <w:top w:w="170" w:type="dxa"/>
              <w:left w:w="113" w:type="dxa"/>
              <w:bottom w:w="170" w:type="dxa"/>
              <w:right w:w="113" w:type="dxa"/>
            </w:tcMar>
          </w:tcPr>
          <w:p w14:paraId="6B39CB92" w14:textId="77777777" w:rsidR="00EC25DE" w:rsidRDefault="00EC25DE">
            <w:pPr>
              <w:pStyle w:val="TABLETEXT"/>
            </w:pPr>
            <w:r>
              <w:t>NSW Government</w:t>
            </w:r>
          </w:p>
        </w:tc>
        <w:tc>
          <w:tcPr>
            <w:tcW w:w="2125" w:type="dxa"/>
            <w:tcMar>
              <w:top w:w="170" w:type="dxa"/>
              <w:left w:w="113" w:type="dxa"/>
              <w:bottom w:w="170" w:type="dxa"/>
              <w:right w:w="113" w:type="dxa"/>
            </w:tcMar>
          </w:tcPr>
          <w:p w14:paraId="2343A0B1" w14:textId="77777777" w:rsidR="00EC25DE" w:rsidRDefault="00EC25DE">
            <w:pPr>
              <w:pStyle w:val="NoParagraphStyle"/>
              <w:spacing w:line="240" w:lineRule="auto"/>
              <w:textAlignment w:val="auto"/>
              <w:rPr>
                <w:rFonts w:ascii="Calibri" w:hAnsi="Calibri" w:cs="Calibri"/>
                <w:color w:val="auto"/>
              </w:rPr>
            </w:pPr>
          </w:p>
        </w:tc>
        <w:tc>
          <w:tcPr>
            <w:tcW w:w="1020" w:type="dxa"/>
            <w:tcMar>
              <w:top w:w="170" w:type="dxa"/>
              <w:left w:w="113" w:type="dxa"/>
              <w:bottom w:w="170" w:type="dxa"/>
              <w:right w:w="113" w:type="dxa"/>
            </w:tcMar>
          </w:tcPr>
          <w:p w14:paraId="74787B7E" w14:textId="77777777" w:rsidR="00EC25DE" w:rsidRDefault="00EC25DE">
            <w:pPr>
              <w:pStyle w:val="TABLETEXT"/>
            </w:pPr>
            <w:r>
              <w:t>2021</w:t>
            </w:r>
          </w:p>
        </w:tc>
      </w:tr>
    </w:tbl>
    <w:p w14:paraId="58DA17EB" w14:textId="77777777" w:rsidR="00EC25DE" w:rsidRDefault="00EC25DE" w:rsidP="00EC25DE">
      <w:pPr>
        <w:pStyle w:val="Text"/>
      </w:pPr>
    </w:p>
    <w:p w14:paraId="61CDFB85" w14:textId="77777777" w:rsidR="00E02E51" w:rsidRDefault="00E02E51">
      <w:pPr>
        <w:rPr>
          <w:rFonts w:ascii="Calibri" w:hAnsi="Calibri" w:cs="Calibri"/>
          <w:b/>
          <w:bCs/>
          <w:color w:val="414D59"/>
          <w:sz w:val="50"/>
          <w:szCs w:val="50"/>
          <w:lang w:val="en-GB"/>
        </w:rPr>
      </w:pPr>
      <w:r>
        <w:rPr>
          <w:color w:val="414D59"/>
          <w:sz w:val="50"/>
          <w:szCs w:val="50"/>
        </w:rPr>
        <w:br w:type="page"/>
      </w:r>
    </w:p>
    <w:p w14:paraId="70871C41" w14:textId="21A1E49F" w:rsidR="00E02E51" w:rsidRPr="00454715" w:rsidRDefault="00EC25DE" w:rsidP="00454715">
      <w:pPr>
        <w:pStyle w:val="Heading2"/>
      </w:pPr>
      <w:bookmarkStart w:id="8" w:name="_Toc24118132"/>
      <w:r w:rsidRPr="00454715">
        <w:lastRenderedPageBreak/>
        <w:t>Target 6: Halve the amount of organic waste sent to landfill for disposal by 2030</w:t>
      </w:r>
      <w:bookmarkEnd w:id="8"/>
    </w:p>
    <w:p w14:paraId="0DCF3F37" w14:textId="37952A5E" w:rsidR="00EC25DE" w:rsidRDefault="00EC25DE" w:rsidP="00EC25DE">
      <w:pPr>
        <w:pStyle w:val="Subhead2"/>
        <w:spacing w:after="0"/>
      </w:pPr>
      <w:r>
        <w:rPr>
          <w:color w:val="414D59"/>
        </w:rPr>
        <w:t xml:space="preserve"> </w:t>
      </w:r>
    </w:p>
    <w:p w14:paraId="62B8D222" w14:textId="77777777" w:rsidR="00EC25DE" w:rsidRDefault="00EC25DE" w:rsidP="00EC25DE">
      <w:pPr>
        <w:pStyle w:val="Text"/>
        <w:rPr>
          <w:sz w:val="22"/>
          <w:szCs w:val="22"/>
        </w:rPr>
      </w:pPr>
      <w:r>
        <w:rPr>
          <w:sz w:val="22"/>
          <w:szCs w:val="22"/>
        </w:rPr>
        <w:t xml:space="preserve">Organic waste is one of the main waste types sent to landfill. It creates greenhouse gas emissions and costs households thousands of dollars each year. </w:t>
      </w:r>
    </w:p>
    <w:p w14:paraId="6762422F" w14:textId="77777777" w:rsidR="00EC25DE" w:rsidRDefault="00EC25DE" w:rsidP="00EC25DE">
      <w:pPr>
        <w:pStyle w:val="Text"/>
        <w:rPr>
          <w:sz w:val="22"/>
          <w:szCs w:val="22"/>
        </w:rPr>
      </w:pPr>
      <w:r>
        <w:rPr>
          <w:sz w:val="22"/>
          <w:szCs w:val="22"/>
        </w:rPr>
        <w:t xml:space="preserve">Organics like food and garden waste are valuable resources that can be harnessed and returned to productive use, turned into compost to improve and fertilise soil, or rescued to provide food for people and animals. </w:t>
      </w:r>
    </w:p>
    <w:p w14:paraId="3F91EB20" w14:textId="77777777" w:rsidR="00EC25DE" w:rsidRDefault="00EC25DE" w:rsidP="00EC25DE">
      <w:pPr>
        <w:pStyle w:val="Text"/>
        <w:rPr>
          <w:sz w:val="22"/>
          <w:szCs w:val="22"/>
        </w:rPr>
      </w:pPr>
      <w:r>
        <w:rPr>
          <w:sz w:val="22"/>
          <w:szCs w:val="22"/>
        </w:rPr>
        <w:t>National action is required by all levels of government, businesses and communities to reduce organic waste and improve how we collect and treat organic waste in all waste streams.</w:t>
      </w:r>
    </w:p>
    <w:tbl>
      <w:tblPr>
        <w:tblW w:w="0" w:type="auto"/>
        <w:tblInd w:w="-8" w:type="dxa"/>
        <w:tblBorders>
          <w:top w:val="dotted" w:sz="8" w:space="0" w:color="414D59"/>
          <w:bottom w:val="dotted" w:sz="8" w:space="0" w:color="414D59"/>
          <w:insideH w:val="dotted" w:sz="8" w:space="0" w:color="414D59"/>
        </w:tblBorders>
        <w:tblLayout w:type="fixed"/>
        <w:tblCellMar>
          <w:left w:w="0" w:type="dxa"/>
          <w:right w:w="0" w:type="dxa"/>
        </w:tblCellMar>
        <w:tblLook w:val="0000" w:firstRow="0" w:lastRow="0" w:firstColumn="0" w:lastColumn="0" w:noHBand="0" w:noVBand="0"/>
      </w:tblPr>
      <w:tblGrid>
        <w:gridCol w:w="4661"/>
        <w:gridCol w:w="2002"/>
        <w:gridCol w:w="1573"/>
        <w:gridCol w:w="893"/>
      </w:tblGrid>
      <w:tr w:rsidR="00EC25DE" w14:paraId="555DB6A2" w14:textId="77777777" w:rsidTr="00424906">
        <w:trPr>
          <w:trHeight w:val="334"/>
          <w:tblHeader/>
        </w:trPr>
        <w:tc>
          <w:tcPr>
            <w:tcW w:w="4661" w:type="dxa"/>
            <w:shd w:val="solid" w:color="414D59" w:fill="auto"/>
            <w:tcMar>
              <w:top w:w="170" w:type="dxa"/>
              <w:left w:w="113" w:type="dxa"/>
              <w:bottom w:w="170" w:type="dxa"/>
              <w:right w:w="113" w:type="dxa"/>
            </w:tcMar>
          </w:tcPr>
          <w:p w14:paraId="31C492E2" w14:textId="77777777" w:rsidR="00EC25DE" w:rsidRPr="00EC25DE" w:rsidRDefault="00EC25DE">
            <w:pPr>
              <w:pStyle w:val="TABLETEXT"/>
              <w:ind w:left="454" w:hanging="454"/>
              <w:rPr>
                <w:color w:val="FFFFFF" w:themeColor="background1"/>
              </w:rPr>
            </w:pPr>
            <w:r w:rsidRPr="00EC25DE">
              <w:rPr>
                <w:b/>
                <w:bCs/>
                <w:color w:val="FFFFFF" w:themeColor="background1"/>
                <w14:textOutline w14:w="9525" w14:cap="flat" w14:cmpd="sng" w14:algn="ctr">
                  <w14:noFill/>
                  <w14:prstDash w14:val="solid"/>
                  <w14:round/>
                </w14:textOutline>
              </w:rPr>
              <w:t>Action</w:t>
            </w:r>
          </w:p>
        </w:tc>
        <w:tc>
          <w:tcPr>
            <w:tcW w:w="2002" w:type="dxa"/>
            <w:shd w:val="solid" w:color="414D59" w:fill="auto"/>
            <w:tcMar>
              <w:top w:w="170" w:type="dxa"/>
              <w:left w:w="113" w:type="dxa"/>
              <w:bottom w:w="170" w:type="dxa"/>
              <w:right w:w="113" w:type="dxa"/>
            </w:tcMar>
          </w:tcPr>
          <w:p w14:paraId="5D43C563" w14:textId="77777777" w:rsidR="00EC25DE" w:rsidRPr="00EC25DE" w:rsidRDefault="00EC25DE">
            <w:pPr>
              <w:pStyle w:val="TABLETEXT"/>
              <w:rPr>
                <w:color w:val="FFFFFF" w:themeColor="background1"/>
              </w:rPr>
            </w:pPr>
            <w:r w:rsidRPr="00EC25DE">
              <w:rPr>
                <w:b/>
                <w:bCs/>
                <w:color w:val="FFFFFF" w:themeColor="background1"/>
                <w14:textOutline w14:w="9525" w14:cap="flat" w14:cmpd="sng" w14:algn="ctr">
                  <w14:noFill/>
                  <w14:prstDash w14:val="solid"/>
                  <w14:round/>
                </w14:textOutline>
              </w:rPr>
              <w:t>Lead</w:t>
            </w:r>
          </w:p>
        </w:tc>
        <w:tc>
          <w:tcPr>
            <w:tcW w:w="1573" w:type="dxa"/>
            <w:shd w:val="solid" w:color="414D59" w:fill="auto"/>
            <w:tcMar>
              <w:top w:w="170" w:type="dxa"/>
              <w:left w:w="113" w:type="dxa"/>
              <w:bottom w:w="170" w:type="dxa"/>
              <w:right w:w="113" w:type="dxa"/>
            </w:tcMar>
          </w:tcPr>
          <w:p w14:paraId="0BF84647" w14:textId="77777777" w:rsidR="00EC25DE" w:rsidRPr="00EC25DE" w:rsidRDefault="00EC25DE">
            <w:pPr>
              <w:pStyle w:val="TABLETEXT"/>
              <w:rPr>
                <w:color w:val="FFFFFF" w:themeColor="background1"/>
              </w:rPr>
            </w:pPr>
            <w:r w:rsidRPr="00EC25DE">
              <w:rPr>
                <w:b/>
                <w:bCs/>
                <w:color w:val="FFFFFF" w:themeColor="background1"/>
                <w14:textOutline w14:w="9525" w14:cap="flat" w14:cmpd="sng" w14:algn="ctr">
                  <w14:noFill/>
                  <w14:prstDash w14:val="solid"/>
                  <w14:round/>
                </w14:textOutline>
              </w:rPr>
              <w:t>Partners</w:t>
            </w:r>
          </w:p>
        </w:tc>
        <w:tc>
          <w:tcPr>
            <w:tcW w:w="893" w:type="dxa"/>
            <w:shd w:val="solid" w:color="414D59" w:fill="auto"/>
            <w:tcMar>
              <w:top w:w="170" w:type="dxa"/>
              <w:left w:w="113" w:type="dxa"/>
              <w:bottom w:w="170" w:type="dxa"/>
              <w:right w:w="113" w:type="dxa"/>
            </w:tcMar>
          </w:tcPr>
          <w:p w14:paraId="4EACC711" w14:textId="77777777" w:rsidR="00EC25DE" w:rsidRPr="00EC25DE" w:rsidRDefault="00EC25DE">
            <w:pPr>
              <w:pStyle w:val="TABLETEXT"/>
              <w:rPr>
                <w:color w:val="FFFFFF" w:themeColor="background1"/>
              </w:rPr>
            </w:pPr>
            <w:r w:rsidRPr="00EC25DE">
              <w:rPr>
                <w:b/>
                <w:bCs/>
                <w:color w:val="FFFFFF" w:themeColor="background1"/>
                <w14:textOutline w14:w="9525" w14:cap="flat" w14:cmpd="sng" w14:algn="ctr">
                  <w14:noFill/>
                  <w14:prstDash w14:val="solid"/>
                  <w14:round/>
                </w14:textOutline>
              </w:rPr>
              <w:t>By</w:t>
            </w:r>
          </w:p>
        </w:tc>
      </w:tr>
      <w:tr w:rsidR="00EC25DE" w14:paraId="3DC83F90" w14:textId="77777777" w:rsidTr="00424906">
        <w:trPr>
          <w:trHeight w:val="334"/>
        </w:trPr>
        <w:tc>
          <w:tcPr>
            <w:tcW w:w="4661" w:type="dxa"/>
            <w:shd w:val="clear" w:color="414D59" w:fill="7F7F7F" w:themeFill="text1" w:themeFillTint="80"/>
            <w:tcMar>
              <w:top w:w="170" w:type="dxa"/>
              <w:left w:w="113" w:type="dxa"/>
              <w:bottom w:w="170" w:type="dxa"/>
              <w:right w:w="113" w:type="dxa"/>
            </w:tcMar>
          </w:tcPr>
          <w:p w14:paraId="07344E6E" w14:textId="77777777" w:rsidR="00EC25DE" w:rsidRPr="00673CF5" w:rsidRDefault="00EC25DE">
            <w:pPr>
              <w:pStyle w:val="TABLETEXT"/>
              <w:rPr>
                <w:color w:val="000000" w:themeColor="text1"/>
              </w:rPr>
            </w:pPr>
            <w:r w:rsidRPr="00673CF5">
              <w:rPr>
                <w:b/>
                <w:bCs/>
                <w:color w:val="000000" w:themeColor="text1"/>
                <w14:textOutline w14:w="9525" w14:cap="flat" w14:cmpd="sng" w14:algn="ctr">
                  <w14:noFill/>
                  <w14:prstDash w14:val="solid"/>
                  <w14:round/>
                </w14:textOutline>
              </w:rPr>
              <w:t>Reducing organic waste</w:t>
            </w:r>
          </w:p>
        </w:tc>
        <w:tc>
          <w:tcPr>
            <w:tcW w:w="2002" w:type="dxa"/>
            <w:shd w:val="clear" w:color="414D59" w:fill="7F7F7F" w:themeFill="text1" w:themeFillTint="80"/>
            <w:tcMar>
              <w:top w:w="170" w:type="dxa"/>
              <w:left w:w="113" w:type="dxa"/>
              <w:bottom w:w="170" w:type="dxa"/>
              <w:right w:w="113" w:type="dxa"/>
            </w:tcMar>
          </w:tcPr>
          <w:p w14:paraId="7CB182D0" w14:textId="77777777" w:rsidR="00EC25DE" w:rsidRPr="00EC25DE" w:rsidRDefault="00EC25DE">
            <w:pPr>
              <w:pStyle w:val="NoParagraphStyle"/>
              <w:spacing w:line="240" w:lineRule="auto"/>
              <w:textAlignment w:val="auto"/>
              <w:rPr>
                <w:rFonts w:ascii="Calibri" w:hAnsi="Calibri" w:cs="Calibri"/>
                <w:color w:val="FFFFFF" w:themeColor="background1"/>
              </w:rPr>
            </w:pPr>
          </w:p>
        </w:tc>
        <w:tc>
          <w:tcPr>
            <w:tcW w:w="1573" w:type="dxa"/>
            <w:shd w:val="clear" w:color="414D59" w:fill="7F7F7F" w:themeFill="text1" w:themeFillTint="80"/>
            <w:tcMar>
              <w:top w:w="170" w:type="dxa"/>
              <w:left w:w="113" w:type="dxa"/>
              <w:bottom w:w="170" w:type="dxa"/>
              <w:right w:w="113" w:type="dxa"/>
            </w:tcMar>
          </w:tcPr>
          <w:p w14:paraId="40F44FE3" w14:textId="77777777" w:rsidR="00EC25DE" w:rsidRPr="00EC25DE" w:rsidRDefault="00EC25DE">
            <w:pPr>
              <w:pStyle w:val="NoParagraphStyle"/>
              <w:spacing w:line="240" w:lineRule="auto"/>
              <w:textAlignment w:val="auto"/>
              <w:rPr>
                <w:rFonts w:ascii="Calibri" w:hAnsi="Calibri" w:cs="Calibri"/>
                <w:color w:val="FFFFFF" w:themeColor="background1"/>
              </w:rPr>
            </w:pPr>
          </w:p>
        </w:tc>
        <w:tc>
          <w:tcPr>
            <w:tcW w:w="893" w:type="dxa"/>
            <w:shd w:val="clear" w:color="414D59" w:fill="7F7F7F" w:themeFill="text1" w:themeFillTint="80"/>
            <w:tcMar>
              <w:top w:w="170" w:type="dxa"/>
              <w:left w:w="113" w:type="dxa"/>
              <w:bottom w:w="170" w:type="dxa"/>
              <w:right w:w="113" w:type="dxa"/>
            </w:tcMar>
          </w:tcPr>
          <w:p w14:paraId="77A987B6" w14:textId="77777777" w:rsidR="00EC25DE" w:rsidRPr="00EC25DE" w:rsidRDefault="00EC25DE">
            <w:pPr>
              <w:pStyle w:val="NoParagraphStyle"/>
              <w:spacing w:line="240" w:lineRule="auto"/>
              <w:textAlignment w:val="auto"/>
              <w:rPr>
                <w:rFonts w:ascii="Calibri" w:hAnsi="Calibri" w:cs="Calibri"/>
                <w:color w:val="FFFFFF" w:themeColor="background1"/>
              </w:rPr>
            </w:pPr>
          </w:p>
        </w:tc>
      </w:tr>
      <w:tr w:rsidR="00EC25DE" w14:paraId="49DC13B3" w14:textId="77777777" w:rsidTr="00424906">
        <w:trPr>
          <w:trHeight w:val="334"/>
        </w:trPr>
        <w:tc>
          <w:tcPr>
            <w:tcW w:w="4661" w:type="dxa"/>
            <w:shd w:val="clear" w:color="414D59" w:fill="A6A6A6" w:themeFill="background1" w:themeFillShade="A6"/>
            <w:tcMar>
              <w:top w:w="170" w:type="dxa"/>
              <w:left w:w="113" w:type="dxa"/>
              <w:bottom w:w="170" w:type="dxa"/>
              <w:right w:w="113" w:type="dxa"/>
            </w:tcMar>
          </w:tcPr>
          <w:p w14:paraId="463B4743" w14:textId="77777777" w:rsidR="00EC25DE" w:rsidRPr="00673CF5" w:rsidRDefault="00EC25DE">
            <w:pPr>
              <w:pStyle w:val="TABLETEXT"/>
              <w:rPr>
                <w:color w:val="000000" w:themeColor="text1"/>
              </w:rPr>
            </w:pPr>
            <w:r w:rsidRPr="00673CF5">
              <w:rPr>
                <w:b/>
                <w:bCs/>
                <w:color w:val="000000" w:themeColor="text1"/>
              </w:rPr>
              <w:t>Improve recovery of organic waste</w:t>
            </w:r>
          </w:p>
        </w:tc>
        <w:tc>
          <w:tcPr>
            <w:tcW w:w="2002" w:type="dxa"/>
            <w:shd w:val="clear" w:color="414D59" w:fill="A6A6A6" w:themeFill="background1" w:themeFillShade="A6"/>
            <w:tcMar>
              <w:top w:w="170" w:type="dxa"/>
              <w:left w:w="113" w:type="dxa"/>
              <w:bottom w:w="170" w:type="dxa"/>
              <w:right w:w="113" w:type="dxa"/>
            </w:tcMar>
          </w:tcPr>
          <w:p w14:paraId="6B29A7E9" w14:textId="77777777" w:rsidR="00EC25DE" w:rsidRPr="00EC25DE" w:rsidRDefault="00EC25DE">
            <w:pPr>
              <w:pStyle w:val="NoParagraphStyle"/>
              <w:spacing w:line="240" w:lineRule="auto"/>
              <w:textAlignment w:val="auto"/>
              <w:rPr>
                <w:rFonts w:ascii="Calibri" w:hAnsi="Calibri" w:cs="Calibri"/>
                <w:color w:val="FFFFFF" w:themeColor="background1"/>
              </w:rPr>
            </w:pPr>
          </w:p>
        </w:tc>
        <w:tc>
          <w:tcPr>
            <w:tcW w:w="1573" w:type="dxa"/>
            <w:shd w:val="clear" w:color="414D59" w:fill="A6A6A6" w:themeFill="background1" w:themeFillShade="A6"/>
            <w:tcMar>
              <w:top w:w="170" w:type="dxa"/>
              <w:left w:w="113" w:type="dxa"/>
              <w:bottom w:w="170" w:type="dxa"/>
              <w:right w:w="113" w:type="dxa"/>
            </w:tcMar>
          </w:tcPr>
          <w:p w14:paraId="381B75EE" w14:textId="77777777" w:rsidR="00EC25DE" w:rsidRPr="00EC25DE" w:rsidRDefault="00EC25DE">
            <w:pPr>
              <w:pStyle w:val="NoParagraphStyle"/>
              <w:spacing w:line="240" w:lineRule="auto"/>
              <w:textAlignment w:val="auto"/>
              <w:rPr>
                <w:rFonts w:ascii="Calibri" w:hAnsi="Calibri" w:cs="Calibri"/>
                <w:color w:val="FFFFFF" w:themeColor="background1"/>
              </w:rPr>
            </w:pPr>
          </w:p>
        </w:tc>
        <w:tc>
          <w:tcPr>
            <w:tcW w:w="893" w:type="dxa"/>
            <w:shd w:val="clear" w:color="414D59" w:fill="A6A6A6" w:themeFill="background1" w:themeFillShade="A6"/>
            <w:tcMar>
              <w:top w:w="170" w:type="dxa"/>
              <w:left w:w="113" w:type="dxa"/>
              <w:bottom w:w="170" w:type="dxa"/>
              <w:right w:w="113" w:type="dxa"/>
            </w:tcMar>
          </w:tcPr>
          <w:p w14:paraId="1087EEAD" w14:textId="77777777" w:rsidR="00EC25DE" w:rsidRPr="00EC25DE" w:rsidRDefault="00EC25DE">
            <w:pPr>
              <w:pStyle w:val="NoParagraphStyle"/>
              <w:spacing w:line="240" w:lineRule="auto"/>
              <w:textAlignment w:val="auto"/>
              <w:rPr>
                <w:rFonts w:ascii="Calibri" w:hAnsi="Calibri" w:cs="Calibri"/>
                <w:color w:val="FFFFFF" w:themeColor="background1"/>
              </w:rPr>
            </w:pPr>
          </w:p>
        </w:tc>
      </w:tr>
      <w:tr w:rsidR="00EC25DE" w14:paraId="37F06E1F" w14:textId="77777777" w:rsidTr="00424906">
        <w:trPr>
          <w:trHeight w:val="334"/>
        </w:trPr>
        <w:tc>
          <w:tcPr>
            <w:tcW w:w="4661" w:type="dxa"/>
            <w:tcMar>
              <w:top w:w="170" w:type="dxa"/>
              <w:left w:w="113" w:type="dxa"/>
              <w:bottom w:w="170" w:type="dxa"/>
              <w:right w:w="113" w:type="dxa"/>
            </w:tcMar>
          </w:tcPr>
          <w:p w14:paraId="1AECA45A" w14:textId="77777777" w:rsidR="00EC25DE" w:rsidRDefault="00EC25DE">
            <w:pPr>
              <w:pStyle w:val="TABLETEXT"/>
              <w:ind w:left="397" w:hanging="397"/>
            </w:pPr>
            <w:r>
              <w:t xml:space="preserve">6.1 </w:t>
            </w:r>
            <w:r>
              <w:tab/>
              <w:t>Consider whether updated national standards and specifications for organic waste products are required to improve industry and customer certainty</w:t>
            </w:r>
          </w:p>
        </w:tc>
        <w:tc>
          <w:tcPr>
            <w:tcW w:w="2002" w:type="dxa"/>
            <w:tcMar>
              <w:top w:w="170" w:type="dxa"/>
              <w:left w:w="113" w:type="dxa"/>
              <w:bottom w:w="170" w:type="dxa"/>
              <w:right w:w="113" w:type="dxa"/>
            </w:tcMar>
          </w:tcPr>
          <w:p w14:paraId="0369E0DF" w14:textId="77777777" w:rsidR="00EC25DE" w:rsidRDefault="00EC25DE">
            <w:pPr>
              <w:pStyle w:val="TABLETEXT"/>
            </w:pPr>
            <w:r>
              <w:t>Australian Government</w:t>
            </w:r>
          </w:p>
        </w:tc>
        <w:tc>
          <w:tcPr>
            <w:tcW w:w="1573" w:type="dxa"/>
            <w:tcMar>
              <w:top w:w="170" w:type="dxa"/>
              <w:left w:w="113" w:type="dxa"/>
              <w:bottom w:w="170" w:type="dxa"/>
              <w:right w:w="113" w:type="dxa"/>
            </w:tcMar>
          </w:tcPr>
          <w:p w14:paraId="0FE48C21" w14:textId="77777777" w:rsidR="00EC25DE" w:rsidRDefault="00EC25DE">
            <w:pPr>
              <w:pStyle w:val="TABLETEXT"/>
            </w:pPr>
            <w:r>
              <w:t>All governments</w:t>
            </w:r>
          </w:p>
        </w:tc>
        <w:tc>
          <w:tcPr>
            <w:tcW w:w="893" w:type="dxa"/>
            <w:tcMar>
              <w:top w:w="170" w:type="dxa"/>
              <w:left w:w="113" w:type="dxa"/>
              <w:bottom w:w="170" w:type="dxa"/>
              <w:right w:w="113" w:type="dxa"/>
            </w:tcMar>
          </w:tcPr>
          <w:p w14:paraId="4DE07B8B" w14:textId="77777777" w:rsidR="00EC25DE" w:rsidRDefault="00EC25DE">
            <w:pPr>
              <w:pStyle w:val="TABLETEXT"/>
            </w:pPr>
            <w:r>
              <w:t>2021</w:t>
            </w:r>
          </w:p>
        </w:tc>
      </w:tr>
      <w:tr w:rsidR="00EC25DE" w14:paraId="4B5C10AA" w14:textId="77777777" w:rsidTr="00424906">
        <w:trPr>
          <w:trHeight w:val="334"/>
        </w:trPr>
        <w:tc>
          <w:tcPr>
            <w:tcW w:w="4661" w:type="dxa"/>
            <w:tcMar>
              <w:top w:w="170" w:type="dxa"/>
              <w:left w:w="113" w:type="dxa"/>
              <w:bottom w:w="170" w:type="dxa"/>
              <w:right w:w="113" w:type="dxa"/>
            </w:tcMar>
          </w:tcPr>
          <w:p w14:paraId="1DBD60F3" w14:textId="77777777" w:rsidR="00EC25DE" w:rsidRDefault="00EC25DE">
            <w:pPr>
              <w:pStyle w:val="TABLETEXT"/>
              <w:ind w:left="397" w:hanging="397"/>
            </w:pPr>
            <w:r>
              <w:t xml:space="preserve">6.2 </w:t>
            </w:r>
            <w:r>
              <w:tab/>
              <w:t>Report on options to increase the recovery of organics from all waste streams</w:t>
            </w:r>
          </w:p>
        </w:tc>
        <w:tc>
          <w:tcPr>
            <w:tcW w:w="2002" w:type="dxa"/>
            <w:tcMar>
              <w:top w:w="170" w:type="dxa"/>
              <w:left w:w="113" w:type="dxa"/>
              <w:bottom w:w="170" w:type="dxa"/>
              <w:right w:w="113" w:type="dxa"/>
            </w:tcMar>
          </w:tcPr>
          <w:p w14:paraId="053CFAE9" w14:textId="77777777" w:rsidR="00EC25DE" w:rsidRDefault="00EC25DE">
            <w:pPr>
              <w:pStyle w:val="TABLETEXT"/>
            </w:pPr>
            <w:r>
              <w:t>State and territory governments</w:t>
            </w:r>
          </w:p>
        </w:tc>
        <w:tc>
          <w:tcPr>
            <w:tcW w:w="1573" w:type="dxa"/>
            <w:tcMar>
              <w:top w:w="170" w:type="dxa"/>
              <w:left w:w="113" w:type="dxa"/>
              <w:bottom w:w="170" w:type="dxa"/>
              <w:right w:w="113" w:type="dxa"/>
            </w:tcMar>
          </w:tcPr>
          <w:p w14:paraId="0F726BB4" w14:textId="77777777" w:rsidR="00EC25DE" w:rsidRDefault="00EC25DE">
            <w:pPr>
              <w:pStyle w:val="TABLETEXT"/>
            </w:pPr>
            <w:r>
              <w:t>Australian Local Government Association (ALGA)</w:t>
            </w:r>
          </w:p>
        </w:tc>
        <w:tc>
          <w:tcPr>
            <w:tcW w:w="893" w:type="dxa"/>
            <w:tcMar>
              <w:top w:w="170" w:type="dxa"/>
              <w:left w:w="113" w:type="dxa"/>
              <w:bottom w:w="170" w:type="dxa"/>
              <w:right w:w="113" w:type="dxa"/>
            </w:tcMar>
          </w:tcPr>
          <w:p w14:paraId="339A8E91" w14:textId="77777777" w:rsidR="00EC25DE" w:rsidRDefault="00EC25DE">
            <w:pPr>
              <w:pStyle w:val="TABLETEXT"/>
            </w:pPr>
            <w:r>
              <w:t>2021</w:t>
            </w:r>
          </w:p>
        </w:tc>
      </w:tr>
      <w:tr w:rsidR="00EC25DE" w14:paraId="377E5BC4" w14:textId="77777777" w:rsidTr="00424906">
        <w:trPr>
          <w:trHeight w:val="692"/>
        </w:trPr>
        <w:tc>
          <w:tcPr>
            <w:tcW w:w="4661" w:type="dxa"/>
            <w:tcMar>
              <w:top w:w="170" w:type="dxa"/>
              <w:left w:w="113" w:type="dxa"/>
              <w:bottom w:w="170" w:type="dxa"/>
              <w:right w:w="113" w:type="dxa"/>
            </w:tcMar>
          </w:tcPr>
          <w:p w14:paraId="25F8283F" w14:textId="77777777" w:rsidR="00EC25DE" w:rsidRDefault="00EC25DE">
            <w:pPr>
              <w:pStyle w:val="TABLETEXT"/>
              <w:ind w:left="397" w:hanging="397"/>
            </w:pPr>
            <w:r>
              <w:t xml:space="preserve">6.3 </w:t>
            </w:r>
            <w:r>
              <w:tab/>
              <w:t>Provide support to develop distributed infrastructure solutions to process organic waste, including composting infrastructure</w:t>
            </w:r>
          </w:p>
        </w:tc>
        <w:tc>
          <w:tcPr>
            <w:tcW w:w="2002" w:type="dxa"/>
            <w:tcMar>
              <w:top w:w="170" w:type="dxa"/>
              <w:left w:w="113" w:type="dxa"/>
              <w:bottom w:w="170" w:type="dxa"/>
              <w:right w:w="113" w:type="dxa"/>
            </w:tcMar>
          </w:tcPr>
          <w:p w14:paraId="3C2CAE3C" w14:textId="77777777" w:rsidR="00EC25DE" w:rsidRDefault="00EC25DE">
            <w:pPr>
              <w:pStyle w:val="TABLETEXT"/>
            </w:pPr>
            <w:r>
              <w:t>State and territory governments</w:t>
            </w:r>
          </w:p>
          <w:p w14:paraId="19251A3A" w14:textId="77777777" w:rsidR="00EC25DE" w:rsidRDefault="00EC25DE">
            <w:pPr>
              <w:pStyle w:val="TABLETEXT"/>
            </w:pPr>
            <w:r>
              <w:t>Local governments</w:t>
            </w:r>
          </w:p>
        </w:tc>
        <w:tc>
          <w:tcPr>
            <w:tcW w:w="1573" w:type="dxa"/>
            <w:tcMar>
              <w:top w:w="170" w:type="dxa"/>
              <w:left w:w="113" w:type="dxa"/>
              <w:bottom w:w="170" w:type="dxa"/>
              <w:right w:w="113" w:type="dxa"/>
            </w:tcMar>
          </w:tcPr>
          <w:p w14:paraId="3F6BE229" w14:textId="77777777" w:rsidR="00EC25DE" w:rsidRDefault="00EC25DE">
            <w:pPr>
              <w:pStyle w:val="TABLETEXT"/>
            </w:pPr>
            <w:r>
              <w:t xml:space="preserve">Australian Government </w:t>
            </w:r>
          </w:p>
          <w:p w14:paraId="28D0167D" w14:textId="77777777" w:rsidR="00EC25DE" w:rsidRDefault="00EC25DE">
            <w:pPr>
              <w:pStyle w:val="TABLETEXT"/>
            </w:pPr>
            <w:r>
              <w:t>ALGA</w:t>
            </w:r>
          </w:p>
        </w:tc>
        <w:tc>
          <w:tcPr>
            <w:tcW w:w="893" w:type="dxa"/>
            <w:tcMar>
              <w:top w:w="170" w:type="dxa"/>
              <w:left w:w="113" w:type="dxa"/>
              <w:bottom w:w="170" w:type="dxa"/>
              <w:right w:w="113" w:type="dxa"/>
            </w:tcMar>
          </w:tcPr>
          <w:p w14:paraId="51FB79D9" w14:textId="77777777" w:rsidR="00EC25DE" w:rsidRDefault="00EC25DE">
            <w:pPr>
              <w:pStyle w:val="TABLETEXT"/>
            </w:pPr>
            <w:r>
              <w:t>2022</w:t>
            </w:r>
          </w:p>
        </w:tc>
      </w:tr>
      <w:tr w:rsidR="00EC25DE" w14:paraId="304204E0" w14:textId="77777777" w:rsidTr="00424906">
        <w:trPr>
          <w:trHeight w:val="692"/>
        </w:trPr>
        <w:tc>
          <w:tcPr>
            <w:tcW w:w="4661" w:type="dxa"/>
            <w:tcMar>
              <w:top w:w="170" w:type="dxa"/>
              <w:left w:w="113" w:type="dxa"/>
              <w:bottom w:w="170" w:type="dxa"/>
              <w:right w:w="113" w:type="dxa"/>
            </w:tcMar>
          </w:tcPr>
          <w:p w14:paraId="05933131" w14:textId="77777777" w:rsidR="00EC25DE" w:rsidRDefault="00EC25DE">
            <w:pPr>
              <w:pStyle w:val="TABLETEXT"/>
              <w:ind w:left="397" w:hanging="397"/>
            </w:pPr>
            <w:r>
              <w:t xml:space="preserve">6.4 </w:t>
            </w:r>
            <w:r>
              <w:tab/>
              <w:t>Deliver Food Organics and Garden Organics (FOGO) collection to households and businesses</w:t>
            </w:r>
          </w:p>
        </w:tc>
        <w:tc>
          <w:tcPr>
            <w:tcW w:w="2002" w:type="dxa"/>
            <w:tcMar>
              <w:top w:w="170" w:type="dxa"/>
              <w:left w:w="113" w:type="dxa"/>
              <w:bottom w:w="170" w:type="dxa"/>
              <w:right w:w="113" w:type="dxa"/>
            </w:tcMar>
          </w:tcPr>
          <w:p w14:paraId="7AD2E71C" w14:textId="77777777" w:rsidR="00EC25DE" w:rsidRDefault="00EC25DE">
            <w:pPr>
              <w:pStyle w:val="TABLETEXT"/>
            </w:pPr>
            <w:r>
              <w:t>State and territory governments</w:t>
            </w:r>
          </w:p>
          <w:p w14:paraId="07F913DD" w14:textId="77777777" w:rsidR="00EC25DE" w:rsidRDefault="00EC25DE">
            <w:pPr>
              <w:pStyle w:val="TABLETEXT"/>
            </w:pPr>
            <w:r>
              <w:t>Local governments</w:t>
            </w:r>
          </w:p>
        </w:tc>
        <w:tc>
          <w:tcPr>
            <w:tcW w:w="1573" w:type="dxa"/>
            <w:tcMar>
              <w:top w:w="170" w:type="dxa"/>
              <w:left w:w="113" w:type="dxa"/>
              <w:bottom w:w="170" w:type="dxa"/>
              <w:right w:w="113" w:type="dxa"/>
            </w:tcMar>
          </w:tcPr>
          <w:p w14:paraId="797BADF8" w14:textId="77777777" w:rsidR="00EC25DE" w:rsidRDefault="00EC25DE">
            <w:pPr>
              <w:pStyle w:val="TABLETEXT"/>
            </w:pPr>
            <w:r>
              <w:t>ALGA</w:t>
            </w:r>
          </w:p>
        </w:tc>
        <w:tc>
          <w:tcPr>
            <w:tcW w:w="893" w:type="dxa"/>
            <w:tcMar>
              <w:top w:w="170" w:type="dxa"/>
              <w:left w:w="113" w:type="dxa"/>
              <w:bottom w:w="170" w:type="dxa"/>
              <w:right w:w="113" w:type="dxa"/>
            </w:tcMar>
          </w:tcPr>
          <w:p w14:paraId="18CDF523" w14:textId="77777777" w:rsidR="00EC25DE" w:rsidRDefault="00EC25DE">
            <w:pPr>
              <w:pStyle w:val="TABLETEXT"/>
            </w:pPr>
            <w:r>
              <w:t>2023</w:t>
            </w:r>
          </w:p>
        </w:tc>
      </w:tr>
      <w:tr w:rsidR="00EC25DE" w14:paraId="61DF0D0C" w14:textId="77777777" w:rsidTr="00424906">
        <w:trPr>
          <w:trHeight w:val="692"/>
        </w:trPr>
        <w:tc>
          <w:tcPr>
            <w:tcW w:w="4661" w:type="dxa"/>
            <w:tcMar>
              <w:top w:w="170" w:type="dxa"/>
              <w:left w:w="113" w:type="dxa"/>
              <w:bottom w:w="170" w:type="dxa"/>
              <w:right w:w="113" w:type="dxa"/>
            </w:tcMar>
          </w:tcPr>
          <w:p w14:paraId="6FC1D1F3" w14:textId="77777777" w:rsidR="00EC25DE" w:rsidRDefault="00EC25DE">
            <w:pPr>
              <w:pStyle w:val="TABLETEXT"/>
              <w:ind w:left="397" w:hanging="397"/>
            </w:pPr>
            <w:r>
              <w:t>6.5</w:t>
            </w:r>
            <w:r>
              <w:tab/>
              <w:t>Support the Fight Food Waste Cooperative Research Centre to undertake a range of research and activities to reduce food waste in the supply chain, transform unavoidable waste into co-products and influence behavioural change in businesses and households</w:t>
            </w:r>
          </w:p>
        </w:tc>
        <w:tc>
          <w:tcPr>
            <w:tcW w:w="2002" w:type="dxa"/>
            <w:tcMar>
              <w:top w:w="170" w:type="dxa"/>
              <w:left w:w="113" w:type="dxa"/>
              <w:bottom w:w="170" w:type="dxa"/>
              <w:right w:w="113" w:type="dxa"/>
            </w:tcMar>
          </w:tcPr>
          <w:p w14:paraId="79A0498A" w14:textId="77777777" w:rsidR="00EC25DE" w:rsidRDefault="00EC25DE">
            <w:pPr>
              <w:pStyle w:val="TABLETEXT"/>
            </w:pPr>
            <w:r>
              <w:t>Australian Government</w:t>
            </w:r>
          </w:p>
        </w:tc>
        <w:tc>
          <w:tcPr>
            <w:tcW w:w="1573" w:type="dxa"/>
            <w:tcMar>
              <w:top w:w="170" w:type="dxa"/>
              <w:left w:w="113" w:type="dxa"/>
              <w:bottom w:w="170" w:type="dxa"/>
              <w:right w:w="113" w:type="dxa"/>
            </w:tcMar>
          </w:tcPr>
          <w:p w14:paraId="1532337D" w14:textId="77777777" w:rsidR="00EC25DE" w:rsidRDefault="00EC25DE">
            <w:pPr>
              <w:pStyle w:val="TABLETEXT"/>
            </w:pPr>
            <w:r>
              <w:t>Industry and Research contributors</w:t>
            </w:r>
          </w:p>
        </w:tc>
        <w:tc>
          <w:tcPr>
            <w:tcW w:w="893" w:type="dxa"/>
            <w:tcMar>
              <w:top w:w="170" w:type="dxa"/>
              <w:left w:w="113" w:type="dxa"/>
              <w:bottom w:w="170" w:type="dxa"/>
              <w:right w:w="113" w:type="dxa"/>
            </w:tcMar>
          </w:tcPr>
          <w:p w14:paraId="41EDFBBB" w14:textId="77777777" w:rsidR="00EC25DE" w:rsidRDefault="00EC25DE">
            <w:pPr>
              <w:pStyle w:val="TABLETEXT"/>
            </w:pPr>
            <w:r>
              <w:t>2028</w:t>
            </w:r>
          </w:p>
        </w:tc>
      </w:tr>
    </w:tbl>
    <w:p w14:paraId="45047693" w14:textId="77777777" w:rsidR="00EC25DE" w:rsidRDefault="00EC25DE" w:rsidP="00EC25DE">
      <w:pPr>
        <w:pStyle w:val="Text"/>
      </w:pPr>
    </w:p>
    <w:p w14:paraId="5745D0D9" w14:textId="77777777" w:rsidR="00EC25DE" w:rsidRDefault="00EC25DE" w:rsidP="00EC25DE">
      <w:pPr>
        <w:pStyle w:val="Text"/>
      </w:pPr>
    </w:p>
    <w:p w14:paraId="2C6A00CE" w14:textId="4B101991" w:rsidR="00E02E51" w:rsidRDefault="00E02E51">
      <w:pPr>
        <w:rPr>
          <w:rFonts w:ascii="Calibri" w:hAnsi="Calibri" w:cs="Calibri"/>
          <w:color w:val="000000"/>
          <w:sz w:val="18"/>
          <w:szCs w:val="18"/>
          <w:lang w:val="en-GB"/>
        </w:rPr>
      </w:pPr>
      <w:r>
        <w:br w:type="page"/>
      </w:r>
    </w:p>
    <w:p w14:paraId="6B8408FA" w14:textId="2651C967" w:rsidR="00EC25DE" w:rsidRPr="00454715" w:rsidRDefault="00EC25DE" w:rsidP="00454715">
      <w:pPr>
        <w:pStyle w:val="Heading2"/>
      </w:pPr>
      <w:bookmarkStart w:id="9" w:name="_Toc24118133"/>
      <w:r w:rsidRPr="00454715">
        <w:lastRenderedPageBreak/>
        <w:t>Target 7: Make comprehensive, economy-wide and timely data publicly available to support better consumer, investment and policy decisions</w:t>
      </w:r>
      <w:bookmarkEnd w:id="9"/>
      <w:r w:rsidRPr="00454715">
        <w:t xml:space="preserve"> </w:t>
      </w:r>
    </w:p>
    <w:p w14:paraId="06593D70" w14:textId="77777777" w:rsidR="00E02E51" w:rsidRDefault="00E02E51" w:rsidP="00EC25DE">
      <w:pPr>
        <w:pStyle w:val="Text"/>
        <w:spacing w:after="198"/>
        <w:rPr>
          <w:sz w:val="22"/>
          <w:szCs w:val="22"/>
        </w:rPr>
      </w:pPr>
    </w:p>
    <w:p w14:paraId="0CBA2447" w14:textId="57BCF03D" w:rsidR="00EC25DE" w:rsidRDefault="00EC25DE" w:rsidP="00EC25DE">
      <w:pPr>
        <w:pStyle w:val="Text"/>
        <w:spacing w:after="198"/>
        <w:rPr>
          <w:sz w:val="22"/>
          <w:szCs w:val="22"/>
        </w:rPr>
      </w:pPr>
      <w:r>
        <w:rPr>
          <w:sz w:val="22"/>
          <w:szCs w:val="22"/>
        </w:rPr>
        <w:t>We need the best possible information for effective decision-making by governments, businesses and consumers. Australia has improved the availability of high quality waste and recycling information but more current and detailed information, shared by governments and industry, would support better decision-making.</w:t>
      </w:r>
    </w:p>
    <w:p w14:paraId="5C0E7C94" w14:textId="77777777" w:rsidR="00EC25DE" w:rsidRDefault="00EC25DE" w:rsidP="00EC25DE">
      <w:pPr>
        <w:pStyle w:val="Text"/>
        <w:spacing w:after="198"/>
        <w:rPr>
          <w:sz w:val="22"/>
          <w:szCs w:val="22"/>
        </w:rPr>
      </w:pPr>
      <w:r>
        <w:rPr>
          <w:sz w:val="22"/>
          <w:szCs w:val="22"/>
        </w:rPr>
        <w:t>Data collection and reporting on the flow of materials through the waste system, including disposal and recycling rates, can be enhanced by bringing together existing data, producing more detailed analysis and reducing the amount of time before data is released.</w:t>
      </w:r>
    </w:p>
    <w:p w14:paraId="2784CEF4" w14:textId="346D5E8F" w:rsidR="00EC25DE" w:rsidRPr="00424906" w:rsidRDefault="00EC25DE" w:rsidP="00424906">
      <w:pPr>
        <w:pStyle w:val="Text"/>
        <w:spacing w:after="198"/>
        <w:rPr>
          <w:sz w:val="22"/>
          <w:szCs w:val="22"/>
        </w:rPr>
      </w:pPr>
      <w:r>
        <w:rPr>
          <w:sz w:val="22"/>
          <w:szCs w:val="22"/>
        </w:rPr>
        <w:t xml:space="preserve">Providing high quality data and reporting, as well as investing in market development and research, will help business and government better manage waste. </w:t>
      </w:r>
    </w:p>
    <w:tbl>
      <w:tblPr>
        <w:tblW w:w="0" w:type="auto"/>
        <w:tblInd w:w="-8" w:type="dxa"/>
        <w:tblBorders>
          <w:top w:val="dotted" w:sz="8" w:space="0" w:color="414D59"/>
          <w:bottom w:val="dotted" w:sz="8" w:space="0" w:color="414D59"/>
          <w:insideH w:val="dotted" w:sz="8" w:space="0" w:color="414D59"/>
        </w:tblBorders>
        <w:tblLayout w:type="fixed"/>
        <w:tblCellMar>
          <w:left w:w="0" w:type="dxa"/>
          <w:right w:w="0" w:type="dxa"/>
        </w:tblCellMar>
        <w:tblLook w:val="0000" w:firstRow="0" w:lastRow="0" w:firstColumn="0" w:lastColumn="0" w:noHBand="0" w:noVBand="0"/>
      </w:tblPr>
      <w:tblGrid>
        <w:gridCol w:w="4573"/>
        <w:gridCol w:w="1748"/>
        <w:gridCol w:w="2070"/>
        <w:gridCol w:w="1041"/>
      </w:tblGrid>
      <w:tr w:rsidR="00EC25DE" w14:paraId="49E57AD9" w14:textId="77777777" w:rsidTr="00424906">
        <w:trPr>
          <w:trHeight w:val="365"/>
          <w:tblHeader/>
        </w:trPr>
        <w:tc>
          <w:tcPr>
            <w:tcW w:w="4573" w:type="dxa"/>
            <w:shd w:val="solid" w:color="414D59" w:fill="auto"/>
            <w:tcMar>
              <w:top w:w="57" w:type="dxa"/>
              <w:left w:w="57" w:type="dxa"/>
              <w:bottom w:w="57" w:type="dxa"/>
              <w:right w:w="57" w:type="dxa"/>
            </w:tcMar>
          </w:tcPr>
          <w:p w14:paraId="2D04249C" w14:textId="77777777" w:rsidR="00EC25DE" w:rsidRPr="00EC25DE" w:rsidRDefault="00EC25DE">
            <w:pPr>
              <w:pStyle w:val="TABLETEXT"/>
              <w:rPr>
                <w:color w:val="FFFFFF" w:themeColor="background1"/>
              </w:rPr>
            </w:pPr>
            <w:r w:rsidRPr="00EC25DE">
              <w:rPr>
                <w:b/>
                <w:bCs/>
                <w:color w:val="FFFFFF" w:themeColor="background1"/>
                <w14:textOutline w14:w="9525" w14:cap="flat" w14:cmpd="sng" w14:algn="ctr">
                  <w14:noFill/>
                  <w14:prstDash w14:val="solid"/>
                  <w14:round/>
                </w14:textOutline>
              </w:rPr>
              <w:t>Action</w:t>
            </w:r>
          </w:p>
        </w:tc>
        <w:tc>
          <w:tcPr>
            <w:tcW w:w="1748" w:type="dxa"/>
            <w:shd w:val="solid" w:color="414D59" w:fill="auto"/>
            <w:tcMar>
              <w:top w:w="57" w:type="dxa"/>
              <w:left w:w="57" w:type="dxa"/>
              <w:bottom w:w="57" w:type="dxa"/>
              <w:right w:w="57" w:type="dxa"/>
            </w:tcMar>
          </w:tcPr>
          <w:p w14:paraId="12FD3078" w14:textId="77777777" w:rsidR="00EC25DE" w:rsidRPr="00EC25DE" w:rsidRDefault="00EC25DE">
            <w:pPr>
              <w:pStyle w:val="TABLETEXT"/>
              <w:rPr>
                <w:color w:val="FFFFFF" w:themeColor="background1"/>
              </w:rPr>
            </w:pPr>
            <w:r w:rsidRPr="00EC25DE">
              <w:rPr>
                <w:b/>
                <w:bCs/>
                <w:color w:val="FFFFFF" w:themeColor="background1"/>
                <w14:textOutline w14:w="9525" w14:cap="flat" w14:cmpd="sng" w14:algn="ctr">
                  <w14:noFill/>
                  <w14:prstDash w14:val="solid"/>
                  <w14:round/>
                </w14:textOutline>
              </w:rPr>
              <w:t>Lead</w:t>
            </w:r>
          </w:p>
        </w:tc>
        <w:tc>
          <w:tcPr>
            <w:tcW w:w="2070" w:type="dxa"/>
            <w:shd w:val="solid" w:color="414D59" w:fill="auto"/>
            <w:tcMar>
              <w:top w:w="57" w:type="dxa"/>
              <w:left w:w="57" w:type="dxa"/>
              <w:bottom w:w="57" w:type="dxa"/>
              <w:right w:w="57" w:type="dxa"/>
            </w:tcMar>
          </w:tcPr>
          <w:p w14:paraId="16391D20" w14:textId="77777777" w:rsidR="00EC25DE" w:rsidRPr="00EC25DE" w:rsidRDefault="00EC25DE">
            <w:pPr>
              <w:pStyle w:val="TABLETEXT"/>
              <w:rPr>
                <w:color w:val="FFFFFF" w:themeColor="background1"/>
              </w:rPr>
            </w:pPr>
            <w:r w:rsidRPr="00EC25DE">
              <w:rPr>
                <w:b/>
                <w:bCs/>
                <w:color w:val="FFFFFF" w:themeColor="background1"/>
                <w14:textOutline w14:w="9525" w14:cap="flat" w14:cmpd="sng" w14:algn="ctr">
                  <w14:noFill/>
                  <w14:prstDash w14:val="solid"/>
                  <w14:round/>
                </w14:textOutline>
              </w:rPr>
              <w:t>Partners</w:t>
            </w:r>
          </w:p>
        </w:tc>
        <w:tc>
          <w:tcPr>
            <w:tcW w:w="1041" w:type="dxa"/>
            <w:shd w:val="solid" w:color="414D59" w:fill="auto"/>
            <w:tcMar>
              <w:top w:w="57" w:type="dxa"/>
              <w:left w:w="57" w:type="dxa"/>
              <w:bottom w:w="57" w:type="dxa"/>
              <w:right w:w="57" w:type="dxa"/>
            </w:tcMar>
          </w:tcPr>
          <w:p w14:paraId="281F0A93" w14:textId="77777777" w:rsidR="00EC25DE" w:rsidRPr="00EC25DE" w:rsidRDefault="00EC25DE">
            <w:pPr>
              <w:pStyle w:val="TABLETEXT"/>
              <w:rPr>
                <w:color w:val="FFFFFF" w:themeColor="background1"/>
              </w:rPr>
            </w:pPr>
            <w:r w:rsidRPr="00EC25DE">
              <w:rPr>
                <w:b/>
                <w:bCs/>
                <w:color w:val="FFFFFF" w:themeColor="background1"/>
                <w14:textOutline w14:w="9525" w14:cap="flat" w14:cmpd="sng" w14:algn="ctr">
                  <w14:noFill/>
                  <w14:prstDash w14:val="solid"/>
                  <w14:round/>
                </w14:textOutline>
              </w:rPr>
              <w:t>By</w:t>
            </w:r>
          </w:p>
        </w:tc>
      </w:tr>
      <w:tr w:rsidR="00EC25DE" w14:paraId="189EB7E2" w14:textId="77777777" w:rsidTr="00424906">
        <w:trPr>
          <w:trHeight w:val="365"/>
        </w:trPr>
        <w:tc>
          <w:tcPr>
            <w:tcW w:w="4573" w:type="dxa"/>
            <w:shd w:val="clear" w:color="414D59" w:fill="7F7F7F" w:themeFill="text1" w:themeFillTint="80"/>
            <w:tcMar>
              <w:top w:w="57" w:type="dxa"/>
              <w:left w:w="57" w:type="dxa"/>
              <w:bottom w:w="57" w:type="dxa"/>
              <w:right w:w="57" w:type="dxa"/>
            </w:tcMar>
          </w:tcPr>
          <w:p w14:paraId="03A6C1AF" w14:textId="77777777" w:rsidR="00EC25DE" w:rsidRPr="00673CF5" w:rsidRDefault="00EC25DE">
            <w:pPr>
              <w:pStyle w:val="TABLETEXT"/>
              <w:rPr>
                <w:color w:val="000000" w:themeColor="text1"/>
              </w:rPr>
            </w:pPr>
            <w:r w:rsidRPr="00673CF5">
              <w:rPr>
                <w:b/>
                <w:bCs/>
                <w:color w:val="000000" w:themeColor="text1"/>
                <w14:textOutline w14:w="9525" w14:cap="flat" w14:cmpd="sng" w14:algn="ctr">
                  <w14:noFill/>
                  <w14:prstDash w14:val="solid"/>
                  <w14:round/>
                </w14:textOutline>
              </w:rPr>
              <w:t xml:space="preserve">Data and Reporting </w:t>
            </w:r>
          </w:p>
        </w:tc>
        <w:tc>
          <w:tcPr>
            <w:tcW w:w="1748" w:type="dxa"/>
            <w:shd w:val="clear" w:color="414D59" w:fill="7F7F7F" w:themeFill="text1" w:themeFillTint="80"/>
            <w:tcMar>
              <w:top w:w="57" w:type="dxa"/>
              <w:left w:w="57" w:type="dxa"/>
              <w:bottom w:w="57" w:type="dxa"/>
              <w:right w:w="57" w:type="dxa"/>
            </w:tcMar>
          </w:tcPr>
          <w:p w14:paraId="2F610ACD" w14:textId="77777777" w:rsidR="00EC25DE" w:rsidRPr="00EC25DE" w:rsidRDefault="00EC25DE">
            <w:pPr>
              <w:pStyle w:val="NoParagraphStyle"/>
              <w:spacing w:line="240" w:lineRule="auto"/>
              <w:textAlignment w:val="auto"/>
              <w:rPr>
                <w:rFonts w:ascii="Calibri" w:hAnsi="Calibri" w:cs="Calibri"/>
                <w:color w:val="FFFFFF" w:themeColor="background1"/>
              </w:rPr>
            </w:pPr>
          </w:p>
        </w:tc>
        <w:tc>
          <w:tcPr>
            <w:tcW w:w="2070" w:type="dxa"/>
            <w:shd w:val="clear" w:color="414D59" w:fill="7F7F7F" w:themeFill="text1" w:themeFillTint="80"/>
            <w:tcMar>
              <w:top w:w="57" w:type="dxa"/>
              <w:left w:w="57" w:type="dxa"/>
              <w:bottom w:w="57" w:type="dxa"/>
              <w:right w:w="57" w:type="dxa"/>
            </w:tcMar>
          </w:tcPr>
          <w:p w14:paraId="38E8251A" w14:textId="77777777" w:rsidR="00EC25DE" w:rsidRPr="00EC25DE" w:rsidRDefault="00EC25DE">
            <w:pPr>
              <w:pStyle w:val="NoParagraphStyle"/>
              <w:spacing w:line="240" w:lineRule="auto"/>
              <w:textAlignment w:val="auto"/>
              <w:rPr>
                <w:rFonts w:ascii="Calibri" w:hAnsi="Calibri" w:cs="Calibri"/>
                <w:color w:val="FFFFFF" w:themeColor="background1"/>
              </w:rPr>
            </w:pPr>
          </w:p>
        </w:tc>
        <w:tc>
          <w:tcPr>
            <w:tcW w:w="1041" w:type="dxa"/>
            <w:shd w:val="clear" w:color="414D59" w:fill="7F7F7F" w:themeFill="text1" w:themeFillTint="80"/>
            <w:tcMar>
              <w:top w:w="57" w:type="dxa"/>
              <w:left w:w="57" w:type="dxa"/>
              <w:bottom w:w="57" w:type="dxa"/>
              <w:right w:w="57" w:type="dxa"/>
            </w:tcMar>
          </w:tcPr>
          <w:p w14:paraId="3CE42CFD" w14:textId="77777777" w:rsidR="00EC25DE" w:rsidRPr="00EC25DE" w:rsidRDefault="00EC25DE">
            <w:pPr>
              <w:pStyle w:val="NoParagraphStyle"/>
              <w:spacing w:line="240" w:lineRule="auto"/>
              <w:textAlignment w:val="auto"/>
              <w:rPr>
                <w:rFonts w:ascii="Calibri" w:hAnsi="Calibri" w:cs="Calibri"/>
                <w:color w:val="FFFFFF" w:themeColor="background1"/>
              </w:rPr>
            </w:pPr>
          </w:p>
        </w:tc>
      </w:tr>
      <w:tr w:rsidR="00EC25DE" w14:paraId="1FB5E874" w14:textId="77777777" w:rsidTr="00424906">
        <w:trPr>
          <w:trHeight w:val="365"/>
        </w:trPr>
        <w:tc>
          <w:tcPr>
            <w:tcW w:w="4573" w:type="dxa"/>
            <w:shd w:val="clear" w:color="414D59" w:fill="A6A6A6" w:themeFill="background1" w:themeFillShade="A6"/>
            <w:tcMar>
              <w:top w:w="57" w:type="dxa"/>
              <w:left w:w="57" w:type="dxa"/>
              <w:bottom w:w="57" w:type="dxa"/>
              <w:right w:w="57" w:type="dxa"/>
            </w:tcMar>
          </w:tcPr>
          <w:p w14:paraId="1C012801" w14:textId="77777777" w:rsidR="00EC25DE" w:rsidRPr="00673CF5" w:rsidRDefault="00EC25DE">
            <w:pPr>
              <w:pStyle w:val="TABLETEXT"/>
              <w:rPr>
                <w:color w:val="000000" w:themeColor="text1"/>
              </w:rPr>
            </w:pPr>
            <w:r w:rsidRPr="00673CF5">
              <w:rPr>
                <w:b/>
                <w:bCs/>
                <w:color w:val="000000" w:themeColor="text1"/>
              </w:rPr>
              <w:t xml:space="preserve"> Improve waste data collection</w:t>
            </w:r>
          </w:p>
        </w:tc>
        <w:tc>
          <w:tcPr>
            <w:tcW w:w="1748" w:type="dxa"/>
            <w:shd w:val="clear" w:color="414D59" w:fill="A6A6A6" w:themeFill="background1" w:themeFillShade="A6"/>
            <w:tcMar>
              <w:top w:w="57" w:type="dxa"/>
              <w:left w:w="57" w:type="dxa"/>
              <w:bottom w:w="57" w:type="dxa"/>
              <w:right w:w="57" w:type="dxa"/>
            </w:tcMar>
          </w:tcPr>
          <w:p w14:paraId="73686C1A" w14:textId="77777777" w:rsidR="00EC25DE" w:rsidRPr="00EC25DE" w:rsidRDefault="00EC25DE">
            <w:pPr>
              <w:pStyle w:val="NoParagraphStyle"/>
              <w:spacing w:line="240" w:lineRule="auto"/>
              <w:textAlignment w:val="auto"/>
              <w:rPr>
                <w:rFonts w:ascii="Calibri" w:hAnsi="Calibri" w:cs="Calibri"/>
                <w:color w:val="FFFFFF" w:themeColor="background1"/>
              </w:rPr>
            </w:pPr>
          </w:p>
        </w:tc>
        <w:tc>
          <w:tcPr>
            <w:tcW w:w="2070" w:type="dxa"/>
            <w:shd w:val="clear" w:color="414D59" w:fill="A6A6A6" w:themeFill="background1" w:themeFillShade="A6"/>
            <w:tcMar>
              <w:top w:w="57" w:type="dxa"/>
              <w:left w:w="57" w:type="dxa"/>
              <w:bottom w:w="57" w:type="dxa"/>
              <w:right w:w="57" w:type="dxa"/>
            </w:tcMar>
          </w:tcPr>
          <w:p w14:paraId="08081510" w14:textId="77777777" w:rsidR="00EC25DE" w:rsidRPr="00EC25DE" w:rsidRDefault="00EC25DE">
            <w:pPr>
              <w:pStyle w:val="NoParagraphStyle"/>
              <w:spacing w:line="240" w:lineRule="auto"/>
              <w:textAlignment w:val="auto"/>
              <w:rPr>
                <w:rFonts w:ascii="Calibri" w:hAnsi="Calibri" w:cs="Calibri"/>
                <w:color w:val="FFFFFF" w:themeColor="background1"/>
              </w:rPr>
            </w:pPr>
          </w:p>
        </w:tc>
        <w:tc>
          <w:tcPr>
            <w:tcW w:w="1041" w:type="dxa"/>
            <w:shd w:val="clear" w:color="414D59" w:fill="A6A6A6" w:themeFill="background1" w:themeFillShade="A6"/>
            <w:tcMar>
              <w:top w:w="57" w:type="dxa"/>
              <w:left w:w="57" w:type="dxa"/>
              <w:bottom w:w="57" w:type="dxa"/>
              <w:right w:w="57" w:type="dxa"/>
            </w:tcMar>
          </w:tcPr>
          <w:p w14:paraId="391CC4C7" w14:textId="77777777" w:rsidR="00EC25DE" w:rsidRPr="00EC25DE" w:rsidRDefault="00EC25DE">
            <w:pPr>
              <w:pStyle w:val="NoParagraphStyle"/>
              <w:spacing w:line="240" w:lineRule="auto"/>
              <w:textAlignment w:val="auto"/>
              <w:rPr>
                <w:rFonts w:ascii="Calibri" w:hAnsi="Calibri" w:cs="Calibri"/>
                <w:color w:val="FFFFFF" w:themeColor="background1"/>
              </w:rPr>
            </w:pPr>
          </w:p>
        </w:tc>
      </w:tr>
      <w:tr w:rsidR="00EC25DE" w14:paraId="26C86F19" w14:textId="77777777" w:rsidTr="00424906">
        <w:trPr>
          <w:trHeight w:val="365"/>
        </w:trPr>
        <w:tc>
          <w:tcPr>
            <w:tcW w:w="4573" w:type="dxa"/>
            <w:tcMar>
              <w:top w:w="57" w:type="dxa"/>
              <w:left w:w="57" w:type="dxa"/>
              <w:bottom w:w="57" w:type="dxa"/>
              <w:right w:w="57" w:type="dxa"/>
            </w:tcMar>
          </w:tcPr>
          <w:p w14:paraId="20A35BAC" w14:textId="77777777" w:rsidR="00EC25DE" w:rsidRDefault="00EC25DE">
            <w:pPr>
              <w:pStyle w:val="TABLETEXT"/>
              <w:ind w:left="397" w:hanging="397"/>
            </w:pPr>
            <w:r>
              <w:t xml:space="preserve">7.1 </w:t>
            </w:r>
            <w:r>
              <w:tab/>
              <w:t xml:space="preserve">Establish a new National Waste Account to provide more detailed information on Australian waste and recycling markets </w:t>
            </w:r>
          </w:p>
        </w:tc>
        <w:tc>
          <w:tcPr>
            <w:tcW w:w="1748" w:type="dxa"/>
            <w:tcMar>
              <w:top w:w="57" w:type="dxa"/>
              <w:left w:w="57" w:type="dxa"/>
              <w:bottom w:w="57" w:type="dxa"/>
              <w:right w:w="57" w:type="dxa"/>
            </w:tcMar>
          </w:tcPr>
          <w:p w14:paraId="36008B6F" w14:textId="77777777" w:rsidR="00EC25DE" w:rsidRDefault="00EC25DE">
            <w:pPr>
              <w:pStyle w:val="TABLETEXT"/>
            </w:pPr>
            <w:r>
              <w:t>Australian Government</w:t>
            </w:r>
          </w:p>
        </w:tc>
        <w:tc>
          <w:tcPr>
            <w:tcW w:w="2070" w:type="dxa"/>
            <w:tcMar>
              <w:top w:w="57" w:type="dxa"/>
              <w:left w:w="57" w:type="dxa"/>
              <w:bottom w:w="57" w:type="dxa"/>
              <w:right w:w="57" w:type="dxa"/>
            </w:tcMar>
          </w:tcPr>
          <w:p w14:paraId="4DF1F2C5" w14:textId="77777777" w:rsidR="00EC25DE" w:rsidRDefault="00EC25DE">
            <w:pPr>
              <w:pStyle w:val="NoParagraphStyle"/>
              <w:spacing w:line="240" w:lineRule="auto"/>
              <w:textAlignment w:val="auto"/>
              <w:rPr>
                <w:rFonts w:ascii="Calibri" w:hAnsi="Calibri" w:cs="Calibri"/>
                <w:color w:val="auto"/>
              </w:rPr>
            </w:pPr>
          </w:p>
        </w:tc>
        <w:tc>
          <w:tcPr>
            <w:tcW w:w="1041" w:type="dxa"/>
            <w:tcMar>
              <w:top w:w="57" w:type="dxa"/>
              <w:left w:w="57" w:type="dxa"/>
              <w:bottom w:w="57" w:type="dxa"/>
              <w:right w:w="57" w:type="dxa"/>
            </w:tcMar>
          </w:tcPr>
          <w:p w14:paraId="55FB5A6A" w14:textId="77777777" w:rsidR="00EC25DE" w:rsidRDefault="00EC25DE">
            <w:pPr>
              <w:pStyle w:val="TABLETEXT"/>
            </w:pPr>
            <w:r>
              <w:t>2020</w:t>
            </w:r>
          </w:p>
        </w:tc>
      </w:tr>
      <w:tr w:rsidR="00EC25DE" w14:paraId="51B68081" w14:textId="77777777" w:rsidTr="00424906">
        <w:trPr>
          <w:trHeight w:val="365"/>
        </w:trPr>
        <w:tc>
          <w:tcPr>
            <w:tcW w:w="4573" w:type="dxa"/>
            <w:tcMar>
              <w:top w:w="57" w:type="dxa"/>
              <w:left w:w="57" w:type="dxa"/>
              <w:bottom w:w="57" w:type="dxa"/>
              <w:right w:w="57" w:type="dxa"/>
            </w:tcMar>
          </w:tcPr>
          <w:p w14:paraId="725ADCB5" w14:textId="77777777" w:rsidR="00EC25DE" w:rsidRDefault="00EC25DE">
            <w:pPr>
              <w:pStyle w:val="TABLETEXT"/>
              <w:ind w:left="397" w:hanging="397"/>
            </w:pPr>
            <w:r>
              <w:t xml:space="preserve">7.2 </w:t>
            </w:r>
            <w:r>
              <w:tab/>
              <w:t>Implement agreed national data and reporting improvements, harmonised data classifications and definitions for reporting, and sharing arrangements across jurisdictions</w:t>
            </w:r>
          </w:p>
        </w:tc>
        <w:tc>
          <w:tcPr>
            <w:tcW w:w="1748" w:type="dxa"/>
            <w:tcMar>
              <w:top w:w="57" w:type="dxa"/>
              <w:left w:w="57" w:type="dxa"/>
              <w:bottom w:w="57" w:type="dxa"/>
              <w:right w:w="57" w:type="dxa"/>
            </w:tcMar>
          </w:tcPr>
          <w:p w14:paraId="22D208A9" w14:textId="77777777" w:rsidR="00EC25DE" w:rsidRDefault="00EC25DE">
            <w:pPr>
              <w:pStyle w:val="TABLETEXT"/>
            </w:pPr>
            <w:r>
              <w:t xml:space="preserve"> Australian Government</w:t>
            </w:r>
          </w:p>
        </w:tc>
        <w:tc>
          <w:tcPr>
            <w:tcW w:w="2070" w:type="dxa"/>
            <w:tcMar>
              <w:top w:w="57" w:type="dxa"/>
              <w:left w:w="57" w:type="dxa"/>
              <w:bottom w:w="57" w:type="dxa"/>
              <w:right w:w="57" w:type="dxa"/>
            </w:tcMar>
          </w:tcPr>
          <w:p w14:paraId="6EA30D70" w14:textId="77777777" w:rsidR="00EC25DE" w:rsidRDefault="00EC25DE">
            <w:pPr>
              <w:pStyle w:val="TABLETEXT"/>
            </w:pPr>
            <w:r>
              <w:t>State and territory governments</w:t>
            </w:r>
          </w:p>
        </w:tc>
        <w:tc>
          <w:tcPr>
            <w:tcW w:w="1041" w:type="dxa"/>
            <w:tcMar>
              <w:top w:w="57" w:type="dxa"/>
              <w:left w:w="57" w:type="dxa"/>
              <w:bottom w:w="57" w:type="dxa"/>
              <w:right w:w="57" w:type="dxa"/>
            </w:tcMar>
          </w:tcPr>
          <w:p w14:paraId="00477DEC" w14:textId="77777777" w:rsidR="00EC25DE" w:rsidRDefault="00EC25DE">
            <w:pPr>
              <w:pStyle w:val="TABLETEXT"/>
            </w:pPr>
            <w:r>
              <w:t>2022</w:t>
            </w:r>
          </w:p>
        </w:tc>
      </w:tr>
      <w:tr w:rsidR="00EC25DE" w14:paraId="0688DC13" w14:textId="77777777" w:rsidTr="00424906">
        <w:trPr>
          <w:trHeight w:val="365"/>
        </w:trPr>
        <w:tc>
          <w:tcPr>
            <w:tcW w:w="4573" w:type="dxa"/>
            <w:shd w:val="clear" w:color="414D59" w:fill="A6A6A6" w:themeFill="background1" w:themeFillShade="A6"/>
            <w:tcMar>
              <w:top w:w="57" w:type="dxa"/>
              <w:left w:w="57" w:type="dxa"/>
              <w:bottom w:w="57" w:type="dxa"/>
              <w:right w:w="57" w:type="dxa"/>
            </w:tcMar>
          </w:tcPr>
          <w:p w14:paraId="616CB06D" w14:textId="77777777" w:rsidR="00EC25DE" w:rsidRPr="00673CF5" w:rsidRDefault="00EC25DE">
            <w:pPr>
              <w:pStyle w:val="TABLETEXT"/>
              <w:ind w:left="397" w:hanging="397"/>
              <w:rPr>
                <w:color w:val="000000" w:themeColor="text1"/>
              </w:rPr>
            </w:pPr>
            <w:r w:rsidRPr="00673CF5">
              <w:rPr>
                <w:b/>
                <w:bCs/>
                <w:color w:val="000000" w:themeColor="text1"/>
              </w:rPr>
              <w:t xml:space="preserve"> Share information</w:t>
            </w:r>
          </w:p>
        </w:tc>
        <w:tc>
          <w:tcPr>
            <w:tcW w:w="1748" w:type="dxa"/>
            <w:shd w:val="clear" w:color="414D59" w:fill="A6A6A6" w:themeFill="background1" w:themeFillShade="A6"/>
            <w:tcMar>
              <w:top w:w="57" w:type="dxa"/>
              <w:left w:w="57" w:type="dxa"/>
              <w:bottom w:w="57" w:type="dxa"/>
              <w:right w:w="57" w:type="dxa"/>
            </w:tcMar>
          </w:tcPr>
          <w:p w14:paraId="21B92C7A" w14:textId="77777777" w:rsidR="00EC25DE" w:rsidRDefault="00EC25DE">
            <w:pPr>
              <w:pStyle w:val="NoParagraphStyle"/>
              <w:spacing w:line="240" w:lineRule="auto"/>
              <w:textAlignment w:val="auto"/>
              <w:rPr>
                <w:rFonts w:ascii="Calibri" w:hAnsi="Calibri" w:cs="Calibri"/>
                <w:color w:val="auto"/>
              </w:rPr>
            </w:pPr>
          </w:p>
        </w:tc>
        <w:tc>
          <w:tcPr>
            <w:tcW w:w="2070" w:type="dxa"/>
            <w:shd w:val="clear" w:color="414D59" w:fill="A6A6A6" w:themeFill="background1" w:themeFillShade="A6"/>
            <w:tcMar>
              <w:top w:w="57" w:type="dxa"/>
              <w:left w:w="57" w:type="dxa"/>
              <w:bottom w:w="57" w:type="dxa"/>
              <w:right w:w="57" w:type="dxa"/>
            </w:tcMar>
          </w:tcPr>
          <w:p w14:paraId="57EC06DB" w14:textId="77777777" w:rsidR="00EC25DE" w:rsidRDefault="00EC25DE">
            <w:pPr>
              <w:pStyle w:val="NoParagraphStyle"/>
              <w:spacing w:line="240" w:lineRule="auto"/>
              <w:textAlignment w:val="auto"/>
              <w:rPr>
                <w:rFonts w:ascii="Calibri" w:hAnsi="Calibri" w:cs="Calibri"/>
                <w:color w:val="auto"/>
              </w:rPr>
            </w:pPr>
          </w:p>
        </w:tc>
        <w:tc>
          <w:tcPr>
            <w:tcW w:w="1041" w:type="dxa"/>
            <w:shd w:val="clear" w:color="414D59" w:fill="A6A6A6" w:themeFill="background1" w:themeFillShade="A6"/>
            <w:tcMar>
              <w:top w:w="57" w:type="dxa"/>
              <w:left w:w="57" w:type="dxa"/>
              <w:bottom w:w="57" w:type="dxa"/>
              <w:right w:w="57" w:type="dxa"/>
            </w:tcMar>
          </w:tcPr>
          <w:p w14:paraId="14CFE4CA" w14:textId="77777777" w:rsidR="00EC25DE" w:rsidRDefault="00EC25DE">
            <w:pPr>
              <w:pStyle w:val="NoParagraphStyle"/>
              <w:spacing w:line="240" w:lineRule="auto"/>
              <w:textAlignment w:val="auto"/>
              <w:rPr>
                <w:rFonts w:ascii="Calibri" w:hAnsi="Calibri" w:cs="Calibri"/>
                <w:color w:val="auto"/>
              </w:rPr>
            </w:pPr>
          </w:p>
        </w:tc>
      </w:tr>
      <w:tr w:rsidR="00EC25DE" w14:paraId="63123AAF" w14:textId="77777777" w:rsidTr="00424906">
        <w:trPr>
          <w:trHeight w:val="365"/>
        </w:trPr>
        <w:tc>
          <w:tcPr>
            <w:tcW w:w="4573" w:type="dxa"/>
            <w:tcMar>
              <w:top w:w="57" w:type="dxa"/>
              <w:left w:w="57" w:type="dxa"/>
              <w:bottom w:w="57" w:type="dxa"/>
              <w:right w:w="57" w:type="dxa"/>
            </w:tcMar>
          </w:tcPr>
          <w:p w14:paraId="4B6F6B57" w14:textId="77777777" w:rsidR="00EC25DE" w:rsidRDefault="00EC25DE">
            <w:pPr>
              <w:pStyle w:val="TABLETEXT"/>
              <w:ind w:left="397" w:hanging="397"/>
            </w:pPr>
            <w:r>
              <w:t>7.3</w:t>
            </w:r>
            <w:r>
              <w:tab/>
              <w:t>Publish the National Waste Report every two years</w:t>
            </w:r>
          </w:p>
        </w:tc>
        <w:tc>
          <w:tcPr>
            <w:tcW w:w="1748" w:type="dxa"/>
            <w:tcMar>
              <w:top w:w="57" w:type="dxa"/>
              <w:left w:w="57" w:type="dxa"/>
              <w:bottom w:w="57" w:type="dxa"/>
              <w:right w:w="57" w:type="dxa"/>
            </w:tcMar>
          </w:tcPr>
          <w:p w14:paraId="0C75C96B" w14:textId="77777777" w:rsidR="00EC25DE" w:rsidRDefault="00EC25DE">
            <w:pPr>
              <w:pStyle w:val="TABLETEXT"/>
            </w:pPr>
            <w:r>
              <w:t>Australian Government</w:t>
            </w:r>
          </w:p>
        </w:tc>
        <w:tc>
          <w:tcPr>
            <w:tcW w:w="2070" w:type="dxa"/>
            <w:tcMar>
              <w:top w:w="57" w:type="dxa"/>
              <w:left w:w="57" w:type="dxa"/>
              <w:bottom w:w="57" w:type="dxa"/>
              <w:right w:w="57" w:type="dxa"/>
            </w:tcMar>
          </w:tcPr>
          <w:p w14:paraId="1DBCB510" w14:textId="77777777" w:rsidR="00EC25DE" w:rsidRDefault="00EC25DE">
            <w:pPr>
              <w:pStyle w:val="NoParagraphStyle"/>
              <w:spacing w:line="240" w:lineRule="auto"/>
              <w:textAlignment w:val="auto"/>
              <w:rPr>
                <w:rFonts w:ascii="Calibri" w:hAnsi="Calibri" w:cs="Calibri"/>
                <w:color w:val="auto"/>
              </w:rPr>
            </w:pPr>
          </w:p>
        </w:tc>
        <w:tc>
          <w:tcPr>
            <w:tcW w:w="1041" w:type="dxa"/>
            <w:tcMar>
              <w:top w:w="57" w:type="dxa"/>
              <w:left w:w="57" w:type="dxa"/>
              <w:bottom w:w="57" w:type="dxa"/>
              <w:right w:w="57" w:type="dxa"/>
            </w:tcMar>
          </w:tcPr>
          <w:p w14:paraId="6B7ADA36" w14:textId="77777777" w:rsidR="00EC25DE" w:rsidRDefault="00EC25DE">
            <w:pPr>
              <w:pStyle w:val="TABLETEXT"/>
            </w:pPr>
            <w:r>
              <w:t>Ongoing</w:t>
            </w:r>
          </w:p>
        </w:tc>
      </w:tr>
      <w:tr w:rsidR="00EC25DE" w14:paraId="682C90AF" w14:textId="77777777" w:rsidTr="00424906">
        <w:trPr>
          <w:trHeight w:val="365"/>
        </w:trPr>
        <w:tc>
          <w:tcPr>
            <w:tcW w:w="4573" w:type="dxa"/>
            <w:tcMar>
              <w:top w:w="57" w:type="dxa"/>
              <w:left w:w="57" w:type="dxa"/>
              <w:bottom w:w="57" w:type="dxa"/>
              <w:right w:w="57" w:type="dxa"/>
            </w:tcMar>
          </w:tcPr>
          <w:p w14:paraId="4D622929" w14:textId="77777777" w:rsidR="00EC25DE" w:rsidRDefault="00EC25DE">
            <w:pPr>
              <w:pStyle w:val="TABLETEXT"/>
              <w:ind w:left="397" w:hanging="397"/>
            </w:pPr>
            <w:r>
              <w:t xml:space="preserve">7.4 </w:t>
            </w:r>
            <w:r>
              <w:tab/>
              <w:t>Publish monthly international trade data on Australian recycled material exports</w:t>
            </w:r>
          </w:p>
        </w:tc>
        <w:tc>
          <w:tcPr>
            <w:tcW w:w="1748" w:type="dxa"/>
            <w:tcMar>
              <w:top w:w="57" w:type="dxa"/>
              <w:left w:w="57" w:type="dxa"/>
              <w:bottom w:w="57" w:type="dxa"/>
              <w:right w:w="57" w:type="dxa"/>
            </w:tcMar>
          </w:tcPr>
          <w:p w14:paraId="49D1DEB7" w14:textId="77777777" w:rsidR="00EC25DE" w:rsidRDefault="00EC25DE">
            <w:pPr>
              <w:pStyle w:val="TABLETEXT"/>
            </w:pPr>
            <w:r>
              <w:t>Australian Government</w:t>
            </w:r>
          </w:p>
        </w:tc>
        <w:tc>
          <w:tcPr>
            <w:tcW w:w="2070" w:type="dxa"/>
            <w:tcMar>
              <w:top w:w="57" w:type="dxa"/>
              <w:left w:w="57" w:type="dxa"/>
              <w:bottom w:w="57" w:type="dxa"/>
              <w:right w:w="57" w:type="dxa"/>
            </w:tcMar>
          </w:tcPr>
          <w:p w14:paraId="1359DDA3" w14:textId="77777777" w:rsidR="00EC25DE" w:rsidRDefault="00EC25DE">
            <w:pPr>
              <w:pStyle w:val="NoParagraphStyle"/>
              <w:spacing w:line="240" w:lineRule="auto"/>
              <w:textAlignment w:val="auto"/>
              <w:rPr>
                <w:rFonts w:ascii="Calibri" w:hAnsi="Calibri" w:cs="Calibri"/>
                <w:color w:val="auto"/>
              </w:rPr>
            </w:pPr>
          </w:p>
        </w:tc>
        <w:tc>
          <w:tcPr>
            <w:tcW w:w="1041" w:type="dxa"/>
            <w:tcMar>
              <w:top w:w="57" w:type="dxa"/>
              <w:left w:w="57" w:type="dxa"/>
              <w:bottom w:w="57" w:type="dxa"/>
              <w:right w:w="57" w:type="dxa"/>
            </w:tcMar>
          </w:tcPr>
          <w:p w14:paraId="799870CE" w14:textId="77777777" w:rsidR="00EC25DE" w:rsidRDefault="00EC25DE">
            <w:pPr>
              <w:pStyle w:val="TABLETEXT"/>
            </w:pPr>
            <w:r>
              <w:t>Ongoing</w:t>
            </w:r>
          </w:p>
        </w:tc>
      </w:tr>
      <w:tr w:rsidR="00EC25DE" w14:paraId="09E13073" w14:textId="77777777" w:rsidTr="00424906">
        <w:trPr>
          <w:trHeight w:val="365"/>
        </w:trPr>
        <w:tc>
          <w:tcPr>
            <w:tcW w:w="4573" w:type="dxa"/>
            <w:tcMar>
              <w:top w:w="57" w:type="dxa"/>
              <w:left w:w="57" w:type="dxa"/>
              <w:bottom w:w="57" w:type="dxa"/>
              <w:right w:w="57" w:type="dxa"/>
            </w:tcMar>
          </w:tcPr>
          <w:p w14:paraId="10B7818A" w14:textId="77777777" w:rsidR="00EC25DE" w:rsidRDefault="00EC25DE">
            <w:pPr>
              <w:pStyle w:val="TABLETEXT"/>
              <w:ind w:left="397" w:hanging="397"/>
            </w:pPr>
            <w:r>
              <w:t xml:space="preserve">7.5 </w:t>
            </w:r>
            <w:r>
              <w:tab/>
              <w:t>Publish the national Hazardous Waste in Australia report</w:t>
            </w:r>
          </w:p>
        </w:tc>
        <w:tc>
          <w:tcPr>
            <w:tcW w:w="1748" w:type="dxa"/>
            <w:tcMar>
              <w:top w:w="57" w:type="dxa"/>
              <w:left w:w="57" w:type="dxa"/>
              <w:bottom w:w="57" w:type="dxa"/>
              <w:right w:w="57" w:type="dxa"/>
            </w:tcMar>
          </w:tcPr>
          <w:p w14:paraId="6AF13730" w14:textId="77777777" w:rsidR="00EC25DE" w:rsidRDefault="00EC25DE">
            <w:pPr>
              <w:pStyle w:val="TABLETEXT"/>
            </w:pPr>
            <w:r>
              <w:t>Australian Government</w:t>
            </w:r>
          </w:p>
        </w:tc>
        <w:tc>
          <w:tcPr>
            <w:tcW w:w="2070" w:type="dxa"/>
            <w:tcMar>
              <w:top w:w="57" w:type="dxa"/>
              <w:left w:w="57" w:type="dxa"/>
              <w:bottom w:w="57" w:type="dxa"/>
              <w:right w:w="57" w:type="dxa"/>
            </w:tcMar>
          </w:tcPr>
          <w:p w14:paraId="42DF2526" w14:textId="77777777" w:rsidR="00EC25DE" w:rsidRDefault="00EC25DE">
            <w:pPr>
              <w:pStyle w:val="NoParagraphStyle"/>
              <w:spacing w:line="240" w:lineRule="auto"/>
              <w:textAlignment w:val="auto"/>
              <w:rPr>
                <w:rFonts w:ascii="Calibri" w:hAnsi="Calibri" w:cs="Calibri"/>
                <w:color w:val="auto"/>
              </w:rPr>
            </w:pPr>
          </w:p>
        </w:tc>
        <w:tc>
          <w:tcPr>
            <w:tcW w:w="1041" w:type="dxa"/>
            <w:tcMar>
              <w:top w:w="57" w:type="dxa"/>
              <w:left w:w="57" w:type="dxa"/>
              <w:bottom w:w="57" w:type="dxa"/>
              <w:right w:w="57" w:type="dxa"/>
            </w:tcMar>
          </w:tcPr>
          <w:p w14:paraId="05A0EE43" w14:textId="77777777" w:rsidR="00EC25DE" w:rsidRDefault="00EC25DE">
            <w:pPr>
              <w:pStyle w:val="TABLETEXT"/>
            </w:pPr>
            <w:r>
              <w:t>Ongoing</w:t>
            </w:r>
          </w:p>
        </w:tc>
      </w:tr>
      <w:tr w:rsidR="00EC25DE" w14:paraId="3675EBE4" w14:textId="77777777" w:rsidTr="00424906">
        <w:trPr>
          <w:trHeight w:val="365"/>
        </w:trPr>
        <w:tc>
          <w:tcPr>
            <w:tcW w:w="9432" w:type="dxa"/>
            <w:gridSpan w:val="4"/>
            <w:shd w:val="clear" w:color="414D59" w:fill="7F7F7F" w:themeFill="text1" w:themeFillTint="80"/>
            <w:tcMar>
              <w:top w:w="57" w:type="dxa"/>
              <w:left w:w="57" w:type="dxa"/>
              <w:bottom w:w="57" w:type="dxa"/>
              <w:right w:w="57" w:type="dxa"/>
            </w:tcMar>
          </w:tcPr>
          <w:p w14:paraId="1F0C506B" w14:textId="77777777" w:rsidR="00EC25DE" w:rsidRPr="00673CF5" w:rsidRDefault="00EC25DE">
            <w:pPr>
              <w:pStyle w:val="TABLETEXT"/>
              <w:rPr>
                <w:color w:val="000000" w:themeColor="text1"/>
              </w:rPr>
            </w:pPr>
            <w:r w:rsidRPr="00673CF5">
              <w:rPr>
                <w:b/>
                <w:bCs/>
                <w:color w:val="000000" w:themeColor="text1"/>
                <w14:textOutline w14:w="9525" w14:cap="flat" w14:cmpd="sng" w14:algn="ctr">
                  <w14:noFill/>
                  <w14:prstDash w14:val="solid"/>
                  <w14:round/>
                </w14:textOutline>
              </w:rPr>
              <w:t>Market development and research</w:t>
            </w:r>
          </w:p>
        </w:tc>
      </w:tr>
      <w:tr w:rsidR="00EC25DE" w14:paraId="58258702" w14:textId="77777777" w:rsidTr="00424906">
        <w:trPr>
          <w:trHeight w:val="365"/>
        </w:trPr>
        <w:tc>
          <w:tcPr>
            <w:tcW w:w="4573" w:type="dxa"/>
            <w:shd w:val="clear" w:color="414D59" w:fill="A6A6A6" w:themeFill="background1" w:themeFillShade="A6"/>
            <w:tcMar>
              <w:top w:w="57" w:type="dxa"/>
              <w:left w:w="57" w:type="dxa"/>
              <w:bottom w:w="57" w:type="dxa"/>
              <w:right w:w="57" w:type="dxa"/>
            </w:tcMar>
          </w:tcPr>
          <w:p w14:paraId="64E76D8E" w14:textId="77777777" w:rsidR="00EC25DE" w:rsidRPr="00673CF5" w:rsidRDefault="00EC25DE">
            <w:pPr>
              <w:pStyle w:val="TABLETEXT"/>
              <w:rPr>
                <w:color w:val="000000" w:themeColor="text1"/>
              </w:rPr>
            </w:pPr>
            <w:r w:rsidRPr="00673CF5">
              <w:rPr>
                <w:b/>
                <w:bCs/>
                <w:color w:val="000000" w:themeColor="text1"/>
              </w:rPr>
              <w:t>Look for new opportunities for waste</w:t>
            </w:r>
          </w:p>
        </w:tc>
        <w:tc>
          <w:tcPr>
            <w:tcW w:w="1748" w:type="dxa"/>
            <w:shd w:val="clear" w:color="414D59" w:fill="A6A6A6" w:themeFill="background1" w:themeFillShade="A6"/>
            <w:tcMar>
              <w:top w:w="57" w:type="dxa"/>
              <w:left w:w="57" w:type="dxa"/>
              <w:bottom w:w="57" w:type="dxa"/>
              <w:right w:w="57" w:type="dxa"/>
            </w:tcMar>
          </w:tcPr>
          <w:p w14:paraId="1D62D7B9" w14:textId="77777777" w:rsidR="00EC25DE" w:rsidRPr="00EC25DE" w:rsidRDefault="00EC25DE">
            <w:pPr>
              <w:pStyle w:val="NoParagraphStyle"/>
              <w:spacing w:line="240" w:lineRule="auto"/>
              <w:textAlignment w:val="auto"/>
              <w:rPr>
                <w:rFonts w:ascii="Calibri" w:hAnsi="Calibri" w:cs="Calibri"/>
                <w:color w:val="FFFFFF" w:themeColor="background1"/>
              </w:rPr>
            </w:pPr>
          </w:p>
        </w:tc>
        <w:tc>
          <w:tcPr>
            <w:tcW w:w="2070" w:type="dxa"/>
            <w:shd w:val="clear" w:color="414D59" w:fill="A6A6A6" w:themeFill="background1" w:themeFillShade="A6"/>
            <w:tcMar>
              <w:top w:w="57" w:type="dxa"/>
              <w:left w:w="57" w:type="dxa"/>
              <w:bottom w:w="57" w:type="dxa"/>
              <w:right w:w="57" w:type="dxa"/>
            </w:tcMar>
          </w:tcPr>
          <w:p w14:paraId="73FAA6B3" w14:textId="77777777" w:rsidR="00EC25DE" w:rsidRDefault="00EC25DE">
            <w:pPr>
              <w:pStyle w:val="NoParagraphStyle"/>
              <w:spacing w:line="240" w:lineRule="auto"/>
              <w:textAlignment w:val="auto"/>
              <w:rPr>
                <w:rFonts w:ascii="Calibri" w:hAnsi="Calibri" w:cs="Calibri"/>
                <w:color w:val="auto"/>
              </w:rPr>
            </w:pPr>
          </w:p>
        </w:tc>
        <w:tc>
          <w:tcPr>
            <w:tcW w:w="1041" w:type="dxa"/>
            <w:shd w:val="clear" w:color="414D59" w:fill="A6A6A6" w:themeFill="background1" w:themeFillShade="A6"/>
            <w:tcMar>
              <w:top w:w="57" w:type="dxa"/>
              <w:left w:w="57" w:type="dxa"/>
              <w:bottom w:w="57" w:type="dxa"/>
              <w:right w:w="57" w:type="dxa"/>
            </w:tcMar>
          </w:tcPr>
          <w:p w14:paraId="71DA20B4" w14:textId="77777777" w:rsidR="00EC25DE" w:rsidRDefault="00EC25DE">
            <w:pPr>
              <w:pStyle w:val="NoParagraphStyle"/>
              <w:spacing w:line="240" w:lineRule="auto"/>
              <w:textAlignment w:val="auto"/>
              <w:rPr>
                <w:rFonts w:ascii="Calibri" w:hAnsi="Calibri" w:cs="Calibri"/>
                <w:color w:val="auto"/>
              </w:rPr>
            </w:pPr>
          </w:p>
        </w:tc>
      </w:tr>
      <w:tr w:rsidR="00EC25DE" w14:paraId="75D6CD4B" w14:textId="77777777" w:rsidTr="00424906">
        <w:trPr>
          <w:trHeight w:val="365"/>
        </w:trPr>
        <w:tc>
          <w:tcPr>
            <w:tcW w:w="4573" w:type="dxa"/>
            <w:tcMar>
              <w:top w:w="57" w:type="dxa"/>
              <w:left w:w="57" w:type="dxa"/>
              <w:bottom w:w="57" w:type="dxa"/>
              <w:right w:w="57" w:type="dxa"/>
            </w:tcMar>
          </w:tcPr>
          <w:p w14:paraId="32B94E0A" w14:textId="77777777" w:rsidR="00EC25DE" w:rsidRDefault="00EC25DE">
            <w:pPr>
              <w:pStyle w:val="TABLETEXT"/>
              <w:ind w:left="397" w:hanging="397"/>
            </w:pPr>
            <w:r>
              <w:t>7.6</w:t>
            </w:r>
            <w:r>
              <w:tab/>
              <w:t>Report on opportunities to grow markets in recycled glass, plastics and rubber</w:t>
            </w:r>
          </w:p>
        </w:tc>
        <w:tc>
          <w:tcPr>
            <w:tcW w:w="1748" w:type="dxa"/>
            <w:tcMar>
              <w:top w:w="57" w:type="dxa"/>
              <w:left w:w="57" w:type="dxa"/>
              <w:bottom w:w="57" w:type="dxa"/>
              <w:right w:w="57" w:type="dxa"/>
            </w:tcMar>
          </w:tcPr>
          <w:p w14:paraId="09F3A835" w14:textId="77777777" w:rsidR="00EC25DE" w:rsidRDefault="00EC25DE">
            <w:pPr>
              <w:pStyle w:val="TABLETEXT"/>
            </w:pPr>
            <w:r>
              <w:t>Australian Government</w:t>
            </w:r>
          </w:p>
        </w:tc>
        <w:tc>
          <w:tcPr>
            <w:tcW w:w="2070" w:type="dxa"/>
            <w:tcMar>
              <w:top w:w="57" w:type="dxa"/>
              <w:left w:w="57" w:type="dxa"/>
              <w:bottom w:w="57" w:type="dxa"/>
              <w:right w:w="57" w:type="dxa"/>
            </w:tcMar>
          </w:tcPr>
          <w:p w14:paraId="6388B32C" w14:textId="77777777" w:rsidR="00EC25DE" w:rsidRDefault="00EC25DE">
            <w:pPr>
              <w:pStyle w:val="TABLETEXT"/>
            </w:pPr>
            <w:r>
              <w:t>State and territory governments</w:t>
            </w:r>
          </w:p>
        </w:tc>
        <w:tc>
          <w:tcPr>
            <w:tcW w:w="1041" w:type="dxa"/>
            <w:tcMar>
              <w:top w:w="57" w:type="dxa"/>
              <w:left w:w="57" w:type="dxa"/>
              <w:bottom w:w="57" w:type="dxa"/>
              <w:right w:w="57" w:type="dxa"/>
            </w:tcMar>
          </w:tcPr>
          <w:p w14:paraId="0E4E887D" w14:textId="77777777" w:rsidR="00EC25DE" w:rsidRDefault="00EC25DE">
            <w:pPr>
              <w:pStyle w:val="TABLETEXT"/>
            </w:pPr>
            <w:r>
              <w:t>2020</w:t>
            </w:r>
          </w:p>
        </w:tc>
      </w:tr>
      <w:tr w:rsidR="00EC25DE" w14:paraId="3FD0C58A" w14:textId="77777777" w:rsidTr="00424906">
        <w:trPr>
          <w:trHeight w:val="365"/>
        </w:trPr>
        <w:tc>
          <w:tcPr>
            <w:tcW w:w="4573" w:type="dxa"/>
            <w:tcMar>
              <w:top w:w="57" w:type="dxa"/>
              <w:left w:w="57" w:type="dxa"/>
              <w:bottom w:w="57" w:type="dxa"/>
              <w:right w:w="57" w:type="dxa"/>
            </w:tcMar>
          </w:tcPr>
          <w:p w14:paraId="4C8EA4B1" w14:textId="77777777" w:rsidR="00EC25DE" w:rsidRDefault="00EC25DE">
            <w:pPr>
              <w:pStyle w:val="TABLETEXT"/>
              <w:ind w:left="397" w:hanging="397"/>
            </w:pPr>
            <w:r>
              <w:t>7.7</w:t>
            </w:r>
            <w:r>
              <w:tab/>
              <w:t xml:space="preserve">Report on research to better understand business barriers to a waste circular economy </w:t>
            </w:r>
          </w:p>
        </w:tc>
        <w:tc>
          <w:tcPr>
            <w:tcW w:w="1748" w:type="dxa"/>
            <w:tcMar>
              <w:top w:w="57" w:type="dxa"/>
              <w:left w:w="57" w:type="dxa"/>
              <w:bottom w:w="57" w:type="dxa"/>
              <w:right w:w="57" w:type="dxa"/>
            </w:tcMar>
          </w:tcPr>
          <w:p w14:paraId="1750EA41" w14:textId="77777777" w:rsidR="00EC25DE" w:rsidRDefault="00EC25DE">
            <w:pPr>
              <w:pStyle w:val="TABLETEXT"/>
            </w:pPr>
            <w:r>
              <w:t>Australian Government</w:t>
            </w:r>
          </w:p>
        </w:tc>
        <w:tc>
          <w:tcPr>
            <w:tcW w:w="2070" w:type="dxa"/>
            <w:tcMar>
              <w:top w:w="57" w:type="dxa"/>
              <w:left w:w="57" w:type="dxa"/>
              <w:bottom w:w="57" w:type="dxa"/>
              <w:right w:w="57" w:type="dxa"/>
            </w:tcMar>
          </w:tcPr>
          <w:p w14:paraId="16376BD3" w14:textId="77777777" w:rsidR="00EC25DE" w:rsidRDefault="00EC25DE">
            <w:pPr>
              <w:pStyle w:val="TABLETEXT"/>
            </w:pPr>
            <w:r>
              <w:t>Business sector</w:t>
            </w:r>
          </w:p>
        </w:tc>
        <w:tc>
          <w:tcPr>
            <w:tcW w:w="1041" w:type="dxa"/>
            <w:tcMar>
              <w:top w:w="57" w:type="dxa"/>
              <w:left w:w="57" w:type="dxa"/>
              <w:bottom w:w="57" w:type="dxa"/>
              <w:right w:w="57" w:type="dxa"/>
            </w:tcMar>
          </w:tcPr>
          <w:p w14:paraId="67303792" w14:textId="77777777" w:rsidR="00EC25DE" w:rsidRDefault="00EC25DE">
            <w:pPr>
              <w:pStyle w:val="TABLETEXT"/>
            </w:pPr>
            <w:r>
              <w:t>2020</w:t>
            </w:r>
          </w:p>
        </w:tc>
      </w:tr>
    </w:tbl>
    <w:p w14:paraId="47370F62" w14:textId="77777777" w:rsidR="00EC25DE" w:rsidRDefault="00EC25DE" w:rsidP="00EC25DE">
      <w:pPr>
        <w:pStyle w:val="Text"/>
      </w:pPr>
    </w:p>
    <w:p w14:paraId="2655EAAF" w14:textId="77777777" w:rsidR="00EC25DE" w:rsidRDefault="00EC25DE" w:rsidP="00EC25DE">
      <w:pPr>
        <w:pStyle w:val="Text"/>
      </w:pPr>
      <w:r>
        <w:lastRenderedPageBreak/>
        <w:t xml:space="preserve"> </w:t>
      </w:r>
    </w:p>
    <w:p w14:paraId="6B6ED141" w14:textId="77777777" w:rsidR="00EC25DE" w:rsidRDefault="00EC25DE">
      <w:pPr>
        <w:rPr>
          <w:rFonts w:ascii="Calibri" w:hAnsi="Calibri" w:cs="Calibri"/>
          <w:b/>
          <w:bCs/>
          <w:color w:val="D7510C"/>
          <w:sz w:val="60"/>
          <w:szCs w:val="80"/>
          <w:lang w:val="en-GB"/>
        </w:rPr>
      </w:pPr>
      <w:r>
        <w:br w:type="page"/>
      </w:r>
    </w:p>
    <w:p w14:paraId="49190B5F" w14:textId="302736D2" w:rsidR="00EC25DE" w:rsidRPr="00EC25DE" w:rsidRDefault="00EC25DE" w:rsidP="00EC25DE">
      <w:pPr>
        <w:pStyle w:val="Heading1"/>
      </w:pPr>
      <w:bookmarkStart w:id="10" w:name="_Toc24118134"/>
      <w:r w:rsidRPr="00EC25DE">
        <w:lastRenderedPageBreak/>
        <w:t>Appendix A: Implementing the National Action Plan</w:t>
      </w:r>
      <w:bookmarkEnd w:id="10"/>
    </w:p>
    <w:p w14:paraId="60D62682" w14:textId="77777777" w:rsidR="00EC25DE" w:rsidRDefault="00EC25DE" w:rsidP="00EC25DE">
      <w:pPr>
        <w:pStyle w:val="Text"/>
      </w:pPr>
      <w:r>
        <w:t xml:space="preserve">A cross-sector reference group involving government, non-government organisations, industry and business representatives will provide advice and help guide the implementation of the National Action Plan. The group will also help to coordinate monitoring and evaluation of the plan. Where desired outcomes are not being achieved, this group will explore regulatory, financial or legislative options to help achieve the targets. </w:t>
      </w:r>
    </w:p>
    <w:p w14:paraId="129031C1" w14:textId="77777777" w:rsidR="00EC25DE" w:rsidRDefault="00EC25DE" w:rsidP="00EC25DE">
      <w:pPr>
        <w:pStyle w:val="Text"/>
      </w:pPr>
      <w:r>
        <w:t xml:space="preserve">The National Action Plan will be regularly reviewed to ensure actions are driving positive change in waste management in Australia. Reviews of the plan will allow actions to be updated to address new issues as they emerge and ensure that targets remain ambitious and achievable. </w:t>
      </w:r>
    </w:p>
    <w:p w14:paraId="40D17B80" w14:textId="77777777" w:rsidR="00EC25DE" w:rsidRDefault="00EC25DE" w:rsidP="00EC25DE">
      <w:pPr>
        <w:pStyle w:val="Text"/>
      </w:pPr>
      <w:r>
        <w:t xml:space="preserve">Alignment of the reviews of the National Action Plan with preparation of the National Waste Report and the National Waste Account will allow for quantitative measurement of progress against targets and actions. </w:t>
      </w:r>
    </w:p>
    <w:p w14:paraId="3F7BB4CB" w14:textId="77777777" w:rsidR="00EC25DE" w:rsidRDefault="00EC25DE" w:rsidP="00EC25DE">
      <w:pPr>
        <w:pStyle w:val="Text"/>
      </w:pPr>
      <w:r>
        <w:t xml:space="preserve">Reviews and updates to the National Action Plan will be considered by Australia’s environment ministers. With each review, environment ministers will agree on prioritised actions, confirm roles and responsibilities and set timelines for delivery. </w:t>
      </w:r>
    </w:p>
    <w:p w14:paraId="07D39AAE" w14:textId="77777777" w:rsidR="00EC25DE" w:rsidRDefault="00EC25DE" w:rsidP="00EC25DE">
      <w:pPr>
        <w:pStyle w:val="Subhead2"/>
      </w:pPr>
      <w:r>
        <w:t>Measuring progress on the national targets</w:t>
      </w:r>
    </w:p>
    <w:p w14:paraId="5BE1AAE6" w14:textId="77777777" w:rsidR="00EC25DE" w:rsidRDefault="00EC25DE" w:rsidP="00EC25DE">
      <w:pPr>
        <w:pStyle w:val="Text"/>
      </w:pPr>
      <w:r>
        <w:t xml:space="preserve">The National Waste Report provides a national measure of waste and resource recovery in Australia. It presents data aggregated across all jurisdictions, national definitions and classifications and a national summary of the trends and status of waste in Australia. </w:t>
      </w:r>
    </w:p>
    <w:p w14:paraId="7B662167" w14:textId="6F76805C" w:rsidR="00EC25DE" w:rsidRPr="00EC25DE" w:rsidRDefault="00EC25DE" w:rsidP="00EC25DE">
      <w:pPr>
        <w:pStyle w:val="Text"/>
        <w:rPr>
          <w:u w:val="single"/>
        </w:rPr>
      </w:pPr>
      <w:r>
        <w:t xml:space="preserve">The National Waste Report has been prepared by the Australian Government in collaboration with state and territory governments since 2010. More information is available </w:t>
      </w:r>
      <w:r w:rsidRPr="00EC25DE">
        <w:t>at</w:t>
      </w:r>
      <w:r w:rsidRPr="00EC25DE">
        <w:rPr>
          <w:rStyle w:val="Hyperlink"/>
          <w:u w:val="none"/>
        </w:rPr>
        <w:t xml:space="preserve"> </w:t>
      </w:r>
      <w:hyperlink r:id="rId8" w:history="1">
        <w:r w:rsidRPr="00EC25DE">
          <w:rPr>
            <w:rStyle w:val="Hyperlink"/>
            <w:u w:val="single"/>
          </w:rPr>
          <w:t>www.environment.gov.au/waste</w:t>
        </w:r>
      </w:hyperlink>
    </w:p>
    <w:p w14:paraId="181C632F" w14:textId="77777777" w:rsidR="00EC25DE" w:rsidRDefault="00EC25DE" w:rsidP="00EC25DE">
      <w:pPr>
        <w:pStyle w:val="Text"/>
      </w:pPr>
      <w:r>
        <w:t xml:space="preserve">Data presented in the National Waste Report 2018 provides the baseline for measuring national progress on achieving the targets and actions outlined in this plan. </w:t>
      </w:r>
    </w:p>
    <w:p w14:paraId="1415B1CE" w14:textId="77777777" w:rsidR="00EC25DE" w:rsidRDefault="00EC25DE" w:rsidP="00EC25DE">
      <w:pPr>
        <w:pStyle w:val="Text"/>
      </w:pPr>
      <w:r>
        <w:t>Preparing a National Waste Report every two years will provide contemporary data to support measurement of national progress on targets detailed in this National Action Plan.</w:t>
      </w:r>
    </w:p>
    <w:p w14:paraId="1F52FA5D" w14:textId="71C5A66E" w:rsidR="00EC25DE" w:rsidRPr="00EC25DE" w:rsidRDefault="00EC25DE" w:rsidP="00EC25DE">
      <w:pPr>
        <w:pStyle w:val="Text"/>
        <w:rPr>
          <w:u w:val="single"/>
        </w:rPr>
      </w:pPr>
      <w:r>
        <w:t xml:space="preserve">In addition to the National Waste Report, a new national waste account is being developed. The aim of the waste account is to integrate economic and environmental data to improve understanding of the challenges and opportunities for Australia’s waste and resource recovery industries. More information is available at: </w:t>
      </w:r>
      <w:hyperlink r:id="rId9" w:history="1">
        <w:r w:rsidRPr="00EC25DE">
          <w:rPr>
            <w:rStyle w:val="Hyperlink"/>
            <w:u w:val="single"/>
          </w:rPr>
          <w:t>http://www.environment.gov.au/science/environmental-economic-accounting</w:t>
        </w:r>
      </w:hyperlink>
      <w:r w:rsidRPr="00EC25DE">
        <w:rPr>
          <w:u w:val="single"/>
        </w:rPr>
        <w:t xml:space="preserve">. </w:t>
      </w:r>
    </w:p>
    <w:p w14:paraId="4D5B830C" w14:textId="77777777" w:rsidR="00EC25DE" w:rsidRDefault="00EC25DE" w:rsidP="00EC25DE">
      <w:pPr>
        <w:pStyle w:val="Text"/>
      </w:pPr>
      <w:r>
        <w:t>The national waste account will be updated regularly to provide contemporary information to help measure progress on delivering the national targets in the National Action Plan.</w:t>
      </w:r>
    </w:p>
    <w:p w14:paraId="4ABF4537" w14:textId="77777777" w:rsidR="00EC25DE" w:rsidRDefault="00EC25DE" w:rsidP="00EC25DE">
      <w:pPr>
        <w:pStyle w:val="Subhead2"/>
      </w:pPr>
      <w:r>
        <w:t>Investing in success</w:t>
      </w:r>
    </w:p>
    <w:p w14:paraId="26CF315D" w14:textId="77777777" w:rsidR="00EC25DE" w:rsidRDefault="00EC25DE" w:rsidP="00EC25DE">
      <w:pPr>
        <w:pStyle w:val="Text"/>
      </w:pPr>
      <w:r>
        <w:t xml:space="preserve">Managing waste and resource recovery in Australia involves everyone including manufacturers, designers, institutions such as hospitals, schools and universities, businesses such as restaurants, supermarkets and mining companies, conservation organisations, communities and all levels of government. </w:t>
      </w:r>
    </w:p>
    <w:p w14:paraId="75A58337" w14:textId="77777777" w:rsidR="00EC25DE" w:rsidRDefault="00EC25DE" w:rsidP="00EC25DE">
      <w:pPr>
        <w:pStyle w:val="Text"/>
      </w:pPr>
      <w:r>
        <w:t xml:space="preserve">This has typically been organised at the local, rather than the national level, with primary responsibility for collecting and sorting materials being held by individual contractors, local councils, and state and territory governments. </w:t>
      </w:r>
    </w:p>
    <w:p w14:paraId="69A7CB4A" w14:textId="77777777" w:rsidR="00EC25DE" w:rsidRDefault="00EC25DE" w:rsidP="00EC25DE">
      <w:pPr>
        <w:pStyle w:val="Text"/>
      </w:pPr>
      <w:r>
        <w:t>Improvements to waste management and resource recovery are driven by both policy (as a public service, public health and environmental issue), and demand (for removal of waste and recycling of resources). What is required to drive improvement is very different in large cities compared to remote, regional and rural areas. Different economies of scale require different technical and financial solutions.</w:t>
      </w:r>
    </w:p>
    <w:p w14:paraId="652ECEE4" w14:textId="77777777" w:rsidR="00EC25DE" w:rsidRDefault="00EC25DE" w:rsidP="00EC25DE">
      <w:pPr>
        <w:pStyle w:val="Text"/>
      </w:pPr>
      <w:r>
        <w:t>Financial investment in waste management and resource recovery is fundamental to ensuring access to efficient and effective waste infrastructure and services by all Australians. Financial investment in market development and procurement is also important in catalysing improvement.</w:t>
      </w:r>
    </w:p>
    <w:p w14:paraId="4FC3E814" w14:textId="77777777" w:rsidR="00EC25DE" w:rsidRDefault="00EC25DE" w:rsidP="00EC25DE">
      <w:pPr>
        <w:pStyle w:val="Text"/>
      </w:pPr>
      <w:r>
        <w:lastRenderedPageBreak/>
        <w:t xml:space="preserve">Australia’s governments, businesses, and waste and resource recovery industries are making significant investments in our waste and resource recovery systems, education programs, technical innovation and compliance activities. This has resulted in increased recovery of our resources and decreased waste being generated be each person in Australia over the last ten years. </w:t>
      </w:r>
    </w:p>
    <w:p w14:paraId="29AB2CA5" w14:textId="77777777" w:rsidR="00EC25DE" w:rsidRDefault="00EC25DE" w:rsidP="00EC25DE">
      <w:pPr>
        <w:pStyle w:val="Text"/>
      </w:pPr>
      <w:r>
        <w:t xml:space="preserve">The 2018 National Waste Policy recognises that Australia’s attitudes to waste have shifted. The value of resources and embodied energy in waste is now recognised and there is an economic opportunity and growing desire to see our resources recaptured and recirculated in our economy. </w:t>
      </w:r>
    </w:p>
    <w:p w14:paraId="26DC8691" w14:textId="77777777" w:rsidR="00EC25DE" w:rsidRDefault="00EC25DE" w:rsidP="00EC25DE">
      <w:pPr>
        <w:pStyle w:val="Text"/>
      </w:pPr>
      <w:r>
        <w:t xml:space="preserve">The 2018 National Waste Policy recognises that this move to a more circular economy requires a national approach. Australia’s waste management and resource recovery are facing challenges that would benefit from more coordinated action, national and common approaches, and prioritised investment. </w:t>
      </w:r>
    </w:p>
    <w:p w14:paraId="75232D3B" w14:textId="77777777" w:rsidR="00EC25DE" w:rsidRDefault="00EC25DE" w:rsidP="00EC25DE">
      <w:pPr>
        <w:pStyle w:val="Text"/>
      </w:pPr>
      <w:r>
        <w:t xml:space="preserve">Australian governments remain committed to investing in better waste management and resource recovery in partnership with businesses and industries. </w:t>
      </w:r>
    </w:p>
    <w:p w14:paraId="618B385A" w14:textId="77777777" w:rsidR="00EC25DE" w:rsidRDefault="00EC25DE" w:rsidP="00EC25DE">
      <w:pPr>
        <w:pStyle w:val="Text"/>
      </w:pPr>
      <w:r>
        <w:t xml:space="preserve">The National Action Plan will help to drive and focus investments by presenting nationally agreed targets and actions that address the principles and strategies of the 2018 National Waste Policy. Regular reviews of this plan will help to ensure that financial resources are directed towards priorities and that appropriate funding is available. </w:t>
      </w:r>
    </w:p>
    <w:p w14:paraId="34FDC1B8" w14:textId="77777777" w:rsidR="00EC25DE" w:rsidRDefault="00EC25DE" w:rsidP="00EC25DE">
      <w:pPr>
        <w:pStyle w:val="Text"/>
      </w:pPr>
    </w:p>
    <w:p w14:paraId="09FEFD8B" w14:textId="77777777" w:rsidR="00EC25DE" w:rsidRDefault="00EC25DE">
      <w:pPr>
        <w:rPr>
          <w:rFonts w:ascii="Calibri" w:hAnsi="Calibri" w:cs="Calibri"/>
          <w:b/>
          <w:bCs/>
          <w:color w:val="D7510C"/>
          <w:sz w:val="80"/>
          <w:szCs w:val="80"/>
          <w:lang w:val="en-GB"/>
        </w:rPr>
      </w:pPr>
      <w:r>
        <w:br w:type="page"/>
      </w:r>
    </w:p>
    <w:p w14:paraId="05FD6E56" w14:textId="4A005663" w:rsidR="00EC25DE" w:rsidRPr="00EC25DE" w:rsidRDefault="00EC25DE" w:rsidP="00EC25DE">
      <w:pPr>
        <w:pStyle w:val="Heading1"/>
      </w:pPr>
      <w:bookmarkStart w:id="11" w:name="_Toc24118135"/>
      <w:r w:rsidRPr="00EC25DE">
        <w:lastRenderedPageBreak/>
        <w:t>Appendix B: Waste and recycling targets across jurisdictions</w:t>
      </w:r>
      <w:bookmarkEnd w:id="11"/>
    </w:p>
    <w:tbl>
      <w:tblPr>
        <w:tblW w:w="0" w:type="auto"/>
        <w:tblInd w:w="-8" w:type="dxa"/>
        <w:tblLayout w:type="fixed"/>
        <w:tblCellMar>
          <w:left w:w="0" w:type="dxa"/>
          <w:right w:w="0" w:type="dxa"/>
        </w:tblCellMar>
        <w:tblLook w:val="0000" w:firstRow="0" w:lastRow="0" w:firstColumn="0" w:lastColumn="0" w:noHBand="0" w:noVBand="0"/>
      </w:tblPr>
      <w:tblGrid>
        <w:gridCol w:w="718"/>
        <w:gridCol w:w="9772"/>
      </w:tblGrid>
      <w:tr w:rsidR="00EC25DE" w14:paraId="21B47A86" w14:textId="77777777" w:rsidTr="00EC25DE">
        <w:trPr>
          <w:trHeight w:val="60"/>
        </w:trPr>
        <w:tc>
          <w:tcPr>
            <w:tcW w:w="718" w:type="dxa"/>
            <w:tcBorders>
              <w:top w:val="dotted" w:sz="8" w:space="0" w:color="414D59"/>
              <w:left w:val="single" w:sz="6" w:space="0" w:color="414D59"/>
              <w:bottom w:val="dotted" w:sz="8" w:space="0" w:color="414D59"/>
              <w:right w:val="single" w:sz="6" w:space="0" w:color="000000"/>
            </w:tcBorders>
            <w:shd w:val="solid" w:color="414D59" w:fill="auto"/>
            <w:tcMar>
              <w:top w:w="170" w:type="dxa"/>
              <w:left w:w="113" w:type="dxa"/>
              <w:bottom w:w="170" w:type="dxa"/>
              <w:right w:w="113" w:type="dxa"/>
            </w:tcMar>
          </w:tcPr>
          <w:p w14:paraId="08C40DE4" w14:textId="77777777" w:rsidR="00EC25DE" w:rsidRPr="00EC25DE" w:rsidRDefault="00EC25DE">
            <w:pPr>
              <w:pStyle w:val="TABLETEXT"/>
              <w:rPr>
                <w:color w:val="FFFFFF" w:themeColor="background1"/>
              </w:rPr>
            </w:pPr>
            <w:r w:rsidRPr="00EC25DE">
              <w:rPr>
                <w:b/>
                <w:bCs/>
                <w:color w:val="FFFFFF" w:themeColor="background1"/>
                <w14:textOutline w14:w="9525" w14:cap="flat" w14:cmpd="sng" w14:algn="ctr">
                  <w14:noFill/>
                  <w14:prstDash w14:val="solid"/>
                  <w14:round/>
                </w14:textOutline>
              </w:rPr>
              <w:t>ACT</w:t>
            </w:r>
          </w:p>
        </w:tc>
        <w:tc>
          <w:tcPr>
            <w:tcW w:w="9772" w:type="dxa"/>
            <w:tcBorders>
              <w:top w:val="dotted" w:sz="8" w:space="0" w:color="414D59"/>
              <w:left w:val="single" w:sz="6" w:space="0" w:color="000000"/>
              <w:bottom w:val="dotted" w:sz="8" w:space="0" w:color="414D59"/>
              <w:right w:val="single" w:sz="6" w:space="0" w:color="000000"/>
            </w:tcBorders>
            <w:tcMar>
              <w:top w:w="170" w:type="dxa"/>
              <w:left w:w="113" w:type="dxa"/>
              <w:bottom w:w="170" w:type="dxa"/>
              <w:right w:w="113" w:type="dxa"/>
            </w:tcMar>
          </w:tcPr>
          <w:p w14:paraId="64558B2A" w14:textId="77777777" w:rsidR="00EC25DE" w:rsidRDefault="00EC25DE">
            <w:pPr>
              <w:pStyle w:val="TABLETEXT"/>
              <w:rPr>
                <w:b/>
                <w:bCs/>
                <w:i/>
                <w:iCs/>
              </w:rPr>
            </w:pPr>
            <w:r>
              <w:rPr>
                <w:b/>
                <w:bCs/>
                <w:i/>
                <w:iCs/>
              </w:rPr>
              <w:t>Waste Management Strategy 2011–25</w:t>
            </w:r>
          </w:p>
          <w:p w14:paraId="40C8C8F4" w14:textId="77777777" w:rsidR="00EC25DE" w:rsidRDefault="00EC25DE" w:rsidP="00EC25DE">
            <w:pPr>
              <w:pStyle w:val="Bullet1"/>
              <w:numPr>
                <w:ilvl w:val="0"/>
                <w:numId w:val="3"/>
              </w:numPr>
              <w:spacing w:after="57"/>
              <w:rPr>
                <w:rStyle w:val="A9"/>
              </w:rPr>
            </w:pPr>
            <w:r>
              <w:rPr>
                <w:rStyle w:val="A9"/>
              </w:rPr>
              <w:t xml:space="preserve">The growth in ACT waste generation is less than the rate of population growth </w:t>
            </w:r>
          </w:p>
          <w:p w14:paraId="71D2091C" w14:textId="77777777" w:rsidR="00EC25DE" w:rsidRDefault="00EC25DE" w:rsidP="00EC25DE">
            <w:pPr>
              <w:pStyle w:val="Bullet1"/>
              <w:numPr>
                <w:ilvl w:val="0"/>
                <w:numId w:val="3"/>
              </w:numPr>
              <w:spacing w:after="57"/>
            </w:pPr>
            <w:r>
              <w:rPr>
                <w:rStyle w:val="A9"/>
              </w:rPr>
              <w:t>The rate of resource recovery increases over 90% by 2025</w:t>
            </w:r>
          </w:p>
        </w:tc>
      </w:tr>
      <w:tr w:rsidR="00EC25DE" w14:paraId="68A9A776" w14:textId="77777777" w:rsidTr="00EC25DE">
        <w:trPr>
          <w:trHeight w:val="60"/>
        </w:trPr>
        <w:tc>
          <w:tcPr>
            <w:tcW w:w="718" w:type="dxa"/>
            <w:tcBorders>
              <w:top w:val="dotted" w:sz="8" w:space="0" w:color="414D59"/>
              <w:left w:val="single" w:sz="6" w:space="0" w:color="414D59"/>
              <w:bottom w:val="dotted" w:sz="8" w:space="0" w:color="414D59"/>
              <w:right w:val="single" w:sz="6" w:space="0" w:color="000000"/>
            </w:tcBorders>
            <w:shd w:val="solid" w:color="414D59" w:fill="auto"/>
            <w:tcMar>
              <w:top w:w="170" w:type="dxa"/>
              <w:left w:w="113" w:type="dxa"/>
              <w:bottom w:w="170" w:type="dxa"/>
              <w:right w:w="113" w:type="dxa"/>
            </w:tcMar>
          </w:tcPr>
          <w:p w14:paraId="23CD2A31" w14:textId="77777777" w:rsidR="00EC25DE" w:rsidRPr="00EC25DE" w:rsidRDefault="00EC25DE">
            <w:pPr>
              <w:pStyle w:val="TABLETEXT"/>
              <w:rPr>
                <w:color w:val="FFFFFF" w:themeColor="background1"/>
              </w:rPr>
            </w:pPr>
            <w:r w:rsidRPr="00EC25DE">
              <w:rPr>
                <w:b/>
                <w:bCs/>
                <w:color w:val="FFFFFF" w:themeColor="background1"/>
                <w14:textOutline w14:w="9525" w14:cap="flat" w14:cmpd="sng" w14:algn="ctr">
                  <w14:noFill/>
                  <w14:prstDash w14:val="solid"/>
                  <w14:round/>
                </w14:textOutline>
              </w:rPr>
              <w:t>NSW</w:t>
            </w:r>
          </w:p>
        </w:tc>
        <w:tc>
          <w:tcPr>
            <w:tcW w:w="9772" w:type="dxa"/>
            <w:tcBorders>
              <w:top w:val="dotted" w:sz="8" w:space="0" w:color="414D59"/>
              <w:left w:val="single" w:sz="6" w:space="0" w:color="000000"/>
              <w:bottom w:val="dotted" w:sz="8" w:space="0" w:color="414D59"/>
              <w:right w:val="single" w:sz="6" w:space="0" w:color="000000"/>
            </w:tcBorders>
            <w:tcMar>
              <w:top w:w="170" w:type="dxa"/>
              <w:left w:w="113" w:type="dxa"/>
              <w:bottom w:w="170" w:type="dxa"/>
              <w:right w:w="113" w:type="dxa"/>
            </w:tcMar>
          </w:tcPr>
          <w:p w14:paraId="10D86688" w14:textId="77777777" w:rsidR="00EC25DE" w:rsidRDefault="00EC25DE">
            <w:pPr>
              <w:pStyle w:val="TABLETEXT"/>
              <w:rPr>
                <w:b/>
                <w:bCs/>
                <w:i/>
                <w:iCs/>
              </w:rPr>
            </w:pPr>
            <w:r>
              <w:rPr>
                <w:b/>
                <w:bCs/>
                <w:i/>
                <w:iCs/>
              </w:rPr>
              <w:t>Waste Avoidance and Resource Recovery Strategy 2014–21</w:t>
            </w:r>
          </w:p>
          <w:p w14:paraId="58E222E1" w14:textId="77777777" w:rsidR="00EC25DE" w:rsidRDefault="00EC25DE">
            <w:pPr>
              <w:pStyle w:val="TABLETEXT"/>
            </w:pPr>
            <w:r>
              <w:t>Reduce the rate of waste generation per capita by 2021–22</w:t>
            </w:r>
          </w:p>
          <w:p w14:paraId="766109C5" w14:textId="77777777" w:rsidR="00EC25DE" w:rsidRDefault="00EC25DE" w:rsidP="00EC25DE">
            <w:pPr>
              <w:pStyle w:val="Bullet1"/>
              <w:numPr>
                <w:ilvl w:val="0"/>
                <w:numId w:val="3"/>
              </w:numPr>
              <w:spacing w:after="57"/>
            </w:pPr>
            <w:r>
              <w:t xml:space="preserve">By 2021–22 increase recycling rates for: </w:t>
            </w:r>
          </w:p>
          <w:p w14:paraId="03C0CA53" w14:textId="77777777" w:rsidR="00EC25DE" w:rsidRDefault="00EC25DE" w:rsidP="00EC25DE">
            <w:pPr>
              <w:pStyle w:val="Bullet2"/>
              <w:numPr>
                <w:ilvl w:val="0"/>
                <w:numId w:val="4"/>
              </w:numPr>
              <w:spacing w:after="57"/>
              <w:ind w:hanging="213"/>
            </w:pPr>
            <w:r>
              <w:t>municipal solid waste from 52% to 70%</w:t>
            </w:r>
          </w:p>
          <w:p w14:paraId="161E7A18" w14:textId="77777777" w:rsidR="00EC25DE" w:rsidRDefault="00EC25DE" w:rsidP="00EC25DE">
            <w:pPr>
              <w:pStyle w:val="Bullet2"/>
              <w:numPr>
                <w:ilvl w:val="0"/>
                <w:numId w:val="4"/>
              </w:numPr>
              <w:spacing w:after="57"/>
              <w:ind w:hanging="213"/>
            </w:pPr>
            <w:r>
              <w:t>commercial and industrial waste from 57% to 70%</w:t>
            </w:r>
          </w:p>
          <w:p w14:paraId="2A3E9714" w14:textId="77777777" w:rsidR="00EC25DE" w:rsidRDefault="00EC25DE" w:rsidP="00EC25DE">
            <w:pPr>
              <w:pStyle w:val="Bullet2"/>
              <w:numPr>
                <w:ilvl w:val="0"/>
                <w:numId w:val="4"/>
              </w:numPr>
              <w:spacing w:after="57"/>
              <w:ind w:hanging="213"/>
            </w:pPr>
            <w:r>
              <w:t xml:space="preserve">construction and demolition waste from 75% to 80% </w:t>
            </w:r>
          </w:p>
          <w:p w14:paraId="3E36A21F" w14:textId="77777777" w:rsidR="00EC25DE" w:rsidRDefault="00EC25DE" w:rsidP="00EC25DE">
            <w:pPr>
              <w:pStyle w:val="Bullet1"/>
              <w:numPr>
                <w:ilvl w:val="0"/>
                <w:numId w:val="3"/>
              </w:numPr>
              <w:spacing w:after="57"/>
            </w:pPr>
            <w:r>
              <w:t>Increase the waste diverted from landfill from 63% to 75% by 2021–22</w:t>
            </w:r>
          </w:p>
          <w:p w14:paraId="50F66085" w14:textId="77777777" w:rsidR="00EC25DE" w:rsidRDefault="00EC25DE" w:rsidP="00EC25DE">
            <w:pPr>
              <w:pStyle w:val="Bullet1"/>
              <w:numPr>
                <w:ilvl w:val="0"/>
                <w:numId w:val="3"/>
              </w:numPr>
              <w:spacing w:after="57"/>
            </w:pPr>
            <w:r>
              <w:t xml:space="preserve">Establish or upgrade 86 drop-off facilities or services for managing household problem wastes </w:t>
            </w:r>
            <w:proofErr w:type="spellStart"/>
            <w:r>
              <w:t>statewide</w:t>
            </w:r>
            <w:proofErr w:type="spellEnd"/>
            <w:r>
              <w:t xml:space="preserve"> by 2021–22</w:t>
            </w:r>
          </w:p>
          <w:p w14:paraId="16E19F51" w14:textId="77777777" w:rsidR="00EC25DE" w:rsidRDefault="00EC25DE" w:rsidP="00EC25DE">
            <w:pPr>
              <w:pStyle w:val="Bullet1"/>
              <w:numPr>
                <w:ilvl w:val="0"/>
                <w:numId w:val="3"/>
              </w:numPr>
              <w:spacing w:after="57"/>
            </w:pPr>
            <w:r>
              <w:t>By 2016–17, reduce the number of litter items by 40% and then continue to reduce litter items to 2021–22</w:t>
            </w:r>
          </w:p>
        </w:tc>
      </w:tr>
      <w:tr w:rsidR="00EC25DE" w14:paraId="57CF2B13" w14:textId="77777777" w:rsidTr="00EC25DE">
        <w:trPr>
          <w:trHeight w:val="60"/>
        </w:trPr>
        <w:tc>
          <w:tcPr>
            <w:tcW w:w="718" w:type="dxa"/>
            <w:tcBorders>
              <w:top w:val="dotted" w:sz="8" w:space="0" w:color="414D59"/>
              <w:left w:val="single" w:sz="6" w:space="0" w:color="414D59"/>
              <w:bottom w:val="dotted" w:sz="8" w:space="0" w:color="414D59"/>
              <w:right w:val="single" w:sz="6" w:space="0" w:color="000000"/>
            </w:tcBorders>
            <w:shd w:val="solid" w:color="414D59" w:fill="auto"/>
            <w:tcMar>
              <w:top w:w="170" w:type="dxa"/>
              <w:left w:w="113" w:type="dxa"/>
              <w:bottom w:w="170" w:type="dxa"/>
              <w:right w:w="113" w:type="dxa"/>
            </w:tcMar>
          </w:tcPr>
          <w:p w14:paraId="4F8A4D2E" w14:textId="77777777" w:rsidR="00EC25DE" w:rsidRPr="00EC25DE" w:rsidRDefault="00EC25DE">
            <w:pPr>
              <w:pStyle w:val="TABLETEXT"/>
              <w:rPr>
                <w:color w:val="FFFFFF" w:themeColor="background1"/>
              </w:rPr>
            </w:pPr>
            <w:r w:rsidRPr="00EC25DE">
              <w:rPr>
                <w:b/>
                <w:bCs/>
                <w:color w:val="FFFFFF" w:themeColor="background1"/>
                <w14:textOutline w14:w="9525" w14:cap="flat" w14:cmpd="sng" w14:algn="ctr">
                  <w14:noFill/>
                  <w14:prstDash w14:val="solid"/>
                  <w14:round/>
                </w14:textOutline>
              </w:rPr>
              <w:t>NT</w:t>
            </w:r>
          </w:p>
        </w:tc>
        <w:tc>
          <w:tcPr>
            <w:tcW w:w="9772" w:type="dxa"/>
            <w:tcBorders>
              <w:top w:val="dotted" w:sz="8" w:space="0" w:color="414D59"/>
              <w:left w:val="single" w:sz="6" w:space="0" w:color="000000"/>
              <w:bottom w:val="dotted" w:sz="8" w:space="0" w:color="414D59"/>
              <w:right w:val="single" w:sz="6" w:space="0" w:color="000000"/>
            </w:tcBorders>
            <w:tcMar>
              <w:top w:w="170" w:type="dxa"/>
              <w:left w:w="113" w:type="dxa"/>
              <w:bottom w:w="170" w:type="dxa"/>
              <w:right w:w="113" w:type="dxa"/>
            </w:tcMar>
          </w:tcPr>
          <w:p w14:paraId="07BFCC75" w14:textId="77777777" w:rsidR="00EC25DE" w:rsidRDefault="00EC25DE">
            <w:pPr>
              <w:pStyle w:val="TABLETEXT"/>
              <w:rPr>
                <w:b/>
                <w:bCs/>
                <w:i/>
                <w:iCs/>
              </w:rPr>
            </w:pPr>
            <w:r>
              <w:rPr>
                <w:b/>
                <w:bCs/>
                <w:i/>
                <w:iCs/>
              </w:rPr>
              <w:t>Waste Management Strategy for the Northern Territory 2015–22</w:t>
            </w:r>
          </w:p>
          <w:p w14:paraId="641369D0" w14:textId="77777777" w:rsidR="00EC25DE" w:rsidRDefault="00EC25DE">
            <w:pPr>
              <w:pStyle w:val="TABLETEXT"/>
            </w:pPr>
            <w:r>
              <w:rPr>
                <w:b/>
                <w:bCs/>
                <w:i/>
                <w:iCs/>
              </w:rPr>
              <w:t>No specific targets</w:t>
            </w:r>
          </w:p>
        </w:tc>
      </w:tr>
      <w:tr w:rsidR="00EC25DE" w14:paraId="00BF9DB3" w14:textId="77777777" w:rsidTr="00EC25DE">
        <w:trPr>
          <w:trHeight w:val="60"/>
        </w:trPr>
        <w:tc>
          <w:tcPr>
            <w:tcW w:w="718" w:type="dxa"/>
            <w:tcBorders>
              <w:top w:val="dotted" w:sz="8" w:space="0" w:color="414D59"/>
              <w:left w:val="single" w:sz="6" w:space="0" w:color="414D59"/>
              <w:bottom w:val="dotted" w:sz="8" w:space="0" w:color="414D59"/>
              <w:right w:val="single" w:sz="6" w:space="0" w:color="000000"/>
            </w:tcBorders>
            <w:shd w:val="solid" w:color="414D59" w:fill="auto"/>
            <w:tcMar>
              <w:top w:w="170" w:type="dxa"/>
              <w:left w:w="113" w:type="dxa"/>
              <w:bottom w:w="170" w:type="dxa"/>
              <w:right w:w="113" w:type="dxa"/>
            </w:tcMar>
          </w:tcPr>
          <w:p w14:paraId="41B461ED" w14:textId="77777777" w:rsidR="00EC25DE" w:rsidRPr="00EC25DE" w:rsidRDefault="00EC25DE">
            <w:pPr>
              <w:pStyle w:val="TABLETEXT"/>
              <w:rPr>
                <w:color w:val="FFFFFF" w:themeColor="background1"/>
              </w:rPr>
            </w:pPr>
            <w:r w:rsidRPr="00EC25DE">
              <w:rPr>
                <w:b/>
                <w:bCs/>
                <w:color w:val="FFFFFF" w:themeColor="background1"/>
                <w14:textOutline w14:w="9525" w14:cap="flat" w14:cmpd="sng" w14:algn="ctr">
                  <w14:noFill/>
                  <w14:prstDash w14:val="solid"/>
                  <w14:round/>
                </w14:textOutline>
              </w:rPr>
              <w:t>QLD</w:t>
            </w:r>
          </w:p>
        </w:tc>
        <w:tc>
          <w:tcPr>
            <w:tcW w:w="9772" w:type="dxa"/>
            <w:tcBorders>
              <w:top w:val="dotted" w:sz="8" w:space="0" w:color="414D59"/>
              <w:left w:val="single" w:sz="6" w:space="0" w:color="000000"/>
              <w:bottom w:val="dotted" w:sz="8" w:space="0" w:color="414D59"/>
              <w:right w:val="single" w:sz="6" w:space="0" w:color="000000"/>
            </w:tcBorders>
            <w:tcMar>
              <w:top w:w="170" w:type="dxa"/>
              <w:left w:w="113" w:type="dxa"/>
              <w:bottom w:w="170" w:type="dxa"/>
              <w:right w:w="113" w:type="dxa"/>
            </w:tcMar>
          </w:tcPr>
          <w:p w14:paraId="401D9BC3" w14:textId="77777777" w:rsidR="00EC25DE" w:rsidRDefault="00EC25DE">
            <w:pPr>
              <w:pStyle w:val="TABLETEXT"/>
              <w:rPr>
                <w:b/>
                <w:bCs/>
                <w:i/>
                <w:iCs/>
              </w:rPr>
            </w:pPr>
            <w:r>
              <w:rPr>
                <w:b/>
                <w:bCs/>
                <w:i/>
                <w:iCs/>
              </w:rPr>
              <w:t>Waste Management and Resource Recovery Strategy</w:t>
            </w:r>
          </w:p>
          <w:p w14:paraId="4AED5970" w14:textId="77777777" w:rsidR="00EC25DE" w:rsidRDefault="00EC25DE" w:rsidP="00EC25DE">
            <w:pPr>
              <w:pStyle w:val="Bullet1"/>
              <w:numPr>
                <w:ilvl w:val="0"/>
                <w:numId w:val="3"/>
              </w:numPr>
              <w:spacing w:after="57"/>
            </w:pPr>
            <w:r>
              <w:t>25% reduction in household waste by 2050</w:t>
            </w:r>
          </w:p>
          <w:p w14:paraId="0E8CF01D" w14:textId="77777777" w:rsidR="00EC25DE" w:rsidRDefault="00EC25DE" w:rsidP="00EC25DE">
            <w:pPr>
              <w:pStyle w:val="Bullet1"/>
              <w:numPr>
                <w:ilvl w:val="0"/>
                <w:numId w:val="3"/>
              </w:numPr>
              <w:spacing w:after="57"/>
            </w:pPr>
            <w:r>
              <w:t>90% of waste is recovered and does not go to landfill by 2050</w:t>
            </w:r>
          </w:p>
          <w:p w14:paraId="4FE43484" w14:textId="77777777" w:rsidR="00EC25DE" w:rsidRDefault="00EC25DE" w:rsidP="00EC25DE">
            <w:pPr>
              <w:pStyle w:val="Bullet1"/>
              <w:numPr>
                <w:ilvl w:val="0"/>
                <w:numId w:val="3"/>
              </w:numPr>
              <w:spacing w:after="57"/>
            </w:pPr>
            <w:r>
              <w:t>75% recycling rates across all waste types by 2050</w:t>
            </w:r>
          </w:p>
        </w:tc>
      </w:tr>
      <w:tr w:rsidR="00EC25DE" w14:paraId="78C45FDB" w14:textId="77777777" w:rsidTr="00EC25DE">
        <w:trPr>
          <w:trHeight w:val="60"/>
        </w:trPr>
        <w:tc>
          <w:tcPr>
            <w:tcW w:w="718" w:type="dxa"/>
            <w:tcBorders>
              <w:top w:val="dotted" w:sz="8" w:space="0" w:color="414D59"/>
              <w:left w:val="single" w:sz="6" w:space="0" w:color="414D59"/>
              <w:bottom w:val="dotted" w:sz="8" w:space="0" w:color="414D59"/>
              <w:right w:val="single" w:sz="6" w:space="0" w:color="000000"/>
            </w:tcBorders>
            <w:shd w:val="solid" w:color="414D59" w:fill="auto"/>
            <w:tcMar>
              <w:top w:w="170" w:type="dxa"/>
              <w:left w:w="113" w:type="dxa"/>
              <w:bottom w:w="170" w:type="dxa"/>
              <w:right w:w="113" w:type="dxa"/>
            </w:tcMar>
          </w:tcPr>
          <w:p w14:paraId="5211852A" w14:textId="77777777" w:rsidR="00EC25DE" w:rsidRPr="00EC25DE" w:rsidRDefault="00EC25DE">
            <w:pPr>
              <w:pStyle w:val="TABLETEXT"/>
              <w:rPr>
                <w:color w:val="FFFFFF" w:themeColor="background1"/>
              </w:rPr>
            </w:pPr>
            <w:r w:rsidRPr="00EC25DE">
              <w:rPr>
                <w:b/>
                <w:bCs/>
                <w:color w:val="FFFFFF" w:themeColor="background1"/>
                <w14:textOutline w14:w="9525" w14:cap="flat" w14:cmpd="sng" w14:algn="ctr">
                  <w14:noFill/>
                  <w14:prstDash w14:val="solid"/>
                  <w14:round/>
                </w14:textOutline>
              </w:rPr>
              <w:t>SA</w:t>
            </w:r>
          </w:p>
        </w:tc>
        <w:tc>
          <w:tcPr>
            <w:tcW w:w="9772" w:type="dxa"/>
            <w:tcBorders>
              <w:top w:val="dotted" w:sz="8" w:space="0" w:color="414D59"/>
              <w:left w:val="single" w:sz="6" w:space="0" w:color="000000"/>
              <w:bottom w:val="dotted" w:sz="8" w:space="0" w:color="414D59"/>
              <w:right w:val="single" w:sz="6" w:space="0" w:color="000000"/>
            </w:tcBorders>
            <w:tcMar>
              <w:top w:w="170" w:type="dxa"/>
              <w:left w:w="113" w:type="dxa"/>
              <w:bottom w:w="170" w:type="dxa"/>
              <w:right w:w="113" w:type="dxa"/>
            </w:tcMar>
          </w:tcPr>
          <w:p w14:paraId="052E6B63" w14:textId="77777777" w:rsidR="00EC25DE" w:rsidRDefault="00EC25DE">
            <w:pPr>
              <w:pStyle w:val="TABLETEXT"/>
              <w:rPr>
                <w:b/>
                <w:bCs/>
                <w:i/>
                <w:iCs/>
              </w:rPr>
            </w:pPr>
            <w:r>
              <w:rPr>
                <w:b/>
                <w:bCs/>
                <w:i/>
                <w:iCs/>
              </w:rPr>
              <w:t>Waste Strategy 2015–2020</w:t>
            </w:r>
          </w:p>
          <w:p w14:paraId="60DA6CB6" w14:textId="77777777" w:rsidR="00EC25DE" w:rsidRDefault="00EC25DE" w:rsidP="00EC25DE">
            <w:pPr>
              <w:pStyle w:val="Bullet1"/>
              <w:numPr>
                <w:ilvl w:val="0"/>
                <w:numId w:val="3"/>
              </w:numPr>
              <w:spacing w:after="57"/>
            </w:pPr>
            <w:r>
              <w:t>35% reduction in landfill disposal by 2020</w:t>
            </w:r>
          </w:p>
          <w:p w14:paraId="3689615A" w14:textId="77777777" w:rsidR="00EC25DE" w:rsidRDefault="00EC25DE" w:rsidP="00EC25DE">
            <w:pPr>
              <w:pStyle w:val="Bullet1"/>
              <w:numPr>
                <w:ilvl w:val="0"/>
                <w:numId w:val="3"/>
              </w:numPr>
              <w:spacing w:after="57"/>
            </w:pPr>
            <w:r>
              <w:t>5% reduction in waste generation per capita by 2020</w:t>
            </w:r>
          </w:p>
          <w:p w14:paraId="4F688E5D" w14:textId="77777777" w:rsidR="00EC25DE" w:rsidRDefault="00EC25DE">
            <w:pPr>
              <w:pStyle w:val="Text"/>
              <w:spacing w:after="0"/>
            </w:pPr>
            <w:r>
              <w:t>For metropolitan areas:</w:t>
            </w:r>
          </w:p>
          <w:p w14:paraId="792A695D" w14:textId="77777777" w:rsidR="00EC25DE" w:rsidRDefault="00EC25DE" w:rsidP="00EC25DE">
            <w:pPr>
              <w:pStyle w:val="Bullet1"/>
              <w:numPr>
                <w:ilvl w:val="0"/>
                <w:numId w:val="3"/>
              </w:numPr>
              <w:spacing w:after="57"/>
            </w:pPr>
            <w:r>
              <w:t>70% landfill diversion for municipal solid waste by 2020</w:t>
            </w:r>
          </w:p>
          <w:p w14:paraId="6B18FDFB" w14:textId="77777777" w:rsidR="00EC25DE" w:rsidRDefault="00EC25DE" w:rsidP="00EC25DE">
            <w:pPr>
              <w:pStyle w:val="Bullet1"/>
              <w:numPr>
                <w:ilvl w:val="0"/>
                <w:numId w:val="3"/>
              </w:numPr>
              <w:spacing w:after="57"/>
            </w:pPr>
            <w:r>
              <w:t>80% landfill diversion for commercial and industrial waste by 2020</w:t>
            </w:r>
          </w:p>
          <w:p w14:paraId="38D48749" w14:textId="77777777" w:rsidR="00EC25DE" w:rsidRDefault="00EC25DE" w:rsidP="00EC25DE">
            <w:pPr>
              <w:pStyle w:val="Bullet1"/>
              <w:numPr>
                <w:ilvl w:val="0"/>
                <w:numId w:val="3"/>
              </w:numPr>
              <w:spacing w:after="57"/>
            </w:pPr>
            <w:r>
              <w:t>90% landfill diversion for construction and demolition waste by 2020.</w:t>
            </w:r>
          </w:p>
          <w:p w14:paraId="4C56D429" w14:textId="77777777" w:rsidR="00EC25DE" w:rsidRDefault="00EC25DE">
            <w:pPr>
              <w:pStyle w:val="Bullet1"/>
              <w:spacing w:after="57"/>
              <w:ind w:left="0" w:firstLine="0"/>
            </w:pPr>
            <w:r>
              <w:t>For non-metropolitan areas:</w:t>
            </w:r>
          </w:p>
          <w:p w14:paraId="3A15FE2A" w14:textId="77777777" w:rsidR="00EC25DE" w:rsidRDefault="00EC25DE" w:rsidP="00EC25DE">
            <w:pPr>
              <w:pStyle w:val="Bullet1"/>
              <w:numPr>
                <w:ilvl w:val="0"/>
                <w:numId w:val="3"/>
              </w:numPr>
              <w:spacing w:after="57"/>
            </w:pPr>
            <w:r>
              <w:t>Maximise diversion to the extent practically and economically achievable</w:t>
            </w:r>
          </w:p>
        </w:tc>
      </w:tr>
      <w:tr w:rsidR="00EC25DE" w14:paraId="279312C7" w14:textId="77777777" w:rsidTr="00EC25DE">
        <w:trPr>
          <w:trHeight w:val="60"/>
        </w:trPr>
        <w:tc>
          <w:tcPr>
            <w:tcW w:w="718" w:type="dxa"/>
            <w:tcBorders>
              <w:top w:val="dotted" w:sz="8" w:space="0" w:color="414D59"/>
              <w:left w:val="single" w:sz="6" w:space="0" w:color="414D59"/>
              <w:bottom w:val="dotted" w:sz="8" w:space="0" w:color="414D59"/>
              <w:right w:val="single" w:sz="6" w:space="0" w:color="000000"/>
            </w:tcBorders>
            <w:shd w:val="solid" w:color="414D59" w:fill="auto"/>
            <w:tcMar>
              <w:top w:w="170" w:type="dxa"/>
              <w:left w:w="113" w:type="dxa"/>
              <w:bottom w:w="170" w:type="dxa"/>
              <w:right w:w="113" w:type="dxa"/>
            </w:tcMar>
          </w:tcPr>
          <w:p w14:paraId="209E4328" w14:textId="77777777" w:rsidR="00EC25DE" w:rsidRPr="00EC25DE" w:rsidRDefault="00EC25DE">
            <w:pPr>
              <w:pStyle w:val="TABLETEXT"/>
              <w:rPr>
                <w:color w:val="FFFFFF" w:themeColor="background1"/>
              </w:rPr>
            </w:pPr>
            <w:r w:rsidRPr="00EC25DE">
              <w:rPr>
                <w:b/>
                <w:bCs/>
                <w:color w:val="FFFFFF" w:themeColor="background1"/>
                <w14:textOutline w14:w="9525" w14:cap="flat" w14:cmpd="sng" w14:algn="ctr">
                  <w14:noFill/>
                  <w14:prstDash w14:val="solid"/>
                  <w14:round/>
                </w14:textOutline>
              </w:rPr>
              <w:t>TAS</w:t>
            </w:r>
          </w:p>
        </w:tc>
        <w:tc>
          <w:tcPr>
            <w:tcW w:w="9772" w:type="dxa"/>
            <w:tcBorders>
              <w:top w:val="dotted" w:sz="8" w:space="0" w:color="414D59"/>
              <w:left w:val="single" w:sz="6" w:space="0" w:color="000000"/>
              <w:bottom w:val="dotted" w:sz="8" w:space="0" w:color="414D59"/>
              <w:right w:val="single" w:sz="6" w:space="0" w:color="000000"/>
            </w:tcBorders>
            <w:tcMar>
              <w:top w:w="170" w:type="dxa"/>
              <w:left w:w="113" w:type="dxa"/>
              <w:bottom w:w="170" w:type="dxa"/>
              <w:right w:w="113" w:type="dxa"/>
            </w:tcMar>
          </w:tcPr>
          <w:p w14:paraId="72830CE7" w14:textId="77777777" w:rsidR="00EC25DE" w:rsidRDefault="00EC25DE">
            <w:pPr>
              <w:pStyle w:val="TABLETEXT"/>
              <w:rPr>
                <w:b/>
                <w:bCs/>
                <w:i/>
                <w:iCs/>
              </w:rPr>
            </w:pPr>
            <w:r>
              <w:rPr>
                <w:b/>
                <w:bCs/>
                <w:i/>
                <w:iCs/>
              </w:rPr>
              <w:t>Waste Action Plan (Draft)</w:t>
            </w:r>
          </w:p>
          <w:p w14:paraId="2892DCAD" w14:textId="77777777" w:rsidR="00EC25DE" w:rsidRPr="003E419C" w:rsidRDefault="00EC25DE">
            <w:pPr>
              <w:pStyle w:val="TABLETEXT"/>
            </w:pPr>
            <w:r w:rsidRPr="003E419C">
              <w:t>Open for public consultation until October 2019. Includes the following actions and targets:</w:t>
            </w:r>
          </w:p>
          <w:p w14:paraId="25289BE9" w14:textId="77777777" w:rsidR="00EC25DE" w:rsidRPr="003E419C" w:rsidRDefault="00EC25DE" w:rsidP="003E419C">
            <w:pPr>
              <w:pStyle w:val="Bullet1"/>
              <w:numPr>
                <w:ilvl w:val="0"/>
                <w:numId w:val="3"/>
              </w:numPr>
            </w:pPr>
            <w:r w:rsidRPr="003E419C">
              <w:t>Introduce a waste levy by 2021 to fund waste management and resource recovery activities</w:t>
            </w:r>
          </w:p>
          <w:p w14:paraId="21F202ED" w14:textId="77777777" w:rsidR="00EC25DE" w:rsidRPr="003E419C" w:rsidRDefault="00EC25DE" w:rsidP="003E419C">
            <w:pPr>
              <w:pStyle w:val="Bullet1"/>
              <w:numPr>
                <w:ilvl w:val="0"/>
                <w:numId w:val="3"/>
              </w:numPr>
            </w:pPr>
            <w:r w:rsidRPr="003E419C">
              <w:t>Introduce a Container Refund Scheme in Tasmania by the end of 2022</w:t>
            </w:r>
          </w:p>
          <w:p w14:paraId="5C670A4C" w14:textId="77777777" w:rsidR="00EC25DE" w:rsidRPr="003E419C" w:rsidRDefault="00EC25DE" w:rsidP="003E419C">
            <w:pPr>
              <w:pStyle w:val="Bullet1"/>
              <w:numPr>
                <w:ilvl w:val="0"/>
                <w:numId w:val="3"/>
              </w:numPr>
            </w:pPr>
            <w:r w:rsidRPr="003E419C">
              <w:t>Ensure 100% of packaging is reusable, recyclable or compostable by 2025</w:t>
            </w:r>
          </w:p>
          <w:p w14:paraId="7802FB65" w14:textId="77777777" w:rsidR="00EC25DE" w:rsidRPr="003E419C" w:rsidRDefault="00EC25DE" w:rsidP="003E419C">
            <w:pPr>
              <w:pStyle w:val="Bullet1"/>
              <w:numPr>
                <w:ilvl w:val="0"/>
                <w:numId w:val="3"/>
              </w:numPr>
            </w:pPr>
            <w:r w:rsidRPr="003E419C">
              <w:t>Reduce waste generated in Tasmania by 5% per person by 2025 and 10% by 2030</w:t>
            </w:r>
          </w:p>
          <w:p w14:paraId="25734036" w14:textId="77777777" w:rsidR="00EC25DE" w:rsidRPr="003E419C" w:rsidRDefault="00EC25DE" w:rsidP="003E419C">
            <w:pPr>
              <w:pStyle w:val="Bullet1"/>
              <w:numPr>
                <w:ilvl w:val="0"/>
                <w:numId w:val="3"/>
              </w:numPr>
            </w:pPr>
            <w:r w:rsidRPr="003E419C">
              <w:lastRenderedPageBreak/>
              <w:t>Achieve a 40% average recovery rate from all waste streams by 2025 and 80% by 2030</w:t>
            </w:r>
          </w:p>
          <w:p w14:paraId="51732E75" w14:textId="77777777" w:rsidR="00EC25DE" w:rsidRDefault="00EC25DE" w:rsidP="00EC25DE">
            <w:pPr>
              <w:pStyle w:val="Bullet1"/>
              <w:numPr>
                <w:ilvl w:val="0"/>
                <w:numId w:val="2"/>
              </w:numPr>
            </w:pPr>
            <w:r>
              <w:t>Have the lowest incidence of littering in the country by 2023</w:t>
            </w:r>
          </w:p>
          <w:p w14:paraId="4ACA2C59" w14:textId="0D9D1A96" w:rsidR="00EC25DE" w:rsidRDefault="00EC25DE" w:rsidP="00EC25DE">
            <w:pPr>
              <w:pStyle w:val="Bullet1"/>
              <w:numPr>
                <w:ilvl w:val="0"/>
                <w:numId w:val="2"/>
              </w:numPr>
            </w:pPr>
            <w:r>
              <w:t>Work at the national level and with local government and businesses in Tasmania to phase out problematic and unnecessary plastics by 2030</w:t>
            </w:r>
          </w:p>
          <w:p w14:paraId="4914371C" w14:textId="77777777" w:rsidR="00EC25DE" w:rsidRDefault="00EC25DE" w:rsidP="00EC25DE">
            <w:pPr>
              <w:pStyle w:val="Bullet1"/>
              <w:numPr>
                <w:ilvl w:val="0"/>
                <w:numId w:val="2"/>
              </w:numPr>
            </w:pPr>
            <w:r>
              <w:t>Reduce the volume of organic waste sent to landfill by 25% by 2025 and 50% by 2030</w:t>
            </w:r>
          </w:p>
        </w:tc>
      </w:tr>
      <w:tr w:rsidR="00EC25DE" w14:paraId="51B35214" w14:textId="77777777" w:rsidTr="00EC25DE">
        <w:trPr>
          <w:trHeight w:val="60"/>
        </w:trPr>
        <w:tc>
          <w:tcPr>
            <w:tcW w:w="718" w:type="dxa"/>
            <w:tcBorders>
              <w:top w:val="dotted" w:sz="8" w:space="0" w:color="414D59"/>
              <w:left w:val="single" w:sz="6" w:space="0" w:color="414D59"/>
              <w:bottom w:val="dotted" w:sz="8" w:space="0" w:color="414D59"/>
              <w:right w:val="single" w:sz="6" w:space="0" w:color="000000"/>
            </w:tcBorders>
            <w:shd w:val="solid" w:color="414D59" w:fill="auto"/>
            <w:tcMar>
              <w:top w:w="170" w:type="dxa"/>
              <w:left w:w="113" w:type="dxa"/>
              <w:bottom w:w="170" w:type="dxa"/>
              <w:right w:w="113" w:type="dxa"/>
            </w:tcMar>
          </w:tcPr>
          <w:p w14:paraId="50441B75" w14:textId="77777777" w:rsidR="00EC25DE" w:rsidRPr="00EC25DE" w:rsidRDefault="00EC25DE">
            <w:pPr>
              <w:pStyle w:val="TABLETEXT"/>
              <w:rPr>
                <w:color w:val="FFFFFF" w:themeColor="background1"/>
              </w:rPr>
            </w:pPr>
            <w:r w:rsidRPr="00EC25DE">
              <w:rPr>
                <w:b/>
                <w:bCs/>
                <w:color w:val="FFFFFF" w:themeColor="background1"/>
                <w14:textOutline w14:w="9525" w14:cap="flat" w14:cmpd="sng" w14:algn="ctr">
                  <w14:noFill/>
                  <w14:prstDash w14:val="solid"/>
                  <w14:round/>
                </w14:textOutline>
              </w:rPr>
              <w:lastRenderedPageBreak/>
              <w:t>VIC</w:t>
            </w:r>
          </w:p>
        </w:tc>
        <w:tc>
          <w:tcPr>
            <w:tcW w:w="9772" w:type="dxa"/>
            <w:tcBorders>
              <w:top w:val="dotted" w:sz="8" w:space="0" w:color="414D59"/>
              <w:left w:val="single" w:sz="6" w:space="0" w:color="000000"/>
              <w:bottom w:val="dotted" w:sz="8" w:space="0" w:color="414D59"/>
              <w:right w:val="single" w:sz="6" w:space="0" w:color="000000"/>
            </w:tcBorders>
            <w:tcMar>
              <w:top w:w="170" w:type="dxa"/>
              <w:left w:w="113" w:type="dxa"/>
              <w:bottom w:w="170" w:type="dxa"/>
              <w:right w:w="113" w:type="dxa"/>
            </w:tcMar>
          </w:tcPr>
          <w:p w14:paraId="5FDE3610" w14:textId="77777777" w:rsidR="00EC25DE" w:rsidRDefault="00EC25DE">
            <w:pPr>
              <w:pStyle w:val="TABLETEXT"/>
              <w:rPr>
                <w:b/>
                <w:bCs/>
                <w:i/>
                <w:iCs/>
              </w:rPr>
            </w:pPr>
            <w:r>
              <w:rPr>
                <w:b/>
                <w:bCs/>
                <w:i/>
                <w:iCs/>
              </w:rPr>
              <w:t>Circular Economy Policy and Action Plan (Draft)</w:t>
            </w:r>
          </w:p>
          <w:p w14:paraId="6ACCE67E" w14:textId="77777777" w:rsidR="00EC25DE" w:rsidRDefault="00EC25DE">
            <w:pPr>
              <w:pStyle w:val="TABLETEXT"/>
            </w:pPr>
            <w:r>
              <w:t>Open for public consultation, to be finalised late 2019</w:t>
            </w:r>
          </w:p>
        </w:tc>
      </w:tr>
      <w:tr w:rsidR="00EC25DE" w14:paraId="694F75C4" w14:textId="77777777" w:rsidTr="00EC25DE">
        <w:trPr>
          <w:trHeight w:val="1997"/>
        </w:trPr>
        <w:tc>
          <w:tcPr>
            <w:tcW w:w="718" w:type="dxa"/>
            <w:tcBorders>
              <w:top w:val="dotted" w:sz="8" w:space="0" w:color="414D59"/>
              <w:left w:val="single" w:sz="6" w:space="0" w:color="414D59"/>
              <w:bottom w:val="dotted" w:sz="8" w:space="0" w:color="414D59"/>
              <w:right w:val="single" w:sz="6" w:space="0" w:color="000000"/>
            </w:tcBorders>
            <w:shd w:val="solid" w:color="414D59" w:fill="auto"/>
            <w:tcMar>
              <w:top w:w="170" w:type="dxa"/>
              <w:left w:w="113" w:type="dxa"/>
              <w:bottom w:w="170" w:type="dxa"/>
              <w:right w:w="113" w:type="dxa"/>
            </w:tcMar>
          </w:tcPr>
          <w:p w14:paraId="6760AF17" w14:textId="77777777" w:rsidR="00EC25DE" w:rsidRPr="00EC25DE" w:rsidRDefault="00EC25DE">
            <w:pPr>
              <w:pStyle w:val="TABLETEXT"/>
              <w:rPr>
                <w:color w:val="FFFFFF" w:themeColor="background1"/>
              </w:rPr>
            </w:pPr>
            <w:r w:rsidRPr="00EC25DE">
              <w:rPr>
                <w:b/>
                <w:bCs/>
                <w:color w:val="FFFFFF" w:themeColor="background1"/>
                <w14:textOutline w14:w="9525" w14:cap="flat" w14:cmpd="sng" w14:algn="ctr">
                  <w14:noFill/>
                  <w14:prstDash w14:val="solid"/>
                  <w14:round/>
                </w14:textOutline>
              </w:rPr>
              <w:t>WA</w:t>
            </w:r>
          </w:p>
        </w:tc>
        <w:tc>
          <w:tcPr>
            <w:tcW w:w="9772" w:type="dxa"/>
            <w:tcBorders>
              <w:top w:val="dotted" w:sz="8" w:space="0" w:color="414D59"/>
              <w:left w:val="single" w:sz="6" w:space="0" w:color="000000"/>
              <w:bottom w:val="dotted" w:sz="8" w:space="0" w:color="414D59"/>
              <w:right w:val="single" w:sz="6" w:space="0" w:color="000000"/>
            </w:tcBorders>
            <w:tcMar>
              <w:top w:w="170" w:type="dxa"/>
              <w:left w:w="113" w:type="dxa"/>
              <w:bottom w:w="170" w:type="dxa"/>
              <w:right w:w="113" w:type="dxa"/>
            </w:tcMar>
          </w:tcPr>
          <w:p w14:paraId="0329FFCB" w14:textId="77777777" w:rsidR="00EC25DE" w:rsidRDefault="00EC25DE">
            <w:pPr>
              <w:pStyle w:val="TABLETEXT"/>
              <w:rPr>
                <w:b/>
                <w:bCs/>
                <w:i/>
                <w:iCs/>
              </w:rPr>
            </w:pPr>
            <w:r>
              <w:rPr>
                <w:b/>
                <w:bCs/>
                <w:i/>
                <w:iCs/>
              </w:rPr>
              <w:t>Waste Avoidance and Resource Recovery Strategy 2014–21</w:t>
            </w:r>
          </w:p>
          <w:p w14:paraId="7D46BA93" w14:textId="77777777" w:rsidR="00EC25DE" w:rsidRDefault="00EC25DE" w:rsidP="00EC25DE">
            <w:pPr>
              <w:pStyle w:val="Bullet1"/>
              <w:numPr>
                <w:ilvl w:val="0"/>
                <w:numId w:val="1"/>
              </w:numPr>
            </w:pPr>
            <w:r>
              <w:t>20% reduction in waste generation per capita by 2030</w:t>
            </w:r>
          </w:p>
          <w:p w14:paraId="1D70A393" w14:textId="77777777" w:rsidR="00EC25DE" w:rsidRDefault="00EC25DE" w:rsidP="00EC25DE">
            <w:pPr>
              <w:pStyle w:val="Bullet1"/>
              <w:numPr>
                <w:ilvl w:val="0"/>
                <w:numId w:val="1"/>
              </w:numPr>
            </w:pPr>
            <w:r>
              <w:t>Increase material recovery to 75% by 2030</w:t>
            </w:r>
          </w:p>
          <w:p w14:paraId="054006DD" w14:textId="77777777" w:rsidR="00EC25DE" w:rsidRDefault="00EC25DE" w:rsidP="00EC25DE">
            <w:pPr>
              <w:pStyle w:val="Bullet1"/>
              <w:numPr>
                <w:ilvl w:val="0"/>
                <w:numId w:val="1"/>
              </w:numPr>
            </w:pPr>
            <w:r>
              <w:t>Recover energy only from residual waste from 2020</w:t>
            </w:r>
          </w:p>
          <w:p w14:paraId="0453F234" w14:textId="77777777" w:rsidR="00EC25DE" w:rsidRDefault="00EC25DE" w:rsidP="00EC25DE">
            <w:pPr>
              <w:pStyle w:val="Bullet1"/>
              <w:numPr>
                <w:ilvl w:val="0"/>
                <w:numId w:val="1"/>
              </w:numPr>
            </w:pPr>
            <w:r>
              <w:t>No more than 15% of waste generated in Perth and Peel regions is landfilled by 2030</w:t>
            </w:r>
          </w:p>
          <w:p w14:paraId="237F64EC" w14:textId="77777777" w:rsidR="00EC25DE" w:rsidRDefault="00EC25DE" w:rsidP="00EC25DE">
            <w:pPr>
              <w:pStyle w:val="Bullet1"/>
              <w:numPr>
                <w:ilvl w:val="0"/>
                <w:numId w:val="1"/>
              </w:numPr>
            </w:pPr>
            <w:r>
              <w:t>All waste is managed and/or disposed to better practice facilities by 2030</w:t>
            </w:r>
          </w:p>
        </w:tc>
      </w:tr>
    </w:tbl>
    <w:p w14:paraId="2865DDB6" w14:textId="77777777" w:rsidR="00EC25DE" w:rsidRDefault="00EC25DE" w:rsidP="00EC25DE">
      <w:pPr>
        <w:pStyle w:val="Bullet2"/>
        <w:ind w:left="0" w:firstLine="0"/>
      </w:pPr>
    </w:p>
    <w:p w14:paraId="6AD6A4AC" w14:textId="77777777" w:rsidR="00EC25DE" w:rsidRDefault="00EC25DE">
      <w:pPr>
        <w:rPr>
          <w:rFonts w:ascii="Calibri" w:hAnsi="Calibri" w:cs="Calibri"/>
          <w:b/>
          <w:bCs/>
          <w:color w:val="D7510C"/>
          <w:sz w:val="60"/>
          <w:szCs w:val="80"/>
          <w:lang w:val="en-GB"/>
        </w:rPr>
      </w:pPr>
      <w:r>
        <w:br w:type="page"/>
      </w:r>
    </w:p>
    <w:p w14:paraId="66F74C1B" w14:textId="4F181B28" w:rsidR="00EC25DE" w:rsidRPr="00EC25DE" w:rsidRDefault="00EC25DE" w:rsidP="00EC25DE">
      <w:pPr>
        <w:pStyle w:val="Heading1"/>
      </w:pPr>
      <w:bookmarkStart w:id="12" w:name="_Toc24118136"/>
      <w:r w:rsidRPr="00EC25DE">
        <w:lastRenderedPageBreak/>
        <w:t>Glossary</w:t>
      </w:r>
      <w:bookmarkEnd w:id="12"/>
    </w:p>
    <w:tbl>
      <w:tblPr>
        <w:tblW w:w="0" w:type="auto"/>
        <w:tblLayout w:type="fixed"/>
        <w:tblCellMar>
          <w:left w:w="0" w:type="dxa"/>
          <w:right w:w="0" w:type="dxa"/>
        </w:tblCellMar>
        <w:tblLook w:val="0000" w:firstRow="0" w:lastRow="0" w:firstColumn="0" w:lastColumn="0" w:noHBand="0" w:noVBand="0"/>
      </w:tblPr>
      <w:tblGrid>
        <w:gridCol w:w="2551"/>
        <w:gridCol w:w="6860"/>
      </w:tblGrid>
      <w:tr w:rsidR="00EC25DE" w14:paraId="68575CB4"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54C7ACA7" w14:textId="77777777" w:rsidR="00EC25DE" w:rsidRDefault="00EC25DE">
            <w:pPr>
              <w:pStyle w:val="TABLETEXT"/>
            </w:pPr>
            <w:r>
              <w:t>Business sector</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0B376CD8" w14:textId="77777777" w:rsidR="00EC25DE" w:rsidRDefault="00EC25DE">
            <w:pPr>
              <w:pStyle w:val="TABLETEXT"/>
            </w:pPr>
            <w:r>
              <w:t>This sector includes manufacturers, wholesalers, importers and retailers, both in Australia and overseas, that generate waste in Australia as part of their business processes.</w:t>
            </w:r>
          </w:p>
        </w:tc>
      </w:tr>
      <w:tr w:rsidR="00EC25DE" w14:paraId="34F6896C"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7A8C551B" w14:textId="77777777" w:rsidR="00EC25DE" w:rsidRDefault="00EC25DE">
            <w:pPr>
              <w:pStyle w:val="TABLETEXT"/>
            </w:pPr>
            <w:r>
              <w:t>Circular economy</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74A9E657" w14:textId="77777777" w:rsidR="00EC25DE" w:rsidRDefault="00EC25DE">
            <w:pPr>
              <w:pStyle w:val="TABLETEXT"/>
            </w:pPr>
            <w:r>
              <w:t>At the broadest level, a circular economy aims to change the patterns of natural resource use in the economy in order to achieve sustainable growth by slowing, narrowing or closing material loops.</w:t>
            </w:r>
          </w:p>
        </w:tc>
      </w:tr>
      <w:tr w:rsidR="00EC25DE" w14:paraId="4E3F2DC0"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7102CAC6" w14:textId="77777777" w:rsidR="00EC25DE" w:rsidRDefault="00EC25DE">
            <w:pPr>
              <w:pStyle w:val="TABLETEXT"/>
            </w:pPr>
            <w:r>
              <w:t>Commercial and industrial waste</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132A0645" w14:textId="77777777" w:rsidR="00EC25DE" w:rsidRDefault="00EC25DE">
            <w:pPr>
              <w:pStyle w:val="TABLETEXT"/>
            </w:pPr>
            <w:r>
              <w:t>Waste produced by institutions and businesses, including offices, schools, restaurants, retail and wholesale businesses, and industries such as manufacturing.</w:t>
            </w:r>
          </w:p>
        </w:tc>
      </w:tr>
      <w:tr w:rsidR="00EC25DE" w14:paraId="0539D11F"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68CB10CA" w14:textId="77777777" w:rsidR="00EC25DE" w:rsidRDefault="00EC25DE">
            <w:pPr>
              <w:pStyle w:val="TABLETEXT"/>
            </w:pPr>
            <w:r>
              <w:t>Construction and demolition waste</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515000C1" w14:textId="77777777" w:rsidR="00EC25DE" w:rsidRDefault="00EC25DE">
            <w:pPr>
              <w:pStyle w:val="TABLETEXT"/>
            </w:pPr>
            <w:r>
              <w:t>Waste produced by demolition and building activities, including road and rail construction and maintenance, and land excavation associated with construction activities.</w:t>
            </w:r>
          </w:p>
        </w:tc>
      </w:tr>
      <w:tr w:rsidR="00EC25DE" w14:paraId="167B6795"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1618400C" w14:textId="77777777" w:rsidR="00EC25DE" w:rsidRDefault="00EC25DE">
            <w:pPr>
              <w:pStyle w:val="TABLETEXT"/>
            </w:pPr>
            <w:r>
              <w:t>Energy from waste</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3B5DBF29" w14:textId="77777777" w:rsidR="00EC25DE" w:rsidRDefault="00EC25DE">
            <w:pPr>
              <w:pStyle w:val="TABLETEXT"/>
            </w:pPr>
            <w:r>
              <w:t>Processes where energy is recovered from waste, creating usable heat, electricity or fuel.</w:t>
            </w:r>
          </w:p>
        </w:tc>
      </w:tr>
      <w:tr w:rsidR="00EC25DE" w14:paraId="0A257417"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174170E2" w14:textId="77777777" w:rsidR="00EC25DE" w:rsidRDefault="00EC25DE">
            <w:pPr>
              <w:pStyle w:val="TABLETEXT"/>
            </w:pPr>
            <w:r>
              <w:t>Food waste</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449458F4" w14:textId="47A6949B" w:rsidR="00EC25DE" w:rsidRDefault="00EC25DE">
            <w:pPr>
              <w:pStyle w:val="TABLETEXT"/>
            </w:pPr>
            <w:r>
              <w:t xml:space="preserve">Food that does not reach the consumer, or reaches the consumer but is thrown away. More information is available at: </w:t>
            </w:r>
            <w:hyperlink r:id="rId10" w:history="1">
              <w:r w:rsidRPr="00EC25DE">
                <w:rPr>
                  <w:rStyle w:val="Hyperlink"/>
                  <w:u w:val="none"/>
                </w:rPr>
                <w:t>environment.gov.au/protection/waste-resource-recovery/publications/national-food-waste-strategy</w:t>
              </w:r>
            </w:hyperlink>
            <w:r w:rsidRPr="00EC25DE">
              <w:rPr>
                <w:rStyle w:val="Hyperlink"/>
                <w:u w:val="none"/>
              </w:rPr>
              <w:t xml:space="preserve"> </w:t>
            </w:r>
          </w:p>
        </w:tc>
      </w:tr>
      <w:tr w:rsidR="00EC25DE" w14:paraId="3446DFA7"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59E35BF6" w14:textId="77777777" w:rsidR="00EC25DE" w:rsidRDefault="00EC25DE">
            <w:pPr>
              <w:pStyle w:val="TABLETEXT"/>
            </w:pPr>
            <w:r>
              <w:t>Hazardous waste</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024BE2C2" w14:textId="77777777" w:rsidR="00EC25DE" w:rsidRDefault="00EC25DE">
            <w:pPr>
              <w:pStyle w:val="TABLETEXT"/>
            </w:pPr>
            <w:r>
              <w:t>Wastes requiring higher levels of control to avoid impacts on human health and the environment. They may contain hazardous substances or have hazardous characteristics.</w:t>
            </w:r>
          </w:p>
        </w:tc>
      </w:tr>
      <w:tr w:rsidR="00EC25DE" w14:paraId="36E372DA"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1DFEE5D6" w14:textId="77777777" w:rsidR="00EC25DE" w:rsidRDefault="00EC25DE">
            <w:pPr>
              <w:pStyle w:val="TABLETEXT"/>
            </w:pPr>
            <w:r>
              <w:t>Material flows</w:t>
            </w:r>
            <w:r>
              <w:tab/>
            </w:r>
            <w:r>
              <w:tab/>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56C3F6E4" w14:textId="77777777" w:rsidR="00EC25DE" w:rsidRDefault="00EC25DE">
            <w:pPr>
              <w:pStyle w:val="TABLETEXT"/>
            </w:pPr>
            <w:r>
              <w:t>The way materials pass through production, distribution and use processes in an economy.</w:t>
            </w:r>
          </w:p>
        </w:tc>
      </w:tr>
      <w:tr w:rsidR="00EC25DE" w14:paraId="2D086CBD"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4EB9EFDC" w14:textId="77777777" w:rsidR="00EC25DE" w:rsidRDefault="00EC25DE">
            <w:pPr>
              <w:pStyle w:val="TABLETEXT"/>
            </w:pPr>
            <w:r>
              <w:t>Municipal solid waste</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4E339C85" w14:textId="77777777" w:rsidR="00EC25DE" w:rsidRDefault="00EC25DE">
            <w:pPr>
              <w:pStyle w:val="TABLETEXT"/>
            </w:pPr>
            <w:r>
              <w:t>Waste produced by households and council operations, including hard waste collections, street sweepings, and waste dropped off at waste and resource recovery facilities by members of the public.</w:t>
            </w:r>
          </w:p>
        </w:tc>
      </w:tr>
      <w:tr w:rsidR="00EC25DE" w14:paraId="288BBC4F"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37406102" w14:textId="77777777" w:rsidR="00EC25DE" w:rsidRDefault="00EC25DE">
            <w:pPr>
              <w:pStyle w:val="TABLETEXT"/>
            </w:pPr>
            <w:r>
              <w:t xml:space="preserve">National classifications </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3BD6551B" w14:textId="77777777" w:rsidR="00EC25DE" w:rsidRDefault="00EC25DE">
            <w:pPr>
              <w:pStyle w:val="TABLETEXT"/>
            </w:pPr>
            <w:r>
              <w:t>Sets of names and associated definitions covering sources, flows, management and fates of materials, including for data and reporting purposes.</w:t>
            </w:r>
          </w:p>
        </w:tc>
      </w:tr>
      <w:tr w:rsidR="00EC25DE" w14:paraId="0FC890DD"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13C3F1D4" w14:textId="77777777" w:rsidR="00EC25DE" w:rsidRDefault="00EC25DE">
            <w:pPr>
              <w:pStyle w:val="TABLETEXT"/>
            </w:pPr>
            <w:r>
              <w:t xml:space="preserve">Organic waste </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5F20FE4C" w14:textId="77777777" w:rsidR="00EC25DE" w:rsidRDefault="00EC25DE">
            <w:pPr>
              <w:pStyle w:val="TABLETEXT"/>
            </w:pPr>
            <w:r>
              <w:t>Wastes derived from material that was once living, excluding petroleum-based materials.</w:t>
            </w:r>
          </w:p>
        </w:tc>
      </w:tr>
      <w:tr w:rsidR="00EC25DE" w14:paraId="55EEB924"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1C6A2D4D" w14:textId="77777777" w:rsidR="00EC25DE" w:rsidRDefault="00EC25DE">
            <w:pPr>
              <w:pStyle w:val="TABLETEXT"/>
            </w:pPr>
            <w:r>
              <w:t>Product</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3058B399" w14:textId="77777777" w:rsidR="00EC25DE" w:rsidRDefault="00EC25DE">
            <w:pPr>
              <w:pStyle w:val="TABLETEXT"/>
            </w:pPr>
            <w:r>
              <w:t>An article or substance that is manufactured or refined for sale.</w:t>
            </w:r>
          </w:p>
        </w:tc>
      </w:tr>
      <w:tr w:rsidR="00EC25DE" w14:paraId="1F76AA20"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42417BA3" w14:textId="77777777" w:rsidR="00EC25DE" w:rsidRDefault="00EC25DE">
            <w:pPr>
              <w:pStyle w:val="TABLETEXT"/>
            </w:pPr>
            <w:r>
              <w:t>Product stewardship</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6530E2B8" w14:textId="77777777" w:rsidR="00EC25DE" w:rsidRDefault="00EC25DE">
            <w:pPr>
              <w:pStyle w:val="TABLETEXT"/>
            </w:pPr>
            <w:r>
              <w:t>The process of taking responsibility for the lifecycle impacts, flows and fates of products or materials. This may involve business, governments and consumers sharing responsibility.</w:t>
            </w:r>
          </w:p>
        </w:tc>
      </w:tr>
      <w:tr w:rsidR="00EC25DE" w14:paraId="5AF3C4ED"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26695C14" w14:textId="77777777" w:rsidR="00EC25DE" w:rsidRDefault="00EC25DE">
            <w:pPr>
              <w:pStyle w:val="TABLETEXT"/>
            </w:pPr>
            <w:r>
              <w:t>Recycling</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32FE2590" w14:textId="77777777" w:rsidR="00EC25DE" w:rsidRDefault="00EC25DE">
            <w:pPr>
              <w:pStyle w:val="TABLETEXT"/>
            </w:pPr>
            <w:r>
              <w:t>Processes for converting materials that would have otherwise been disposed of into new materials.</w:t>
            </w:r>
          </w:p>
        </w:tc>
      </w:tr>
      <w:tr w:rsidR="00EC25DE" w14:paraId="10AFBB64"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54D69A1A" w14:textId="77777777" w:rsidR="00EC25DE" w:rsidRDefault="00EC25DE">
            <w:pPr>
              <w:pStyle w:val="TABLETEXT"/>
            </w:pPr>
            <w:r>
              <w:lastRenderedPageBreak/>
              <w:t>Repair</w:t>
            </w:r>
          </w:p>
          <w:p w14:paraId="47E2C7C3" w14:textId="77777777" w:rsidR="00EC25DE" w:rsidRDefault="00EC25DE">
            <w:pPr>
              <w:pStyle w:val="TABLETEXT"/>
            </w:pP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62166864" w14:textId="77777777" w:rsidR="00EC25DE" w:rsidRDefault="00EC25DE">
            <w:pPr>
              <w:pStyle w:val="TABLETEXT"/>
            </w:pPr>
            <w:r>
              <w:t>Altering a product or material to correct damage or fault, maintaining its use. This may be applied to products or materials before or after they have become waste.</w:t>
            </w:r>
          </w:p>
        </w:tc>
      </w:tr>
      <w:tr w:rsidR="00EC25DE" w14:paraId="44E01985"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40B4B6DB" w14:textId="77777777" w:rsidR="00EC25DE" w:rsidRDefault="00EC25DE">
            <w:pPr>
              <w:pStyle w:val="TABLETEXT"/>
            </w:pPr>
            <w:r>
              <w:t>Reprocessing</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6FD7CCFE" w14:textId="77777777" w:rsidR="00EC25DE" w:rsidRDefault="00EC25DE">
            <w:pPr>
              <w:pStyle w:val="TABLETEXT"/>
            </w:pPr>
            <w:r>
              <w:t>Processes for converting recovered materials into new products.</w:t>
            </w:r>
          </w:p>
        </w:tc>
      </w:tr>
      <w:tr w:rsidR="00EC25DE" w14:paraId="4BFCFA77"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643FD6DC" w14:textId="77777777" w:rsidR="00EC25DE" w:rsidRDefault="00EC25DE">
            <w:pPr>
              <w:pStyle w:val="TABLETEXT"/>
            </w:pPr>
            <w:r>
              <w:t>Resource recovery</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0022A412" w14:textId="77777777" w:rsidR="00EC25DE" w:rsidRDefault="00EC25DE">
            <w:pPr>
              <w:pStyle w:val="TABLETEXT"/>
            </w:pPr>
            <w:r>
              <w:t>Making use of a waste material, including recycling of waste matter and recovering energy or other resources from waste.</w:t>
            </w:r>
          </w:p>
        </w:tc>
      </w:tr>
      <w:tr w:rsidR="00EC25DE" w14:paraId="71887F55"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43217C5A" w14:textId="77777777" w:rsidR="00EC25DE" w:rsidRDefault="00EC25DE">
            <w:pPr>
              <w:pStyle w:val="TABLETEXT"/>
            </w:pPr>
            <w:r>
              <w:t>Reuse</w:t>
            </w:r>
          </w:p>
          <w:p w14:paraId="76AC57BE" w14:textId="77777777" w:rsidR="00EC25DE" w:rsidRDefault="00EC25DE">
            <w:pPr>
              <w:pStyle w:val="TABLETEXT"/>
            </w:pP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4CAF0610" w14:textId="77777777" w:rsidR="00EC25DE" w:rsidRDefault="00EC25DE">
            <w:pPr>
              <w:pStyle w:val="TABLETEXT"/>
            </w:pPr>
            <w:r>
              <w:t>Reallocation of a product or material without reprocessing or remanufacture. This may be applied to products or materials before or after they become waste, including via sale of goods from a tip shop.</w:t>
            </w:r>
          </w:p>
        </w:tc>
      </w:tr>
      <w:tr w:rsidR="00EC25DE" w14:paraId="62868774"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1C89D2D2" w14:textId="77777777" w:rsidR="00EC25DE" w:rsidRDefault="00EC25DE">
            <w:pPr>
              <w:pStyle w:val="TABLETEXT"/>
            </w:pPr>
            <w:r>
              <w:t>Waste</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6E698E57" w14:textId="77777777" w:rsidR="00EC25DE" w:rsidRDefault="00EC25DE">
            <w:pPr>
              <w:pStyle w:val="TABLETEXT"/>
            </w:pPr>
            <w:r>
              <w:t>Material that has finished initial use and entered a waste stream. This includes the waste we recycle as well as the waste we send to landfill.</w:t>
            </w:r>
          </w:p>
        </w:tc>
      </w:tr>
      <w:tr w:rsidR="00EC25DE" w14:paraId="07F01487"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5E07640D" w14:textId="77777777" w:rsidR="00EC25DE" w:rsidRDefault="00EC25DE">
            <w:pPr>
              <w:pStyle w:val="TABLETEXT"/>
            </w:pPr>
            <w:r>
              <w:t>Waste and resource recovery industry</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5C962AAD" w14:textId="77777777" w:rsidR="00EC25DE" w:rsidRDefault="00EC25DE">
            <w:pPr>
              <w:pStyle w:val="TABLETEXT"/>
            </w:pPr>
            <w:r>
              <w:t>This is inclusive of business and organisations involved in collecting, sorting, processing, trading, transporting and disposing of waste.</w:t>
            </w:r>
          </w:p>
        </w:tc>
      </w:tr>
      <w:tr w:rsidR="00EC25DE" w14:paraId="340F22B0"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2050452E" w14:textId="77777777" w:rsidR="00EC25DE" w:rsidRDefault="00EC25DE">
            <w:pPr>
              <w:pStyle w:val="TABLETEXT"/>
            </w:pPr>
            <w:r>
              <w:t xml:space="preserve">Waste avoidance </w:t>
            </w:r>
          </w:p>
          <w:p w14:paraId="427AA9C9" w14:textId="77777777" w:rsidR="00EC25DE" w:rsidRDefault="00EC25DE">
            <w:pPr>
              <w:pStyle w:val="TABLETEXT"/>
            </w:pP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76D06712" w14:textId="77777777" w:rsidR="00EC25DE" w:rsidRDefault="00EC25DE">
            <w:pPr>
              <w:pStyle w:val="TABLETEXT"/>
            </w:pPr>
            <w:r>
              <w:t>Preventing waste generation, including through design of products and changing consumer behaviour to preference durable, reusable and reparable products.</w:t>
            </w:r>
          </w:p>
        </w:tc>
      </w:tr>
      <w:tr w:rsidR="00EC25DE" w14:paraId="5D425795"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43B28B3C" w14:textId="77777777" w:rsidR="00EC25DE" w:rsidRDefault="00EC25DE">
            <w:pPr>
              <w:pStyle w:val="TABLETEXT"/>
            </w:pPr>
            <w:r>
              <w:t xml:space="preserve">Waste generation </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339459B6" w14:textId="77777777" w:rsidR="00EC25DE" w:rsidRDefault="00EC25DE">
            <w:pPr>
              <w:pStyle w:val="TABLETEXT"/>
            </w:pPr>
            <w:r>
              <w:t>The process of producing waste. For data and reporting purposes, waste generation is the sum of the quantities of waste taken to waste management facilities or added to on-site stockpiles. Measures of the total amount of waste generated include the waste we recycle as well as the waste we send to landfill.</w:t>
            </w:r>
          </w:p>
        </w:tc>
      </w:tr>
      <w:tr w:rsidR="00EC25DE" w14:paraId="68ED1CE6" w14:textId="77777777">
        <w:trPr>
          <w:trHeight w:val="60"/>
        </w:trPr>
        <w:tc>
          <w:tcPr>
            <w:tcW w:w="2551" w:type="dxa"/>
            <w:tcBorders>
              <w:top w:val="dotted" w:sz="8" w:space="0" w:color="414D59"/>
              <w:left w:val="nil"/>
              <w:bottom w:val="dotted" w:sz="8" w:space="0" w:color="414D59"/>
              <w:right w:val="nil"/>
            </w:tcBorders>
            <w:tcMar>
              <w:top w:w="170" w:type="dxa"/>
              <w:left w:w="113" w:type="dxa"/>
              <w:bottom w:w="170" w:type="dxa"/>
              <w:right w:w="113" w:type="dxa"/>
            </w:tcMar>
          </w:tcPr>
          <w:p w14:paraId="5526DF5F" w14:textId="77777777" w:rsidR="00EC25DE" w:rsidRDefault="00EC25DE">
            <w:pPr>
              <w:pStyle w:val="TABLETEXT"/>
            </w:pPr>
            <w:r>
              <w:t xml:space="preserve">Waste hierarchy </w:t>
            </w:r>
          </w:p>
        </w:tc>
        <w:tc>
          <w:tcPr>
            <w:tcW w:w="6860" w:type="dxa"/>
            <w:tcBorders>
              <w:top w:val="dotted" w:sz="8" w:space="0" w:color="414D59"/>
              <w:left w:val="nil"/>
              <w:bottom w:val="dotted" w:sz="8" w:space="0" w:color="414D59"/>
              <w:right w:val="nil"/>
            </w:tcBorders>
            <w:tcMar>
              <w:top w:w="170" w:type="dxa"/>
              <w:left w:w="113" w:type="dxa"/>
              <w:bottom w:w="170" w:type="dxa"/>
              <w:right w:w="113" w:type="dxa"/>
            </w:tcMar>
          </w:tcPr>
          <w:p w14:paraId="4F541D19" w14:textId="77777777" w:rsidR="00EC25DE" w:rsidRDefault="00EC25DE">
            <w:pPr>
              <w:pStyle w:val="TABLETEXT"/>
            </w:pPr>
            <w:r>
              <w:t>An order of preference for the management of waste, with avoidance being the most preferred option and disposal being the least.</w:t>
            </w:r>
          </w:p>
        </w:tc>
      </w:tr>
    </w:tbl>
    <w:p w14:paraId="6B7A9512" w14:textId="77777777" w:rsidR="00EC25DE" w:rsidRDefault="00EC25DE" w:rsidP="00EC25DE">
      <w:pPr>
        <w:pStyle w:val="Text"/>
        <w:rPr>
          <w:sz w:val="80"/>
          <w:szCs w:val="80"/>
        </w:rPr>
      </w:pPr>
    </w:p>
    <w:p w14:paraId="6EA0F413" w14:textId="77777777" w:rsidR="00042BBE" w:rsidRDefault="00042BBE"/>
    <w:sectPr w:rsidR="00042BBE" w:rsidSect="00454715">
      <w:footerReference w:type="even" r:id="rId11"/>
      <w:footerReference w:type="default" r:id="rId12"/>
      <w:pgSz w:w="12240" w:h="15840"/>
      <w:pgMar w:top="720" w:right="720" w:bottom="720" w:left="72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BEEFE" w14:textId="77777777" w:rsidR="00E16391" w:rsidRDefault="00E16391" w:rsidP="006C277E">
      <w:r>
        <w:separator/>
      </w:r>
    </w:p>
  </w:endnote>
  <w:endnote w:type="continuationSeparator" w:id="0">
    <w:p w14:paraId="78B2A39C" w14:textId="77777777" w:rsidR="00E16391" w:rsidRDefault="00E16391" w:rsidP="006C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ontserrat SemiBold">
    <w:altName w:val="Courier New"/>
    <w:panose1 w:val="00000000000000000000"/>
    <w:charset w:val="4D"/>
    <w:family w:val="auto"/>
    <w:notTrueType/>
    <w:pitch w:val="variable"/>
    <w:sig w:usb0="00000001" w:usb1="00000003" w:usb2="00000000" w:usb3="00000000" w:csb0="00000197"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79728285"/>
      <w:docPartObj>
        <w:docPartGallery w:val="Page Numbers (Bottom of Page)"/>
        <w:docPartUnique/>
      </w:docPartObj>
    </w:sdtPr>
    <w:sdtEndPr>
      <w:rPr>
        <w:rStyle w:val="PageNumber"/>
      </w:rPr>
    </w:sdtEndPr>
    <w:sdtContent>
      <w:p w14:paraId="44348645" w14:textId="30774C82" w:rsidR="00454715" w:rsidRDefault="00454715" w:rsidP="00126F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FC138D" w14:textId="77777777" w:rsidR="00454715" w:rsidRDefault="00454715" w:rsidP="004547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sz w:val="18"/>
        <w:szCs w:val="18"/>
      </w:rPr>
      <w:id w:val="680776606"/>
      <w:docPartObj>
        <w:docPartGallery w:val="Page Numbers (Bottom of Page)"/>
        <w:docPartUnique/>
      </w:docPartObj>
    </w:sdtPr>
    <w:sdtEndPr>
      <w:rPr>
        <w:rStyle w:val="PageNumber"/>
      </w:rPr>
    </w:sdtEndPr>
    <w:sdtContent>
      <w:p w14:paraId="34A43922" w14:textId="10FEB6FD" w:rsidR="00454715" w:rsidRPr="00454715" w:rsidRDefault="00454715" w:rsidP="00126F48">
        <w:pPr>
          <w:pStyle w:val="Footer"/>
          <w:framePr w:wrap="none" w:vAnchor="text" w:hAnchor="margin" w:xAlign="right" w:y="1"/>
          <w:rPr>
            <w:rStyle w:val="PageNumber"/>
            <w:sz w:val="18"/>
            <w:szCs w:val="18"/>
          </w:rPr>
        </w:pPr>
        <w:r w:rsidRPr="00454715">
          <w:rPr>
            <w:rStyle w:val="PageNumber"/>
            <w:sz w:val="18"/>
            <w:szCs w:val="18"/>
          </w:rPr>
          <w:fldChar w:fldCharType="begin"/>
        </w:r>
        <w:r w:rsidRPr="00454715">
          <w:rPr>
            <w:rStyle w:val="PageNumber"/>
            <w:sz w:val="18"/>
            <w:szCs w:val="18"/>
          </w:rPr>
          <w:instrText xml:space="preserve"> PAGE </w:instrText>
        </w:r>
        <w:r w:rsidRPr="00454715">
          <w:rPr>
            <w:rStyle w:val="PageNumber"/>
            <w:sz w:val="18"/>
            <w:szCs w:val="18"/>
          </w:rPr>
          <w:fldChar w:fldCharType="separate"/>
        </w:r>
        <w:r w:rsidR="004B13BE">
          <w:rPr>
            <w:rStyle w:val="PageNumber"/>
            <w:noProof/>
            <w:sz w:val="18"/>
            <w:szCs w:val="18"/>
          </w:rPr>
          <w:t>21</w:t>
        </w:r>
        <w:r w:rsidRPr="00454715">
          <w:rPr>
            <w:rStyle w:val="PageNumber"/>
            <w:sz w:val="18"/>
            <w:szCs w:val="18"/>
          </w:rPr>
          <w:fldChar w:fldCharType="end"/>
        </w:r>
      </w:p>
    </w:sdtContent>
  </w:sdt>
  <w:p w14:paraId="5F76A134" w14:textId="77777777" w:rsidR="00454715" w:rsidRDefault="00454715" w:rsidP="0045471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FBE13" w14:textId="77777777" w:rsidR="00E16391" w:rsidRDefault="00E16391" w:rsidP="006C277E">
      <w:r>
        <w:separator/>
      </w:r>
    </w:p>
  </w:footnote>
  <w:footnote w:type="continuationSeparator" w:id="0">
    <w:p w14:paraId="6C34FB74" w14:textId="77777777" w:rsidR="00E16391" w:rsidRDefault="00E16391" w:rsidP="006C277E">
      <w:r>
        <w:continuationSeparator/>
      </w:r>
    </w:p>
  </w:footnote>
  <w:footnote w:id="1">
    <w:p w14:paraId="777AEFBF" w14:textId="6C7AB4D6" w:rsidR="006C277E" w:rsidRDefault="006C277E" w:rsidP="006C277E">
      <w:pPr>
        <w:pStyle w:val="Text"/>
        <w:ind w:left="170" w:hanging="170"/>
        <w:rPr>
          <w:sz w:val="16"/>
          <w:szCs w:val="16"/>
        </w:rPr>
      </w:pPr>
      <w:r>
        <w:rPr>
          <w:rStyle w:val="FootnoteReference"/>
        </w:rPr>
        <w:footnoteRef/>
      </w:r>
      <w:r>
        <w:t xml:space="preserve"> </w:t>
      </w:r>
      <w:r>
        <w:rPr>
          <w:sz w:val="16"/>
          <w:szCs w:val="16"/>
        </w:rPr>
        <w:tab/>
        <w:t>Environment Ministers will consider the definition of “per person” at their first meeting in 2020, informed by analysis of any potential unintended impacts on waste reduction initiatives from growth in construction and infrastructure developments.</w:t>
      </w:r>
    </w:p>
    <w:p w14:paraId="16A58B87" w14:textId="424C7D14" w:rsidR="006C277E" w:rsidRPr="006C277E" w:rsidRDefault="006C277E">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613DF"/>
    <w:multiLevelType w:val="hybridMultilevel"/>
    <w:tmpl w:val="0564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7583D"/>
    <w:multiLevelType w:val="hybridMultilevel"/>
    <w:tmpl w:val="E5DCEE9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71A87"/>
    <w:multiLevelType w:val="hybridMultilevel"/>
    <w:tmpl w:val="D24891F8"/>
    <w:lvl w:ilvl="0" w:tplc="04090003">
      <w:start w:val="1"/>
      <w:numFmt w:val="bullet"/>
      <w:lvlText w:val="o"/>
      <w:lvlJc w:val="left"/>
      <w:pPr>
        <w:ind w:left="947" w:hanging="360"/>
      </w:pPr>
      <w:rPr>
        <w:rFonts w:ascii="Courier New" w:hAnsi="Courier New" w:cs="Courier New"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 w15:restartNumberingAfterBreak="0">
    <w:nsid w:val="2F6561D6"/>
    <w:multiLevelType w:val="hybridMultilevel"/>
    <w:tmpl w:val="A630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104312"/>
    <w:multiLevelType w:val="hybridMultilevel"/>
    <w:tmpl w:val="9280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03746A"/>
    <w:multiLevelType w:val="hybridMultilevel"/>
    <w:tmpl w:val="9A8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DE"/>
    <w:rsid w:val="00042BBE"/>
    <w:rsid w:val="000D0F67"/>
    <w:rsid w:val="001C65B9"/>
    <w:rsid w:val="00307849"/>
    <w:rsid w:val="003C7C09"/>
    <w:rsid w:val="003E419C"/>
    <w:rsid w:val="00424906"/>
    <w:rsid w:val="00442927"/>
    <w:rsid w:val="00454715"/>
    <w:rsid w:val="004B13BE"/>
    <w:rsid w:val="005D6660"/>
    <w:rsid w:val="00630F1C"/>
    <w:rsid w:val="00673CF5"/>
    <w:rsid w:val="006C277E"/>
    <w:rsid w:val="0097687F"/>
    <w:rsid w:val="00CA6A92"/>
    <w:rsid w:val="00DB1738"/>
    <w:rsid w:val="00E02E51"/>
    <w:rsid w:val="00E16391"/>
    <w:rsid w:val="00E772C6"/>
    <w:rsid w:val="00EC25DE"/>
    <w:rsid w:val="00FA31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5C28"/>
  <w15:chartTrackingRefBased/>
  <w15:docId w15:val="{CFDB4898-FC3C-F04B-946D-009B96DD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ubhead1"/>
    <w:next w:val="Normal"/>
    <w:link w:val="Heading1Char"/>
    <w:uiPriority w:val="9"/>
    <w:qFormat/>
    <w:rsid w:val="00EC25DE"/>
    <w:pPr>
      <w:keepNext/>
      <w:spacing w:after="400" w:line="240" w:lineRule="auto"/>
      <w:jc w:val="left"/>
      <w:outlineLvl w:val="0"/>
    </w:pPr>
    <w:rPr>
      <w:sz w:val="60"/>
    </w:rPr>
  </w:style>
  <w:style w:type="paragraph" w:styleId="Heading2">
    <w:name w:val="heading 2"/>
    <w:basedOn w:val="Subhead2"/>
    <w:next w:val="Normal"/>
    <w:link w:val="Heading2Char"/>
    <w:uiPriority w:val="9"/>
    <w:unhideWhenUsed/>
    <w:qFormat/>
    <w:rsid w:val="00454715"/>
    <w:pPr>
      <w:spacing w:after="0"/>
      <w:outlineLvl w:val="1"/>
    </w:pPr>
    <w:rPr>
      <w:color w:val="414D59"/>
      <w:sz w:val="50"/>
      <w:szCs w:val="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4715"/>
    <w:rPr>
      <w:rFonts w:ascii="Calibri" w:hAnsi="Calibri" w:cs="Calibri"/>
      <w:b/>
      <w:bCs/>
      <w:color w:val="414D59"/>
      <w:sz w:val="50"/>
      <w:szCs w:val="50"/>
      <w:lang w:val="en-GB"/>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paragraph" w:customStyle="1" w:styleId="NoParagraphStyle">
    <w:name w:val="[No Paragraph Style]"/>
    <w:rsid w:val="00EC25DE"/>
    <w:pPr>
      <w:autoSpaceDE w:val="0"/>
      <w:autoSpaceDN w:val="0"/>
      <w:adjustRightInd w:val="0"/>
      <w:spacing w:line="288" w:lineRule="auto"/>
      <w:textAlignment w:val="center"/>
    </w:pPr>
    <w:rPr>
      <w:rFonts w:ascii="Minion Pro" w:hAnsi="Minion Pro" w:cs="Minion Pro"/>
      <w:color w:val="000000"/>
      <w:lang w:val="en-GB"/>
    </w:rPr>
  </w:style>
  <w:style w:type="paragraph" w:customStyle="1" w:styleId="INTROPARA">
    <w:name w:val="INTRO PARA"/>
    <w:basedOn w:val="NoParagraphStyle"/>
    <w:uiPriority w:val="99"/>
    <w:rsid w:val="00EC25DE"/>
    <w:pPr>
      <w:suppressAutoHyphens/>
      <w:spacing w:after="227" w:line="280" w:lineRule="atLeast"/>
    </w:pPr>
    <w:rPr>
      <w:rFonts w:ascii="Calibri" w:hAnsi="Calibri" w:cs="Calibri"/>
      <w:color w:val="A63429"/>
      <w:sz w:val="22"/>
      <w:szCs w:val="22"/>
    </w:rPr>
  </w:style>
  <w:style w:type="paragraph" w:customStyle="1" w:styleId="Text">
    <w:name w:val="Text"/>
    <w:basedOn w:val="NoParagraphStyle"/>
    <w:uiPriority w:val="99"/>
    <w:rsid w:val="00EC25DE"/>
    <w:pPr>
      <w:suppressAutoHyphens/>
      <w:spacing w:after="227" w:line="240" w:lineRule="atLeast"/>
    </w:pPr>
    <w:rPr>
      <w:rFonts w:ascii="Calibri" w:hAnsi="Calibri" w:cs="Calibri"/>
      <w:sz w:val="18"/>
      <w:szCs w:val="18"/>
    </w:rPr>
  </w:style>
  <w:style w:type="paragraph" w:customStyle="1" w:styleId="TABLETEXT">
    <w:name w:val="TABLE TEXT"/>
    <w:basedOn w:val="Text"/>
    <w:uiPriority w:val="99"/>
    <w:rsid w:val="00EC25DE"/>
    <w:pPr>
      <w:spacing w:after="57"/>
    </w:pPr>
  </w:style>
  <w:style w:type="paragraph" w:customStyle="1" w:styleId="Subhead2">
    <w:name w:val="Subhead 2"/>
    <w:basedOn w:val="NoParagraphStyle"/>
    <w:uiPriority w:val="99"/>
    <w:rsid w:val="00EC25DE"/>
    <w:pPr>
      <w:suppressAutoHyphens/>
      <w:spacing w:before="170" w:after="170" w:line="320" w:lineRule="atLeast"/>
    </w:pPr>
    <w:rPr>
      <w:rFonts w:ascii="Calibri" w:hAnsi="Calibri" w:cs="Calibri"/>
      <w:b/>
      <w:bCs/>
      <w:color w:val="A63429"/>
      <w:sz w:val="26"/>
      <w:szCs w:val="26"/>
    </w:rPr>
  </w:style>
  <w:style w:type="paragraph" w:customStyle="1" w:styleId="Subhead1">
    <w:name w:val="Subhead 1"/>
    <w:basedOn w:val="NoParagraphStyle"/>
    <w:uiPriority w:val="99"/>
    <w:rsid w:val="00EC25DE"/>
    <w:pPr>
      <w:suppressAutoHyphens/>
      <w:spacing w:line="800" w:lineRule="atLeast"/>
      <w:jc w:val="right"/>
    </w:pPr>
    <w:rPr>
      <w:rFonts w:ascii="Calibri" w:hAnsi="Calibri" w:cs="Calibri"/>
      <w:b/>
      <w:bCs/>
      <w:color w:val="D7510C"/>
      <w:sz w:val="80"/>
      <w:szCs w:val="80"/>
    </w:rPr>
  </w:style>
  <w:style w:type="paragraph" w:customStyle="1" w:styleId="Bullet1">
    <w:name w:val="Bullet 1"/>
    <w:basedOn w:val="NoParagraphStyle"/>
    <w:uiPriority w:val="99"/>
    <w:rsid w:val="00EC25DE"/>
    <w:pPr>
      <w:suppressAutoHyphens/>
      <w:spacing w:after="113" w:line="240" w:lineRule="atLeast"/>
      <w:ind w:left="227" w:hanging="227"/>
    </w:pPr>
    <w:rPr>
      <w:rFonts w:ascii="Calibri" w:hAnsi="Calibri" w:cs="Calibri"/>
      <w:sz w:val="18"/>
      <w:szCs w:val="18"/>
    </w:rPr>
  </w:style>
  <w:style w:type="paragraph" w:customStyle="1" w:styleId="Bullet2">
    <w:name w:val="Bullet 2"/>
    <w:basedOn w:val="Bullet1"/>
    <w:uiPriority w:val="99"/>
    <w:rsid w:val="00EC25DE"/>
    <w:pPr>
      <w:ind w:left="454"/>
    </w:pPr>
  </w:style>
  <w:style w:type="character" w:customStyle="1" w:styleId="UNDERLINESPANNEDTEXT">
    <w:name w:val="UNDERLINE SPANNED TEXT"/>
    <w:uiPriority w:val="99"/>
    <w:rsid w:val="00EC25DE"/>
  </w:style>
  <w:style w:type="character" w:styleId="Hyperlink">
    <w:name w:val="Hyperlink"/>
    <w:basedOn w:val="DefaultParagraphFont"/>
    <w:uiPriority w:val="99"/>
    <w:rsid w:val="00EC25DE"/>
    <w:rPr>
      <w:color w:val="365F91"/>
      <w:w w:val="100"/>
      <w:u w:val="thick" w:color="365F91"/>
    </w:rPr>
  </w:style>
  <w:style w:type="character" w:customStyle="1" w:styleId="TextBold">
    <w:name w:val="Text Bold"/>
    <w:uiPriority w:val="99"/>
    <w:rsid w:val="00EC25DE"/>
    <w:rPr>
      <w:b/>
      <w:bCs/>
    </w:rPr>
  </w:style>
  <w:style w:type="character" w:customStyle="1" w:styleId="A9">
    <w:name w:val="A9"/>
    <w:uiPriority w:val="99"/>
    <w:rsid w:val="00EC25DE"/>
    <w:rPr>
      <w:color w:val="000000"/>
      <w:w w:val="100"/>
      <w:sz w:val="18"/>
      <w:szCs w:val="18"/>
    </w:rPr>
  </w:style>
  <w:style w:type="character" w:customStyle="1" w:styleId="Heading1Char">
    <w:name w:val="Heading 1 Char"/>
    <w:basedOn w:val="DefaultParagraphFont"/>
    <w:link w:val="Heading1"/>
    <w:uiPriority w:val="9"/>
    <w:rsid w:val="00EC25DE"/>
    <w:rPr>
      <w:rFonts w:ascii="Calibri" w:hAnsi="Calibri" w:cs="Calibri"/>
      <w:b/>
      <w:bCs/>
      <w:color w:val="D7510C"/>
      <w:sz w:val="60"/>
      <w:szCs w:val="80"/>
      <w:lang w:val="en-GB"/>
    </w:rPr>
  </w:style>
  <w:style w:type="character" w:customStyle="1" w:styleId="UnresolvedMention1">
    <w:name w:val="Unresolved Mention1"/>
    <w:basedOn w:val="DefaultParagraphFont"/>
    <w:uiPriority w:val="99"/>
    <w:semiHidden/>
    <w:unhideWhenUsed/>
    <w:rsid w:val="00EC25DE"/>
    <w:rPr>
      <w:color w:val="605E5C"/>
      <w:shd w:val="clear" w:color="auto" w:fill="E1DFDD"/>
    </w:rPr>
  </w:style>
  <w:style w:type="character" w:styleId="FollowedHyperlink">
    <w:name w:val="FollowedHyperlink"/>
    <w:basedOn w:val="DefaultParagraphFont"/>
    <w:uiPriority w:val="99"/>
    <w:semiHidden/>
    <w:unhideWhenUsed/>
    <w:rsid w:val="00EC25DE"/>
    <w:rPr>
      <w:color w:val="954F72" w:themeColor="followedHyperlink"/>
      <w:u w:val="single"/>
    </w:rPr>
  </w:style>
  <w:style w:type="paragraph" w:styleId="NoSpacing">
    <w:name w:val="No Spacing"/>
    <w:uiPriority w:val="1"/>
    <w:qFormat/>
    <w:rsid w:val="001C65B9"/>
  </w:style>
  <w:style w:type="paragraph" w:customStyle="1" w:styleId="Infographicstext">
    <w:name w:val="Infographics text"/>
    <w:basedOn w:val="NoParagraphStyle"/>
    <w:uiPriority w:val="99"/>
    <w:rsid w:val="006C277E"/>
    <w:pPr>
      <w:suppressAutoHyphens/>
      <w:spacing w:before="227"/>
    </w:pPr>
    <w:rPr>
      <w:rFonts w:ascii="Montserrat SemiBold" w:hAnsi="Montserrat SemiBold" w:cs="Montserrat SemiBold"/>
      <w:b/>
      <w:bCs/>
      <w:color w:val="414D59"/>
      <w:sz w:val="34"/>
      <w:szCs w:val="34"/>
      <w:lang w:val="en-US"/>
    </w:rPr>
  </w:style>
  <w:style w:type="character" w:customStyle="1" w:styleId="Bulletsymbol">
    <w:name w:val="Bullet symbol"/>
    <w:uiPriority w:val="99"/>
    <w:rsid w:val="006C277E"/>
    <w:rPr>
      <w:color w:val="D8766D"/>
      <w:sz w:val="17"/>
      <w:szCs w:val="17"/>
    </w:rPr>
  </w:style>
  <w:style w:type="paragraph" w:styleId="FootnoteText">
    <w:name w:val="footnote text"/>
    <w:basedOn w:val="Normal"/>
    <w:link w:val="FootnoteTextChar"/>
    <w:uiPriority w:val="99"/>
    <w:semiHidden/>
    <w:unhideWhenUsed/>
    <w:rsid w:val="006C277E"/>
    <w:rPr>
      <w:sz w:val="20"/>
      <w:szCs w:val="20"/>
    </w:rPr>
  </w:style>
  <w:style w:type="character" w:customStyle="1" w:styleId="FootnoteTextChar">
    <w:name w:val="Footnote Text Char"/>
    <w:basedOn w:val="DefaultParagraphFont"/>
    <w:link w:val="FootnoteText"/>
    <w:uiPriority w:val="99"/>
    <w:semiHidden/>
    <w:rsid w:val="006C277E"/>
    <w:rPr>
      <w:sz w:val="20"/>
      <w:szCs w:val="20"/>
    </w:rPr>
  </w:style>
  <w:style w:type="character" w:styleId="FootnoteReference">
    <w:name w:val="footnote reference"/>
    <w:basedOn w:val="DefaultParagraphFont"/>
    <w:uiPriority w:val="99"/>
    <w:semiHidden/>
    <w:unhideWhenUsed/>
    <w:rsid w:val="006C277E"/>
    <w:rPr>
      <w:vertAlign w:val="superscript"/>
    </w:rPr>
  </w:style>
  <w:style w:type="paragraph" w:customStyle="1" w:styleId="BasicParagraph">
    <w:name w:val="[Basic Paragraph]"/>
    <w:basedOn w:val="NoParagraphStyle"/>
    <w:uiPriority w:val="99"/>
    <w:rsid w:val="00454715"/>
    <w:pPr>
      <w:suppressAutoHyphens/>
    </w:pPr>
    <w:rPr>
      <w:rFonts w:ascii="Myriad Pro" w:hAnsi="Myriad Pro" w:cs="Myriad Pro"/>
      <w:sz w:val="20"/>
      <w:szCs w:val="20"/>
    </w:rPr>
  </w:style>
  <w:style w:type="paragraph" w:styleId="TOCHeading">
    <w:name w:val="TOC Heading"/>
    <w:basedOn w:val="Heading1"/>
    <w:next w:val="Normal"/>
    <w:uiPriority w:val="39"/>
    <w:unhideWhenUsed/>
    <w:qFormat/>
    <w:rsid w:val="00454715"/>
    <w:pPr>
      <w:keepLines/>
      <w:suppressAutoHyphens w:val="0"/>
      <w:autoSpaceDE/>
      <w:autoSpaceDN/>
      <w:adjustRightInd/>
      <w:spacing w:before="480" w:after="0" w:line="276" w:lineRule="auto"/>
      <w:textAlignment w:val="auto"/>
      <w:outlineLvl w:val="9"/>
    </w:pPr>
    <w:rPr>
      <w:rFonts w:asciiTheme="majorHAnsi" w:eastAsiaTheme="majorEastAsia" w:hAnsiTheme="majorHAnsi" w:cstheme="majorBidi"/>
      <w:color w:val="2F5496" w:themeColor="accent1" w:themeShade="BF"/>
      <w:sz w:val="28"/>
      <w:szCs w:val="28"/>
      <w:lang w:val="en-US"/>
    </w:rPr>
  </w:style>
  <w:style w:type="paragraph" w:styleId="TOC1">
    <w:name w:val="toc 1"/>
    <w:basedOn w:val="Normal"/>
    <w:next w:val="Normal"/>
    <w:autoRedefine/>
    <w:uiPriority w:val="39"/>
    <w:unhideWhenUsed/>
    <w:rsid w:val="00454715"/>
    <w:pPr>
      <w:spacing w:before="120"/>
    </w:pPr>
    <w:rPr>
      <w:rFonts w:cstheme="minorHAnsi"/>
      <w:b/>
      <w:bCs/>
      <w:i/>
      <w:iCs/>
    </w:rPr>
  </w:style>
  <w:style w:type="paragraph" w:styleId="TOC2">
    <w:name w:val="toc 2"/>
    <w:basedOn w:val="Normal"/>
    <w:next w:val="Normal"/>
    <w:autoRedefine/>
    <w:uiPriority w:val="39"/>
    <w:unhideWhenUsed/>
    <w:rsid w:val="00454715"/>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454715"/>
    <w:pPr>
      <w:ind w:left="480"/>
    </w:pPr>
    <w:rPr>
      <w:rFonts w:cstheme="minorHAnsi"/>
      <w:sz w:val="20"/>
      <w:szCs w:val="20"/>
    </w:rPr>
  </w:style>
  <w:style w:type="paragraph" w:styleId="TOC4">
    <w:name w:val="toc 4"/>
    <w:basedOn w:val="Normal"/>
    <w:next w:val="Normal"/>
    <w:autoRedefine/>
    <w:uiPriority w:val="39"/>
    <w:semiHidden/>
    <w:unhideWhenUsed/>
    <w:rsid w:val="00454715"/>
    <w:pPr>
      <w:ind w:left="720"/>
    </w:pPr>
    <w:rPr>
      <w:rFonts w:cstheme="minorHAnsi"/>
      <w:sz w:val="20"/>
      <w:szCs w:val="20"/>
    </w:rPr>
  </w:style>
  <w:style w:type="paragraph" w:styleId="TOC5">
    <w:name w:val="toc 5"/>
    <w:basedOn w:val="Normal"/>
    <w:next w:val="Normal"/>
    <w:autoRedefine/>
    <w:uiPriority w:val="39"/>
    <w:semiHidden/>
    <w:unhideWhenUsed/>
    <w:rsid w:val="00454715"/>
    <w:pPr>
      <w:ind w:left="960"/>
    </w:pPr>
    <w:rPr>
      <w:rFonts w:cstheme="minorHAnsi"/>
      <w:sz w:val="20"/>
      <w:szCs w:val="20"/>
    </w:rPr>
  </w:style>
  <w:style w:type="paragraph" w:styleId="TOC6">
    <w:name w:val="toc 6"/>
    <w:basedOn w:val="Normal"/>
    <w:next w:val="Normal"/>
    <w:autoRedefine/>
    <w:uiPriority w:val="39"/>
    <w:semiHidden/>
    <w:unhideWhenUsed/>
    <w:rsid w:val="00454715"/>
    <w:pPr>
      <w:ind w:left="1200"/>
    </w:pPr>
    <w:rPr>
      <w:rFonts w:cstheme="minorHAnsi"/>
      <w:sz w:val="20"/>
      <w:szCs w:val="20"/>
    </w:rPr>
  </w:style>
  <w:style w:type="paragraph" w:styleId="TOC7">
    <w:name w:val="toc 7"/>
    <w:basedOn w:val="Normal"/>
    <w:next w:val="Normal"/>
    <w:autoRedefine/>
    <w:uiPriority w:val="39"/>
    <w:semiHidden/>
    <w:unhideWhenUsed/>
    <w:rsid w:val="00454715"/>
    <w:pPr>
      <w:ind w:left="1440"/>
    </w:pPr>
    <w:rPr>
      <w:rFonts w:cstheme="minorHAnsi"/>
      <w:sz w:val="20"/>
      <w:szCs w:val="20"/>
    </w:rPr>
  </w:style>
  <w:style w:type="paragraph" w:styleId="TOC8">
    <w:name w:val="toc 8"/>
    <w:basedOn w:val="Normal"/>
    <w:next w:val="Normal"/>
    <w:autoRedefine/>
    <w:uiPriority w:val="39"/>
    <w:semiHidden/>
    <w:unhideWhenUsed/>
    <w:rsid w:val="00454715"/>
    <w:pPr>
      <w:ind w:left="1680"/>
    </w:pPr>
    <w:rPr>
      <w:rFonts w:cstheme="minorHAnsi"/>
      <w:sz w:val="20"/>
      <w:szCs w:val="20"/>
    </w:rPr>
  </w:style>
  <w:style w:type="paragraph" w:styleId="TOC9">
    <w:name w:val="toc 9"/>
    <w:basedOn w:val="Normal"/>
    <w:next w:val="Normal"/>
    <w:autoRedefine/>
    <w:uiPriority w:val="39"/>
    <w:semiHidden/>
    <w:unhideWhenUsed/>
    <w:rsid w:val="00454715"/>
    <w:pPr>
      <w:ind w:left="1920"/>
    </w:pPr>
    <w:rPr>
      <w:rFonts w:cstheme="minorHAnsi"/>
      <w:sz w:val="20"/>
      <w:szCs w:val="20"/>
    </w:rPr>
  </w:style>
  <w:style w:type="paragraph" w:styleId="Header">
    <w:name w:val="header"/>
    <w:basedOn w:val="Normal"/>
    <w:link w:val="HeaderChar"/>
    <w:uiPriority w:val="99"/>
    <w:unhideWhenUsed/>
    <w:rsid w:val="00454715"/>
    <w:pPr>
      <w:tabs>
        <w:tab w:val="center" w:pos="4680"/>
        <w:tab w:val="right" w:pos="9360"/>
      </w:tabs>
    </w:pPr>
  </w:style>
  <w:style w:type="character" w:customStyle="1" w:styleId="HeaderChar">
    <w:name w:val="Header Char"/>
    <w:basedOn w:val="DefaultParagraphFont"/>
    <w:link w:val="Header"/>
    <w:uiPriority w:val="99"/>
    <w:rsid w:val="00454715"/>
  </w:style>
  <w:style w:type="paragraph" w:styleId="Footer">
    <w:name w:val="footer"/>
    <w:basedOn w:val="Normal"/>
    <w:link w:val="FooterChar"/>
    <w:uiPriority w:val="99"/>
    <w:unhideWhenUsed/>
    <w:rsid w:val="00454715"/>
    <w:pPr>
      <w:tabs>
        <w:tab w:val="center" w:pos="4680"/>
        <w:tab w:val="right" w:pos="9360"/>
      </w:tabs>
    </w:pPr>
  </w:style>
  <w:style w:type="character" w:customStyle="1" w:styleId="FooterChar">
    <w:name w:val="Footer Char"/>
    <w:basedOn w:val="DefaultParagraphFont"/>
    <w:link w:val="Footer"/>
    <w:uiPriority w:val="99"/>
    <w:rsid w:val="00454715"/>
  </w:style>
  <w:style w:type="character" w:styleId="PageNumber">
    <w:name w:val="page number"/>
    <w:basedOn w:val="DefaultParagraphFont"/>
    <w:uiPriority w:val="99"/>
    <w:semiHidden/>
    <w:unhideWhenUsed/>
    <w:rsid w:val="00454715"/>
  </w:style>
  <w:style w:type="paragraph" w:customStyle="1" w:styleId="Strategyheading">
    <w:name w:val="Strategy heading"/>
    <w:basedOn w:val="Normal"/>
    <w:uiPriority w:val="99"/>
    <w:rsid w:val="00673CF5"/>
    <w:pPr>
      <w:suppressAutoHyphens/>
      <w:autoSpaceDE w:val="0"/>
      <w:autoSpaceDN w:val="0"/>
      <w:adjustRightInd w:val="0"/>
      <w:spacing w:after="227" w:line="320" w:lineRule="atLeast"/>
      <w:textAlignment w:val="center"/>
    </w:pPr>
    <w:rPr>
      <w:rFonts w:ascii="Calibri" w:hAnsi="Calibri" w:cs="Calibri"/>
      <w:b/>
      <w:bCs/>
      <w:color w:val="A63429"/>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was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nvironment.gov.au/protection/waste-resource-recovery/publications/national-food-waste-strategy" TargetMode="External"/><Relationship Id="rId4" Type="http://schemas.openxmlformats.org/officeDocument/2006/relationships/settings" Target="settings.xml"/><Relationship Id="rId9" Type="http://schemas.openxmlformats.org/officeDocument/2006/relationships/hyperlink" Target="http://www.environment.gov.au/science/environmental-economic-accoun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EEC6B-713F-4891-9133-2706D29C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F6A89B40.dotm</Template>
  <TotalTime>2</TotalTime>
  <Pages>26</Pages>
  <Words>6675</Words>
  <Characters>38049</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Waste Policy Action Plan</dc:title>
  <dc:subject/>
  <dc:creator>Department of the Environment and Energy</dc:creator>
  <cp:keywords/>
  <dc:description/>
  <cp:lastModifiedBy>Durack, Bec</cp:lastModifiedBy>
  <cp:revision>2</cp:revision>
  <dcterms:created xsi:type="dcterms:W3CDTF">2019-11-08T05:51:00Z</dcterms:created>
  <dcterms:modified xsi:type="dcterms:W3CDTF">2019-11-08T05:51:00Z</dcterms:modified>
</cp:coreProperties>
</file>