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02025029"/>
        <w:docPartObj>
          <w:docPartGallery w:val="Cover Pages"/>
          <w:docPartUnique/>
        </w:docPartObj>
      </w:sdtPr>
      <w:sdtEndPr>
        <w:rPr>
          <w:rFonts w:cs="Arial"/>
          <w:szCs w:val="24"/>
        </w:rPr>
      </w:sdtEndPr>
      <w:sdtContent>
        <w:p w:rsidR="00521C17" w:rsidRDefault="001F5E0F" w:rsidP="00B1306B">
          <w:r w:rsidRPr="001F5E0F">
            <w:rPr>
              <w:noProof/>
              <w:lang w:val="en-US"/>
            </w:rPr>
            <w:pict>
              <v:rect id="Rectangle 10" o:spid="_x0000_s1032" style="position:absolute;margin-left:0;margin-top:0;width:535.75pt;height:188.4pt;z-index:251668480;visibility:visible;mso-width-percent:900;mso-height-percent:73;mso-top-percent:250;mso-position-horizontal:left;mso-position-horizontal-relative:page;mso-position-vertical-relative:page;mso-width-percent:900;mso-height-percent:73;mso-top-percent:25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" o:allowincell="f" fillcolor="#feb80a [3206]" strokecolor="#f2f2f2 [3041]" strokeweight="3pt">
                <v:shadow on="t" color="#825c00 [1606]" opacity=".5" offset="1pt"/>
                <v:textbox style="mso-fit-shape-to-text:t" inset="14.4pt,,14.4pt">
                  <w:txbxContent>
                    <w:sdt>
                      <w:sdtPr>
                        <w:rPr>
                          <w:rFonts w:asciiTheme="majorHAnsi" w:eastAsiaTheme="majorEastAsia" w:hAnsiTheme="majorHAnsi" w:cstheme="majorBidi"/>
                          <w:i/>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8E5E36" w:rsidRPr="005808F8" w:rsidRDefault="009D5B1D">
                          <w:pPr>
                            <w:pStyle w:val="NoSpacing"/>
                            <w:jc w:val="right"/>
                            <w:rPr>
                              <w:rFonts w:asciiTheme="majorHAnsi" w:eastAsiaTheme="majorEastAsia" w:hAnsiTheme="majorHAnsi" w:cstheme="majorBidi"/>
                              <w:sz w:val="72"/>
                              <w:szCs w:val="72"/>
                            </w:rPr>
                          </w:pPr>
                          <w:r>
                            <w:rPr>
                              <w:rFonts w:asciiTheme="majorHAnsi" w:eastAsiaTheme="majorEastAsia" w:hAnsiTheme="majorHAnsi" w:cstheme="majorBidi"/>
                              <w:i/>
                              <w:sz w:val="72"/>
                              <w:szCs w:val="72"/>
                              <w:lang w:val="en-AU"/>
                            </w:rPr>
                            <w:t>National Waste Policy Implementation Report 2012 and 2013</w:t>
                          </w:r>
                        </w:p>
                      </w:sdtContent>
                    </w:sdt>
                    <w:p w:rsidR="008E5E36" w:rsidRDefault="008E5E36">
                      <w:pPr>
                        <w:pStyle w:val="NoSpacing"/>
                        <w:jc w:val="right"/>
                        <w:rPr>
                          <w:rFonts w:asciiTheme="majorHAnsi" w:eastAsiaTheme="majorEastAsia" w:hAnsiTheme="majorHAnsi" w:cstheme="majorBidi"/>
                          <w:sz w:val="56"/>
                          <w:szCs w:val="56"/>
                        </w:rPr>
                      </w:pPr>
                      <w:r w:rsidRPr="002855C5">
                        <w:rPr>
                          <w:rFonts w:asciiTheme="majorHAnsi" w:eastAsiaTheme="majorEastAsia" w:hAnsiTheme="majorHAnsi" w:cstheme="majorBidi"/>
                          <w:sz w:val="56"/>
                          <w:szCs w:val="56"/>
                        </w:rPr>
                        <w:t xml:space="preserve">Implementation Report </w:t>
                      </w:r>
                      <w:r>
                        <w:rPr>
                          <w:rFonts w:asciiTheme="majorHAnsi" w:eastAsiaTheme="majorEastAsia" w:hAnsiTheme="majorHAnsi" w:cstheme="majorBidi"/>
                          <w:sz w:val="56"/>
                          <w:szCs w:val="56"/>
                        </w:rPr>
                        <w:t>2012 and 2013</w:t>
                      </w:r>
                    </w:p>
                    <w:p w:rsidR="008E5E36" w:rsidRPr="005808F8" w:rsidRDefault="008E5E36">
                      <w:pPr>
                        <w:pStyle w:val="NoSpacing"/>
                        <w:jc w:val="right"/>
                        <w:rPr>
                          <w:rFonts w:asciiTheme="majorHAnsi" w:eastAsiaTheme="majorEastAsia" w:hAnsiTheme="majorHAnsi" w:cstheme="majorBidi"/>
                          <w:sz w:val="48"/>
                          <w:szCs w:val="48"/>
                        </w:rPr>
                      </w:pPr>
                    </w:p>
                  </w:txbxContent>
                </v:textbox>
                <w10:wrap anchorx="page" anchory="page"/>
              </v:rect>
            </w:pict>
          </w:r>
          <w:r w:rsidRPr="001F5E0F">
            <w:rPr>
              <w:noProof/>
              <w:lang w:val="en-US"/>
            </w:rPr>
            <w:pict>
              <v:group id="Group 4" o:spid="_x0000_s1026" style="position:absolute;margin-left:3319.1pt;margin-top:0;width:235.9pt;height:838.9pt;z-index:251667456;mso-width-percent:400;mso-height-percent:1000;mso-position-horizontal:right;mso-position-horizontal-relative:page;mso-position-vertical:top;mso-position-vertical-relative:page;mso-width-percent:400;mso-height-percent:1000" coordorigin="7329" coordsize="4911,1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" o:allowincell="f">
                <v:group id="Group 5" o:spid="_x0000_s1027" style="position:absolute;left:7344;width:4896;height:15840" coordorigin="7560" coordsize="4700,158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 6" o:spid="_x0000_s1028" style="position:absolute;left:7755;width:4505;height:158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r1TzwgAA&#10;ANsAAAAPAAAAZHJzL2Rvd25yZXYueG1sRE9La8JAEL4X/A/LCN7qRqFSo6uIbdFLDr4O3obsmASz&#10;s2l2m0R/vSsUvM3H95z5sjOlaKh2hWUFo2EEgji1uuBMwfHw8/4JwnlkjaVlUnAjB8tF722OsbYt&#10;76jZ+0yEEHYxKsi9r2IpXZqTQTe0FXHgLrY26AOsM6lrbEO4KeU4iibSYMGhIceK1jml1/2fUWAP&#10;Jbanj8nvNmmmm6/7d3Jrz4lSg363moHw1PmX+N+91WH+GJ6/hAP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vVPPCAAAA2wAAAA8AAAAAAAAAAAAAAAAAlwIAAGRycy9kb3du&#10;cmV2LnhtbFBLBQYAAAAABAAEAPUAAACGAwAAAAA=&#10;" fillcolor="#feb80a [3206]" strokecolor="#f2f2f2 [3041]" strokeweight="3pt">
                    <v:shadow on="t" color="#825c00 [1606]" opacity=".5" offset="1pt"/>
                  </v:rect>
                  <v:rect id="Rectangle 7" o:spid="_x0000_s1029" alt="Light vertical" style="position:absolute;left:7560;top:8;width:195;height:1582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i13/wAAA&#10;ANsAAAAPAAAAZHJzL2Rvd25yZXYueG1sRE9La8JAEL4L/odlCt7MprUUm2aVWFFybSw9D9lpEpqd&#10;DdnNQ3+9Wyj0Nh/fc9L9bFoxUu8aywoeoxgEcWl1w5WCz8tpvQXhPLLG1jIpuJKD/W65SDHRduIP&#10;GgtfiRDCLkEFtfddIqUrazLoItsRB+7b9gZ9gH0ldY9TCDetfIrjF2mw4dBQY0fvNZU/xWAU5FfP&#10;w+15kx+JioM5f2X8OkxKrR7m7A2Ep9n/i//cuQ7zN/D7SzhA7u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i13/wAAAANsAAAAPAAAAAAAAAAAAAAAAAJcCAABkcnMvZG93bnJl&#10;di54bWxQSwUGAAAAAAQABAD1AAAAhAMAAAAA&#10;" fillcolor="#feb80a [3206]" stroked="f" strokecolor="white [3212]" strokeweight="1pt">
                    <v:fill r:id="rId12" o:title="" opacity="52428f" o:opacity2="52428f" type="pattern"/>
                    <v:shadow color="#d8d8d8 [2732]" opacity="49150f" offset="3pt,3pt"/>
                  </v:rect>
                </v:group>
                <v:rect id="Rectangle 8" o:spid="_x0000_s1030" style="position:absolute;left:7344;width:4896;height:3958;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pxtwAAA&#10;ANsAAAAPAAAAZHJzL2Rvd25yZXYueG1sRE9Ni8IwEL0L+x/CLOxNU0VUukaRhdU9idYKexyasSk2&#10;k9JErf/eCIK3ebzPmS87W4srtb5yrGA4SEAQF05XXCrID7/9GQgfkDXWjknBnTwsFx+9Oaba3XhP&#10;1yyUIoawT1GBCaFJpfSFIYt+4BriyJ1cazFE2JZSt3iL4baWoySZSIsVxwaDDf0YKs7ZxSrY/ue7&#10;bGpWl2NuqvOGt91sbfZKfX12q28QgbrwFr/cfzrOH8Pzl3iAXD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wpxtwAAAANsAAAAPAAAAAAAAAAAAAAAAAJcCAABkcnMvZG93bnJl&#10;di54bWxQSwUGAAAAAAQABAD1AAAAhAMAAAAA&#10;" fillcolor="#feb80a [3206]" strokecolor="#f2f2f2 [3041]" strokeweight="3pt">
                  <v:fill opacity="52428f"/>
                  <v:shadow on="t" color="#825c00 [1606]" opacity=".5" offset="1pt"/>
                  <v:textbox inset="28.8pt,14.4pt,14.4pt,14.4pt">
                    <w:txbxContent>
                      <w:p w:rsidR="008E5E36" w:rsidRDefault="008E5E36">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0658;width:4889;height:4462;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v7NewwAA&#10;ANsAAAAPAAAAZHJzL2Rvd25yZXYueG1sRI9Ba8JAEIXvQv/DMoVepG4stEh0FRVahEpRGzwP2TEb&#10;zc6G7Griv3cFwdsM771v3kxmna3EhRpfOlYwHCQgiHOnSy4UZP/f7yMQPiBrrByTgit5mE1fehNM&#10;tWt5S5ddKESEsE9RgQmhTqX0uSGLfuBq4qgdXGMxxLUppG6wjXBbyY8k+ZIWS44XDNa0NJSfdmcb&#10;KTZr8dd0x81iQevR3w/tM9lX6u21m49BBOrC0/xIr3Ss/wn3X+IAcn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v7NewwAAANsAAAAPAAAAAAAAAAAAAAAAAJcCAABkcnMvZG93&#10;bnJldi54bWxQSwUGAAAAAAQABAD1AAAAhwMAAAAA&#10;" filled="f" fillcolor="white [3212]" stroked="f" strokecolor="white [3212]" strokeweight="1pt">
                  <v:fill opacity="52428f"/>
                  <v:textbox inset="28.8pt,14.4pt,14.4pt,14.4pt">
                    <w:txbxContent>
                      <w:p w:rsidR="008E5E36" w:rsidRDefault="008E5E36">
                        <w:pPr>
                          <w:pStyle w:val="NoSpacing"/>
                          <w:spacing w:line="360" w:lineRule="auto"/>
                          <w:rPr>
                            <w:color w:val="FFFFFF" w:themeColor="background1"/>
                          </w:rPr>
                        </w:pPr>
                      </w:p>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8E5E36" w:rsidRDefault="008E5E36">
                            <w:pPr>
                              <w:pStyle w:val="NoSpacing"/>
                              <w:spacing w:line="360" w:lineRule="auto"/>
                              <w:rPr>
                                <w:color w:val="FFFFFF" w:themeColor="background1"/>
                              </w:rPr>
                            </w:pPr>
                            <w:r>
                              <w:rPr>
                                <w:color w:val="FFFFFF" w:themeColor="background1"/>
                                <w:lang w:val="en-AU"/>
                              </w:rPr>
                              <w:t>Department of the Environment</w:t>
                            </w:r>
                          </w:p>
                        </w:sdtContent>
                      </w:sdt>
                      <w:p w:rsidR="008E5E36" w:rsidRDefault="008E5E36">
                        <w:pPr>
                          <w:pStyle w:val="NoSpacing"/>
                          <w:spacing w:line="360" w:lineRule="auto"/>
                          <w:rPr>
                            <w:color w:val="FFFFFF" w:themeColor="background1"/>
                          </w:rPr>
                        </w:pPr>
                        <w:r>
                          <w:rPr>
                            <w:color w:val="FFFFFF" w:themeColor="background1"/>
                          </w:rPr>
                          <w:t>April 2014</w:t>
                        </w:r>
                      </w:p>
                    </w:txbxContent>
                  </v:textbox>
                </v:rect>
                <w10:wrap anchorx="page" anchory="page"/>
              </v:group>
            </w:pict>
          </w:r>
        </w:p>
        <w:p w:rsidR="00521C17" w:rsidRDefault="00521C17" w:rsidP="00B1306B">
          <w:pPr>
            <w:rPr>
              <w:rFonts w:cs="Arial"/>
              <w:szCs w:val="24"/>
            </w:rPr>
          </w:pPr>
          <w:r>
            <w:rPr>
              <w:rFonts w:cs="Arial"/>
              <w:szCs w:val="24"/>
            </w:rPr>
            <w:br w:type="page"/>
          </w:r>
        </w:p>
      </w:sdtContent>
    </w:sdt>
    <w:p w:rsidR="0059419D" w:rsidRDefault="00CD223D" w:rsidP="00B1306B">
      <w:pPr>
        <w:rPr>
          <w:rFonts w:cs="Arial"/>
          <w:szCs w:val="24"/>
        </w:rPr>
      </w:pPr>
      <w:r>
        <w:rPr>
          <w:rFonts w:cs="Arial"/>
          <w:szCs w:val="24"/>
        </w:rPr>
        <w:lastRenderedPageBreak/>
        <w:t xml:space="preserve">The Department of Environment would like to acknowledge the publication of this Report was made possible owing to the cooperation and collaborative efforts of all Australian government jurisdictions. </w:t>
      </w:r>
    </w:p>
    <w:p w:rsidR="00CD223D" w:rsidRDefault="00CD223D" w:rsidP="00B1306B">
      <w:pPr>
        <w:rPr>
          <w:rFonts w:cs="Arial"/>
          <w:szCs w:val="24"/>
        </w:rPr>
      </w:pPr>
    </w:p>
    <w:p w:rsidR="00CD223D" w:rsidRPr="00156658" w:rsidRDefault="00CD223D" w:rsidP="00B1306B">
      <w:pPr>
        <w:rPr>
          <w:rFonts w:cs="Arial"/>
          <w:szCs w:val="24"/>
        </w:rPr>
      </w:pPr>
      <w:r>
        <w:rPr>
          <w:rFonts w:cs="Arial"/>
          <w:szCs w:val="24"/>
        </w:rPr>
        <w:t>While the Report provides a snapshot of effort it reflects a small part of the work undertaken by all Australian governments, industry and the community in resource recovery and the management of waste.</w:t>
      </w: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59419D" w:rsidRPr="00156658" w:rsidRDefault="0059419D" w:rsidP="00B1306B">
      <w:pPr>
        <w:rPr>
          <w:rFonts w:cs="Arial"/>
          <w:szCs w:val="24"/>
        </w:rPr>
      </w:pPr>
    </w:p>
    <w:p w:rsidR="00865100" w:rsidRDefault="00865100" w:rsidP="00865100">
      <w:pPr>
        <w:rPr>
          <w:i/>
          <w:iCs/>
          <w:color w:val="1F497D"/>
        </w:rPr>
      </w:pPr>
      <w:r>
        <w:rPr>
          <w:i/>
          <w:iCs/>
          <w:color w:val="1F497D"/>
        </w:rPr>
        <w:t xml:space="preserve">This work is copyright. It may be reproduced in part subject to the inclusion of acknowledgement of the source and no commercial sale. </w:t>
      </w:r>
    </w:p>
    <w:p w:rsidR="0059419D" w:rsidRPr="00156658" w:rsidRDefault="0059419D" w:rsidP="00B1306B">
      <w:pPr>
        <w:rPr>
          <w:rFonts w:cs="Arial"/>
          <w:szCs w:val="24"/>
        </w:rPr>
      </w:pPr>
    </w:p>
    <w:p w:rsidR="007476A7" w:rsidRDefault="007476A7" w:rsidP="00B1306B">
      <w:pPr>
        <w:rPr>
          <w:rFonts w:cs="Arial"/>
          <w:szCs w:val="24"/>
        </w:rPr>
      </w:pPr>
      <w:r>
        <w:rPr>
          <w:rFonts w:cs="Arial"/>
          <w:szCs w:val="24"/>
        </w:rPr>
        <w:br w:type="page"/>
      </w:r>
    </w:p>
    <w:p w:rsidR="00F65539" w:rsidRPr="00BC127A" w:rsidRDefault="003024D6" w:rsidP="00BC127A">
      <w:pPr>
        <w:jc w:val="center"/>
        <w:rPr>
          <w:b/>
          <w:sz w:val="32"/>
          <w:szCs w:val="32"/>
        </w:rPr>
      </w:pPr>
      <w:r w:rsidRPr="00BC127A">
        <w:rPr>
          <w:b/>
          <w:sz w:val="32"/>
          <w:szCs w:val="32"/>
        </w:rPr>
        <w:lastRenderedPageBreak/>
        <w:t>TABLE OF CONTENTS</w:t>
      </w:r>
    </w:p>
    <w:sdt>
      <w:sdtPr>
        <w:id w:val="16015938"/>
        <w:docPartObj>
          <w:docPartGallery w:val="Table of Contents"/>
          <w:docPartUnique/>
        </w:docPartObj>
      </w:sdtPr>
      <w:sdtEndPr>
        <w:rPr>
          <w:szCs w:val="24"/>
        </w:rPr>
      </w:sdtEndPr>
      <w:sdtContent>
        <w:p w:rsidR="00F65539" w:rsidRPr="00156658" w:rsidRDefault="00F65539" w:rsidP="007E01CD"/>
        <w:p w:rsidR="00DD7140" w:rsidRDefault="001F5E0F">
          <w:pPr>
            <w:pStyle w:val="TOC1"/>
            <w:rPr>
              <w:rFonts w:asciiTheme="minorHAnsi" w:eastAsiaTheme="minorEastAsia" w:hAnsiTheme="minorHAnsi" w:cstheme="minorBidi"/>
              <w:noProof/>
              <w:sz w:val="22"/>
              <w:lang w:eastAsia="en-AU"/>
            </w:rPr>
          </w:pPr>
          <w:r w:rsidRPr="001F5E0F">
            <w:rPr>
              <w:szCs w:val="24"/>
            </w:rPr>
            <w:fldChar w:fldCharType="begin"/>
          </w:r>
          <w:r w:rsidR="00F65539" w:rsidRPr="00156658">
            <w:rPr>
              <w:szCs w:val="24"/>
            </w:rPr>
            <w:instrText xml:space="preserve"> TOC \o "1-3" \h \z \u </w:instrText>
          </w:r>
          <w:r w:rsidRPr="001F5E0F">
            <w:rPr>
              <w:szCs w:val="24"/>
            </w:rPr>
            <w:fldChar w:fldCharType="separate"/>
          </w:r>
          <w:hyperlink w:anchor="_Toc383092758" w:history="1">
            <w:r w:rsidR="00DD7140" w:rsidRPr="002F1344">
              <w:rPr>
                <w:rStyle w:val="Hyperlink"/>
                <w:noProof/>
              </w:rPr>
              <w:t>INTRODUCTION</w:t>
            </w:r>
            <w:r w:rsidR="00DD7140">
              <w:rPr>
                <w:noProof/>
                <w:webHidden/>
              </w:rPr>
              <w:tab/>
            </w:r>
            <w:r>
              <w:rPr>
                <w:noProof/>
                <w:webHidden/>
              </w:rPr>
              <w:fldChar w:fldCharType="begin"/>
            </w:r>
            <w:r w:rsidR="00DD7140">
              <w:rPr>
                <w:noProof/>
                <w:webHidden/>
              </w:rPr>
              <w:instrText xml:space="preserve"> PAGEREF _Toc383092758 \h </w:instrText>
            </w:r>
            <w:r>
              <w:rPr>
                <w:noProof/>
                <w:webHidden/>
              </w:rPr>
            </w:r>
            <w:r>
              <w:rPr>
                <w:noProof/>
                <w:webHidden/>
              </w:rPr>
              <w:fldChar w:fldCharType="separate"/>
            </w:r>
            <w:r w:rsidR="008E5E36">
              <w:rPr>
                <w:noProof/>
                <w:webHidden/>
              </w:rPr>
              <w:t>5</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59" w:history="1">
            <w:r w:rsidR="00DD7140" w:rsidRPr="002F1344">
              <w:rPr>
                <w:rStyle w:val="Hyperlink"/>
                <w:noProof/>
              </w:rPr>
              <w:t>Overview</w:t>
            </w:r>
            <w:r w:rsidR="00DD7140">
              <w:rPr>
                <w:noProof/>
                <w:webHidden/>
              </w:rPr>
              <w:tab/>
            </w:r>
            <w:r>
              <w:rPr>
                <w:noProof/>
                <w:webHidden/>
              </w:rPr>
              <w:fldChar w:fldCharType="begin"/>
            </w:r>
            <w:r w:rsidR="00DD7140">
              <w:rPr>
                <w:noProof/>
                <w:webHidden/>
              </w:rPr>
              <w:instrText xml:space="preserve"> PAGEREF _Toc383092759 \h </w:instrText>
            </w:r>
            <w:r>
              <w:rPr>
                <w:noProof/>
                <w:webHidden/>
              </w:rPr>
            </w:r>
            <w:r>
              <w:rPr>
                <w:noProof/>
                <w:webHidden/>
              </w:rPr>
              <w:fldChar w:fldCharType="separate"/>
            </w:r>
            <w:r w:rsidR="008E5E36">
              <w:rPr>
                <w:noProof/>
                <w:webHidden/>
              </w:rPr>
              <w:t>5</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60" w:history="1">
            <w:r w:rsidR="00DD7140" w:rsidRPr="002F1344">
              <w:rPr>
                <w:rStyle w:val="Hyperlink"/>
                <w:noProof/>
              </w:rPr>
              <w:t>National Waste Policy</w:t>
            </w:r>
            <w:r w:rsidR="00DD7140">
              <w:rPr>
                <w:noProof/>
                <w:webHidden/>
              </w:rPr>
              <w:tab/>
            </w:r>
            <w:r>
              <w:rPr>
                <w:noProof/>
                <w:webHidden/>
              </w:rPr>
              <w:fldChar w:fldCharType="begin"/>
            </w:r>
            <w:r w:rsidR="00DD7140">
              <w:rPr>
                <w:noProof/>
                <w:webHidden/>
              </w:rPr>
              <w:instrText xml:space="preserve"> PAGEREF _Toc383092760 \h </w:instrText>
            </w:r>
            <w:r>
              <w:rPr>
                <w:noProof/>
                <w:webHidden/>
              </w:rPr>
            </w:r>
            <w:r>
              <w:rPr>
                <w:noProof/>
                <w:webHidden/>
              </w:rPr>
              <w:fldChar w:fldCharType="separate"/>
            </w:r>
            <w:r w:rsidR="008E5E36">
              <w:rPr>
                <w:noProof/>
                <w:webHidden/>
              </w:rPr>
              <w:t>5</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61" w:history="1">
            <w:r w:rsidR="00DD7140" w:rsidRPr="002F1344">
              <w:rPr>
                <w:rStyle w:val="Hyperlink"/>
                <w:noProof/>
              </w:rPr>
              <w:t>1.</w:t>
            </w:r>
            <w:r w:rsidR="00DD7140">
              <w:rPr>
                <w:rFonts w:asciiTheme="minorHAnsi" w:eastAsiaTheme="minorEastAsia" w:hAnsiTheme="minorHAnsi" w:cstheme="minorBidi"/>
                <w:noProof/>
                <w:sz w:val="22"/>
                <w:lang w:eastAsia="en-AU"/>
              </w:rPr>
              <w:tab/>
            </w:r>
            <w:r w:rsidR="00DD7140" w:rsidRPr="002F1344">
              <w:rPr>
                <w:rStyle w:val="Hyperlink"/>
                <w:noProof/>
              </w:rPr>
              <w:t>TAKING RESPONSIBLITY</w:t>
            </w:r>
            <w:r w:rsidR="00DD7140">
              <w:rPr>
                <w:noProof/>
                <w:webHidden/>
              </w:rPr>
              <w:tab/>
            </w:r>
            <w:r>
              <w:rPr>
                <w:noProof/>
                <w:webHidden/>
              </w:rPr>
              <w:fldChar w:fldCharType="begin"/>
            </w:r>
            <w:r w:rsidR="00DD7140">
              <w:rPr>
                <w:noProof/>
                <w:webHidden/>
              </w:rPr>
              <w:instrText xml:space="preserve"> PAGEREF _Toc383092761 \h </w:instrText>
            </w:r>
            <w:r>
              <w:rPr>
                <w:noProof/>
                <w:webHidden/>
              </w:rPr>
            </w:r>
            <w:r>
              <w:rPr>
                <w:noProof/>
                <w:webHidden/>
              </w:rPr>
              <w:fldChar w:fldCharType="separate"/>
            </w:r>
            <w:r w:rsidR="008E5E36">
              <w:rPr>
                <w:noProof/>
                <w:webHidden/>
              </w:rPr>
              <w:t>7</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62" w:history="1">
            <w:r w:rsidR="00DD7140" w:rsidRPr="002F1344">
              <w:rPr>
                <w:rStyle w:val="Hyperlink"/>
                <w:noProof/>
              </w:rPr>
              <w:t>Strategy 1</w:t>
            </w:r>
            <w:r w:rsidR="00DD7140" w:rsidRPr="002F1344">
              <w:rPr>
                <w:rStyle w:val="Hyperlink"/>
                <w:i/>
                <w:noProof/>
              </w:rPr>
              <w:t xml:space="preserve"> – Product Stewardship</w:t>
            </w:r>
            <w:r w:rsidR="00DD7140">
              <w:rPr>
                <w:noProof/>
                <w:webHidden/>
              </w:rPr>
              <w:tab/>
            </w:r>
            <w:r>
              <w:rPr>
                <w:noProof/>
                <w:webHidden/>
              </w:rPr>
              <w:fldChar w:fldCharType="begin"/>
            </w:r>
            <w:r w:rsidR="00DD7140">
              <w:rPr>
                <w:noProof/>
                <w:webHidden/>
              </w:rPr>
              <w:instrText xml:space="preserve"> PAGEREF _Toc383092762 \h </w:instrText>
            </w:r>
            <w:r>
              <w:rPr>
                <w:noProof/>
                <w:webHidden/>
              </w:rPr>
            </w:r>
            <w:r>
              <w:rPr>
                <w:noProof/>
                <w:webHidden/>
              </w:rPr>
              <w:fldChar w:fldCharType="separate"/>
            </w:r>
            <w:r w:rsidR="008E5E36">
              <w:rPr>
                <w:noProof/>
                <w:webHidden/>
              </w:rPr>
              <w:t>7</w:t>
            </w:r>
            <w:r>
              <w:rPr>
                <w:noProof/>
                <w:webHidden/>
              </w:rPr>
              <w:fldChar w:fldCharType="end"/>
            </w:r>
          </w:hyperlink>
        </w:p>
        <w:p w:rsidR="00DD7140" w:rsidRDefault="001F5E0F">
          <w:pPr>
            <w:pStyle w:val="TOC3"/>
            <w:tabs>
              <w:tab w:val="right" w:leader="dot" w:pos="9016"/>
            </w:tabs>
            <w:rPr>
              <w:rFonts w:asciiTheme="minorHAnsi" w:eastAsiaTheme="minorEastAsia" w:hAnsiTheme="minorHAnsi" w:cstheme="minorBidi"/>
              <w:noProof/>
              <w:sz w:val="22"/>
              <w:lang w:eastAsia="en-AU"/>
            </w:rPr>
          </w:pPr>
          <w:hyperlink w:anchor="_Toc383092763" w:history="1">
            <w:r w:rsidR="00DD7140" w:rsidRPr="002F1344">
              <w:rPr>
                <w:rStyle w:val="Hyperlink"/>
                <w:noProof/>
              </w:rPr>
              <w:t>National product stewardship legislation</w:t>
            </w:r>
            <w:r w:rsidR="00DD7140">
              <w:rPr>
                <w:noProof/>
                <w:webHidden/>
              </w:rPr>
              <w:tab/>
            </w:r>
            <w:r>
              <w:rPr>
                <w:noProof/>
                <w:webHidden/>
              </w:rPr>
              <w:fldChar w:fldCharType="begin"/>
            </w:r>
            <w:r w:rsidR="00DD7140">
              <w:rPr>
                <w:noProof/>
                <w:webHidden/>
              </w:rPr>
              <w:instrText xml:space="preserve"> PAGEREF _Toc383092763 \h </w:instrText>
            </w:r>
            <w:r>
              <w:rPr>
                <w:noProof/>
                <w:webHidden/>
              </w:rPr>
            </w:r>
            <w:r>
              <w:rPr>
                <w:noProof/>
                <w:webHidden/>
              </w:rPr>
              <w:fldChar w:fldCharType="separate"/>
            </w:r>
            <w:r w:rsidR="008E5E36">
              <w:rPr>
                <w:noProof/>
                <w:webHidden/>
              </w:rPr>
              <w:t>7</w:t>
            </w:r>
            <w:r>
              <w:rPr>
                <w:noProof/>
                <w:webHidden/>
              </w:rPr>
              <w:fldChar w:fldCharType="end"/>
            </w:r>
          </w:hyperlink>
        </w:p>
        <w:p w:rsidR="00DD7140" w:rsidRDefault="001F5E0F">
          <w:pPr>
            <w:pStyle w:val="TOC3"/>
            <w:tabs>
              <w:tab w:val="right" w:leader="dot" w:pos="9016"/>
            </w:tabs>
            <w:rPr>
              <w:rFonts w:asciiTheme="minorHAnsi" w:eastAsiaTheme="minorEastAsia" w:hAnsiTheme="minorHAnsi" w:cstheme="minorBidi"/>
              <w:noProof/>
              <w:sz w:val="22"/>
              <w:lang w:eastAsia="en-AU"/>
            </w:rPr>
          </w:pPr>
          <w:hyperlink w:anchor="_Toc383092764" w:history="1">
            <w:r w:rsidR="00DD7140" w:rsidRPr="002F1344">
              <w:rPr>
                <w:rStyle w:val="Hyperlink"/>
                <w:noProof/>
              </w:rPr>
              <w:t>National product stewardship arrangements</w:t>
            </w:r>
            <w:r w:rsidR="00DD7140">
              <w:rPr>
                <w:noProof/>
                <w:webHidden/>
              </w:rPr>
              <w:tab/>
            </w:r>
            <w:r>
              <w:rPr>
                <w:noProof/>
                <w:webHidden/>
              </w:rPr>
              <w:fldChar w:fldCharType="begin"/>
            </w:r>
            <w:r w:rsidR="00DD7140">
              <w:rPr>
                <w:noProof/>
                <w:webHidden/>
              </w:rPr>
              <w:instrText xml:space="preserve"> PAGEREF _Toc383092764 \h </w:instrText>
            </w:r>
            <w:r>
              <w:rPr>
                <w:noProof/>
                <w:webHidden/>
              </w:rPr>
            </w:r>
            <w:r>
              <w:rPr>
                <w:noProof/>
                <w:webHidden/>
              </w:rPr>
              <w:fldChar w:fldCharType="separate"/>
            </w:r>
            <w:r w:rsidR="008E5E36">
              <w:rPr>
                <w:noProof/>
                <w:webHidden/>
              </w:rPr>
              <w:t>8</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65" w:history="1">
            <w:r w:rsidR="00DD7140" w:rsidRPr="002F1344">
              <w:rPr>
                <w:rStyle w:val="Hyperlink"/>
                <w:noProof/>
              </w:rPr>
              <w:t xml:space="preserve">Strategy 2 – </w:t>
            </w:r>
            <w:r w:rsidR="00DD7140" w:rsidRPr="002F1344">
              <w:rPr>
                <w:rStyle w:val="Hyperlink"/>
                <w:i/>
                <w:noProof/>
              </w:rPr>
              <w:t>Sustainable Procurement</w:t>
            </w:r>
            <w:r w:rsidR="00DD7140">
              <w:rPr>
                <w:noProof/>
                <w:webHidden/>
              </w:rPr>
              <w:tab/>
            </w:r>
            <w:r>
              <w:rPr>
                <w:noProof/>
                <w:webHidden/>
              </w:rPr>
              <w:fldChar w:fldCharType="begin"/>
            </w:r>
            <w:r w:rsidR="00DD7140">
              <w:rPr>
                <w:noProof/>
                <w:webHidden/>
              </w:rPr>
              <w:instrText xml:space="preserve"> PAGEREF _Toc383092765 \h </w:instrText>
            </w:r>
            <w:r>
              <w:rPr>
                <w:noProof/>
                <w:webHidden/>
              </w:rPr>
            </w:r>
            <w:r>
              <w:rPr>
                <w:noProof/>
                <w:webHidden/>
              </w:rPr>
              <w:fldChar w:fldCharType="separate"/>
            </w:r>
            <w:r w:rsidR="008E5E36">
              <w:rPr>
                <w:noProof/>
                <w:webHidden/>
              </w:rPr>
              <w:t>8</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66" w:history="1">
            <w:r w:rsidR="00DD7140" w:rsidRPr="002F1344">
              <w:rPr>
                <w:rStyle w:val="Hyperlink"/>
                <w:noProof/>
              </w:rPr>
              <w:t xml:space="preserve">Strategy 3 – </w:t>
            </w:r>
            <w:r w:rsidR="00DD7140" w:rsidRPr="002F1344">
              <w:rPr>
                <w:rStyle w:val="Hyperlink"/>
                <w:i/>
                <w:noProof/>
              </w:rPr>
              <w:t>Packaging</w:t>
            </w:r>
            <w:r w:rsidR="00DD7140">
              <w:rPr>
                <w:noProof/>
                <w:webHidden/>
              </w:rPr>
              <w:tab/>
            </w:r>
            <w:r>
              <w:rPr>
                <w:noProof/>
                <w:webHidden/>
              </w:rPr>
              <w:fldChar w:fldCharType="begin"/>
            </w:r>
            <w:r w:rsidR="00DD7140">
              <w:rPr>
                <w:noProof/>
                <w:webHidden/>
              </w:rPr>
              <w:instrText xml:space="preserve"> PAGEREF _Toc383092766 \h </w:instrText>
            </w:r>
            <w:r>
              <w:rPr>
                <w:noProof/>
                <w:webHidden/>
              </w:rPr>
            </w:r>
            <w:r>
              <w:rPr>
                <w:noProof/>
                <w:webHidden/>
              </w:rPr>
              <w:fldChar w:fldCharType="separate"/>
            </w:r>
            <w:r w:rsidR="008E5E36">
              <w:rPr>
                <w:noProof/>
                <w:webHidden/>
              </w:rPr>
              <w:t>9</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67" w:history="1">
            <w:r w:rsidR="00DD7140" w:rsidRPr="002F1344">
              <w:rPr>
                <w:rStyle w:val="Hyperlink"/>
                <w:noProof/>
              </w:rPr>
              <w:t>2.</w:t>
            </w:r>
            <w:r w:rsidR="00DD7140">
              <w:rPr>
                <w:rFonts w:asciiTheme="minorHAnsi" w:eastAsiaTheme="minorEastAsia" w:hAnsiTheme="minorHAnsi" w:cstheme="minorBidi"/>
                <w:noProof/>
                <w:sz w:val="22"/>
                <w:lang w:eastAsia="en-AU"/>
              </w:rPr>
              <w:tab/>
            </w:r>
            <w:r w:rsidR="00DD7140" w:rsidRPr="002F1344">
              <w:rPr>
                <w:rStyle w:val="Hyperlink"/>
                <w:noProof/>
              </w:rPr>
              <w:t>IMPROVING THE MARKET</w:t>
            </w:r>
            <w:r w:rsidR="00DD7140">
              <w:rPr>
                <w:noProof/>
                <w:webHidden/>
              </w:rPr>
              <w:tab/>
            </w:r>
            <w:r>
              <w:rPr>
                <w:noProof/>
                <w:webHidden/>
              </w:rPr>
              <w:fldChar w:fldCharType="begin"/>
            </w:r>
            <w:r w:rsidR="00DD7140">
              <w:rPr>
                <w:noProof/>
                <w:webHidden/>
              </w:rPr>
              <w:instrText xml:space="preserve"> PAGEREF _Toc383092767 \h </w:instrText>
            </w:r>
            <w:r>
              <w:rPr>
                <w:noProof/>
                <w:webHidden/>
              </w:rPr>
            </w:r>
            <w:r>
              <w:rPr>
                <w:noProof/>
                <w:webHidden/>
              </w:rPr>
              <w:fldChar w:fldCharType="separate"/>
            </w:r>
            <w:r w:rsidR="008E5E36">
              <w:rPr>
                <w:noProof/>
                <w:webHidden/>
              </w:rPr>
              <w:t>11</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68" w:history="1">
            <w:r w:rsidR="00DD7140" w:rsidRPr="002F1344">
              <w:rPr>
                <w:rStyle w:val="Hyperlink"/>
                <w:noProof/>
              </w:rPr>
              <w:t xml:space="preserve">Strategy 4 – </w:t>
            </w:r>
            <w:r w:rsidR="00DD7140" w:rsidRPr="002F1344">
              <w:rPr>
                <w:rStyle w:val="Hyperlink"/>
                <w:i/>
                <w:noProof/>
              </w:rPr>
              <w:t>Classifications and Definitions</w:t>
            </w:r>
            <w:r w:rsidR="00DD7140">
              <w:rPr>
                <w:noProof/>
                <w:webHidden/>
              </w:rPr>
              <w:tab/>
            </w:r>
            <w:r>
              <w:rPr>
                <w:noProof/>
                <w:webHidden/>
              </w:rPr>
              <w:fldChar w:fldCharType="begin"/>
            </w:r>
            <w:r w:rsidR="00DD7140">
              <w:rPr>
                <w:noProof/>
                <w:webHidden/>
              </w:rPr>
              <w:instrText xml:space="preserve"> PAGEREF _Toc383092768 \h </w:instrText>
            </w:r>
            <w:r>
              <w:rPr>
                <w:noProof/>
                <w:webHidden/>
              </w:rPr>
            </w:r>
            <w:r>
              <w:rPr>
                <w:noProof/>
                <w:webHidden/>
              </w:rPr>
              <w:fldChar w:fldCharType="separate"/>
            </w:r>
            <w:r w:rsidR="008E5E36">
              <w:rPr>
                <w:noProof/>
                <w:webHidden/>
              </w:rPr>
              <w:t>11</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69" w:history="1">
            <w:r w:rsidR="00DD7140" w:rsidRPr="002F1344">
              <w:rPr>
                <w:rStyle w:val="Hyperlink"/>
                <w:noProof/>
              </w:rPr>
              <w:t xml:space="preserve">Strategy 5 – </w:t>
            </w:r>
            <w:r w:rsidR="00DD7140" w:rsidRPr="002F1344">
              <w:rPr>
                <w:rStyle w:val="Hyperlink"/>
                <w:i/>
                <w:noProof/>
              </w:rPr>
              <w:t>National Principles</w:t>
            </w:r>
            <w:r w:rsidR="00DD7140">
              <w:rPr>
                <w:noProof/>
                <w:webHidden/>
              </w:rPr>
              <w:tab/>
            </w:r>
            <w:r>
              <w:rPr>
                <w:noProof/>
                <w:webHidden/>
              </w:rPr>
              <w:fldChar w:fldCharType="begin"/>
            </w:r>
            <w:r w:rsidR="00DD7140">
              <w:rPr>
                <w:noProof/>
                <w:webHidden/>
              </w:rPr>
              <w:instrText xml:space="preserve"> PAGEREF _Toc383092769 \h </w:instrText>
            </w:r>
            <w:r>
              <w:rPr>
                <w:noProof/>
                <w:webHidden/>
              </w:rPr>
            </w:r>
            <w:r>
              <w:rPr>
                <w:noProof/>
                <w:webHidden/>
              </w:rPr>
              <w:fldChar w:fldCharType="separate"/>
            </w:r>
            <w:r w:rsidR="008E5E36">
              <w:rPr>
                <w:noProof/>
                <w:webHidden/>
              </w:rPr>
              <w:t>11</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0" w:history="1">
            <w:r w:rsidR="00DD7140" w:rsidRPr="002F1344">
              <w:rPr>
                <w:rStyle w:val="Hyperlink"/>
                <w:noProof/>
              </w:rPr>
              <w:t xml:space="preserve">Strategy 6 – </w:t>
            </w:r>
            <w:r w:rsidR="00DD7140" w:rsidRPr="002F1344">
              <w:rPr>
                <w:rStyle w:val="Hyperlink"/>
                <w:i/>
                <w:noProof/>
              </w:rPr>
              <w:t>Knowledge Exchange</w:t>
            </w:r>
            <w:r w:rsidR="00DD7140">
              <w:rPr>
                <w:noProof/>
                <w:webHidden/>
              </w:rPr>
              <w:tab/>
            </w:r>
            <w:r>
              <w:rPr>
                <w:noProof/>
                <w:webHidden/>
              </w:rPr>
              <w:fldChar w:fldCharType="begin"/>
            </w:r>
            <w:r w:rsidR="00DD7140">
              <w:rPr>
                <w:noProof/>
                <w:webHidden/>
              </w:rPr>
              <w:instrText xml:space="preserve"> PAGEREF _Toc383092770 \h </w:instrText>
            </w:r>
            <w:r>
              <w:rPr>
                <w:noProof/>
                <w:webHidden/>
              </w:rPr>
            </w:r>
            <w:r>
              <w:rPr>
                <w:noProof/>
                <w:webHidden/>
              </w:rPr>
              <w:fldChar w:fldCharType="separate"/>
            </w:r>
            <w:r w:rsidR="008E5E36">
              <w:rPr>
                <w:noProof/>
                <w:webHidden/>
              </w:rPr>
              <w:t>12</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71" w:history="1">
            <w:r w:rsidR="00DD7140" w:rsidRPr="002F1344">
              <w:rPr>
                <w:rStyle w:val="Hyperlink"/>
                <w:noProof/>
              </w:rPr>
              <w:t>3.</w:t>
            </w:r>
            <w:r w:rsidR="00DD7140">
              <w:rPr>
                <w:rFonts w:asciiTheme="minorHAnsi" w:eastAsiaTheme="minorEastAsia" w:hAnsiTheme="minorHAnsi" w:cstheme="minorBidi"/>
                <w:noProof/>
                <w:sz w:val="22"/>
                <w:lang w:eastAsia="en-AU"/>
              </w:rPr>
              <w:tab/>
            </w:r>
            <w:r w:rsidR="00DD7140" w:rsidRPr="002F1344">
              <w:rPr>
                <w:rStyle w:val="Hyperlink"/>
                <w:noProof/>
              </w:rPr>
              <w:t>PURSUING SUSTAINABILITY</w:t>
            </w:r>
            <w:r w:rsidR="00DD7140">
              <w:rPr>
                <w:noProof/>
                <w:webHidden/>
              </w:rPr>
              <w:tab/>
            </w:r>
            <w:r>
              <w:rPr>
                <w:noProof/>
                <w:webHidden/>
              </w:rPr>
              <w:fldChar w:fldCharType="begin"/>
            </w:r>
            <w:r w:rsidR="00DD7140">
              <w:rPr>
                <w:noProof/>
                <w:webHidden/>
              </w:rPr>
              <w:instrText xml:space="preserve"> PAGEREF _Toc383092771 \h </w:instrText>
            </w:r>
            <w:r>
              <w:rPr>
                <w:noProof/>
                <w:webHidden/>
              </w:rPr>
            </w:r>
            <w:r>
              <w:rPr>
                <w:noProof/>
                <w:webHidden/>
              </w:rPr>
              <w:fldChar w:fldCharType="separate"/>
            </w:r>
            <w:r w:rsidR="008E5E36">
              <w:rPr>
                <w:noProof/>
                <w:webHidden/>
              </w:rPr>
              <w:t>14</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2" w:history="1">
            <w:r w:rsidR="00DD7140" w:rsidRPr="002F1344">
              <w:rPr>
                <w:rStyle w:val="Hyperlink"/>
                <w:noProof/>
              </w:rPr>
              <w:t xml:space="preserve">Strategy 7 – </w:t>
            </w:r>
            <w:r w:rsidR="00DD7140" w:rsidRPr="002F1344">
              <w:rPr>
                <w:rStyle w:val="Hyperlink"/>
                <w:i/>
                <w:noProof/>
              </w:rPr>
              <w:t>Biodegradable material in landfill</w:t>
            </w:r>
            <w:r w:rsidR="00DD7140">
              <w:rPr>
                <w:noProof/>
                <w:webHidden/>
              </w:rPr>
              <w:tab/>
            </w:r>
            <w:r>
              <w:rPr>
                <w:noProof/>
                <w:webHidden/>
              </w:rPr>
              <w:fldChar w:fldCharType="begin"/>
            </w:r>
            <w:r w:rsidR="00DD7140">
              <w:rPr>
                <w:noProof/>
                <w:webHidden/>
              </w:rPr>
              <w:instrText xml:space="preserve"> PAGEREF _Toc383092772 \h </w:instrText>
            </w:r>
            <w:r>
              <w:rPr>
                <w:noProof/>
                <w:webHidden/>
              </w:rPr>
            </w:r>
            <w:r>
              <w:rPr>
                <w:noProof/>
                <w:webHidden/>
              </w:rPr>
              <w:fldChar w:fldCharType="separate"/>
            </w:r>
            <w:r w:rsidR="008E5E36">
              <w:rPr>
                <w:noProof/>
                <w:webHidden/>
              </w:rPr>
              <w:t>14</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3" w:history="1">
            <w:r w:rsidR="00DD7140" w:rsidRPr="002F1344">
              <w:rPr>
                <w:rStyle w:val="Hyperlink"/>
                <w:noProof/>
              </w:rPr>
              <w:t xml:space="preserve">Strategy 8 – </w:t>
            </w:r>
            <w:r w:rsidR="00DD7140" w:rsidRPr="002F1344">
              <w:rPr>
                <w:rStyle w:val="Hyperlink"/>
                <w:i/>
                <w:noProof/>
              </w:rPr>
              <w:t>Managing health and safety risks</w:t>
            </w:r>
            <w:r w:rsidR="00DD7140">
              <w:rPr>
                <w:noProof/>
                <w:webHidden/>
              </w:rPr>
              <w:tab/>
            </w:r>
            <w:r>
              <w:rPr>
                <w:noProof/>
                <w:webHidden/>
              </w:rPr>
              <w:fldChar w:fldCharType="begin"/>
            </w:r>
            <w:r w:rsidR="00DD7140">
              <w:rPr>
                <w:noProof/>
                <w:webHidden/>
              </w:rPr>
              <w:instrText xml:space="preserve"> PAGEREF _Toc383092773 \h </w:instrText>
            </w:r>
            <w:r>
              <w:rPr>
                <w:noProof/>
                <w:webHidden/>
              </w:rPr>
            </w:r>
            <w:r>
              <w:rPr>
                <w:noProof/>
                <w:webHidden/>
              </w:rPr>
              <w:fldChar w:fldCharType="separate"/>
            </w:r>
            <w:r w:rsidR="008E5E36">
              <w:rPr>
                <w:noProof/>
                <w:webHidden/>
              </w:rPr>
              <w:t>14</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4" w:history="1">
            <w:r w:rsidR="00DD7140" w:rsidRPr="002F1344">
              <w:rPr>
                <w:rStyle w:val="Hyperlink"/>
                <w:noProof/>
              </w:rPr>
              <w:t xml:space="preserve">Strategy 9 – </w:t>
            </w:r>
            <w:r w:rsidR="00DD7140" w:rsidRPr="002F1344">
              <w:rPr>
                <w:rStyle w:val="Hyperlink"/>
                <w:i/>
                <w:noProof/>
              </w:rPr>
              <w:t>Emissions from Landfill</w:t>
            </w:r>
            <w:r w:rsidR="00DD7140">
              <w:rPr>
                <w:noProof/>
                <w:webHidden/>
              </w:rPr>
              <w:tab/>
            </w:r>
            <w:r>
              <w:rPr>
                <w:noProof/>
                <w:webHidden/>
              </w:rPr>
              <w:fldChar w:fldCharType="begin"/>
            </w:r>
            <w:r w:rsidR="00DD7140">
              <w:rPr>
                <w:noProof/>
                <w:webHidden/>
              </w:rPr>
              <w:instrText xml:space="preserve"> PAGEREF _Toc383092774 \h </w:instrText>
            </w:r>
            <w:r>
              <w:rPr>
                <w:noProof/>
                <w:webHidden/>
              </w:rPr>
            </w:r>
            <w:r>
              <w:rPr>
                <w:noProof/>
                <w:webHidden/>
              </w:rPr>
              <w:fldChar w:fldCharType="separate"/>
            </w:r>
            <w:r w:rsidR="008E5E36">
              <w:rPr>
                <w:noProof/>
                <w:webHidden/>
              </w:rPr>
              <w:t>15</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5" w:history="1">
            <w:r w:rsidR="00DD7140" w:rsidRPr="002F1344">
              <w:rPr>
                <w:rStyle w:val="Hyperlink"/>
                <w:noProof/>
              </w:rPr>
              <w:t xml:space="preserve">Strategy 10 – </w:t>
            </w:r>
            <w:r w:rsidR="00DD7140" w:rsidRPr="002F1344">
              <w:rPr>
                <w:rStyle w:val="Hyperlink"/>
                <w:i/>
                <w:noProof/>
              </w:rPr>
              <w:t>Commercial and Industrial</w:t>
            </w:r>
            <w:r w:rsidR="00DD7140">
              <w:rPr>
                <w:noProof/>
                <w:webHidden/>
              </w:rPr>
              <w:tab/>
            </w:r>
            <w:r>
              <w:rPr>
                <w:noProof/>
                <w:webHidden/>
              </w:rPr>
              <w:fldChar w:fldCharType="begin"/>
            </w:r>
            <w:r w:rsidR="00DD7140">
              <w:rPr>
                <w:noProof/>
                <w:webHidden/>
              </w:rPr>
              <w:instrText xml:space="preserve"> PAGEREF _Toc383092775 \h </w:instrText>
            </w:r>
            <w:r>
              <w:rPr>
                <w:noProof/>
                <w:webHidden/>
              </w:rPr>
            </w:r>
            <w:r>
              <w:rPr>
                <w:noProof/>
                <w:webHidden/>
              </w:rPr>
              <w:fldChar w:fldCharType="separate"/>
            </w:r>
            <w:r w:rsidR="008E5E36">
              <w:rPr>
                <w:noProof/>
                <w:webHidden/>
              </w:rPr>
              <w:t>15</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6" w:history="1">
            <w:r w:rsidR="00DD7140" w:rsidRPr="002F1344">
              <w:rPr>
                <w:rStyle w:val="Hyperlink"/>
                <w:noProof/>
              </w:rPr>
              <w:t xml:space="preserve">Strategy 11 – </w:t>
            </w:r>
            <w:r w:rsidR="00DD7140" w:rsidRPr="002F1344">
              <w:rPr>
                <w:rStyle w:val="Hyperlink"/>
                <w:i/>
                <w:noProof/>
              </w:rPr>
              <w:t>Construction and Demolition</w:t>
            </w:r>
            <w:r w:rsidR="00DD7140">
              <w:rPr>
                <w:noProof/>
                <w:webHidden/>
              </w:rPr>
              <w:tab/>
            </w:r>
            <w:r>
              <w:rPr>
                <w:noProof/>
                <w:webHidden/>
              </w:rPr>
              <w:fldChar w:fldCharType="begin"/>
            </w:r>
            <w:r w:rsidR="00DD7140">
              <w:rPr>
                <w:noProof/>
                <w:webHidden/>
              </w:rPr>
              <w:instrText xml:space="preserve"> PAGEREF _Toc383092776 \h </w:instrText>
            </w:r>
            <w:r>
              <w:rPr>
                <w:noProof/>
                <w:webHidden/>
              </w:rPr>
            </w:r>
            <w:r>
              <w:rPr>
                <w:noProof/>
                <w:webHidden/>
              </w:rPr>
              <w:fldChar w:fldCharType="separate"/>
            </w:r>
            <w:r w:rsidR="008E5E36">
              <w:rPr>
                <w:noProof/>
                <w:webHidden/>
              </w:rPr>
              <w:t>16</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77" w:history="1">
            <w:r w:rsidR="00DD7140" w:rsidRPr="002F1344">
              <w:rPr>
                <w:rStyle w:val="Hyperlink"/>
                <w:noProof/>
              </w:rPr>
              <w:t>4.</w:t>
            </w:r>
            <w:r w:rsidR="00DD7140">
              <w:rPr>
                <w:rFonts w:asciiTheme="minorHAnsi" w:eastAsiaTheme="minorEastAsia" w:hAnsiTheme="minorHAnsi" w:cstheme="minorBidi"/>
                <w:noProof/>
                <w:sz w:val="22"/>
                <w:lang w:eastAsia="en-AU"/>
              </w:rPr>
              <w:tab/>
            </w:r>
            <w:r w:rsidR="00DD7140" w:rsidRPr="002F1344">
              <w:rPr>
                <w:rStyle w:val="Hyperlink"/>
                <w:noProof/>
              </w:rPr>
              <w:t>REDUCING HAZARD AND RISK</w:t>
            </w:r>
            <w:r w:rsidR="00DD7140">
              <w:rPr>
                <w:noProof/>
                <w:webHidden/>
              </w:rPr>
              <w:tab/>
            </w:r>
            <w:r>
              <w:rPr>
                <w:noProof/>
                <w:webHidden/>
              </w:rPr>
              <w:fldChar w:fldCharType="begin"/>
            </w:r>
            <w:r w:rsidR="00DD7140">
              <w:rPr>
                <w:noProof/>
                <w:webHidden/>
              </w:rPr>
              <w:instrText xml:space="preserve"> PAGEREF _Toc383092777 \h </w:instrText>
            </w:r>
            <w:r>
              <w:rPr>
                <w:noProof/>
                <w:webHidden/>
              </w:rPr>
            </w:r>
            <w:r>
              <w:rPr>
                <w:noProof/>
                <w:webHidden/>
              </w:rPr>
              <w:fldChar w:fldCharType="separate"/>
            </w:r>
            <w:r w:rsidR="008E5E36">
              <w:rPr>
                <w:noProof/>
                <w:webHidden/>
              </w:rPr>
              <w:t>19</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8" w:history="1">
            <w:r w:rsidR="00DD7140" w:rsidRPr="002F1344">
              <w:rPr>
                <w:rStyle w:val="Hyperlink"/>
                <w:noProof/>
              </w:rPr>
              <w:t xml:space="preserve">Strategy 12 – </w:t>
            </w:r>
            <w:r w:rsidR="00DD7140" w:rsidRPr="002F1344">
              <w:rPr>
                <w:rStyle w:val="Hyperlink"/>
                <w:i/>
                <w:noProof/>
              </w:rPr>
              <w:t>Hazardous Waste</w:t>
            </w:r>
            <w:r w:rsidR="00DD7140">
              <w:rPr>
                <w:noProof/>
                <w:webHidden/>
              </w:rPr>
              <w:tab/>
            </w:r>
            <w:r>
              <w:rPr>
                <w:noProof/>
                <w:webHidden/>
              </w:rPr>
              <w:fldChar w:fldCharType="begin"/>
            </w:r>
            <w:r w:rsidR="00DD7140">
              <w:rPr>
                <w:noProof/>
                <w:webHidden/>
              </w:rPr>
              <w:instrText xml:space="preserve"> PAGEREF _Toc383092778 \h </w:instrText>
            </w:r>
            <w:r>
              <w:rPr>
                <w:noProof/>
                <w:webHidden/>
              </w:rPr>
            </w:r>
            <w:r>
              <w:rPr>
                <w:noProof/>
                <w:webHidden/>
              </w:rPr>
              <w:fldChar w:fldCharType="separate"/>
            </w:r>
            <w:r w:rsidR="008E5E36">
              <w:rPr>
                <w:noProof/>
                <w:webHidden/>
              </w:rPr>
              <w:t>19</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79" w:history="1">
            <w:r w:rsidR="00DD7140" w:rsidRPr="002F1344">
              <w:rPr>
                <w:rStyle w:val="Hyperlink"/>
                <w:noProof/>
              </w:rPr>
              <w:t xml:space="preserve">Strategy 13 – </w:t>
            </w:r>
            <w:r w:rsidR="00DD7140" w:rsidRPr="002F1344">
              <w:rPr>
                <w:rStyle w:val="Hyperlink"/>
                <w:i/>
                <w:noProof/>
              </w:rPr>
              <w:t>Hazardous substances in products</w:t>
            </w:r>
            <w:r w:rsidR="00DD7140">
              <w:rPr>
                <w:noProof/>
                <w:webHidden/>
              </w:rPr>
              <w:tab/>
            </w:r>
            <w:r>
              <w:rPr>
                <w:noProof/>
                <w:webHidden/>
              </w:rPr>
              <w:fldChar w:fldCharType="begin"/>
            </w:r>
            <w:r w:rsidR="00DD7140">
              <w:rPr>
                <w:noProof/>
                <w:webHidden/>
              </w:rPr>
              <w:instrText xml:space="preserve"> PAGEREF _Toc383092779 \h </w:instrText>
            </w:r>
            <w:r>
              <w:rPr>
                <w:noProof/>
                <w:webHidden/>
              </w:rPr>
            </w:r>
            <w:r>
              <w:rPr>
                <w:noProof/>
                <w:webHidden/>
              </w:rPr>
              <w:fldChar w:fldCharType="separate"/>
            </w:r>
            <w:r w:rsidR="008E5E36">
              <w:rPr>
                <w:noProof/>
                <w:webHidden/>
              </w:rPr>
              <w:t>20</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80" w:history="1">
            <w:r w:rsidR="00DD7140" w:rsidRPr="002F1344">
              <w:rPr>
                <w:rStyle w:val="Hyperlink"/>
                <w:noProof/>
              </w:rPr>
              <w:t>5.</w:t>
            </w:r>
            <w:r w:rsidR="00DD7140">
              <w:rPr>
                <w:rFonts w:asciiTheme="minorHAnsi" w:eastAsiaTheme="minorEastAsia" w:hAnsiTheme="minorHAnsi" w:cstheme="minorBidi"/>
                <w:noProof/>
                <w:sz w:val="22"/>
                <w:lang w:eastAsia="en-AU"/>
              </w:rPr>
              <w:tab/>
            </w:r>
            <w:r w:rsidR="00DD7140" w:rsidRPr="002F1344">
              <w:rPr>
                <w:rStyle w:val="Hyperlink"/>
                <w:noProof/>
              </w:rPr>
              <w:t>TAILORING SOLUTIONS</w:t>
            </w:r>
            <w:r w:rsidR="00DD7140">
              <w:rPr>
                <w:noProof/>
                <w:webHidden/>
              </w:rPr>
              <w:tab/>
            </w:r>
            <w:r>
              <w:rPr>
                <w:noProof/>
                <w:webHidden/>
              </w:rPr>
              <w:fldChar w:fldCharType="begin"/>
            </w:r>
            <w:r w:rsidR="00DD7140">
              <w:rPr>
                <w:noProof/>
                <w:webHidden/>
              </w:rPr>
              <w:instrText xml:space="preserve"> PAGEREF _Toc383092780 \h </w:instrText>
            </w:r>
            <w:r>
              <w:rPr>
                <w:noProof/>
                <w:webHidden/>
              </w:rPr>
            </w:r>
            <w:r>
              <w:rPr>
                <w:noProof/>
                <w:webHidden/>
              </w:rPr>
              <w:fldChar w:fldCharType="separate"/>
            </w:r>
            <w:r w:rsidR="008E5E36">
              <w:rPr>
                <w:noProof/>
                <w:webHidden/>
              </w:rPr>
              <w:t>22</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81" w:history="1">
            <w:r w:rsidR="00DD7140" w:rsidRPr="002F1344">
              <w:rPr>
                <w:rStyle w:val="Hyperlink"/>
                <w:noProof/>
              </w:rPr>
              <w:t xml:space="preserve">Strategy 14 – </w:t>
            </w:r>
            <w:r w:rsidR="00DD7140" w:rsidRPr="002F1344">
              <w:rPr>
                <w:rStyle w:val="Hyperlink"/>
                <w:i/>
                <w:noProof/>
              </w:rPr>
              <w:t>Regional and Remote Waste and Resource Recovery</w:t>
            </w:r>
            <w:r w:rsidR="00DD7140">
              <w:rPr>
                <w:noProof/>
                <w:webHidden/>
              </w:rPr>
              <w:tab/>
            </w:r>
            <w:r>
              <w:rPr>
                <w:noProof/>
                <w:webHidden/>
              </w:rPr>
              <w:fldChar w:fldCharType="begin"/>
            </w:r>
            <w:r w:rsidR="00DD7140">
              <w:rPr>
                <w:noProof/>
                <w:webHidden/>
              </w:rPr>
              <w:instrText xml:space="preserve"> PAGEREF _Toc383092781 \h </w:instrText>
            </w:r>
            <w:r>
              <w:rPr>
                <w:noProof/>
                <w:webHidden/>
              </w:rPr>
            </w:r>
            <w:r>
              <w:rPr>
                <w:noProof/>
                <w:webHidden/>
              </w:rPr>
              <w:fldChar w:fldCharType="separate"/>
            </w:r>
            <w:r w:rsidR="008E5E36">
              <w:rPr>
                <w:noProof/>
                <w:webHidden/>
              </w:rPr>
              <w:t>22</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82" w:history="1">
            <w:r w:rsidR="00DD7140" w:rsidRPr="002F1344">
              <w:rPr>
                <w:rStyle w:val="Hyperlink"/>
                <w:noProof/>
              </w:rPr>
              <w:t xml:space="preserve">Strategy 15 – </w:t>
            </w:r>
            <w:r w:rsidR="00DD7140" w:rsidRPr="002F1344">
              <w:rPr>
                <w:rStyle w:val="Hyperlink"/>
                <w:i/>
                <w:noProof/>
              </w:rPr>
              <w:t>Indigenous Audit</w:t>
            </w:r>
            <w:r w:rsidR="00DD7140">
              <w:rPr>
                <w:noProof/>
                <w:webHidden/>
              </w:rPr>
              <w:tab/>
            </w:r>
            <w:r>
              <w:rPr>
                <w:noProof/>
                <w:webHidden/>
              </w:rPr>
              <w:fldChar w:fldCharType="begin"/>
            </w:r>
            <w:r w:rsidR="00DD7140">
              <w:rPr>
                <w:noProof/>
                <w:webHidden/>
              </w:rPr>
              <w:instrText xml:space="preserve"> PAGEREF _Toc383092782 \h </w:instrText>
            </w:r>
            <w:r>
              <w:rPr>
                <w:noProof/>
                <w:webHidden/>
              </w:rPr>
            </w:r>
            <w:r>
              <w:rPr>
                <w:noProof/>
                <w:webHidden/>
              </w:rPr>
              <w:fldChar w:fldCharType="separate"/>
            </w:r>
            <w:r w:rsidR="008E5E36">
              <w:rPr>
                <w:noProof/>
                <w:webHidden/>
              </w:rPr>
              <w:t>22</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83" w:history="1">
            <w:r w:rsidR="00DD7140" w:rsidRPr="002F1344">
              <w:rPr>
                <w:rStyle w:val="Hyperlink"/>
                <w:noProof/>
              </w:rPr>
              <w:t>6.</w:t>
            </w:r>
            <w:r w:rsidR="00DD7140">
              <w:rPr>
                <w:rFonts w:asciiTheme="minorHAnsi" w:eastAsiaTheme="minorEastAsia" w:hAnsiTheme="minorHAnsi" w:cstheme="minorBidi"/>
                <w:noProof/>
                <w:sz w:val="22"/>
                <w:lang w:eastAsia="en-AU"/>
              </w:rPr>
              <w:tab/>
            </w:r>
            <w:r w:rsidR="00DD7140" w:rsidRPr="002F1344">
              <w:rPr>
                <w:rStyle w:val="Hyperlink"/>
                <w:noProof/>
              </w:rPr>
              <w:t>PROVIDING THE EVIDENCE</w:t>
            </w:r>
            <w:r w:rsidR="00DD7140">
              <w:rPr>
                <w:noProof/>
                <w:webHidden/>
              </w:rPr>
              <w:tab/>
            </w:r>
            <w:r>
              <w:rPr>
                <w:noProof/>
                <w:webHidden/>
              </w:rPr>
              <w:fldChar w:fldCharType="begin"/>
            </w:r>
            <w:r w:rsidR="00DD7140">
              <w:rPr>
                <w:noProof/>
                <w:webHidden/>
              </w:rPr>
              <w:instrText xml:space="preserve"> PAGEREF _Toc383092783 \h </w:instrText>
            </w:r>
            <w:r>
              <w:rPr>
                <w:noProof/>
                <w:webHidden/>
              </w:rPr>
            </w:r>
            <w:r>
              <w:rPr>
                <w:noProof/>
                <w:webHidden/>
              </w:rPr>
              <w:fldChar w:fldCharType="separate"/>
            </w:r>
            <w:r w:rsidR="008E5E36">
              <w:rPr>
                <w:noProof/>
                <w:webHidden/>
              </w:rPr>
              <w:t>24</w:t>
            </w:r>
            <w:r>
              <w:rPr>
                <w:noProof/>
                <w:webHidden/>
              </w:rPr>
              <w:fldChar w:fldCharType="end"/>
            </w:r>
          </w:hyperlink>
        </w:p>
        <w:p w:rsidR="00DD7140" w:rsidRDefault="001F5E0F">
          <w:pPr>
            <w:pStyle w:val="TOC2"/>
            <w:tabs>
              <w:tab w:val="right" w:leader="dot" w:pos="9016"/>
            </w:tabs>
            <w:rPr>
              <w:rFonts w:asciiTheme="minorHAnsi" w:eastAsiaTheme="minorEastAsia" w:hAnsiTheme="minorHAnsi" w:cstheme="minorBidi"/>
              <w:noProof/>
              <w:sz w:val="22"/>
              <w:lang w:eastAsia="en-AU"/>
            </w:rPr>
          </w:pPr>
          <w:hyperlink w:anchor="_Toc383092784" w:history="1">
            <w:r w:rsidR="00DD7140" w:rsidRPr="002F1344">
              <w:rPr>
                <w:rStyle w:val="Hyperlink"/>
                <w:noProof/>
              </w:rPr>
              <w:t xml:space="preserve">Strategy 16 – </w:t>
            </w:r>
            <w:r w:rsidR="00DD7140" w:rsidRPr="002F1344">
              <w:rPr>
                <w:rStyle w:val="Hyperlink"/>
                <w:i/>
                <w:noProof/>
              </w:rPr>
              <w:t>Reporting and Data System</w:t>
            </w:r>
            <w:r w:rsidR="00DD7140">
              <w:rPr>
                <w:noProof/>
                <w:webHidden/>
              </w:rPr>
              <w:tab/>
            </w:r>
            <w:r>
              <w:rPr>
                <w:noProof/>
                <w:webHidden/>
              </w:rPr>
              <w:fldChar w:fldCharType="begin"/>
            </w:r>
            <w:r w:rsidR="00DD7140">
              <w:rPr>
                <w:noProof/>
                <w:webHidden/>
              </w:rPr>
              <w:instrText xml:space="preserve"> PAGEREF _Toc383092784 \h </w:instrText>
            </w:r>
            <w:r>
              <w:rPr>
                <w:noProof/>
                <w:webHidden/>
              </w:rPr>
            </w:r>
            <w:r>
              <w:rPr>
                <w:noProof/>
                <w:webHidden/>
              </w:rPr>
              <w:fldChar w:fldCharType="separate"/>
            </w:r>
            <w:r w:rsidR="008E5E36">
              <w:rPr>
                <w:noProof/>
                <w:webHidden/>
              </w:rPr>
              <w:t>24</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85" w:history="1">
            <w:r w:rsidR="00DD7140" w:rsidRPr="002F1344">
              <w:rPr>
                <w:rStyle w:val="Hyperlink"/>
                <w:noProof/>
              </w:rPr>
              <w:t>Appendix A: Working Groups</w:t>
            </w:r>
            <w:r w:rsidR="00DD7140">
              <w:rPr>
                <w:noProof/>
                <w:webHidden/>
              </w:rPr>
              <w:tab/>
            </w:r>
            <w:r>
              <w:rPr>
                <w:noProof/>
                <w:webHidden/>
              </w:rPr>
              <w:fldChar w:fldCharType="begin"/>
            </w:r>
            <w:r w:rsidR="00DD7140">
              <w:rPr>
                <w:noProof/>
                <w:webHidden/>
              </w:rPr>
              <w:instrText xml:space="preserve"> PAGEREF _Toc383092785 \h </w:instrText>
            </w:r>
            <w:r>
              <w:rPr>
                <w:noProof/>
                <w:webHidden/>
              </w:rPr>
            </w:r>
            <w:r>
              <w:rPr>
                <w:noProof/>
                <w:webHidden/>
              </w:rPr>
              <w:fldChar w:fldCharType="separate"/>
            </w:r>
            <w:r w:rsidR="008E5E36">
              <w:rPr>
                <w:noProof/>
                <w:webHidden/>
              </w:rPr>
              <w:t>25</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86" w:history="1">
            <w:r w:rsidR="00DD7140" w:rsidRPr="002F1344">
              <w:rPr>
                <w:rStyle w:val="Hyperlink"/>
                <w:noProof/>
              </w:rPr>
              <w:t>Appendix B: Links to Relevant Websites</w:t>
            </w:r>
            <w:r w:rsidR="00DD7140">
              <w:rPr>
                <w:noProof/>
                <w:webHidden/>
              </w:rPr>
              <w:tab/>
            </w:r>
            <w:r>
              <w:rPr>
                <w:noProof/>
                <w:webHidden/>
              </w:rPr>
              <w:fldChar w:fldCharType="begin"/>
            </w:r>
            <w:r w:rsidR="00DD7140">
              <w:rPr>
                <w:noProof/>
                <w:webHidden/>
              </w:rPr>
              <w:instrText xml:space="preserve"> PAGEREF _Toc383092786 \h </w:instrText>
            </w:r>
            <w:r>
              <w:rPr>
                <w:noProof/>
                <w:webHidden/>
              </w:rPr>
            </w:r>
            <w:r>
              <w:rPr>
                <w:noProof/>
                <w:webHidden/>
              </w:rPr>
              <w:fldChar w:fldCharType="separate"/>
            </w:r>
            <w:r w:rsidR="008E5E36">
              <w:rPr>
                <w:noProof/>
                <w:webHidden/>
              </w:rPr>
              <w:t>26</w:t>
            </w:r>
            <w:r>
              <w:rPr>
                <w:noProof/>
                <w:webHidden/>
              </w:rPr>
              <w:fldChar w:fldCharType="end"/>
            </w:r>
          </w:hyperlink>
        </w:p>
        <w:p w:rsidR="00DD7140" w:rsidRDefault="001F5E0F">
          <w:pPr>
            <w:pStyle w:val="TOC1"/>
            <w:rPr>
              <w:rFonts w:asciiTheme="minorHAnsi" w:eastAsiaTheme="minorEastAsia" w:hAnsiTheme="minorHAnsi" w:cstheme="minorBidi"/>
              <w:noProof/>
              <w:sz w:val="22"/>
              <w:lang w:eastAsia="en-AU"/>
            </w:rPr>
          </w:pPr>
          <w:hyperlink w:anchor="_Toc383092787" w:history="1">
            <w:r w:rsidR="00DD7140" w:rsidRPr="002F1344">
              <w:rPr>
                <w:rStyle w:val="Hyperlink"/>
                <w:noProof/>
              </w:rPr>
              <w:t>Appendix C: Resources</w:t>
            </w:r>
            <w:r w:rsidR="00DD7140">
              <w:rPr>
                <w:noProof/>
                <w:webHidden/>
              </w:rPr>
              <w:tab/>
            </w:r>
            <w:r>
              <w:rPr>
                <w:noProof/>
                <w:webHidden/>
              </w:rPr>
              <w:fldChar w:fldCharType="begin"/>
            </w:r>
            <w:r w:rsidR="00DD7140">
              <w:rPr>
                <w:noProof/>
                <w:webHidden/>
              </w:rPr>
              <w:instrText xml:space="preserve"> PAGEREF _Toc383092787 \h </w:instrText>
            </w:r>
            <w:r>
              <w:rPr>
                <w:noProof/>
                <w:webHidden/>
              </w:rPr>
            </w:r>
            <w:r>
              <w:rPr>
                <w:noProof/>
                <w:webHidden/>
              </w:rPr>
              <w:fldChar w:fldCharType="separate"/>
            </w:r>
            <w:r w:rsidR="008E5E36">
              <w:rPr>
                <w:noProof/>
                <w:webHidden/>
              </w:rPr>
              <w:t>27</w:t>
            </w:r>
            <w:r>
              <w:rPr>
                <w:noProof/>
                <w:webHidden/>
              </w:rPr>
              <w:fldChar w:fldCharType="end"/>
            </w:r>
          </w:hyperlink>
        </w:p>
        <w:p w:rsidR="003F7579" w:rsidRDefault="001F5E0F" w:rsidP="00B1306B">
          <w:pPr>
            <w:rPr>
              <w:szCs w:val="24"/>
            </w:rPr>
          </w:pPr>
          <w:r w:rsidRPr="00156658">
            <w:rPr>
              <w:rFonts w:cs="Arial"/>
              <w:szCs w:val="24"/>
            </w:rPr>
            <w:fldChar w:fldCharType="end"/>
          </w:r>
        </w:p>
      </w:sdtContent>
    </w:sdt>
    <w:p w:rsidR="00D57375" w:rsidRDefault="00D57375" w:rsidP="00B1306B">
      <w:pPr>
        <w:rPr>
          <w:rFonts w:cs="Arial"/>
          <w:szCs w:val="24"/>
        </w:rPr>
      </w:pPr>
      <w:r>
        <w:rPr>
          <w:rFonts w:cs="Arial"/>
          <w:szCs w:val="24"/>
        </w:rPr>
        <w:br w:type="page"/>
      </w:r>
    </w:p>
    <w:p w:rsidR="00634212" w:rsidRDefault="00634212" w:rsidP="00F446D9">
      <w:pPr>
        <w:pStyle w:val="Heading1"/>
      </w:pPr>
      <w:r>
        <w:lastRenderedPageBreak/>
        <w:br w:type="page"/>
      </w:r>
    </w:p>
    <w:p w:rsidR="00FF08A1" w:rsidRPr="00177E09" w:rsidRDefault="00177E09" w:rsidP="007E01CD">
      <w:pPr>
        <w:pStyle w:val="Heading1"/>
        <w:numPr>
          <w:ilvl w:val="0"/>
          <w:numId w:val="0"/>
        </w:numPr>
      </w:pPr>
      <w:bookmarkStart w:id="0" w:name="_Toc383092758"/>
      <w:r w:rsidRPr="00177E09">
        <w:lastRenderedPageBreak/>
        <w:t>INTRODUCTION</w:t>
      </w:r>
      <w:bookmarkEnd w:id="0"/>
    </w:p>
    <w:p w:rsidR="00AC589D" w:rsidRPr="00AC589D" w:rsidRDefault="00AC589D" w:rsidP="00B1306B"/>
    <w:p w:rsidR="00277935" w:rsidRDefault="00277935" w:rsidP="00BB561E">
      <w:pPr>
        <w:pStyle w:val="Heading2"/>
        <w:numPr>
          <w:ilvl w:val="0"/>
          <w:numId w:val="0"/>
        </w:numPr>
        <w:ind w:left="576" w:hanging="576"/>
      </w:pPr>
      <w:bookmarkStart w:id="1" w:name="_Toc383092759"/>
      <w:bookmarkStart w:id="2" w:name="_Toc347738781"/>
      <w:r>
        <w:t>Over</w:t>
      </w:r>
      <w:r w:rsidR="00BB561E">
        <w:t>view</w:t>
      </w:r>
      <w:bookmarkEnd w:id="1"/>
    </w:p>
    <w:p w:rsidR="009368DB" w:rsidRDefault="008D424A" w:rsidP="009368DB">
      <w:pPr>
        <w:rPr>
          <w:rFonts w:ascii="Times New Roman" w:hAnsi="Times New Roman"/>
          <w:szCs w:val="24"/>
        </w:rPr>
      </w:pPr>
      <w:r>
        <w:rPr>
          <w:rFonts w:cs="Arial"/>
          <w:szCs w:val="24"/>
        </w:rPr>
        <w:t>The National Waste Policy (NWP) Implementation Report 2012</w:t>
      </w:r>
      <w:r w:rsidR="00EB75A7">
        <w:rPr>
          <w:rFonts w:cs="Arial"/>
          <w:szCs w:val="24"/>
        </w:rPr>
        <w:t xml:space="preserve"> and 20</w:t>
      </w:r>
      <w:r>
        <w:rPr>
          <w:rFonts w:cs="Arial"/>
          <w:szCs w:val="24"/>
        </w:rPr>
        <w:t xml:space="preserve">13 </w:t>
      </w:r>
      <w:r w:rsidR="001672BE">
        <w:rPr>
          <w:rFonts w:cs="Arial"/>
          <w:szCs w:val="24"/>
        </w:rPr>
        <w:t>sets out</w:t>
      </w:r>
      <w:r>
        <w:rPr>
          <w:rFonts w:cs="Arial"/>
          <w:szCs w:val="24"/>
        </w:rPr>
        <w:t xml:space="preserve"> progress against the NWP’s </w:t>
      </w:r>
      <w:r w:rsidR="005A5DCE">
        <w:rPr>
          <w:rFonts w:cs="Arial"/>
          <w:szCs w:val="24"/>
        </w:rPr>
        <w:t>five-year</w:t>
      </w:r>
      <w:r>
        <w:rPr>
          <w:rFonts w:cs="Arial"/>
          <w:szCs w:val="24"/>
        </w:rPr>
        <w:t xml:space="preserve"> implementation plan.</w:t>
      </w:r>
      <w:r w:rsidR="00A61ECB">
        <w:rPr>
          <w:rFonts w:cs="Arial"/>
          <w:szCs w:val="24"/>
        </w:rPr>
        <w:t xml:space="preserve"> </w:t>
      </w:r>
      <w:r w:rsidR="009368DB">
        <w:rPr>
          <w:i/>
          <w:iCs/>
        </w:rPr>
        <w:t xml:space="preserve">The National Waste Policy: Less waste, more resources, </w:t>
      </w:r>
      <w:r w:rsidR="009368DB" w:rsidRPr="008D4588">
        <w:rPr>
          <w:rFonts w:cs="Arial"/>
          <w:szCs w:val="24"/>
        </w:rPr>
        <w:t>was agreed by environment ministers in November 2009 and endorsed by the Council of Australian Governments (COAG) in August 2010. This policy sets a clear direction for Australia as a nation, over a ten year period to 2020, toward producing less waste for disposal and managing waste as a resource to deliver economic, environmental and social benefits</w:t>
      </w:r>
      <w:r w:rsidR="009368DB">
        <w:rPr>
          <w:i/>
          <w:iCs/>
        </w:rPr>
        <w:t>.</w:t>
      </w:r>
      <w:r w:rsidR="009368DB">
        <w:t xml:space="preserve"> </w:t>
      </w:r>
    </w:p>
    <w:p w:rsidR="00BE1F11" w:rsidRDefault="00BE1F11" w:rsidP="00277935">
      <w:pPr>
        <w:rPr>
          <w:rFonts w:cs="Arial"/>
          <w:szCs w:val="24"/>
        </w:rPr>
      </w:pPr>
    </w:p>
    <w:p w:rsidR="00BB561E" w:rsidRDefault="008D424A" w:rsidP="00277935">
      <w:pPr>
        <w:rPr>
          <w:rFonts w:cs="Arial"/>
          <w:szCs w:val="24"/>
        </w:rPr>
      </w:pPr>
      <w:r>
        <w:rPr>
          <w:rFonts w:cs="Arial"/>
          <w:szCs w:val="24"/>
        </w:rPr>
        <w:t>This R</w:t>
      </w:r>
      <w:r w:rsidR="00277935" w:rsidRPr="00156658">
        <w:rPr>
          <w:rFonts w:cs="Arial"/>
          <w:szCs w:val="24"/>
        </w:rPr>
        <w:t xml:space="preserve">eport </w:t>
      </w:r>
      <w:r w:rsidR="0051085D">
        <w:rPr>
          <w:rFonts w:cs="Arial"/>
          <w:szCs w:val="24"/>
        </w:rPr>
        <w:t>highlights</w:t>
      </w:r>
      <w:r w:rsidR="001560AF">
        <w:rPr>
          <w:rFonts w:cs="Arial"/>
          <w:szCs w:val="24"/>
        </w:rPr>
        <w:t xml:space="preserve"> the significant work </w:t>
      </w:r>
      <w:r w:rsidR="00A61ECB">
        <w:rPr>
          <w:rFonts w:cs="Arial"/>
          <w:szCs w:val="24"/>
        </w:rPr>
        <w:t>being undertaken</w:t>
      </w:r>
      <w:r w:rsidR="00825B55">
        <w:rPr>
          <w:rFonts w:cs="Arial"/>
          <w:szCs w:val="24"/>
        </w:rPr>
        <w:t>,</w:t>
      </w:r>
      <w:r w:rsidR="001560AF">
        <w:rPr>
          <w:rFonts w:cs="Arial"/>
          <w:szCs w:val="24"/>
        </w:rPr>
        <w:t xml:space="preserve"> </w:t>
      </w:r>
      <w:r>
        <w:rPr>
          <w:rFonts w:cs="Arial"/>
          <w:szCs w:val="24"/>
        </w:rPr>
        <w:t>both collaboratively and individually</w:t>
      </w:r>
      <w:r w:rsidR="00825B55">
        <w:rPr>
          <w:rFonts w:cs="Arial"/>
          <w:szCs w:val="24"/>
        </w:rPr>
        <w:t>,</w:t>
      </w:r>
      <w:r>
        <w:rPr>
          <w:rFonts w:cs="Arial"/>
          <w:szCs w:val="24"/>
        </w:rPr>
        <w:t xml:space="preserve"> </w:t>
      </w:r>
      <w:r w:rsidR="00EB75A7">
        <w:rPr>
          <w:rFonts w:cs="Arial"/>
          <w:szCs w:val="24"/>
        </w:rPr>
        <w:t>by Australian governments</w:t>
      </w:r>
      <w:r>
        <w:rPr>
          <w:rFonts w:cs="Arial"/>
          <w:szCs w:val="24"/>
        </w:rPr>
        <w:t xml:space="preserve"> </w:t>
      </w:r>
      <w:r w:rsidR="005A5DCE">
        <w:rPr>
          <w:rFonts w:cs="Arial"/>
          <w:szCs w:val="24"/>
        </w:rPr>
        <w:t>to better manage waste and improve resource recovery</w:t>
      </w:r>
      <w:r w:rsidR="00277935" w:rsidRPr="00156658">
        <w:rPr>
          <w:rFonts w:cs="Arial"/>
          <w:szCs w:val="24"/>
        </w:rPr>
        <w:t xml:space="preserve">. </w:t>
      </w:r>
    </w:p>
    <w:p w:rsidR="00277935" w:rsidRPr="00277935" w:rsidRDefault="00277935" w:rsidP="00277935"/>
    <w:p w:rsidR="00A369B2" w:rsidRDefault="0098520D" w:rsidP="00BB561E">
      <w:pPr>
        <w:pStyle w:val="Heading2"/>
        <w:numPr>
          <w:ilvl w:val="0"/>
          <w:numId w:val="0"/>
        </w:numPr>
        <w:ind w:left="576" w:hanging="576"/>
      </w:pPr>
      <w:bookmarkStart w:id="3" w:name="_Toc383092760"/>
      <w:r w:rsidRPr="0098520D">
        <w:t>National Waste Policy</w:t>
      </w:r>
      <w:bookmarkEnd w:id="2"/>
      <w:bookmarkEnd w:id="3"/>
    </w:p>
    <w:p w:rsidR="001E5F65" w:rsidRDefault="00846C41" w:rsidP="00825B55">
      <w:pPr>
        <w:keepNext/>
        <w:keepLines/>
        <w:rPr>
          <w:rFonts w:cs="Arial"/>
          <w:szCs w:val="24"/>
        </w:rPr>
      </w:pPr>
      <w:r w:rsidRPr="00846C41">
        <w:rPr>
          <w:rFonts w:cs="Arial"/>
          <w:szCs w:val="24"/>
        </w:rPr>
        <w:t xml:space="preserve">The </w:t>
      </w:r>
      <w:r w:rsidR="00825B55">
        <w:rPr>
          <w:rFonts w:cs="Arial"/>
          <w:szCs w:val="24"/>
        </w:rPr>
        <w:t>NWP</w:t>
      </w:r>
      <w:r w:rsidR="007D50E6">
        <w:rPr>
          <w:rStyle w:val="EndnoteReference"/>
          <w:rFonts w:cs="Arial"/>
          <w:szCs w:val="24"/>
        </w:rPr>
        <w:endnoteReference w:id="1"/>
      </w:r>
      <w:r w:rsidR="00825B55">
        <w:rPr>
          <w:rFonts w:cs="Arial"/>
          <w:szCs w:val="24"/>
        </w:rPr>
        <w:t xml:space="preserve"> </w:t>
      </w:r>
      <w:r>
        <w:rPr>
          <w:rFonts w:cs="Arial"/>
          <w:szCs w:val="24"/>
        </w:rPr>
        <w:t>provides the</w:t>
      </w:r>
      <w:r w:rsidRPr="00156658">
        <w:rPr>
          <w:rFonts w:cs="Arial"/>
          <w:szCs w:val="24"/>
        </w:rPr>
        <w:t xml:space="preserve"> </w:t>
      </w:r>
      <w:r w:rsidRPr="00846C41">
        <w:rPr>
          <w:rFonts w:cs="Arial"/>
          <w:szCs w:val="24"/>
        </w:rPr>
        <w:t>national framework</w:t>
      </w:r>
      <w:r w:rsidRPr="00156658">
        <w:rPr>
          <w:rFonts w:cs="Arial"/>
          <w:szCs w:val="24"/>
        </w:rPr>
        <w:t xml:space="preserve"> for Australia's waste management and resource recovery from 2010 to 2020. </w:t>
      </w:r>
      <w:r w:rsidR="001E5F65" w:rsidRPr="00156658">
        <w:rPr>
          <w:rFonts w:cs="Arial"/>
          <w:szCs w:val="24"/>
        </w:rPr>
        <w:t xml:space="preserve">The </w:t>
      </w:r>
      <w:r w:rsidR="00825B55">
        <w:rPr>
          <w:rFonts w:cs="Arial"/>
          <w:szCs w:val="24"/>
        </w:rPr>
        <w:t xml:space="preserve">NWP’s </w:t>
      </w:r>
      <w:r w:rsidR="0051085D">
        <w:rPr>
          <w:rFonts w:cs="Arial"/>
          <w:szCs w:val="24"/>
        </w:rPr>
        <w:t>objectives are</w:t>
      </w:r>
      <w:r w:rsidR="001E5F65" w:rsidRPr="00156658">
        <w:rPr>
          <w:rFonts w:cs="Arial"/>
          <w:szCs w:val="24"/>
        </w:rPr>
        <w:t xml:space="preserve"> to:</w:t>
      </w:r>
    </w:p>
    <w:p w:rsidR="001E5F65" w:rsidRPr="00793AB4" w:rsidRDefault="001E5F65" w:rsidP="002356C8">
      <w:pPr>
        <w:pStyle w:val="ListParagraph"/>
        <w:numPr>
          <w:ilvl w:val="0"/>
          <w:numId w:val="6"/>
        </w:numPr>
        <w:spacing w:before="240"/>
        <w:ind w:left="714" w:hanging="357"/>
        <w:rPr>
          <w:rFonts w:cs="Arial"/>
          <w:szCs w:val="24"/>
        </w:rPr>
      </w:pPr>
      <w:r w:rsidRPr="00156658">
        <w:rPr>
          <w:rFonts w:cs="Arial"/>
          <w:szCs w:val="24"/>
        </w:rPr>
        <w:t>avoid the generation of waste, reduce the amount of waste (including hazardous waste) for disposal</w:t>
      </w:r>
      <w:r>
        <w:rPr>
          <w:rFonts w:cs="Arial"/>
          <w:szCs w:val="24"/>
        </w:rPr>
        <w:t xml:space="preserve">, </w:t>
      </w:r>
      <w:r w:rsidRPr="00793AB4">
        <w:rPr>
          <w:rFonts w:cs="Arial"/>
          <w:szCs w:val="24"/>
        </w:rPr>
        <w:t>manage waste as a resource</w:t>
      </w:r>
      <w:r>
        <w:rPr>
          <w:rFonts w:cs="Arial"/>
          <w:szCs w:val="24"/>
        </w:rPr>
        <w:t xml:space="preserve">, and </w:t>
      </w:r>
      <w:r w:rsidRPr="00793AB4">
        <w:rPr>
          <w:rFonts w:cs="Arial"/>
          <w:szCs w:val="24"/>
        </w:rPr>
        <w:t xml:space="preserve">ensure that waste treatment, disposal, recovery and re-use is undertaken in a safe, scientific and environmentally sound manner; and </w:t>
      </w:r>
    </w:p>
    <w:p w:rsidR="001E5F65" w:rsidRDefault="001E5F65" w:rsidP="002356C8">
      <w:pPr>
        <w:pStyle w:val="ListParagraph"/>
        <w:numPr>
          <w:ilvl w:val="0"/>
          <w:numId w:val="6"/>
        </w:numPr>
        <w:spacing w:before="240"/>
        <w:ind w:left="714" w:hanging="357"/>
        <w:rPr>
          <w:rFonts w:cs="Arial"/>
          <w:szCs w:val="24"/>
        </w:rPr>
      </w:pPr>
      <w:proofErr w:type="gramStart"/>
      <w:r w:rsidRPr="00156658">
        <w:rPr>
          <w:rFonts w:cs="Arial"/>
          <w:szCs w:val="24"/>
        </w:rPr>
        <w:t>contribute</w:t>
      </w:r>
      <w:proofErr w:type="gramEnd"/>
      <w:r w:rsidRPr="00156658">
        <w:rPr>
          <w:rFonts w:cs="Arial"/>
          <w:szCs w:val="24"/>
        </w:rPr>
        <w:t xml:space="preserve"> to </w:t>
      </w:r>
      <w:r w:rsidR="0051085D">
        <w:rPr>
          <w:rFonts w:cs="Arial"/>
          <w:szCs w:val="24"/>
        </w:rPr>
        <w:t>a</w:t>
      </w:r>
      <w:r w:rsidR="0051085D" w:rsidRPr="00156658">
        <w:rPr>
          <w:rFonts w:cs="Arial"/>
          <w:szCs w:val="24"/>
        </w:rPr>
        <w:t xml:space="preserve"> </w:t>
      </w:r>
      <w:r w:rsidRPr="00156658">
        <w:rPr>
          <w:rFonts w:cs="Arial"/>
          <w:szCs w:val="24"/>
        </w:rPr>
        <w:t xml:space="preserve">reduction in greenhouse gas emissions, energy conservation and production, water efficiency and the productivity of the land. </w:t>
      </w:r>
    </w:p>
    <w:p w:rsidR="008D4588" w:rsidRDefault="008D4588" w:rsidP="00935AFE">
      <w:pPr>
        <w:rPr>
          <w:rFonts w:cs="Arial"/>
          <w:szCs w:val="24"/>
        </w:rPr>
      </w:pPr>
    </w:p>
    <w:p w:rsidR="00177E09" w:rsidRDefault="0051085D" w:rsidP="00935AFE">
      <w:pPr>
        <w:rPr>
          <w:rFonts w:cs="Arial"/>
          <w:szCs w:val="24"/>
        </w:rPr>
      </w:pPr>
      <w:r>
        <w:rPr>
          <w:rFonts w:cs="Arial"/>
          <w:szCs w:val="24"/>
        </w:rPr>
        <w:t>T</w:t>
      </w:r>
      <w:r w:rsidR="00825B55">
        <w:rPr>
          <w:rFonts w:cs="Arial"/>
          <w:szCs w:val="24"/>
        </w:rPr>
        <w:t xml:space="preserve">his </w:t>
      </w:r>
      <w:r>
        <w:rPr>
          <w:rFonts w:cs="Arial"/>
          <w:szCs w:val="24"/>
        </w:rPr>
        <w:t>includes actions and activities to address</w:t>
      </w:r>
      <w:r w:rsidR="00846C41" w:rsidRPr="00156658">
        <w:rPr>
          <w:rFonts w:cs="Arial"/>
          <w:szCs w:val="24"/>
        </w:rPr>
        <w:t xml:space="preserve"> hazardous wastes and substances</w:t>
      </w:r>
      <w:r w:rsidR="00846C41">
        <w:rPr>
          <w:rFonts w:cs="Arial"/>
          <w:szCs w:val="24"/>
        </w:rPr>
        <w:t xml:space="preserve"> in the </w:t>
      </w:r>
      <w:r w:rsidR="00846C41" w:rsidRPr="00156658">
        <w:rPr>
          <w:rFonts w:cs="Arial"/>
          <w:szCs w:val="24"/>
        </w:rPr>
        <w:t>municipal</w:t>
      </w:r>
      <w:r w:rsidR="00846C41">
        <w:rPr>
          <w:rFonts w:cs="Arial"/>
          <w:szCs w:val="24"/>
        </w:rPr>
        <w:t>,</w:t>
      </w:r>
      <w:r w:rsidR="00846C41" w:rsidRPr="00156658">
        <w:rPr>
          <w:rFonts w:cs="Arial"/>
          <w:szCs w:val="24"/>
        </w:rPr>
        <w:t xml:space="preserve"> commercial and industrial, construction and demolition waste streams</w:t>
      </w:r>
      <w:r w:rsidR="00CD6008">
        <w:rPr>
          <w:rFonts w:cs="Arial"/>
          <w:szCs w:val="24"/>
        </w:rPr>
        <w:t xml:space="preserve"> </w:t>
      </w:r>
      <w:r>
        <w:rPr>
          <w:rFonts w:cs="Arial"/>
          <w:szCs w:val="24"/>
        </w:rPr>
        <w:t>and</w:t>
      </w:r>
      <w:r w:rsidR="00846C41">
        <w:rPr>
          <w:rFonts w:cs="Arial"/>
          <w:szCs w:val="24"/>
        </w:rPr>
        <w:t xml:space="preserve"> covers g</w:t>
      </w:r>
      <w:r w:rsidR="00846C41" w:rsidRPr="00156658">
        <w:rPr>
          <w:rFonts w:cs="Arial"/>
          <w:szCs w:val="24"/>
        </w:rPr>
        <w:t>aseous, liquid and solid wastes</w:t>
      </w:r>
      <w:r>
        <w:rPr>
          <w:rFonts w:cs="Arial"/>
          <w:szCs w:val="24"/>
        </w:rPr>
        <w:t>.</w:t>
      </w:r>
      <w:r w:rsidR="00846C41" w:rsidRPr="00846C41">
        <w:rPr>
          <w:rFonts w:cs="Arial"/>
          <w:szCs w:val="24"/>
        </w:rPr>
        <w:t xml:space="preserve"> </w:t>
      </w:r>
    </w:p>
    <w:p w:rsidR="00C2046E" w:rsidRDefault="00C2046E" w:rsidP="00935AFE">
      <w:pPr>
        <w:rPr>
          <w:rFonts w:cs="Arial"/>
          <w:szCs w:val="24"/>
        </w:rPr>
      </w:pPr>
    </w:p>
    <w:p w:rsidR="0037494E" w:rsidRDefault="001E5F65" w:rsidP="00935AFE">
      <w:pPr>
        <w:rPr>
          <w:rFonts w:cs="Arial"/>
          <w:szCs w:val="24"/>
        </w:rPr>
      </w:pPr>
      <w:r>
        <w:rPr>
          <w:rFonts w:cs="Arial"/>
          <w:szCs w:val="24"/>
        </w:rPr>
        <w:t xml:space="preserve">The policy has </w:t>
      </w:r>
      <w:r w:rsidR="0037494E" w:rsidRPr="00156658">
        <w:rPr>
          <w:rFonts w:cs="Arial"/>
          <w:szCs w:val="24"/>
        </w:rPr>
        <w:t>six key directions</w:t>
      </w:r>
      <w:r w:rsidR="006D62AC">
        <w:rPr>
          <w:rFonts w:cs="Arial"/>
          <w:szCs w:val="24"/>
        </w:rPr>
        <w:t>:</w:t>
      </w:r>
    </w:p>
    <w:p w:rsidR="0037494E" w:rsidRPr="001672BE" w:rsidRDefault="0037494E" w:rsidP="00D51B1A">
      <w:pPr>
        <w:pStyle w:val="ListParagraph"/>
        <w:numPr>
          <w:ilvl w:val="0"/>
          <w:numId w:val="23"/>
        </w:numPr>
        <w:spacing w:before="120"/>
        <w:ind w:left="426" w:hanging="426"/>
        <w:rPr>
          <w:rFonts w:cs="Arial"/>
          <w:i/>
          <w:szCs w:val="24"/>
        </w:rPr>
      </w:pPr>
      <w:r w:rsidRPr="001672BE">
        <w:rPr>
          <w:rFonts w:cs="Arial"/>
          <w:i/>
          <w:szCs w:val="24"/>
        </w:rPr>
        <w:t>Taking responsibility</w:t>
      </w:r>
      <w:r w:rsidR="00A61ECB" w:rsidRPr="001672BE">
        <w:rPr>
          <w:rFonts w:cs="Arial"/>
          <w:i/>
          <w:szCs w:val="24"/>
        </w:rPr>
        <w:t xml:space="preserve"> </w:t>
      </w:r>
    </w:p>
    <w:p w:rsidR="0037494E" w:rsidRPr="001672BE" w:rsidRDefault="00A61ECB" w:rsidP="00D51B1A">
      <w:pPr>
        <w:pStyle w:val="ListParagraph"/>
        <w:numPr>
          <w:ilvl w:val="0"/>
          <w:numId w:val="23"/>
        </w:numPr>
        <w:spacing w:before="120"/>
        <w:ind w:left="426" w:hanging="426"/>
        <w:rPr>
          <w:rFonts w:cs="Arial"/>
          <w:i/>
          <w:szCs w:val="24"/>
        </w:rPr>
      </w:pPr>
      <w:r w:rsidRPr="001672BE">
        <w:rPr>
          <w:rFonts w:cs="Arial"/>
          <w:i/>
          <w:szCs w:val="24"/>
        </w:rPr>
        <w:t>Improving the market</w:t>
      </w:r>
    </w:p>
    <w:p w:rsidR="0037494E" w:rsidRPr="001672BE" w:rsidRDefault="0037494E" w:rsidP="00D51B1A">
      <w:pPr>
        <w:pStyle w:val="ListParagraph"/>
        <w:numPr>
          <w:ilvl w:val="0"/>
          <w:numId w:val="23"/>
        </w:numPr>
        <w:spacing w:before="120"/>
        <w:ind w:left="426" w:hanging="426"/>
        <w:rPr>
          <w:rFonts w:cs="Arial"/>
          <w:i/>
          <w:szCs w:val="24"/>
        </w:rPr>
      </w:pPr>
      <w:r w:rsidRPr="001672BE">
        <w:rPr>
          <w:rFonts w:cs="Arial"/>
          <w:i/>
          <w:szCs w:val="24"/>
        </w:rPr>
        <w:t>P</w:t>
      </w:r>
      <w:r w:rsidR="00A61ECB" w:rsidRPr="001672BE">
        <w:rPr>
          <w:rFonts w:cs="Arial"/>
          <w:i/>
          <w:szCs w:val="24"/>
        </w:rPr>
        <w:t>ursuing sustainability</w:t>
      </w:r>
    </w:p>
    <w:p w:rsidR="0037494E" w:rsidRPr="001672BE" w:rsidRDefault="0037494E" w:rsidP="00D51B1A">
      <w:pPr>
        <w:pStyle w:val="ListParagraph"/>
        <w:numPr>
          <w:ilvl w:val="0"/>
          <w:numId w:val="23"/>
        </w:numPr>
        <w:spacing w:before="120"/>
        <w:ind w:left="426" w:hanging="426"/>
        <w:rPr>
          <w:rFonts w:cs="Arial"/>
          <w:i/>
          <w:szCs w:val="24"/>
        </w:rPr>
      </w:pPr>
      <w:r w:rsidRPr="001672BE">
        <w:rPr>
          <w:rFonts w:cs="Arial"/>
          <w:i/>
          <w:szCs w:val="24"/>
        </w:rPr>
        <w:t>Reducing</w:t>
      </w:r>
      <w:r w:rsidR="00A61ECB" w:rsidRPr="001672BE">
        <w:rPr>
          <w:rFonts w:cs="Arial"/>
          <w:i/>
          <w:szCs w:val="24"/>
        </w:rPr>
        <w:t xml:space="preserve"> hazard and risk</w:t>
      </w:r>
    </w:p>
    <w:p w:rsidR="0037494E" w:rsidRPr="001672BE" w:rsidRDefault="00A61ECB" w:rsidP="00D51B1A">
      <w:pPr>
        <w:pStyle w:val="ListParagraph"/>
        <w:numPr>
          <w:ilvl w:val="0"/>
          <w:numId w:val="23"/>
        </w:numPr>
        <w:spacing w:before="120"/>
        <w:ind w:left="426" w:hanging="426"/>
        <w:rPr>
          <w:rFonts w:cs="Arial"/>
          <w:i/>
          <w:szCs w:val="24"/>
        </w:rPr>
      </w:pPr>
      <w:r w:rsidRPr="001672BE">
        <w:rPr>
          <w:rFonts w:cs="Arial"/>
          <w:i/>
          <w:szCs w:val="24"/>
        </w:rPr>
        <w:t>Tailoring solutions</w:t>
      </w:r>
    </w:p>
    <w:p w:rsidR="00A61ECB" w:rsidRPr="001672BE" w:rsidRDefault="00A61ECB" w:rsidP="00D51B1A">
      <w:pPr>
        <w:pStyle w:val="ListParagraph"/>
        <w:numPr>
          <w:ilvl w:val="0"/>
          <w:numId w:val="23"/>
        </w:numPr>
        <w:spacing w:before="120"/>
        <w:ind w:left="426" w:hanging="426"/>
        <w:rPr>
          <w:rFonts w:cs="Arial"/>
          <w:i/>
          <w:szCs w:val="24"/>
        </w:rPr>
      </w:pPr>
      <w:r w:rsidRPr="001672BE">
        <w:rPr>
          <w:rFonts w:cs="Arial"/>
          <w:i/>
          <w:szCs w:val="24"/>
        </w:rPr>
        <w:t>Providing the evidence</w:t>
      </w:r>
    </w:p>
    <w:p w:rsidR="00A61ECB" w:rsidRDefault="00A61ECB" w:rsidP="00825B55">
      <w:pPr>
        <w:rPr>
          <w:rFonts w:cs="Arial"/>
          <w:szCs w:val="24"/>
        </w:rPr>
      </w:pPr>
    </w:p>
    <w:p w:rsidR="00825B55" w:rsidRDefault="0037494E" w:rsidP="00825B55">
      <w:pPr>
        <w:rPr>
          <w:rFonts w:cs="Arial"/>
          <w:szCs w:val="24"/>
        </w:rPr>
      </w:pPr>
      <w:r w:rsidRPr="00156658">
        <w:rPr>
          <w:rFonts w:cs="Arial"/>
          <w:szCs w:val="24"/>
        </w:rPr>
        <w:t xml:space="preserve">Building on these </w:t>
      </w:r>
      <w:r w:rsidR="00EB75A7">
        <w:rPr>
          <w:rFonts w:cs="Arial"/>
          <w:szCs w:val="24"/>
        </w:rPr>
        <w:t>key</w:t>
      </w:r>
      <w:r w:rsidRPr="00156658">
        <w:rPr>
          <w:rFonts w:cs="Arial"/>
          <w:szCs w:val="24"/>
        </w:rPr>
        <w:t xml:space="preserve"> directions, the </w:t>
      </w:r>
      <w:r w:rsidR="00825B55">
        <w:rPr>
          <w:rFonts w:cs="Arial"/>
          <w:szCs w:val="24"/>
        </w:rPr>
        <w:t>NWP</w:t>
      </w:r>
      <w:r w:rsidRPr="00156658">
        <w:rPr>
          <w:rFonts w:cs="Arial"/>
          <w:i/>
          <w:szCs w:val="24"/>
        </w:rPr>
        <w:t xml:space="preserve"> </w:t>
      </w:r>
      <w:r w:rsidRPr="00156658">
        <w:rPr>
          <w:rFonts w:cs="Arial"/>
          <w:szCs w:val="24"/>
        </w:rPr>
        <w:t>also identifies 16</w:t>
      </w:r>
      <w:r w:rsidR="00236B96">
        <w:rPr>
          <w:rFonts w:cs="Arial"/>
          <w:szCs w:val="24"/>
        </w:rPr>
        <w:t> </w:t>
      </w:r>
      <w:r w:rsidRPr="00156658">
        <w:rPr>
          <w:rFonts w:cs="Arial"/>
          <w:szCs w:val="24"/>
        </w:rPr>
        <w:t>priority strategies that benefit from a national or coordinated approach</w:t>
      </w:r>
      <w:r w:rsidR="00825B55">
        <w:rPr>
          <w:rFonts w:cs="Arial"/>
          <w:szCs w:val="24"/>
        </w:rPr>
        <w:t>,</w:t>
      </w:r>
      <w:r w:rsidR="00DB2821">
        <w:rPr>
          <w:rFonts w:cs="Arial"/>
          <w:szCs w:val="24"/>
        </w:rPr>
        <w:t xml:space="preserve"> to</w:t>
      </w:r>
      <w:r w:rsidRPr="00156658">
        <w:rPr>
          <w:rFonts w:cs="Arial"/>
          <w:szCs w:val="24"/>
        </w:rPr>
        <w:t xml:space="preserve"> focus work </w:t>
      </w:r>
      <w:r w:rsidR="00BF6C37">
        <w:rPr>
          <w:rFonts w:cs="Arial"/>
          <w:szCs w:val="24"/>
        </w:rPr>
        <w:t xml:space="preserve">across individual jurisdictions, </w:t>
      </w:r>
      <w:r w:rsidRPr="00156658">
        <w:rPr>
          <w:rFonts w:cs="Arial"/>
          <w:szCs w:val="24"/>
        </w:rPr>
        <w:t xml:space="preserve">and provide clarity and certainty for business and the community. </w:t>
      </w:r>
      <w:r w:rsidR="00825B55">
        <w:rPr>
          <w:rFonts w:cs="Arial"/>
          <w:szCs w:val="24"/>
        </w:rPr>
        <w:t>The</w:t>
      </w:r>
      <w:r w:rsidR="00825B55" w:rsidRPr="00177E09">
        <w:rPr>
          <w:rFonts w:cs="Arial"/>
          <w:szCs w:val="24"/>
        </w:rPr>
        <w:t xml:space="preserve"> effective implementation of the </w:t>
      </w:r>
      <w:r w:rsidR="00825B55">
        <w:rPr>
          <w:rFonts w:cs="Arial"/>
          <w:szCs w:val="24"/>
        </w:rPr>
        <w:t>NWP</w:t>
      </w:r>
      <w:r w:rsidR="00825B55" w:rsidRPr="00177E09">
        <w:rPr>
          <w:rFonts w:cs="Arial"/>
          <w:szCs w:val="24"/>
        </w:rPr>
        <w:t xml:space="preserve"> relie</w:t>
      </w:r>
      <w:r w:rsidR="00825B55">
        <w:rPr>
          <w:rFonts w:cs="Arial"/>
          <w:szCs w:val="24"/>
        </w:rPr>
        <w:t>s</w:t>
      </w:r>
      <w:r w:rsidR="00825B55" w:rsidRPr="00177E09">
        <w:rPr>
          <w:rFonts w:cs="Arial"/>
          <w:szCs w:val="24"/>
        </w:rPr>
        <w:t xml:space="preserve"> on partnerships, </w:t>
      </w:r>
      <w:r w:rsidR="00825B55">
        <w:rPr>
          <w:rFonts w:cs="Arial"/>
          <w:szCs w:val="24"/>
        </w:rPr>
        <w:t>effective governance</w:t>
      </w:r>
      <w:r w:rsidR="00825B55" w:rsidRPr="00177E09">
        <w:rPr>
          <w:rFonts w:cs="Arial"/>
          <w:szCs w:val="24"/>
        </w:rPr>
        <w:t xml:space="preserve"> and multi-disciplinary</w:t>
      </w:r>
      <w:r w:rsidR="00825B55">
        <w:rPr>
          <w:rFonts w:cs="Arial"/>
          <w:szCs w:val="24"/>
        </w:rPr>
        <w:t xml:space="preserve"> and stakeholder</w:t>
      </w:r>
      <w:r w:rsidR="00825B55" w:rsidRPr="00177E09">
        <w:rPr>
          <w:rFonts w:cs="Arial"/>
          <w:szCs w:val="24"/>
        </w:rPr>
        <w:t xml:space="preserve"> initiatives</w:t>
      </w:r>
      <w:r w:rsidR="00825B55">
        <w:rPr>
          <w:rFonts w:cs="Arial"/>
          <w:szCs w:val="24"/>
        </w:rPr>
        <w:t>.</w:t>
      </w:r>
      <w:r w:rsidR="00825B55" w:rsidRPr="00177E09">
        <w:rPr>
          <w:rFonts w:cs="Arial"/>
          <w:szCs w:val="24"/>
        </w:rPr>
        <w:t xml:space="preserve"> </w:t>
      </w:r>
    </w:p>
    <w:p w:rsidR="00EE2C0B" w:rsidRDefault="00EE2C0B" w:rsidP="00321AA7">
      <w:pPr>
        <w:widowControl w:val="0"/>
        <w:rPr>
          <w:rFonts w:cs="Arial"/>
          <w:szCs w:val="24"/>
        </w:rPr>
      </w:pPr>
    </w:p>
    <w:p w:rsidR="00AC589D" w:rsidRDefault="00825B55" w:rsidP="00321AA7">
      <w:pPr>
        <w:widowControl w:val="0"/>
        <w:rPr>
          <w:rFonts w:cs="Arial"/>
          <w:szCs w:val="24"/>
        </w:rPr>
      </w:pPr>
      <w:r>
        <w:rPr>
          <w:rFonts w:cs="Arial"/>
          <w:szCs w:val="24"/>
        </w:rPr>
        <w:t xml:space="preserve">Further information on the </w:t>
      </w:r>
      <w:r w:rsidR="005A5DCE">
        <w:rPr>
          <w:rFonts w:cs="Arial"/>
          <w:szCs w:val="24"/>
        </w:rPr>
        <w:t xml:space="preserve">NWP, the NWP </w:t>
      </w:r>
      <w:r>
        <w:rPr>
          <w:rFonts w:cs="Arial"/>
          <w:szCs w:val="24"/>
        </w:rPr>
        <w:t xml:space="preserve">Implementation Plan, roles and responsibilities is available from </w:t>
      </w:r>
      <w:hyperlink r:id="rId13" w:history="1">
        <w:r w:rsidR="005A5DCE" w:rsidRPr="005A5DCE">
          <w:rPr>
            <w:rStyle w:val="Hyperlink"/>
            <w:rFonts w:cs="Arial"/>
            <w:szCs w:val="24"/>
          </w:rPr>
          <w:t>http://www.environment.gov.au</w:t>
        </w:r>
      </w:hyperlink>
      <w:r w:rsidR="005A5DCE">
        <w:rPr>
          <w:rFonts w:cs="Arial"/>
          <w:szCs w:val="24"/>
        </w:rPr>
        <w:t>.</w:t>
      </w:r>
    </w:p>
    <w:p w:rsidR="00634212" w:rsidRDefault="00634212" w:rsidP="00634212"/>
    <w:p w:rsidR="00634212" w:rsidRDefault="00634212" w:rsidP="008541C8">
      <w:pPr>
        <w:pStyle w:val="Heading4"/>
        <w:numPr>
          <w:ilvl w:val="0"/>
          <w:numId w:val="0"/>
        </w:numPr>
      </w:pPr>
      <w:r>
        <w:br w:type="page"/>
      </w:r>
      <w:r w:rsidRPr="00324A28">
        <w:lastRenderedPageBreak/>
        <w:t>Case Study 1</w:t>
      </w:r>
    </w:p>
    <w:p w:rsidR="00295450" w:rsidRDefault="001F5E0F" w:rsidP="00295450">
      <w:r w:rsidRPr="001F5E0F">
        <w:rPr>
          <w:noProof/>
          <w:lang w:val="en-US"/>
        </w:rPr>
        <w:pict>
          <v:shapetype id="_x0000_t202" coordsize="21600,21600" o:spt="202" path="m,l,21600r21600,l21600,xe">
            <v:stroke joinstyle="miter"/>
            <v:path gradientshapeok="t" o:connecttype="rect"/>
          </v:shapetype>
          <v:shape id="Text Box 4" o:spid="_x0000_s1038" type="#_x0000_t202" style="position:absolute;margin-left:-16.45pt;margin-top:2.6pt;width:486pt;height:675pt;z-index:25168076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" fillcolor="#fed36b [1942]" strokecolor="#feb80a [3206]">
            <v:stroke joinstyle="round" endcap="round"/>
            <v:textbox style="mso-next-textbox:#Text Box 4">
              <w:txbxContent>
                <w:p w:rsidR="008E5E36" w:rsidRDefault="008E5E36" w:rsidP="00295450">
                  <w:pPr>
                    <w:jc w:val="center"/>
                    <w:rPr>
                      <w:i/>
                      <w:iCs/>
                    </w:rPr>
                  </w:pPr>
                </w:p>
                <w:p w:rsidR="008E5E36" w:rsidRPr="00A446C5" w:rsidRDefault="008E5E36" w:rsidP="00295450">
                  <w:pPr>
                    <w:jc w:val="center"/>
                    <w:rPr>
                      <w:rStyle w:val="Heading2Char"/>
                      <w:b w:val="0"/>
                      <w:i/>
                      <w:color w:val="C48B01" w:themeColor="accent3" w:themeShade="BF"/>
                      <w:sz w:val="28"/>
                      <w:szCs w:val="28"/>
                    </w:rPr>
                  </w:pPr>
                  <w:r w:rsidRPr="00A446C5">
                    <w:rPr>
                      <w:b/>
                      <w:i/>
                      <w:color w:val="C48B01" w:themeColor="accent3" w:themeShade="BF"/>
                      <w:sz w:val="28"/>
                      <w:szCs w:val="28"/>
                    </w:rPr>
                    <w:t>National Television and Computer Recycling Scheme</w:t>
                  </w:r>
                  <w:r w:rsidRPr="00A446C5">
                    <w:rPr>
                      <w:b/>
                      <w:i/>
                      <w:color w:val="C48B01" w:themeColor="accent3" w:themeShade="BF"/>
                      <w:sz w:val="28"/>
                      <w:szCs w:val="28"/>
                    </w:rPr>
                    <w:br w:type="page"/>
                  </w:r>
                  <w:r w:rsidRPr="00A446C5">
                    <w:rPr>
                      <w:rStyle w:val="Heading2Char"/>
                      <w:b w:val="0"/>
                      <w:i/>
                      <w:color w:val="C48B01" w:themeColor="accent3" w:themeShade="BF"/>
                      <w:szCs w:val="24"/>
                    </w:rPr>
                    <w:t>Australian Government</w:t>
                  </w:r>
                </w:p>
                <w:p w:rsidR="008E5E36" w:rsidRDefault="008E5E36" w:rsidP="00295450">
                  <w:pPr>
                    <w:jc w:val="center"/>
                  </w:pPr>
                </w:p>
                <w:p w:rsidR="008E5E36" w:rsidRPr="00664A1B" w:rsidRDefault="008E5E36" w:rsidP="00664A1B">
                  <w:pPr>
                    <w:rPr>
                      <w:b/>
                      <w:i/>
                    </w:rPr>
                  </w:pPr>
                  <w:bookmarkStart w:id="4" w:name="_Toc382988985"/>
                  <w:bookmarkStart w:id="5" w:name="_Toc382989116"/>
                  <w:r>
                    <w:rPr>
                      <w:b/>
                      <w:i/>
                    </w:rPr>
                    <w:tab/>
                  </w:r>
                  <w:r w:rsidRPr="00664A1B">
                    <w:rPr>
                      <w:b/>
                      <w:i/>
                    </w:rPr>
                    <w:t>What and Why</w:t>
                  </w:r>
                  <w:bookmarkEnd w:id="4"/>
                  <w:bookmarkEnd w:id="5"/>
                </w:p>
                <w:p w:rsidR="008E5E36" w:rsidRPr="00973F0A" w:rsidRDefault="008E5E36" w:rsidP="00295450"/>
                <w:p w:rsidR="008E5E36" w:rsidRPr="00145692" w:rsidRDefault="008E5E36" w:rsidP="00B524E2">
                  <w:pPr>
                    <w:pStyle w:val="ListParagraph"/>
                    <w:numPr>
                      <w:ilvl w:val="0"/>
                      <w:numId w:val="24"/>
                    </w:numPr>
                    <w:spacing w:after="200" w:line="276" w:lineRule="auto"/>
                    <w:ind w:left="714" w:hanging="357"/>
                    <w:rPr>
                      <w:lang w:val="en-US"/>
                    </w:rPr>
                  </w:pPr>
                  <w:r w:rsidRPr="00E73F80">
                    <w:rPr>
                      <w:lang w:val="en-US"/>
                    </w:rPr>
                    <w:t xml:space="preserve">The Scheme involves a combination of government </w:t>
                  </w:r>
                  <w:r>
                    <w:rPr>
                      <w:lang w:val="en-US"/>
                    </w:rPr>
                    <w:t>regulatory support</w:t>
                  </w:r>
                  <w:r w:rsidRPr="00E73F80">
                    <w:rPr>
                      <w:lang w:val="en-US"/>
                    </w:rPr>
                    <w:t xml:space="preserve"> and industry action to take responsibility for the collection and recycling of waste televisions, computers, </w:t>
                  </w:r>
                  <w:r>
                    <w:rPr>
                      <w:lang w:val="en-US"/>
                    </w:rPr>
                    <w:t>printers and computer products</w:t>
                  </w:r>
                </w:p>
                <w:p w:rsidR="008E5E36" w:rsidRPr="00145692" w:rsidRDefault="008E5E36" w:rsidP="00B524E2">
                  <w:pPr>
                    <w:pStyle w:val="ListParagraph"/>
                    <w:numPr>
                      <w:ilvl w:val="0"/>
                      <w:numId w:val="24"/>
                    </w:numPr>
                    <w:spacing w:after="200" w:line="276" w:lineRule="auto"/>
                    <w:ind w:left="714" w:hanging="357"/>
                    <w:rPr>
                      <w:lang w:val="en-US"/>
                    </w:rPr>
                  </w:pPr>
                  <w:r w:rsidRPr="00664A1B">
                    <w:rPr>
                      <w:lang w:val="en-US"/>
                    </w:rPr>
                    <w:t>Electronic waste, including televisions and computers, is growing three times faster than any other type of waste in Australia</w:t>
                  </w:r>
                </w:p>
                <w:p w:rsidR="008E5E36" w:rsidRPr="00664A1B" w:rsidRDefault="008E5E36" w:rsidP="00B524E2">
                  <w:pPr>
                    <w:pStyle w:val="ListParagraph"/>
                    <w:numPr>
                      <w:ilvl w:val="0"/>
                      <w:numId w:val="24"/>
                    </w:numPr>
                    <w:spacing w:after="200" w:line="276" w:lineRule="auto"/>
                    <w:ind w:left="714" w:hanging="357"/>
                    <w:rPr>
                      <w:lang w:val="en-US"/>
                    </w:rPr>
                  </w:pPr>
                  <w:r w:rsidRPr="00664A1B">
                    <w:rPr>
                      <w:lang w:val="en-US"/>
                    </w:rPr>
                    <w:t xml:space="preserve">The Scheme has boosted the recycling of televisions and computers from an estimated 17 per cent of waste generated in 2010 to </w:t>
                  </w:r>
                  <w:r>
                    <w:rPr>
                      <w:lang w:val="en-US"/>
                    </w:rPr>
                    <w:t>a target of 30 per cent in 2012</w:t>
                  </w:r>
                  <w:r>
                    <w:rPr>
                      <w:lang w:val="en-US"/>
                    </w:rPr>
                    <w:noBreakHyphen/>
                  </w:r>
                  <w:r w:rsidRPr="00664A1B">
                    <w:rPr>
                      <w:lang w:val="en-US"/>
                    </w:rPr>
                    <w:t>13</w:t>
                  </w:r>
                </w:p>
                <w:p w:rsidR="008E5E36" w:rsidRPr="00664A1B" w:rsidRDefault="008E5E36" w:rsidP="00664A1B">
                  <w:pPr>
                    <w:rPr>
                      <w:b/>
                      <w:i/>
                    </w:rPr>
                  </w:pPr>
                  <w:bookmarkStart w:id="6" w:name="_Toc382988986"/>
                  <w:bookmarkStart w:id="7" w:name="_Toc382989117"/>
                  <w:r>
                    <w:rPr>
                      <w:b/>
                      <w:i/>
                    </w:rPr>
                    <w:tab/>
                  </w:r>
                  <w:r w:rsidRPr="00664A1B">
                    <w:rPr>
                      <w:b/>
                      <w:i/>
                    </w:rPr>
                    <w:t>How?</w:t>
                  </w:r>
                  <w:bookmarkEnd w:id="6"/>
                  <w:bookmarkEnd w:id="7"/>
                </w:p>
                <w:p w:rsidR="008E5E36" w:rsidRPr="00973F0A" w:rsidRDefault="008E5E36" w:rsidP="00295450"/>
                <w:p w:rsidR="008E5E36" w:rsidRPr="00664A1B" w:rsidRDefault="008E5E36" w:rsidP="00B524E2">
                  <w:pPr>
                    <w:pStyle w:val="ListParagraph"/>
                    <w:numPr>
                      <w:ilvl w:val="0"/>
                      <w:numId w:val="24"/>
                    </w:numPr>
                    <w:spacing w:after="200" w:line="276" w:lineRule="auto"/>
                    <w:ind w:left="714" w:hanging="357"/>
                    <w:rPr>
                      <w:lang w:val="en-US"/>
                    </w:rPr>
                  </w:pPr>
                  <w:r w:rsidRPr="00E73F80">
                    <w:rPr>
                      <w:lang w:val="en-US"/>
                    </w:rPr>
                    <w:t>Under the Scheme, householders and small business can drop-off items for free at designated access points, which may include permanent collection sites, take</w:t>
                  </w:r>
                  <w:r>
                    <w:rPr>
                      <w:lang w:val="en-US"/>
                    </w:rPr>
                    <w:noBreakHyphen/>
                  </w:r>
                  <w:proofErr w:type="spellStart"/>
                  <w:r w:rsidRPr="00E73F80">
                    <w:rPr>
                      <w:lang w:val="en-US"/>
                    </w:rPr>
                    <w:t>back</w:t>
                  </w:r>
                  <w:proofErr w:type="spellEnd"/>
                  <w:r w:rsidRPr="00E73F80">
                    <w:rPr>
                      <w:lang w:val="en-US"/>
                    </w:rPr>
                    <w:t xml:space="preserve"> events or through</w:t>
                  </w:r>
                  <w:r>
                    <w:rPr>
                      <w:lang w:val="en-US"/>
                    </w:rPr>
                    <w:t xml:space="preserve"> a mail-back option</w:t>
                  </w:r>
                </w:p>
                <w:p w:rsidR="008E5E36" w:rsidRPr="00664A1B" w:rsidRDefault="008E5E36" w:rsidP="00B524E2">
                  <w:pPr>
                    <w:pStyle w:val="ListParagraph"/>
                    <w:numPr>
                      <w:ilvl w:val="0"/>
                      <w:numId w:val="24"/>
                    </w:numPr>
                    <w:spacing w:after="200" w:line="276" w:lineRule="auto"/>
                    <w:ind w:left="714" w:hanging="357"/>
                    <w:rPr>
                      <w:lang w:val="en-US"/>
                    </w:rPr>
                  </w:pPr>
                  <w:r w:rsidRPr="00664A1B">
                    <w:rPr>
                      <w:lang w:val="en-US"/>
                    </w:rPr>
                    <w:t>The Scheme recycling targets will progressively increase each year, reaching 80</w:t>
                  </w:r>
                  <w:r>
                    <w:rPr>
                      <w:lang w:val="en-US"/>
                    </w:rPr>
                    <w:t> </w:t>
                  </w:r>
                  <w:r w:rsidRPr="00664A1B">
                    <w:rPr>
                      <w:lang w:val="en-US"/>
                    </w:rPr>
                    <w:t>per cent of waste generated by 2021–22</w:t>
                  </w:r>
                </w:p>
                <w:p w:rsidR="008E5E36" w:rsidRPr="00664A1B" w:rsidRDefault="008E5E36" w:rsidP="00664A1B">
                  <w:pPr>
                    <w:rPr>
                      <w:b/>
                      <w:i/>
                    </w:rPr>
                  </w:pPr>
                  <w:bookmarkStart w:id="8" w:name="_Toc382988987"/>
                  <w:bookmarkStart w:id="9" w:name="_Toc382989118"/>
                  <w:r>
                    <w:rPr>
                      <w:b/>
                      <w:i/>
                    </w:rPr>
                    <w:tab/>
                  </w:r>
                  <w:r w:rsidRPr="00664A1B">
                    <w:rPr>
                      <w:b/>
                      <w:i/>
                    </w:rPr>
                    <w:t>Results</w:t>
                  </w:r>
                  <w:bookmarkEnd w:id="8"/>
                  <w:bookmarkEnd w:id="9"/>
                </w:p>
                <w:p w:rsidR="008E5E36" w:rsidRPr="00E54E12" w:rsidRDefault="008E5E36" w:rsidP="00295450"/>
                <w:p w:rsidR="008E5E36" w:rsidRPr="00145692" w:rsidRDefault="008E5E36" w:rsidP="00B524E2">
                  <w:pPr>
                    <w:pStyle w:val="ListParagraph"/>
                    <w:numPr>
                      <w:ilvl w:val="0"/>
                      <w:numId w:val="24"/>
                    </w:numPr>
                    <w:spacing w:after="200" w:line="276" w:lineRule="auto"/>
                    <w:ind w:left="714" w:hanging="357"/>
                    <w:rPr>
                      <w:b/>
                      <w:i/>
                      <w:lang w:val="en-US"/>
                    </w:rPr>
                  </w:pPr>
                  <w:r w:rsidRPr="00664A1B">
                    <w:rPr>
                      <w:b/>
                      <w:i/>
                      <w:lang w:val="en-US"/>
                    </w:rPr>
                    <w:t>482 television and computer collection services have been delivered around Australia in all states and territories, including 388 ongoing services and 94 short-term recycling events</w:t>
                  </w:r>
                </w:p>
                <w:p w:rsidR="008E5E36" w:rsidRPr="00145692" w:rsidRDefault="008E5E36" w:rsidP="00B524E2">
                  <w:pPr>
                    <w:pStyle w:val="ListParagraph"/>
                    <w:numPr>
                      <w:ilvl w:val="0"/>
                      <w:numId w:val="24"/>
                    </w:numPr>
                    <w:spacing w:after="200" w:line="276" w:lineRule="auto"/>
                    <w:ind w:left="714" w:hanging="357"/>
                    <w:rPr>
                      <w:b/>
                      <w:i/>
                      <w:lang w:val="en-US"/>
                    </w:rPr>
                  </w:pPr>
                  <w:r w:rsidRPr="00664A1B">
                    <w:rPr>
                      <w:b/>
                      <w:i/>
                      <w:lang w:val="en-US"/>
                    </w:rPr>
                    <w:t>Five arrangement administrators have been approved to deliver on-ground operations and giving industry parties a choice in which administrator they join</w:t>
                  </w:r>
                </w:p>
                <w:p w:rsidR="008E5E36" w:rsidRPr="00145692" w:rsidRDefault="008E5E36" w:rsidP="00B524E2">
                  <w:pPr>
                    <w:pStyle w:val="ListParagraph"/>
                    <w:numPr>
                      <w:ilvl w:val="0"/>
                      <w:numId w:val="24"/>
                    </w:numPr>
                    <w:spacing w:after="200" w:line="276" w:lineRule="auto"/>
                    <w:ind w:left="714" w:hanging="357"/>
                    <w:rPr>
                      <w:b/>
                      <w:i/>
                      <w:lang w:val="en-US"/>
                    </w:rPr>
                  </w:pPr>
                  <w:r w:rsidRPr="00664A1B">
                    <w:rPr>
                      <w:b/>
                      <w:i/>
                      <w:lang w:val="en-US"/>
                    </w:rPr>
                    <w:t>100 per cent of industry parties met their obligation to join an approved arrangement for the 2012–13 target period</w:t>
                  </w:r>
                </w:p>
                <w:p w:rsidR="008E5E36" w:rsidRPr="00145692" w:rsidRDefault="008E5E36" w:rsidP="00B524E2">
                  <w:pPr>
                    <w:pStyle w:val="ListParagraph"/>
                    <w:numPr>
                      <w:ilvl w:val="0"/>
                      <w:numId w:val="24"/>
                    </w:numPr>
                    <w:spacing w:after="200" w:line="276" w:lineRule="auto"/>
                    <w:ind w:left="714" w:hanging="357"/>
                    <w:rPr>
                      <w:b/>
                      <w:i/>
                      <w:lang w:val="en-US"/>
                    </w:rPr>
                  </w:pPr>
                  <w:r w:rsidRPr="00664A1B">
                    <w:rPr>
                      <w:b/>
                      <w:i/>
                      <w:lang w:val="en-US"/>
                    </w:rPr>
                    <w:t xml:space="preserve">For further information </w:t>
                  </w:r>
                  <w:r>
                    <w:rPr>
                      <w:b/>
                      <w:i/>
                      <w:lang w:val="en-US"/>
                    </w:rPr>
                    <w:t>–</w:t>
                  </w:r>
                  <w:r w:rsidRPr="00664A1B">
                    <w:rPr>
                      <w:b/>
                      <w:i/>
                      <w:lang w:val="en-US"/>
                    </w:rPr>
                    <w:t xml:space="preserve"> http://www.environment.gov.au/topics/environment-protection/national-waste-policy/television-and-computer-recycling-scheme</w:t>
                  </w:r>
                </w:p>
              </w:txbxContent>
            </v:textbox>
          </v:shape>
        </w:pict>
      </w:r>
    </w:p>
    <w:p w:rsidR="00295450" w:rsidRPr="00295450" w:rsidRDefault="00295450" w:rsidP="00295450"/>
    <w:p w:rsidR="00634212" w:rsidRDefault="00634212" w:rsidP="00634212"/>
    <w:p w:rsidR="00634212" w:rsidRDefault="00634212" w:rsidP="00634212">
      <w:r>
        <w:br w:type="page"/>
      </w:r>
    </w:p>
    <w:p w:rsidR="00AC589D" w:rsidRPr="00F865AA" w:rsidRDefault="0098520D" w:rsidP="00B524E2">
      <w:pPr>
        <w:pStyle w:val="Heading1"/>
        <w:numPr>
          <w:ilvl w:val="0"/>
          <w:numId w:val="27"/>
        </w:numPr>
      </w:pPr>
      <w:bookmarkStart w:id="10" w:name="_Toc383092761"/>
      <w:r w:rsidRPr="00F865AA">
        <w:lastRenderedPageBreak/>
        <w:t>TAKING RESPONSIBLITY</w:t>
      </w:r>
      <w:bookmarkEnd w:id="10"/>
      <w:r w:rsidRPr="00F865AA">
        <w:t xml:space="preserve"> </w:t>
      </w:r>
    </w:p>
    <w:p w:rsidR="00A369B2" w:rsidRDefault="00A369B2" w:rsidP="00B1306B"/>
    <w:p w:rsidR="00A369B2" w:rsidRPr="00F82567" w:rsidRDefault="00BB561E" w:rsidP="005A5DCE">
      <w:pPr>
        <w:pBdr>
          <w:bottom w:val="single" w:sz="12" w:space="0" w:color="auto"/>
        </w:pBdr>
        <w:rPr>
          <w:color w:val="C48B01" w:themeColor="accent3" w:themeShade="BF"/>
          <w:szCs w:val="24"/>
        </w:rPr>
      </w:pPr>
      <w:r w:rsidRPr="00F82567">
        <w:rPr>
          <w:color w:val="C48B01" w:themeColor="accent3" w:themeShade="BF"/>
          <w:szCs w:val="24"/>
        </w:rPr>
        <w:t>S</w:t>
      </w:r>
      <w:r w:rsidR="0098520D" w:rsidRPr="00F82567">
        <w:rPr>
          <w:color w:val="C48B01" w:themeColor="accent3" w:themeShade="BF"/>
          <w:szCs w:val="24"/>
        </w:rPr>
        <w:t>hared responsibility for reducing the environmental, health and safety footprint of products and materials across the manufacture-supply-consumption chain and at end of li</w:t>
      </w:r>
      <w:r w:rsidR="005C0B22" w:rsidRPr="00F82567">
        <w:rPr>
          <w:color w:val="C48B01" w:themeColor="accent3" w:themeShade="BF"/>
          <w:szCs w:val="24"/>
        </w:rPr>
        <w:t>fe</w:t>
      </w:r>
    </w:p>
    <w:p w:rsidR="00A369B2" w:rsidRDefault="00A369B2" w:rsidP="005A5DCE">
      <w:pPr>
        <w:pBdr>
          <w:bottom w:val="single" w:sz="12" w:space="0" w:color="auto"/>
        </w:pBdr>
        <w:rPr>
          <w:szCs w:val="24"/>
        </w:rPr>
      </w:pPr>
    </w:p>
    <w:p w:rsidR="00A369B2" w:rsidRDefault="00A369B2" w:rsidP="00B1306B">
      <w:pPr>
        <w:rPr>
          <w:sz w:val="22"/>
        </w:rPr>
      </w:pPr>
    </w:p>
    <w:p w:rsidR="00BB561E" w:rsidRPr="004234FB" w:rsidRDefault="00454628" w:rsidP="000B261E">
      <w:pPr>
        <w:pStyle w:val="Heading2"/>
        <w:pBdr>
          <w:top w:val="single" w:sz="4" w:space="1" w:color="auto"/>
          <w:left w:val="single" w:sz="4" w:space="4" w:color="auto"/>
          <w:right w:val="single" w:sz="4" w:space="4" w:color="auto"/>
        </w:pBdr>
        <w:shd w:val="clear" w:color="auto" w:fill="FFC224"/>
        <w:rPr>
          <w:b w:val="0"/>
          <w:i/>
        </w:rPr>
      </w:pPr>
      <w:bookmarkStart w:id="11" w:name="_Toc383092762"/>
      <w:r w:rsidRPr="0028794F">
        <w:t>Strategy 1</w:t>
      </w:r>
      <w:r w:rsidR="00BB561E" w:rsidRPr="005A5DCE">
        <w:rPr>
          <w:i/>
        </w:rPr>
        <w:t xml:space="preserve"> </w:t>
      </w:r>
      <w:r w:rsidR="00ED216B">
        <w:rPr>
          <w:i/>
        </w:rPr>
        <w:t>–</w:t>
      </w:r>
      <w:r w:rsidR="00BB561E" w:rsidRPr="005A5DCE">
        <w:rPr>
          <w:i/>
        </w:rPr>
        <w:t xml:space="preserve"> </w:t>
      </w:r>
      <w:r w:rsidR="00BB561E" w:rsidRPr="004234FB">
        <w:rPr>
          <w:rStyle w:val="Heading3Char"/>
          <w:b/>
        </w:rPr>
        <w:t>Product Stewardship</w:t>
      </w:r>
      <w:bookmarkEnd w:id="11"/>
    </w:p>
    <w:p w:rsidR="00BB561E" w:rsidRDefault="00BB561E" w:rsidP="00B1306B">
      <w:pPr>
        <w:pBdr>
          <w:top w:val="single" w:sz="4" w:space="1" w:color="auto"/>
          <w:left w:val="single" w:sz="4" w:space="4" w:color="auto"/>
          <w:bottom w:val="single" w:sz="4" w:space="1" w:color="auto"/>
          <w:right w:val="single" w:sz="4" w:space="4" w:color="auto"/>
        </w:pBdr>
        <w:shd w:val="clear" w:color="auto" w:fill="FED36B" w:themeFill="accent3" w:themeFillTint="99"/>
        <w:rPr>
          <w:i/>
        </w:rPr>
      </w:pPr>
    </w:p>
    <w:p w:rsidR="00A369B2" w:rsidRPr="00BB561E" w:rsidRDefault="00354AB1" w:rsidP="005A5DCE">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rPr>
      </w:pPr>
      <w:r w:rsidRPr="00354AB1">
        <w:rPr>
          <w:i/>
          <w:lang w:val="en-US"/>
        </w:rPr>
        <w:t>Product stewardship framework legislation to allow the impacts of a product to be responsibly ma</w:t>
      </w:r>
      <w:r w:rsidR="009811B9">
        <w:rPr>
          <w:i/>
          <w:lang w:val="en-US"/>
        </w:rPr>
        <w:t>naged during and at end-of-life</w:t>
      </w:r>
      <w:r w:rsidR="002B62A5" w:rsidRPr="00BA76D4">
        <w:rPr>
          <w:i/>
        </w:rPr>
        <w:br/>
      </w:r>
    </w:p>
    <w:p w:rsidR="006E1123" w:rsidRPr="007D753C" w:rsidRDefault="006E1123" w:rsidP="000850F0">
      <w:pPr>
        <w:rPr>
          <w:i/>
          <w:szCs w:val="24"/>
        </w:rPr>
      </w:pPr>
    </w:p>
    <w:p w:rsidR="00A369B2" w:rsidRDefault="0098520D" w:rsidP="00B1306B">
      <w:pPr>
        <w:rPr>
          <w:rFonts w:eastAsia="Times New Roman" w:cs="Arial"/>
          <w:szCs w:val="24"/>
          <w:lang w:eastAsia="en-AU"/>
        </w:rPr>
      </w:pPr>
      <w:r w:rsidRPr="0098520D">
        <w:rPr>
          <w:rFonts w:eastAsia="Times New Roman" w:cs="Arial"/>
          <w:szCs w:val="24"/>
          <w:lang w:eastAsia="en-AU"/>
        </w:rPr>
        <w:t>Product stewardship is an approach</w:t>
      </w:r>
      <w:r w:rsidR="00527912">
        <w:rPr>
          <w:rFonts w:eastAsia="Times New Roman" w:cs="Arial"/>
          <w:szCs w:val="24"/>
          <w:lang w:eastAsia="en-AU"/>
        </w:rPr>
        <w:t xml:space="preserve"> that is designed to</w:t>
      </w:r>
      <w:r w:rsidRPr="0098520D">
        <w:rPr>
          <w:rFonts w:eastAsia="Times New Roman" w:cs="Arial"/>
          <w:szCs w:val="24"/>
          <w:lang w:eastAsia="en-AU"/>
        </w:rPr>
        <w:t xml:space="preserve"> manag</w:t>
      </w:r>
      <w:r w:rsidR="00527912">
        <w:rPr>
          <w:rFonts w:eastAsia="Times New Roman" w:cs="Arial"/>
          <w:szCs w:val="24"/>
          <w:lang w:eastAsia="en-AU"/>
        </w:rPr>
        <w:t>e</w:t>
      </w:r>
      <w:r w:rsidRPr="0098520D">
        <w:rPr>
          <w:rFonts w:eastAsia="Times New Roman" w:cs="Arial"/>
          <w:szCs w:val="24"/>
          <w:lang w:eastAsia="en-AU"/>
        </w:rPr>
        <w:t xml:space="preserve"> the impacts of different products and materials. </w:t>
      </w:r>
      <w:r w:rsidR="005C0B22">
        <w:rPr>
          <w:rFonts w:eastAsia="Times New Roman" w:cs="Arial"/>
          <w:szCs w:val="24"/>
          <w:lang w:eastAsia="en-AU"/>
        </w:rPr>
        <w:t>A</w:t>
      </w:r>
      <w:r w:rsidR="00527912">
        <w:rPr>
          <w:rFonts w:eastAsia="Times New Roman" w:cs="Arial"/>
          <w:szCs w:val="24"/>
          <w:lang w:eastAsia="en-AU"/>
        </w:rPr>
        <w:t>ll</w:t>
      </w:r>
      <w:r w:rsidRPr="0098520D">
        <w:rPr>
          <w:rFonts w:eastAsia="Times New Roman" w:cs="Arial"/>
          <w:szCs w:val="24"/>
          <w:lang w:eastAsia="en-AU"/>
        </w:rPr>
        <w:t xml:space="preserve"> those involved in </w:t>
      </w:r>
      <w:r w:rsidR="00527912">
        <w:rPr>
          <w:rFonts w:eastAsia="Times New Roman" w:cs="Arial"/>
          <w:szCs w:val="24"/>
          <w:lang w:eastAsia="en-AU"/>
        </w:rPr>
        <w:t xml:space="preserve">the </w:t>
      </w:r>
      <w:r w:rsidRPr="0098520D">
        <w:rPr>
          <w:rFonts w:eastAsia="Times New Roman" w:cs="Arial"/>
          <w:szCs w:val="24"/>
          <w:lang w:eastAsia="en-AU"/>
        </w:rPr>
        <w:t>produc</w:t>
      </w:r>
      <w:r w:rsidR="00527912">
        <w:rPr>
          <w:rFonts w:eastAsia="Times New Roman" w:cs="Arial"/>
          <w:szCs w:val="24"/>
          <w:lang w:eastAsia="en-AU"/>
        </w:rPr>
        <w:t>tion</w:t>
      </w:r>
      <w:r w:rsidRPr="0098520D">
        <w:rPr>
          <w:rFonts w:eastAsia="Times New Roman" w:cs="Arial"/>
          <w:szCs w:val="24"/>
          <w:lang w:eastAsia="en-AU"/>
        </w:rPr>
        <w:t xml:space="preserve">, </w:t>
      </w:r>
      <w:r w:rsidR="00527912">
        <w:rPr>
          <w:rFonts w:eastAsia="Times New Roman" w:cs="Arial"/>
          <w:szCs w:val="24"/>
          <w:lang w:eastAsia="en-AU"/>
        </w:rPr>
        <w:t>sales</w:t>
      </w:r>
      <w:r w:rsidRPr="0098520D">
        <w:rPr>
          <w:rFonts w:eastAsia="Times New Roman" w:cs="Arial"/>
          <w:szCs w:val="24"/>
          <w:lang w:eastAsia="en-AU"/>
        </w:rPr>
        <w:t>, u</w:t>
      </w:r>
      <w:r w:rsidR="00527912">
        <w:rPr>
          <w:rFonts w:eastAsia="Times New Roman" w:cs="Arial"/>
          <w:szCs w:val="24"/>
          <w:lang w:eastAsia="en-AU"/>
        </w:rPr>
        <w:t>se</w:t>
      </w:r>
      <w:r w:rsidR="005C0B22">
        <w:rPr>
          <w:rFonts w:eastAsia="Times New Roman" w:cs="Arial"/>
          <w:szCs w:val="24"/>
          <w:lang w:eastAsia="en-AU"/>
        </w:rPr>
        <w:t xml:space="preserve"> </w:t>
      </w:r>
      <w:r w:rsidRPr="0098520D">
        <w:rPr>
          <w:rFonts w:eastAsia="Times New Roman" w:cs="Arial"/>
          <w:szCs w:val="24"/>
          <w:lang w:eastAsia="en-AU"/>
        </w:rPr>
        <w:t>and dispos</w:t>
      </w:r>
      <w:r w:rsidR="00527912">
        <w:rPr>
          <w:rFonts w:eastAsia="Times New Roman" w:cs="Arial"/>
          <w:szCs w:val="24"/>
          <w:lang w:eastAsia="en-AU"/>
        </w:rPr>
        <w:t>al</w:t>
      </w:r>
      <w:r w:rsidRPr="0098520D">
        <w:rPr>
          <w:rFonts w:eastAsia="Times New Roman" w:cs="Arial"/>
          <w:szCs w:val="24"/>
          <w:lang w:eastAsia="en-AU"/>
        </w:rPr>
        <w:t xml:space="preserve"> of products </w:t>
      </w:r>
      <w:r w:rsidR="00527912">
        <w:rPr>
          <w:rFonts w:eastAsia="Times New Roman" w:cs="Arial"/>
          <w:szCs w:val="24"/>
          <w:lang w:eastAsia="en-AU"/>
        </w:rPr>
        <w:t>are responsible for reduc</w:t>
      </w:r>
      <w:r w:rsidR="008B4F91">
        <w:rPr>
          <w:rFonts w:eastAsia="Times New Roman" w:cs="Arial"/>
          <w:szCs w:val="24"/>
          <w:lang w:eastAsia="en-AU"/>
        </w:rPr>
        <w:t xml:space="preserve">ing the impacts of waste on </w:t>
      </w:r>
      <w:r w:rsidR="00527912">
        <w:rPr>
          <w:rFonts w:eastAsia="Times New Roman" w:cs="Arial"/>
          <w:szCs w:val="24"/>
          <w:lang w:eastAsia="en-AU"/>
        </w:rPr>
        <w:t>human</w:t>
      </w:r>
      <w:r w:rsidR="008B4F91">
        <w:rPr>
          <w:rFonts w:eastAsia="Times New Roman" w:cs="Arial"/>
          <w:szCs w:val="24"/>
          <w:lang w:eastAsia="en-AU"/>
        </w:rPr>
        <w:t xml:space="preserve"> health and</w:t>
      </w:r>
      <w:r w:rsidR="00527912">
        <w:rPr>
          <w:rFonts w:eastAsia="Times New Roman" w:cs="Arial"/>
          <w:szCs w:val="24"/>
          <w:lang w:eastAsia="en-AU"/>
        </w:rPr>
        <w:t xml:space="preserve"> </w:t>
      </w:r>
      <w:r w:rsidR="008B4F91">
        <w:rPr>
          <w:rFonts w:eastAsia="Times New Roman" w:cs="Arial"/>
          <w:szCs w:val="24"/>
          <w:lang w:eastAsia="en-AU"/>
        </w:rPr>
        <w:t xml:space="preserve">the </w:t>
      </w:r>
      <w:r w:rsidR="00527912">
        <w:rPr>
          <w:rFonts w:eastAsia="Times New Roman" w:cs="Arial"/>
          <w:szCs w:val="24"/>
          <w:lang w:eastAsia="en-AU"/>
        </w:rPr>
        <w:t xml:space="preserve">environment. </w:t>
      </w:r>
    </w:p>
    <w:p w:rsidR="00786A17" w:rsidRDefault="00786A17" w:rsidP="000850F0">
      <w:pPr>
        <w:rPr>
          <w:szCs w:val="24"/>
        </w:rPr>
      </w:pPr>
    </w:p>
    <w:p w:rsidR="00C2046E" w:rsidRPr="00A76C9B" w:rsidRDefault="0098520D" w:rsidP="00CE2198">
      <w:pPr>
        <w:pStyle w:val="Heading3"/>
      </w:pPr>
      <w:bookmarkStart w:id="12" w:name="_Toc383092763"/>
      <w:r w:rsidRPr="00A76C9B">
        <w:t>National product stewardship legislation</w:t>
      </w:r>
      <w:bookmarkEnd w:id="12"/>
    </w:p>
    <w:p w:rsidR="004B7159" w:rsidRPr="009E7E3E" w:rsidRDefault="004B7159" w:rsidP="009E7E3E">
      <w:pPr>
        <w:rPr>
          <w:rFonts w:cs="Arial"/>
          <w:szCs w:val="24"/>
        </w:rPr>
      </w:pPr>
    </w:p>
    <w:p w:rsidR="009E7E3E" w:rsidRDefault="007A0A3B" w:rsidP="009E7E3E">
      <w:pPr>
        <w:rPr>
          <w:rFonts w:cs="Arial"/>
          <w:szCs w:val="24"/>
        </w:rPr>
      </w:pPr>
      <w:r>
        <w:rPr>
          <w:rFonts w:cs="Arial"/>
          <w:szCs w:val="24"/>
        </w:rPr>
        <w:t xml:space="preserve">The main </w:t>
      </w:r>
      <w:r w:rsidR="005A5DCE">
        <w:rPr>
          <w:rFonts w:cs="Arial"/>
          <w:szCs w:val="24"/>
        </w:rPr>
        <w:t>objective</w:t>
      </w:r>
      <w:r>
        <w:rPr>
          <w:rFonts w:cs="Arial"/>
          <w:szCs w:val="24"/>
        </w:rPr>
        <w:t xml:space="preserve"> of Strategy 1 was achieved with the commencement of the </w:t>
      </w:r>
      <w:r w:rsidR="009E7E3E" w:rsidRPr="004B7159">
        <w:rPr>
          <w:rFonts w:cs="Arial"/>
          <w:i/>
          <w:szCs w:val="24"/>
        </w:rPr>
        <w:t>Product Stewardship Act 2011</w:t>
      </w:r>
      <w:r w:rsidR="009E7E3E" w:rsidRPr="009E7E3E">
        <w:rPr>
          <w:rFonts w:cs="Arial"/>
          <w:szCs w:val="24"/>
        </w:rPr>
        <w:t xml:space="preserve"> </w:t>
      </w:r>
      <w:r>
        <w:rPr>
          <w:rFonts w:cs="Arial"/>
          <w:szCs w:val="24"/>
        </w:rPr>
        <w:t xml:space="preserve">on 8 August 2011. </w:t>
      </w:r>
      <w:r w:rsidR="009E7E3E" w:rsidRPr="009E7E3E">
        <w:rPr>
          <w:rFonts w:cs="Arial"/>
          <w:szCs w:val="24"/>
        </w:rPr>
        <w:t>T</w:t>
      </w:r>
      <w:r w:rsidR="003A2C3C">
        <w:rPr>
          <w:rFonts w:cs="Arial"/>
          <w:szCs w:val="24"/>
        </w:rPr>
        <w:t xml:space="preserve">he </w:t>
      </w:r>
      <w:r w:rsidR="005A5DCE" w:rsidRPr="004B7159">
        <w:rPr>
          <w:rFonts w:cs="Arial"/>
          <w:i/>
          <w:szCs w:val="24"/>
        </w:rPr>
        <w:t xml:space="preserve">Product Stewardship </w:t>
      </w:r>
      <w:r w:rsidRPr="005A5DCE">
        <w:rPr>
          <w:rFonts w:cs="Arial"/>
          <w:i/>
          <w:szCs w:val="24"/>
        </w:rPr>
        <w:t>A</w:t>
      </w:r>
      <w:r w:rsidR="005A5DCE" w:rsidRPr="005A5DCE">
        <w:rPr>
          <w:rFonts w:cs="Arial"/>
          <w:i/>
          <w:szCs w:val="24"/>
        </w:rPr>
        <w:t>ct</w:t>
      </w:r>
      <w:r>
        <w:rPr>
          <w:rFonts w:cs="Arial"/>
          <w:szCs w:val="24"/>
        </w:rPr>
        <w:t xml:space="preserve"> </w:t>
      </w:r>
      <w:r w:rsidR="005A5DCE" w:rsidRPr="005A5DCE">
        <w:rPr>
          <w:rFonts w:cs="Arial"/>
          <w:i/>
          <w:szCs w:val="24"/>
        </w:rPr>
        <w:t>2011</w:t>
      </w:r>
      <w:r w:rsidR="005A5DCE">
        <w:rPr>
          <w:rFonts w:cs="Arial"/>
          <w:szCs w:val="24"/>
        </w:rPr>
        <w:t xml:space="preserve"> </w:t>
      </w:r>
      <w:r w:rsidR="003A2C3C">
        <w:rPr>
          <w:rFonts w:cs="Arial"/>
          <w:szCs w:val="24"/>
        </w:rPr>
        <w:t>establishes</w:t>
      </w:r>
      <w:r w:rsidR="003A2C3C" w:rsidRPr="009E7E3E">
        <w:rPr>
          <w:rFonts w:cs="Arial"/>
          <w:szCs w:val="24"/>
        </w:rPr>
        <w:t xml:space="preserve"> </w:t>
      </w:r>
      <w:r w:rsidR="009E7E3E" w:rsidRPr="009E7E3E">
        <w:rPr>
          <w:rFonts w:cs="Arial"/>
          <w:szCs w:val="24"/>
        </w:rPr>
        <w:t>the</w:t>
      </w:r>
      <w:r w:rsidR="003A2C3C">
        <w:rPr>
          <w:rFonts w:cs="Arial"/>
          <w:szCs w:val="24"/>
        </w:rPr>
        <w:t xml:space="preserve"> </w:t>
      </w:r>
      <w:r w:rsidR="009E7E3E" w:rsidRPr="009E7E3E">
        <w:rPr>
          <w:rFonts w:cs="Arial"/>
          <w:szCs w:val="24"/>
        </w:rPr>
        <w:t xml:space="preserve">framework </w:t>
      </w:r>
      <w:r w:rsidR="003A2C3C">
        <w:rPr>
          <w:rFonts w:cs="Arial"/>
          <w:szCs w:val="24"/>
        </w:rPr>
        <w:t xml:space="preserve">in which </w:t>
      </w:r>
      <w:r w:rsidR="009E7E3E" w:rsidRPr="009E7E3E">
        <w:rPr>
          <w:rFonts w:cs="Arial"/>
          <w:szCs w:val="24"/>
        </w:rPr>
        <w:t>the environmental, health and safety impacts of products, and in particular those impacts associated with the disposal of products</w:t>
      </w:r>
      <w:r w:rsidR="003A2C3C">
        <w:rPr>
          <w:rFonts w:cs="Arial"/>
          <w:szCs w:val="24"/>
        </w:rPr>
        <w:t xml:space="preserve"> are managed</w:t>
      </w:r>
      <w:r>
        <w:rPr>
          <w:rFonts w:cs="Arial"/>
          <w:szCs w:val="24"/>
        </w:rPr>
        <w:t>, and i</w:t>
      </w:r>
      <w:r w:rsidR="009E7E3E" w:rsidRPr="009E7E3E">
        <w:rPr>
          <w:rFonts w:cs="Arial"/>
          <w:szCs w:val="24"/>
        </w:rPr>
        <w:t xml:space="preserve">ncludes voluntary, co-regulatory and mandatory product stewardship. </w:t>
      </w:r>
    </w:p>
    <w:p w:rsidR="004B7159" w:rsidRPr="009E7E3E" w:rsidRDefault="004B7159" w:rsidP="009E7E3E">
      <w:pPr>
        <w:rPr>
          <w:rFonts w:cs="Arial"/>
          <w:szCs w:val="24"/>
        </w:rPr>
      </w:pPr>
    </w:p>
    <w:p w:rsidR="004B7159" w:rsidRDefault="007A0A3B" w:rsidP="009E7E3E">
      <w:pPr>
        <w:rPr>
          <w:rFonts w:cs="Arial"/>
          <w:szCs w:val="24"/>
        </w:rPr>
      </w:pPr>
      <w:r>
        <w:rPr>
          <w:rFonts w:cs="Arial"/>
          <w:szCs w:val="24"/>
        </w:rPr>
        <w:t xml:space="preserve">Further development of the </w:t>
      </w:r>
      <w:r w:rsidR="005A5DCE">
        <w:rPr>
          <w:rFonts w:cs="Arial"/>
          <w:szCs w:val="24"/>
        </w:rPr>
        <w:t>f</w:t>
      </w:r>
      <w:r>
        <w:rPr>
          <w:rFonts w:cs="Arial"/>
          <w:szCs w:val="24"/>
        </w:rPr>
        <w:t>ramework has occurred over 2012 and 2013. Key initiatives in this area include:</w:t>
      </w:r>
    </w:p>
    <w:p w:rsidR="004B7159" w:rsidRDefault="004B7159" w:rsidP="009E7E3E">
      <w:pPr>
        <w:rPr>
          <w:rFonts w:cs="Arial"/>
          <w:szCs w:val="24"/>
        </w:rPr>
      </w:pPr>
    </w:p>
    <w:p w:rsidR="00A3124F" w:rsidRPr="00A3124F" w:rsidRDefault="00A3124F" w:rsidP="00B524E2">
      <w:pPr>
        <w:pStyle w:val="ListBullet"/>
        <w:numPr>
          <w:ilvl w:val="0"/>
          <w:numId w:val="21"/>
        </w:numPr>
        <w:ind w:left="426" w:hanging="426"/>
        <w:rPr>
          <w:szCs w:val="24"/>
        </w:rPr>
      </w:pPr>
      <w:r w:rsidRPr="004D74D0">
        <w:rPr>
          <w:i/>
          <w:szCs w:val="24"/>
        </w:rPr>
        <w:t>Consultation paper on the proposed model for accreditation of voluntary product stewardship arrangements</w:t>
      </w:r>
      <w:r>
        <w:rPr>
          <w:rStyle w:val="EndnoteReference"/>
          <w:i/>
          <w:szCs w:val="24"/>
        </w:rPr>
        <w:endnoteReference w:id="2"/>
      </w:r>
      <w:r w:rsidR="003B18F5">
        <w:rPr>
          <w:szCs w:val="24"/>
        </w:rPr>
        <w:t xml:space="preserve"> </w:t>
      </w:r>
      <w:r w:rsidR="001A3D36">
        <w:rPr>
          <w:szCs w:val="24"/>
        </w:rPr>
        <w:t>–</w:t>
      </w:r>
      <w:r>
        <w:rPr>
          <w:szCs w:val="24"/>
        </w:rPr>
        <w:t xml:space="preserve"> February 2012 </w:t>
      </w:r>
      <w:r w:rsidR="001A3D36">
        <w:rPr>
          <w:szCs w:val="24"/>
        </w:rPr>
        <w:t xml:space="preserve">– </w:t>
      </w:r>
      <w:r>
        <w:rPr>
          <w:szCs w:val="24"/>
        </w:rPr>
        <w:t>released for public comment with 20 submissions received from a wide range of stakeholders in response to the paper and 42 interested parties attended public meetings held in Sydney, Canberra and Melbourne.</w:t>
      </w:r>
    </w:p>
    <w:p w:rsidR="0006244B" w:rsidRDefault="0006244B" w:rsidP="00102CA0">
      <w:pPr>
        <w:ind w:left="426" w:hanging="426"/>
        <w:rPr>
          <w:rFonts w:cs="Arial"/>
          <w:szCs w:val="24"/>
        </w:rPr>
      </w:pPr>
    </w:p>
    <w:p w:rsidR="00A3124F" w:rsidRDefault="00A3124F" w:rsidP="00102CA0">
      <w:pPr>
        <w:pStyle w:val="ListBullet"/>
        <w:numPr>
          <w:ilvl w:val="0"/>
          <w:numId w:val="11"/>
        </w:numPr>
        <w:ind w:left="426" w:hanging="426"/>
        <w:rPr>
          <w:szCs w:val="24"/>
        </w:rPr>
      </w:pPr>
      <w:r w:rsidRPr="00A3124F">
        <w:rPr>
          <w:i/>
          <w:szCs w:val="24"/>
        </w:rPr>
        <w:t>Product Stewardship Regulation 2012 and Product Stewardship (Voluntary Arrangements) Instrument 2012</w:t>
      </w:r>
      <w:r w:rsidR="005A5DCE">
        <w:rPr>
          <w:rStyle w:val="EndnoteReference"/>
          <w:i/>
          <w:szCs w:val="24"/>
        </w:rPr>
        <w:endnoteReference w:id="3"/>
      </w:r>
      <w:r>
        <w:rPr>
          <w:szCs w:val="24"/>
        </w:rPr>
        <w:t xml:space="preserve"> </w:t>
      </w:r>
      <w:r w:rsidR="001A3D36">
        <w:rPr>
          <w:szCs w:val="24"/>
        </w:rPr>
        <w:t xml:space="preserve">– </w:t>
      </w:r>
      <w:r>
        <w:rPr>
          <w:szCs w:val="24"/>
        </w:rPr>
        <w:t xml:space="preserve">November 2012 </w:t>
      </w:r>
      <w:r w:rsidR="001A3D36">
        <w:rPr>
          <w:szCs w:val="24"/>
        </w:rPr>
        <w:t>–</w:t>
      </w:r>
      <w:r>
        <w:rPr>
          <w:szCs w:val="24"/>
        </w:rPr>
        <w:t xml:space="preserve"> specifies the fees for the application of voluntary product stewardship arrangements and sets out the requirements for accreditation under the voluntary provisions of the Product Stewardship Act respectively.</w:t>
      </w:r>
    </w:p>
    <w:p w:rsidR="00935AFE" w:rsidRDefault="00935AFE" w:rsidP="00935AFE">
      <w:pPr>
        <w:pStyle w:val="ListBullet"/>
        <w:ind w:left="360"/>
        <w:rPr>
          <w:szCs w:val="24"/>
        </w:rPr>
      </w:pPr>
    </w:p>
    <w:p w:rsidR="00BB7D48" w:rsidRPr="00A3124F" w:rsidRDefault="00236EA7" w:rsidP="00847EC0">
      <w:pPr>
        <w:pStyle w:val="ListParagraph"/>
        <w:keepNext/>
        <w:keepLines/>
        <w:numPr>
          <w:ilvl w:val="0"/>
          <w:numId w:val="11"/>
        </w:numPr>
        <w:ind w:left="426" w:hanging="426"/>
        <w:rPr>
          <w:szCs w:val="24"/>
        </w:rPr>
      </w:pPr>
      <w:r w:rsidRPr="00A3124F">
        <w:rPr>
          <w:rFonts w:cs="Arial"/>
          <w:i/>
          <w:szCs w:val="24"/>
        </w:rPr>
        <w:lastRenderedPageBreak/>
        <w:t>Product Stewardship List</w:t>
      </w:r>
      <w:r w:rsidR="00A3124F" w:rsidRPr="00A3124F">
        <w:rPr>
          <w:rFonts w:cs="Arial"/>
          <w:szCs w:val="24"/>
        </w:rPr>
        <w:t xml:space="preserve"> </w:t>
      </w:r>
      <w:r w:rsidR="001A3D36">
        <w:rPr>
          <w:rFonts w:cs="Arial"/>
          <w:szCs w:val="24"/>
        </w:rPr>
        <w:t xml:space="preserve">– </w:t>
      </w:r>
      <w:r w:rsidR="00A3124F" w:rsidRPr="00A3124F">
        <w:rPr>
          <w:rFonts w:cs="Arial"/>
          <w:szCs w:val="24"/>
        </w:rPr>
        <w:t xml:space="preserve">June 2013 </w:t>
      </w:r>
      <w:r w:rsidR="001A3D36">
        <w:rPr>
          <w:rFonts w:cs="Arial"/>
          <w:szCs w:val="24"/>
        </w:rPr>
        <w:t xml:space="preserve">– </w:t>
      </w:r>
      <w:r w:rsidR="00A3124F" w:rsidRPr="00A3124F">
        <w:rPr>
          <w:rFonts w:cs="Arial"/>
          <w:szCs w:val="24"/>
        </w:rPr>
        <w:t xml:space="preserve">the annual </w:t>
      </w:r>
      <w:r w:rsidR="00B707B9" w:rsidRPr="00A3124F">
        <w:rPr>
          <w:szCs w:val="24"/>
        </w:rPr>
        <w:t>product list</w:t>
      </w:r>
      <w:r w:rsidR="003B0E81" w:rsidRPr="00A3124F">
        <w:rPr>
          <w:szCs w:val="24"/>
        </w:rPr>
        <w:t xml:space="preserve"> </w:t>
      </w:r>
      <w:r w:rsidR="00A3124F" w:rsidRPr="00A3124F">
        <w:rPr>
          <w:szCs w:val="24"/>
        </w:rPr>
        <w:t xml:space="preserve">for 2013-14 was published and </w:t>
      </w:r>
      <w:r w:rsidR="00A3124F">
        <w:rPr>
          <w:szCs w:val="24"/>
        </w:rPr>
        <w:t>included</w:t>
      </w:r>
      <w:r w:rsidR="00BB7D48" w:rsidRPr="00A3124F">
        <w:rPr>
          <w:szCs w:val="24"/>
        </w:rPr>
        <w:t xml:space="preserve"> the following</w:t>
      </w:r>
      <w:r w:rsidR="00B707B9" w:rsidRPr="00A3124F">
        <w:rPr>
          <w:szCs w:val="24"/>
        </w:rPr>
        <w:t xml:space="preserve"> classes of products</w:t>
      </w:r>
      <w:r w:rsidR="00BB7D48" w:rsidRPr="00A3124F">
        <w:rPr>
          <w:szCs w:val="24"/>
        </w:rPr>
        <w:t>:</w:t>
      </w:r>
    </w:p>
    <w:p w:rsidR="00BB7D48" w:rsidRDefault="00BB7D48" w:rsidP="00847EC0">
      <w:pPr>
        <w:pStyle w:val="ListParagraph"/>
        <w:keepNext/>
        <w:keepLines/>
        <w:numPr>
          <w:ilvl w:val="0"/>
          <w:numId w:val="7"/>
        </w:numPr>
        <w:ind w:left="851" w:hanging="425"/>
      </w:pPr>
      <w:r>
        <w:t>Waste architectural and decorative paint</w:t>
      </w:r>
    </w:p>
    <w:p w:rsidR="00BB7D48" w:rsidRDefault="00BB7D48" w:rsidP="00847EC0">
      <w:pPr>
        <w:pStyle w:val="ListParagraph"/>
        <w:keepNext/>
        <w:keepLines/>
        <w:numPr>
          <w:ilvl w:val="0"/>
          <w:numId w:val="7"/>
        </w:numPr>
        <w:ind w:left="851" w:hanging="425"/>
      </w:pPr>
      <w:r>
        <w:t>End-of-life handheld batteries (less than 2kg in weight)</w:t>
      </w:r>
    </w:p>
    <w:p w:rsidR="00BB7D48" w:rsidRDefault="00BB7D48" w:rsidP="00847EC0">
      <w:pPr>
        <w:pStyle w:val="ListParagraph"/>
        <w:keepNext/>
        <w:keepLines/>
        <w:numPr>
          <w:ilvl w:val="0"/>
          <w:numId w:val="7"/>
        </w:numPr>
        <w:ind w:left="851" w:hanging="425"/>
      </w:pPr>
      <w:r>
        <w:t>Packaging (and subsets of packaging, such as consumer packaging and beverage packaging)</w:t>
      </w:r>
    </w:p>
    <w:p w:rsidR="00BB7D48" w:rsidRDefault="00BB7D48" w:rsidP="00847EC0">
      <w:pPr>
        <w:pStyle w:val="ListParagraph"/>
        <w:keepNext/>
        <w:keepLines/>
        <w:numPr>
          <w:ilvl w:val="0"/>
          <w:numId w:val="7"/>
        </w:numPr>
        <w:ind w:left="851" w:hanging="425"/>
      </w:pPr>
      <w:r>
        <w:t>End-of-life air conditioners with small gas charges</w:t>
      </w:r>
    </w:p>
    <w:p w:rsidR="00BB7D48" w:rsidRDefault="00BB7D48" w:rsidP="00847EC0">
      <w:pPr>
        <w:pStyle w:val="ListParagraph"/>
        <w:keepNext/>
        <w:keepLines/>
        <w:numPr>
          <w:ilvl w:val="0"/>
          <w:numId w:val="7"/>
        </w:numPr>
        <w:ind w:left="851" w:hanging="425"/>
      </w:pPr>
      <w:r>
        <w:t>End-of-life refrigerators with small gas charges</w:t>
      </w:r>
    </w:p>
    <w:p w:rsidR="00C8231D" w:rsidRDefault="00C8231D" w:rsidP="00B1306B">
      <w:pPr>
        <w:pStyle w:val="ListBullet"/>
        <w:rPr>
          <w:szCs w:val="24"/>
        </w:rPr>
      </w:pPr>
    </w:p>
    <w:p w:rsidR="00C8231D" w:rsidRDefault="00697107" w:rsidP="00B524E2">
      <w:pPr>
        <w:pStyle w:val="ListBullet"/>
        <w:numPr>
          <w:ilvl w:val="0"/>
          <w:numId w:val="22"/>
        </w:numPr>
        <w:ind w:left="426" w:hanging="426"/>
        <w:rPr>
          <w:szCs w:val="24"/>
        </w:rPr>
      </w:pPr>
      <w:r w:rsidRPr="00697107">
        <w:rPr>
          <w:i/>
          <w:szCs w:val="24"/>
        </w:rPr>
        <w:t xml:space="preserve">Accreditation under the voluntary provision of the Product Stewardship Act </w:t>
      </w:r>
      <w:r w:rsidR="005A5DCE">
        <w:rPr>
          <w:i/>
          <w:szCs w:val="24"/>
        </w:rPr>
        <w:t>2011</w:t>
      </w:r>
      <w:r w:rsidR="005A5DCE">
        <w:rPr>
          <w:rStyle w:val="EndnoteReference"/>
          <w:i/>
          <w:szCs w:val="24"/>
        </w:rPr>
        <w:endnoteReference w:id="4"/>
      </w:r>
      <w:r w:rsidR="005A5DCE">
        <w:rPr>
          <w:i/>
          <w:szCs w:val="24"/>
        </w:rPr>
        <w:t xml:space="preserve"> </w:t>
      </w:r>
      <w:r w:rsidR="001A3D36">
        <w:rPr>
          <w:i/>
          <w:szCs w:val="24"/>
        </w:rPr>
        <w:t>–</w:t>
      </w:r>
      <w:r>
        <w:rPr>
          <w:szCs w:val="24"/>
        </w:rPr>
        <w:t xml:space="preserve"> </w:t>
      </w:r>
      <w:r w:rsidR="00C8231D" w:rsidRPr="00C8231D">
        <w:rPr>
          <w:szCs w:val="24"/>
        </w:rPr>
        <w:t>June 2013</w:t>
      </w:r>
      <w:r>
        <w:rPr>
          <w:szCs w:val="24"/>
        </w:rPr>
        <w:t xml:space="preserve"> </w:t>
      </w:r>
      <w:r w:rsidR="001A3D36">
        <w:rPr>
          <w:szCs w:val="24"/>
        </w:rPr>
        <w:t>–</w:t>
      </w:r>
      <w:r w:rsidRPr="00697107">
        <w:rPr>
          <w:szCs w:val="24"/>
        </w:rPr>
        <w:t xml:space="preserve"> a</w:t>
      </w:r>
      <w:r w:rsidR="00E814D8" w:rsidRPr="00697107">
        <w:rPr>
          <w:szCs w:val="24"/>
        </w:rPr>
        <w:t xml:space="preserve">pplications </w:t>
      </w:r>
      <w:r w:rsidRPr="00697107">
        <w:rPr>
          <w:szCs w:val="24"/>
        </w:rPr>
        <w:t>were opened via</w:t>
      </w:r>
      <w:r w:rsidR="00E814D8" w:rsidRPr="00697107">
        <w:rPr>
          <w:szCs w:val="24"/>
        </w:rPr>
        <w:t xml:space="preserve"> an online application process allowing applicants access to full step-by-step instructions convenien</w:t>
      </w:r>
      <w:r w:rsidR="007B6EF7">
        <w:rPr>
          <w:szCs w:val="24"/>
        </w:rPr>
        <w:t>tly</w:t>
      </w:r>
      <w:r w:rsidR="00E814D8" w:rsidRPr="00697107">
        <w:rPr>
          <w:szCs w:val="24"/>
        </w:rPr>
        <w:t>.</w:t>
      </w:r>
      <w:r w:rsidR="00E814D8">
        <w:rPr>
          <w:szCs w:val="24"/>
        </w:rPr>
        <w:t xml:space="preserve"> </w:t>
      </w:r>
    </w:p>
    <w:p w:rsidR="00C2046E" w:rsidRDefault="00C2046E" w:rsidP="00B1306B">
      <w:pPr>
        <w:pStyle w:val="ListBullet"/>
        <w:rPr>
          <w:szCs w:val="24"/>
          <w:u w:val="single"/>
        </w:rPr>
      </w:pPr>
    </w:p>
    <w:p w:rsidR="007A0A3B" w:rsidRDefault="007A0A3B" w:rsidP="009811B9">
      <w:pPr>
        <w:pStyle w:val="Heading3"/>
      </w:pPr>
      <w:bookmarkStart w:id="13" w:name="_Toc383092764"/>
      <w:r w:rsidRPr="0098520D">
        <w:t>National</w:t>
      </w:r>
      <w:r>
        <w:t xml:space="preserve"> product stewardship arrangements</w:t>
      </w:r>
      <w:bookmarkEnd w:id="13"/>
    </w:p>
    <w:p w:rsidR="007A0A3B" w:rsidRDefault="007A0A3B" w:rsidP="007A0A3B"/>
    <w:p w:rsidR="007A0A3B" w:rsidRDefault="007A0A3B" w:rsidP="007A0A3B">
      <w:r>
        <w:t>The NWP sought to establish at least one product stewardship scheme within the first three years and to have a number of voluntary product stewardship schemes accredited and reporting within four years.</w:t>
      </w:r>
    </w:p>
    <w:p w:rsidR="007A0A3B" w:rsidRDefault="007A0A3B" w:rsidP="007A0A3B"/>
    <w:p w:rsidR="007A0A3B" w:rsidRDefault="007A0A3B" w:rsidP="007A0A3B">
      <w:pPr>
        <w:rPr>
          <w:rFonts w:cs="Arial"/>
          <w:szCs w:val="24"/>
        </w:rPr>
      </w:pPr>
      <w:r>
        <w:rPr>
          <w:rFonts w:cs="Arial"/>
          <w:szCs w:val="24"/>
        </w:rPr>
        <w:t>Key initiatives in this area include:</w:t>
      </w:r>
    </w:p>
    <w:p w:rsidR="00186C73" w:rsidRDefault="00186C73" w:rsidP="00B1306B">
      <w:pPr>
        <w:pStyle w:val="ListBullet"/>
        <w:rPr>
          <w:szCs w:val="24"/>
          <w:u w:val="single"/>
        </w:rPr>
      </w:pPr>
    </w:p>
    <w:p w:rsidR="00383468" w:rsidRPr="00A74178" w:rsidRDefault="00A74178" w:rsidP="00102CA0">
      <w:pPr>
        <w:pStyle w:val="ListParagraph"/>
        <w:numPr>
          <w:ilvl w:val="0"/>
          <w:numId w:val="11"/>
        </w:numPr>
        <w:ind w:left="425" w:hanging="425"/>
        <w:rPr>
          <w:szCs w:val="24"/>
        </w:rPr>
      </w:pPr>
      <w:r w:rsidRPr="00A74178">
        <w:rPr>
          <w:i/>
          <w:szCs w:val="24"/>
        </w:rPr>
        <w:t>Australian and New Zealand Standard for collection, storage, transport and treatment of electrical and electronic waste</w:t>
      </w:r>
      <w:r w:rsidR="007B6EF7">
        <w:rPr>
          <w:rStyle w:val="EndnoteReference"/>
          <w:i/>
          <w:szCs w:val="24"/>
        </w:rPr>
        <w:endnoteReference w:id="5"/>
      </w:r>
      <w:r w:rsidRPr="00A74178">
        <w:rPr>
          <w:szCs w:val="24"/>
        </w:rPr>
        <w:t xml:space="preserve"> </w:t>
      </w:r>
      <w:r>
        <w:rPr>
          <w:szCs w:val="24"/>
        </w:rPr>
        <w:t xml:space="preserve">– February 2013 </w:t>
      </w:r>
      <w:r w:rsidR="001A3D36">
        <w:rPr>
          <w:szCs w:val="24"/>
        </w:rPr>
        <w:t>–</w:t>
      </w:r>
      <w:r>
        <w:rPr>
          <w:szCs w:val="24"/>
        </w:rPr>
        <w:t xml:space="preserve"> </w:t>
      </w:r>
      <w:r w:rsidR="001D417F" w:rsidRPr="00A74178">
        <w:rPr>
          <w:szCs w:val="24"/>
        </w:rPr>
        <w:t>provide</w:t>
      </w:r>
      <w:r>
        <w:rPr>
          <w:szCs w:val="24"/>
        </w:rPr>
        <w:t>s</w:t>
      </w:r>
      <w:r w:rsidR="001D417F" w:rsidRPr="00A74178">
        <w:rPr>
          <w:szCs w:val="24"/>
        </w:rPr>
        <w:t xml:space="preserve"> guidance on undertaking electronic waste collection and recycling in a safe and environmentally appropriate manner.</w:t>
      </w:r>
      <w:r w:rsidR="001D417F" w:rsidRPr="00A74178">
        <w:rPr>
          <w:szCs w:val="24"/>
          <w:highlight w:val="yellow"/>
        </w:rPr>
        <w:t xml:space="preserve"> </w:t>
      </w:r>
    </w:p>
    <w:p w:rsidR="00AC391A" w:rsidRPr="00156658" w:rsidRDefault="00AC391A" w:rsidP="00102CA0">
      <w:pPr>
        <w:ind w:left="425" w:hanging="425"/>
        <w:rPr>
          <w:rFonts w:cs="Arial"/>
          <w:szCs w:val="24"/>
        </w:rPr>
      </w:pPr>
    </w:p>
    <w:p w:rsidR="007A0A3B" w:rsidRDefault="007A0A3B" w:rsidP="00102CA0">
      <w:pPr>
        <w:pStyle w:val="ListParagraph"/>
        <w:numPr>
          <w:ilvl w:val="0"/>
          <w:numId w:val="11"/>
        </w:numPr>
        <w:ind w:left="425" w:hanging="425"/>
        <w:rPr>
          <w:rFonts w:cs="Arial"/>
          <w:szCs w:val="24"/>
        </w:rPr>
      </w:pPr>
      <w:proofErr w:type="spellStart"/>
      <w:r w:rsidRPr="00354AB1">
        <w:rPr>
          <w:i/>
        </w:rPr>
        <w:t>FluoroCycle</w:t>
      </w:r>
      <w:proofErr w:type="spellEnd"/>
      <w:r w:rsidRPr="00354AB1">
        <w:rPr>
          <w:i/>
        </w:rPr>
        <w:t xml:space="preserve"> Scheme for mercury-containing lamps</w:t>
      </w:r>
      <w:r w:rsidR="004A690C">
        <w:rPr>
          <w:rStyle w:val="EndnoteReference"/>
          <w:i/>
        </w:rPr>
        <w:endnoteReference w:id="6"/>
      </w:r>
      <w:r w:rsidRPr="00354AB1">
        <w:rPr>
          <w:i/>
        </w:rPr>
        <w:t xml:space="preserve"> </w:t>
      </w:r>
      <w:r w:rsidRPr="00354AB1">
        <w:t xml:space="preserve">– July 2013 </w:t>
      </w:r>
      <w:r>
        <w:t>– after three years of government funded operation, t</w:t>
      </w:r>
      <w:r w:rsidRPr="00354AB1">
        <w:rPr>
          <w:rFonts w:cs="Arial"/>
          <w:szCs w:val="24"/>
        </w:rPr>
        <w:t xml:space="preserve">he Lighting Council Australia took over the Scheme as an industry-led and funded voluntary scheme that aims to increase the recycling of mercury containing lamps. </w:t>
      </w:r>
    </w:p>
    <w:p w:rsidR="007A0A3B" w:rsidRPr="007A0A3B" w:rsidRDefault="007A0A3B" w:rsidP="00102CA0">
      <w:pPr>
        <w:ind w:left="425" w:hanging="425"/>
        <w:rPr>
          <w:rFonts w:cs="Arial"/>
          <w:szCs w:val="24"/>
        </w:rPr>
      </w:pPr>
    </w:p>
    <w:p w:rsidR="000869BD" w:rsidRPr="00354AB1" w:rsidRDefault="00354AB1" w:rsidP="00102CA0">
      <w:pPr>
        <w:pStyle w:val="ListParagraph"/>
        <w:numPr>
          <w:ilvl w:val="0"/>
          <w:numId w:val="11"/>
        </w:numPr>
        <w:ind w:left="425" w:hanging="425"/>
        <w:rPr>
          <w:rFonts w:cs="Arial"/>
          <w:szCs w:val="24"/>
        </w:rPr>
      </w:pPr>
      <w:r>
        <w:rPr>
          <w:i/>
        </w:rPr>
        <w:t>Tyre Stewardship Australia</w:t>
      </w:r>
      <w:r w:rsidR="00FB5D54">
        <w:rPr>
          <w:rStyle w:val="EndnoteReference"/>
          <w:i/>
        </w:rPr>
        <w:endnoteReference w:id="7"/>
      </w:r>
      <w:r>
        <w:t xml:space="preserve"> – </w:t>
      </w:r>
      <w:r w:rsidR="006A6B90" w:rsidRPr="008D4588">
        <w:t>In August 2013</w:t>
      </w:r>
      <w:r>
        <w:t xml:space="preserve"> </w:t>
      </w:r>
      <w:r w:rsidR="001A3D36">
        <w:t>–</w:t>
      </w:r>
      <w:r>
        <w:t xml:space="preserve"> g</w:t>
      </w:r>
      <w:r w:rsidR="00F747AD" w:rsidRPr="00354AB1">
        <w:rPr>
          <w:rFonts w:cs="Arial"/>
          <w:szCs w:val="24"/>
        </w:rPr>
        <w:t>uidelines for the operations of an industry-led tyre product st</w:t>
      </w:r>
      <w:r w:rsidRPr="00354AB1">
        <w:rPr>
          <w:rFonts w:cs="Arial"/>
          <w:szCs w:val="24"/>
        </w:rPr>
        <w:t xml:space="preserve">ewardship scheme were finalised, </w:t>
      </w:r>
      <w:r w:rsidR="00C02529" w:rsidRPr="00354AB1">
        <w:rPr>
          <w:rFonts w:cs="Arial"/>
          <w:szCs w:val="24"/>
        </w:rPr>
        <w:t>following</w:t>
      </w:r>
      <w:r w:rsidR="00F747AD" w:rsidRPr="00354AB1">
        <w:rPr>
          <w:rFonts w:cs="Arial"/>
          <w:szCs w:val="24"/>
        </w:rPr>
        <w:t xml:space="preserve"> consultation with tyre and vehicle import</w:t>
      </w:r>
      <w:r w:rsidR="000869BD" w:rsidRPr="00354AB1">
        <w:rPr>
          <w:rFonts w:cs="Arial"/>
          <w:szCs w:val="24"/>
        </w:rPr>
        <w:t xml:space="preserve">ers, retailers, fleet operators, local governments, collectors, recyclers and the mining industry. </w:t>
      </w:r>
      <w:r w:rsidR="006A6B90">
        <w:rPr>
          <w:rFonts w:cs="Arial"/>
          <w:szCs w:val="24"/>
        </w:rPr>
        <w:t>In April 2013 t</w:t>
      </w:r>
      <w:r w:rsidR="004E1415" w:rsidRPr="00354AB1">
        <w:rPr>
          <w:rFonts w:cs="Arial"/>
          <w:szCs w:val="24"/>
        </w:rPr>
        <w:t xml:space="preserve">he Australian Competition and Consumer Commission </w:t>
      </w:r>
      <w:r w:rsidR="005A163A" w:rsidRPr="00354AB1">
        <w:rPr>
          <w:rFonts w:cs="Arial"/>
          <w:szCs w:val="24"/>
        </w:rPr>
        <w:t xml:space="preserve">granted conditional authorisation to the scheme for five years, paving the way for the tyre industry to establish Tyre Stewardship Australia, an independent, not-for-profit </w:t>
      </w:r>
      <w:proofErr w:type="gramStart"/>
      <w:r w:rsidR="005A163A" w:rsidRPr="00354AB1">
        <w:rPr>
          <w:rFonts w:cs="Arial"/>
          <w:szCs w:val="24"/>
        </w:rPr>
        <w:t>company</w:t>
      </w:r>
      <w:proofErr w:type="gramEnd"/>
      <w:r w:rsidR="005A163A" w:rsidRPr="00354AB1">
        <w:rPr>
          <w:rFonts w:cs="Arial"/>
          <w:szCs w:val="24"/>
        </w:rPr>
        <w:t xml:space="preserve"> </w:t>
      </w:r>
      <w:r w:rsidR="00277B75">
        <w:rPr>
          <w:rFonts w:cs="Arial"/>
          <w:szCs w:val="24"/>
        </w:rPr>
        <w:t>to</w:t>
      </w:r>
      <w:r w:rsidR="005A163A" w:rsidRPr="00354AB1">
        <w:rPr>
          <w:rFonts w:cs="Arial"/>
          <w:szCs w:val="24"/>
        </w:rPr>
        <w:t xml:space="preserve"> administer the scheme.</w:t>
      </w:r>
    </w:p>
    <w:p w:rsidR="006B72B5" w:rsidRDefault="006B72B5" w:rsidP="00B1306B">
      <w:pPr>
        <w:pStyle w:val="ListBullet"/>
        <w:rPr>
          <w:rFonts w:cs="Arial"/>
          <w:szCs w:val="24"/>
        </w:rPr>
      </w:pPr>
    </w:p>
    <w:p w:rsidR="005C0B22" w:rsidRPr="004234FB" w:rsidRDefault="00277935" w:rsidP="006B3148">
      <w:pPr>
        <w:pStyle w:val="Heading2"/>
        <w:pBdr>
          <w:top w:val="single" w:sz="4" w:space="1" w:color="auto"/>
          <w:left w:val="single" w:sz="4" w:space="4" w:color="auto"/>
          <w:right w:val="single" w:sz="4" w:space="4" w:color="auto"/>
        </w:pBdr>
        <w:shd w:val="clear" w:color="auto" w:fill="FFCC00"/>
        <w:rPr>
          <w:b w:val="0"/>
          <w:szCs w:val="24"/>
        </w:rPr>
      </w:pPr>
      <w:bookmarkStart w:id="14" w:name="_Toc383092765"/>
      <w:r w:rsidRPr="00277935">
        <w:rPr>
          <w:szCs w:val="24"/>
        </w:rPr>
        <w:t>Strategy 2</w:t>
      </w:r>
      <w:r w:rsidR="005C0B22">
        <w:rPr>
          <w:szCs w:val="24"/>
        </w:rPr>
        <w:t xml:space="preserve"> </w:t>
      </w:r>
      <w:r w:rsidR="00ED216B">
        <w:rPr>
          <w:szCs w:val="24"/>
        </w:rPr>
        <w:t>–</w:t>
      </w:r>
      <w:r w:rsidR="005C0B22">
        <w:rPr>
          <w:szCs w:val="24"/>
        </w:rPr>
        <w:t xml:space="preserve"> </w:t>
      </w:r>
      <w:r w:rsidR="005C0B22" w:rsidRPr="004234FB">
        <w:rPr>
          <w:rStyle w:val="Heading3Char"/>
          <w:b/>
        </w:rPr>
        <w:t>Sustainable Procuremen</w:t>
      </w:r>
      <w:r w:rsidR="00FD3BBC" w:rsidRPr="004234FB">
        <w:rPr>
          <w:rStyle w:val="Heading3Char"/>
          <w:b/>
        </w:rPr>
        <w:t>t</w:t>
      </w:r>
      <w:bookmarkEnd w:id="14"/>
      <w:r w:rsidRPr="004234FB">
        <w:rPr>
          <w:b w:val="0"/>
          <w:szCs w:val="24"/>
        </w:rPr>
        <w:t xml:space="preserve"> </w:t>
      </w:r>
    </w:p>
    <w:p w:rsidR="005C0B22" w:rsidRDefault="005C0B22" w:rsidP="00172FD2">
      <w:pPr>
        <w:pBdr>
          <w:top w:val="single" w:sz="4" w:space="1" w:color="auto"/>
          <w:left w:val="single" w:sz="4" w:space="4" w:color="auto"/>
          <w:bottom w:val="single" w:sz="4" w:space="1" w:color="auto"/>
          <w:right w:val="single" w:sz="4" w:space="4" w:color="auto"/>
        </w:pBdr>
        <w:shd w:val="clear" w:color="auto" w:fill="FED36B" w:themeFill="accent3" w:themeFillTint="99"/>
        <w:rPr>
          <w:b/>
          <w:i/>
          <w:szCs w:val="24"/>
        </w:rPr>
      </w:pPr>
    </w:p>
    <w:p w:rsidR="00A369B2" w:rsidRPr="005C0B22" w:rsidRDefault="00172FD2" w:rsidP="00172FD2">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rPr>
      </w:pPr>
      <w:r w:rsidRPr="0098520D">
        <w:rPr>
          <w:i/>
          <w:szCs w:val="24"/>
        </w:rPr>
        <w:t>Governments as significant procurers of goods, services and infrastructure embody and promote sustainable procurement principles and practices within their own operations and delivery of programs and services to facilitate certainty in the market</w:t>
      </w:r>
      <w:r>
        <w:rPr>
          <w:i/>
          <w:szCs w:val="24"/>
        </w:rPr>
        <w:t xml:space="preserve"> </w:t>
      </w:r>
    </w:p>
    <w:p w:rsidR="00172FD2" w:rsidRDefault="00172FD2" w:rsidP="00172FD2">
      <w:pPr>
        <w:pBdr>
          <w:top w:val="single" w:sz="4" w:space="1" w:color="auto"/>
          <w:left w:val="single" w:sz="4" w:space="4" w:color="auto"/>
          <w:bottom w:val="single" w:sz="4" w:space="1" w:color="auto"/>
          <w:right w:val="single" w:sz="4" w:space="4" w:color="auto"/>
        </w:pBdr>
        <w:shd w:val="clear" w:color="auto" w:fill="FED36B" w:themeFill="accent3" w:themeFillTint="99"/>
        <w:rPr>
          <w:sz w:val="22"/>
        </w:rPr>
      </w:pPr>
    </w:p>
    <w:p w:rsidR="00172FD2" w:rsidRDefault="00172FD2" w:rsidP="00B1306B">
      <w:pPr>
        <w:rPr>
          <w:szCs w:val="24"/>
        </w:rPr>
      </w:pPr>
    </w:p>
    <w:p w:rsidR="004C6582" w:rsidRPr="004C6582" w:rsidRDefault="00AD6889" w:rsidP="00D711B7">
      <w:pPr>
        <w:keepNext/>
        <w:keepLines/>
        <w:rPr>
          <w:szCs w:val="24"/>
          <w:lang w:val="en-US"/>
        </w:rPr>
      </w:pPr>
      <w:r>
        <w:rPr>
          <w:szCs w:val="24"/>
        </w:rPr>
        <w:lastRenderedPageBreak/>
        <w:t>Sustainable procurement</w:t>
      </w:r>
      <w:r w:rsidR="004C6582" w:rsidRPr="004C6582">
        <w:rPr>
          <w:szCs w:val="24"/>
          <w:lang w:val="en-US"/>
        </w:rPr>
        <w:t xml:space="preserve"> </w:t>
      </w:r>
      <w:r>
        <w:rPr>
          <w:szCs w:val="24"/>
          <w:lang w:val="en-US"/>
        </w:rPr>
        <w:t xml:space="preserve">considers and </w:t>
      </w:r>
      <w:r w:rsidR="004C6582" w:rsidRPr="004C6582">
        <w:rPr>
          <w:szCs w:val="24"/>
          <w:lang w:val="en-US"/>
        </w:rPr>
        <w:t>aims to reduce the environmental, social and economic impacts of goods and services over their life. In this context, value for money is based on the true cost of a good or service from production and supply through to use and disposal, rather</w:t>
      </w:r>
      <w:r w:rsidR="004C6582" w:rsidRPr="004C6582">
        <w:rPr>
          <w:szCs w:val="24"/>
        </w:rPr>
        <w:t xml:space="preserve"> than initial cost alone. </w:t>
      </w:r>
    </w:p>
    <w:p w:rsidR="004C6582" w:rsidRDefault="004C6582" w:rsidP="00B1306B">
      <w:pPr>
        <w:rPr>
          <w:szCs w:val="24"/>
        </w:rPr>
      </w:pPr>
    </w:p>
    <w:p w:rsidR="005C0B22" w:rsidRDefault="00A864C5" w:rsidP="00B1306B">
      <w:pPr>
        <w:rPr>
          <w:rFonts w:cs="Arial"/>
          <w:szCs w:val="24"/>
        </w:rPr>
      </w:pPr>
      <w:r>
        <w:rPr>
          <w:rFonts w:cs="Arial"/>
          <w:szCs w:val="24"/>
        </w:rPr>
        <w:t>Key initiatives</w:t>
      </w:r>
      <w:r w:rsidR="005C0B22">
        <w:rPr>
          <w:rFonts w:cs="Arial"/>
          <w:szCs w:val="24"/>
        </w:rPr>
        <w:t xml:space="preserve"> in this area include:</w:t>
      </w:r>
    </w:p>
    <w:p w:rsidR="005C0B22" w:rsidRDefault="005C0B22" w:rsidP="00B1306B">
      <w:pPr>
        <w:rPr>
          <w:rFonts w:cs="Arial"/>
          <w:szCs w:val="24"/>
        </w:rPr>
      </w:pPr>
    </w:p>
    <w:p w:rsidR="00D241E9" w:rsidRDefault="00BA76D4" w:rsidP="00D711B7">
      <w:pPr>
        <w:pStyle w:val="ListParagraph"/>
        <w:numPr>
          <w:ilvl w:val="0"/>
          <w:numId w:val="11"/>
        </w:numPr>
        <w:ind w:left="426" w:hanging="426"/>
        <w:rPr>
          <w:rFonts w:cs="Arial"/>
          <w:szCs w:val="24"/>
        </w:rPr>
      </w:pPr>
      <w:r w:rsidRPr="005C0B22">
        <w:rPr>
          <w:rFonts w:cs="Arial"/>
          <w:i/>
          <w:szCs w:val="24"/>
        </w:rPr>
        <w:t>Sustainable Procurement Guide</w:t>
      </w:r>
      <w:r w:rsidR="00186C73">
        <w:rPr>
          <w:rStyle w:val="EndnoteReference"/>
          <w:rFonts w:cs="Arial"/>
          <w:i/>
          <w:szCs w:val="24"/>
        </w:rPr>
        <w:endnoteReference w:id="8"/>
      </w:r>
      <w:r w:rsidRPr="005C0B22">
        <w:rPr>
          <w:rFonts w:cs="Arial"/>
          <w:szCs w:val="24"/>
        </w:rPr>
        <w:t xml:space="preserve"> and </w:t>
      </w:r>
      <w:r w:rsidR="000321DF">
        <w:rPr>
          <w:rFonts w:cs="Arial"/>
          <w:szCs w:val="24"/>
        </w:rPr>
        <w:t xml:space="preserve">the </w:t>
      </w:r>
      <w:r w:rsidRPr="005C0B22">
        <w:rPr>
          <w:rFonts w:cs="Arial"/>
          <w:i/>
          <w:szCs w:val="24"/>
        </w:rPr>
        <w:t>Guide to the sustainable procurement of services</w:t>
      </w:r>
      <w:r w:rsidR="00186C73">
        <w:rPr>
          <w:rStyle w:val="EndnoteReference"/>
          <w:rFonts w:cs="Arial"/>
          <w:i/>
          <w:szCs w:val="24"/>
        </w:rPr>
        <w:endnoteReference w:id="9"/>
      </w:r>
      <w:r w:rsidR="000321DF">
        <w:rPr>
          <w:rFonts w:cs="Arial"/>
          <w:i/>
          <w:szCs w:val="24"/>
        </w:rPr>
        <w:t xml:space="preserve"> </w:t>
      </w:r>
      <w:r w:rsidR="001A3D36">
        <w:rPr>
          <w:rFonts w:cs="Arial"/>
          <w:szCs w:val="24"/>
        </w:rPr>
        <w:t>–</w:t>
      </w:r>
      <w:r w:rsidR="000321DF" w:rsidRPr="000321DF">
        <w:rPr>
          <w:rFonts w:cs="Arial"/>
          <w:szCs w:val="24"/>
        </w:rPr>
        <w:t xml:space="preserve"> February 2013</w:t>
      </w:r>
      <w:r w:rsidR="000321DF">
        <w:rPr>
          <w:rFonts w:cs="Arial"/>
          <w:i/>
          <w:szCs w:val="24"/>
        </w:rPr>
        <w:t xml:space="preserve"> </w:t>
      </w:r>
      <w:r w:rsidR="001A3D36">
        <w:rPr>
          <w:rFonts w:cs="Arial"/>
          <w:szCs w:val="24"/>
        </w:rPr>
        <w:t>–</w:t>
      </w:r>
      <w:r w:rsidR="000321DF" w:rsidRPr="000321DF">
        <w:rPr>
          <w:rFonts w:cs="Arial"/>
          <w:szCs w:val="24"/>
        </w:rPr>
        <w:t xml:space="preserve"> to</w:t>
      </w:r>
      <w:r w:rsidR="00440741" w:rsidRPr="005C0B22">
        <w:rPr>
          <w:rFonts w:cs="Arial"/>
          <w:szCs w:val="24"/>
        </w:rPr>
        <w:t xml:space="preserve"> help Australian Government agencies incorporate sustainability considerations into procurement decisions</w:t>
      </w:r>
      <w:r w:rsidR="000321DF">
        <w:rPr>
          <w:rFonts w:cs="Arial"/>
          <w:szCs w:val="24"/>
        </w:rPr>
        <w:t>.</w:t>
      </w:r>
    </w:p>
    <w:p w:rsidR="000321DF" w:rsidRDefault="000321DF" w:rsidP="00D711B7">
      <w:pPr>
        <w:ind w:left="426" w:hanging="426"/>
        <w:rPr>
          <w:rFonts w:cs="Arial"/>
          <w:szCs w:val="24"/>
        </w:rPr>
      </w:pPr>
    </w:p>
    <w:p w:rsidR="0032392A" w:rsidRPr="000321DF" w:rsidRDefault="0032392A" w:rsidP="00D711B7">
      <w:pPr>
        <w:pStyle w:val="ListParagraph"/>
        <w:keepLines/>
        <w:numPr>
          <w:ilvl w:val="0"/>
          <w:numId w:val="11"/>
        </w:numPr>
        <w:ind w:left="426" w:hanging="426"/>
        <w:rPr>
          <w:rFonts w:cs="Arial"/>
          <w:szCs w:val="24"/>
        </w:rPr>
      </w:pPr>
      <w:r w:rsidRPr="000321DF">
        <w:rPr>
          <w:rFonts w:cs="Arial"/>
          <w:i/>
          <w:szCs w:val="24"/>
        </w:rPr>
        <w:t>Sustainable Procurement in the Australian Government Report 2013</w:t>
      </w:r>
      <w:r>
        <w:rPr>
          <w:rStyle w:val="EndnoteReference"/>
          <w:rFonts w:cs="Arial"/>
          <w:i/>
          <w:szCs w:val="24"/>
        </w:rPr>
        <w:endnoteReference w:id="10"/>
      </w:r>
      <w:r w:rsidR="001A3D36">
        <w:rPr>
          <w:rFonts w:cs="Arial"/>
          <w:i/>
          <w:szCs w:val="24"/>
        </w:rPr>
        <w:t xml:space="preserve"> –</w:t>
      </w:r>
      <w:r w:rsidR="004C3B6D">
        <w:rPr>
          <w:rFonts w:cs="Arial"/>
          <w:i/>
          <w:szCs w:val="24"/>
        </w:rPr>
        <w:t xml:space="preserve"> June</w:t>
      </w:r>
      <w:r w:rsidR="001A3D36">
        <w:rPr>
          <w:rFonts w:cs="Arial"/>
          <w:i/>
          <w:szCs w:val="24"/>
        </w:rPr>
        <w:t> </w:t>
      </w:r>
      <w:r w:rsidR="004C3B6D">
        <w:rPr>
          <w:rFonts w:cs="Arial"/>
          <w:i/>
          <w:szCs w:val="24"/>
        </w:rPr>
        <w:t xml:space="preserve">2013 </w:t>
      </w:r>
      <w:r w:rsidR="00ED216B">
        <w:rPr>
          <w:rFonts w:cs="Arial"/>
          <w:i/>
          <w:szCs w:val="24"/>
        </w:rPr>
        <w:t>–</w:t>
      </w:r>
      <w:r w:rsidR="004C3B6D">
        <w:rPr>
          <w:rFonts w:cs="Arial"/>
          <w:i/>
          <w:szCs w:val="24"/>
        </w:rPr>
        <w:t xml:space="preserve"> </w:t>
      </w:r>
      <w:r w:rsidRPr="000321DF">
        <w:rPr>
          <w:rFonts w:cs="Arial"/>
          <w:szCs w:val="24"/>
        </w:rPr>
        <w:t>describes the Australian Government's overarching procurement framework and the role of sustainability within procurement, including key environmental and social policies.</w:t>
      </w:r>
    </w:p>
    <w:p w:rsidR="0032392A" w:rsidRDefault="0032392A" w:rsidP="00DF24E8">
      <w:pPr>
        <w:ind w:left="360"/>
        <w:rPr>
          <w:rFonts w:cs="Arial"/>
          <w:szCs w:val="24"/>
        </w:rPr>
      </w:pPr>
    </w:p>
    <w:p w:rsidR="004C3B6D" w:rsidRPr="004234FB" w:rsidRDefault="004C3B6D" w:rsidP="006B3148">
      <w:pPr>
        <w:pStyle w:val="Heading2"/>
        <w:pBdr>
          <w:top w:val="single" w:sz="4" w:space="1" w:color="auto"/>
          <w:left w:val="single" w:sz="4" w:space="4" w:color="auto"/>
          <w:right w:val="single" w:sz="4" w:space="4" w:color="auto"/>
        </w:pBdr>
        <w:shd w:val="clear" w:color="auto" w:fill="FFCC00"/>
        <w:rPr>
          <w:b w:val="0"/>
        </w:rPr>
      </w:pPr>
      <w:bookmarkStart w:id="15" w:name="_Toc383092766"/>
      <w:r>
        <w:t>S</w:t>
      </w:r>
      <w:r w:rsidR="00277935" w:rsidRPr="00277935">
        <w:t>trategy 3</w:t>
      </w:r>
      <w:r>
        <w:t xml:space="preserve"> </w:t>
      </w:r>
      <w:r w:rsidR="00ED216B">
        <w:t>–</w:t>
      </w:r>
      <w:r>
        <w:t xml:space="preserve"> </w:t>
      </w:r>
      <w:r w:rsidRPr="004234FB">
        <w:rPr>
          <w:rStyle w:val="Heading3Char"/>
          <w:b/>
        </w:rPr>
        <w:t>Packaging</w:t>
      </w:r>
      <w:bookmarkEnd w:id="15"/>
    </w:p>
    <w:p w:rsidR="004C3B6D" w:rsidRDefault="004C3B6D"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i/>
          <w:szCs w:val="24"/>
        </w:rPr>
      </w:pPr>
    </w:p>
    <w:p w:rsidR="00A369B2" w:rsidRPr="004C3B6D" w:rsidRDefault="0098520D"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rPr>
      </w:pPr>
      <w:r w:rsidRPr="0098520D">
        <w:rPr>
          <w:i/>
          <w:szCs w:val="24"/>
        </w:rPr>
        <w:t>To better manage packaging to improve the use of resources, reduce the environmental impact of packaging design, enhance away from h</w:t>
      </w:r>
      <w:r w:rsidR="004C3B6D">
        <w:rPr>
          <w:i/>
          <w:szCs w:val="24"/>
        </w:rPr>
        <w:t>ome recycling and reduce litter</w:t>
      </w:r>
    </w:p>
    <w:p w:rsidR="00A369B2" w:rsidRDefault="00A369B2" w:rsidP="00B1306B">
      <w:pPr>
        <w:pBdr>
          <w:top w:val="single" w:sz="4" w:space="1" w:color="auto"/>
          <w:left w:val="single" w:sz="4" w:space="4" w:color="auto"/>
          <w:bottom w:val="single" w:sz="4" w:space="1" w:color="auto"/>
          <w:right w:val="single" w:sz="4" w:space="4" w:color="auto"/>
        </w:pBdr>
        <w:shd w:val="clear" w:color="auto" w:fill="FED36B" w:themeFill="accent3" w:themeFillTint="99"/>
        <w:rPr>
          <w:i/>
          <w:szCs w:val="24"/>
        </w:rPr>
      </w:pPr>
    </w:p>
    <w:p w:rsidR="00630E46" w:rsidRPr="004C3B6D" w:rsidRDefault="00630E46" w:rsidP="004C3B6D"/>
    <w:p w:rsidR="004C6582" w:rsidRDefault="004C6582" w:rsidP="00B1306B">
      <w:pPr>
        <w:autoSpaceDE w:val="0"/>
        <w:autoSpaceDN w:val="0"/>
        <w:adjustRightInd w:val="0"/>
        <w:rPr>
          <w:rFonts w:cs="Arial"/>
          <w:szCs w:val="24"/>
          <w:lang w:eastAsia="en-AU"/>
        </w:rPr>
      </w:pPr>
      <w:r w:rsidRPr="004C6582">
        <w:rPr>
          <w:rFonts w:cs="Arial"/>
          <w:szCs w:val="24"/>
          <w:lang w:eastAsia="en-AU"/>
        </w:rPr>
        <w:t xml:space="preserve">The </w:t>
      </w:r>
      <w:r w:rsidR="000C2FF2">
        <w:rPr>
          <w:rFonts w:cs="Arial"/>
          <w:szCs w:val="24"/>
          <w:lang w:eastAsia="en-AU"/>
        </w:rPr>
        <w:t>Australian Packaging C</w:t>
      </w:r>
      <w:r w:rsidRPr="004C6582">
        <w:rPr>
          <w:rFonts w:cs="Arial"/>
          <w:szCs w:val="24"/>
          <w:lang w:eastAsia="en-AU"/>
        </w:rPr>
        <w:t>ovenant is the voluntary arm of a co-regulatory arrangement to reduce the environmental impacts of packaging in Australia. Res</w:t>
      </w:r>
      <w:r w:rsidR="00277B75">
        <w:rPr>
          <w:rFonts w:cs="Arial"/>
          <w:szCs w:val="24"/>
          <w:lang w:eastAsia="en-AU"/>
        </w:rPr>
        <w:t>ponsibility for delivering the C</w:t>
      </w:r>
      <w:r w:rsidRPr="004C6582">
        <w:rPr>
          <w:rFonts w:cs="Arial"/>
          <w:szCs w:val="24"/>
          <w:lang w:eastAsia="en-AU"/>
        </w:rPr>
        <w:t>ovenant’s objectives is shared between all sectors of the packaging supply chain</w:t>
      </w:r>
      <w:r w:rsidR="000C2FF2">
        <w:rPr>
          <w:rFonts w:cs="Arial"/>
          <w:szCs w:val="24"/>
          <w:lang w:eastAsia="en-AU"/>
        </w:rPr>
        <w:t xml:space="preserve"> and government</w:t>
      </w:r>
      <w:r w:rsidR="004C3B6D">
        <w:rPr>
          <w:rFonts w:cs="Arial"/>
          <w:szCs w:val="24"/>
          <w:lang w:eastAsia="en-AU"/>
        </w:rPr>
        <w:t xml:space="preserve">. </w:t>
      </w:r>
      <w:r w:rsidRPr="004C6582">
        <w:rPr>
          <w:rFonts w:cs="Arial"/>
          <w:szCs w:val="24"/>
          <w:lang w:eastAsia="en-AU"/>
        </w:rPr>
        <w:t xml:space="preserve">The </w:t>
      </w:r>
      <w:r w:rsidR="004C3B6D">
        <w:rPr>
          <w:rFonts w:cs="Arial"/>
          <w:szCs w:val="24"/>
          <w:lang w:eastAsia="en-AU"/>
        </w:rPr>
        <w:t>current</w:t>
      </w:r>
      <w:r w:rsidRPr="004C6582">
        <w:rPr>
          <w:rFonts w:cs="Arial"/>
          <w:szCs w:val="24"/>
          <w:lang w:eastAsia="en-AU"/>
        </w:rPr>
        <w:t xml:space="preserve"> </w:t>
      </w:r>
      <w:r w:rsidR="00710FB0">
        <w:rPr>
          <w:rFonts w:cs="Arial"/>
          <w:szCs w:val="24"/>
          <w:lang w:eastAsia="en-AU"/>
        </w:rPr>
        <w:t xml:space="preserve">Australian Packaging Covenant </w:t>
      </w:r>
      <w:r w:rsidRPr="004C6582">
        <w:rPr>
          <w:rFonts w:cs="Arial"/>
          <w:szCs w:val="24"/>
          <w:lang w:eastAsia="en-AU"/>
        </w:rPr>
        <w:t>places an increased emphasis on improving packaging design, increasing recycling away from home and reducing litter.</w:t>
      </w:r>
    </w:p>
    <w:p w:rsidR="0084422A" w:rsidRDefault="0084422A" w:rsidP="00D711B7">
      <w:pPr>
        <w:autoSpaceDE w:val="0"/>
        <w:autoSpaceDN w:val="0"/>
        <w:adjustRightInd w:val="0"/>
        <w:rPr>
          <w:rFonts w:cs="Arial"/>
          <w:szCs w:val="24"/>
          <w:lang w:eastAsia="en-AU"/>
        </w:rPr>
      </w:pPr>
    </w:p>
    <w:p w:rsidR="004C3B6D" w:rsidRDefault="00F57A30" w:rsidP="00D711B7">
      <w:pPr>
        <w:autoSpaceDE w:val="0"/>
        <w:autoSpaceDN w:val="0"/>
        <w:adjustRightInd w:val="0"/>
        <w:rPr>
          <w:rFonts w:cs="Arial"/>
          <w:szCs w:val="24"/>
          <w:lang w:eastAsia="en-AU"/>
        </w:rPr>
      </w:pPr>
      <w:r>
        <w:rPr>
          <w:rFonts w:cs="Arial"/>
          <w:szCs w:val="24"/>
          <w:lang w:eastAsia="en-AU"/>
        </w:rPr>
        <w:t xml:space="preserve">Australian government signatories to the Covenant implement individual five-year action plans which identify </w:t>
      </w:r>
      <w:r w:rsidR="008D4588">
        <w:rPr>
          <w:rFonts w:cs="Arial"/>
          <w:szCs w:val="24"/>
          <w:lang w:eastAsia="en-AU"/>
        </w:rPr>
        <w:t>activities</w:t>
      </w:r>
      <w:r>
        <w:rPr>
          <w:rFonts w:cs="Arial"/>
          <w:szCs w:val="24"/>
          <w:lang w:eastAsia="en-AU"/>
        </w:rPr>
        <w:t xml:space="preserve"> to address the Covenant’s objectives in reducing the environmental impacts of packaging, and report annually against their action plans</w:t>
      </w:r>
    </w:p>
    <w:p w:rsidR="003F732B" w:rsidRDefault="003F732B" w:rsidP="00D711B7">
      <w:pPr>
        <w:autoSpaceDE w:val="0"/>
        <w:autoSpaceDN w:val="0"/>
        <w:adjustRightInd w:val="0"/>
        <w:rPr>
          <w:rFonts w:cs="Arial"/>
          <w:szCs w:val="24"/>
          <w:lang w:eastAsia="en-AU"/>
        </w:rPr>
      </w:pPr>
    </w:p>
    <w:p w:rsidR="004C3B6D" w:rsidRDefault="00A864C5" w:rsidP="004C3B6D">
      <w:pPr>
        <w:rPr>
          <w:rFonts w:cs="Arial"/>
          <w:szCs w:val="24"/>
        </w:rPr>
      </w:pPr>
      <w:r>
        <w:rPr>
          <w:rFonts w:cs="Arial"/>
          <w:szCs w:val="24"/>
        </w:rPr>
        <w:t>Key initiatives</w:t>
      </w:r>
      <w:r w:rsidR="004C3B6D">
        <w:rPr>
          <w:rFonts w:cs="Arial"/>
          <w:szCs w:val="24"/>
        </w:rPr>
        <w:t xml:space="preserve"> in this area include:</w:t>
      </w:r>
    </w:p>
    <w:p w:rsidR="00D4329E" w:rsidRDefault="00D4329E" w:rsidP="00D711B7">
      <w:pPr>
        <w:autoSpaceDE w:val="0"/>
        <w:autoSpaceDN w:val="0"/>
        <w:adjustRightInd w:val="0"/>
        <w:rPr>
          <w:rFonts w:cs="Arial"/>
          <w:szCs w:val="24"/>
          <w:lang w:eastAsia="en-AU"/>
        </w:rPr>
      </w:pPr>
    </w:p>
    <w:p w:rsidR="00EE2C0B" w:rsidRPr="00EE2C0B" w:rsidRDefault="00EE2C0B" w:rsidP="00847EC0">
      <w:pPr>
        <w:pStyle w:val="ListBullet"/>
        <w:keepLines/>
        <w:numPr>
          <w:ilvl w:val="0"/>
          <w:numId w:val="8"/>
        </w:numPr>
        <w:ind w:left="426" w:hanging="426"/>
        <w:rPr>
          <w:rFonts w:cs="Arial"/>
          <w:szCs w:val="24"/>
          <w:lang w:eastAsia="en-AU"/>
        </w:rPr>
      </w:pPr>
      <w:r w:rsidRPr="00EC2C6B">
        <w:rPr>
          <w:rFonts w:cs="Arial"/>
          <w:i/>
          <w:szCs w:val="24"/>
          <w:lang w:eastAsia="en-AU"/>
        </w:rPr>
        <w:t>Get it Right on Bin Night</w:t>
      </w:r>
      <w:r w:rsidR="00277B75">
        <w:rPr>
          <w:rStyle w:val="EndnoteReference"/>
          <w:rFonts w:cs="Arial"/>
          <w:i/>
          <w:szCs w:val="24"/>
          <w:lang w:eastAsia="en-AU"/>
        </w:rPr>
        <w:endnoteReference w:id="11"/>
      </w:r>
      <w:r w:rsidR="00ED216B">
        <w:rPr>
          <w:rFonts w:cs="Arial"/>
          <w:szCs w:val="24"/>
          <w:lang w:eastAsia="en-AU"/>
        </w:rPr>
        <w:t xml:space="preserve"> –</w:t>
      </w:r>
      <w:r>
        <w:rPr>
          <w:rFonts w:cs="Arial"/>
          <w:szCs w:val="24"/>
          <w:lang w:eastAsia="en-AU"/>
        </w:rPr>
        <w:t xml:space="preserve"> </w:t>
      </w:r>
      <w:r w:rsidR="009E1F71">
        <w:rPr>
          <w:rFonts w:cs="Arial"/>
          <w:szCs w:val="24"/>
          <w:lang w:eastAsia="en-AU"/>
        </w:rPr>
        <w:t xml:space="preserve">June 2012 </w:t>
      </w:r>
      <w:r w:rsidR="00ED216B">
        <w:rPr>
          <w:rFonts w:cs="Arial"/>
          <w:szCs w:val="24"/>
          <w:lang w:eastAsia="en-AU"/>
        </w:rPr>
        <w:t>–</w:t>
      </w:r>
      <w:r w:rsidR="009E1F71">
        <w:rPr>
          <w:rFonts w:cs="Arial"/>
          <w:szCs w:val="24"/>
          <w:lang w:eastAsia="en-AU"/>
        </w:rPr>
        <w:t xml:space="preserve"> </w:t>
      </w:r>
      <w:r w:rsidRPr="00EC2C6B">
        <w:rPr>
          <w:rFonts w:cs="Arial"/>
          <w:szCs w:val="24"/>
          <w:lang w:eastAsia="en-AU"/>
        </w:rPr>
        <w:t xml:space="preserve">an education program to increase household recycling rates across metropolitan </w:t>
      </w:r>
      <w:r>
        <w:rPr>
          <w:rFonts w:cs="Arial"/>
          <w:szCs w:val="24"/>
          <w:lang w:eastAsia="en-AU"/>
        </w:rPr>
        <w:t>Melbourne</w:t>
      </w:r>
      <w:r w:rsidR="004C3B6D">
        <w:rPr>
          <w:rFonts w:cs="Arial"/>
          <w:szCs w:val="24"/>
          <w:lang w:eastAsia="en-AU"/>
        </w:rPr>
        <w:t xml:space="preserve"> launched by the</w:t>
      </w:r>
      <w:r w:rsidR="004C3B6D" w:rsidRPr="00EC2C6B">
        <w:rPr>
          <w:rFonts w:cs="Arial"/>
          <w:szCs w:val="24"/>
          <w:lang w:eastAsia="en-AU"/>
        </w:rPr>
        <w:t xml:space="preserve"> Victoria</w:t>
      </w:r>
      <w:r w:rsidR="004C3B6D">
        <w:rPr>
          <w:rFonts w:cs="Arial"/>
          <w:szCs w:val="24"/>
          <w:lang w:eastAsia="en-AU"/>
        </w:rPr>
        <w:t>n</w:t>
      </w:r>
      <w:r w:rsidR="004C3B6D" w:rsidRPr="00EC2C6B">
        <w:rPr>
          <w:rFonts w:cs="Arial"/>
          <w:szCs w:val="24"/>
          <w:lang w:eastAsia="en-AU"/>
        </w:rPr>
        <w:t xml:space="preserve"> </w:t>
      </w:r>
      <w:r w:rsidR="004C3B6D">
        <w:rPr>
          <w:rFonts w:cs="Arial"/>
          <w:szCs w:val="24"/>
          <w:lang w:eastAsia="en-AU"/>
        </w:rPr>
        <w:t xml:space="preserve">Government </w:t>
      </w:r>
      <w:r w:rsidR="004C3B6D" w:rsidRPr="00EC2C6B">
        <w:rPr>
          <w:rFonts w:cs="Arial"/>
          <w:szCs w:val="24"/>
          <w:lang w:eastAsia="en-AU"/>
        </w:rPr>
        <w:t>and the Metropolitan Waste Management Gr</w:t>
      </w:r>
      <w:r w:rsidR="004C3B6D">
        <w:rPr>
          <w:rFonts w:cs="Arial"/>
          <w:szCs w:val="24"/>
          <w:lang w:eastAsia="en-AU"/>
        </w:rPr>
        <w:t>oup.</w:t>
      </w:r>
      <w:r>
        <w:rPr>
          <w:rFonts w:cs="Arial"/>
          <w:szCs w:val="24"/>
          <w:lang w:eastAsia="en-AU"/>
        </w:rPr>
        <w:t xml:space="preserve"> </w:t>
      </w:r>
    </w:p>
    <w:p w:rsidR="0013705A" w:rsidRPr="0013705A" w:rsidRDefault="0013705A" w:rsidP="00847EC0">
      <w:pPr>
        <w:ind w:left="426" w:hanging="426"/>
        <w:rPr>
          <w:iCs/>
        </w:rPr>
      </w:pPr>
    </w:p>
    <w:p w:rsidR="0013705A" w:rsidRDefault="009E1F71" w:rsidP="00847EC0">
      <w:pPr>
        <w:pStyle w:val="ListBullet"/>
        <w:widowControl w:val="0"/>
        <w:numPr>
          <w:ilvl w:val="0"/>
          <w:numId w:val="12"/>
        </w:numPr>
        <w:ind w:left="426" w:hanging="426"/>
        <w:rPr>
          <w:rFonts w:cs="Arial"/>
          <w:szCs w:val="24"/>
        </w:rPr>
      </w:pPr>
      <w:r w:rsidRPr="00021036">
        <w:rPr>
          <w:rFonts w:cs="Arial"/>
          <w:i/>
          <w:iCs/>
          <w:szCs w:val="24"/>
        </w:rPr>
        <w:t>Smarter Resources, Smarter Business</w:t>
      </w:r>
      <w:r w:rsidRPr="00021036">
        <w:rPr>
          <w:rFonts w:cs="Arial"/>
          <w:iCs/>
          <w:szCs w:val="24"/>
        </w:rPr>
        <w:t xml:space="preserve"> program</w:t>
      </w:r>
      <w:r w:rsidR="00277B75">
        <w:rPr>
          <w:rStyle w:val="EndnoteReference"/>
          <w:rFonts w:cs="Arial"/>
          <w:iCs/>
          <w:szCs w:val="24"/>
        </w:rPr>
        <w:endnoteReference w:id="12"/>
      </w:r>
      <w:r w:rsidR="00ED216B">
        <w:rPr>
          <w:rFonts w:cs="Arial"/>
          <w:iCs/>
          <w:szCs w:val="24"/>
        </w:rPr>
        <w:t xml:space="preserve"> –</w:t>
      </w:r>
      <w:r>
        <w:rPr>
          <w:rFonts w:cs="Arial"/>
          <w:iCs/>
          <w:szCs w:val="24"/>
        </w:rPr>
        <w:t xml:space="preserve"> November 2012 – helping Victorian </w:t>
      </w:r>
      <w:r w:rsidR="0013705A" w:rsidRPr="00021036">
        <w:rPr>
          <w:rFonts w:cs="Arial"/>
          <w:iCs/>
          <w:szCs w:val="24"/>
        </w:rPr>
        <w:t>medium-sized businesses to improve their resource efficiency</w:t>
      </w:r>
      <w:r w:rsidR="00021036">
        <w:rPr>
          <w:rFonts w:cs="Arial"/>
          <w:iCs/>
          <w:szCs w:val="24"/>
        </w:rPr>
        <w:t xml:space="preserve"> by</w:t>
      </w:r>
      <w:r w:rsidR="0013705A" w:rsidRPr="00021036">
        <w:rPr>
          <w:rFonts w:cs="Arial"/>
          <w:iCs/>
          <w:szCs w:val="24"/>
        </w:rPr>
        <w:t xml:space="preserve"> reduc</w:t>
      </w:r>
      <w:r w:rsidR="00021036">
        <w:rPr>
          <w:rFonts w:cs="Arial"/>
          <w:iCs/>
          <w:szCs w:val="24"/>
        </w:rPr>
        <w:t>ing</w:t>
      </w:r>
      <w:r w:rsidR="0013705A" w:rsidRPr="00021036">
        <w:rPr>
          <w:rFonts w:cs="Arial"/>
          <w:iCs/>
          <w:szCs w:val="24"/>
        </w:rPr>
        <w:t xml:space="preserve"> packaging and better manag</w:t>
      </w:r>
      <w:r w:rsidR="00021036">
        <w:rPr>
          <w:rFonts w:cs="Arial"/>
          <w:iCs/>
          <w:szCs w:val="24"/>
        </w:rPr>
        <w:t>ing</w:t>
      </w:r>
      <w:r>
        <w:rPr>
          <w:rFonts w:cs="Arial"/>
          <w:iCs/>
          <w:szCs w:val="24"/>
        </w:rPr>
        <w:t xml:space="preserve"> </w:t>
      </w:r>
      <w:r w:rsidR="0013705A" w:rsidRPr="00021036">
        <w:rPr>
          <w:rFonts w:cs="Arial"/>
          <w:iCs/>
          <w:szCs w:val="24"/>
        </w:rPr>
        <w:t>waste packaging</w:t>
      </w:r>
      <w:r w:rsidR="00021036">
        <w:rPr>
          <w:rFonts w:cs="Arial"/>
          <w:iCs/>
          <w:szCs w:val="24"/>
        </w:rPr>
        <w:t xml:space="preserve">. </w:t>
      </w:r>
      <w:r w:rsidR="0013705A" w:rsidRPr="00021036">
        <w:rPr>
          <w:rFonts w:cs="Arial"/>
          <w:iCs/>
          <w:szCs w:val="24"/>
        </w:rPr>
        <w:t xml:space="preserve"> </w:t>
      </w:r>
    </w:p>
    <w:p w:rsidR="0013705A" w:rsidRDefault="0013705A" w:rsidP="00847EC0">
      <w:pPr>
        <w:keepLines/>
        <w:ind w:left="426" w:hanging="426"/>
        <w:rPr>
          <w:rFonts w:cs="Arial"/>
          <w:szCs w:val="24"/>
        </w:rPr>
      </w:pPr>
    </w:p>
    <w:p w:rsidR="00710FB0" w:rsidRPr="009E1F71" w:rsidRDefault="009341E3" w:rsidP="00847EC0">
      <w:pPr>
        <w:pStyle w:val="ListParagraph"/>
        <w:numPr>
          <w:ilvl w:val="0"/>
          <w:numId w:val="12"/>
        </w:numPr>
        <w:ind w:left="426" w:hanging="426"/>
        <w:rPr>
          <w:rFonts w:cs="Arial"/>
          <w:szCs w:val="24"/>
        </w:rPr>
      </w:pPr>
      <w:r w:rsidRPr="009E1F71">
        <w:rPr>
          <w:i/>
          <w:szCs w:val="24"/>
        </w:rPr>
        <w:t>Packaging Impacts Consultation Regulation Impact Statement Consultation Summary Report</w:t>
      </w:r>
      <w:r w:rsidR="00021A7F">
        <w:rPr>
          <w:rStyle w:val="EndnoteReference"/>
          <w:i/>
          <w:szCs w:val="24"/>
        </w:rPr>
        <w:endnoteReference w:id="13"/>
      </w:r>
      <w:r w:rsidR="00ED216B">
        <w:rPr>
          <w:rFonts w:cs="Arial"/>
          <w:szCs w:val="24"/>
        </w:rPr>
        <w:t xml:space="preserve"> –</w:t>
      </w:r>
      <w:r w:rsidR="009307BA" w:rsidRPr="009E1F71">
        <w:rPr>
          <w:rFonts w:cs="Arial"/>
          <w:szCs w:val="24"/>
        </w:rPr>
        <w:t xml:space="preserve"> June 2012</w:t>
      </w:r>
      <w:r w:rsidR="009E1F71">
        <w:rPr>
          <w:rFonts w:cs="Arial"/>
          <w:szCs w:val="24"/>
        </w:rPr>
        <w:t xml:space="preserve"> </w:t>
      </w:r>
      <w:r w:rsidR="00ED216B">
        <w:rPr>
          <w:rFonts w:cs="Arial"/>
          <w:szCs w:val="24"/>
        </w:rPr>
        <w:t>–</w:t>
      </w:r>
      <w:r w:rsidR="009E1F71">
        <w:rPr>
          <w:rFonts w:cs="Arial"/>
          <w:szCs w:val="24"/>
        </w:rPr>
        <w:t xml:space="preserve"> </w:t>
      </w:r>
      <w:r w:rsidR="0046764B">
        <w:rPr>
          <w:rFonts w:cs="Arial"/>
          <w:szCs w:val="24"/>
        </w:rPr>
        <w:t xml:space="preserve">examines the </w:t>
      </w:r>
      <w:r w:rsidR="00710FB0" w:rsidRPr="009E1F71">
        <w:rPr>
          <w:rFonts w:cs="Arial"/>
          <w:szCs w:val="24"/>
        </w:rPr>
        <w:t xml:space="preserve">key messages arising from public consultation </w:t>
      </w:r>
      <w:r w:rsidR="00F57A30">
        <w:rPr>
          <w:rFonts w:cs="Arial"/>
          <w:szCs w:val="24"/>
        </w:rPr>
        <w:t xml:space="preserve">undertaken on the Consultation RIS. The comments </w:t>
      </w:r>
      <w:r w:rsidR="00F57A30" w:rsidRPr="009E1F71">
        <w:rPr>
          <w:rFonts w:cs="Arial"/>
          <w:szCs w:val="24"/>
        </w:rPr>
        <w:t>support</w:t>
      </w:r>
      <w:r w:rsidR="00F57A30">
        <w:rPr>
          <w:rFonts w:cs="Arial"/>
          <w:szCs w:val="24"/>
        </w:rPr>
        <w:t>ed</w:t>
      </w:r>
      <w:r w:rsidR="00F57A30" w:rsidRPr="009E1F71">
        <w:rPr>
          <w:rFonts w:cs="Arial"/>
          <w:szCs w:val="24"/>
        </w:rPr>
        <w:t xml:space="preserve"> further action to address the impacts of packaging waste and litter.</w:t>
      </w:r>
    </w:p>
    <w:p w:rsidR="00973F0A" w:rsidRDefault="00973F0A" w:rsidP="00973F0A">
      <w:pPr>
        <w:pStyle w:val="Heading2"/>
        <w:numPr>
          <w:ilvl w:val="0"/>
          <w:numId w:val="0"/>
        </w:numPr>
        <w:rPr>
          <w:i/>
          <w:color w:val="000000" w:themeColor="text1"/>
          <w:szCs w:val="24"/>
        </w:rPr>
      </w:pPr>
      <w:r>
        <w:rPr>
          <w:i/>
          <w:color w:val="000000" w:themeColor="text1"/>
          <w:szCs w:val="24"/>
        </w:rPr>
        <w:br w:type="page"/>
      </w:r>
    </w:p>
    <w:p w:rsidR="00973F0A" w:rsidRPr="00973F0A" w:rsidRDefault="001F5E0F" w:rsidP="00A64E3E">
      <w:pPr>
        <w:pStyle w:val="Heading4"/>
      </w:pPr>
      <w:r w:rsidRPr="001F5E0F">
        <w:rPr>
          <w:noProof/>
          <w:lang w:val="en-US"/>
        </w:rPr>
        <w:lastRenderedPageBreak/>
        <w:pict>
          <v:shape id="Text Box 3" o:spid="_x0000_s1034" type="#_x0000_t202" style="position:absolute;left:0;text-align:left;margin-left:-21.95pt;margin-top:45pt;width:486pt;height:675pt;z-index:25167257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" fillcolor="#fed36b [1942]" strokecolor="#fed36b [1942]">
            <v:stroke joinstyle="round" endcap="round"/>
            <v:textbox style="mso-next-textbox:#Text Box 3">
              <w:txbxContent>
                <w:p w:rsidR="008E5E36" w:rsidRDefault="008E5E36" w:rsidP="00973F0A">
                  <w:pPr>
                    <w:jc w:val="center"/>
                    <w:rPr>
                      <w:i/>
                      <w:iCs/>
                    </w:rPr>
                  </w:pPr>
                </w:p>
                <w:p w:rsidR="008E5E36" w:rsidRPr="00F446D9" w:rsidRDefault="008E5E36" w:rsidP="00F446D9">
                  <w:pPr>
                    <w:jc w:val="center"/>
                    <w:rPr>
                      <w:rStyle w:val="Heading2Char"/>
                      <w:b w:val="0"/>
                      <w:i/>
                      <w:color w:val="C48B01" w:themeColor="accent3" w:themeShade="BF"/>
                      <w:sz w:val="28"/>
                      <w:szCs w:val="28"/>
                    </w:rPr>
                  </w:pPr>
                  <w:r w:rsidRPr="00F446D9">
                    <w:rPr>
                      <w:b/>
                      <w:i/>
                      <w:color w:val="C48B01" w:themeColor="accent3" w:themeShade="BF"/>
                      <w:sz w:val="28"/>
                      <w:szCs w:val="28"/>
                    </w:rPr>
                    <w:t>Progressing the ACT Waste Management Strategy 2011-2025</w:t>
                  </w:r>
                  <w:r w:rsidRPr="00F446D9">
                    <w:rPr>
                      <w:b/>
                      <w:i/>
                      <w:color w:val="C48B01" w:themeColor="accent3" w:themeShade="BF"/>
                      <w:sz w:val="28"/>
                      <w:szCs w:val="28"/>
                    </w:rPr>
                    <w:br w:type="page"/>
                  </w:r>
                  <w:r w:rsidRPr="00F446D9">
                    <w:rPr>
                      <w:rStyle w:val="Heading2Char"/>
                      <w:b w:val="0"/>
                      <w:i/>
                      <w:color w:val="C48B01" w:themeColor="accent3" w:themeShade="BF"/>
                      <w:szCs w:val="24"/>
                    </w:rPr>
                    <w:t>Australian Capital Territory</w:t>
                  </w:r>
                </w:p>
                <w:p w:rsidR="008E5E36" w:rsidRDefault="008E5E36" w:rsidP="00973F0A">
                  <w:pPr>
                    <w:jc w:val="center"/>
                  </w:pPr>
                </w:p>
                <w:p w:rsidR="008E5E36" w:rsidRPr="001D02E4" w:rsidRDefault="008E5E36" w:rsidP="001D02E4">
                  <w:pPr>
                    <w:rPr>
                      <w:b/>
                      <w:i/>
                    </w:rPr>
                  </w:pPr>
                  <w:bookmarkStart w:id="16" w:name="_Toc382988994"/>
                  <w:bookmarkStart w:id="17" w:name="_Toc382989125"/>
                  <w:bookmarkStart w:id="18" w:name="_Toc382989426"/>
                  <w:r>
                    <w:rPr>
                      <w:b/>
                      <w:i/>
                    </w:rPr>
                    <w:tab/>
                  </w:r>
                  <w:r w:rsidRPr="001D02E4">
                    <w:rPr>
                      <w:b/>
                      <w:i/>
                    </w:rPr>
                    <w:t>What and Why</w:t>
                  </w:r>
                  <w:bookmarkEnd w:id="16"/>
                  <w:bookmarkEnd w:id="17"/>
                  <w:bookmarkEnd w:id="18"/>
                </w:p>
                <w:p w:rsidR="008E5E36" w:rsidRPr="00973F0A" w:rsidRDefault="008E5E36" w:rsidP="00973F0A"/>
                <w:p w:rsidR="008E5E36" w:rsidRPr="00B50689" w:rsidRDefault="008E5E36" w:rsidP="00B524E2">
                  <w:pPr>
                    <w:pStyle w:val="ListParagraph"/>
                    <w:numPr>
                      <w:ilvl w:val="0"/>
                      <w:numId w:val="24"/>
                    </w:numPr>
                    <w:spacing w:after="200" w:line="276" w:lineRule="auto"/>
                    <w:ind w:left="714" w:hanging="357"/>
                    <w:rPr>
                      <w:rFonts w:cstheme="minorHAnsi"/>
                    </w:rPr>
                  </w:pPr>
                  <w:r w:rsidRPr="008A7583">
                    <w:rPr>
                      <w:rFonts w:cstheme="minorHAnsi"/>
                      <w:iCs/>
                      <w:lang w:val="en-US"/>
                    </w:rPr>
                    <w:t>The</w:t>
                  </w:r>
                  <w:r>
                    <w:rPr>
                      <w:rFonts w:cstheme="minorHAnsi"/>
                      <w:i/>
                      <w:iCs/>
                      <w:lang w:val="en-US"/>
                    </w:rPr>
                    <w:t xml:space="preserve"> </w:t>
                  </w:r>
                  <w:r w:rsidRPr="008A7583">
                    <w:rPr>
                      <w:rFonts w:cstheme="minorHAnsi"/>
                      <w:i/>
                      <w:iCs/>
                      <w:lang w:val="en-US"/>
                    </w:rPr>
                    <w:t>ACT Waste Management Strategy 2011-2025</w:t>
                  </w:r>
                  <w:r w:rsidRPr="008A7583">
                    <w:rPr>
                      <w:rFonts w:cstheme="minorHAnsi"/>
                      <w:lang w:val="en-US"/>
                    </w:rPr>
                    <w:t xml:space="preserve"> </w:t>
                  </w:r>
                  <w:r>
                    <w:rPr>
                      <w:rFonts w:cstheme="minorHAnsi"/>
                      <w:lang w:val="en-US"/>
                    </w:rPr>
                    <w:t>s</w:t>
                  </w:r>
                  <w:r w:rsidRPr="008A7583">
                    <w:rPr>
                      <w:rFonts w:cstheme="minorHAnsi"/>
                      <w:lang w:val="en-US"/>
                    </w:rPr>
                    <w:t>et targets of over 85% resource recovery by 2020 and over 90% by 2025</w:t>
                  </w:r>
                </w:p>
                <w:p w:rsidR="008E5E36" w:rsidRPr="00A97688" w:rsidRDefault="008E5E36" w:rsidP="00B524E2">
                  <w:pPr>
                    <w:pStyle w:val="ListParagraph"/>
                    <w:numPr>
                      <w:ilvl w:val="0"/>
                      <w:numId w:val="24"/>
                    </w:numPr>
                    <w:spacing w:after="200" w:line="276" w:lineRule="auto"/>
                    <w:ind w:left="714" w:hanging="357"/>
                    <w:rPr>
                      <w:rFonts w:cstheme="minorHAnsi"/>
                    </w:rPr>
                  </w:pPr>
                  <w:r>
                    <w:t xml:space="preserve">The Strategy </w:t>
                  </w:r>
                  <w:r w:rsidRPr="00A37E75">
                    <w:rPr>
                      <w:rFonts w:cstheme="minorHAnsi"/>
                      <w:iCs/>
                      <w:lang w:val="en-US"/>
                    </w:rPr>
                    <w:t>includes</w:t>
                  </w:r>
                  <w:r>
                    <w:t xml:space="preserve"> the </w:t>
                  </w:r>
                  <w:proofErr w:type="spellStart"/>
                  <w:r w:rsidRPr="005045EC">
                    <w:t>ACTSmart</w:t>
                  </w:r>
                  <w:proofErr w:type="spellEnd"/>
                  <w:r w:rsidRPr="005045EC">
                    <w:t xml:space="preserve"> </w:t>
                  </w:r>
                  <w:r>
                    <w:t xml:space="preserve">Business and </w:t>
                  </w:r>
                  <w:r w:rsidRPr="005045EC">
                    <w:t xml:space="preserve">Office </w:t>
                  </w:r>
                  <w:r>
                    <w:t>P</w:t>
                  </w:r>
                  <w:r w:rsidRPr="005045EC">
                    <w:t>rograms that facilitate on-site waste reduction and recycling by Canberra businesses</w:t>
                  </w:r>
                </w:p>
                <w:p w:rsidR="008E5E36" w:rsidRPr="000A11D6" w:rsidRDefault="008E5E36" w:rsidP="00B524E2">
                  <w:pPr>
                    <w:pStyle w:val="ListParagraph"/>
                    <w:numPr>
                      <w:ilvl w:val="0"/>
                      <w:numId w:val="24"/>
                    </w:numPr>
                    <w:spacing w:after="200" w:line="276" w:lineRule="auto"/>
                    <w:ind w:left="714" w:hanging="357"/>
                  </w:pPr>
                  <w:r w:rsidRPr="000A11D6">
                    <w:t>Other strategies include a</w:t>
                  </w:r>
                  <w:r>
                    <w:t>n interim</w:t>
                  </w:r>
                  <w:r w:rsidRPr="000A11D6">
                    <w:t xml:space="preserve"> ban on lightweight shopping bags and improved management and recovery of electronic and commercial waste</w:t>
                  </w:r>
                </w:p>
                <w:p w:rsidR="008E5E36" w:rsidRPr="001D02E4" w:rsidRDefault="008E5E36" w:rsidP="00A37E75">
                  <w:pPr>
                    <w:ind w:left="714" w:hanging="357"/>
                    <w:rPr>
                      <w:b/>
                      <w:i/>
                    </w:rPr>
                  </w:pPr>
                  <w:bookmarkStart w:id="19" w:name="_Toc382988995"/>
                  <w:bookmarkStart w:id="20" w:name="_Toc382989126"/>
                  <w:bookmarkStart w:id="21" w:name="_Toc382989427"/>
                  <w:r>
                    <w:rPr>
                      <w:b/>
                      <w:i/>
                    </w:rPr>
                    <w:tab/>
                  </w:r>
                  <w:r w:rsidRPr="001D02E4">
                    <w:rPr>
                      <w:b/>
                      <w:i/>
                    </w:rPr>
                    <w:t>How?</w:t>
                  </w:r>
                  <w:bookmarkEnd w:id="19"/>
                  <w:bookmarkEnd w:id="20"/>
                  <w:bookmarkEnd w:id="21"/>
                </w:p>
                <w:p w:rsidR="008E5E36" w:rsidRPr="00973F0A" w:rsidRDefault="008E5E36" w:rsidP="00A37E75">
                  <w:pPr>
                    <w:ind w:left="714" w:hanging="357"/>
                  </w:pPr>
                </w:p>
                <w:p w:rsidR="008E5E36" w:rsidRPr="00A37E75" w:rsidRDefault="008E5E36" w:rsidP="00B524E2">
                  <w:pPr>
                    <w:pStyle w:val="ListParagraph"/>
                    <w:numPr>
                      <w:ilvl w:val="0"/>
                      <w:numId w:val="25"/>
                    </w:numPr>
                    <w:spacing w:after="200" w:line="276" w:lineRule="auto"/>
                    <w:ind w:left="714" w:hanging="357"/>
                    <w:rPr>
                      <w:rFonts w:cstheme="minorHAnsi"/>
                    </w:rPr>
                  </w:pPr>
                  <w:r w:rsidRPr="005045EC">
                    <w:t xml:space="preserve">A total of 633 sites across the ACT are participating in the </w:t>
                  </w:r>
                  <w:proofErr w:type="spellStart"/>
                  <w:r>
                    <w:t>ACTSmart</w:t>
                  </w:r>
                  <w:proofErr w:type="spellEnd"/>
                  <w:r>
                    <w:t xml:space="preserve"> Programs</w:t>
                  </w:r>
                  <w:r w:rsidRPr="005045EC">
                    <w:t xml:space="preserve"> and many non-accredited sites have also achieved reductions in waste to land</w:t>
                  </w:r>
                  <w:r>
                    <w:t>fill and increases in recycling</w:t>
                  </w:r>
                </w:p>
                <w:p w:rsidR="008E5E36" w:rsidRPr="00A37E75" w:rsidRDefault="008E5E36" w:rsidP="00B524E2">
                  <w:pPr>
                    <w:pStyle w:val="ListParagraph"/>
                    <w:numPr>
                      <w:ilvl w:val="0"/>
                      <w:numId w:val="25"/>
                    </w:numPr>
                    <w:spacing w:after="200" w:line="276" w:lineRule="auto"/>
                    <w:ind w:left="714" w:hanging="357"/>
                    <w:rPr>
                      <w:rFonts w:cstheme="minorHAnsi"/>
                    </w:rPr>
                  </w:pPr>
                  <w:r w:rsidRPr="005045EC">
                    <w:t xml:space="preserve">The </w:t>
                  </w:r>
                  <w:proofErr w:type="spellStart"/>
                  <w:r w:rsidRPr="005045EC">
                    <w:t>ACTSmart</w:t>
                  </w:r>
                  <w:proofErr w:type="spellEnd"/>
                  <w:r w:rsidRPr="005045EC">
                    <w:t xml:space="preserve"> Business and Office programs are also delivered to businesses and offices in Queanbeyan through a cross border agreement with Queanbeyan City Council</w:t>
                  </w:r>
                </w:p>
                <w:p w:rsidR="008E5E36" w:rsidRPr="00365CAA" w:rsidRDefault="008E5E36" w:rsidP="00B524E2">
                  <w:pPr>
                    <w:pStyle w:val="ListParagraph"/>
                    <w:numPr>
                      <w:ilvl w:val="0"/>
                      <w:numId w:val="25"/>
                    </w:numPr>
                    <w:spacing w:after="200" w:line="276" w:lineRule="auto"/>
                    <w:ind w:left="714" w:hanging="357"/>
                    <w:rPr>
                      <w:rFonts w:cstheme="minorHAnsi"/>
                    </w:rPr>
                  </w:pPr>
                  <w:r>
                    <w:rPr>
                      <w:rFonts w:cstheme="minorHAnsi"/>
                    </w:rPr>
                    <w:t>An Interim Review of the ban on lightweight shopping bags was undertaken in 2012 with the Report released in November 2012</w:t>
                  </w:r>
                </w:p>
                <w:p w:rsidR="008E5E36" w:rsidRPr="001D02E4" w:rsidRDefault="008E5E36" w:rsidP="00A37E75">
                  <w:pPr>
                    <w:ind w:left="714" w:hanging="357"/>
                    <w:rPr>
                      <w:b/>
                      <w:i/>
                    </w:rPr>
                  </w:pPr>
                  <w:bookmarkStart w:id="22" w:name="_Toc382988996"/>
                  <w:bookmarkStart w:id="23" w:name="_Toc382989127"/>
                  <w:bookmarkStart w:id="24" w:name="_Toc382989428"/>
                  <w:r>
                    <w:rPr>
                      <w:b/>
                      <w:i/>
                    </w:rPr>
                    <w:tab/>
                  </w:r>
                  <w:r w:rsidRPr="001D02E4">
                    <w:rPr>
                      <w:b/>
                      <w:i/>
                    </w:rPr>
                    <w:t>Results</w:t>
                  </w:r>
                  <w:bookmarkEnd w:id="22"/>
                  <w:bookmarkEnd w:id="23"/>
                  <w:bookmarkEnd w:id="24"/>
                </w:p>
                <w:p w:rsidR="008E5E36" w:rsidRPr="00973F0A" w:rsidRDefault="008E5E36" w:rsidP="00A37E75">
                  <w:pPr>
                    <w:ind w:left="714" w:hanging="357"/>
                  </w:pPr>
                </w:p>
                <w:p w:rsidR="008E5E36" w:rsidRPr="001D02E4" w:rsidRDefault="008E5E36" w:rsidP="00B524E2">
                  <w:pPr>
                    <w:pStyle w:val="ListParagraph"/>
                    <w:numPr>
                      <w:ilvl w:val="0"/>
                      <w:numId w:val="24"/>
                    </w:numPr>
                    <w:spacing w:after="200" w:line="276" w:lineRule="auto"/>
                    <w:ind w:left="714" w:hanging="357"/>
                    <w:rPr>
                      <w:b/>
                      <w:i/>
                      <w:lang w:val="en-US"/>
                    </w:rPr>
                  </w:pPr>
                  <w:r w:rsidRPr="001D02E4">
                    <w:rPr>
                      <w:b/>
                      <w:i/>
                      <w:lang w:val="en-US"/>
                    </w:rPr>
                    <w:t>A total of 7,205 cubic metres of waste was diverted from landfill by the 203</w:t>
                  </w:r>
                  <w:r>
                    <w:rPr>
                      <w:b/>
                      <w:i/>
                      <w:lang w:val="en-US"/>
                    </w:rPr>
                    <w:t> </w:t>
                  </w:r>
                  <w:r w:rsidRPr="001D02E4">
                    <w:rPr>
                      <w:b/>
                      <w:i/>
                      <w:lang w:val="en-US"/>
                    </w:rPr>
                    <w:t xml:space="preserve">accredited </w:t>
                  </w:r>
                  <w:proofErr w:type="spellStart"/>
                  <w:r w:rsidRPr="001D02E4">
                    <w:rPr>
                      <w:b/>
                      <w:i/>
                      <w:lang w:val="en-US"/>
                    </w:rPr>
                    <w:t>ACTSmart</w:t>
                  </w:r>
                  <w:proofErr w:type="spellEnd"/>
                  <w:r w:rsidRPr="001D02E4">
                    <w:rPr>
                      <w:b/>
                      <w:i/>
                      <w:lang w:val="en-US"/>
                    </w:rPr>
                    <w:t xml:space="preserve"> sites in 2012-13</w:t>
                  </w:r>
                </w:p>
                <w:p w:rsidR="008E5E36" w:rsidRPr="001D02E4" w:rsidRDefault="008E5E36" w:rsidP="00B524E2">
                  <w:pPr>
                    <w:pStyle w:val="ListParagraph"/>
                    <w:numPr>
                      <w:ilvl w:val="0"/>
                      <w:numId w:val="24"/>
                    </w:numPr>
                    <w:spacing w:after="200" w:line="276" w:lineRule="auto"/>
                    <w:ind w:left="714" w:hanging="357"/>
                    <w:rPr>
                      <w:b/>
                      <w:i/>
                      <w:lang w:val="en-US"/>
                    </w:rPr>
                  </w:pPr>
                  <w:r w:rsidRPr="001D02E4">
                    <w:rPr>
                      <w:b/>
                      <w:i/>
                      <w:lang w:val="en-US"/>
                    </w:rPr>
                    <w:t>A survey taken as part of the Interim Review on the ban on lightweight shopping bags indicates that the ban has changed consumer behaviour with 84 per cent of primary shoppers now taking reusable bags always or most of the time when they go to the supermarket (agains</w:t>
                  </w:r>
                  <w:r>
                    <w:rPr>
                      <w:b/>
                      <w:i/>
                      <w:lang w:val="en-US"/>
                    </w:rPr>
                    <w:t>t 44 per cent prior to the ban)</w:t>
                  </w:r>
                </w:p>
                <w:p w:rsidR="008E5E36" w:rsidRPr="001D02E4" w:rsidRDefault="008E5E36" w:rsidP="00B524E2">
                  <w:pPr>
                    <w:pStyle w:val="ListParagraph"/>
                    <w:numPr>
                      <w:ilvl w:val="0"/>
                      <w:numId w:val="24"/>
                    </w:numPr>
                    <w:spacing w:after="200" w:line="276" w:lineRule="auto"/>
                    <w:ind w:left="714" w:hanging="357"/>
                    <w:rPr>
                      <w:b/>
                      <w:i/>
                      <w:lang w:val="en-US"/>
                    </w:rPr>
                  </w:pPr>
                  <w:r w:rsidRPr="001D02E4">
                    <w:rPr>
                      <w:b/>
                      <w:i/>
                      <w:lang w:val="en-US"/>
                    </w:rPr>
                    <w:t>In May 2012 the ACT became the first Australian jurisdiction to open free e</w:t>
                  </w:r>
                  <w:r>
                    <w:rPr>
                      <w:b/>
                      <w:i/>
                      <w:lang w:val="en-US"/>
                    </w:rPr>
                    <w:noBreakHyphen/>
                  </w:r>
                  <w:proofErr w:type="spellStart"/>
                  <w:r w:rsidRPr="001D02E4">
                    <w:rPr>
                      <w:b/>
                      <w:i/>
                      <w:lang w:val="en-US"/>
                    </w:rPr>
                    <w:t>waste</w:t>
                  </w:r>
                  <w:proofErr w:type="spellEnd"/>
                  <w:r w:rsidRPr="001D02E4">
                    <w:rPr>
                      <w:b/>
                      <w:i/>
                      <w:lang w:val="en-US"/>
                    </w:rPr>
                    <w:t xml:space="preserve"> drop off </w:t>
                  </w:r>
                  <w:proofErr w:type="spellStart"/>
                  <w:r w:rsidRPr="001D02E4">
                    <w:rPr>
                      <w:b/>
                      <w:i/>
                      <w:lang w:val="en-US"/>
                    </w:rPr>
                    <w:t>centres</w:t>
                  </w:r>
                  <w:proofErr w:type="spellEnd"/>
                  <w:r w:rsidRPr="001D02E4">
                    <w:rPr>
                      <w:b/>
                      <w:i/>
                      <w:lang w:val="en-US"/>
                    </w:rPr>
                    <w:t xml:space="preserve"> under the National Television and Computer Recycling Scheme</w:t>
                  </w:r>
                </w:p>
                <w:p w:rsidR="008E5E36" w:rsidRPr="00145692" w:rsidRDefault="008E5E36" w:rsidP="00B524E2">
                  <w:pPr>
                    <w:pStyle w:val="ListParagraph"/>
                    <w:numPr>
                      <w:ilvl w:val="0"/>
                      <w:numId w:val="24"/>
                    </w:numPr>
                    <w:spacing w:after="200" w:line="276" w:lineRule="auto"/>
                    <w:ind w:left="714" w:hanging="357"/>
                    <w:rPr>
                      <w:b/>
                      <w:i/>
                    </w:rPr>
                  </w:pPr>
                  <w:r w:rsidRPr="001D02E4">
                    <w:rPr>
                      <w:b/>
                      <w:i/>
                      <w:lang w:val="en-US"/>
                    </w:rPr>
                    <w:t xml:space="preserve">For further information </w:t>
                  </w:r>
                  <w:r>
                    <w:rPr>
                      <w:b/>
                      <w:i/>
                      <w:lang w:val="en-US"/>
                    </w:rPr>
                    <w:t>–</w:t>
                  </w:r>
                  <w:r w:rsidRPr="001D02E4">
                    <w:rPr>
                      <w:b/>
                      <w:i/>
                      <w:lang w:val="en-US"/>
                    </w:rPr>
                    <w:t xml:space="preserve"> http://www.tams.act.gov.au/recycling-</w:t>
                  </w:r>
                  <w:r w:rsidRPr="001D02E4">
                    <w:rPr>
                      <w:b/>
                      <w:i/>
                    </w:rPr>
                    <w:t>waste/</w:t>
                  </w:r>
                  <w:proofErr w:type="spellStart"/>
                  <w:r w:rsidRPr="001D02E4">
                    <w:rPr>
                      <w:b/>
                      <w:i/>
                    </w:rPr>
                    <w:t>reports_data_forms</w:t>
                  </w:r>
                  <w:proofErr w:type="spellEnd"/>
                  <w:r w:rsidRPr="001D02E4">
                    <w:rPr>
                      <w:b/>
                      <w:i/>
                    </w:rPr>
                    <w:t>/</w:t>
                  </w:r>
                  <w:proofErr w:type="spellStart"/>
                  <w:r w:rsidRPr="001D02E4">
                    <w:rPr>
                      <w:b/>
                      <w:i/>
                    </w:rPr>
                    <w:t>ACT_Waste_Management_Strategy</w:t>
                  </w:r>
                  <w:proofErr w:type="spellEnd"/>
                </w:p>
              </w:txbxContent>
            </v:textbox>
          </v:shape>
        </w:pict>
      </w:r>
      <w:r w:rsidR="00973F0A" w:rsidRPr="00973F0A">
        <w:t>Case Study 2</w:t>
      </w:r>
      <w:r w:rsidR="00973F0A" w:rsidRPr="00973F0A">
        <w:br w:type="page"/>
      </w:r>
    </w:p>
    <w:p w:rsidR="00930E6A" w:rsidRPr="00172FD2" w:rsidRDefault="0098520D" w:rsidP="00F446D9">
      <w:pPr>
        <w:pStyle w:val="Heading1"/>
      </w:pPr>
      <w:bookmarkStart w:id="25" w:name="_Toc383092767"/>
      <w:r w:rsidRPr="00172FD2">
        <w:lastRenderedPageBreak/>
        <w:t>IMPROVING THE MARKET</w:t>
      </w:r>
      <w:bookmarkEnd w:id="25"/>
    </w:p>
    <w:p w:rsidR="00930E6A" w:rsidRDefault="00930E6A" w:rsidP="00B1306B"/>
    <w:p w:rsidR="00D337A2" w:rsidRPr="00F82567" w:rsidRDefault="00446A6E" w:rsidP="00B1306B">
      <w:pPr>
        <w:pBdr>
          <w:bottom w:val="single" w:sz="12" w:space="1" w:color="auto"/>
        </w:pBdr>
        <w:rPr>
          <w:color w:val="C48B01" w:themeColor="accent3" w:themeShade="BF"/>
          <w:szCs w:val="24"/>
        </w:rPr>
      </w:pPr>
      <w:r w:rsidRPr="00F82567">
        <w:rPr>
          <w:color w:val="C48B01" w:themeColor="accent3" w:themeShade="BF"/>
          <w:szCs w:val="24"/>
        </w:rPr>
        <w:t>E</w:t>
      </w:r>
      <w:r w:rsidR="00D337A2" w:rsidRPr="00F82567">
        <w:rPr>
          <w:color w:val="C48B01" w:themeColor="accent3" w:themeShade="BF"/>
          <w:szCs w:val="24"/>
        </w:rPr>
        <w:t>fficient and effective Australian markets for waste and recovered resources, with local technology and innovation being sought after internationally</w:t>
      </w:r>
    </w:p>
    <w:p w:rsidR="00446A6E" w:rsidRDefault="00446A6E" w:rsidP="00B1306B">
      <w:pPr>
        <w:pBdr>
          <w:bottom w:val="single" w:sz="12" w:space="1" w:color="auto"/>
        </w:pBdr>
        <w:rPr>
          <w:szCs w:val="24"/>
        </w:rPr>
      </w:pPr>
    </w:p>
    <w:p w:rsidR="00E37EFB" w:rsidRDefault="00E37EFB" w:rsidP="00B1306B">
      <w:pPr>
        <w:rPr>
          <w:rFonts w:cs="Arial"/>
          <w:color w:val="000000" w:themeColor="text1"/>
          <w:szCs w:val="24"/>
        </w:rPr>
      </w:pPr>
    </w:p>
    <w:p w:rsidR="00446A6E" w:rsidRPr="004234FB" w:rsidRDefault="00DA4C98" w:rsidP="006B3148">
      <w:pPr>
        <w:pStyle w:val="Heading2"/>
        <w:pBdr>
          <w:top w:val="single" w:sz="4" w:space="1" w:color="auto"/>
          <w:left w:val="single" w:sz="4" w:space="4" w:color="auto"/>
          <w:right w:val="single" w:sz="4" w:space="4" w:color="auto"/>
        </w:pBdr>
        <w:shd w:val="clear" w:color="auto" w:fill="FFCC00"/>
        <w:rPr>
          <w:b w:val="0"/>
        </w:rPr>
      </w:pPr>
      <w:bookmarkStart w:id="26" w:name="_Toc383092768"/>
      <w:r w:rsidRPr="00DA4C98">
        <w:t>Strategy 4</w:t>
      </w:r>
      <w:r w:rsidR="00446A6E">
        <w:t xml:space="preserve"> </w:t>
      </w:r>
      <w:r w:rsidR="00CE443D">
        <w:t>–</w:t>
      </w:r>
      <w:r w:rsidR="00446A6E">
        <w:t xml:space="preserve"> </w:t>
      </w:r>
      <w:r w:rsidR="00446A6E" w:rsidRPr="004234FB">
        <w:rPr>
          <w:rStyle w:val="Heading3Char"/>
          <w:b/>
        </w:rPr>
        <w:t>Classifications and Definitions</w:t>
      </w:r>
      <w:bookmarkEnd w:id="26"/>
    </w:p>
    <w:p w:rsidR="00446A6E" w:rsidRDefault="00446A6E"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i/>
        </w:rPr>
      </w:pPr>
    </w:p>
    <w:p w:rsidR="00A369B2" w:rsidRPr="00172FD2" w:rsidRDefault="0098520D" w:rsidP="00B1306B">
      <w:pPr>
        <w:pBdr>
          <w:top w:val="single" w:sz="4" w:space="1" w:color="auto"/>
          <w:left w:val="single" w:sz="4" w:space="4" w:color="auto"/>
          <w:bottom w:val="single" w:sz="4" w:space="1" w:color="auto"/>
          <w:right w:val="single" w:sz="4" w:space="4" w:color="auto"/>
        </w:pBdr>
        <w:shd w:val="clear" w:color="auto" w:fill="FED36B" w:themeFill="accent3" w:themeFillTint="99"/>
        <w:rPr>
          <w:i/>
          <w:sz w:val="22"/>
        </w:rPr>
      </w:pPr>
      <w:r w:rsidRPr="00172FD2">
        <w:rPr>
          <w:i/>
        </w:rPr>
        <w:t>To introduce a national definition and classi</w:t>
      </w:r>
      <w:r w:rsidR="00446A6E">
        <w:rPr>
          <w:i/>
        </w:rPr>
        <w:t>fication system for waste</w:t>
      </w:r>
      <w:r w:rsidRPr="00172FD2">
        <w:rPr>
          <w:i/>
        </w:rPr>
        <w:t xml:space="preserve"> (includi</w:t>
      </w:r>
      <w:r w:rsidR="00446A6E">
        <w:rPr>
          <w:i/>
        </w:rPr>
        <w:t>ng hazardous and clinical waste</w:t>
      </w:r>
      <w:r w:rsidRPr="00172FD2">
        <w:rPr>
          <w:i/>
        </w:rPr>
        <w:t xml:space="preserve">) that aligns with definitions in international </w:t>
      </w:r>
      <w:proofErr w:type="gramStart"/>
      <w:r w:rsidRPr="00172FD2">
        <w:rPr>
          <w:i/>
        </w:rPr>
        <w:t>conventions,</w:t>
      </w:r>
      <w:proofErr w:type="gramEnd"/>
      <w:r w:rsidRPr="00172FD2">
        <w:rPr>
          <w:i/>
        </w:rPr>
        <w:t xml:space="preserve"> provides for when a material ceases to become a waste, and reflects these classifications in re</w:t>
      </w:r>
      <w:r w:rsidR="00446A6E">
        <w:rPr>
          <w:i/>
        </w:rPr>
        <w:t>levant policies and instruments</w:t>
      </w:r>
      <w:r w:rsidRPr="00172FD2">
        <w:rPr>
          <w:i/>
        </w:rPr>
        <w:br/>
      </w:r>
    </w:p>
    <w:p w:rsidR="004351B3" w:rsidRPr="004351B3" w:rsidRDefault="004351B3" w:rsidP="00B1306B">
      <w:pPr>
        <w:rPr>
          <w:rFonts w:cs="Arial"/>
          <w:color w:val="000000" w:themeColor="text1"/>
          <w:szCs w:val="24"/>
        </w:rPr>
      </w:pPr>
    </w:p>
    <w:p w:rsidR="000D490E" w:rsidRDefault="004C6582" w:rsidP="00102CA0">
      <w:pPr>
        <w:rPr>
          <w:noProof/>
          <w:szCs w:val="24"/>
        </w:rPr>
      </w:pPr>
      <w:r w:rsidRPr="004C6582">
        <w:rPr>
          <w:szCs w:val="24"/>
        </w:rPr>
        <w:t>A</w:t>
      </w:r>
      <w:r w:rsidRPr="004C6582">
        <w:rPr>
          <w:noProof/>
          <w:szCs w:val="24"/>
        </w:rPr>
        <w:t xml:space="preserve"> consistent definition and classification system</w:t>
      </w:r>
      <w:r w:rsidR="000D490E">
        <w:rPr>
          <w:noProof/>
          <w:szCs w:val="24"/>
        </w:rPr>
        <w:t>:</w:t>
      </w:r>
    </w:p>
    <w:p w:rsidR="000D490E" w:rsidRDefault="004C6582" w:rsidP="00B524E2">
      <w:pPr>
        <w:pStyle w:val="ListParagraph"/>
        <w:numPr>
          <w:ilvl w:val="0"/>
          <w:numId w:val="15"/>
        </w:numPr>
        <w:ind w:left="426" w:hanging="426"/>
        <w:rPr>
          <w:szCs w:val="24"/>
        </w:rPr>
      </w:pPr>
      <w:r w:rsidRPr="000D490E">
        <w:rPr>
          <w:noProof/>
          <w:szCs w:val="24"/>
        </w:rPr>
        <w:t xml:space="preserve">will </w:t>
      </w:r>
      <w:r w:rsidR="00AF3C77" w:rsidRPr="000D490E">
        <w:rPr>
          <w:noProof/>
          <w:szCs w:val="24"/>
        </w:rPr>
        <w:t xml:space="preserve">improve </w:t>
      </w:r>
      <w:r w:rsidR="008C50D9">
        <w:rPr>
          <w:noProof/>
          <w:szCs w:val="24"/>
        </w:rPr>
        <w:t xml:space="preserve">the measurement  and </w:t>
      </w:r>
      <w:r w:rsidR="00AF3C77" w:rsidRPr="000D490E">
        <w:rPr>
          <w:noProof/>
          <w:szCs w:val="24"/>
        </w:rPr>
        <w:t>management of all waste, including hazardous waste</w:t>
      </w:r>
      <w:r w:rsidR="000D490E">
        <w:rPr>
          <w:noProof/>
          <w:szCs w:val="24"/>
        </w:rPr>
        <w:t>,</w:t>
      </w:r>
    </w:p>
    <w:p w:rsidR="000D490E" w:rsidRDefault="008C50D9" w:rsidP="00B524E2">
      <w:pPr>
        <w:pStyle w:val="ListParagraph"/>
        <w:numPr>
          <w:ilvl w:val="0"/>
          <w:numId w:val="15"/>
        </w:numPr>
        <w:ind w:left="426" w:hanging="426"/>
        <w:rPr>
          <w:szCs w:val="24"/>
        </w:rPr>
      </w:pPr>
      <w:r w:rsidRPr="008D4588">
        <w:rPr>
          <w:lang w:val="en-NZ"/>
        </w:rPr>
        <w:t>provide consistency to enable better nationwide information and facilitate better policy and decision making, with data that will be compiled at local, State and national levels</w:t>
      </w:r>
      <w:r>
        <w:rPr>
          <w:lang w:val="en-NZ"/>
        </w:rPr>
        <w:t xml:space="preserve"> </w:t>
      </w:r>
      <w:r w:rsidRPr="000D490E">
        <w:rPr>
          <w:szCs w:val="24"/>
        </w:rPr>
        <w:t xml:space="preserve">and </w:t>
      </w:r>
    </w:p>
    <w:p w:rsidR="000D490E" w:rsidRDefault="008D4588" w:rsidP="00B524E2">
      <w:pPr>
        <w:pStyle w:val="ListParagraph"/>
        <w:numPr>
          <w:ilvl w:val="0"/>
          <w:numId w:val="15"/>
        </w:numPr>
        <w:ind w:left="426" w:hanging="426"/>
        <w:rPr>
          <w:szCs w:val="24"/>
        </w:rPr>
      </w:pPr>
      <w:proofErr w:type="gramStart"/>
      <w:r>
        <w:rPr>
          <w:szCs w:val="24"/>
        </w:rPr>
        <w:t>ease</w:t>
      </w:r>
      <w:proofErr w:type="gramEnd"/>
      <w:r>
        <w:rPr>
          <w:szCs w:val="24"/>
        </w:rPr>
        <w:t xml:space="preserve"> the burden</w:t>
      </w:r>
      <w:r w:rsidR="004C6582" w:rsidRPr="000D490E">
        <w:rPr>
          <w:szCs w:val="24"/>
        </w:rPr>
        <w:t xml:space="preserve"> for business and governments</w:t>
      </w:r>
      <w:r w:rsidR="008C50D9">
        <w:rPr>
          <w:szCs w:val="24"/>
        </w:rPr>
        <w:t xml:space="preserve"> through reporting </w:t>
      </w:r>
      <w:r>
        <w:rPr>
          <w:szCs w:val="24"/>
        </w:rPr>
        <w:t>.</w:t>
      </w:r>
    </w:p>
    <w:p w:rsidR="00E773F7" w:rsidRDefault="00E773F7" w:rsidP="00102CA0">
      <w:pPr>
        <w:rPr>
          <w:szCs w:val="24"/>
        </w:rPr>
      </w:pPr>
    </w:p>
    <w:p w:rsidR="00AF3C77" w:rsidRDefault="00A864C5" w:rsidP="00102CA0">
      <w:pPr>
        <w:rPr>
          <w:rFonts w:cs="Arial"/>
          <w:szCs w:val="24"/>
        </w:rPr>
      </w:pPr>
      <w:r>
        <w:rPr>
          <w:rFonts w:cs="Arial"/>
          <w:szCs w:val="24"/>
        </w:rPr>
        <w:t>Key initiatives</w:t>
      </w:r>
      <w:r w:rsidR="00AF3C77">
        <w:rPr>
          <w:rFonts w:cs="Arial"/>
          <w:szCs w:val="24"/>
        </w:rPr>
        <w:t xml:space="preserve"> in this area </w:t>
      </w:r>
      <w:r w:rsidR="008C50D9">
        <w:t xml:space="preserve">has included </w:t>
      </w:r>
      <w:r w:rsidR="008C50D9" w:rsidRPr="00DC0CC5">
        <w:t>a number of studies undertaken to clearly outline the existing definition and classification</w:t>
      </w:r>
      <w:r w:rsidR="008C50D9">
        <w:t xml:space="preserve"> and data collection and reporting</w:t>
      </w:r>
      <w:r w:rsidR="008C50D9" w:rsidRPr="00DC0CC5">
        <w:t xml:space="preserve"> system</w:t>
      </w:r>
      <w:r w:rsidR="008C50D9">
        <w:t>s</w:t>
      </w:r>
      <w:r w:rsidR="008C50D9" w:rsidRPr="00DC0CC5">
        <w:t xml:space="preserve"> for wastes, the issues associated with existing systems, and </w:t>
      </w:r>
      <w:r w:rsidR="008C50D9">
        <w:t xml:space="preserve">in which areas a </w:t>
      </w:r>
      <w:r w:rsidR="008C50D9" w:rsidRPr="00DC0CC5">
        <w:t xml:space="preserve">national system will be of </w:t>
      </w:r>
      <w:r w:rsidR="008C50D9">
        <w:t xml:space="preserve">most </w:t>
      </w:r>
      <w:r w:rsidR="008C50D9" w:rsidRPr="00DC0CC5">
        <w:t>benefit to government, industry and communities</w:t>
      </w:r>
      <w:r w:rsidR="00F61E15">
        <w:t>.  These include</w:t>
      </w:r>
      <w:r w:rsidR="00AF3C77">
        <w:rPr>
          <w:rFonts w:cs="Arial"/>
          <w:szCs w:val="24"/>
        </w:rPr>
        <w:t>:</w:t>
      </w:r>
    </w:p>
    <w:p w:rsidR="00AF3C77" w:rsidRDefault="00AF3C77" w:rsidP="00102CA0">
      <w:pPr>
        <w:pStyle w:val="ListBullet"/>
        <w:rPr>
          <w:rFonts w:cs="Arial"/>
          <w:szCs w:val="24"/>
        </w:rPr>
      </w:pPr>
    </w:p>
    <w:p w:rsidR="00C77779" w:rsidRPr="00AF3C77" w:rsidRDefault="00575A0A" w:rsidP="00102CA0">
      <w:pPr>
        <w:pStyle w:val="ListParagraph"/>
        <w:numPr>
          <w:ilvl w:val="0"/>
          <w:numId w:val="13"/>
        </w:numPr>
        <w:ind w:left="426"/>
        <w:rPr>
          <w:rFonts w:cs="Arial"/>
          <w:szCs w:val="24"/>
        </w:rPr>
      </w:pPr>
      <w:r w:rsidRPr="00AF3C77">
        <w:rPr>
          <w:rFonts w:cs="Arial"/>
          <w:i/>
          <w:szCs w:val="24"/>
        </w:rPr>
        <w:t xml:space="preserve">Waste Classifications in Australia </w:t>
      </w:r>
      <w:r w:rsidRPr="00AF3C77">
        <w:rPr>
          <w:rFonts w:cs="Arial"/>
          <w:i/>
          <w:szCs w:val="24"/>
        </w:rPr>
        <w:noBreakHyphen/>
        <w:t xml:space="preserve"> a comparison of waste classifications in the Australian Waste Database with current jurisdictional classifications</w:t>
      </w:r>
      <w:r w:rsidRPr="00AF3C77">
        <w:rPr>
          <w:rStyle w:val="EndnoteReference"/>
          <w:rFonts w:cs="Arial"/>
          <w:i/>
          <w:szCs w:val="24"/>
        </w:rPr>
        <w:endnoteReference w:id="14"/>
      </w:r>
      <w:r w:rsidR="00CE443D">
        <w:rPr>
          <w:rFonts w:cs="Arial"/>
          <w:i/>
          <w:szCs w:val="24"/>
        </w:rPr>
        <w:t xml:space="preserve"> –</w:t>
      </w:r>
      <w:r w:rsidR="00AF3C77">
        <w:rPr>
          <w:rFonts w:cs="Arial"/>
          <w:i/>
          <w:szCs w:val="24"/>
        </w:rPr>
        <w:t xml:space="preserve"> </w:t>
      </w:r>
      <w:r w:rsidRPr="00AF3C77">
        <w:rPr>
          <w:rFonts w:cs="Arial"/>
          <w:szCs w:val="24"/>
        </w:rPr>
        <w:t>April</w:t>
      </w:r>
      <w:r w:rsidR="00CE443D">
        <w:rPr>
          <w:rFonts w:cs="Arial"/>
          <w:szCs w:val="24"/>
        </w:rPr>
        <w:t> </w:t>
      </w:r>
      <w:r w:rsidRPr="00AF3C77">
        <w:rPr>
          <w:rFonts w:cs="Arial"/>
          <w:szCs w:val="24"/>
        </w:rPr>
        <w:t>2012</w:t>
      </w:r>
      <w:r w:rsidR="00AF3C77">
        <w:rPr>
          <w:rFonts w:cs="Arial"/>
          <w:szCs w:val="24"/>
        </w:rPr>
        <w:t xml:space="preserve"> </w:t>
      </w:r>
      <w:r w:rsidR="00CE443D">
        <w:rPr>
          <w:rFonts w:cs="Arial"/>
          <w:szCs w:val="24"/>
        </w:rPr>
        <w:t>–</w:t>
      </w:r>
      <w:r w:rsidR="00AF3C77">
        <w:rPr>
          <w:rFonts w:cs="Arial"/>
          <w:szCs w:val="24"/>
        </w:rPr>
        <w:t xml:space="preserve"> </w:t>
      </w:r>
      <w:r w:rsidRPr="00AF3C77">
        <w:rPr>
          <w:rFonts w:cs="Arial"/>
          <w:szCs w:val="24"/>
        </w:rPr>
        <w:t>provides a</w:t>
      </w:r>
      <w:r w:rsidR="009606DC">
        <w:rPr>
          <w:rFonts w:cs="Arial"/>
          <w:szCs w:val="24"/>
        </w:rPr>
        <w:t>n</w:t>
      </w:r>
      <w:r w:rsidRPr="00AF3C77">
        <w:rPr>
          <w:rFonts w:cs="Arial"/>
          <w:szCs w:val="24"/>
        </w:rPr>
        <w:t xml:space="preserve"> overview of the reasons why jurisdictions use different waste classification systems and how waste-related data are collected within each jurisdiction</w:t>
      </w:r>
      <w:r w:rsidR="0081722B" w:rsidRPr="00AF3C77">
        <w:rPr>
          <w:rFonts w:cs="Arial"/>
          <w:szCs w:val="24"/>
        </w:rPr>
        <w:t>.</w:t>
      </w:r>
    </w:p>
    <w:p w:rsidR="002C6376" w:rsidRPr="00AF3C77" w:rsidRDefault="002C6376" w:rsidP="00102CA0">
      <w:pPr>
        <w:ind w:left="426"/>
        <w:rPr>
          <w:rFonts w:cs="Arial"/>
          <w:szCs w:val="24"/>
        </w:rPr>
      </w:pPr>
    </w:p>
    <w:p w:rsidR="003E0550" w:rsidRDefault="00575A0A" w:rsidP="00102CA0">
      <w:pPr>
        <w:pStyle w:val="ListParagraph"/>
        <w:numPr>
          <w:ilvl w:val="0"/>
          <w:numId w:val="13"/>
        </w:numPr>
        <w:ind w:left="426"/>
        <w:rPr>
          <w:rFonts w:cs="Arial"/>
          <w:szCs w:val="24"/>
        </w:rPr>
      </w:pPr>
      <w:r w:rsidRPr="00AF3C77">
        <w:rPr>
          <w:rFonts w:cs="Arial"/>
          <w:i/>
          <w:szCs w:val="24"/>
        </w:rPr>
        <w:t>Australian Waste Definitions</w:t>
      </w:r>
      <w:r w:rsidRPr="00AF3C77">
        <w:rPr>
          <w:rStyle w:val="EndnoteReference"/>
          <w:rFonts w:cs="Arial"/>
          <w:i/>
          <w:szCs w:val="24"/>
        </w:rPr>
        <w:endnoteReference w:id="15"/>
      </w:r>
      <w:r w:rsidR="00CE443D">
        <w:rPr>
          <w:rFonts w:cs="Arial"/>
          <w:i/>
          <w:szCs w:val="24"/>
        </w:rPr>
        <w:t xml:space="preserve"> </w:t>
      </w:r>
      <w:r w:rsidR="00CE443D">
        <w:rPr>
          <w:rFonts w:cs="Arial"/>
          <w:szCs w:val="24"/>
        </w:rPr>
        <w:t>–</w:t>
      </w:r>
      <w:r w:rsidRPr="00AF3C77">
        <w:rPr>
          <w:rFonts w:cs="Arial"/>
          <w:szCs w:val="24"/>
        </w:rPr>
        <w:t xml:space="preserve"> September 2012</w:t>
      </w:r>
      <w:r w:rsidR="00AF3C77">
        <w:rPr>
          <w:rFonts w:cs="Arial"/>
          <w:szCs w:val="24"/>
        </w:rPr>
        <w:t xml:space="preserve"> </w:t>
      </w:r>
      <w:r w:rsidR="00CE443D">
        <w:rPr>
          <w:rFonts w:cs="Arial"/>
          <w:szCs w:val="24"/>
        </w:rPr>
        <w:t>–</w:t>
      </w:r>
      <w:r w:rsidR="00AF3C77">
        <w:rPr>
          <w:rFonts w:cs="Arial"/>
          <w:szCs w:val="24"/>
        </w:rPr>
        <w:t xml:space="preserve"> </w:t>
      </w:r>
      <w:r w:rsidRPr="00AF3C77">
        <w:rPr>
          <w:rFonts w:cs="Arial"/>
          <w:szCs w:val="24"/>
        </w:rPr>
        <w:t>is a compilation of waste definitions fro</w:t>
      </w:r>
      <w:r w:rsidR="009606DC">
        <w:rPr>
          <w:rFonts w:cs="Arial"/>
          <w:szCs w:val="24"/>
        </w:rPr>
        <w:t xml:space="preserve">m the legislation, regulations, </w:t>
      </w:r>
      <w:r w:rsidRPr="00AF3C77">
        <w:rPr>
          <w:rFonts w:cs="Arial"/>
          <w:szCs w:val="24"/>
        </w:rPr>
        <w:t xml:space="preserve">instruments, policy, and strategy documents </w:t>
      </w:r>
      <w:r w:rsidR="009606DC">
        <w:rPr>
          <w:rFonts w:cs="Arial"/>
          <w:szCs w:val="24"/>
        </w:rPr>
        <w:t>of</w:t>
      </w:r>
      <w:r w:rsidRPr="00AF3C77">
        <w:rPr>
          <w:rFonts w:cs="Arial"/>
          <w:szCs w:val="24"/>
        </w:rPr>
        <w:t xml:space="preserve"> each jurisdiction</w:t>
      </w:r>
      <w:r w:rsidR="00AF3C77">
        <w:rPr>
          <w:rFonts w:cs="Arial"/>
          <w:szCs w:val="24"/>
        </w:rPr>
        <w:t xml:space="preserve"> to</w:t>
      </w:r>
      <w:r w:rsidRPr="00AF3C77">
        <w:rPr>
          <w:rFonts w:cs="Arial"/>
          <w:szCs w:val="24"/>
        </w:rPr>
        <w:t xml:space="preserve"> assist in clarifying the different definitions used and aid the development of harmonis</w:t>
      </w:r>
      <w:r w:rsidR="009606DC">
        <w:rPr>
          <w:rFonts w:cs="Arial"/>
          <w:szCs w:val="24"/>
        </w:rPr>
        <w:t>ed</w:t>
      </w:r>
      <w:r w:rsidRPr="00AF3C77">
        <w:rPr>
          <w:rFonts w:cs="Arial"/>
          <w:szCs w:val="24"/>
        </w:rPr>
        <w:t xml:space="preserve"> definitions and reporting.</w:t>
      </w:r>
    </w:p>
    <w:p w:rsidR="00AF3C77" w:rsidRPr="00AF3C77" w:rsidRDefault="00AF3C77" w:rsidP="00AF3C77">
      <w:pPr>
        <w:keepLines/>
        <w:rPr>
          <w:rFonts w:cs="Arial"/>
          <w:szCs w:val="24"/>
        </w:rPr>
      </w:pPr>
    </w:p>
    <w:p w:rsidR="00AF3C77" w:rsidRPr="004234FB" w:rsidRDefault="00DA4C98" w:rsidP="006B3148">
      <w:pPr>
        <w:pStyle w:val="Heading2"/>
        <w:pBdr>
          <w:top w:val="single" w:sz="4" w:space="1" w:color="auto"/>
          <w:left w:val="single" w:sz="4" w:space="4" w:color="auto"/>
          <w:right w:val="single" w:sz="4" w:space="4" w:color="auto"/>
        </w:pBdr>
        <w:shd w:val="clear" w:color="auto" w:fill="FFCC00"/>
        <w:rPr>
          <w:b w:val="0"/>
        </w:rPr>
      </w:pPr>
      <w:bookmarkStart w:id="27" w:name="_Toc383092769"/>
      <w:r w:rsidRPr="00DA4C98">
        <w:t>Strategy 5</w:t>
      </w:r>
      <w:r w:rsidR="00AF3C77">
        <w:t xml:space="preserve"> </w:t>
      </w:r>
      <w:r w:rsidR="00CE443D">
        <w:t>–</w:t>
      </w:r>
      <w:r w:rsidR="00AF3C77">
        <w:t xml:space="preserve"> </w:t>
      </w:r>
      <w:r w:rsidR="00AF3C77" w:rsidRPr="004234FB">
        <w:rPr>
          <w:rStyle w:val="Heading3Char"/>
          <w:b/>
        </w:rPr>
        <w:t>National Principles</w:t>
      </w:r>
      <w:bookmarkEnd w:id="27"/>
    </w:p>
    <w:p w:rsidR="00AF3C77" w:rsidRDefault="00AF3C77"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i/>
        </w:rPr>
      </w:pPr>
    </w:p>
    <w:p w:rsidR="00A369B2" w:rsidRPr="00AF3C77" w:rsidRDefault="0098520D"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rPr>
      </w:pPr>
      <w:r w:rsidRPr="006C2E2F">
        <w:rPr>
          <w:i/>
        </w:rPr>
        <w:t>To facilitate the development of a suite of agreed national principles, specifications, best practice guidelines and standards to remove impediments to the development and operation of effect</w:t>
      </w:r>
      <w:r w:rsidR="00AF3C77">
        <w:rPr>
          <w:i/>
        </w:rPr>
        <w:t>ive markets for potential waste</w:t>
      </w:r>
      <w:r w:rsidRPr="006C2E2F">
        <w:rPr>
          <w:i/>
        </w:rPr>
        <w:t xml:space="preserve">. </w:t>
      </w:r>
      <w:r w:rsidRPr="006C2E2F">
        <w:rPr>
          <w:i/>
        </w:rPr>
        <w:br/>
      </w:r>
    </w:p>
    <w:p w:rsidR="002B62A5" w:rsidRDefault="002B62A5" w:rsidP="00B1306B"/>
    <w:p w:rsidR="00AF3C77" w:rsidRDefault="00A864C5" w:rsidP="00102CA0">
      <w:pPr>
        <w:keepNext/>
        <w:keepLines/>
        <w:rPr>
          <w:rFonts w:cs="Arial"/>
          <w:szCs w:val="24"/>
        </w:rPr>
      </w:pPr>
      <w:r>
        <w:rPr>
          <w:rFonts w:cs="Arial"/>
          <w:szCs w:val="24"/>
        </w:rPr>
        <w:lastRenderedPageBreak/>
        <w:t>Key initiatives</w:t>
      </w:r>
      <w:r w:rsidR="00AF3C77">
        <w:rPr>
          <w:rFonts w:cs="Arial"/>
          <w:szCs w:val="24"/>
        </w:rPr>
        <w:t xml:space="preserve"> in this area include:</w:t>
      </w:r>
    </w:p>
    <w:p w:rsidR="00EE2C0B" w:rsidRPr="00A43996" w:rsidRDefault="00EE2C0B" w:rsidP="00EE2C0B">
      <w:pPr>
        <w:keepNext/>
        <w:keepLines/>
        <w:rPr>
          <w:szCs w:val="24"/>
          <w:lang w:eastAsia="en-AU"/>
        </w:rPr>
      </w:pPr>
    </w:p>
    <w:p w:rsidR="00A369B2" w:rsidRPr="00AF3C77" w:rsidRDefault="00575A0A" w:rsidP="00B524E2">
      <w:pPr>
        <w:pStyle w:val="ListBullet"/>
        <w:numPr>
          <w:ilvl w:val="0"/>
          <w:numId w:val="29"/>
        </w:numPr>
        <w:ind w:left="426" w:hanging="426"/>
      </w:pPr>
      <w:r w:rsidRPr="00AF3C77">
        <w:rPr>
          <w:i/>
        </w:rPr>
        <w:t>Australian Recycling Sector</w:t>
      </w:r>
      <w:r w:rsidRPr="00AF3C77">
        <w:rPr>
          <w:rStyle w:val="EndnoteReference"/>
          <w:rFonts w:cs="Arial"/>
          <w:i/>
          <w:szCs w:val="24"/>
        </w:rPr>
        <w:endnoteReference w:id="16"/>
      </w:r>
      <w:r w:rsidRPr="00AF3C77">
        <w:t xml:space="preserve"> and the supplementary report </w:t>
      </w:r>
      <w:r w:rsidRPr="00AF3C77">
        <w:rPr>
          <w:i/>
        </w:rPr>
        <w:t>Data collection and reporting</w:t>
      </w:r>
      <w:r w:rsidRPr="00AF3C77">
        <w:rPr>
          <w:rStyle w:val="EndnoteReference"/>
          <w:rFonts w:cs="Arial"/>
          <w:i/>
          <w:szCs w:val="24"/>
        </w:rPr>
        <w:endnoteReference w:id="17"/>
      </w:r>
      <w:r w:rsidR="00AF3C77">
        <w:t xml:space="preserve"> </w:t>
      </w:r>
      <w:r w:rsidR="00CE443D">
        <w:t>–</w:t>
      </w:r>
      <w:r w:rsidRPr="00AF3C77">
        <w:t xml:space="preserve"> August 2012</w:t>
      </w:r>
      <w:r w:rsidR="00AF3C77">
        <w:t xml:space="preserve"> </w:t>
      </w:r>
      <w:r w:rsidR="00CE443D">
        <w:t>–</w:t>
      </w:r>
      <w:r w:rsidR="00AF3C77">
        <w:t xml:space="preserve"> </w:t>
      </w:r>
      <w:r w:rsidRPr="00AF3C77">
        <w:t>provide an overview of the key characteristics of the Australian recycling sector, the environment in which it operates, and the social economic and envir</w:t>
      </w:r>
      <w:r w:rsidR="009606DC">
        <w:t>onmental benefits of recycling.</w:t>
      </w:r>
    </w:p>
    <w:p w:rsidR="003B0E9F" w:rsidRPr="00AF3C77" w:rsidRDefault="003B0E9F" w:rsidP="00102CA0">
      <w:pPr>
        <w:pStyle w:val="ListBullet"/>
        <w:ind w:left="426" w:hanging="426"/>
      </w:pPr>
    </w:p>
    <w:p w:rsidR="00B5572E" w:rsidRPr="001C5F24" w:rsidRDefault="00575A0A" w:rsidP="00B524E2">
      <w:pPr>
        <w:pStyle w:val="ListBullet"/>
        <w:numPr>
          <w:ilvl w:val="0"/>
          <w:numId w:val="29"/>
        </w:numPr>
        <w:ind w:left="426" w:hanging="426"/>
      </w:pPr>
      <w:r w:rsidRPr="001C5F24">
        <w:rPr>
          <w:i/>
        </w:rPr>
        <w:t>Beneficial reuse and resource recovery of waste materials: An inventory of Australian over-arching objectives and guiding principles</w:t>
      </w:r>
      <w:r w:rsidRPr="00AF3C77">
        <w:rPr>
          <w:rStyle w:val="EndnoteReference"/>
          <w:rFonts w:cs="Arial"/>
          <w:szCs w:val="24"/>
        </w:rPr>
        <w:endnoteReference w:id="18"/>
      </w:r>
      <w:r w:rsidR="001C5F24">
        <w:rPr>
          <w:i/>
        </w:rPr>
        <w:t xml:space="preserve"> </w:t>
      </w:r>
      <w:r w:rsidR="00CE443D">
        <w:t>–</w:t>
      </w:r>
      <w:r w:rsidR="001C5F24" w:rsidRPr="001C5F24">
        <w:t xml:space="preserve"> September 2012</w:t>
      </w:r>
      <w:r w:rsidR="001C5F24">
        <w:t xml:space="preserve"> </w:t>
      </w:r>
      <w:r w:rsidR="00CE443D">
        <w:t>–</w:t>
      </w:r>
      <w:r w:rsidR="001C5F24">
        <w:t xml:space="preserve"> </w:t>
      </w:r>
      <w:r w:rsidRPr="001C5F24">
        <w:t>identifies the objectives and guiding principles used by states and territories to promote beneficial reuse and recovery of waste</w:t>
      </w:r>
      <w:r w:rsidR="001C5F24">
        <w:t xml:space="preserve"> to</w:t>
      </w:r>
      <w:r w:rsidRPr="001C5F24">
        <w:rPr>
          <w:b/>
        </w:rPr>
        <w:t xml:space="preserve"> </w:t>
      </w:r>
      <w:r w:rsidRPr="001C5F24">
        <w:t xml:space="preserve">help to guide the development of an agreed set of principles which can be used to determine when a waste product ceases to be deemed a waste and termed a resource. </w:t>
      </w:r>
    </w:p>
    <w:p w:rsidR="00B5572E" w:rsidRDefault="00B5572E" w:rsidP="00102CA0">
      <w:pPr>
        <w:pStyle w:val="ListBullet"/>
        <w:ind w:left="426" w:hanging="426"/>
      </w:pPr>
    </w:p>
    <w:p w:rsidR="0075114A" w:rsidRPr="00AF3C77" w:rsidRDefault="0075114A" w:rsidP="00B524E2">
      <w:pPr>
        <w:pStyle w:val="ListBullet"/>
        <w:numPr>
          <w:ilvl w:val="0"/>
          <w:numId w:val="29"/>
        </w:numPr>
        <w:ind w:left="426" w:hanging="426"/>
      </w:pPr>
      <w:r w:rsidRPr="00AF3C77">
        <w:rPr>
          <w:i/>
        </w:rPr>
        <w:t xml:space="preserve">A </w:t>
      </w:r>
      <w:r>
        <w:rPr>
          <w:i/>
        </w:rPr>
        <w:t>S</w:t>
      </w:r>
      <w:r w:rsidRPr="00AF3C77">
        <w:rPr>
          <w:i/>
        </w:rPr>
        <w:t>tock-take of waste related standards, specifications and guidelines</w:t>
      </w:r>
      <w:r w:rsidRPr="00AF3C77">
        <w:rPr>
          <w:rStyle w:val="EndnoteReference"/>
          <w:rFonts w:cs="Arial"/>
          <w:i/>
          <w:szCs w:val="24"/>
        </w:rPr>
        <w:endnoteReference w:id="19"/>
      </w:r>
      <w:r w:rsidRPr="00AF3C77">
        <w:rPr>
          <w:i/>
        </w:rPr>
        <w:t xml:space="preserve"> </w:t>
      </w:r>
      <w:r w:rsidR="00CE443D">
        <w:rPr>
          <w:i/>
        </w:rPr>
        <w:t>–</w:t>
      </w:r>
      <w:r w:rsidRPr="00AF3C77">
        <w:t xml:space="preserve"> January 2013</w:t>
      </w:r>
      <w:r>
        <w:t xml:space="preserve"> – provides </w:t>
      </w:r>
      <w:r w:rsidRPr="00AF3C77">
        <w:t>a stock-take and review of waste related standards, specifications and guidelines, including recording their source</w:t>
      </w:r>
      <w:r>
        <w:t>, publication date and purpose.</w:t>
      </w:r>
    </w:p>
    <w:p w:rsidR="0075114A" w:rsidRPr="0075114A" w:rsidRDefault="0075114A" w:rsidP="00102CA0">
      <w:pPr>
        <w:pStyle w:val="ListBullet"/>
        <w:ind w:left="426" w:hanging="426"/>
      </w:pPr>
    </w:p>
    <w:p w:rsidR="009760F8" w:rsidRDefault="001C5F24" w:rsidP="00B524E2">
      <w:pPr>
        <w:pStyle w:val="ListBullet"/>
        <w:numPr>
          <w:ilvl w:val="0"/>
          <w:numId w:val="29"/>
        </w:numPr>
        <w:ind w:left="426" w:hanging="426"/>
      </w:pPr>
      <w:r w:rsidRPr="001C5F24">
        <w:rPr>
          <w:i/>
        </w:rPr>
        <w:t>Beneficial reuse and resource recovery of waste materials: inventory of Commonwealth and state and territory guiding principle</w:t>
      </w:r>
      <w:r w:rsidRPr="001C5F24">
        <w:t>s</w:t>
      </w:r>
      <w:r w:rsidRPr="00AF3C77">
        <w:rPr>
          <w:rStyle w:val="EndnoteReference"/>
          <w:rFonts w:cs="Arial"/>
          <w:szCs w:val="24"/>
        </w:rPr>
        <w:endnoteReference w:id="20"/>
      </w:r>
      <w:r w:rsidRPr="001C5F24">
        <w:t xml:space="preserve"> </w:t>
      </w:r>
      <w:r w:rsidR="00CE443D">
        <w:t>–</w:t>
      </w:r>
      <w:r>
        <w:t xml:space="preserve"> </w:t>
      </w:r>
      <w:r w:rsidRPr="001C5F24">
        <w:t>January 2013</w:t>
      </w:r>
      <w:r>
        <w:t xml:space="preserve"> </w:t>
      </w:r>
      <w:r w:rsidR="00CE443D">
        <w:t>–</w:t>
      </w:r>
      <w:r>
        <w:t xml:space="preserve"> </w:t>
      </w:r>
      <w:r w:rsidR="00575A0A" w:rsidRPr="001C5F24">
        <w:t>document</w:t>
      </w:r>
      <w:r>
        <w:t>s</w:t>
      </w:r>
      <w:r w:rsidR="00575A0A" w:rsidRPr="001C5F24">
        <w:t xml:space="preserve"> the current Commonwealth and state and territory guiding principles that promote beneficial reuse and recovery of waste, and to provide a comparison of these principles with those in use by the states and territories.</w:t>
      </w:r>
    </w:p>
    <w:p w:rsidR="00D612A1" w:rsidRPr="00D612A1" w:rsidRDefault="00D612A1" w:rsidP="00102CA0">
      <w:pPr>
        <w:pStyle w:val="ListBullet"/>
        <w:ind w:left="426" w:hanging="426"/>
      </w:pPr>
    </w:p>
    <w:p w:rsidR="00D612A1" w:rsidRDefault="00D612A1" w:rsidP="00B524E2">
      <w:pPr>
        <w:pStyle w:val="ListBullet"/>
        <w:numPr>
          <w:ilvl w:val="0"/>
          <w:numId w:val="29"/>
        </w:numPr>
        <w:ind w:left="426" w:hanging="426"/>
      </w:pPr>
      <w:r w:rsidRPr="0075114A">
        <w:rPr>
          <w:i/>
        </w:rPr>
        <w:t>Getting full Value:  the Victorian Waste and Resource Recovery Policy –</w:t>
      </w:r>
      <w:r>
        <w:rPr>
          <w:iCs/>
          <w:sz w:val="26"/>
          <w:szCs w:val="26"/>
          <w:lang w:val="en-US" w:eastAsia="en-AU"/>
        </w:rPr>
        <w:t xml:space="preserve"> </w:t>
      </w:r>
      <w:r w:rsidRPr="0075114A">
        <w:t>April</w:t>
      </w:r>
      <w:r w:rsidR="00CE443D">
        <w:t> </w:t>
      </w:r>
      <w:r w:rsidRPr="0075114A">
        <w:t xml:space="preserve">2013 </w:t>
      </w:r>
      <w:r w:rsidR="00CE443D">
        <w:t>–</w:t>
      </w:r>
      <w:r w:rsidRPr="0075114A">
        <w:t xml:space="preserve"> sets a 30 year vision for waste and resource recovery in Victoria with policy priorities that will guide actions over the next ten years</w:t>
      </w:r>
      <w:r w:rsidR="0075114A" w:rsidRPr="0075114A">
        <w:t xml:space="preserve"> in partnership with the NWP.</w:t>
      </w:r>
    </w:p>
    <w:p w:rsidR="009760F8" w:rsidRPr="009760F8" w:rsidRDefault="009760F8" w:rsidP="009760F8">
      <w:pPr>
        <w:keepLines/>
        <w:rPr>
          <w:rStyle w:val="Heading2Char"/>
          <w:i/>
          <w:szCs w:val="24"/>
        </w:rPr>
      </w:pPr>
    </w:p>
    <w:p w:rsidR="001C5F24" w:rsidRDefault="00DA4C98" w:rsidP="006B3148">
      <w:pPr>
        <w:pStyle w:val="Heading2"/>
        <w:pBdr>
          <w:top w:val="single" w:sz="4" w:space="1" w:color="auto"/>
          <w:left w:val="single" w:sz="4" w:space="4" w:color="auto"/>
          <w:right w:val="single" w:sz="4" w:space="4" w:color="auto"/>
        </w:pBdr>
        <w:shd w:val="clear" w:color="auto" w:fill="FFCC00"/>
      </w:pPr>
      <w:bookmarkStart w:id="28" w:name="_Toc383092770"/>
      <w:r w:rsidRPr="00B43191">
        <w:t>Strategy 6</w:t>
      </w:r>
      <w:r w:rsidR="001C5F24">
        <w:t xml:space="preserve"> </w:t>
      </w:r>
      <w:r w:rsidR="00CE443D">
        <w:t>–</w:t>
      </w:r>
      <w:r w:rsidR="001C5F24">
        <w:t xml:space="preserve"> </w:t>
      </w:r>
      <w:r w:rsidR="001C5F24" w:rsidRPr="004234FB">
        <w:rPr>
          <w:rStyle w:val="Heading3Char"/>
          <w:b/>
        </w:rPr>
        <w:t>Knowledge Exchange</w:t>
      </w:r>
      <w:bookmarkEnd w:id="28"/>
    </w:p>
    <w:p w:rsidR="001C5F24" w:rsidRDefault="001C5F24"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i/>
        </w:rPr>
      </w:pPr>
    </w:p>
    <w:p w:rsidR="00A369B2" w:rsidRPr="001C5F24" w:rsidRDefault="0098520D"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rPr>
      </w:pPr>
      <w:r w:rsidRPr="00B43191">
        <w:rPr>
          <w:i/>
        </w:rPr>
        <w:t>To provide access to knowledge and expertise in sustainable pro</w:t>
      </w:r>
      <w:r w:rsidR="00B8762D">
        <w:rPr>
          <w:i/>
        </w:rPr>
        <w:t>curement and business practices</w:t>
      </w:r>
      <w:r w:rsidR="002B62A5" w:rsidRPr="00B43191">
        <w:rPr>
          <w:i/>
        </w:rPr>
        <w:br/>
      </w:r>
    </w:p>
    <w:p w:rsidR="00157110" w:rsidRDefault="00157110" w:rsidP="00B1306B">
      <w:pPr>
        <w:rPr>
          <w:szCs w:val="24"/>
        </w:rPr>
      </w:pPr>
    </w:p>
    <w:p w:rsidR="004C6582" w:rsidRPr="004C6582" w:rsidRDefault="001C5F24" w:rsidP="00B1306B">
      <w:pPr>
        <w:keepLines/>
        <w:rPr>
          <w:szCs w:val="24"/>
        </w:rPr>
      </w:pPr>
      <w:r>
        <w:rPr>
          <w:szCs w:val="24"/>
        </w:rPr>
        <w:t>This strategy aims to establish e</w:t>
      </w:r>
      <w:r w:rsidR="00A62B07">
        <w:rPr>
          <w:szCs w:val="24"/>
        </w:rPr>
        <w:t xml:space="preserve">ffective mechanisms to facilitate the exchange of information across industry, governments and communities and provide better access to </w:t>
      </w:r>
      <w:r w:rsidR="004C6582" w:rsidRPr="004C6582">
        <w:rPr>
          <w:szCs w:val="24"/>
        </w:rPr>
        <w:t>waste management and reprocessing technologies</w:t>
      </w:r>
      <w:r w:rsidR="00A62B07">
        <w:rPr>
          <w:szCs w:val="24"/>
        </w:rPr>
        <w:t xml:space="preserve"> information,</w:t>
      </w:r>
      <w:r w:rsidR="004C6582" w:rsidRPr="004C6582">
        <w:rPr>
          <w:szCs w:val="24"/>
        </w:rPr>
        <w:t xml:space="preserve"> regulatory and institutional settings, research, business case </w:t>
      </w:r>
      <w:r>
        <w:rPr>
          <w:szCs w:val="24"/>
        </w:rPr>
        <w:t>information and consumer values.</w:t>
      </w:r>
    </w:p>
    <w:p w:rsidR="00BF6D4E" w:rsidRDefault="00BF6D4E" w:rsidP="00B1306B">
      <w:pPr>
        <w:keepNext/>
        <w:rPr>
          <w:rStyle w:val="Heading2Char"/>
          <w:szCs w:val="24"/>
        </w:rPr>
      </w:pPr>
    </w:p>
    <w:p w:rsidR="001C5F24" w:rsidRDefault="00A864C5" w:rsidP="001C5F24">
      <w:pPr>
        <w:rPr>
          <w:rFonts w:cs="Arial"/>
          <w:szCs w:val="24"/>
        </w:rPr>
      </w:pPr>
      <w:r>
        <w:rPr>
          <w:rFonts w:cs="Arial"/>
          <w:szCs w:val="24"/>
        </w:rPr>
        <w:t>Key initiatives</w:t>
      </w:r>
      <w:r w:rsidR="001C5F24">
        <w:rPr>
          <w:rFonts w:cs="Arial"/>
          <w:szCs w:val="24"/>
        </w:rPr>
        <w:t xml:space="preserve"> in this area include:</w:t>
      </w:r>
    </w:p>
    <w:p w:rsidR="001C5F24" w:rsidRDefault="001C5F24" w:rsidP="00803A05">
      <w:pPr>
        <w:keepLines/>
        <w:rPr>
          <w:rFonts w:cs="Arial"/>
          <w:szCs w:val="24"/>
        </w:rPr>
      </w:pPr>
    </w:p>
    <w:p w:rsidR="001C5F24" w:rsidRDefault="001C5F24" w:rsidP="00B524E2">
      <w:pPr>
        <w:pStyle w:val="ListParagraph"/>
        <w:keepLines/>
        <w:numPr>
          <w:ilvl w:val="0"/>
          <w:numId w:val="14"/>
        </w:numPr>
        <w:ind w:left="426" w:hanging="426"/>
        <w:rPr>
          <w:rFonts w:cs="Arial"/>
          <w:szCs w:val="24"/>
        </w:rPr>
      </w:pPr>
      <w:r w:rsidRPr="001C5F24">
        <w:rPr>
          <w:rFonts w:cs="Arial"/>
          <w:i/>
          <w:szCs w:val="24"/>
        </w:rPr>
        <w:t>Smarter Resources, Smarter Business</w:t>
      </w:r>
      <w:r w:rsidR="009760F8">
        <w:rPr>
          <w:rStyle w:val="EndnoteReference"/>
          <w:rFonts w:cs="Arial"/>
          <w:i/>
          <w:szCs w:val="24"/>
        </w:rPr>
        <w:endnoteReference w:id="21"/>
      </w:r>
      <w:r>
        <w:rPr>
          <w:rFonts w:cs="Arial"/>
          <w:szCs w:val="24"/>
        </w:rPr>
        <w:t xml:space="preserve"> </w:t>
      </w:r>
      <w:r w:rsidR="00AE01FC">
        <w:rPr>
          <w:rFonts w:cs="Arial"/>
          <w:szCs w:val="24"/>
        </w:rPr>
        <w:t>–</w:t>
      </w:r>
      <w:r>
        <w:rPr>
          <w:rFonts w:cs="Arial"/>
          <w:szCs w:val="24"/>
        </w:rPr>
        <w:t xml:space="preserve"> </w:t>
      </w:r>
      <w:r w:rsidR="00AE01FC">
        <w:rPr>
          <w:rFonts w:cs="Arial"/>
          <w:szCs w:val="24"/>
        </w:rPr>
        <w:t xml:space="preserve">August 2012 </w:t>
      </w:r>
      <w:r w:rsidR="00CE443D">
        <w:rPr>
          <w:rFonts w:cs="Arial"/>
          <w:szCs w:val="24"/>
        </w:rPr>
        <w:t>–</w:t>
      </w:r>
      <w:r w:rsidR="00AE01FC">
        <w:rPr>
          <w:rFonts w:cs="Arial"/>
          <w:szCs w:val="24"/>
        </w:rPr>
        <w:t xml:space="preserve"> </w:t>
      </w:r>
      <w:r>
        <w:rPr>
          <w:rFonts w:cs="Arial"/>
          <w:szCs w:val="24"/>
        </w:rPr>
        <w:t>t</w:t>
      </w:r>
      <w:r w:rsidR="00790474" w:rsidRPr="001C5F24">
        <w:rPr>
          <w:rFonts w:cs="Arial"/>
          <w:szCs w:val="24"/>
        </w:rPr>
        <w:t>he Victorian Government</w:t>
      </w:r>
      <w:r w:rsidR="00C73790" w:rsidRPr="001C5F24">
        <w:rPr>
          <w:rFonts w:cs="Arial"/>
          <w:szCs w:val="24"/>
        </w:rPr>
        <w:t>’</w:t>
      </w:r>
      <w:r w:rsidR="00790474" w:rsidRPr="001C5F24">
        <w:rPr>
          <w:rFonts w:cs="Arial"/>
          <w:szCs w:val="24"/>
        </w:rPr>
        <w:t xml:space="preserve">s program works with consumers to improve procurement and procurement policies.  </w:t>
      </w:r>
    </w:p>
    <w:p w:rsidR="001C5F24" w:rsidRDefault="001C5F24" w:rsidP="00F64648">
      <w:pPr>
        <w:pStyle w:val="ListParagraph"/>
        <w:keepLines/>
        <w:numPr>
          <w:ilvl w:val="0"/>
          <w:numId w:val="0"/>
        </w:numPr>
        <w:ind w:left="426" w:hanging="426"/>
        <w:rPr>
          <w:rFonts w:cs="Arial"/>
          <w:szCs w:val="24"/>
        </w:rPr>
      </w:pPr>
    </w:p>
    <w:p w:rsidR="00D612A1" w:rsidRPr="00F64648" w:rsidRDefault="002D7943" w:rsidP="00B524E2">
      <w:pPr>
        <w:pStyle w:val="ListParagraph"/>
        <w:keepLines/>
        <w:numPr>
          <w:ilvl w:val="0"/>
          <w:numId w:val="14"/>
        </w:numPr>
        <w:ind w:left="426" w:hanging="426"/>
        <w:rPr>
          <w:rFonts w:cs="Arial"/>
          <w:szCs w:val="24"/>
        </w:rPr>
      </w:pPr>
      <w:r w:rsidRPr="00F64648">
        <w:rPr>
          <w:rFonts w:cs="Arial"/>
          <w:i/>
          <w:szCs w:val="24"/>
        </w:rPr>
        <w:t>Sustainable Choice</w:t>
      </w:r>
      <w:r w:rsidR="00415F57">
        <w:rPr>
          <w:rStyle w:val="EndnoteReference"/>
          <w:rFonts w:cs="Arial"/>
          <w:i/>
          <w:szCs w:val="24"/>
        </w:rPr>
        <w:endnoteReference w:id="22"/>
      </w:r>
      <w:r w:rsidRPr="00F64648">
        <w:rPr>
          <w:rFonts w:cs="Arial"/>
          <w:i/>
          <w:szCs w:val="24"/>
        </w:rPr>
        <w:t xml:space="preserve"> </w:t>
      </w:r>
      <w:r w:rsidR="00AE01FC" w:rsidRPr="00F64648">
        <w:rPr>
          <w:rFonts w:cs="Arial"/>
          <w:szCs w:val="24"/>
        </w:rPr>
        <w:t>–</w:t>
      </w:r>
      <w:r w:rsidR="001C5F24" w:rsidRPr="00F64648">
        <w:rPr>
          <w:rFonts w:cs="Arial"/>
          <w:szCs w:val="24"/>
        </w:rPr>
        <w:t xml:space="preserve"> </w:t>
      </w:r>
      <w:r w:rsidR="00AE01FC" w:rsidRPr="00F64648">
        <w:rPr>
          <w:rFonts w:cs="Arial"/>
          <w:szCs w:val="24"/>
        </w:rPr>
        <w:t xml:space="preserve">as at June 2013 </w:t>
      </w:r>
      <w:r w:rsidR="009606DC" w:rsidRPr="00F64648">
        <w:rPr>
          <w:rFonts w:cs="Arial"/>
          <w:szCs w:val="24"/>
        </w:rPr>
        <w:t>–</w:t>
      </w:r>
      <w:r w:rsidR="00AE01FC" w:rsidRPr="00F64648">
        <w:rPr>
          <w:rFonts w:cs="Arial"/>
          <w:szCs w:val="24"/>
        </w:rPr>
        <w:t xml:space="preserve"> a</w:t>
      </w:r>
      <w:r w:rsidR="009606DC" w:rsidRPr="00F64648">
        <w:rPr>
          <w:rFonts w:cs="Arial"/>
          <w:szCs w:val="24"/>
        </w:rPr>
        <w:t xml:space="preserve">n </w:t>
      </w:r>
      <w:r w:rsidR="001C5F24" w:rsidRPr="00F64648">
        <w:rPr>
          <w:rFonts w:cs="Arial"/>
          <w:szCs w:val="24"/>
        </w:rPr>
        <w:t xml:space="preserve">initiative that </w:t>
      </w:r>
      <w:r w:rsidR="000D715A" w:rsidRPr="00F64648">
        <w:rPr>
          <w:rFonts w:cs="Arial"/>
          <w:szCs w:val="24"/>
        </w:rPr>
        <w:t xml:space="preserve">has engaged 78 </w:t>
      </w:r>
      <w:r w:rsidR="009606DC" w:rsidRPr="00F64648">
        <w:rPr>
          <w:rFonts w:cs="Arial"/>
          <w:szCs w:val="24"/>
        </w:rPr>
        <w:t xml:space="preserve">NSW </w:t>
      </w:r>
      <w:r w:rsidR="000D715A" w:rsidRPr="00F64648">
        <w:rPr>
          <w:rFonts w:cs="Arial"/>
          <w:szCs w:val="24"/>
        </w:rPr>
        <w:t xml:space="preserve">local councils </w:t>
      </w:r>
      <w:r w:rsidR="001C5F24" w:rsidRPr="00F64648">
        <w:rPr>
          <w:rFonts w:cs="Arial"/>
          <w:szCs w:val="24"/>
        </w:rPr>
        <w:t xml:space="preserve">and </w:t>
      </w:r>
      <w:r w:rsidR="00803A05" w:rsidRPr="00F64648">
        <w:rPr>
          <w:rFonts w:cs="Arial"/>
          <w:szCs w:val="24"/>
        </w:rPr>
        <w:t>helps</w:t>
      </w:r>
      <w:r w:rsidR="000D715A" w:rsidRPr="00F64648">
        <w:rPr>
          <w:rFonts w:cs="Arial"/>
          <w:szCs w:val="24"/>
        </w:rPr>
        <w:t xml:space="preserve"> share and provide</w:t>
      </w:r>
      <w:r w:rsidR="00123568" w:rsidRPr="00F64648">
        <w:rPr>
          <w:rFonts w:cs="Arial"/>
          <w:szCs w:val="24"/>
        </w:rPr>
        <w:t>s</w:t>
      </w:r>
      <w:r w:rsidR="000D715A" w:rsidRPr="00F64648">
        <w:rPr>
          <w:rFonts w:cs="Arial"/>
          <w:szCs w:val="24"/>
        </w:rPr>
        <w:t xml:space="preserve"> access to sustainable products and ser</w:t>
      </w:r>
      <w:r w:rsidR="001C5F24" w:rsidRPr="00F64648">
        <w:rPr>
          <w:rFonts w:cs="Arial"/>
          <w:szCs w:val="24"/>
        </w:rPr>
        <w:t>vices with</w:t>
      </w:r>
      <w:r w:rsidR="000D715A" w:rsidRPr="00F64648">
        <w:rPr>
          <w:rFonts w:cs="Arial"/>
          <w:szCs w:val="24"/>
        </w:rPr>
        <w:t>1600 sustainable prod</w:t>
      </w:r>
      <w:r w:rsidR="00803A05" w:rsidRPr="00F64648">
        <w:rPr>
          <w:rFonts w:cs="Arial"/>
          <w:szCs w:val="24"/>
        </w:rPr>
        <w:t xml:space="preserve">ucts and services registered. </w:t>
      </w:r>
      <w:r w:rsidRPr="00F64648">
        <w:rPr>
          <w:rFonts w:cs="Arial"/>
          <w:szCs w:val="24"/>
        </w:rPr>
        <w:t xml:space="preserve"> </w:t>
      </w:r>
      <w:r w:rsidR="00D612A1" w:rsidRPr="00F64648">
        <w:rPr>
          <w:rFonts w:cs="Arial"/>
          <w:szCs w:val="24"/>
        </w:rPr>
        <w:br w:type="page"/>
      </w:r>
    </w:p>
    <w:p w:rsidR="00973F0A" w:rsidRPr="000B75E1" w:rsidRDefault="00973F0A" w:rsidP="000B75E1">
      <w:pPr>
        <w:keepLines/>
        <w:rPr>
          <w:rFonts w:cs="Arial"/>
          <w:szCs w:val="24"/>
        </w:rPr>
      </w:pPr>
    </w:p>
    <w:p w:rsidR="00973F0A" w:rsidRDefault="00973F0A" w:rsidP="00A64E3E">
      <w:pPr>
        <w:pStyle w:val="Heading4"/>
      </w:pPr>
      <w:r w:rsidRPr="00973F0A">
        <w:t>Case Study 3</w:t>
      </w:r>
    </w:p>
    <w:p w:rsidR="00973F0A" w:rsidRDefault="001F5E0F" w:rsidP="00B40FC0">
      <w:pPr>
        <w:pStyle w:val="Heading4"/>
      </w:pPr>
      <w:r w:rsidRPr="001F5E0F">
        <w:rPr>
          <w:noProof/>
          <w:lang w:val="en-US"/>
        </w:rPr>
        <w:pict>
          <v:shape id="_x0000_s1035" type="#_x0000_t202" style="position:absolute;left:0;text-align:left;margin-left:-16.45pt;margin-top:2.6pt;width:486pt;height:679.2pt;z-index:25167462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" fillcolor="#fed36b [1942]" strokecolor="#feb80a [3206]">
            <v:stroke joinstyle="round" endcap="round"/>
            <v:textbox style="mso-next-textbox:#_x0000_s1035">
              <w:txbxContent>
                <w:p w:rsidR="008E5E36" w:rsidRPr="00F446D9" w:rsidRDefault="008E5E36" w:rsidP="00F446D9">
                  <w:pPr>
                    <w:jc w:val="center"/>
                    <w:rPr>
                      <w:b/>
                      <w:i/>
                      <w:sz w:val="28"/>
                      <w:szCs w:val="28"/>
                    </w:rPr>
                  </w:pPr>
                </w:p>
                <w:p w:rsidR="008E5E36" w:rsidRPr="00F446D9" w:rsidRDefault="008E5E36" w:rsidP="00F446D9">
                  <w:pPr>
                    <w:jc w:val="center"/>
                    <w:rPr>
                      <w:rStyle w:val="Heading2Char"/>
                      <w:b w:val="0"/>
                      <w:i/>
                      <w:color w:val="C48B01" w:themeColor="accent3" w:themeShade="BF"/>
                      <w:sz w:val="28"/>
                      <w:szCs w:val="28"/>
                    </w:rPr>
                  </w:pPr>
                  <w:r w:rsidRPr="00F446D9">
                    <w:rPr>
                      <w:b/>
                      <w:i/>
                      <w:color w:val="C48B01" w:themeColor="accent3" w:themeShade="BF"/>
                      <w:sz w:val="28"/>
                      <w:szCs w:val="28"/>
                    </w:rPr>
                    <w:t xml:space="preserve">Incentive based Litter Reduction and Recycling </w:t>
                  </w:r>
                  <w:r w:rsidRPr="00F446D9">
                    <w:rPr>
                      <w:b/>
                      <w:i/>
                      <w:color w:val="C48B01" w:themeColor="accent3" w:themeShade="BF"/>
                      <w:sz w:val="28"/>
                      <w:szCs w:val="28"/>
                    </w:rPr>
                    <w:br w:type="page"/>
                  </w:r>
                  <w:r w:rsidRPr="00F446D9">
                    <w:rPr>
                      <w:rStyle w:val="Heading2Char"/>
                      <w:b w:val="0"/>
                      <w:i/>
                      <w:color w:val="C48B01" w:themeColor="accent3" w:themeShade="BF"/>
                      <w:szCs w:val="24"/>
                    </w:rPr>
                    <w:t>Northern Territory Container Deposit Scheme</w:t>
                  </w:r>
                </w:p>
                <w:p w:rsidR="008E5E36" w:rsidRDefault="008E5E36" w:rsidP="00973F0A">
                  <w:pPr>
                    <w:jc w:val="center"/>
                  </w:pPr>
                </w:p>
                <w:p w:rsidR="008E5E36" w:rsidRPr="00F64648" w:rsidRDefault="008E5E36" w:rsidP="00F64648">
                  <w:pPr>
                    <w:rPr>
                      <w:b/>
                      <w:i/>
                    </w:rPr>
                  </w:pPr>
                  <w:bookmarkStart w:id="29" w:name="_Toc382989001"/>
                  <w:bookmarkStart w:id="30" w:name="_Toc382989132"/>
                  <w:bookmarkStart w:id="31" w:name="_Toc382989433"/>
                  <w:bookmarkStart w:id="32" w:name="_Toc382990903"/>
                  <w:r>
                    <w:rPr>
                      <w:b/>
                      <w:i/>
                    </w:rPr>
                    <w:tab/>
                  </w:r>
                  <w:r w:rsidRPr="00F64648">
                    <w:rPr>
                      <w:b/>
                      <w:i/>
                    </w:rPr>
                    <w:t>What and Why</w:t>
                  </w:r>
                  <w:bookmarkEnd w:id="29"/>
                  <w:bookmarkEnd w:id="30"/>
                  <w:bookmarkEnd w:id="31"/>
                  <w:bookmarkEnd w:id="32"/>
                </w:p>
                <w:p w:rsidR="008E5E36" w:rsidRPr="00973F0A" w:rsidRDefault="008E5E36" w:rsidP="00973F0A"/>
                <w:p w:rsidR="008E5E36" w:rsidRPr="00F64648" w:rsidRDefault="008E5E36" w:rsidP="00B524E2">
                  <w:pPr>
                    <w:pStyle w:val="ListParagraph"/>
                    <w:numPr>
                      <w:ilvl w:val="0"/>
                      <w:numId w:val="24"/>
                    </w:numPr>
                    <w:spacing w:after="200" w:line="276" w:lineRule="auto"/>
                    <w:ind w:left="714" w:hanging="357"/>
                    <w:rPr>
                      <w:rFonts w:cstheme="minorHAnsi"/>
                    </w:rPr>
                  </w:pPr>
                  <w:r w:rsidRPr="001175A2">
                    <w:rPr>
                      <w:rFonts w:cstheme="minorHAnsi"/>
                    </w:rPr>
                    <w:t>On 3 January 2012 the Northern Territory (NT) Container Deposit Scheme was introduced to reduce beverage container litter and increase r</w:t>
                  </w:r>
                  <w:r>
                    <w:rPr>
                      <w:rFonts w:cstheme="minorHAnsi"/>
                    </w:rPr>
                    <w:t>esource recovery across the NT</w:t>
                  </w:r>
                </w:p>
                <w:p w:rsidR="008E5E36" w:rsidRPr="00F64648" w:rsidRDefault="008E5E36" w:rsidP="00B524E2">
                  <w:pPr>
                    <w:pStyle w:val="ListParagraph"/>
                    <w:numPr>
                      <w:ilvl w:val="0"/>
                      <w:numId w:val="24"/>
                    </w:numPr>
                    <w:spacing w:after="200" w:line="276" w:lineRule="auto"/>
                    <w:ind w:left="714" w:hanging="357"/>
                    <w:rPr>
                      <w:rFonts w:cstheme="minorHAnsi"/>
                    </w:rPr>
                  </w:pPr>
                  <w:r w:rsidRPr="00674294">
                    <w:rPr>
                      <w:rFonts w:cstheme="minorHAnsi"/>
                    </w:rPr>
                    <w:t xml:space="preserve">The NT had a low rate of </w:t>
                  </w:r>
                  <w:r>
                    <w:rPr>
                      <w:rFonts w:cstheme="minorHAnsi"/>
                    </w:rPr>
                    <w:t xml:space="preserve">recycling by national standards – </w:t>
                  </w:r>
                  <w:r w:rsidRPr="00674294">
                    <w:rPr>
                      <w:rFonts w:cstheme="minorHAnsi"/>
                    </w:rPr>
                    <w:t>approximately 3.5 per cent against the national rate of approximately 48 per cent</w:t>
                  </w:r>
                </w:p>
                <w:p w:rsidR="008E5E36" w:rsidRPr="001175A2" w:rsidRDefault="008E5E36" w:rsidP="00B524E2">
                  <w:pPr>
                    <w:pStyle w:val="ListParagraph"/>
                    <w:numPr>
                      <w:ilvl w:val="0"/>
                      <w:numId w:val="24"/>
                    </w:numPr>
                    <w:spacing w:after="200" w:line="276" w:lineRule="auto"/>
                    <w:ind w:left="714" w:hanging="357"/>
                    <w:rPr>
                      <w:rFonts w:cstheme="minorHAnsi"/>
                    </w:rPr>
                  </w:pPr>
                  <w:r w:rsidRPr="001175A2">
                    <w:rPr>
                      <w:rFonts w:cstheme="minorHAnsi"/>
                    </w:rPr>
                    <w:t>Beverage containers are the most likely form of packaging to be consumed away from home, making them particularly prone to littering</w:t>
                  </w:r>
                  <w:r>
                    <w:rPr>
                      <w:rFonts w:cstheme="minorHAnsi"/>
                    </w:rPr>
                    <w:t xml:space="preserve">, </w:t>
                  </w:r>
                  <w:r w:rsidRPr="001175A2">
                    <w:rPr>
                      <w:rFonts w:cstheme="minorHAnsi"/>
                    </w:rPr>
                    <w:t xml:space="preserve">easy for individuals to collect, handle and </w:t>
                  </w:r>
                  <w:r>
                    <w:rPr>
                      <w:rFonts w:cstheme="minorHAnsi"/>
                    </w:rPr>
                    <w:t>return to a depot for recycling</w:t>
                  </w:r>
                </w:p>
                <w:p w:rsidR="008E5E36" w:rsidRPr="00F64648" w:rsidRDefault="008E5E36" w:rsidP="00F64648">
                  <w:pPr>
                    <w:rPr>
                      <w:b/>
                      <w:i/>
                    </w:rPr>
                  </w:pPr>
                  <w:bookmarkStart w:id="33" w:name="_Toc382989002"/>
                  <w:bookmarkStart w:id="34" w:name="_Toc382989133"/>
                  <w:bookmarkStart w:id="35" w:name="_Toc382989434"/>
                  <w:bookmarkStart w:id="36" w:name="_Toc382990904"/>
                  <w:r>
                    <w:rPr>
                      <w:b/>
                      <w:i/>
                    </w:rPr>
                    <w:tab/>
                  </w:r>
                  <w:r w:rsidRPr="00F64648">
                    <w:rPr>
                      <w:b/>
                      <w:i/>
                    </w:rPr>
                    <w:t>How?</w:t>
                  </w:r>
                  <w:bookmarkEnd w:id="33"/>
                  <w:bookmarkEnd w:id="34"/>
                  <w:bookmarkEnd w:id="35"/>
                  <w:bookmarkEnd w:id="36"/>
                </w:p>
                <w:p w:rsidR="008E5E36" w:rsidRPr="00973F0A" w:rsidRDefault="008E5E36" w:rsidP="00973F0A"/>
                <w:p w:rsidR="008E5E36" w:rsidRPr="00F64648" w:rsidRDefault="008E5E36" w:rsidP="00B524E2">
                  <w:pPr>
                    <w:pStyle w:val="ListParagraph"/>
                    <w:numPr>
                      <w:ilvl w:val="0"/>
                      <w:numId w:val="24"/>
                    </w:numPr>
                    <w:spacing w:after="200" w:line="276" w:lineRule="auto"/>
                    <w:ind w:left="714" w:hanging="357"/>
                    <w:rPr>
                      <w:rFonts w:cstheme="minorHAnsi"/>
                    </w:rPr>
                  </w:pPr>
                  <w:r w:rsidRPr="00F64648">
                    <w:rPr>
                      <w:rFonts w:cstheme="minorHAnsi"/>
                    </w:rPr>
                    <w:t>A 10 cent refundable deposit is provided on those containers returned to approved collection depots</w:t>
                  </w:r>
                </w:p>
                <w:p w:rsidR="008E5E36" w:rsidRPr="00F64648" w:rsidRDefault="008E5E36" w:rsidP="00B524E2">
                  <w:pPr>
                    <w:pStyle w:val="ListParagraph"/>
                    <w:numPr>
                      <w:ilvl w:val="0"/>
                      <w:numId w:val="24"/>
                    </w:numPr>
                    <w:spacing w:after="200" w:line="276" w:lineRule="auto"/>
                    <w:ind w:left="714" w:hanging="357"/>
                    <w:rPr>
                      <w:rFonts w:cstheme="minorHAnsi"/>
                    </w:rPr>
                  </w:pPr>
                  <w:r w:rsidRPr="00F64648">
                    <w:rPr>
                      <w:rFonts w:cstheme="minorHAnsi"/>
                    </w:rPr>
                    <w:t>Collection depots return the collected containers to be reused, recycled or appropriately disposed</w:t>
                  </w:r>
                </w:p>
                <w:p w:rsidR="008E5E36" w:rsidRPr="001175A2" w:rsidRDefault="008E5E36" w:rsidP="00B524E2">
                  <w:pPr>
                    <w:pStyle w:val="ListParagraph"/>
                    <w:numPr>
                      <w:ilvl w:val="0"/>
                      <w:numId w:val="24"/>
                    </w:numPr>
                    <w:spacing w:after="200" w:line="276" w:lineRule="auto"/>
                    <w:ind w:left="714" w:hanging="357"/>
                    <w:rPr>
                      <w:rFonts w:cstheme="minorHAnsi"/>
                    </w:rPr>
                  </w:pPr>
                  <w:r w:rsidRPr="001175A2">
                    <w:rPr>
                      <w:rFonts w:cstheme="minorHAnsi"/>
                    </w:rPr>
                    <w:t>Grants have been offered to government and non-government schools across the NT to purchase caged trailers for collection, storage and t</w:t>
                  </w:r>
                  <w:r>
                    <w:rPr>
                      <w:rFonts w:cstheme="minorHAnsi"/>
                    </w:rPr>
                    <w:t>ransport of beverage containers</w:t>
                  </w:r>
                </w:p>
                <w:p w:rsidR="008E5E36" w:rsidRPr="00F64648" w:rsidRDefault="008E5E36" w:rsidP="00F64648">
                  <w:pPr>
                    <w:rPr>
                      <w:b/>
                      <w:i/>
                    </w:rPr>
                  </w:pPr>
                  <w:bookmarkStart w:id="37" w:name="_Toc382989003"/>
                  <w:bookmarkStart w:id="38" w:name="_Toc382989134"/>
                  <w:bookmarkStart w:id="39" w:name="_Toc382989435"/>
                  <w:bookmarkStart w:id="40" w:name="_Toc382990905"/>
                  <w:r>
                    <w:rPr>
                      <w:b/>
                      <w:i/>
                    </w:rPr>
                    <w:tab/>
                  </w:r>
                  <w:r w:rsidRPr="00F64648">
                    <w:rPr>
                      <w:b/>
                      <w:i/>
                    </w:rPr>
                    <w:t>Results</w:t>
                  </w:r>
                  <w:bookmarkEnd w:id="37"/>
                  <w:bookmarkEnd w:id="38"/>
                  <w:bookmarkEnd w:id="39"/>
                  <w:bookmarkEnd w:id="40"/>
                </w:p>
                <w:p w:rsidR="008E5E36" w:rsidRPr="00973F0A" w:rsidRDefault="008E5E36" w:rsidP="00973F0A"/>
                <w:p w:rsidR="008E5E36" w:rsidRPr="00F64648" w:rsidRDefault="008E5E36" w:rsidP="00B524E2">
                  <w:pPr>
                    <w:pStyle w:val="ListParagraph"/>
                    <w:numPr>
                      <w:ilvl w:val="0"/>
                      <w:numId w:val="24"/>
                    </w:numPr>
                    <w:spacing w:after="200" w:line="276" w:lineRule="auto"/>
                    <w:ind w:left="714" w:hanging="357"/>
                    <w:rPr>
                      <w:rFonts w:cstheme="minorHAnsi"/>
                      <w:b/>
                      <w:i/>
                    </w:rPr>
                  </w:pPr>
                  <w:r w:rsidRPr="00F64648">
                    <w:rPr>
                      <w:rFonts w:cstheme="minorHAnsi"/>
                      <w:b/>
                      <w:i/>
                    </w:rPr>
                    <w:t>Approximately 90 million containers have been returned to depots across the NT in the first 18 months of operation</w:t>
                  </w:r>
                </w:p>
                <w:p w:rsidR="008E5E36" w:rsidRPr="00F64648" w:rsidRDefault="008E5E36" w:rsidP="00B524E2">
                  <w:pPr>
                    <w:pStyle w:val="ListParagraph"/>
                    <w:numPr>
                      <w:ilvl w:val="0"/>
                      <w:numId w:val="24"/>
                    </w:numPr>
                    <w:spacing w:after="200" w:line="276" w:lineRule="auto"/>
                    <w:ind w:left="714" w:hanging="357"/>
                    <w:rPr>
                      <w:rFonts w:cstheme="minorHAnsi"/>
                      <w:b/>
                      <w:i/>
                    </w:rPr>
                  </w:pPr>
                  <w:r w:rsidRPr="00F64648">
                    <w:rPr>
                      <w:rFonts w:cstheme="minorHAnsi"/>
                      <w:b/>
                      <w:i/>
                    </w:rPr>
                    <w:t>75 schools were awarded grants from Darwin (28), the Palmerston area (22), to Central Australia (17) and the Katherine region (7)</w:t>
                  </w:r>
                </w:p>
                <w:p w:rsidR="008E5E36" w:rsidRPr="00F64648" w:rsidRDefault="008E5E36" w:rsidP="00B524E2">
                  <w:pPr>
                    <w:pStyle w:val="ListParagraph"/>
                    <w:numPr>
                      <w:ilvl w:val="0"/>
                      <w:numId w:val="24"/>
                    </w:numPr>
                    <w:spacing w:after="200" w:line="276" w:lineRule="auto"/>
                    <w:ind w:left="714" w:hanging="357"/>
                    <w:rPr>
                      <w:rFonts w:cstheme="minorHAnsi"/>
                      <w:b/>
                      <w:i/>
                    </w:rPr>
                  </w:pPr>
                  <w:r w:rsidRPr="00F64648">
                    <w:rPr>
                      <w:rFonts w:cstheme="minorHAnsi"/>
                      <w:b/>
                      <w:i/>
                    </w:rPr>
                    <w:t>An average 41% return rate since the commencement of the scheme in January 2012</w:t>
                  </w:r>
                </w:p>
                <w:p w:rsidR="008E5E36" w:rsidRPr="00F64648" w:rsidRDefault="008E5E36" w:rsidP="00B524E2">
                  <w:pPr>
                    <w:pStyle w:val="ListParagraph"/>
                    <w:numPr>
                      <w:ilvl w:val="0"/>
                      <w:numId w:val="24"/>
                    </w:numPr>
                    <w:spacing w:after="200" w:line="276" w:lineRule="auto"/>
                    <w:ind w:left="714" w:hanging="357"/>
                    <w:rPr>
                      <w:rFonts w:cstheme="minorHAnsi"/>
                      <w:b/>
                      <w:i/>
                    </w:rPr>
                  </w:pPr>
                  <w:r w:rsidRPr="00F64648">
                    <w:rPr>
                      <w:rFonts w:cstheme="minorHAnsi"/>
                      <w:b/>
                      <w:i/>
                    </w:rPr>
                    <w:t xml:space="preserve">An increase of over 5 million in the number of containers redeemed on the same period in 2012 </w:t>
                  </w:r>
                </w:p>
                <w:p w:rsidR="008E5E36" w:rsidRPr="00F64648" w:rsidRDefault="008E5E36" w:rsidP="00B524E2">
                  <w:pPr>
                    <w:pStyle w:val="ListParagraph"/>
                    <w:numPr>
                      <w:ilvl w:val="0"/>
                      <w:numId w:val="24"/>
                    </w:numPr>
                    <w:spacing w:after="200" w:line="276" w:lineRule="auto"/>
                    <w:ind w:left="714" w:hanging="357"/>
                    <w:rPr>
                      <w:b/>
                      <w:i/>
                    </w:rPr>
                  </w:pPr>
                  <w:r w:rsidRPr="00F64648">
                    <w:rPr>
                      <w:rFonts w:cstheme="minorHAnsi"/>
                      <w:b/>
                      <w:i/>
                    </w:rPr>
                    <w:t xml:space="preserve">For further information </w:t>
                  </w:r>
                  <w:r>
                    <w:rPr>
                      <w:rFonts w:cstheme="minorHAnsi"/>
                      <w:b/>
                      <w:i/>
                    </w:rPr>
                    <w:t>–</w:t>
                  </w:r>
                  <w:r w:rsidRPr="00F64648">
                    <w:rPr>
                      <w:rFonts w:cstheme="minorHAnsi"/>
                      <w:b/>
                      <w:i/>
                    </w:rPr>
                    <w:t xml:space="preserve"> http://www.ntepa.nt.gov.au/container-deposits</w:t>
                  </w:r>
                </w:p>
              </w:txbxContent>
            </v:textbox>
          </v:shape>
        </w:pict>
      </w:r>
    </w:p>
    <w:p w:rsidR="00BC56B9" w:rsidRPr="00973F0A" w:rsidRDefault="00BC56B9" w:rsidP="00B40FC0">
      <w:pPr>
        <w:pStyle w:val="Heading4"/>
        <w:numPr>
          <w:ilvl w:val="0"/>
          <w:numId w:val="0"/>
        </w:numPr>
      </w:pPr>
      <w:r w:rsidRPr="00973F0A">
        <w:br w:type="page"/>
      </w:r>
    </w:p>
    <w:p w:rsidR="00A94256" w:rsidRPr="00AB7E44" w:rsidRDefault="00AB7E44" w:rsidP="00F446D9">
      <w:pPr>
        <w:pStyle w:val="Heading1"/>
      </w:pPr>
      <w:bookmarkStart w:id="41" w:name="_Toc383092771"/>
      <w:r w:rsidRPr="00AB7E44">
        <w:lastRenderedPageBreak/>
        <w:t>PURSUING SUSTAINABILITY</w:t>
      </w:r>
      <w:bookmarkEnd w:id="41"/>
    </w:p>
    <w:p w:rsidR="00A94256" w:rsidRDefault="00A94256" w:rsidP="00B1306B"/>
    <w:p w:rsidR="00A94256" w:rsidRPr="00F82567" w:rsidRDefault="00CB07F4" w:rsidP="00B1306B">
      <w:pPr>
        <w:pBdr>
          <w:bottom w:val="single" w:sz="12" w:space="1" w:color="auto"/>
        </w:pBdr>
        <w:rPr>
          <w:color w:val="C48B01" w:themeColor="accent3" w:themeShade="BF"/>
          <w:szCs w:val="24"/>
        </w:rPr>
      </w:pPr>
      <w:r w:rsidRPr="00F82567">
        <w:rPr>
          <w:color w:val="C48B01" w:themeColor="accent3" w:themeShade="BF"/>
          <w:szCs w:val="24"/>
        </w:rPr>
        <w:t>Less waste and improved use of waste to achieve broader environmental, social and economic benefits</w:t>
      </w:r>
    </w:p>
    <w:p w:rsidR="001C65D5" w:rsidRDefault="001C65D5" w:rsidP="00B1306B">
      <w:pPr>
        <w:pBdr>
          <w:bottom w:val="single" w:sz="12" w:space="1" w:color="auto"/>
        </w:pBdr>
        <w:rPr>
          <w:szCs w:val="24"/>
        </w:rPr>
      </w:pPr>
    </w:p>
    <w:p w:rsidR="00A369B2" w:rsidRDefault="00A369B2" w:rsidP="00B1306B">
      <w:pPr>
        <w:rPr>
          <w:sz w:val="22"/>
        </w:rPr>
      </w:pPr>
    </w:p>
    <w:p w:rsidR="00CB07F4" w:rsidRDefault="00DA4C98" w:rsidP="006B3148">
      <w:pPr>
        <w:pStyle w:val="Heading2"/>
        <w:pBdr>
          <w:top w:val="single" w:sz="4" w:space="1" w:color="auto"/>
          <w:left w:val="single" w:sz="4" w:space="4" w:color="auto"/>
          <w:right w:val="single" w:sz="4" w:space="4" w:color="auto"/>
        </w:pBdr>
        <w:shd w:val="clear" w:color="auto" w:fill="FFCC00"/>
        <w:rPr>
          <w:szCs w:val="24"/>
        </w:rPr>
      </w:pPr>
      <w:bookmarkStart w:id="42" w:name="_Toc383092772"/>
      <w:r w:rsidRPr="00B43191">
        <w:rPr>
          <w:szCs w:val="24"/>
        </w:rPr>
        <w:t>Strategy 7</w:t>
      </w:r>
      <w:r w:rsidR="00CB07F4">
        <w:rPr>
          <w:szCs w:val="24"/>
        </w:rPr>
        <w:t xml:space="preserve"> </w:t>
      </w:r>
      <w:r w:rsidR="009159AD">
        <w:rPr>
          <w:szCs w:val="24"/>
        </w:rPr>
        <w:t>–</w:t>
      </w:r>
      <w:r w:rsidR="00CB07F4">
        <w:rPr>
          <w:szCs w:val="24"/>
        </w:rPr>
        <w:t xml:space="preserve"> </w:t>
      </w:r>
      <w:r w:rsidR="00CB07F4" w:rsidRPr="004234FB">
        <w:rPr>
          <w:rStyle w:val="Heading3Char"/>
          <w:b/>
        </w:rPr>
        <w:t>Biodegradable material in landfill</w:t>
      </w:r>
      <w:bookmarkEnd w:id="42"/>
    </w:p>
    <w:p w:rsidR="00CB07F4" w:rsidRDefault="00CB07F4"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i/>
          <w:szCs w:val="24"/>
        </w:rPr>
      </w:pPr>
    </w:p>
    <w:p w:rsidR="00A369B2" w:rsidRPr="00CB07F4" w:rsidRDefault="0098520D" w:rsidP="00B1306B">
      <w:pPr>
        <w:pBdr>
          <w:top w:val="single" w:sz="4" w:space="1" w:color="auto"/>
          <w:left w:val="single" w:sz="4" w:space="4" w:color="auto"/>
          <w:bottom w:val="single" w:sz="4" w:space="1" w:color="auto"/>
          <w:right w:val="single" w:sz="4" w:space="4" w:color="auto"/>
        </w:pBdr>
        <w:shd w:val="clear" w:color="auto" w:fill="FED36B" w:themeFill="accent3" w:themeFillTint="99"/>
        <w:rPr>
          <w:szCs w:val="24"/>
        </w:rPr>
      </w:pPr>
      <w:r w:rsidRPr="00B43191">
        <w:rPr>
          <w:i/>
          <w:szCs w:val="24"/>
        </w:rPr>
        <w:t>Building on existing commitments, continue to phase down the amount of biodegra</w:t>
      </w:r>
      <w:r w:rsidR="00343880">
        <w:rPr>
          <w:i/>
          <w:szCs w:val="24"/>
        </w:rPr>
        <w:t>dable material sent to landfill</w:t>
      </w:r>
      <w:r w:rsidRPr="00B43191">
        <w:rPr>
          <w:i/>
          <w:szCs w:val="24"/>
        </w:rPr>
        <w:br/>
      </w:r>
    </w:p>
    <w:p w:rsidR="00B612D1" w:rsidRPr="00A94256" w:rsidRDefault="00B612D1" w:rsidP="00B1306B">
      <w:pPr>
        <w:rPr>
          <w:rFonts w:cs="Arial"/>
          <w:szCs w:val="24"/>
        </w:rPr>
      </w:pPr>
    </w:p>
    <w:p w:rsidR="004C6582" w:rsidRDefault="007C66B8" w:rsidP="00B1306B">
      <w:pPr>
        <w:keepNext/>
        <w:rPr>
          <w:szCs w:val="24"/>
        </w:rPr>
      </w:pPr>
      <w:r>
        <w:rPr>
          <w:szCs w:val="24"/>
        </w:rPr>
        <w:t>B</w:t>
      </w:r>
      <w:r w:rsidR="004C6582" w:rsidRPr="004C6582">
        <w:rPr>
          <w:szCs w:val="24"/>
        </w:rPr>
        <w:t xml:space="preserve">iodegradable material sent to landfill </w:t>
      </w:r>
      <w:r>
        <w:rPr>
          <w:szCs w:val="24"/>
        </w:rPr>
        <w:t xml:space="preserve">is most likely to come from </w:t>
      </w:r>
      <w:r w:rsidR="004C6582" w:rsidRPr="004C6582">
        <w:rPr>
          <w:szCs w:val="24"/>
        </w:rPr>
        <w:t>organic waste</w:t>
      </w:r>
      <w:r w:rsidR="00447146">
        <w:rPr>
          <w:szCs w:val="24"/>
        </w:rPr>
        <w:t xml:space="preserve"> that originates from plant and animal sources. </w:t>
      </w:r>
      <w:r w:rsidR="00DF0090">
        <w:rPr>
          <w:szCs w:val="24"/>
        </w:rPr>
        <w:t>Recycling organics can reduce gas produc</w:t>
      </w:r>
      <w:r w:rsidR="00343880">
        <w:rPr>
          <w:szCs w:val="24"/>
        </w:rPr>
        <w:t>ed from landfill</w:t>
      </w:r>
      <w:r w:rsidR="00DF0090">
        <w:rPr>
          <w:szCs w:val="24"/>
        </w:rPr>
        <w:t xml:space="preserve"> and produce valuable market products that include</w:t>
      </w:r>
      <w:r>
        <w:rPr>
          <w:szCs w:val="24"/>
        </w:rPr>
        <w:t xml:space="preserve"> </w:t>
      </w:r>
      <w:r w:rsidR="00DF0090">
        <w:rPr>
          <w:szCs w:val="24"/>
        </w:rPr>
        <w:t>c</w:t>
      </w:r>
      <w:r w:rsidR="00DF0090" w:rsidRPr="004C6582">
        <w:rPr>
          <w:szCs w:val="24"/>
        </w:rPr>
        <w:t xml:space="preserve">ompost, </w:t>
      </w:r>
      <w:proofErr w:type="spellStart"/>
      <w:r w:rsidR="00DF0090" w:rsidRPr="004C6582">
        <w:rPr>
          <w:szCs w:val="24"/>
        </w:rPr>
        <w:t>biochar</w:t>
      </w:r>
      <w:proofErr w:type="spellEnd"/>
      <w:r w:rsidR="00DF0090" w:rsidRPr="004C6582">
        <w:rPr>
          <w:szCs w:val="24"/>
        </w:rPr>
        <w:t>, soil conditioners and biogas</w:t>
      </w:r>
      <w:r w:rsidR="00DF0090">
        <w:rPr>
          <w:szCs w:val="24"/>
        </w:rPr>
        <w:t>.</w:t>
      </w:r>
      <w:r w:rsidR="003E7217">
        <w:rPr>
          <w:szCs w:val="24"/>
        </w:rPr>
        <w:t xml:space="preserve"> </w:t>
      </w:r>
    </w:p>
    <w:p w:rsidR="00BF6D4E" w:rsidRDefault="00BF6D4E" w:rsidP="006C2E2F">
      <w:pPr>
        <w:keepLines/>
        <w:rPr>
          <w:szCs w:val="24"/>
        </w:rPr>
      </w:pPr>
    </w:p>
    <w:p w:rsidR="005B784A" w:rsidRDefault="00A864C5" w:rsidP="005B784A">
      <w:pPr>
        <w:rPr>
          <w:rFonts w:cs="Arial"/>
          <w:szCs w:val="24"/>
        </w:rPr>
      </w:pPr>
      <w:r>
        <w:rPr>
          <w:rFonts w:cs="Arial"/>
          <w:szCs w:val="24"/>
        </w:rPr>
        <w:t>Key initiatives</w:t>
      </w:r>
      <w:r w:rsidR="005B784A">
        <w:rPr>
          <w:rFonts w:cs="Arial"/>
          <w:szCs w:val="24"/>
        </w:rPr>
        <w:t xml:space="preserve"> in this area include:</w:t>
      </w:r>
    </w:p>
    <w:p w:rsidR="005B784A" w:rsidRDefault="005B784A" w:rsidP="000D72FE">
      <w:pPr>
        <w:tabs>
          <w:tab w:val="left" w:pos="4536"/>
        </w:tabs>
        <w:rPr>
          <w:rFonts w:cs="Arial"/>
          <w:szCs w:val="24"/>
        </w:rPr>
      </w:pPr>
    </w:p>
    <w:p w:rsidR="005B784A" w:rsidRDefault="005B784A" w:rsidP="00B524E2">
      <w:pPr>
        <w:pStyle w:val="ListParagraph"/>
        <w:numPr>
          <w:ilvl w:val="0"/>
          <w:numId w:val="16"/>
        </w:numPr>
        <w:tabs>
          <w:tab w:val="left" w:pos="4536"/>
        </w:tabs>
        <w:ind w:left="426" w:hanging="426"/>
        <w:rPr>
          <w:rFonts w:cs="Arial"/>
          <w:szCs w:val="24"/>
        </w:rPr>
      </w:pPr>
      <w:r w:rsidRPr="005B784A">
        <w:rPr>
          <w:rFonts w:cs="Arial"/>
          <w:i/>
          <w:szCs w:val="24"/>
        </w:rPr>
        <w:t>National Food Waste Assessment</w:t>
      </w:r>
      <w:r w:rsidRPr="005B784A">
        <w:rPr>
          <w:rStyle w:val="EndnoteReference"/>
          <w:rFonts w:cs="Arial"/>
          <w:szCs w:val="24"/>
        </w:rPr>
        <w:endnoteReference w:id="23"/>
      </w:r>
      <w:r>
        <w:rPr>
          <w:rFonts w:cs="Arial"/>
          <w:szCs w:val="24"/>
        </w:rPr>
        <w:t xml:space="preserve"> </w:t>
      </w:r>
      <w:r w:rsidR="00B75027">
        <w:rPr>
          <w:rFonts w:cs="Arial"/>
          <w:szCs w:val="24"/>
        </w:rPr>
        <w:t>–</w:t>
      </w:r>
      <w:r>
        <w:rPr>
          <w:rFonts w:cs="Arial"/>
          <w:szCs w:val="24"/>
        </w:rPr>
        <w:t xml:space="preserve"> </w:t>
      </w:r>
      <w:r w:rsidR="00B568DE" w:rsidRPr="005B784A">
        <w:rPr>
          <w:rFonts w:cs="Arial"/>
          <w:szCs w:val="24"/>
        </w:rPr>
        <w:t>March 2012</w:t>
      </w:r>
      <w:r>
        <w:rPr>
          <w:rFonts w:cs="Arial"/>
          <w:szCs w:val="24"/>
        </w:rPr>
        <w:t xml:space="preserve"> </w:t>
      </w:r>
      <w:r w:rsidR="00B75027">
        <w:rPr>
          <w:rFonts w:cs="Arial"/>
          <w:szCs w:val="24"/>
        </w:rPr>
        <w:t>–</w:t>
      </w:r>
      <w:r>
        <w:rPr>
          <w:rFonts w:cs="Arial"/>
          <w:szCs w:val="24"/>
        </w:rPr>
        <w:t xml:space="preserve"> </w:t>
      </w:r>
      <w:r w:rsidR="00B568DE" w:rsidRPr="005B784A">
        <w:rPr>
          <w:rFonts w:cs="Arial"/>
          <w:szCs w:val="24"/>
        </w:rPr>
        <w:t>consolidates</w:t>
      </w:r>
      <w:r w:rsidR="009D5A4C" w:rsidRPr="005B784A">
        <w:rPr>
          <w:rFonts w:cs="Arial"/>
          <w:szCs w:val="24"/>
        </w:rPr>
        <w:t xml:space="preserve"> and summarises</w:t>
      </w:r>
      <w:r w:rsidR="00B568DE" w:rsidRPr="005B784A">
        <w:rPr>
          <w:rFonts w:cs="Arial"/>
          <w:szCs w:val="24"/>
        </w:rPr>
        <w:t xml:space="preserve"> the information generated through 1,262 food waste studies</w:t>
      </w:r>
      <w:r w:rsidR="009D5A4C" w:rsidRPr="005B784A">
        <w:rPr>
          <w:rFonts w:cs="Arial"/>
          <w:szCs w:val="24"/>
        </w:rPr>
        <w:t xml:space="preserve">. </w:t>
      </w:r>
    </w:p>
    <w:p w:rsidR="000D6353" w:rsidRPr="000D6353" w:rsidRDefault="000D6353" w:rsidP="00CD54A6">
      <w:pPr>
        <w:tabs>
          <w:tab w:val="left" w:pos="4536"/>
        </w:tabs>
        <w:ind w:left="426" w:hanging="426"/>
        <w:rPr>
          <w:rFonts w:cs="Arial"/>
          <w:szCs w:val="24"/>
        </w:rPr>
      </w:pPr>
    </w:p>
    <w:p w:rsidR="00DC54AC" w:rsidRPr="005B784A" w:rsidRDefault="008B43FC" w:rsidP="00B524E2">
      <w:pPr>
        <w:pStyle w:val="ListParagraph"/>
        <w:numPr>
          <w:ilvl w:val="0"/>
          <w:numId w:val="16"/>
        </w:numPr>
        <w:tabs>
          <w:tab w:val="left" w:pos="4536"/>
        </w:tabs>
        <w:ind w:left="426" w:hanging="426"/>
        <w:rPr>
          <w:rFonts w:cs="Arial"/>
          <w:szCs w:val="24"/>
        </w:rPr>
      </w:pPr>
      <w:r w:rsidRPr="005B784A">
        <w:rPr>
          <w:rFonts w:cs="Arial"/>
          <w:i/>
          <w:szCs w:val="24"/>
        </w:rPr>
        <w:t>Love Food Hate Waste Progra</w:t>
      </w:r>
      <w:r w:rsidR="00DF24E8">
        <w:rPr>
          <w:rFonts w:cs="Arial"/>
          <w:i/>
          <w:szCs w:val="24"/>
        </w:rPr>
        <w:t>m</w:t>
      </w:r>
      <w:r w:rsidR="00DF24E8">
        <w:rPr>
          <w:rStyle w:val="EndnoteReference"/>
          <w:rFonts w:cs="Arial"/>
          <w:i/>
          <w:szCs w:val="24"/>
        </w:rPr>
        <w:endnoteReference w:id="24"/>
      </w:r>
      <w:r w:rsidR="000D7FE3" w:rsidRPr="005B784A">
        <w:rPr>
          <w:rFonts w:cs="Arial"/>
          <w:szCs w:val="24"/>
        </w:rPr>
        <w:t xml:space="preserve"> </w:t>
      </w:r>
      <w:r w:rsidR="00B75027">
        <w:rPr>
          <w:rFonts w:cs="Arial"/>
          <w:szCs w:val="24"/>
        </w:rPr>
        <w:t>–</w:t>
      </w:r>
      <w:r w:rsidR="000D6353">
        <w:rPr>
          <w:rFonts w:cs="Arial"/>
          <w:szCs w:val="24"/>
        </w:rPr>
        <w:t xml:space="preserve"> </w:t>
      </w:r>
      <w:r w:rsidR="00973F0A">
        <w:rPr>
          <w:rFonts w:cs="Arial"/>
          <w:szCs w:val="24"/>
        </w:rPr>
        <w:t xml:space="preserve">2012-13 </w:t>
      </w:r>
      <w:r w:rsidR="00B8762D">
        <w:rPr>
          <w:rFonts w:cs="Arial"/>
          <w:szCs w:val="24"/>
        </w:rPr>
        <w:t>–</w:t>
      </w:r>
      <w:r w:rsidR="00973F0A">
        <w:rPr>
          <w:rFonts w:cs="Arial"/>
          <w:szCs w:val="24"/>
        </w:rPr>
        <w:t xml:space="preserve"> </w:t>
      </w:r>
      <w:r w:rsidRPr="005B784A">
        <w:rPr>
          <w:rFonts w:cs="Arial"/>
          <w:szCs w:val="24"/>
        </w:rPr>
        <w:t>provide</w:t>
      </w:r>
      <w:r w:rsidR="00B8762D">
        <w:rPr>
          <w:rFonts w:cs="Arial"/>
          <w:szCs w:val="24"/>
        </w:rPr>
        <w:t>d 38</w:t>
      </w:r>
      <w:r w:rsidRPr="005B784A">
        <w:rPr>
          <w:rFonts w:cs="Arial"/>
          <w:szCs w:val="24"/>
        </w:rPr>
        <w:t xml:space="preserve"> grants to </w:t>
      </w:r>
      <w:r w:rsidR="000D6353">
        <w:rPr>
          <w:rFonts w:cs="Arial"/>
          <w:szCs w:val="24"/>
        </w:rPr>
        <w:t xml:space="preserve">NSW </w:t>
      </w:r>
      <w:r w:rsidRPr="005B784A">
        <w:rPr>
          <w:szCs w:val="24"/>
        </w:rPr>
        <w:t>small and medium businesses in the hospitality and retail sectors to avoid food waste and to encourage donations of surplus, edible food to charity</w:t>
      </w:r>
      <w:r w:rsidR="000D6353">
        <w:rPr>
          <w:szCs w:val="24"/>
        </w:rPr>
        <w:t xml:space="preserve">. </w:t>
      </w:r>
      <w:r w:rsidR="00B8762D">
        <w:rPr>
          <w:szCs w:val="24"/>
        </w:rPr>
        <w:t>P</w:t>
      </w:r>
      <w:r w:rsidR="000D6353" w:rsidRPr="003D5DD0">
        <w:rPr>
          <w:szCs w:val="24"/>
        </w:rPr>
        <w:t xml:space="preserve">rojects included a </w:t>
      </w:r>
      <w:r w:rsidR="000D6353" w:rsidRPr="002E7882">
        <w:rPr>
          <w:i/>
          <w:szCs w:val="24"/>
        </w:rPr>
        <w:t>Love Food Hate Waste</w:t>
      </w:r>
      <w:r w:rsidR="000D6353" w:rsidRPr="003D5DD0">
        <w:rPr>
          <w:szCs w:val="24"/>
        </w:rPr>
        <w:t xml:space="preserve"> smart phone application, a film competition and supermarket information sessions.</w:t>
      </w:r>
    </w:p>
    <w:p w:rsidR="00B443DD" w:rsidRDefault="00B443DD" w:rsidP="00CD54A6">
      <w:pPr>
        <w:ind w:left="426" w:hanging="426"/>
        <w:rPr>
          <w:rFonts w:cs="Arial"/>
          <w:szCs w:val="24"/>
        </w:rPr>
      </w:pPr>
    </w:p>
    <w:p w:rsidR="000D6353" w:rsidRPr="000D6353" w:rsidRDefault="00575A0A" w:rsidP="00B524E2">
      <w:pPr>
        <w:pStyle w:val="ListParagraph"/>
        <w:keepLines/>
        <w:numPr>
          <w:ilvl w:val="0"/>
          <w:numId w:val="16"/>
        </w:numPr>
        <w:ind w:left="426" w:hanging="426"/>
        <w:rPr>
          <w:rFonts w:cs="Arial"/>
          <w:szCs w:val="24"/>
        </w:rPr>
      </w:pPr>
      <w:r w:rsidRPr="000D6353">
        <w:rPr>
          <w:rFonts w:cs="Arial"/>
          <w:i/>
          <w:szCs w:val="24"/>
        </w:rPr>
        <w:t>Melbourne Metropolitan Organics Pla</w:t>
      </w:r>
      <w:r w:rsidR="005B39FA">
        <w:rPr>
          <w:rFonts w:cs="Arial"/>
          <w:i/>
          <w:szCs w:val="24"/>
        </w:rPr>
        <w:t>n</w:t>
      </w:r>
      <w:r w:rsidR="005B39FA">
        <w:rPr>
          <w:rStyle w:val="EndnoteReference"/>
          <w:rFonts w:cs="Arial"/>
          <w:i/>
          <w:szCs w:val="24"/>
        </w:rPr>
        <w:endnoteReference w:id="25"/>
      </w:r>
      <w:r w:rsidR="000D6353" w:rsidRPr="000D6353">
        <w:rPr>
          <w:rFonts w:cs="Arial"/>
          <w:szCs w:val="24"/>
        </w:rPr>
        <w:t xml:space="preserve"> </w:t>
      </w:r>
      <w:r w:rsidR="00B75027">
        <w:rPr>
          <w:rFonts w:cs="Arial"/>
          <w:szCs w:val="24"/>
        </w:rPr>
        <w:t>–</w:t>
      </w:r>
      <w:r w:rsidR="000D6353" w:rsidRPr="000D6353">
        <w:rPr>
          <w:rFonts w:cs="Arial"/>
          <w:szCs w:val="24"/>
        </w:rPr>
        <w:t xml:space="preserve"> April 2012 – the provision of process</w:t>
      </w:r>
      <w:r w:rsidR="00B8762D">
        <w:rPr>
          <w:rFonts w:cs="Arial"/>
          <w:szCs w:val="24"/>
        </w:rPr>
        <w:t>ing services for organic waste</w:t>
      </w:r>
      <w:r w:rsidR="000D6353" w:rsidRPr="000D6353">
        <w:rPr>
          <w:rFonts w:cs="Arial"/>
          <w:szCs w:val="24"/>
        </w:rPr>
        <w:t>. This contract cover</w:t>
      </w:r>
      <w:r w:rsidR="00E576D7">
        <w:rPr>
          <w:rFonts w:cs="Arial"/>
          <w:szCs w:val="24"/>
        </w:rPr>
        <w:t>s</w:t>
      </w:r>
      <w:r w:rsidR="000D6353" w:rsidRPr="000D6353">
        <w:rPr>
          <w:rFonts w:cs="Arial"/>
          <w:szCs w:val="24"/>
        </w:rPr>
        <w:t xml:space="preserve"> some 11</w:t>
      </w:r>
      <w:r w:rsidR="00B75027">
        <w:rPr>
          <w:rFonts w:cs="Arial"/>
          <w:szCs w:val="24"/>
        </w:rPr>
        <w:t> </w:t>
      </w:r>
      <w:r w:rsidR="000D6353" w:rsidRPr="000D6353">
        <w:rPr>
          <w:rFonts w:cs="Arial"/>
          <w:szCs w:val="24"/>
        </w:rPr>
        <w:t>participating councils in the north and west of Melbourne and is designed to service the needs of participating communities for a 15 year period</w:t>
      </w:r>
      <w:r w:rsidR="000D6353">
        <w:rPr>
          <w:rFonts w:cs="Arial"/>
          <w:szCs w:val="24"/>
        </w:rPr>
        <w:t>.</w:t>
      </w:r>
    </w:p>
    <w:p w:rsidR="000D6353" w:rsidRPr="000D6353" w:rsidRDefault="000D6353" w:rsidP="00CD54A6">
      <w:pPr>
        <w:keepLines/>
        <w:ind w:left="426" w:hanging="426"/>
        <w:rPr>
          <w:rFonts w:cs="Arial"/>
          <w:szCs w:val="24"/>
        </w:rPr>
      </w:pPr>
    </w:p>
    <w:p w:rsidR="00B443DD" w:rsidRPr="000D6353" w:rsidRDefault="00575A0A" w:rsidP="00B524E2">
      <w:pPr>
        <w:pStyle w:val="ListParagraph"/>
        <w:keepLines/>
        <w:numPr>
          <w:ilvl w:val="0"/>
          <w:numId w:val="16"/>
        </w:numPr>
        <w:ind w:left="426" w:hanging="426"/>
        <w:rPr>
          <w:rFonts w:cs="Arial"/>
          <w:szCs w:val="24"/>
        </w:rPr>
      </w:pPr>
      <w:r w:rsidRPr="000D6353">
        <w:rPr>
          <w:rFonts w:cs="Arial"/>
          <w:i/>
          <w:szCs w:val="24"/>
        </w:rPr>
        <w:t>Organics Recycling in Australia Industry Statistics 2011</w:t>
      </w:r>
      <w:r w:rsidRPr="000D6353">
        <w:rPr>
          <w:rStyle w:val="EndnoteReference"/>
          <w:rFonts w:cs="Arial"/>
          <w:i/>
          <w:szCs w:val="24"/>
        </w:rPr>
        <w:endnoteReference w:id="26"/>
      </w:r>
      <w:r w:rsidR="000D6353" w:rsidRPr="000D6353">
        <w:rPr>
          <w:rFonts w:cs="Arial"/>
          <w:i/>
          <w:szCs w:val="24"/>
        </w:rPr>
        <w:t xml:space="preserve"> </w:t>
      </w:r>
      <w:r w:rsidR="00B75027">
        <w:rPr>
          <w:rFonts w:cs="Arial"/>
          <w:i/>
          <w:szCs w:val="24"/>
        </w:rPr>
        <w:t>–</w:t>
      </w:r>
      <w:r w:rsidR="000D6353" w:rsidRPr="000D6353">
        <w:rPr>
          <w:rFonts w:cs="Arial"/>
          <w:i/>
          <w:szCs w:val="24"/>
        </w:rPr>
        <w:t xml:space="preserve"> </w:t>
      </w:r>
      <w:r w:rsidR="000D6353" w:rsidRPr="000D6353">
        <w:rPr>
          <w:rFonts w:cs="Arial"/>
          <w:szCs w:val="24"/>
        </w:rPr>
        <w:t xml:space="preserve">May 2013 </w:t>
      </w:r>
      <w:r w:rsidR="00B75027">
        <w:rPr>
          <w:rFonts w:cs="Arial"/>
          <w:szCs w:val="24"/>
        </w:rPr>
        <w:t>–</w:t>
      </w:r>
      <w:r w:rsidR="000D6353" w:rsidRPr="000D6353">
        <w:rPr>
          <w:rFonts w:cs="Arial"/>
          <w:szCs w:val="24"/>
        </w:rPr>
        <w:t xml:space="preserve"> </w:t>
      </w:r>
      <w:r w:rsidRPr="000D6353">
        <w:rPr>
          <w:rFonts w:cs="Arial"/>
          <w:szCs w:val="24"/>
        </w:rPr>
        <w:t xml:space="preserve">collates national and jurisdictional organics recycling data for 2010-11, including the composition of organic material and the </w:t>
      </w:r>
      <w:r w:rsidR="000D6353">
        <w:rPr>
          <w:rFonts w:cs="Arial"/>
          <w:szCs w:val="24"/>
        </w:rPr>
        <w:t>types of recycled products sold to inform the National Waste Report 2013.</w:t>
      </w:r>
    </w:p>
    <w:p w:rsidR="006B3148" w:rsidRDefault="006B3148">
      <w:pPr>
        <w:spacing w:line="360" w:lineRule="auto"/>
        <w:rPr>
          <w:rStyle w:val="Heading2Char"/>
          <w:i/>
          <w:szCs w:val="24"/>
        </w:rPr>
      </w:pPr>
    </w:p>
    <w:p w:rsidR="00A47708" w:rsidRPr="004234FB" w:rsidRDefault="00DA4C98" w:rsidP="006B3148">
      <w:pPr>
        <w:pStyle w:val="Heading2"/>
        <w:pBdr>
          <w:top w:val="single" w:sz="4" w:space="1" w:color="auto"/>
          <w:left w:val="single" w:sz="4" w:space="4" w:color="auto"/>
          <w:right w:val="single" w:sz="4" w:space="4" w:color="auto"/>
        </w:pBdr>
        <w:shd w:val="clear" w:color="auto" w:fill="FFCC00"/>
        <w:rPr>
          <w:b w:val="0"/>
          <w:szCs w:val="24"/>
        </w:rPr>
      </w:pPr>
      <w:bookmarkStart w:id="43" w:name="_Toc383092773"/>
      <w:r w:rsidRPr="00DA4C98">
        <w:rPr>
          <w:szCs w:val="24"/>
        </w:rPr>
        <w:t>Strategy 8</w:t>
      </w:r>
      <w:r w:rsidR="00A47708">
        <w:rPr>
          <w:szCs w:val="24"/>
        </w:rPr>
        <w:t xml:space="preserve"> </w:t>
      </w:r>
      <w:r w:rsidR="00B75027">
        <w:rPr>
          <w:szCs w:val="24"/>
        </w:rPr>
        <w:t>–</w:t>
      </w:r>
      <w:r w:rsidR="00A47708">
        <w:rPr>
          <w:szCs w:val="24"/>
        </w:rPr>
        <w:t xml:space="preserve"> </w:t>
      </w:r>
      <w:r w:rsidR="00A47708" w:rsidRPr="004234FB">
        <w:rPr>
          <w:rStyle w:val="Heading3Char"/>
          <w:b/>
        </w:rPr>
        <w:t>Managing health and safety risks</w:t>
      </w:r>
      <w:bookmarkEnd w:id="43"/>
      <w:r w:rsidRPr="004234FB">
        <w:rPr>
          <w:b w:val="0"/>
          <w:szCs w:val="24"/>
        </w:rPr>
        <w:t xml:space="preserve"> </w:t>
      </w:r>
    </w:p>
    <w:p w:rsidR="00A47708" w:rsidRDefault="00A47708"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szCs w:val="24"/>
        </w:rPr>
      </w:pPr>
    </w:p>
    <w:p w:rsidR="00A369B2" w:rsidRPr="00A47708" w:rsidRDefault="0098520D"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rPr>
      </w:pPr>
      <w:r w:rsidRPr="0098520D">
        <w:rPr>
          <w:rFonts w:cs="Arial"/>
          <w:i/>
          <w:szCs w:val="24"/>
        </w:rPr>
        <w:t>Ensure the safety and health risks arising from landfill gas emissions are managed across all landfills through appropriate regu</w:t>
      </w:r>
      <w:r w:rsidR="00A47708">
        <w:rPr>
          <w:rFonts w:cs="Arial"/>
          <w:i/>
          <w:szCs w:val="24"/>
        </w:rPr>
        <w:t>lation and license requirements</w:t>
      </w:r>
      <w:r w:rsidR="002B62A5">
        <w:rPr>
          <w:rFonts w:cs="Arial"/>
          <w:i/>
          <w:szCs w:val="24"/>
        </w:rPr>
        <w:br/>
      </w:r>
    </w:p>
    <w:p w:rsidR="00A369B2" w:rsidRDefault="00A369B2" w:rsidP="00B1306B">
      <w:pPr>
        <w:rPr>
          <w:rFonts w:cs="Arial"/>
          <w:szCs w:val="24"/>
        </w:rPr>
      </w:pPr>
    </w:p>
    <w:p w:rsidR="00A369B2" w:rsidRDefault="004C6582" w:rsidP="00B1306B">
      <w:pPr>
        <w:rPr>
          <w:szCs w:val="24"/>
        </w:rPr>
      </w:pPr>
      <w:r w:rsidRPr="004C6582">
        <w:rPr>
          <w:szCs w:val="24"/>
        </w:rPr>
        <w:t xml:space="preserve">Landfills can have impacts on air, water, soil and biota. Potentially hazardous substances can be released to the air </w:t>
      </w:r>
      <w:r w:rsidR="009A4778" w:rsidRPr="004C6582">
        <w:rPr>
          <w:szCs w:val="24"/>
        </w:rPr>
        <w:t xml:space="preserve">from landfill </w:t>
      </w:r>
      <w:r w:rsidRPr="004C6582">
        <w:rPr>
          <w:szCs w:val="24"/>
        </w:rPr>
        <w:t xml:space="preserve">and also migrate through the surrounding soil either directly, via </w:t>
      </w:r>
      <w:proofErr w:type="spellStart"/>
      <w:r w:rsidRPr="004C6582">
        <w:rPr>
          <w:szCs w:val="24"/>
        </w:rPr>
        <w:t>leachate</w:t>
      </w:r>
      <w:proofErr w:type="spellEnd"/>
      <w:r w:rsidRPr="004C6582">
        <w:rPr>
          <w:szCs w:val="24"/>
        </w:rPr>
        <w:t>, or in landfill gas. Landfill gas is created by the</w:t>
      </w:r>
      <w:r w:rsidRPr="004C6582">
        <w:rPr>
          <w:rFonts w:ascii="TheSansSemiLight-Plain" w:hAnsi="TheSansSemiLight-Plain" w:cs="TheSansSemiLight-Plain"/>
          <w:szCs w:val="24"/>
        </w:rPr>
        <w:t xml:space="preserve"> </w:t>
      </w:r>
      <w:r w:rsidRPr="004C6582">
        <w:rPr>
          <w:szCs w:val="24"/>
        </w:rPr>
        <w:t xml:space="preserve">decomposition of organic waste and consists mainly of methane and carbon dioxide, which are greenhouse gases. </w:t>
      </w:r>
    </w:p>
    <w:p w:rsidR="00A47708" w:rsidRDefault="00A47708" w:rsidP="00A47708">
      <w:pPr>
        <w:rPr>
          <w:rFonts w:cs="Arial"/>
          <w:szCs w:val="24"/>
        </w:rPr>
      </w:pPr>
    </w:p>
    <w:p w:rsidR="00A47708" w:rsidRDefault="00A864C5" w:rsidP="00A47708">
      <w:pPr>
        <w:rPr>
          <w:rFonts w:cs="Arial"/>
          <w:szCs w:val="24"/>
        </w:rPr>
      </w:pPr>
      <w:r>
        <w:rPr>
          <w:rFonts w:cs="Arial"/>
          <w:szCs w:val="24"/>
        </w:rPr>
        <w:t>Key initiatives</w:t>
      </w:r>
      <w:r w:rsidR="00A47708">
        <w:rPr>
          <w:rFonts w:cs="Arial"/>
          <w:szCs w:val="24"/>
        </w:rPr>
        <w:t xml:space="preserve"> in this area include:</w:t>
      </w:r>
    </w:p>
    <w:p w:rsidR="0082013A" w:rsidRDefault="0082013A" w:rsidP="00B1306B">
      <w:pPr>
        <w:rPr>
          <w:rFonts w:cs="Arial"/>
          <w:szCs w:val="24"/>
        </w:rPr>
      </w:pPr>
    </w:p>
    <w:p w:rsidR="009A4778" w:rsidRDefault="00575A0A" w:rsidP="00B524E2">
      <w:pPr>
        <w:pStyle w:val="ListParagraph"/>
        <w:widowControl w:val="0"/>
        <w:numPr>
          <w:ilvl w:val="0"/>
          <w:numId w:val="17"/>
        </w:numPr>
        <w:ind w:left="426" w:hanging="426"/>
        <w:rPr>
          <w:rFonts w:cs="Arial"/>
          <w:szCs w:val="24"/>
        </w:rPr>
      </w:pPr>
      <w:r w:rsidRPr="00D14FD6">
        <w:rPr>
          <w:rFonts w:cs="Arial"/>
          <w:i/>
          <w:szCs w:val="24"/>
        </w:rPr>
        <w:t>Closed landfill guidelines</w:t>
      </w:r>
      <w:r w:rsidRPr="00D14FD6">
        <w:rPr>
          <w:rStyle w:val="EndnoteReference"/>
          <w:rFonts w:cs="Arial"/>
          <w:i/>
          <w:szCs w:val="24"/>
        </w:rPr>
        <w:endnoteReference w:id="27"/>
      </w:r>
      <w:r w:rsidRPr="00D14FD6">
        <w:rPr>
          <w:rFonts w:cs="Arial"/>
          <w:szCs w:val="24"/>
        </w:rPr>
        <w:t xml:space="preserve"> </w:t>
      </w:r>
      <w:r w:rsidR="00B75027">
        <w:rPr>
          <w:rFonts w:cs="Arial"/>
          <w:szCs w:val="24"/>
        </w:rPr>
        <w:t>–</w:t>
      </w:r>
      <w:r w:rsidRPr="00D14FD6">
        <w:rPr>
          <w:rFonts w:cs="Arial"/>
          <w:szCs w:val="24"/>
        </w:rPr>
        <w:t xml:space="preserve"> December</w:t>
      </w:r>
      <w:r w:rsidR="0098520D" w:rsidRPr="00A47708">
        <w:rPr>
          <w:rFonts w:cs="Arial"/>
          <w:szCs w:val="24"/>
        </w:rPr>
        <w:t xml:space="preserve"> 2012</w:t>
      </w:r>
      <w:r w:rsidR="00A47708">
        <w:rPr>
          <w:rFonts w:cs="Arial"/>
          <w:szCs w:val="24"/>
        </w:rPr>
        <w:t xml:space="preserve"> </w:t>
      </w:r>
      <w:r w:rsidR="00D14FD6">
        <w:rPr>
          <w:rFonts w:cs="Arial"/>
          <w:szCs w:val="24"/>
        </w:rPr>
        <w:t>–</w:t>
      </w:r>
      <w:r w:rsidR="00A47708">
        <w:rPr>
          <w:rFonts w:cs="Arial"/>
          <w:szCs w:val="24"/>
        </w:rPr>
        <w:t xml:space="preserve"> </w:t>
      </w:r>
      <w:r w:rsidR="00D14FD6">
        <w:rPr>
          <w:rFonts w:cs="Arial"/>
          <w:szCs w:val="24"/>
        </w:rPr>
        <w:t>provides guidance to assist landfill operators with rehabilitation and aftercare management requirements for closed landfills, and assist with seeking necessary approvals for construction or augmentation of landfill caps.</w:t>
      </w:r>
    </w:p>
    <w:p w:rsidR="00F710CD" w:rsidRDefault="00F710CD" w:rsidP="00CD54A6">
      <w:pPr>
        <w:widowControl w:val="0"/>
        <w:ind w:left="426" w:hanging="426"/>
        <w:rPr>
          <w:rFonts w:cs="Arial"/>
          <w:szCs w:val="24"/>
        </w:rPr>
      </w:pPr>
    </w:p>
    <w:p w:rsidR="00F710CD" w:rsidRPr="00F710CD" w:rsidRDefault="0006441E" w:rsidP="00B524E2">
      <w:pPr>
        <w:pStyle w:val="ListParagraph"/>
        <w:numPr>
          <w:ilvl w:val="0"/>
          <w:numId w:val="17"/>
        </w:numPr>
        <w:ind w:left="426" w:hanging="426"/>
        <w:rPr>
          <w:rFonts w:cs="Arial"/>
          <w:szCs w:val="24"/>
        </w:rPr>
      </w:pPr>
      <w:r w:rsidRPr="0006441E">
        <w:rPr>
          <w:rFonts w:cs="Arial"/>
          <w:i/>
          <w:szCs w:val="24"/>
        </w:rPr>
        <w:t>Model of Australian Landfills Project</w:t>
      </w:r>
      <w:r>
        <w:rPr>
          <w:rFonts w:cs="Arial"/>
          <w:szCs w:val="24"/>
        </w:rPr>
        <w:t xml:space="preserve"> – February 2013 </w:t>
      </w:r>
      <w:r w:rsidR="00B75027">
        <w:rPr>
          <w:rFonts w:cs="Arial"/>
          <w:szCs w:val="24"/>
        </w:rPr>
        <w:t>–</w:t>
      </w:r>
      <w:r>
        <w:rPr>
          <w:rFonts w:cs="Arial"/>
          <w:szCs w:val="24"/>
        </w:rPr>
        <w:t xml:space="preserve"> </w:t>
      </w:r>
      <w:r w:rsidR="00F710CD" w:rsidRPr="00F710CD">
        <w:rPr>
          <w:rFonts w:cs="Arial"/>
          <w:szCs w:val="24"/>
        </w:rPr>
        <w:t>a project to validate a</w:t>
      </w:r>
      <w:r>
        <w:rPr>
          <w:rFonts w:cs="Arial"/>
          <w:szCs w:val="24"/>
        </w:rPr>
        <w:t xml:space="preserve"> model of landfills</w:t>
      </w:r>
      <w:r w:rsidR="00F710CD" w:rsidRPr="00F710CD">
        <w:rPr>
          <w:rFonts w:cs="Arial"/>
          <w:szCs w:val="24"/>
        </w:rPr>
        <w:t xml:space="preserve"> which will improve understanding of how chemicals and other substances persist and behave in</w:t>
      </w:r>
      <w:r w:rsidR="00B94260">
        <w:rPr>
          <w:rFonts w:cs="Arial"/>
          <w:szCs w:val="24"/>
        </w:rPr>
        <w:t xml:space="preserve"> landfill and landfill </w:t>
      </w:r>
      <w:proofErr w:type="spellStart"/>
      <w:r w:rsidR="00B94260">
        <w:rPr>
          <w:rFonts w:cs="Arial"/>
          <w:szCs w:val="24"/>
        </w:rPr>
        <w:t>leachate</w:t>
      </w:r>
      <w:proofErr w:type="spellEnd"/>
      <w:r w:rsidR="00B94260">
        <w:rPr>
          <w:rFonts w:cs="Arial"/>
          <w:szCs w:val="24"/>
        </w:rPr>
        <w:t>, to</w:t>
      </w:r>
      <w:r w:rsidR="00F710CD" w:rsidRPr="00F710CD">
        <w:rPr>
          <w:rFonts w:cs="Arial"/>
          <w:szCs w:val="24"/>
        </w:rPr>
        <w:t xml:space="preserve"> be completed by June 2015. </w:t>
      </w:r>
    </w:p>
    <w:p w:rsidR="00DA4C98" w:rsidRPr="00D14FD6" w:rsidRDefault="00DA4C98" w:rsidP="00D14FD6">
      <w:pPr>
        <w:widowControl w:val="0"/>
        <w:ind w:left="360"/>
        <w:rPr>
          <w:rStyle w:val="Heading2Char"/>
          <w:i/>
          <w:szCs w:val="24"/>
        </w:rPr>
      </w:pPr>
    </w:p>
    <w:p w:rsidR="00D14FD6" w:rsidRPr="004234FB" w:rsidRDefault="00DA4C98" w:rsidP="006B3148">
      <w:pPr>
        <w:pStyle w:val="Heading2"/>
        <w:pBdr>
          <w:top w:val="single" w:sz="4" w:space="1" w:color="auto"/>
          <w:left w:val="single" w:sz="4" w:space="4" w:color="auto"/>
          <w:right w:val="single" w:sz="4" w:space="4" w:color="auto"/>
        </w:pBdr>
        <w:shd w:val="clear" w:color="auto" w:fill="FFCC00"/>
        <w:rPr>
          <w:b w:val="0"/>
          <w:szCs w:val="24"/>
        </w:rPr>
      </w:pPr>
      <w:bookmarkStart w:id="44" w:name="_Toc383092774"/>
      <w:r w:rsidRPr="00DA4C98">
        <w:rPr>
          <w:szCs w:val="24"/>
        </w:rPr>
        <w:t>Strategy 9</w:t>
      </w:r>
      <w:r w:rsidR="00D14FD6">
        <w:rPr>
          <w:szCs w:val="24"/>
        </w:rPr>
        <w:t xml:space="preserve"> </w:t>
      </w:r>
      <w:r w:rsidR="00B75027">
        <w:rPr>
          <w:szCs w:val="24"/>
        </w:rPr>
        <w:t>–</w:t>
      </w:r>
      <w:r w:rsidR="00D14FD6">
        <w:rPr>
          <w:szCs w:val="24"/>
        </w:rPr>
        <w:t xml:space="preserve"> </w:t>
      </w:r>
      <w:r w:rsidR="00D14FD6" w:rsidRPr="004234FB">
        <w:rPr>
          <w:rStyle w:val="Heading3Char"/>
          <w:b/>
        </w:rPr>
        <w:t>Emissions from Landfill</w:t>
      </w:r>
      <w:bookmarkEnd w:id="44"/>
    </w:p>
    <w:p w:rsidR="00D14FD6" w:rsidRDefault="00D14FD6" w:rsidP="00B1306B">
      <w:pPr>
        <w:keepNext/>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szCs w:val="24"/>
        </w:rPr>
      </w:pPr>
    </w:p>
    <w:p w:rsidR="00A369B2" w:rsidRDefault="0098520D" w:rsidP="00B1306B">
      <w:pPr>
        <w:keepNext/>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r w:rsidRPr="0098520D">
        <w:rPr>
          <w:rFonts w:cs="Arial"/>
          <w:i/>
          <w:szCs w:val="24"/>
        </w:rPr>
        <w:t>To develop a strategy for measures to address emissions from disposal of waste to landfill</w:t>
      </w:r>
      <w:r w:rsidR="00D14FD6">
        <w:rPr>
          <w:rFonts w:cs="Arial"/>
          <w:i/>
          <w:szCs w:val="24"/>
        </w:rPr>
        <w:t>s and other waste activities and</w:t>
      </w:r>
      <w:r w:rsidRPr="0098520D">
        <w:rPr>
          <w:rFonts w:cs="Arial"/>
          <w:i/>
          <w:szCs w:val="24"/>
        </w:rPr>
        <w:t xml:space="preserve"> through these support the operation of the Clean Energy Act</w:t>
      </w:r>
      <w:r w:rsidR="00D14FD6">
        <w:rPr>
          <w:rFonts w:cs="Arial"/>
          <w:i/>
          <w:szCs w:val="24"/>
        </w:rPr>
        <w:t xml:space="preserve"> and Carbon Farming Initiative</w:t>
      </w:r>
      <w:r w:rsidR="00E62FD4">
        <w:rPr>
          <w:rFonts w:cs="Arial"/>
          <w:i/>
          <w:szCs w:val="24"/>
        </w:rPr>
        <w:br/>
      </w:r>
    </w:p>
    <w:p w:rsidR="001831C1" w:rsidRDefault="001831C1" w:rsidP="00B1306B">
      <w:pPr>
        <w:keepLines/>
        <w:rPr>
          <w:rFonts w:cs="Arial"/>
          <w:szCs w:val="24"/>
        </w:rPr>
      </w:pPr>
    </w:p>
    <w:p w:rsidR="005B1583" w:rsidRDefault="00D14FD6" w:rsidP="003D5DD0">
      <w:pPr>
        <w:keepLines/>
      </w:pPr>
      <w:r>
        <w:t>Approximately 55% of l</w:t>
      </w:r>
      <w:r w:rsidR="008602D5" w:rsidRPr="00541790">
        <w:t>andfill gas</w:t>
      </w:r>
      <w:r>
        <w:t xml:space="preserve"> </w:t>
      </w:r>
      <w:r w:rsidR="00391410">
        <w:t>is</w:t>
      </w:r>
      <w:r w:rsidR="008602D5" w:rsidRPr="00541790">
        <w:t xml:space="preserve"> methane </w:t>
      </w:r>
      <w:r w:rsidR="00391410">
        <w:t>which</w:t>
      </w:r>
      <w:r w:rsidR="008602D5" w:rsidRPr="00541790">
        <w:t xml:space="preserve"> ha</w:t>
      </w:r>
      <w:r w:rsidR="008602D5">
        <w:t>s a g</w:t>
      </w:r>
      <w:r w:rsidR="00FF6D17">
        <w:t>lobal warming potential over 20 </w:t>
      </w:r>
      <w:r w:rsidR="008602D5" w:rsidRPr="00541790">
        <w:t>times that of carbon dioxide</w:t>
      </w:r>
      <w:r>
        <w:t xml:space="preserve"> </w:t>
      </w:r>
      <w:r w:rsidR="00391410">
        <w:t>and i</w:t>
      </w:r>
      <w:r w:rsidR="003D5DD0" w:rsidRPr="003D5DD0">
        <w:t>n 2008 emissions from the waste sector, including solid waste in landfill, were 2.5 per cent of Australia’s national emissions of greenhouse gases.</w:t>
      </w:r>
      <w:r w:rsidR="005B1583">
        <w:t xml:space="preserve"> </w:t>
      </w:r>
      <w:r w:rsidR="003D5DD0">
        <w:t xml:space="preserve">Measures to reduce or abate landfill emissions will contribute to the nation’s emissions targets. </w:t>
      </w:r>
    </w:p>
    <w:p w:rsidR="00B443DD" w:rsidRDefault="00B443DD" w:rsidP="003D5DD0">
      <w:pPr>
        <w:keepLines/>
      </w:pPr>
    </w:p>
    <w:p w:rsidR="00D14FD6" w:rsidRDefault="00A864C5" w:rsidP="00D14FD6">
      <w:pPr>
        <w:rPr>
          <w:rFonts w:cs="Arial"/>
          <w:szCs w:val="24"/>
        </w:rPr>
      </w:pPr>
      <w:r>
        <w:rPr>
          <w:rFonts w:cs="Arial"/>
          <w:szCs w:val="24"/>
        </w:rPr>
        <w:t>Key initiatives</w:t>
      </w:r>
      <w:r w:rsidR="00D14FD6">
        <w:rPr>
          <w:rFonts w:cs="Arial"/>
          <w:szCs w:val="24"/>
        </w:rPr>
        <w:t xml:space="preserve"> in this area include:</w:t>
      </w:r>
    </w:p>
    <w:p w:rsidR="00F621D1" w:rsidRDefault="00F621D1" w:rsidP="00D14FD6">
      <w:pPr>
        <w:rPr>
          <w:rFonts w:cs="Arial"/>
          <w:szCs w:val="24"/>
        </w:rPr>
      </w:pPr>
    </w:p>
    <w:p w:rsidR="00D14FD6" w:rsidRDefault="00DE1110" w:rsidP="00B524E2">
      <w:pPr>
        <w:pStyle w:val="ListParagraph"/>
        <w:keepLines/>
        <w:numPr>
          <w:ilvl w:val="0"/>
          <w:numId w:val="17"/>
        </w:numPr>
        <w:ind w:left="426" w:hanging="426"/>
        <w:rPr>
          <w:rFonts w:cs="Arial"/>
          <w:szCs w:val="24"/>
        </w:rPr>
      </w:pPr>
      <w:r w:rsidRPr="00D14FD6">
        <w:rPr>
          <w:rFonts w:cs="Arial"/>
          <w:i/>
          <w:szCs w:val="24"/>
        </w:rPr>
        <w:t>Transition Support to Improve Rural Landfill Infrastructure</w:t>
      </w:r>
      <w:r w:rsidRPr="00D14FD6">
        <w:rPr>
          <w:rFonts w:cs="Arial"/>
          <w:szCs w:val="24"/>
        </w:rPr>
        <w:t xml:space="preserve"> </w:t>
      </w:r>
      <w:r w:rsidR="00D14FD6" w:rsidRPr="00D14FD6">
        <w:rPr>
          <w:rFonts w:cs="Arial"/>
          <w:i/>
          <w:szCs w:val="24"/>
        </w:rPr>
        <w:t>Program</w:t>
      </w:r>
      <w:r w:rsidR="00B94260">
        <w:rPr>
          <w:rStyle w:val="EndnoteReference"/>
          <w:rFonts w:cs="Arial"/>
          <w:i/>
          <w:szCs w:val="24"/>
        </w:rPr>
        <w:endnoteReference w:id="28"/>
      </w:r>
      <w:r w:rsidR="00D14FD6">
        <w:rPr>
          <w:rFonts w:cs="Arial"/>
          <w:szCs w:val="24"/>
        </w:rPr>
        <w:t xml:space="preserve"> </w:t>
      </w:r>
      <w:r w:rsidR="00B75027">
        <w:rPr>
          <w:rFonts w:cs="Arial"/>
          <w:szCs w:val="24"/>
        </w:rPr>
        <w:t>–</w:t>
      </w:r>
      <w:r w:rsidR="00D14FD6">
        <w:rPr>
          <w:rFonts w:cs="Arial"/>
          <w:szCs w:val="24"/>
        </w:rPr>
        <w:t xml:space="preserve"> </w:t>
      </w:r>
      <w:r w:rsidRPr="00D14FD6">
        <w:rPr>
          <w:rFonts w:cs="Arial"/>
          <w:szCs w:val="24"/>
        </w:rPr>
        <w:t>June</w:t>
      </w:r>
      <w:r w:rsidR="00B75027">
        <w:rPr>
          <w:rFonts w:cs="Arial"/>
          <w:szCs w:val="24"/>
        </w:rPr>
        <w:t> </w:t>
      </w:r>
      <w:r w:rsidRPr="00D14FD6">
        <w:rPr>
          <w:rFonts w:cs="Arial"/>
          <w:szCs w:val="24"/>
        </w:rPr>
        <w:t>2012</w:t>
      </w:r>
      <w:r w:rsidR="00D14FD6">
        <w:rPr>
          <w:rFonts w:cs="Arial"/>
          <w:szCs w:val="24"/>
        </w:rPr>
        <w:t xml:space="preserve"> </w:t>
      </w:r>
      <w:r w:rsidR="00B75027">
        <w:rPr>
          <w:rFonts w:cs="Arial"/>
          <w:szCs w:val="24"/>
        </w:rPr>
        <w:t>–</w:t>
      </w:r>
      <w:r w:rsidR="00D14FD6">
        <w:rPr>
          <w:rFonts w:cs="Arial"/>
          <w:szCs w:val="24"/>
        </w:rPr>
        <w:t xml:space="preserve"> </w:t>
      </w:r>
      <w:r w:rsidR="005A746A" w:rsidRPr="00D14FD6">
        <w:rPr>
          <w:rFonts w:cs="Arial"/>
          <w:szCs w:val="24"/>
        </w:rPr>
        <w:t xml:space="preserve">$3.87 million </w:t>
      </w:r>
      <w:r w:rsidR="00B8762D">
        <w:rPr>
          <w:rFonts w:cs="Arial"/>
          <w:szCs w:val="24"/>
        </w:rPr>
        <w:t xml:space="preserve">over 17 operators </w:t>
      </w:r>
      <w:r w:rsidR="005A746A" w:rsidRPr="00D14FD6">
        <w:rPr>
          <w:rFonts w:cs="Arial"/>
          <w:szCs w:val="24"/>
        </w:rPr>
        <w:t xml:space="preserve">to help </w:t>
      </w:r>
      <w:r w:rsidR="00D14FD6">
        <w:rPr>
          <w:rFonts w:cs="Arial"/>
          <w:szCs w:val="24"/>
        </w:rPr>
        <w:t xml:space="preserve">Victorian </w:t>
      </w:r>
      <w:r w:rsidR="005A746A" w:rsidRPr="00D14FD6">
        <w:rPr>
          <w:rFonts w:cs="Arial"/>
          <w:szCs w:val="24"/>
        </w:rPr>
        <w:t>rural landfill operators to transition to best practice standards</w:t>
      </w:r>
      <w:r w:rsidRPr="00D14FD6">
        <w:rPr>
          <w:rFonts w:cs="Arial"/>
          <w:szCs w:val="24"/>
        </w:rPr>
        <w:t xml:space="preserve">. </w:t>
      </w:r>
      <w:r w:rsidR="003135ED" w:rsidRPr="00D14FD6">
        <w:rPr>
          <w:rFonts w:cs="Arial"/>
          <w:szCs w:val="24"/>
        </w:rPr>
        <w:t xml:space="preserve">The funds cover the costs of protective </w:t>
      </w:r>
      <w:proofErr w:type="spellStart"/>
      <w:r w:rsidR="003135ED" w:rsidRPr="00D14FD6">
        <w:rPr>
          <w:rFonts w:cs="Arial"/>
          <w:szCs w:val="24"/>
        </w:rPr>
        <w:t>geomembranes</w:t>
      </w:r>
      <w:proofErr w:type="spellEnd"/>
      <w:r w:rsidR="00E13A93" w:rsidRPr="00D14FD6">
        <w:rPr>
          <w:rFonts w:cs="Arial"/>
          <w:szCs w:val="24"/>
        </w:rPr>
        <w:t xml:space="preserve"> </w:t>
      </w:r>
      <w:r w:rsidR="003135ED" w:rsidRPr="00D14FD6">
        <w:rPr>
          <w:rFonts w:cs="Arial"/>
          <w:szCs w:val="24"/>
        </w:rPr>
        <w:t>and associated tes</w:t>
      </w:r>
      <w:r w:rsidR="00B8762D">
        <w:rPr>
          <w:rFonts w:cs="Arial"/>
          <w:szCs w:val="24"/>
        </w:rPr>
        <w:t>ting, installation and auditing</w:t>
      </w:r>
      <w:r w:rsidR="003135ED" w:rsidRPr="00D14FD6">
        <w:rPr>
          <w:rFonts w:cs="Arial"/>
          <w:szCs w:val="24"/>
        </w:rPr>
        <w:t>.</w:t>
      </w:r>
    </w:p>
    <w:p w:rsidR="00D14FD6" w:rsidRPr="00D14FD6" w:rsidRDefault="00D14FD6" w:rsidP="00D14FD6">
      <w:pPr>
        <w:keepLines/>
        <w:ind w:left="360"/>
        <w:rPr>
          <w:rFonts w:cs="Arial"/>
          <w:szCs w:val="24"/>
        </w:rPr>
      </w:pPr>
    </w:p>
    <w:p w:rsidR="006930A3" w:rsidRPr="004234FB" w:rsidRDefault="006930A3" w:rsidP="006930A3">
      <w:pPr>
        <w:pStyle w:val="Heading2"/>
        <w:pBdr>
          <w:top w:val="single" w:sz="4" w:space="1" w:color="auto"/>
          <w:left w:val="single" w:sz="4" w:space="4" w:color="auto"/>
          <w:right w:val="single" w:sz="4" w:space="4" w:color="auto"/>
        </w:pBdr>
        <w:shd w:val="clear" w:color="auto" w:fill="FFCC00"/>
        <w:rPr>
          <w:b w:val="0"/>
          <w:szCs w:val="24"/>
        </w:rPr>
      </w:pPr>
      <w:bookmarkStart w:id="45" w:name="_Toc383092775"/>
      <w:r w:rsidRPr="00DA4C98">
        <w:rPr>
          <w:szCs w:val="24"/>
        </w:rPr>
        <w:t xml:space="preserve">Strategy </w:t>
      </w:r>
      <w:r>
        <w:rPr>
          <w:szCs w:val="24"/>
        </w:rPr>
        <w:t xml:space="preserve">10 </w:t>
      </w:r>
      <w:r w:rsidR="00B75027">
        <w:rPr>
          <w:szCs w:val="24"/>
        </w:rPr>
        <w:t>–</w:t>
      </w:r>
      <w:r w:rsidR="004234FB">
        <w:rPr>
          <w:szCs w:val="24"/>
        </w:rPr>
        <w:t xml:space="preserve"> </w:t>
      </w:r>
      <w:r w:rsidRPr="004234FB">
        <w:rPr>
          <w:rStyle w:val="Heading3Char"/>
          <w:b/>
        </w:rPr>
        <w:t>Commercial and Industrial</w:t>
      </w:r>
      <w:bookmarkEnd w:id="45"/>
    </w:p>
    <w:p w:rsidR="006930A3" w:rsidRDefault="006930A3" w:rsidP="006930A3">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p>
    <w:p w:rsidR="006930A3" w:rsidRDefault="006930A3" w:rsidP="006930A3">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szCs w:val="24"/>
        </w:rPr>
      </w:pPr>
      <w:r w:rsidRPr="0098520D">
        <w:rPr>
          <w:rFonts w:cs="Arial"/>
          <w:i/>
          <w:szCs w:val="24"/>
        </w:rPr>
        <w:t>To achieve major improvements in waste avoidance and reuse of key materials in the commerc</w:t>
      </w:r>
      <w:r>
        <w:rPr>
          <w:rFonts w:cs="Arial"/>
          <w:i/>
          <w:szCs w:val="24"/>
        </w:rPr>
        <w:t>ial and industrial waste stream</w:t>
      </w:r>
      <w:r>
        <w:rPr>
          <w:rFonts w:cs="Arial"/>
          <w:i/>
          <w:szCs w:val="24"/>
        </w:rPr>
        <w:br/>
      </w:r>
    </w:p>
    <w:p w:rsidR="006930A3" w:rsidRDefault="006930A3" w:rsidP="00B1306B">
      <w:pPr>
        <w:rPr>
          <w:szCs w:val="24"/>
        </w:rPr>
      </w:pPr>
    </w:p>
    <w:p w:rsidR="004C6582" w:rsidRDefault="004C6582" w:rsidP="006C2E2F">
      <w:pPr>
        <w:keepLines/>
        <w:rPr>
          <w:szCs w:val="24"/>
        </w:rPr>
      </w:pPr>
      <w:r w:rsidRPr="004C6582">
        <w:rPr>
          <w:szCs w:val="24"/>
        </w:rPr>
        <w:t xml:space="preserve">The </w:t>
      </w:r>
      <w:r w:rsidR="00DB7CB1">
        <w:rPr>
          <w:szCs w:val="24"/>
        </w:rPr>
        <w:t xml:space="preserve">commercial and industrial waste stream </w:t>
      </w:r>
      <w:r w:rsidR="00560CA0">
        <w:rPr>
          <w:szCs w:val="24"/>
        </w:rPr>
        <w:t xml:space="preserve">includes waste material generated from </w:t>
      </w:r>
      <w:r w:rsidRPr="004C6582">
        <w:rPr>
          <w:szCs w:val="24"/>
        </w:rPr>
        <w:t xml:space="preserve">commercial office buildings, education facilities, shopping centres, public buildings and government facilities (other than from councils), sports facilities, and a range of industrial sites ranging from light industry (such as warehousing) through to heavy industry (such as manufacturing). It may include hazardous or potentially hazardous wastes. </w:t>
      </w:r>
    </w:p>
    <w:p w:rsidR="006C2E2F" w:rsidRDefault="006C2E2F" w:rsidP="006C2E2F">
      <w:pPr>
        <w:keepLines/>
        <w:rPr>
          <w:szCs w:val="24"/>
        </w:rPr>
      </w:pPr>
    </w:p>
    <w:p w:rsidR="00A864C5" w:rsidRDefault="00A864C5" w:rsidP="00F621D1">
      <w:pPr>
        <w:keepNext/>
        <w:keepLines/>
        <w:rPr>
          <w:rFonts w:cs="Arial"/>
          <w:szCs w:val="24"/>
        </w:rPr>
      </w:pPr>
      <w:r>
        <w:rPr>
          <w:rFonts w:cs="Arial"/>
          <w:szCs w:val="24"/>
        </w:rPr>
        <w:lastRenderedPageBreak/>
        <w:t>Key initiatives in this area include:</w:t>
      </w:r>
    </w:p>
    <w:p w:rsidR="00A864C5" w:rsidRDefault="00A864C5" w:rsidP="00F621D1">
      <w:pPr>
        <w:keepNext/>
        <w:keepLines/>
        <w:rPr>
          <w:rFonts w:cs="Arial"/>
          <w:szCs w:val="24"/>
        </w:rPr>
      </w:pPr>
    </w:p>
    <w:p w:rsidR="00513903" w:rsidRDefault="00513903" w:rsidP="00F621D1">
      <w:pPr>
        <w:pStyle w:val="ListParagraph"/>
        <w:keepNext/>
        <w:keepLines/>
        <w:numPr>
          <w:ilvl w:val="0"/>
          <w:numId w:val="30"/>
        </w:numPr>
      </w:pPr>
      <w:r w:rsidRPr="00DF33F8">
        <w:rPr>
          <w:i/>
        </w:rPr>
        <w:t>Bin Trim Program</w:t>
      </w:r>
      <w:r>
        <w:rPr>
          <w:rStyle w:val="EndnoteReference"/>
          <w:i/>
          <w:szCs w:val="24"/>
        </w:rPr>
        <w:endnoteReference w:id="29"/>
      </w:r>
      <w:r w:rsidRPr="00DF33F8">
        <w:t xml:space="preserve"> </w:t>
      </w:r>
      <w:r w:rsidR="00B75027">
        <w:t>–</w:t>
      </w:r>
      <w:r>
        <w:t xml:space="preserve"> </w:t>
      </w:r>
      <w:r w:rsidRPr="00DF33F8">
        <w:t xml:space="preserve">a simple electronic tool and supporting education program that assists </w:t>
      </w:r>
      <w:r>
        <w:t>NSW</w:t>
      </w:r>
      <w:r w:rsidRPr="00DF33F8">
        <w:t xml:space="preserve"> </w:t>
      </w:r>
      <w:r>
        <w:t xml:space="preserve">small to medium </w:t>
      </w:r>
      <w:r w:rsidRPr="00DF33F8">
        <w:t>business</w:t>
      </w:r>
      <w:r>
        <w:t>es</w:t>
      </w:r>
      <w:r w:rsidRPr="00DF33F8">
        <w:t xml:space="preserve"> to measure their waste and gives tailored information to reduce, reuse and recycle materials. In 2011-12, the Bin Trim tool and assessment process was piloted in 105 businesses. On average each business recovered an additional 41 tonnes of recyclables each year.</w:t>
      </w:r>
    </w:p>
    <w:p w:rsidR="00513903" w:rsidRPr="00DF33F8" w:rsidRDefault="00513903" w:rsidP="006B3524">
      <w:pPr>
        <w:pStyle w:val="ListParagraph"/>
        <w:numPr>
          <w:ilvl w:val="0"/>
          <w:numId w:val="0"/>
        </w:numPr>
        <w:ind w:left="369"/>
      </w:pPr>
    </w:p>
    <w:p w:rsidR="00630E46" w:rsidRDefault="00630E46" w:rsidP="00B524E2">
      <w:pPr>
        <w:pStyle w:val="ListParagraph"/>
        <w:numPr>
          <w:ilvl w:val="0"/>
          <w:numId w:val="30"/>
        </w:numPr>
      </w:pPr>
      <w:r w:rsidRPr="00630E46">
        <w:rPr>
          <w:i/>
        </w:rPr>
        <w:t>Driving Investment in New Recycling</w:t>
      </w:r>
      <w:r w:rsidR="00117FCD">
        <w:rPr>
          <w:rStyle w:val="EndnoteReference"/>
          <w:i/>
          <w:szCs w:val="24"/>
        </w:rPr>
        <w:endnoteReference w:id="30"/>
      </w:r>
      <w:r w:rsidRPr="00630E46">
        <w:t xml:space="preserve"> </w:t>
      </w:r>
      <w:r w:rsidR="00B75027">
        <w:t>–</w:t>
      </w:r>
      <w:r>
        <w:t xml:space="preserve"> </w:t>
      </w:r>
      <w:r w:rsidR="00B266E4" w:rsidRPr="00630E46">
        <w:t>June 2012</w:t>
      </w:r>
      <w:r>
        <w:t xml:space="preserve"> </w:t>
      </w:r>
      <w:r w:rsidR="00B75027">
        <w:t>–</w:t>
      </w:r>
      <w:r>
        <w:t xml:space="preserve"> a</w:t>
      </w:r>
      <w:r w:rsidR="00B266E4" w:rsidRPr="00630E46">
        <w:t xml:space="preserve"> Victorian Government $5</w:t>
      </w:r>
      <w:r w:rsidR="00B75027">
        <w:t> </w:t>
      </w:r>
      <w:r w:rsidR="00B266E4" w:rsidRPr="00630E46">
        <w:t>million fund which targets small to medium scale processing infrastructure for mixed commercial and industrial waste and organics</w:t>
      </w:r>
      <w:r>
        <w:t>.</w:t>
      </w:r>
    </w:p>
    <w:p w:rsidR="00630E46" w:rsidRDefault="00630E46" w:rsidP="006B3524">
      <w:pPr>
        <w:pStyle w:val="ListParagraph"/>
        <w:numPr>
          <w:ilvl w:val="0"/>
          <w:numId w:val="0"/>
        </w:numPr>
        <w:ind w:left="369"/>
      </w:pPr>
    </w:p>
    <w:p w:rsidR="00B266E4" w:rsidRPr="00630E46" w:rsidRDefault="00B266E4" w:rsidP="00B524E2">
      <w:pPr>
        <w:pStyle w:val="ListParagraph"/>
        <w:numPr>
          <w:ilvl w:val="0"/>
          <w:numId w:val="30"/>
        </w:numPr>
      </w:pPr>
      <w:r w:rsidRPr="00630E46">
        <w:rPr>
          <w:i/>
        </w:rPr>
        <w:t>Resource Recovery Infrastructure</w:t>
      </w:r>
      <w:r w:rsidR="00EA7DC1">
        <w:rPr>
          <w:rStyle w:val="EndnoteReference"/>
          <w:i/>
          <w:szCs w:val="24"/>
        </w:rPr>
        <w:endnoteReference w:id="31"/>
      </w:r>
      <w:r w:rsidRPr="00630E46">
        <w:t xml:space="preserve"> </w:t>
      </w:r>
      <w:r w:rsidR="00B75027">
        <w:t>–</w:t>
      </w:r>
      <w:r w:rsidR="00630E46">
        <w:t xml:space="preserve"> June 2012 a Victorian Government $6.5m f</w:t>
      </w:r>
      <w:r w:rsidRPr="00630E46">
        <w:t>und which aims to encourage development of large scale infrastructure (&gt;100</w:t>
      </w:r>
      <w:r w:rsidR="00B75027">
        <w:t> </w:t>
      </w:r>
      <w:r w:rsidRPr="00630E46">
        <w:t>000 tonnes per annum) to process commercial and industrial waste</w:t>
      </w:r>
      <w:r w:rsidR="00630E46">
        <w:t>.</w:t>
      </w:r>
    </w:p>
    <w:p w:rsidR="00560CA0" w:rsidRPr="00630E46" w:rsidRDefault="00560CA0" w:rsidP="006B3524">
      <w:pPr>
        <w:pStyle w:val="ListParagraph"/>
        <w:numPr>
          <w:ilvl w:val="0"/>
          <w:numId w:val="0"/>
        </w:numPr>
        <w:ind w:left="369"/>
      </w:pPr>
    </w:p>
    <w:p w:rsidR="00B443DD" w:rsidRPr="00630E46" w:rsidRDefault="00630E46" w:rsidP="00B524E2">
      <w:pPr>
        <w:pStyle w:val="ListParagraph"/>
        <w:numPr>
          <w:ilvl w:val="0"/>
          <w:numId w:val="30"/>
        </w:numPr>
        <w:rPr>
          <w:i/>
        </w:rPr>
      </w:pPr>
      <w:r w:rsidRPr="00630E46">
        <w:rPr>
          <w:i/>
        </w:rPr>
        <w:t>Review of Waste Reduction and Recycling Programs Targeting the Commercial and Industrial Sector</w:t>
      </w:r>
      <w:r w:rsidRPr="00630E46">
        <w:rPr>
          <w:rStyle w:val="EndnoteReference"/>
          <w:i/>
          <w:szCs w:val="24"/>
        </w:rPr>
        <w:endnoteReference w:id="32"/>
      </w:r>
      <w:r w:rsidRPr="00630E46">
        <w:rPr>
          <w:i/>
        </w:rPr>
        <w:t xml:space="preserve"> </w:t>
      </w:r>
      <w:r w:rsidR="00B75027">
        <w:t>–</w:t>
      </w:r>
      <w:r w:rsidRPr="00630E46">
        <w:t xml:space="preserve"> 2012 </w:t>
      </w:r>
      <w:r w:rsidR="00B75027">
        <w:t>–</w:t>
      </w:r>
      <w:r w:rsidRPr="00630E46">
        <w:t xml:space="preserve"> found that government programs in the commercial and industrial sector are generally perceived to be contributing to waste reduction, but this is not always verifiable due to a lack of data meaning the success of the program cannot be accurately measured.</w:t>
      </w:r>
      <w:r w:rsidRPr="00630E46">
        <w:rPr>
          <w:i/>
        </w:rPr>
        <w:t xml:space="preserve"> </w:t>
      </w:r>
    </w:p>
    <w:p w:rsidR="00B443DD" w:rsidRDefault="00B443DD" w:rsidP="006B3524">
      <w:pPr>
        <w:pStyle w:val="ListParagraph"/>
        <w:numPr>
          <w:ilvl w:val="0"/>
          <w:numId w:val="0"/>
        </w:numPr>
        <w:ind w:left="369"/>
      </w:pPr>
    </w:p>
    <w:p w:rsidR="00B443DD" w:rsidRDefault="00575A0A" w:rsidP="00B524E2">
      <w:pPr>
        <w:pStyle w:val="ListParagraph"/>
        <w:numPr>
          <w:ilvl w:val="0"/>
          <w:numId w:val="30"/>
        </w:numPr>
        <w:rPr>
          <w:rFonts w:cs="Arial"/>
        </w:rPr>
      </w:pPr>
      <w:r w:rsidRPr="00630E46">
        <w:rPr>
          <w:rFonts w:cs="Arial"/>
          <w:i/>
        </w:rPr>
        <w:t>Beyond Waste Fund</w:t>
      </w:r>
      <w:r w:rsidR="00EA3E95">
        <w:rPr>
          <w:rStyle w:val="EndnoteReference"/>
          <w:rFonts w:cs="Arial"/>
          <w:i/>
          <w:szCs w:val="24"/>
        </w:rPr>
        <w:endnoteReference w:id="33"/>
      </w:r>
      <w:r w:rsidR="00B75027">
        <w:rPr>
          <w:rFonts w:cs="Arial"/>
        </w:rPr>
        <w:t xml:space="preserve"> –</w:t>
      </w:r>
      <w:r w:rsidR="00630E46" w:rsidRPr="00630E46">
        <w:rPr>
          <w:rFonts w:cs="Arial"/>
        </w:rPr>
        <w:t xml:space="preserve"> </w:t>
      </w:r>
      <w:r w:rsidRPr="00630E46">
        <w:rPr>
          <w:rFonts w:cs="Arial"/>
        </w:rPr>
        <w:t>September 2012</w:t>
      </w:r>
      <w:r w:rsidR="00630E46" w:rsidRPr="00630E46">
        <w:rPr>
          <w:rFonts w:cs="Arial"/>
        </w:rPr>
        <w:t xml:space="preserve"> </w:t>
      </w:r>
      <w:r w:rsidR="00B75027">
        <w:rPr>
          <w:rFonts w:cs="Arial"/>
        </w:rPr>
        <w:t>–</w:t>
      </w:r>
      <w:r w:rsidR="00630E46" w:rsidRPr="00630E46">
        <w:rPr>
          <w:rFonts w:cs="Arial"/>
        </w:rPr>
        <w:t xml:space="preserve"> </w:t>
      </w:r>
      <w:r w:rsidRPr="00630E46">
        <w:rPr>
          <w:rFonts w:cs="Arial"/>
        </w:rPr>
        <w:t>provide</w:t>
      </w:r>
      <w:r w:rsidR="00DA747B">
        <w:rPr>
          <w:rFonts w:cs="Arial"/>
        </w:rPr>
        <w:t>s</w:t>
      </w:r>
      <w:r w:rsidR="00B443DD" w:rsidRPr="00630E46">
        <w:rPr>
          <w:rFonts w:cs="Arial"/>
        </w:rPr>
        <w:t xml:space="preserve"> financial support for projects </w:t>
      </w:r>
      <w:r w:rsidR="00630E46">
        <w:rPr>
          <w:rFonts w:cs="Arial"/>
        </w:rPr>
        <w:t xml:space="preserve">in Victoria </w:t>
      </w:r>
      <w:r w:rsidR="00B443DD" w:rsidRPr="00630E46">
        <w:rPr>
          <w:rFonts w:cs="Arial"/>
        </w:rPr>
        <w:t xml:space="preserve">from the </w:t>
      </w:r>
      <w:r w:rsidR="00B443DD" w:rsidRPr="00630E46">
        <w:t>commercial and industrial</w:t>
      </w:r>
      <w:r w:rsidR="00630E46">
        <w:t>,</w:t>
      </w:r>
      <w:r w:rsidR="00B443DD" w:rsidRPr="00630E46">
        <w:t xml:space="preserve"> </w:t>
      </w:r>
      <w:r w:rsidR="00B443DD" w:rsidRPr="00630E46">
        <w:rPr>
          <w:rFonts w:cs="Arial"/>
        </w:rPr>
        <w:t xml:space="preserve">and </w:t>
      </w:r>
      <w:r w:rsidR="00B443DD" w:rsidRPr="00630E46">
        <w:rPr>
          <w:rFonts w:cs="Arial"/>
          <w:lang w:eastAsia="en-AU"/>
        </w:rPr>
        <w:t>construction and demolition</w:t>
      </w:r>
      <w:r w:rsidR="00B443DD" w:rsidRPr="00630E46">
        <w:rPr>
          <w:rFonts w:cs="Arial"/>
        </w:rPr>
        <w:t xml:space="preserve"> sectors that seek to avoid, reduce and reuse operational waste. </w:t>
      </w:r>
    </w:p>
    <w:p w:rsidR="00630E46" w:rsidRPr="00630E46" w:rsidRDefault="00630E46" w:rsidP="006B3524">
      <w:pPr>
        <w:pStyle w:val="ListParagraph"/>
        <w:numPr>
          <w:ilvl w:val="0"/>
          <w:numId w:val="0"/>
        </w:numPr>
        <w:ind w:left="369"/>
        <w:rPr>
          <w:rFonts w:cs="Arial"/>
        </w:rPr>
      </w:pPr>
    </w:p>
    <w:p w:rsidR="00DB7CB1" w:rsidRPr="00630E46" w:rsidRDefault="00575A0A" w:rsidP="00B524E2">
      <w:pPr>
        <w:pStyle w:val="ListParagraph"/>
        <w:numPr>
          <w:ilvl w:val="0"/>
          <w:numId w:val="30"/>
        </w:numPr>
      </w:pPr>
      <w:r w:rsidRPr="00DF33F8">
        <w:rPr>
          <w:i/>
        </w:rPr>
        <w:t>Place-based approaches to commercial and industrial waste and recycling</w:t>
      </w:r>
      <w:r w:rsidRPr="00DF33F8">
        <w:rPr>
          <w:rStyle w:val="EndnoteReference"/>
          <w:i/>
          <w:szCs w:val="24"/>
        </w:rPr>
        <w:endnoteReference w:id="34"/>
      </w:r>
      <w:r w:rsidR="00B75027">
        <w:t xml:space="preserve"> –</w:t>
      </w:r>
      <w:r w:rsidR="00630E46" w:rsidRPr="00DF33F8">
        <w:t xml:space="preserve"> October 2012 </w:t>
      </w:r>
      <w:r w:rsidR="00DF33F8">
        <w:t>–</w:t>
      </w:r>
      <w:r w:rsidR="00630E46" w:rsidRPr="00DF33F8">
        <w:t xml:space="preserve"> </w:t>
      </w:r>
      <w:r w:rsidR="00DF33F8">
        <w:t xml:space="preserve">assists </w:t>
      </w:r>
      <w:r w:rsidR="00DB7CB1" w:rsidRPr="00630E46">
        <w:t xml:space="preserve">governments and industry to implement place-based approaches that can reduce the generation of </w:t>
      </w:r>
      <w:r w:rsidR="00B443DD" w:rsidRPr="00630E46">
        <w:t xml:space="preserve">commercial and industrial </w:t>
      </w:r>
      <w:r w:rsidR="00DB7CB1" w:rsidRPr="00630E46">
        <w:t xml:space="preserve">waste, improve its recovery and minimise flows to landfill. </w:t>
      </w:r>
    </w:p>
    <w:p w:rsidR="00DB7CB1" w:rsidRDefault="00DB7CB1" w:rsidP="00B1306B">
      <w:pPr>
        <w:keepLines/>
        <w:autoSpaceDE w:val="0"/>
        <w:autoSpaceDN w:val="0"/>
        <w:adjustRightInd w:val="0"/>
        <w:rPr>
          <w:rFonts w:cs="Arial"/>
          <w:szCs w:val="24"/>
          <w:lang w:eastAsia="en-AU"/>
        </w:rPr>
      </w:pPr>
    </w:p>
    <w:p w:rsidR="00F236E6" w:rsidRDefault="00DA4C98" w:rsidP="006B3148">
      <w:pPr>
        <w:pStyle w:val="Heading2"/>
        <w:pBdr>
          <w:top w:val="single" w:sz="4" w:space="1" w:color="auto"/>
          <w:left w:val="single" w:sz="4" w:space="4" w:color="auto"/>
          <w:right w:val="single" w:sz="4" w:space="4" w:color="auto"/>
        </w:pBdr>
        <w:shd w:val="clear" w:color="auto" w:fill="FFCC00"/>
        <w:rPr>
          <w:szCs w:val="24"/>
        </w:rPr>
      </w:pPr>
      <w:bookmarkStart w:id="46" w:name="_Toc383092776"/>
      <w:r w:rsidRPr="00DA4C98">
        <w:rPr>
          <w:szCs w:val="24"/>
        </w:rPr>
        <w:t>Strategy 11</w:t>
      </w:r>
      <w:r w:rsidR="00F236E6">
        <w:rPr>
          <w:szCs w:val="24"/>
        </w:rPr>
        <w:t xml:space="preserve"> </w:t>
      </w:r>
      <w:r w:rsidR="00B75027">
        <w:rPr>
          <w:szCs w:val="24"/>
        </w:rPr>
        <w:t>–</w:t>
      </w:r>
      <w:r w:rsidR="00F236E6">
        <w:rPr>
          <w:szCs w:val="24"/>
        </w:rPr>
        <w:t xml:space="preserve"> </w:t>
      </w:r>
      <w:r w:rsidR="00F236E6" w:rsidRPr="004234FB">
        <w:rPr>
          <w:rStyle w:val="Heading3Char"/>
          <w:b/>
        </w:rPr>
        <w:t>Construction and Demolition</w:t>
      </w:r>
      <w:bookmarkEnd w:id="46"/>
      <w:r w:rsidRPr="00DA4C98">
        <w:rPr>
          <w:szCs w:val="24"/>
        </w:rPr>
        <w:t xml:space="preserve"> </w:t>
      </w:r>
    </w:p>
    <w:p w:rsidR="00F236E6" w:rsidRDefault="00F236E6" w:rsidP="00F064B2">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szCs w:val="24"/>
        </w:rPr>
      </w:pPr>
    </w:p>
    <w:p w:rsidR="006C2E2F" w:rsidRPr="006C2E2F" w:rsidRDefault="0098520D" w:rsidP="006B3524">
      <w:pPr>
        <w:pBdr>
          <w:top w:val="single" w:sz="4" w:space="1" w:color="auto"/>
          <w:left w:val="single" w:sz="4" w:space="4" w:color="auto"/>
          <w:bottom w:val="single" w:sz="4" w:space="1" w:color="auto"/>
          <w:right w:val="single" w:sz="4" w:space="4" w:color="auto"/>
        </w:pBdr>
        <w:shd w:val="clear" w:color="auto" w:fill="FED36B" w:themeFill="accent3" w:themeFillTint="99"/>
        <w:rPr>
          <w:b/>
          <w:i/>
        </w:rPr>
      </w:pPr>
      <w:r w:rsidRPr="00F064B2">
        <w:rPr>
          <w:rFonts w:cs="Arial"/>
          <w:i/>
          <w:szCs w:val="24"/>
        </w:rPr>
        <w:t>All governments continue to encourage best practice waste management and resource recovery for construction and demolition projects</w:t>
      </w:r>
      <w:r w:rsidR="006B3524">
        <w:rPr>
          <w:rFonts w:cs="Arial"/>
          <w:i/>
          <w:szCs w:val="24"/>
        </w:rPr>
        <w:br/>
      </w:r>
    </w:p>
    <w:p w:rsidR="00A369B2" w:rsidRDefault="00A369B2" w:rsidP="00B1306B">
      <w:pPr>
        <w:rPr>
          <w:b/>
          <w:sz w:val="22"/>
        </w:rPr>
      </w:pPr>
    </w:p>
    <w:p w:rsidR="004C6582" w:rsidRPr="004C6582" w:rsidRDefault="0054124D" w:rsidP="00F236E6">
      <w:pPr>
        <w:rPr>
          <w:szCs w:val="24"/>
        </w:rPr>
      </w:pPr>
      <w:r>
        <w:rPr>
          <w:szCs w:val="24"/>
        </w:rPr>
        <w:t xml:space="preserve">Construction and demolition </w:t>
      </w:r>
      <w:r w:rsidR="004C6582" w:rsidRPr="004C6582">
        <w:rPr>
          <w:szCs w:val="24"/>
        </w:rPr>
        <w:t xml:space="preserve">waste is </w:t>
      </w:r>
      <w:r w:rsidR="00BD6B1F">
        <w:rPr>
          <w:szCs w:val="24"/>
        </w:rPr>
        <w:t xml:space="preserve">derived </w:t>
      </w:r>
      <w:r w:rsidR="004C6582" w:rsidRPr="004C6582">
        <w:rPr>
          <w:szCs w:val="24"/>
        </w:rPr>
        <w:t>from residential, civil and commercial constru</w:t>
      </w:r>
      <w:r w:rsidR="00F236E6">
        <w:rPr>
          <w:szCs w:val="24"/>
        </w:rPr>
        <w:t xml:space="preserve">ction and demolition activities. </w:t>
      </w:r>
      <w:r w:rsidR="00575A0A" w:rsidRPr="00575A0A">
        <w:rPr>
          <w:szCs w:val="24"/>
        </w:rPr>
        <w:t>Recycling of construction and demolition waste is largely driven by com</w:t>
      </w:r>
      <w:r w:rsidR="004C6582" w:rsidRPr="004C6582">
        <w:rPr>
          <w:szCs w:val="24"/>
        </w:rPr>
        <w:t xml:space="preserve">mercial factors. </w:t>
      </w:r>
    </w:p>
    <w:p w:rsidR="004C6582" w:rsidRDefault="004C6582" w:rsidP="006C2E2F">
      <w:pPr>
        <w:rPr>
          <w:szCs w:val="24"/>
        </w:rPr>
      </w:pPr>
    </w:p>
    <w:p w:rsidR="008720C6" w:rsidRDefault="008720C6" w:rsidP="008720C6">
      <w:pPr>
        <w:rPr>
          <w:szCs w:val="24"/>
        </w:rPr>
      </w:pPr>
      <w:r w:rsidRPr="008720C6">
        <w:rPr>
          <w:szCs w:val="24"/>
        </w:rPr>
        <w:t xml:space="preserve">Building materials account for about half of all materials used and about half the solid waste generated worldwide. They have an environmental impact at every step of the building process </w:t>
      </w:r>
      <w:r w:rsidR="00B168A3">
        <w:rPr>
          <w:szCs w:val="24"/>
        </w:rPr>
        <w:t>–</w:t>
      </w:r>
      <w:r w:rsidRPr="008720C6">
        <w:rPr>
          <w:szCs w:val="24"/>
        </w:rPr>
        <w:t xml:space="preserve"> extraction of raw materi</w:t>
      </w:r>
      <w:r>
        <w:rPr>
          <w:szCs w:val="24"/>
        </w:rPr>
        <w:t xml:space="preserve">als, processing, manufacturing, </w:t>
      </w:r>
      <w:r w:rsidRPr="008720C6">
        <w:rPr>
          <w:szCs w:val="24"/>
        </w:rPr>
        <w:t xml:space="preserve">transportation, construction and disposal at the end of a building's useful life. </w:t>
      </w:r>
    </w:p>
    <w:p w:rsidR="00B443DD" w:rsidRDefault="00B443DD" w:rsidP="006C2E2F">
      <w:pPr>
        <w:rPr>
          <w:szCs w:val="24"/>
        </w:rPr>
      </w:pPr>
    </w:p>
    <w:p w:rsidR="00F236E6" w:rsidRDefault="00F236E6" w:rsidP="00F621D1">
      <w:pPr>
        <w:keepNext/>
        <w:keepLines/>
        <w:rPr>
          <w:rFonts w:cs="Arial"/>
          <w:szCs w:val="24"/>
        </w:rPr>
      </w:pPr>
      <w:r>
        <w:rPr>
          <w:rFonts w:cs="Arial"/>
          <w:szCs w:val="24"/>
        </w:rPr>
        <w:lastRenderedPageBreak/>
        <w:t>Key initiatives in this area include:</w:t>
      </w:r>
    </w:p>
    <w:p w:rsidR="008720C6" w:rsidRDefault="008720C6" w:rsidP="00F621D1">
      <w:pPr>
        <w:keepNext/>
        <w:keepLines/>
        <w:rPr>
          <w:szCs w:val="24"/>
        </w:rPr>
      </w:pPr>
    </w:p>
    <w:p w:rsidR="005A327C" w:rsidRPr="00F236E6" w:rsidRDefault="00F236E6" w:rsidP="00F621D1">
      <w:pPr>
        <w:pStyle w:val="ListParagraph"/>
        <w:keepNext/>
        <w:keepLines/>
        <w:numPr>
          <w:ilvl w:val="0"/>
          <w:numId w:val="18"/>
        </w:numPr>
        <w:ind w:left="426" w:hanging="426"/>
        <w:rPr>
          <w:szCs w:val="24"/>
        </w:rPr>
      </w:pPr>
      <w:r w:rsidRPr="00F236E6">
        <w:rPr>
          <w:i/>
          <w:szCs w:val="24"/>
        </w:rPr>
        <w:t>Waste and Resource Recovery Facilities Workers Manual</w:t>
      </w:r>
      <w:r w:rsidRPr="00F236E6">
        <w:rPr>
          <w:rStyle w:val="EndnoteReference"/>
          <w:i/>
          <w:szCs w:val="24"/>
        </w:rPr>
        <w:endnoteReference w:id="35"/>
      </w:r>
      <w:r w:rsidRPr="00F236E6">
        <w:rPr>
          <w:i/>
          <w:szCs w:val="24"/>
        </w:rPr>
        <w:t xml:space="preserve"> </w:t>
      </w:r>
      <w:r w:rsidR="00B168A3">
        <w:rPr>
          <w:i/>
          <w:szCs w:val="24"/>
        </w:rPr>
        <w:t>–</w:t>
      </w:r>
      <w:r w:rsidRPr="00F236E6">
        <w:rPr>
          <w:i/>
          <w:szCs w:val="24"/>
        </w:rPr>
        <w:t xml:space="preserve"> </w:t>
      </w:r>
      <w:r w:rsidR="005A327C" w:rsidRPr="00F236E6">
        <w:rPr>
          <w:szCs w:val="24"/>
        </w:rPr>
        <w:t>2012</w:t>
      </w:r>
      <w:r w:rsidRPr="00F236E6">
        <w:rPr>
          <w:szCs w:val="24"/>
        </w:rPr>
        <w:t xml:space="preserve"> – the updated Manual provides the basis for a </w:t>
      </w:r>
      <w:r w:rsidR="005A327C" w:rsidRPr="00F236E6">
        <w:rPr>
          <w:szCs w:val="24"/>
        </w:rPr>
        <w:t xml:space="preserve">successful training program for operators of waste and recycling facilities to improve environmental management, work health and safety and to increase the quality and quantity of materials recycled. The </w:t>
      </w:r>
      <w:r w:rsidR="00B200C9" w:rsidRPr="00F236E6">
        <w:rPr>
          <w:szCs w:val="24"/>
        </w:rPr>
        <w:t>Waste Contractors and Recyclers Association of NSW deliver the training</w:t>
      </w:r>
      <w:r w:rsidR="005A327C" w:rsidRPr="00F236E6">
        <w:rPr>
          <w:szCs w:val="24"/>
        </w:rPr>
        <w:t>.</w:t>
      </w:r>
      <w:r w:rsidR="0052031F" w:rsidRPr="00F236E6">
        <w:rPr>
          <w:szCs w:val="24"/>
        </w:rPr>
        <w:t xml:space="preserve"> </w:t>
      </w:r>
      <w:r w:rsidRPr="00F236E6">
        <w:rPr>
          <w:szCs w:val="24"/>
        </w:rPr>
        <w:t>The update included</w:t>
      </w:r>
      <w:r w:rsidR="005A327C" w:rsidRPr="00F236E6">
        <w:rPr>
          <w:szCs w:val="24"/>
        </w:rPr>
        <w:t xml:space="preserve"> examples on the use of resource recovery exemption</w:t>
      </w:r>
      <w:r w:rsidR="0054124D" w:rsidRPr="00F236E6">
        <w:rPr>
          <w:szCs w:val="24"/>
        </w:rPr>
        <w:t>s, worker health and safety, de-</w:t>
      </w:r>
      <w:r w:rsidR="005A327C" w:rsidRPr="00F236E6">
        <w:rPr>
          <w:szCs w:val="24"/>
        </w:rPr>
        <w:t>construction of buildings, Business Recycling online directory and timber recovery initiatives.</w:t>
      </w:r>
    </w:p>
    <w:p w:rsidR="008720C6" w:rsidRDefault="008720C6" w:rsidP="00B1306B">
      <w:pPr>
        <w:rPr>
          <w:szCs w:val="24"/>
        </w:rPr>
      </w:pPr>
    </w:p>
    <w:p w:rsidR="008720C6" w:rsidRPr="00F236E6" w:rsidRDefault="00F236E6" w:rsidP="00B524E2">
      <w:pPr>
        <w:pStyle w:val="ListParagraph"/>
        <w:numPr>
          <w:ilvl w:val="0"/>
          <w:numId w:val="18"/>
        </w:numPr>
        <w:rPr>
          <w:i/>
          <w:szCs w:val="24"/>
        </w:rPr>
      </w:pPr>
      <w:r w:rsidRPr="00A91368">
        <w:rPr>
          <w:i/>
          <w:szCs w:val="24"/>
        </w:rPr>
        <w:t xml:space="preserve">Construction and demolition waste guide </w:t>
      </w:r>
      <w:r w:rsidR="00B168A3">
        <w:rPr>
          <w:i/>
          <w:szCs w:val="24"/>
        </w:rPr>
        <w:t>–</w:t>
      </w:r>
      <w:r w:rsidRPr="00A91368">
        <w:rPr>
          <w:i/>
          <w:szCs w:val="24"/>
        </w:rPr>
        <w:t xml:space="preserve"> recycling and re-use across the supply chain</w:t>
      </w:r>
      <w:r w:rsidR="001C5BF3">
        <w:rPr>
          <w:rStyle w:val="EndnoteReference"/>
          <w:i/>
          <w:szCs w:val="24"/>
        </w:rPr>
        <w:endnoteReference w:id="36"/>
      </w:r>
      <w:r w:rsidR="00B168A3">
        <w:rPr>
          <w:i/>
          <w:szCs w:val="24"/>
        </w:rPr>
        <w:t xml:space="preserve"> –</w:t>
      </w:r>
      <w:r w:rsidRPr="00A91368">
        <w:rPr>
          <w:i/>
          <w:szCs w:val="24"/>
        </w:rPr>
        <w:t xml:space="preserve"> </w:t>
      </w:r>
      <w:r w:rsidR="008720C6" w:rsidRPr="00A91368">
        <w:rPr>
          <w:szCs w:val="24"/>
        </w:rPr>
        <w:t>January 2012</w:t>
      </w:r>
      <w:r w:rsidRPr="00A91368">
        <w:rPr>
          <w:szCs w:val="24"/>
        </w:rPr>
        <w:t xml:space="preserve"> </w:t>
      </w:r>
      <w:r w:rsidR="00B168A3">
        <w:rPr>
          <w:szCs w:val="24"/>
        </w:rPr>
        <w:t>–</w:t>
      </w:r>
      <w:r w:rsidRPr="00A91368">
        <w:rPr>
          <w:szCs w:val="24"/>
        </w:rPr>
        <w:t xml:space="preserve"> </w:t>
      </w:r>
      <w:r w:rsidR="008720C6" w:rsidRPr="00A91368">
        <w:t>help</w:t>
      </w:r>
      <w:r w:rsidRPr="00A91368">
        <w:t>s</w:t>
      </w:r>
      <w:r w:rsidR="008720C6">
        <w:t xml:space="preserve"> develop effective markets for materials diverted or derived from the </w:t>
      </w:r>
      <w:r w:rsidR="008720C6" w:rsidRPr="00F236E6">
        <w:rPr>
          <w:szCs w:val="24"/>
        </w:rPr>
        <w:t>construction and demolition</w:t>
      </w:r>
      <w:r w:rsidR="008720C6">
        <w:t xml:space="preserve"> waste stream.</w:t>
      </w:r>
    </w:p>
    <w:p w:rsidR="005A327C" w:rsidRDefault="005A327C" w:rsidP="00B1306B">
      <w:pPr>
        <w:keepLines/>
        <w:rPr>
          <w:rFonts w:cs="Arial"/>
          <w:szCs w:val="24"/>
        </w:rPr>
      </w:pPr>
    </w:p>
    <w:p w:rsidR="008720C6" w:rsidRPr="00A91368" w:rsidRDefault="00A91368" w:rsidP="00B524E2">
      <w:pPr>
        <w:pStyle w:val="ListParagraph"/>
        <w:keepLines/>
        <w:numPr>
          <w:ilvl w:val="0"/>
          <w:numId w:val="18"/>
        </w:numPr>
        <w:rPr>
          <w:rFonts w:cs="Arial"/>
          <w:szCs w:val="24"/>
        </w:rPr>
      </w:pPr>
      <w:r w:rsidRPr="00A91368">
        <w:rPr>
          <w:rFonts w:cs="Arial"/>
          <w:i/>
          <w:szCs w:val="24"/>
        </w:rPr>
        <w:t>Guidelines for managing asbestos at construction and demolition waste recycling facilities</w:t>
      </w:r>
      <w:r w:rsidRPr="00A91368">
        <w:rPr>
          <w:rStyle w:val="EndnoteReference"/>
          <w:rFonts w:cs="Arial"/>
          <w:i/>
          <w:szCs w:val="24"/>
        </w:rPr>
        <w:endnoteReference w:id="37"/>
      </w:r>
      <w:r w:rsidRPr="00A91368">
        <w:rPr>
          <w:rFonts w:cs="Arial"/>
          <w:i/>
          <w:szCs w:val="24"/>
        </w:rPr>
        <w:t xml:space="preserve"> </w:t>
      </w:r>
      <w:r w:rsidR="00B168A3">
        <w:rPr>
          <w:rFonts w:cs="Arial"/>
          <w:i/>
          <w:szCs w:val="24"/>
        </w:rPr>
        <w:t>–</w:t>
      </w:r>
      <w:r w:rsidRPr="00513903">
        <w:rPr>
          <w:rFonts w:cs="Arial"/>
          <w:i/>
          <w:szCs w:val="24"/>
        </w:rPr>
        <w:t xml:space="preserve"> </w:t>
      </w:r>
      <w:r w:rsidR="00513903" w:rsidRPr="00513903">
        <w:rPr>
          <w:rFonts w:cs="Arial"/>
          <w:szCs w:val="24"/>
        </w:rPr>
        <w:t>November 2012</w:t>
      </w:r>
      <w:r w:rsidRPr="00513903">
        <w:rPr>
          <w:rFonts w:cs="Arial"/>
          <w:szCs w:val="24"/>
        </w:rPr>
        <w:t xml:space="preserve"> </w:t>
      </w:r>
      <w:r w:rsidR="00B168A3">
        <w:rPr>
          <w:rFonts w:cs="Arial"/>
          <w:szCs w:val="24"/>
        </w:rPr>
        <w:t>–</w:t>
      </w:r>
      <w:r w:rsidRPr="00A91368">
        <w:rPr>
          <w:rFonts w:cs="Arial"/>
          <w:szCs w:val="24"/>
        </w:rPr>
        <w:t xml:space="preserve"> </w:t>
      </w:r>
      <w:r w:rsidR="00DB0B26" w:rsidRPr="00A91368">
        <w:rPr>
          <w:rFonts w:cs="Arial"/>
          <w:szCs w:val="24"/>
        </w:rPr>
        <w:t>provide</w:t>
      </w:r>
      <w:r w:rsidR="00244DDA">
        <w:rPr>
          <w:rFonts w:cs="Arial"/>
          <w:szCs w:val="24"/>
        </w:rPr>
        <w:t>s</w:t>
      </w:r>
      <w:r w:rsidR="00DB0B26" w:rsidRPr="00A91368">
        <w:rPr>
          <w:rFonts w:cs="Arial"/>
          <w:szCs w:val="24"/>
        </w:rPr>
        <w:t xml:space="preserve"> guidance on measures that </w:t>
      </w:r>
      <w:r w:rsidR="009A43B0" w:rsidRPr="00A91368">
        <w:rPr>
          <w:rFonts w:cs="Arial"/>
          <w:szCs w:val="24"/>
        </w:rPr>
        <w:t>licensed</w:t>
      </w:r>
      <w:r w:rsidR="00DB0B26" w:rsidRPr="00A91368">
        <w:rPr>
          <w:rFonts w:cs="Arial"/>
          <w:szCs w:val="24"/>
        </w:rPr>
        <w:t xml:space="preserve"> </w:t>
      </w:r>
      <w:r w:rsidR="00B443DD" w:rsidRPr="00A91368">
        <w:rPr>
          <w:szCs w:val="24"/>
        </w:rPr>
        <w:t xml:space="preserve">construction and demolition </w:t>
      </w:r>
      <w:r w:rsidR="00DB0B26" w:rsidRPr="00A91368">
        <w:rPr>
          <w:rFonts w:cs="Arial"/>
          <w:szCs w:val="24"/>
        </w:rPr>
        <w:t xml:space="preserve">recycling facilities </w:t>
      </w:r>
      <w:r w:rsidRPr="00A91368">
        <w:rPr>
          <w:rFonts w:cs="Arial"/>
          <w:szCs w:val="24"/>
        </w:rPr>
        <w:t xml:space="preserve">in Western Australia </w:t>
      </w:r>
      <w:r w:rsidR="009A43B0" w:rsidRPr="00A91368">
        <w:rPr>
          <w:rFonts w:cs="Arial"/>
          <w:szCs w:val="24"/>
        </w:rPr>
        <w:t xml:space="preserve">will be required to follow </w:t>
      </w:r>
      <w:r w:rsidR="00DB0B26" w:rsidRPr="00A91368">
        <w:rPr>
          <w:rFonts w:cs="Arial"/>
          <w:szCs w:val="24"/>
        </w:rPr>
        <w:t>to manage risk of asbe</w:t>
      </w:r>
      <w:r w:rsidRPr="00A91368">
        <w:rPr>
          <w:rFonts w:cs="Arial"/>
          <w:szCs w:val="24"/>
        </w:rPr>
        <w:t>stos contamination of feedstock</w:t>
      </w:r>
      <w:r w:rsidR="00DB0B26" w:rsidRPr="00A91368">
        <w:rPr>
          <w:rFonts w:cs="Arial"/>
          <w:szCs w:val="24"/>
        </w:rPr>
        <w:t xml:space="preserve"> and products to reduce risks to site workers and the community.</w:t>
      </w:r>
    </w:p>
    <w:p w:rsidR="00973F0A" w:rsidRDefault="00973F0A" w:rsidP="00FD3BBC"/>
    <w:p w:rsidR="00973F0A" w:rsidRDefault="00973F0A" w:rsidP="00FD3BBC">
      <w:r>
        <w:br w:type="page"/>
      </w:r>
    </w:p>
    <w:p w:rsidR="00973F0A" w:rsidRDefault="00973F0A" w:rsidP="00A64E3E">
      <w:pPr>
        <w:pStyle w:val="Heading4"/>
      </w:pPr>
      <w:r>
        <w:lastRenderedPageBreak/>
        <w:t>Case Study 4</w:t>
      </w:r>
    </w:p>
    <w:p w:rsidR="00FD3BBC" w:rsidRDefault="001F5E0F" w:rsidP="00B40FC0">
      <w:pPr>
        <w:pStyle w:val="Heading4"/>
      </w:pPr>
      <w:r w:rsidRPr="001F5E0F">
        <w:rPr>
          <w:noProof/>
          <w:lang w:val="en-US"/>
        </w:rPr>
        <w:pict>
          <v:shape id="_x0000_s1036" type="#_x0000_t202" style="position:absolute;left:0;text-align:left;margin-left:-10.95pt;margin-top:11.6pt;width:486pt;height:612pt;z-index:25167667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" fillcolor="#fed36b [1942]" strokecolor="#feb80a [3206]">
            <v:stroke joinstyle="round" endcap="round"/>
            <v:textbox style="mso-next-textbox:#_x0000_s1036">
              <w:txbxContent>
                <w:p w:rsidR="008E5E36" w:rsidRDefault="008E5E36" w:rsidP="00F446D9">
                  <w:pPr>
                    <w:rPr>
                      <w:lang w:val="en-US"/>
                    </w:rPr>
                  </w:pPr>
                </w:p>
                <w:p w:rsidR="008E5E36" w:rsidRPr="00F446D9" w:rsidRDefault="008E5E36" w:rsidP="00F446D9">
                  <w:pPr>
                    <w:jc w:val="center"/>
                    <w:rPr>
                      <w:b/>
                      <w:color w:val="C48B01" w:themeColor="accent3" w:themeShade="BF"/>
                      <w:szCs w:val="24"/>
                      <w:lang w:val="en-US"/>
                    </w:rPr>
                  </w:pPr>
                  <w:r w:rsidRPr="00F446D9">
                    <w:rPr>
                      <w:b/>
                      <w:color w:val="C48B01" w:themeColor="accent3" w:themeShade="BF"/>
                      <w:sz w:val="28"/>
                      <w:szCs w:val="28"/>
                      <w:lang w:val="en-US"/>
                    </w:rPr>
                    <w:t>Northern Tasmania Organics Collection Trial</w:t>
                  </w:r>
                  <w:r w:rsidRPr="00F446D9">
                    <w:rPr>
                      <w:b/>
                      <w:color w:val="C48B01" w:themeColor="accent3" w:themeShade="BF"/>
                      <w:sz w:val="28"/>
                      <w:szCs w:val="28"/>
                    </w:rPr>
                    <w:t xml:space="preserve"> </w:t>
                  </w:r>
                  <w:r w:rsidRPr="00F446D9">
                    <w:rPr>
                      <w:b/>
                      <w:color w:val="C48B01" w:themeColor="accent3" w:themeShade="BF"/>
                      <w:sz w:val="28"/>
                      <w:szCs w:val="28"/>
                    </w:rPr>
                    <w:br w:type="page"/>
                  </w:r>
                  <w:hyperlink r:id="rId14" w:history="1">
                    <w:r w:rsidRPr="00F446D9">
                      <w:rPr>
                        <w:rStyle w:val="Heading2Char"/>
                        <w:b w:val="0"/>
                        <w:i/>
                        <w:color w:val="C48B01" w:themeColor="accent3" w:themeShade="BF"/>
                        <w:szCs w:val="24"/>
                        <w:lang w:val="en-US"/>
                      </w:rPr>
                      <w:t>Northern Tasmanian Waste Management Group</w:t>
                    </w:r>
                  </w:hyperlink>
                </w:p>
                <w:p w:rsidR="008E5E36" w:rsidRDefault="008E5E36" w:rsidP="00B40FC0">
                  <w:pPr>
                    <w:jc w:val="center"/>
                  </w:pPr>
                </w:p>
                <w:p w:rsidR="008E5E36" w:rsidRPr="006B3524" w:rsidRDefault="008E5E36" w:rsidP="006B3524">
                  <w:pPr>
                    <w:rPr>
                      <w:b/>
                      <w:i/>
                    </w:rPr>
                  </w:pPr>
                  <w:bookmarkStart w:id="47" w:name="_Toc382989009"/>
                  <w:bookmarkStart w:id="48" w:name="_Toc382989140"/>
                  <w:bookmarkStart w:id="49" w:name="_Toc382989441"/>
                  <w:bookmarkStart w:id="50" w:name="_Toc382990911"/>
                  <w:bookmarkStart w:id="51" w:name="_Toc382991560"/>
                  <w:r>
                    <w:rPr>
                      <w:b/>
                      <w:i/>
                    </w:rPr>
                    <w:tab/>
                  </w:r>
                  <w:r w:rsidRPr="006B3524">
                    <w:rPr>
                      <w:b/>
                      <w:i/>
                    </w:rPr>
                    <w:t>What and Why</w:t>
                  </w:r>
                  <w:bookmarkEnd w:id="47"/>
                  <w:bookmarkEnd w:id="48"/>
                  <w:bookmarkEnd w:id="49"/>
                  <w:bookmarkEnd w:id="50"/>
                  <w:bookmarkEnd w:id="51"/>
                </w:p>
                <w:p w:rsidR="008E5E36" w:rsidRPr="00B40FC0" w:rsidRDefault="008E5E36" w:rsidP="00B40FC0"/>
                <w:p w:rsidR="008E5E36" w:rsidRPr="006B3524" w:rsidRDefault="008E5E36" w:rsidP="00B524E2">
                  <w:pPr>
                    <w:pStyle w:val="ListParagraph"/>
                    <w:numPr>
                      <w:ilvl w:val="0"/>
                      <w:numId w:val="24"/>
                    </w:numPr>
                    <w:spacing w:after="200" w:line="276" w:lineRule="auto"/>
                    <w:ind w:left="714" w:hanging="357"/>
                    <w:rPr>
                      <w:rFonts w:cstheme="minorHAnsi"/>
                    </w:rPr>
                  </w:pPr>
                  <w:r w:rsidRPr="006B3524">
                    <w:rPr>
                      <w:rFonts w:cstheme="minorHAnsi"/>
                    </w:rPr>
                    <w:t>Evaluation of the potential for a kerbside collection system to divert food and garden organics from landfill</w:t>
                  </w:r>
                </w:p>
                <w:p w:rsidR="008E5E36" w:rsidRPr="006B3524" w:rsidRDefault="008E5E36" w:rsidP="00B524E2">
                  <w:pPr>
                    <w:pStyle w:val="ListParagraph"/>
                    <w:numPr>
                      <w:ilvl w:val="0"/>
                      <w:numId w:val="24"/>
                    </w:numPr>
                    <w:spacing w:after="200" w:line="276" w:lineRule="auto"/>
                    <w:ind w:left="714" w:hanging="357"/>
                    <w:rPr>
                      <w:rFonts w:cstheme="minorHAnsi"/>
                    </w:rPr>
                  </w:pPr>
                  <w:r w:rsidRPr="006B3524">
                    <w:rPr>
                      <w:rFonts w:cstheme="minorHAnsi"/>
                    </w:rPr>
                    <w:t>A year-long trial was conducted in Northern Tasmania in order to identify local issues and knowledge gaps</w:t>
                  </w:r>
                </w:p>
                <w:p w:rsidR="008E5E36" w:rsidRPr="006B3524" w:rsidRDefault="008E5E36" w:rsidP="006B3524">
                  <w:pPr>
                    <w:rPr>
                      <w:b/>
                      <w:i/>
                    </w:rPr>
                  </w:pPr>
                  <w:bookmarkStart w:id="52" w:name="_Toc382989010"/>
                  <w:bookmarkStart w:id="53" w:name="_Toc382989141"/>
                  <w:bookmarkStart w:id="54" w:name="_Toc382989442"/>
                  <w:bookmarkStart w:id="55" w:name="_Toc382990912"/>
                  <w:bookmarkStart w:id="56" w:name="_Toc382991561"/>
                  <w:r>
                    <w:rPr>
                      <w:b/>
                      <w:i/>
                    </w:rPr>
                    <w:tab/>
                  </w:r>
                  <w:r w:rsidRPr="006B3524">
                    <w:rPr>
                      <w:b/>
                      <w:i/>
                    </w:rPr>
                    <w:t>How?</w:t>
                  </w:r>
                  <w:bookmarkEnd w:id="52"/>
                  <w:bookmarkEnd w:id="53"/>
                  <w:bookmarkEnd w:id="54"/>
                  <w:bookmarkEnd w:id="55"/>
                  <w:bookmarkEnd w:id="56"/>
                </w:p>
                <w:p w:rsidR="008E5E36" w:rsidRPr="00B40FC0" w:rsidRDefault="008E5E36" w:rsidP="00B40FC0"/>
                <w:p w:rsidR="008E5E36" w:rsidRPr="006B3524" w:rsidRDefault="008E5E36" w:rsidP="00B524E2">
                  <w:pPr>
                    <w:pStyle w:val="ListParagraph"/>
                    <w:numPr>
                      <w:ilvl w:val="0"/>
                      <w:numId w:val="24"/>
                    </w:numPr>
                    <w:spacing w:after="200" w:line="276" w:lineRule="auto"/>
                    <w:ind w:left="714" w:hanging="357"/>
                    <w:rPr>
                      <w:rFonts w:cstheme="minorHAnsi"/>
                    </w:rPr>
                  </w:pPr>
                  <w:r w:rsidRPr="006B3524">
                    <w:rPr>
                      <w:rFonts w:cstheme="minorHAnsi"/>
                    </w:rPr>
                    <w:t>The trial was undertaken by three local government areas in Northern Tasmania, and three separate trial areas were chosen</w:t>
                  </w:r>
                </w:p>
                <w:p w:rsidR="008E5E36" w:rsidRPr="006B3524" w:rsidRDefault="008E5E36" w:rsidP="00B524E2">
                  <w:pPr>
                    <w:pStyle w:val="ListParagraph"/>
                    <w:numPr>
                      <w:ilvl w:val="0"/>
                      <w:numId w:val="24"/>
                    </w:numPr>
                    <w:spacing w:after="200" w:line="276" w:lineRule="auto"/>
                    <w:ind w:left="714" w:hanging="357"/>
                    <w:rPr>
                      <w:rFonts w:cstheme="minorHAnsi"/>
                    </w:rPr>
                  </w:pPr>
                  <w:r w:rsidRPr="006B3524">
                    <w:rPr>
                      <w:rFonts w:cstheme="minorHAnsi"/>
                    </w:rPr>
                    <w:t>900 homes throughout parts of north and north-west Tasmania were selected and approximately 90% of the households participated in the 12 month trial</w:t>
                  </w:r>
                </w:p>
                <w:p w:rsidR="008E5E36" w:rsidRPr="006B3524" w:rsidRDefault="008E5E36" w:rsidP="00B524E2">
                  <w:pPr>
                    <w:pStyle w:val="ListParagraph"/>
                    <w:numPr>
                      <w:ilvl w:val="0"/>
                      <w:numId w:val="24"/>
                    </w:numPr>
                    <w:spacing w:after="200" w:line="276" w:lineRule="auto"/>
                    <w:ind w:left="714" w:hanging="357"/>
                    <w:rPr>
                      <w:rFonts w:cstheme="minorHAnsi"/>
                    </w:rPr>
                  </w:pPr>
                  <w:r w:rsidRPr="006B3524">
                    <w:rPr>
                      <w:rFonts w:cstheme="minorHAnsi"/>
                    </w:rPr>
                    <w:t>Each household in the trial was provided with a 240L wheelie bin, a kitchen caddy and compostable bags</w:t>
                  </w:r>
                </w:p>
                <w:p w:rsidR="008E5E36" w:rsidRPr="006B3524" w:rsidRDefault="008E5E36" w:rsidP="00B524E2">
                  <w:pPr>
                    <w:pStyle w:val="ListParagraph"/>
                    <w:numPr>
                      <w:ilvl w:val="0"/>
                      <w:numId w:val="24"/>
                    </w:numPr>
                    <w:spacing w:after="200" w:line="276" w:lineRule="auto"/>
                    <w:ind w:left="714" w:hanging="357"/>
                    <w:rPr>
                      <w:rFonts w:cstheme="minorHAnsi"/>
                    </w:rPr>
                  </w:pPr>
                  <w:r w:rsidRPr="006B3524">
                    <w:rPr>
                      <w:rFonts w:cstheme="minorHAnsi"/>
                    </w:rPr>
                    <w:t xml:space="preserve">The trial included measurement of organics tonnages captured, surveys of residents participating in the trial, and focus groups </w:t>
                  </w:r>
                </w:p>
                <w:p w:rsidR="008E5E36" w:rsidRPr="006B3524" w:rsidRDefault="008E5E36" w:rsidP="006B3524">
                  <w:pPr>
                    <w:rPr>
                      <w:b/>
                      <w:i/>
                    </w:rPr>
                  </w:pPr>
                  <w:bookmarkStart w:id="57" w:name="_Toc382989011"/>
                  <w:bookmarkStart w:id="58" w:name="_Toc382989142"/>
                  <w:bookmarkStart w:id="59" w:name="_Toc382989443"/>
                  <w:bookmarkStart w:id="60" w:name="_Toc382990913"/>
                  <w:bookmarkStart w:id="61" w:name="_Toc382991562"/>
                  <w:r>
                    <w:rPr>
                      <w:b/>
                      <w:i/>
                    </w:rPr>
                    <w:tab/>
                  </w:r>
                  <w:r w:rsidRPr="006B3524">
                    <w:rPr>
                      <w:b/>
                      <w:i/>
                    </w:rPr>
                    <w:t>Results</w:t>
                  </w:r>
                  <w:bookmarkEnd w:id="57"/>
                  <w:bookmarkEnd w:id="58"/>
                  <w:bookmarkEnd w:id="59"/>
                  <w:bookmarkEnd w:id="60"/>
                  <w:bookmarkEnd w:id="61"/>
                </w:p>
                <w:p w:rsidR="008E5E36" w:rsidRPr="00B40FC0" w:rsidRDefault="008E5E36" w:rsidP="00B40FC0"/>
                <w:p w:rsidR="008E5E36" w:rsidRPr="006B3524" w:rsidRDefault="008E5E36" w:rsidP="00B524E2">
                  <w:pPr>
                    <w:pStyle w:val="ListParagraph"/>
                    <w:numPr>
                      <w:ilvl w:val="0"/>
                      <w:numId w:val="24"/>
                    </w:numPr>
                    <w:spacing w:after="200" w:line="276" w:lineRule="auto"/>
                    <w:ind w:left="714" w:hanging="357"/>
                    <w:rPr>
                      <w:rFonts w:cstheme="minorHAnsi"/>
                      <w:b/>
                      <w:i/>
                    </w:rPr>
                  </w:pPr>
                  <w:r w:rsidRPr="006B3524">
                    <w:rPr>
                      <w:rFonts w:cstheme="minorHAnsi"/>
                      <w:b/>
                      <w:i/>
                    </w:rPr>
                    <w:t>It is estimated that food and garden organics collection could divert at least 0.26 to 0.32 tonnes of waste from landfill per household annually across the three local government areas, with contamination levels expected to be low</w:t>
                  </w:r>
                </w:p>
                <w:p w:rsidR="008E5E36" w:rsidRPr="006B3524" w:rsidRDefault="008E5E36" w:rsidP="00B524E2">
                  <w:pPr>
                    <w:pStyle w:val="ListParagraph"/>
                    <w:numPr>
                      <w:ilvl w:val="0"/>
                      <w:numId w:val="24"/>
                    </w:numPr>
                    <w:spacing w:after="200" w:line="276" w:lineRule="auto"/>
                    <w:ind w:left="714" w:hanging="357"/>
                    <w:rPr>
                      <w:rFonts w:cstheme="minorHAnsi"/>
                      <w:b/>
                      <w:i/>
                    </w:rPr>
                  </w:pPr>
                  <w:r w:rsidRPr="006B3524">
                    <w:rPr>
                      <w:rFonts w:cstheme="minorHAnsi"/>
                      <w:b/>
                      <w:i/>
                    </w:rPr>
                    <w:t xml:space="preserve">A majority of households expressed a positive acceptance of the initiative </w:t>
                  </w:r>
                </w:p>
                <w:p w:rsidR="008E5E36" w:rsidRPr="006B3524" w:rsidRDefault="008E5E36" w:rsidP="00B524E2">
                  <w:pPr>
                    <w:pStyle w:val="ListParagraph"/>
                    <w:numPr>
                      <w:ilvl w:val="0"/>
                      <w:numId w:val="24"/>
                    </w:numPr>
                    <w:spacing w:after="200" w:line="276" w:lineRule="auto"/>
                    <w:ind w:left="714" w:hanging="357"/>
                    <w:rPr>
                      <w:rFonts w:cstheme="minorHAnsi"/>
                      <w:b/>
                      <w:i/>
                    </w:rPr>
                  </w:pPr>
                  <w:r w:rsidRPr="006B3524">
                    <w:rPr>
                      <w:rFonts w:cstheme="minorHAnsi"/>
                      <w:b/>
                      <w:i/>
                    </w:rPr>
                    <w:t>Following the trial, the Meander Valley Council selected the suburb of Blackstone Heights as the first locale for an ongoing fortnightly kerbside collection of green waste and food scraps in the municipality</w:t>
                  </w:r>
                </w:p>
                <w:p w:rsidR="008E5E36" w:rsidRPr="006B3524" w:rsidRDefault="008E5E36" w:rsidP="00B524E2">
                  <w:pPr>
                    <w:pStyle w:val="ListParagraph"/>
                    <w:numPr>
                      <w:ilvl w:val="0"/>
                      <w:numId w:val="24"/>
                    </w:numPr>
                    <w:spacing w:after="200" w:line="276" w:lineRule="auto"/>
                    <w:ind w:left="714" w:hanging="357"/>
                    <w:rPr>
                      <w:rFonts w:cstheme="minorHAnsi"/>
                      <w:b/>
                      <w:i/>
                    </w:rPr>
                  </w:pPr>
                  <w:r w:rsidRPr="006B3524">
                    <w:rPr>
                      <w:rFonts w:cstheme="minorHAnsi"/>
                      <w:b/>
                      <w:i/>
                    </w:rPr>
                    <w:t xml:space="preserve">For further information </w:t>
                  </w:r>
                  <w:r>
                    <w:rPr>
                      <w:rFonts w:cstheme="minorHAnsi"/>
                      <w:b/>
                      <w:i/>
                    </w:rPr>
                    <w:t>–</w:t>
                  </w:r>
                  <w:r w:rsidRPr="006B3524">
                    <w:rPr>
                      <w:rFonts w:cstheme="minorHAnsi"/>
                      <w:b/>
                      <w:i/>
                    </w:rPr>
                    <w:t xml:space="preserve"> http://www.meander.tas.gov.au/page.aspx?u=594</w:t>
                  </w:r>
                </w:p>
              </w:txbxContent>
            </v:textbox>
          </v:shape>
        </w:pict>
      </w:r>
      <w:r w:rsidR="00FD3BBC">
        <w:br w:type="page"/>
      </w:r>
    </w:p>
    <w:p w:rsidR="00A91368" w:rsidRDefault="00A91368" w:rsidP="00FD3BBC"/>
    <w:p w:rsidR="008365B2" w:rsidRPr="00AB7E44" w:rsidRDefault="00AB7E44" w:rsidP="00F446D9">
      <w:pPr>
        <w:pStyle w:val="Heading1"/>
      </w:pPr>
      <w:bookmarkStart w:id="62" w:name="_Toc383092777"/>
      <w:r w:rsidRPr="00AB7E44">
        <w:t>REDUCING HAZARD AND RISK</w:t>
      </w:r>
      <w:bookmarkEnd w:id="62"/>
    </w:p>
    <w:p w:rsidR="008365B2" w:rsidRDefault="008365B2" w:rsidP="00B1306B"/>
    <w:p w:rsidR="008365B2" w:rsidRPr="00F82567" w:rsidRDefault="005D1604" w:rsidP="00B1306B">
      <w:pPr>
        <w:pBdr>
          <w:bottom w:val="single" w:sz="12" w:space="1" w:color="auto"/>
        </w:pBdr>
        <w:rPr>
          <w:color w:val="C48B01" w:themeColor="accent3" w:themeShade="BF"/>
          <w:szCs w:val="24"/>
        </w:rPr>
      </w:pPr>
      <w:r w:rsidRPr="00F82567">
        <w:rPr>
          <w:color w:val="C48B01" w:themeColor="accent3" w:themeShade="BF"/>
          <w:szCs w:val="24"/>
          <w:lang w:val="en-US"/>
        </w:rPr>
        <w:t>Reduction of potentially hazardous content of wastes with consistent, safe and accountable waste recovery, handling and disposal</w:t>
      </w:r>
      <w:r w:rsidR="001C65D5" w:rsidRPr="00F82567">
        <w:rPr>
          <w:color w:val="C48B01" w:themeColor="accent3" w:themeShade="BF"/>
          <w:szCs w:val="24"/>
        </w:rPr>
        <w:t xml:space="preserve"> </w:t>
      </w:r>
    </w:p>
    <w:p w:rsidR="008365B2" w:rsidRDefault="008365B2" w:rsidP="00B1306B">
      <w:pPr>
        <w:pBdr>
          <w:bottom w:val="single" w:sz="12" w:space="1" w:color="auto"/>
        </w:pBdr>
        <w:rPr>
          <w:szCs w:val="24"/>
        </w:rPr>
      </w:pPr>
    </w:p>
    <w:p w:rsidR="004C6582" w:rsidRPr="004C6582" w:rsidRDefault="004C6582" w:rsidP="00B1306B">
      <w:pPr>
        <w:rPr>
          <w:szCs w:val="24"/>
        </w:rPr>
      </w:pPr>
    </w:p>
    <w:p w:rsidR="00EF483B" w:rsidRPr="004234FB" w:rsidRDefault="00DA4C98" w:rsidP="006B3148">
      <w:pPr>
        <w:pStyle w:val="Heading2"/>
        <w:pBdr>
          <w:top w:val="single" w:sz="4" w:space="1" w:color="auto"/>
          <w:left w:val="single" w:sz="4" w:space="4" w:color="auto"/>
          <w:right w:val="single" w:sz="4" w:space="4" w:color="auto"/>
        </w:pBdr>
        <w:shd w:val="clear" w:color="auto" w:fill="FFCC00"/>
        <w:rPr>
          <w:b w:val="0"/>
        </w:rPr>
      </w:pPr>
      <w:bookmarkStart w:id="63" w:name="_Toc383092778"/>
      <w:r w:rsidRPr="00DA4C98">
        <w:t>Strategy 12</w:t>
      </w:r>
      <w:r w:rsidR="00EF483B">
        <w:t xml:space="preserve"> </w:t>
      </w:r>
      <w:r w:rsidR="00BA45B0">
        <w:t>–</w:t>
      </w:r>
      <w:r w:rsidR="00EF483B">
        <w:t xml:space="preserve"> </w:t>
      </w:r>
      <w:r w:rsidR="00EF483B" w:rsidRPr="004234FB">
        <w:rPr>
          <w:rStyle w:val="Heading3Char"/>
          <w:b/>
        </w:rPr>
        <w:t>Hazardous Waste</w:t>
      </w:r>
      <w:bookmarkEnd w:id="63"/>
      <w:r w:rsidRPr="004234FB">
        <w:rPr>
          <w:b w:val="0"/>
        </w:rPr>
        <w:t xml:space="preserve"> </w:t>
      </w:r>
    </w:p>
    <w:p w:rsidR="00EF483B" w:rsidRDefault="00EF483B"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szCs w:val="24"/>
        </w:rPr>
      </w:pPr>
    </w:p>
    <w:p w:rsidR="00A369B2" w:rsidRDefault="00EF483B"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lang w:val="en-US"/>
        </w:rPr>
      </w:pPr>
      <w:r w:rsidRPr="00EF483B">
        <w:rPr>
          <w:rFonts w:cs="Arial"/>
          <w:i/>
          <w:szCs w:val="24"/>
          <w:lang w:val="en-US"/>
        </w:rPr>
        <w:t>Responsibility to meet international obligations; reduce hazardous materials entering the waste stream; dispose of and move trans</w:t>
      </w:r>
      <w:r w:rsidR="008B482E">
        <w:rPr>
          <w:rFonts w:cs="Arial"/>
          <w:i/>
          <w:szCs w:val="24"/>
          <w:lang w:val="en-US"/>
        </w:rPr>
        <w:t>-</w:t>
      </w:r>
      <w:r w:rsidRPr="00EF483B">
        <w:rPr>
          <w:rFonts w:cs="Arial"/>
          <w:i/>
          <w:szCs w:val="24"/>
          <w:lang w:val="en-US"/>
        </w:rPr>
        <w:t>boundary waste in an environmentally sound manner in appropriate facilities</w:t>
      </w:r>
    </w:p>
    <w:p w:rsidR="00EF483B" w:rsidRDefault="00EF483B"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p>
    <w:p w:rsidR="00B443DD" w:rsidRPr="00156658" w:rsidRDefault="00B443DD" w:rsidP="00B1306B">
      <w:pPr>
        <w:rPr>
          <w:rFonts w:cs="Arial"/>
          <w:szCs w:val="24"/>
        </w:rPr>
      </w:pPr>
    </w:p>
    <w:p w:rsidR="008F3EAF" w:rsidRPr="004C2B5E" w:rsidRDefault="008F3EAF" w:rsidP="008F3EAF">
      <w:pPr>
        <w:rPr>
          <w:szCs w:val="24"/>
        </w:rPr>
      </w:pPr>
      <w:r w:rsidRPr="004C2B5E">
        <w:rPr>
          <w:szCs w:val="24"/>
        </w:rPr>
        <w:t>Actions implemented under this strategy by the Australian Government have improved the monitoring of chemicals and hazardous substances; and therefore continue to strengthen Australia’s capacity to meet its international responsibility to protect human health and the environment. The Australian Government and jurisdictions continue to engage effectively to progress shared responsibilities, to collaborate and take decisions collectively based on solid evidence and to focus efforts on activities that contribute to international responsibilities and support national consistency.</w:t>
      </w:r>
    </w:p>
    <w:p w:rsidR="008F3EAF" w:rsidRPr="004C2B5E" w:rsidRDefault="008F3EAF" w:rsidP="008F3EAF">
      <w:pPr>
        <w:rPr>
          <w:szCs w:val="24"/>
        </w:rPr>
      </w:pPr>
    </w:p>
    <w:p w:rsidR="008F3EAF" w:rsidRPr="004C2B5E" w:rsidRDefault="008F3EAF" w:rsidP="008F3EAF">
      <w:pPr>
        <w:rPr>
          <w:szCs w:val="24"/>
        </w:rPr>
      </w:pPr>
      <w:r w:rsidRPr="004C2B5E">
        <w:rPr>
          <w:szCs w:val="24"/>
        </w:rPr>
        <w:t xml:space="preserve">There is growing threat to human health and the environment posed by the increased generation and complexity and </w:t>
      </w:r>
      <w:proofErr w:type="spellStart"/>
      <w:r w:rsidRPr="004C2B5E">
        <w:rPr>
          <w:szCs w:val="24"/>
        </w:rPr>
        <w:t>transboundary</w:t>
      </w:r>
      <w:proofErr w:type="spellEnd"/>
      <w:r w:rsidRPr="004C2B5E">
        <w:rPr>
          <w:szCs w:val="24"/>
        </w:rPr>
        <w:t xml:space="preserve"> movement of hazardous wastes. As the generation of hazardous industrial and chemical wastes in particular continues to increase, they contain a variety of properties that pose significant risks to human health and/or the environment, from generation through their handling, movement and through to the final fates of these wastes. These wastes include materials and products containing hazardous substances are found in all waste streams and include medical waste, electronic waste, household chemicals, treated timber, floorings, plastics, paint, polymers, coatings, adhesives and solvents.  These are wastes that cannot be disposed of in municipal landfill or the sewer. They are required to controlled, and tracked to special treatment and disposal facilities.”</w:t>
      </w:r>
    </w:p>
    <w:p w:rsidR="00EF483B" w:rsidRPr="004C2B5E" w:rsidRDefault="00EF483B" w:rsidP="004C2B5E">
      <w:pPr>
        <w:rPr>
          <w:szCs w:val="24"/>
        </w:rPr>
      </w:pPr>
    </w:p>
    <w:p w:rsidR="00EF483B" w:rsidRDefault="00EF483B" w:rsidP="00EF483B">
      <w:pPr>
        <w:rPr>
          <w:rFonts w:cs="Arial"/>
          <w:szCs w:val="24"/>
        </w:rPr>
      </w:pPr>
      <w:r>
        <w:rPr>
          <w:rFonts w:cs="Arial"/>
          <w:szCs w:val="24"/>
        </w:rPr>
        <w:t>Key initiatives in this area include:</w:t>
      </w:r>
    </w:p>
    <w:p w:rsidR="00EF483B" w:rsidRDefault="00EF483B" w:rsidP="00EF483B">
      <w:pPr>
        <w:rPr>
          <w:szCs w:val="24"/>
        </w:rPr>
      </w:pPr>
    </w:p>
    <w:p w:rsidR="00F621D1" w:rsidRPr="00F621D1" w:rsidRDefault="005279CA" w:rsidP="00F621D1">
      <w:pPr>
        <w:pStyle w:val="ListParagraph"/>
        <w:numPr>
          <w:ilvl w:val="0"/>
          <w:numId w:val="19"/>
        </w:numPr>
        <w:ind w:left="426" w:hanging="426"/>
        <w:rPr>
          <w:rFonts w:cs="Arial"/>
          <w:szCs w:val="24"/>
        </w:rPr>
      </w:pPr>
      <w:r w:rsidRPr="00EF483B">
        <w:rPr>
          <w:rFonts w:cs="Arial"/>
          <w:i/>
          <w:szCs w:val="24"/>
        </w:rPr>
        <w:t>Hazardous Waste Data Assessment</w:t>
      </w:r>
      <w:r>
        <w:rPr>
          <w:rStyle w:val="EndnoteReference"/>
          <w:rFonts w:cs="Arial"/>
          <w:i/>
          <w:szCs w:val="24"/>
        </w:rPr>
        <w:endnoteReference w:id="38"/>
      </w:r>
      <w:r w:rsidRPr="00EF483B">
        <w:rPr>
          <w:rFonts w:cs="Arial"/>
          <w:szCs w:val="24"/>
        </w:rPr>
        <w:t xml:space="preserve"> </w:t>
      </w:r>
      <w:r w:rsidR="00BA45B0">
        <w:rPr>
          <w:rFonts w:cs="Arial"/>
          <w:szCs w:val="24"/>
        </w:rPr>
        <w:t>–</w:t>
      </w:r>
      <w:r w:rsidR="00EF483B">
        <w:rPr>
          <w:rFonts w:cs="Arial"/>
          <w:szCs w:val="24"/>
        </w:rPr>
        <w:t xml:space="preserve"> May 2013 </w:t>
      </w:r>
      <w:r w:rsidR="00BA45B0">
        <w:rPr>
          <w:rFonts w:cs="Arial"/>
          <w:szCs w:val="24"/>
        </w:rPr>
        <w:t>–</w:t>
      </w:r>
      <w:r w:rsidR="00EF483B">
        <w:rPr>
          <w:rFonts w:cs="Arial"/>
          <w:szCs w:val="24"/>
        </w:rPr>
        <w:t xml:space="preserve"> provides</w:t>
      </w:r>
      <w:r w:rsidR="00EF483B" w:rsidRPr="00EF483B">
        <w:rPr>
          <w:rFonts w:cs="Arial"/>
          <w:szCs w:val="24"/>
        </w:rPr>
        <w:t xml:space="preserve"> a compilation of available data and information on hazardous waste volumes in Australia </w:t>
      </w:r>
      <w:r w:rsidRPr="00EF483B">
        <w:rPr>
          <w:rFonts w:cs="Arial"/>
          <w:szCs w:val="24"/>
        </w:rPr>
        <w:t>to increase the level of public information available regarding hazardous waste gene</w:t>
      </w:r>
      <w:r w:rsidR="00EF483B">
        <w:rPr>
          <w:rFonts w:cs="Arial"/>
          <w:szCs w:val="24"/>
        </w:rPr>
        <w:t xml:space="preserve">rated in states and territories. </w:t>
      </w:r>
      <w:r w:rsidRPr="00EF483B">
        <w:rPr>
          <w:rFonts w:cs="Arial"/>
          <w:szCs w:val="24"/>
        </w:rPr>
        <w:t>The report is in two parts:</w:t>
      </w:r>
    </w:p>
    <w:p w:rsidR="005279CA" w:rsidRPr="00D51B1A" w:rsidRDefault="005279CA" w:rsidP="00D51B1A">
      <w:pPr>
        <w:pStyle w:val="ListParagraph"/>
        <w:keepNext/>
        <w:keepLines/>
        <w:numPr>
          <w:ilvl w:val="0"/>
          <w:numId w:val="7"/>
        </w:numPr>
        <w:ind w:left="851" w:hanging="425"/>
      </w:pPr>
      <w:r w:rsidRPr="00D51B1A">
        <w:rPr>
          <w:i/>
        </w:rPr>
        <w:t>Hazardous Waste Data Assessment</w:t>
      </w:r>
      <w:r w:rsidRPr="00D51B1A">
        <w:t xml:space="preserve"> compiles data and information on hazardous waste generation in Australia, including the hazardous waste that crosses state, territory or national borders and hazardous waste that remains within a single jurisdiction. </w:t>
      </w:r>
    </w:p>
    <w:p w:rsidR="005279CA" w:rsidRPr="00BB0FAD" w:rsidRDefault="005279CA" w:rsidP="00D51B1A">
      <w:pPr>
        <w:pStyle w:val="ListParagraph"/>
        <w:numPr>
          <w:ilvl w:val="0"/>
          <w:numId w:val="9"/>
        </w:numPr>
        <w:ind w:left="851" w:hanging="425"/>
        <w:rPr>
          <w:rFonts w:cs="Arial"/>
          <w:szCs w:val="24"/>
        </w:rPr>
      </w:pPr>
      <w:r w:rsidRPr="00BB0FAD">
        <w:rPr>
          <w:rFonts w:cs="Arial"/>
          <w:i/>
          <w:szCs w:val="24"/>
        </w:rPr>
        <w:t>Hazardous Waste Data Summary</w:t>
      </w:r>
      <w:r w:rsidRPr="00BB0FAD">
        <w:rPr>
          <w:rFonts w:cs="Arial"/>
          <w:szCs w:val="24"/>
        </w:rPr>
        <w:t xml:space="preserve"> provides further interpretation and analysis of the data presented in the Hazardous Waste Data Assessment, and draws out headline messages about hazardous waste generation in Australia.</w:t>
      </w:r>
      <w:r w:rsidR="00D84088">
        <w:rPr>
          <w:rFonts w:cs="Arial"/>
          <w:szCs w:val="24"/>
        </w:rPr>
        <w:t xml:space="preserve"> </w:t>
      </w:r>
    </w:p>
    <w:p w:rsidR="00EF483B" w:rsidRPr="00EF483B" w:rsidRDefault="00EF483B" w:rsidP="00EF483B">
      <w:pPr>
        <w:pStyle w:val="ListParagraph"/>
        <w:widowControl w:val="0"/>
        <w:numPr>
          <w:ilvl w:val="0"/>
          <w:numId w:val="0"/>
        </w:numPr>
        <w:ind w:left="720"/>
        <w:rPr>
          <w:rFonts w:cs="Arial"/>
          <w:szCs w:val="24"/>
        </w:rPr>
      </w:pPr>
    </w:p>
    <w:p w:rsidR="00B22F4F" w:rsidRDefault="00B22F4F" w:rsidP="00F621D1">
      <w:pPr>
        <w:rPr>
          <w:i/>
        </w:rPr>
      </w:pPr>
      <w:r w:rsidRPr="00F621D1">
        <w:rPr>
          <w:i/>
        </w:rPr>
        <w:lastRenderedPageBreak/>
        <w:t>Monitoring program for chemicals of concern</w:t>
      </w:r>
    </w:p>
    <w:p w:rsidR="00F621D1" w:rsidRPr="00F621D1" w:rsidRDefault="00F621D1" w:rsidP="00F621D1">
      <w:pPr>
        <w:rPr>
          <w:i/>
        </w:rPr>
      </w:pPr>
    </w:p>
    <w:p w:rsidR="00B22F4F" w:rsidRDefault="00B22F4F" w:rsidP="00F621D1">
      <w:pPr>
        <w:pStyle w:val="ListBullet"/>
        <w:numPr>
          <w:ilvl w:val="0"/>
          <w:numId w:val="29"/>
        </w:numPr>
        <w:ind w:left="426" w:hanging="426"/>
      </w:pPr>
      <w:r w:rsidRPr="00F621D1">
        <w:t xml:space="preserve">A monitoring program has been established, which monitors chemicals of concern through the three core media types; air, blood and human breast milk. </w:t>
      </w:r>
    </w:p>
    <w:p w:rsidR="0028794F" w:rsidRPr="00F621D1" w:rsidRDefault="0028794F" w:rsidP="0028794F">
      <w:pPr>
        <w:pStyle w:val="ListBullet"/>
        <w:ind w:left="426"/>
      </w:pPr>
    </w:p>
    <w:p w:rsidR="00B22F4F" w:rsidRDefault="00B22F4F" w:rsidP="0028794F">
      <w:pPr>
        <w:pStyle w:val="ListBullet"/>
        <w:numPr>
          <w:ilvl w:val="0"/>
          <w:numId w:val="29"/>
        </w:numPr>
        <w:ind w:left="426" w:hanging="426"/>
      </w:pPr>
      <w:r w:rsidRPr="0028794F">
        <w:t xml:space="preserve">This project commenced in September 2010 and has established an operational air monitoring network across around 44 sites in Australia, representing a range of land use types. More than 150 passive air samplers and six active air samplers are installed and operational nationally. Many of the samples collected under this program are stored in the Specimen Bank (see further discussion below) with a small subset analysed for over 20 chemicals of concern, including mercury. </w:t>
      </w:r>
    </w:p>
    <w:p w:rsidR="0028794F" w:rsidRPr="0028794F" w:rsidRDefault="0028794F" w:rsidP="0028794F">
      <w:pPr>
        <w:pStyle w:val="ListBullet"/>
        <w:ind w:left="426"/>
      </w:pPr>
    </w:p>
    <w:p w:rsidR="00B22F4F" w:rsidRDefault="00B22F4F" w:rsidP="0028794F">
      <w:pPr>
        <w:pStyle w:val="ListBullet"/>
        <w:numPr>
          <w:ilvl w:val="0"/>
          <w:numId w:val="29"/>
        </w:numPr>
        <w:ind w:left="426" w:hanging="426"/>
      </w:pPr>
      <w:r w:rsidRPr="0028794F">
        <w:t>The pilot program has provided valuable information regarding the sensitivity and robustness of data that can be obtained with different sampling strategies and equipment. This will go towards informing the design of a long term fully functional and robust national program that can detect trends to the necessary levels of accuracy over time.</w:t>
      </w:r>
    </w:p>
    <w:p w:rsidR="0028794F" w:rsidRPr="0028794F" w:rsidRDefault="0028794F" w:rsidP="0028794F">
      <w:pPr>
        <w:pStyle w:val="ListBullet"/>
        <w:ind w:left="426"/>
      </w:pPr>
    </w:p>
    <w:p w:rsidR="00B22F4F" w:rsidRPr="0028794F" w:rsidRDefault="00B22F4F" w:rsidP="0028794F">
      <w:pPr>
        <w:pStyle w:val="ListBullet"/>
        <w:numPr>
          <w:ilvl w:val="0"/>
          <w:numId w:val="29"/>
        </w:numPr>
        <w:ind w:left="426" w:hanging="426"/>
      </w:pPr>
      <w:r w:rsidRPr="0028794F">
        <w:t>This project continues until 2015. The first stage of the project was the establishment of the monitoring program. The second stage of the project is to use the data collected to date, it will deliver a scientifically robust chemical transport model that can be used to investigate the sources (including regional sources), transportation and fate of the chemicals in ambient air throughout Australia. It is due to be completed in the first quarter of 2014.</w:t>
      </w:r>
    </w:p>
    <w:p w:rsidR="00B90949" w:rsidRDefault="008F3EAF" w:rsidP="004C2B5E">
      <w:pPr>
        <w:autoSpaceDE w:val="0"/>
        <w:autoSpaceDN w:val="0"/>
        <w:adjustRightInd w:val="0"/>
        <w:spacing w:after="120"/>
        <w:rPr>
          <w:rFonts w:cs="Arial"/>
          <w:szCs w:val="24"/>
        </w:rPr>
      </w:pPr>
      <w:r>
        <w:rPr>
          <w:rFonts w:cs="Arial"/>
          <w:bCs/>
        </w:rPr>
        <w:t xml:space="preserve">. </w:t>
      </w:r>
    </w:p>
    <w:p w:rsidR="005D1604" w:rsidRPr="004234FB" w:rsidRDefault="00DA4C98" w:rsidP="006B3148">
      <w:pPr>
        <w:pStyle w:val="Heading2"/>
        <w:pBdr>
          <w:top w:val="single" w:sz="4" w:space="1" w:color="auto"/>
          <w:left w:val="single" w:sz="4" w:space="4" w:color="auto"/>
          <w:right w:val="single" w:sz="4" w:space="4" w:color="auto"/>
        </w:pBdr>
        <w:shd w:val="clear" w:color="auto" w:fill="FFCC00"/>
        <w:rPr>
          <w:b w:val="0"/>
          <w:szCs w:val="24"/>
        </w:rPr>
      </w:pPr>
      <w:bookmarkStart w:id="64" w:name="_Toc383092779"/>
      <w:r w:rsidRPr="00DA4C98">
        <w:rPr>
          <w:szCs w:val="24"/>
        </w:rPr>
        <w:t>Strategy 13</w:t>
      </w:r>
      <w:r w:rsidR="005D1604">
        <w:rPr>
          <w:szCs w:val="24"/>
        </w:rPr>
        <w:t xml:space="preserve"> </w:t>
      </w:r>
      <w:r w:rsidR="00BA45B0">
        <w:rPr>
          <w:szCs w:val="24"/>
        </w:rPr>
        <w:t>–</w:t>
      </w:r>
      <w:r w:rsidR="005D1604">
        <w:rPr>
          <w:szCs w:val="24"/>
        </w:rPr>
        <w:t xml:space="preserve"> </w:t>
      </w:r>
      <w:r w:rsidR="005D1604" w:rsidRPr="004234FB">
        <w:rPr>
          <w:rStyle w:val="Heading3Char"/>
          <w:b/>
        </w:rPr>
        <w:t>Hazardous substances in products</w:t>
      </w:r>
      <w:bookmarkEnd w:id="64"/>
    </w:p>
    <w:p w:rsidR="005D1604" w:rsidRPr="004234FB" w:rsidRDefault="005D1604" w:rsidP="00B1306B">
      <w:pPr>
        <w:keepNext/>
        <w:pBdr>
          <w:top w:val="single" w:sz="4" w:space="1" w:color="auto"/>
          <w:left w:val="single" w:sz="4" w:space="4" w:color="auto"/>
          <w:bottom w:val="single" w:sz="4" w:space="1" w:color="auto"/>
          <w:right w:val="single" w:sz="4" w:space="4" w:color="auto"/>
        </w:pBdr>
        <w:shd w:val="clear" w:color="auto" w:fill="FED36B" w:themeFill="accent3" w:themeFillTint="99"/>
        <w:rPr>
          <w:rFonts w:cs="Arial"/>
          <w:b/>
          <w:i/>
          <w:szCs w:val="24"/>
        </w:rPr>
      </w:pPr>
    </w:p>
    <w:p w:rsidR="00A369B2" w:rsidRDefault="009E288E" w:rsidP="0028794F">
      <w:pPr>
        <w:keepNext/>
        <w:pBdr>
          <w:top w:val="single" w:sz="4" w:space="1" w:color="auto"/>
          <w:left w:val="single" w:sz="4" w:space="4" w:color="auto"/>
          <w:bottom w:val="single" w:sz="4" w:space="1" w:color="auto"/>
          <w:right w:val="single" w:sz="4" w:space="4" w:color="auto"/>
        </w:pBdr>
        <w:shd w:val="clear" w:color="auto" w:fill="FED36B" w:themeFill="accent3" w:themeFillTint="99"/>
        <w:rPr>
          <w:rFonts w:cs="Arial"/>
          <w:szCs w:val="24"/>
        </w:rPr>
      </w:pPr>
      <w:r w:rsidRPr="009E288E">
        <w:rPr>
          <w:rFonts w:cs="Arial"/>
          <w:i/>
          <w:szCs w:val="24"/>
          <w:lang w:val="en-US"/>
        </w:rPr>
        <w:t>Adoption of a system that aligns with international approaches to reduce hazardous substances in products</w:t>
      </w:r>
      <w:r>
        <w:rPr>
          <w:rFonts w:cs="Arial"/>
          <w:i/>
          <w:szCs w:val="24"/>
          <w:lang w:val="en-US"/>
        </w:rPr>
        <w:t xml:space="preserve"> and articles sold in Australia</w:t>
      </w:r>
      <w:r w:rsidR="0028794F">
        <w:rPr>
          <w:rFonts w:cs="Arial"/>
          <w:i/>
          <w:szCs w:val="24"/>
          <w:lang w:val="en-US"/>
        </w:rPr>
        <w:br/>
      </w:r>
    </w:p>
    <w:p w:rsidR="00E62FD4" w:rsidRDefault="00E62FD4" w:rsidP="006C2E2F">
      <w:pPr>
        <w:keepLines/>
        <w:rPr>
          <w:szCs w:val="24"/>
        </w:rPr>
      </w:pPr>
    </w:p>
    <w:p w:rsidR="00974A38" w:rsidRDefault="008B482E" w:rsidP="0054124D">
      <w:pPr>
        <w:rPr>
          <w:rFonts w:cs="Arial"/>
          <w:szCs w:val="24"/>
        </w:rPr>
      </w:pPr>
      <w:r>
        <w:rPr>
          <w:rFonts w:cs="Arial"/>
          <w:szCs w:val="24"/>
        </w:rPr>
        <w:t>A</w:t>
      </w:r>
      <w:r w:rsidR="00974A38" w:rsidRPr="00974A38">
        <w:rPr>
          <w:rFonts w:cs="Arial"/>
          <w:szCs w:val="24"/>
        </w:rPr>
        <w:t xml:space="preserve"> key reform is the establishment of a framework for develop</w:t>
      </w:r>
      <w:r>
        <w:rPr>
          <w:rFonts w:cs="Arial"/>
          <w:szCs w:val="24"/>
        </w:rPr>
        <w:t xml:space="preserve">ing and implementing nationally </w:t>
      </w:r>
      <w:r w:rsidR="00974A38" w:rsidRPr="00974A38">
        <w:rPr>
          <w:rFonts w:cs="Arial"/>
          <w:szCs w:val="24"/>
        </w:rPr>
        <w:t>consistent standards to manage the environmental risks of industrial chemicals.</w:t>
      </w:r>
      <w:r w:rsidR="00974A38">
        <w:rPr>
          <w:rFonts w:cs="Arial"/>
          <w:szCs w:val="24"/>
        </w:rPr>
        <w:t xml:space="preserve"> </w:t>
      </w:r>
      <w:r w:rsidR="005279CA">
        <w:rPr>
          <w:rFonts w:cs="Arial"/>
          <w:szCs w:val="24"/>
        </w:rPr>
        <w:t>A</w:t>
      </w:r>
      <w:r w:rsidR="0054124D">
        <w:rPr>
          <w:rFonts w:cs="Arial"/>
          <w:szCs w:val="24"/>
        </w:rPr>
        <w:t>ll jurisdictions</w:t>
      </w:r>
      <w:r w:rsidR="00974A38">
        <w:rPr>
          <w:rFonts w:cs="Arial"/>
          <w:szCs w:val="24"/>
        </w:rPr>
        <w:t xml:space="preserve"> have been working collaboratively</w:t>
      </w:r>
      <w:r w:rsidR="0054124D">
        <w:rPr>
          <w:rFonts w:cs="Arial"/>
          <w:szCs w:val="24"/>
        </w:rPr>
        <w:t xml:space="preserve"> to develop policy options for a framework to manage the risks</w:t>
      </w:r>
      <w:r w:rsidR="005279CA">
        <w:rPr>
          <w:rFonts w:cs="Arial"/>
          <w:szCs w:val="24"/>
        </w:rPr>
        <w:t xml:space="preserve"> of chemicals in the environment. </w:t>
      </w:r>
    </w:p>
    <w:p w:rsidR="0054124D" w:rsidRDefault="0054124D" w:rsidP="00B1306B">
      <w:pPr>
        <w:keepLines/>
        <w:rPr>
          <w:rFonts w:cs="Arial"/>
          <w:szCs w:val="24"/>
        </w:rPr>
      </w:pPr>
    </w:p>
    <w:p w:rsidR="008B482E" w:rsidRDefault="008B482E" w:rsidP="008B482E">
      <w:pPr>
        <w:rPr>
          <w:rFonts w:cs="Arial"/>
          <w:szCs w:val="24"/>
        </w:rPr>
      </w:pPr>
      <w:r>
        <w:rPr>
          <w:rFonts w:cs="Arial"/>
          <w:szCs w:val="24"/>
        </w:rPr>
        <w:t>Key initiatives in this area include:</w:t>
      </w:r>
    </w:p>
    <w:p w:rsidR="008B482E" w:rsidRDefault="008B482E" w:rsidP="00B1306B">
      <w:pPr>
        <w:keepLines/>
      </w:pPr>
    </w:p>
    <w:p w:rsidR="00E1628B" w:rsidRPr="0028794F" w:rsidRDefault="00974A38" w:rsidP="00E1628B">
      <w:pPr>
        <w:pStyle w:val="ListParagraph"/>
        <w:keepLines/>
        <w:numPr>
          <w:ilvl w:val="0"/>
          <w:numId w:val="20"/>
        </w:numPr>
        <w:ind w:left="426" w:hanging="426"/>
      </w:pPr>
      <w:r w:rsidRPr="008B482E">
        <w:rPr>
          <w:i/>
        </w:rPr>
        <w:t>Consultation Regulation Impact Statement</w:t>
      </w:r>
      <w:r w:rsidR="00DB1B37">
        <w:rPr>
          <w:i/>
        </w:rPr>
        <w:t xml:space="preserve"> for Hazardous Substances in Products</w:t>
      </w:r>
      <w:r w:rsidR="007804C5">
        <w:rPr>
          <w:rStyle w:val="EndnoteReference"/>
          <w:i/>
        </w:rPr>
        <w:endnoteReference w:id="39"/>
      </w:r>
      <w:r>
        <w:t xml:space="preserve"> </w:t>
      </w:r>
      <w:r w:rsidR="008B482E">
        <w:t xml:space="preserve">– April 2013 </w:t>
      </w:r>
      <w:r w:rsidR="00BA45B0">
        <w:t>–</w:t>
      </w:r>
      <w:r w:rsidR="008B482E">
        <w:t xml:space="preserve"> </w:t>
      </w:r>
      <w:r>
        <w:t>options for developing and implementing nationally consistent decisions to manage the environmental risks of industrial chemicals.</w:t>
      </w:r>
      <w:r w:rsidRPr="008B482E">
        <w:rPr>
          <w:rFonts w:cs="Arial"/>
          <w:szCs w:val="24"/>
        </w:rPr>
        <w:t xml:space="preserve"> This includes considering options to establish a national body to set environmental standards for chemicals, and assessing the costs and benefits of environmental labelling of chemicals.</w:t>
      </w:r>
    </w:p>
    <w:p w:rsidR="00324A28" w:rsidRPr="00324A28" w:rsidRDefault="00A81DF4" w:rsidP="00A64E3E">
      <w:pPr>
        <w:pStyle w:val="Heading4"/>
      </w:pPr>
      <w:r w:rsidRPr="00156658">
        <w:br w:type="page"/>
      </w:r>
      <w:r w:rsidR="001F5E0F" w:rsidRPr="001F5E0F">
        <w:rPr>
          <w:noProof/>
          <w:lang w:val="en-US"/>
        </w:rPr>
        <w:lastRenderedPageBreak/>
        <w:pict>
          <v:shape id="_x0000_s1033" type="#_x0000_t202" style="position:absolute;left:0;text-align:left;margin-left:-21.95pt;margin-top:36pt;width:486pt;height:675pt;z-index:25167052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" fillcolor="#fed36b [1942]" strokecolor="#feb80a [3206]">
            <v:stroke joinstyle="round" endcap="round"/>
            <v:textbox style="mso-next-textbox:#_x0000_s1033">
              <w:txbxContent>
                <w:p w:rsidR="008E5E36" w:rsidRDefault="008E5E36" w:rsidP="00F446D9">
                  <w:pPr>
                    <w:pStyle w:val="Heading1"/>
                    <w:numPr>
                      <w:ilvl w:val="0"/>
                      <w:numId w:val="0"/>
                    </w:numPr>
                  </w:pPr>
                </w:p>
                <w:p w:rsidR="008E5E36" w:rsidRPr="00F446D9" w:rsidRDefault="008E5E36" w:rsidP="00F446D9">
                  <w:pPr>
                    <w:jc w:val="center"/>
                    <w:rPr>
                      <w:b/>
                      <w:color w:val="C48B01" w:themeColor="accent3" w:themeShade="BF"/>
                      <w:sz w:val="28"/>
                      <w:szCs w:val="28"/>
                    </w:rPr>
                  </w:pPr>
                  <w:r w:rsidRPr="00F446D9">
                    <w:rPr>
                      <w:b/>
                      <w:color w:val="C48B01" w:themeColor="accent3" w:themeShade="BF"/>
                      <w:sz w:val="28"/>
                      <w:szCs w:val="28"/>
                    </w:rPr>
                    <w:t>Solutions for Waste Management in Regional and Remote Australia</w:t>
                  </w:r>
                </w:p>
                <w:p w:rsidR="008E5E36" w:rsidRPr="0066016E" w:rsidRDefault="008E5E36" w:rsidP="00F446D9">
                  <w:pPr>
                    <w:jc w:val="center"/>
                    <w:rPr>
                      <w:i/>
                      <w:color w:val="C48B01" w:themeColor="accent3" w:themeShade="BF"/>
                      <w:szCs w:val="24"/>
                    </w:rPr>
                  </w:pPr>
                  <w:bookmarkStart w:id="65" w:name="_Toc382989015"/>
                  <w:bookmarkStart w:id="66" w:name="_Toc382989146"/>
                  <w:bookmarkStart w:id="67" w:name="_Toc382989447"/>
                  <w:bookmarkStart w:id="68" w:name="_Toc382990917"/>
                  <w:bookmarkStart w:id="69" w:name="_Toc382991566"/>
                  <w:bookmarkStart w:id="70" w:name="_Toc382995857"/>
                  <w:bookmarkStart w:id="71" w:name="_Toc382996169"/>
                  <w:bookmarkStart w:id="72" w:name="_Toc382996200"/>
                  <w:bookmarkStart w:id="73" w:name="_Toc382996340"/>
                  <w:bookmarkStart w:id="74" w:name="_Toc382996371"/>
                  <w:r w:rsidRPr="0066016E">
                    <w:rPr>
                      <w:i/>
                      <w:color w:val="C48B01" w:themeColor="accent3" w:themeShade="BF"/>
                      <w:szCs w:val="24"/>
                    </w:rPr>
                    <w:t>Regional and Remote Australia Working Group</w:t>
                  </w:r>
                  <w:bookmarkEnd w:id="65"/>
                  <w:bookmarkEnd w:id="66"/>
                  <w:bookmarkEnd w:id="67"/>
                  <w:bookmarkEnd w:id="68"/>
                  <w:bookmarkEnd w:id="69"/>
                  <w:bookmarkEnd w:id="70"/>
                  <w:bookmarkEnd w:id="71"/>
                  <w:bookmarkEnd w:id="72"/>
                  <w:bookmarkEnd w:id="73"/>
                  <w:bookmarkEnd w:id="74"/>
                </w:p>
                <w:p w:rsidR="008E5E36" w:rsidRDefault="008E5E36" w:rsidP="00324A28">
                  <w:pPr>
                    <w:jc w:val="center"/>
                  </w:pPr>
                </w:p>
                <w:p w:rsidR="008E5E36" w:rsidRPr="0028794F" w:rsidRDefault="008E5E36" w:rsidP="0028794F">
                  <w:pPr>
                    <w:rPr>
                      <w:b/>
                      <w:i/>
                    </w:rPr>
                  </w:pPr>
                  <w:bookmarkStart w:id="75" w:name="_Toc382989016"/>
                  <w:bookmarkStart w:id="76" w:name="_Toc382989147"/>
                  <w:bookmarkStart w:id="77" w:name="_Toc382989448"/>
                  <w:bookmarkStart w:id="78" w:name="_Toc382990918"/>
                  <w:bookmarkStart w:id="79" w:name="_Toc382991567"/>
                  <w:r>
                    <w:rPr>
                      <w:b/>
                      <w:i/>
                    </w:rPr>
                    <w:tab/>
                  </w:r>
                  <w:r w:rsidRPr="0028794F">
                    <w:rPr>
                      <w:b/>
                      <w:i/>
                    </w:rPr>
                    <w:t>What and Why</w:t>
                  </w:r>
                  <w:bookmarkEnd w:id="75"/>
                  <w:bookmarkEnd w:id="76"/>
                  <w:bookmarkEnd w:id="77"/>
                  <w:bookmarkEnd w:id="78"/>
                  <w:bookmarkEnd w:id="79"/>
                </w:p>
                <w:p w:rsidR="008E5E36" w:rsidRPr="00324A28" w:rsidRDefault="008E5E36" w:rsidP="00324A28"/>
                <w:p w:rsidR="008E5E36" w:rsidRPr="0028794F" w:rsidRDefault="008E5E36" w:rsidP="0028794F">
                  <w:pPr>
                    <w:pStyle w:val="ListParagraph"/>
                    <w:numPr>
                      <w:ilvl w:val="0"/>
                      <w:numId w:val="24"/>
                    </w:numPr>
                    <w:spacing w:after="200" w:line="276" w:lineRule="auto"/>
                    <w:ind w:left="714" w:hanging="357"/>
                    <w:rPr>
                      <w:rFonts w:cstheme="minorHAnsi"/>
                      <w:i/>
                    </w:rPr>
                  </w:pPr>
                  <w:r>
                    <w:rPr>
                      <w:rFonts w:cstheme="minorHAnsi"/>
                    </w:rPr>
                    <w:t>T</w:t>
                  </w:r>
                  <w:r w:rsidRPr="000333BE">
                    <w:rPr>
                      <w:rFonts w:cstheme="minorHAnsi"/>
                    </w:rPr>
                    <w:t>he Regional and Remote Australia Working Group</w:t>
                  </w:r>
                  <w:r>
                    <w:rPr>
                      <w:rFonts w:cstheme="minorHAnsi"/>
                    </w:rPr>
                    <w:t>, made up of all jurisdictions in Australia</w:t>
                  </w:r>
                  <w:r w:rsidRPr="000333BE">
                    <w:rPr>
                      <w:rFonts w:cstheme="minorHAnsi"/>
                    </w:rPr>
                    <w:t xml:space="preserve"> is responsible for implemen</w:t>
                  </w:r>
                  <w:r>
                    <w:rPr>
                      <w:rFonts w:cstheme="minorHAnsi"/>
                    </w:rPr>
                    <w:t>ti</w:t>
                  </w:r>
                  <w:r w:rsidRPr="000333BE">
                    <w:rPr>
                      <w:rFonts w:cstheme="minorHAnsi"/>
                    </w:rPr>
                    <w:t>ng strategies under the key direc</w:t>
                  </w:r>
                  <w:r>
                    <w:rPr>
                      <w:rFonts w:cstheme="minorHAnsi"/>
                    </w:rPr>
                    <w:t>ti</w:t>
                  </w:r>
                  <w:r w:rsidRPr="000333BE">
                    <w:rPr>
                      <w:rFonts w:cstheme="minorHAnsi"/>
                    </w:rPr>
                    <w:t xml:space="preserve">on </w:t>
                  </w:r>
                  <w:r w:rsidRPr="0028794F">
                    <w:rPr>
                      <w:rFonts w:cstheme="minorHAnsi"/>
                      <w:i/>
                    </w:rPr>
                    <w:t>‘Tailoring solutions—increased capacity in regional and remote communities to manage waste and recover and re-use resources’</w:t>
                  </w:r>
                </w:p>
                <w:p w:rsidR="008E5E36" w:rsidRPr="0028794F" w:rsidRDefault="008E5E36" w:rsidP="0028794F">
                  <w:pPr>
                    <w:pStyle w:val="ListParagraph"/>
                    <w:numPr>
                      <w:ilvl w:val="0"/>
                      <w:numId w:val="24"/>
                    </w:numPr>
                    <w:spacing w:after="200" w:line="276" w:lineRule="auto"/>
                    <w:ind w:left="714" w:hanging="357"/>
                    <w:rPr>
                      <w:rFonts w:cstheme="minorHAnsi"/>
                    </w:rPr>
                  </w:pPr>
                  <w:r w:rsidRPr="000333BE">
                    <w:rPr>
                      <w:rFonts w:cstheme="minorHAnsi"/>
                    </w:rPr>
                    <w:t xml:space="preserve">Each </w:t>
                  </w:r>
                  <w:r>
                    <w:rPr>
                      <w:rFonts w:cstheme="minorHAnsi"/>
                    </w:rPr>
                    <w:t xml:space="preserve">regional and remote </w:t>
                  </w:r>
                  <w:r w:rsidRPr="000333BE">
                    <w:rPr>
                      <w:rFonts w:cstheme="minorHAnsi"/>
                    </w:rPr>
                    <w:t>community is unique and there is no singl</w:t>
                  </w:r>
                  <w:r>
                    <w:rPr>
                      <w:rFonts w:cstheme="minorHAnsi"/>
                    </w:rPr>
                    <w:t xml:space="preserve">e solution for waste management </w:t>
                  </w:r>
                </w:p>
                <w:p w:rsidR="008E5E36" w:rsidRPr="0028794F" w:rsidRDefault="008E5E36" w:rsidP="0028794F">
                  <w:pPr>
                    <w:pStyle w:val="ListParagraph"/>
                    <w:numPr>
                      <w:ilvl w:val="0"/>
                      <w:numId w:val="24"/>
                    </w:numPr>
                    <w:spacing w:after="200" w:line="276" w:lineRule="auto"/>
                    <w:ind w:left="714" w:hanging="357"/>
                    <w:rPr>
                      <w:rFonts w:cstheme="minorHAnsi"/>
                    </w:rPr>
                  </w:pPr>
                  <w:r>
                    <w:rPr>
                      <w:rFonts w:cstheme="minorHAnsi"/>
                    </w:rPr>
                    <w:t>T</w:t>
                  </w:r>
                  <w:r w:rsidRPr="00CA0EEF">
                    <w:rPr>
                      <w:rFonts w:cstheme="minorHAnsi"/>
                    </w:rPr>
                    <w:t>o improve waste management, successful regional and remote communi</w:t>
                  </w:r>
                  <w:r>
                    <w:rPr>
                      <w:rFonts w:cstheme="minorHAnsi"/>
                    </w:rPr>
                    <w:t>ti</w:t>
                  </w:r>
                  <w:r w:rsidRPr="00CA0EEF">
                    <w:rPr>
                      <w:rFonts w:cstheme="minorHAnsi"/>
                    </w:rPr>
                    <w:t>es have tailored solu</w:t>
                  </w:r>
                  <w:r>
                    <w:rPr>
                      <w:rFonts w:cstheme="minorHAnsi"/>
                    </w:rPr>
                    <w:t>ti</w:t>
                  </w:r>
                  <w:r w:rsidRPr="00CA0EEF">
                    <w:rPr>
                      <w:rFonts w:cstheme="minorHAnsi"/>
                    </w:rPr>
                    <w:t>o</w:t>
                  </w:r>
                  <w:r>
                    <w:rPr>
                      <w:rFonts w:cstheme="minorHAnsi"/>
                    </w:rPr>
                    <w:t>ns to meet their circumstances</w:t>
                  </w:r>
                </w:p>
                <w:p w:rsidR="008E5E36" w:rsidRPr="00714D33" w:rsidRDefault="008E5E36" w:rsidP="0028794F">
                  <w:pPr>
                    <w:pStyle w:val="ListParagraph"/>
                    <w:numPr>
                      <w:ilvl w:val="0"/>
                      <w:numId w:val="24"/>
                    </w:numPr>
                    <w:spacing w:after="200" w:line="276" w:lineRule="auto"/>
                    <w:ind w:left="714" w:hanging="357"/>
                    <w:rPr>
                      <w:rFonts w:cstheme="minorHAnsi"/>
                    </w:rPr>
                  </w:pPr>
                  <w:r>
                    <w:rPr>
                      <w:rFonts w:cstheme="minorHAnsi"/>
                    </w:rPr>
                    <w:t xml:space="preserve">The Working Group was looking to </w:t>
                  </w:r>
                  <w:r w:rsidRPr="00CA0EEF">
                    <w:rPr>
                      <w:rFonts w:cstheme="minorHAnsi"/>
                    </w:rPr>
                    <w:t xml:space="preserve">share </w:t>
                  </w:r>
                  <w:r>
                    <w:rPr>
                      <w:rFonts w:cstheme="minorHAnsi"/>
                    </w:rPr>
                    <w:t xml:space="preserve">the </w:t>
                  </w:r>
                  <w:r w:rsidRPr="00CA0EEF">
                    <w:rPr>
                      <w:rFonts w:cstheme="minorHAnsi"/>
                    </w:rPr>
                    <w:t>knowl</w:t>
                  </w:r>
                  <w:r>
                    <w:rPr>
                      <w:rFonts w:cstheme="minorHAnsi"/>
                    </w:rPr>
                    <w:t xml:space="preserve">edge, experience and </w:t>
                  </w:r>
                  <w:proofErr w:type="spellStart"/>
                  <w:r>
                    <w:rPr>
                      <w:rFonts w:cstheme="minorHAnsi"/>
                    </w:rPr>
                    <w:t>learnings</w:t>
                  </w:r>
                  <w:proofErr w:type="spellEnd"/>
                  <w:r>
                    <w:rPr>
                      <w:rFonts w:cstheme="minorHAnsi"/>
                    </w:rPr>
                    <w:t xml:space="preserve"> across the diverse and distributed communities of regional and remote Australia</w:t>
                  </w:r>
                </w:p>
                <w:p w:rsidR="008E5E36" w:rsidRPr="0028794F" w:rsidRDefault="008E5E36" w:rsidP="0028794F">
                  <w:pPr>
                    <w:rPr>
                      <w:b/>
                      <w:i/>
                    </w:rPr>
                  </w:pPr>
                  <w:bookmarkStart w:id="80" w:name="_Toc382989017"/>
                  <w:bookmarkStart w:id="81" w:name="_Toc382989148"/>
                  <w:bookmarkStart w:id="82" w:name="_Toc382989449"/>
                  <w:bookmarkStart w:id="83" w:name="_Toc382990919"/>
                  <w:bookmarkStart w:id="84" w:name="_Toc382991568"/>
                  <w:r>
                    <w:rPr>
                      <w:b/>
                      <w:i/>
                    </w:rPr>
                    <w:tab/>
                  </w:r>
                  <w:r w:rsidRPr="0028794F">
                    <w:rPr>
                      <w:b/>
                      <w:i/>
                    </w:rPr>
                    <w:t>How?</w:t>
                  </w:r>
                  <w:bookmarkEnd w:id="80"/>
                  <w:bookmarkEnd w:id="81"/>
                  <w:bookmarkEnd w:id="82"/>
                  <w:bookmarkEnd w:id="83"/>
                  <w:bookmarkEnd w:id="84"/>
                </w:p>
                <w:p w:rsidR="008E5E36" w:rsidRPr="00324A28" w:rsidRDefault="008E5E36" w:rsidP="00324A28"/>
                <w:p w:rsidR="008E5E36" w:rsidRPr="0028794F" w:rsidRDefault="008E5E36" w:rsidP="0028794F">
                  <w:pPr>
                    <w:pStyle w:val="ListParagraph"/>
                    <w:numPr>
                      <w:ilvl w:val="0"/>
                      <w:numId w:val="24"/>
                    </w:numPr>
                    <w:spacing w:after="200" w:line="276" w:lineRule="auto"/>
                    <w:ind w:left="714" w:hanging="357"/>
                    <w:rPr>
                      <w:rFonts w:cstheme="minorHAnsi"/>
                    </w:rPr>
                  </w:pPr>
                  <w:r>
                    <w:rPr>
                      <w:rFonts w:cstheme="minorHAnsi"/>
                    </w:rPr>
                    <w:t>D</w:t>
                  </w:r>
                  <w:r w:rsidRPr="00CA0EEF">
                    <w:rPr>
                      <w:rFonts w:cstheme="minorHAnsi"/>
                    </w:rPr>
                    <w:t>raw together case studies from regional and remote communi</w:t>
                  </w:r>
                  <w:r>
                    <w:rPr>
                      <w:rFonts w:cstheme="minorHAnsi"/>
                    </w:rPr>
                    <w:t>ti</w:t>
                  </w:r>
                  <w:r w:rsidRPr="00CA0EEF">
                    <w:rPr>
                      <w:rFonts w:cstheme="minorHAnsi"/>
                    </w:rPr>
                    <w:t>es in a variety of geographical and demographic contexts, ranging from projects undertaken in small remote communi</w:t>
                  </w:r>
                  <w:r>
                    <w:rPr>
                      <w:rFonts w:cstheme="minorHAnsi"/>
                    </w:rPr>
                    <w:t>ti</w:t>
                  </w:r>
                  <w:r w:rsidRPr="00CA0EEF">
                    <w:rPr>
                      <w:rFonts w:cstheme="minorHAnsi"/>
                    </w:rPr>
                    <w:t>es to t</w:t>
                  </w:r>
                  <w:r>
                    <w:rPr>
                      <w:rFonts w:cstheme="minorHAnsi"/>
                    </w:rPr>
                    <w:t>hose in larger regional centres</w:t>
                  </w:r>
                  <w:r w:rsidRPr="00CA0EEF">
                    <w:rPr>
                      <w:rFonts w:cstheme="minorHAnsi"/>
                    </w:rPr>
                    <w:t xml:space="preserve"> </w:t>
                  </w:r>
                </w:p>
                <w:p w:rsidR="008E5E36" w:rsidRPr="001D329A" w:rsidRDefault="008E5E36" w:rsidP="0028794F">
                  <w:pPr>
                    <w:pStyle w:val="ListParagraph"/>
                    <w:numPr>
                      <w:ilvl w:val="0"/>
                      <w:numId w:val="24"/>
                    </w:numPr>
                    <w:spacing w:after="200" w:line="276" w:lineRule="auto"/>
                    <w:ind w:left="714" w:hanging="357"/>
                    <w:rPr>
                      <w:rFonts w:cstheme="minorHAnsi"/>
                    </w:rPr>
                  </w:pPr>
                  <w:r w:rsidRPr="00CA0EEF">
                    <w:rPr>
                      <w:rFonts w:cstheme="minorHAnsi"/>
                    </w:rPr>
                    <w:t>The case studies capture a range of solu</w:t>
                  </w:r>
                  <w:r>
                    <w:rPr>
                      <w:rFonts w:cstheme="minorHAnsi"/>
                    </w:rPr>
                    <w:t>ti</w:t>
                  </w:r>
                  <w:r w:rsidRPr="00CA0EEF">
                    <w:rPr>
                      <w:rFonts w:cstheme="minorHAnsi"/>
                    </w:rPr>
                    <w:t xml:space="preserve">ons that have been tried and tested, </w:t>
                  </w:r>
                  <w:r>
                    <w:rPr>
                      <w:rFonts w:cstheme="minorHAnsi"/>
                    </w:rPr>
                    <w:t>and also include</w:t>
                  </w:r>
                  <w:r w:rsidRPr="00CA0EEF">
                    <w:rPr>
                      <w:rFonts w:cstheme="minorHAnsi"/>
                    </w:rPr>
                    <w:t xml:space="preserve"> projects that have not been successful but have nevertheless provided valuable </w:t>
                  </w:r>
                  <w:proofErr w:type="spellStart"/>
                  <w:r w:rsidRPr="00CA0EEF">
                    <w:rPr>
                      <w:rFonts w:cstheme="minorHAnsi"/>
                    </w:rPr>
                    <w:t>learnings</w:t>
                  </w:r>
                  <w:proofErr w:type="spellEnd"/>
                </w:p>
                <w:p w:rsidR="008E5E36" w:rsidRPr="0028794F" w:rsidRDefault="008E5E36" w:rsidP="0028794F">
                  <w:pPr>
                    <w:rPr>
                      <w:b/>
                      <w:i/>
                    </w:rPr>
                  </w:pPr>
                  <w:bookmarkStart w:id="85" w:name="_Toc382989018"/>
                  <w:bookmarkStart w:id="86" w:name="_Toc382989149"/>
                  <w:bookmarkStart w:id="87" w:name="_Toc382989450"/>
                  <w:bookmarkStart w:id="88" w:name="_Toc382990920"/>
                  <w:bookmarkStart w:id="89" w:name="_Toc382991569"/>
                  <w:r>
                    <w:rPr>
                      <w:b/>
                      <w:i/>
                    </w:rPr>
                    <w:tab/>
                  </w:r>
                  <w:r w:rsidRPr="0028794F">
                    <w:rPr>
                      <w:b/>
                      <w:i/>
                    </w:rPr>
                    <w:t>Results</w:t>
                  </w:r>
                  <w:bookmarkEnd w:id="85"/>
                  <w:bookmarkEnd w:id="86"/>
                  <w:bookmarkEnd w:id="87"/>
                  <w:bookmarkEnd w:id="88"/>
                  <w:bookmarkEnd w:id="89"/>
                </w:p>
                <w:p w:rsidR="008E5E36" w:rsidRPr="00324A28" w:rsidRDefault="008E5E36" w:rsidP="00324A28"/>
                <w:p w:rsidR="008E5E36" w:rsidRPr="0028794F" w:rsidRDefault="008E5E36" w:rsidP="0028794F">
                  <w:pPr>
                    <w:pStyle w:val="ListParagraph"/>
                    <w:numPr>
                      <w:ilvl w:val="0"/>
                      <w:numId w:val="24"/>
                    </w:numPr>
                    <w:spacing w:after="200" w:line="276" w:lineRule="auto"/>
                    <w:ind w:left="714" w:hanging="357"/>
                    <w:rPr>
                      <w:rFonts w:cstheme="minorHAnsi"/>
                      <w:b/>
                      <w:i/>
                    </w:rPr>
                  </w:pPr>
                  <w:r w:rsidRPr="0028794F">
                    <w:rPr>
                      <w:rFonts w:cstheme="minorHAnsi"/>
                      <w:b/>
                      <w:i/>
                    </w:rPr>
                    <w:t>The publication of “Solutions for Waste Management in Regional and Remote Australia” a compilation of some 32 case studies from across Australian regional and remote communities</w:t>
                  </w:r>
                </w:p>
                <w:p w:rsidR="008E5E36" w:rsidRPr="0028794F" w:rsidRDefault="008E5E36" w:rsidP="0028794F">
                  <w:pPr>
                    <w:pStyle w:val="ListParagraph"/>
                    <w:numPr>
                      <w:ilvl w:val="0"/>
                      <w:numId w:val="24"/>
                    </w:numPr>
                    <w:spacing w:after="200" w:line="276" w:lineRule="auto"/>
                    <w:ind w:left="714" w:hanging="357"/>
                    <w:rPr>
                      <w:rFonts w:cstheme="minorHAnsi"/>
                      <w:b/>
                      <w:i/>
                    </w:rPr>
                  </w:pPr>
                  <w:r w:rsidRPr="0028794F">
                    <w:rPr>
                      <w:rFonts w:cstheme="minorHAnsi"/>
                      <w:b/>
                      <w:i/>
                    </w:rPr>
                    <w:t>It is also envisaged that the case studies will foster the establishment of waste management networks between communities throughout Australia who share similar challenges due to their remote locations</w:t>
                  </w:r>
                </w:p>
                <w:p w:rsidR="008E5E36" w:rsidRPr="0028794F" w:rsidRDefault="008E5E36" w:rsidP="0028794F">
                  <w:pPr>
                    <w:pStyle w:val="ListParagraph"/>
                    <w:numPr>
                      <w:ilvl w:val="0"/>
                      <w:numId w:val="24"/>
                    </w:numPr>
                    <w:spacing w:after="200" w:line="276" w:lineRule="auto"/>
                    <w:ind w:left="714" w:hanging="357"/>
                    <w:rPr>
                      <w:rFonts w:cstheme="minorHAnsi"/>
                      <w:b/>
                      <w:i/>
                    </w:rPr>
                  </w:pPr>
                  <w:r w:rsidRPr="0028794F">
                    <w:rPr>
                      <w:rFonts w:cstheme="minorHAnsi"/>
                      <w:b/>
                      <w:i/>
                    </w:rPr>
                    <w:t>For further information</w:t>
                  </w:r>
                  <w:r>
                    <w:rPr>
                      <w:rFonts w:cstheme="minorHAnsi"/>
                      <w:b/>
                      <w:i/>
                    </w:rPr>
                    <w:t xml:space="preserve"> – </w:t>
                  </w:r>
                  <w:r w:rsidRPr="0028794F">
                    <w:rPr>
                      <w:rFonts w:cstheme="minorHAnsi"/>
                      <w:b/>
                      <w:i/>
                    </w:rPr>
                    <w:t>http://www.wasteauthority.wa.gov.au/media/files/documents/regional-remote-case-studies.pdf</w:t>
                  </w:r>
                </w:p>
              </w:txbxContent>
            </v:textbox>
          </v:shape>
        </w:pict>
      </w:r>
      <w:r w:rsidR="00BD4B07">
        <w:t>Case Study 5</w:t>
      </w:r>
      <w:r w:rsidR="00324A28" w:rsidRPr="00324A28">
        <w:br w:type="page"/>
      </w:r>
    </w:p>
    <w:p w:rsidR="00A81DF4" w:rsidRPr="00156658" w:rsidRDefault="00A81DF4" w:rsidP="00B1306B">
      <w:pPr>
        <w:keepLines/>
        <w:rPr>
          <w:rFonts w:cs="Arial"/>
          <w:szCs w:val="24"/>
        </w:rPr>
      </w:pPr>
    </w:p>
    <w:p w:rsidR="0095217B" w:rsidRPr="00A37BC7" w:rsidRDefault="0098520D" w:rsidP="00F446D9">
      <w:pPr>
        <w:pStyle w:val="Heading1"/>
      </w:pPr>
      <w:bookmarkStart w:id="90" w:name="_Toc383092780"/>
      <w:r w:rsidRPr="00A37BC7">
        <w:t>TAILORING SOLUTIONS</w:t>
      </w:r>
      <w:bookmarkEnd w:id="90"/>
      <w:r w:rsidRPr="00A37BC7">
        <w:t xml:space="preserve"> </w:t>
      </w:r>
    </w:p>
    <w:p w:rsidR="0095217B" w:rsidRDefault="0095217B" w:rsidP="00B1306B"/>
    <w:p w:rsidR="0095217B" w:rsidRPr="004D02AA" w:rsidRDefault="009C7431" w:rsidP="00B1306B">
      <w:pPr>
        <w:pBdr>
          <w:bottom w:val="single" w:sz="12" w:space="1" w:color="auto"/>
        </w:pBdr>
        <w:rPr>
          <w:color w:val="C48B01" w:themeColor="accent3" w:themeShade="BF"/>
          <w:szCs w:val="24"/>
          <w:lang w:val="en-US"/>
        </w:rPr>
      </w:pPr>
      <w:r w:rsidRPr="004D02AA">
        <w:rPr>
          <w:color w:val="C48B01" w:themeColor="accent3" w:themeShade="BF"/>
          <w:szCs w:val="24"/>
          <w:lang w:val="en-US"/>
        </w:rPr>
        <w:t>I</w:t>
      </w:r>
      <w:r w:rsidR="0095217B" w:rsidRPr="004D02AA">
        <w:rPr>
          <w:color w:val="C48B01" w:themeColor="accent3" w:themeShade="BF"/>
          <w:szCs w:val="24"/>
          <w:lang w:val="en-US"/>
        </w:rPr>
        <w:t>ncreased capacity in regional, remote and Indigenous communities to manage waste a</w:t>
      </w:r>
      <w:r w:rsidR="00F82567" w:rsidRPr="004D02AA">
        <w:rPr>
          <w:color w:val="C48B01" w:themeColor="accent3" w:themeShade="BF"/>
          <w:szCs w:val="24"/>
          <w:lang w:val="en-US"/>
        </w:rPr>
        <w:t>nd recover and re-use resources</w:t>
      </w:r>
    </w:p>
    <w:p w:rsidR="001C65D5" w:rsidRDefault="001C65D5" w:rsidP="00B1306B">
      <w:pPr>
        <w:pBdr>
          <w:bottom w:val="single" w:sz="12" w:space="1" w:color="auto"/>
        </w:pBdr>
        <w:rPr>
          <w:szCs w:val="24"/>
        </w:rPr>
      </w:pPr>
    </w:p>
    <w:p w:rsidR="0016219C" w:rsidRPr="00156658" w:rsidRDefault="0016219C" w:rsidP="00B1306B">
      <w:pPr>
        <w:rPr>
          <w:rFonts w:cs="Arial"/>
          <w:szCs w:val="24"/>
        </w:rPr>
      </w:pPr>
    </w:p>
    <w:p w:rsidR="005D1604" w:rsidRDefault="00DA4C98" w:rsidP="006B3148">
      <w:pPr>
        <w:pStyle w:val="Heading2"/>
        <w:pBdr>
          <w:top w:val="single" w:sz="4" w:space="1" w:color="auto"/>
          <w:left w:val="single" w:sz="4" w:space="4" w:color="auto"/>
          <w:right w:val="single" w:sz="4" w:space="4" w:color="auto"/>
        </w:pBdr>
        <w:shd w:val="clear" w:color="auto" w:fill="FFCC00"/>
        <w:rPr>
          <w:szCs w:val="24"/>
        </w:rPr>
      </w:pPr>
      <w:bookmarkStart w:id="91" w:name="_Toc383092781"/>
      <w:r w:rsidRPr="00DA4C98">
        <w:rPr>
          <w:szCs w:val="24"/>
        </w:rPr>
        <w:t>Strategy 14</w:t>
      </w:r>
      <w:r w:rsidR="005D1604">
        <w:rPr>
          <w:szCs w:val="24"/>
        </w:rPr>
        <w:t xml:space="preserve"> </w:t>
      </w:r>
      <w:r w:rsidR="00BA45B0">
        <w:rPr>
          <w:szCs w:val="24"/>
        </w:rPr>
        <w:t>–</w:t>
      </w:r>
      <w:r w:rsidR="005D1604">
        <w:rPr>
          <w:szCs w:val="24"/>
        </w:rPr>
        <w:t xml:space="preserve"> </w:t>
      </w:r>
      <w:r w:rsidR="005D1604" w:rsidRPr="00BA45B0">
        <w:rPr>
          <w:rStyle w:val="Heading3Char"/>
          <w:b/>
        </w:rPr>
        <w:t>Regional and Remote Waste and Resource Recovery</w:t>
      </w:r>
      <w:bookmarkEnd w:id="91"/>
    </w:p>
    <w:p w:rsidR="00A369B2" w:rsidRDefault="005D1604"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r>
        <w:rPr>
          <w:rFonts w:cs="Arial"/>
          <w:b/>
          <w:i/>
          <w:szCs w:val="24"/>
        </w:rPr>
        <w:br/>
      </w:r>
      <w:r w:rsidR="0098520D" w:rsidRPr="0098520D">
        <w:rPr>
          <w:rFonts w:cs="Arial"/>
          <w:i/>
          <w:szCs w:val="24"/>
        </w:rPr>
        <w:t>To identify regional and remote waste and resource recovery actions to build capacity and ensure an appropriate suite of services is available to communities.</w:t>
      </w:r>
      <w:r w:rsidR="00E62FD4">
        <w:rPr>
          <w:rFonts w:cs="Arial"/>
          <w:i/>
          <w:szCs w:val="24"/>
        </w:rPr>
        <w:br/>
      </w:r>
    </w:p>
    <w:p w:rsidR="004C6582" w:rsidRDefault="004C6582" w:rsidP="00B1306B">
      <w:pPr>
        <w:rPr>
          <w:rFonts w:cs="Arial"/>
          <w:szCs w:val="24"/>
        </w:rPr>
      </w:pPr>
    </w:p>
    <w:p w:rsidR="0069649A" w:rsidRDefault="0069649A" w:rsidP="0069649A">
      <w:pPr>
        <w:rPr>
          <w:rFonts w:cs="Arial"/>
          <w:szCs w:val="24"/>
        </w:rPr>
      </w:pPr>
      <w:r>
        <w:rPr>
          <w:rFonts w:cs="Arial"/>
          <w:szCs w:val="24"/>
        </w:rPr>
        <w:t>Key initiatives in this area include:</w:t>
      </w:r>
    </w:p>
    <w:p w:rsidR="009C7431" w:rsidRDefault="009C7431" w:rsidP="00B1306B">
      <w:pPr>
        <w:keepNext/>
        <w:rPr>
          <w:szCs w:val="24"/>
        </w:rPr>
      </w:pPr>
    </w:p>
    <w:p w:rsidR="0069649A" w:rsidRPr="0069649A" w:rsidRDefault="0069649A" w:rsidP="006458A8">
      <w:pPr>
        <w:pStyle w:val="ListParagraph"/>
        <w:numPr>
          <w:ilvl w:val="0"/>
          <w:numId w:val="20"/>
        </w:numPr>
        <w:ind w:left="426" w:hanging="426"/>
        <w:rPr>
          <w:szCs w:val="24"/>
          <w:lang w:eastAsia="en-AU"/>
        </w:rPr>
      </w:pPr>
      <w:r w:rsidRPr="0069649A">
        <w:rPr>
          <w:i/>
          <w:szCs w:val="24"/>
          <w:lang w:eastAsia="en-AU"/>
        </w:rPr>
        <w:t>Aboriginal lands clean-up program</w:t>
      </w:r>
      <w:r w:rsidR="00DB1B37">
        <w:rPr>
          <w:rStyle w:val="EndnoteReference"/>
          <w:i/>
          <w:szCs w:val="24"/>
          <w:lang w:eastAsia="en-AU"/>
        </w:rPr>
        <w:endnoteReference w:id="40"/>
      </w:r>
      <w:r w:rsidR="00434277">
        <w:rPr>
          <w:szCs w:val="24"/>
          <w:lang w:eastAsia="en-AU"/>
        </w:rPr>
        <w:t xml:space="preserve"> –</w:t>
      </w:r>
      <w:r>
        <w:rPr>
          <w:szCs w:val="24"/>
          <w:lang w:eastAsia="en-AU"/>
        </w:rPr>
        <w:t xml:space="preserve"> 2012-13 </w:t>
      </w:r>
      <w:r w:rsidR="00434277">
        <w:rPr>
          <w:szCs w:val="24"/>
          <w:lang w:eastAsia="en-AU"/>
        </w:rPr>
        <w:t>–</w:t>
      </w:r>
      <w:r>
        <w:rPr>
          <w:szCs w:val="24"/>
          <w:lang w:eastAsia="en-AU"/>
        </w:rPr>
        <w:t xml:space="preserve"> </w:t>
      </w:r>
      <w:r w:rsidRPr="0069649A">
        <w:rPr>
          <w:szCs w:val="24"/>
          <w:lang w:eastAsia="en-AU"/>
        </w:rPr>
        <w:t>is a</w:t>
      </w:r>
      <w:r>
        <w:rPr>
          <w:szCs w:val="24"/>
          <w:lang w:eastAsia="en-AU"/>
        </w:rPr>
        <w:t>n</w:t>
      </w:r>
      <w:r w:rsidRPr="0069649A">
        <w:rPr>
          <w:szCs w:val="24"/>
          <w:lang w:eastAsia="en-AU"/>
        </w:rPr>
        <w:t xml:space="preserve"> initiative to support </w:t>
      </w:r>
      <w:r>
        <w:rPr>
          <w:szCs w:val="24"/>
          <w:lang w:eastAsia="en-AU"/>
        </w:rPr>
        <w:t xml:space="preserve">NSW </w:t>
      </w:r>
      <w:r w:rsidRPr="0069649A">
        <w:rPr>
          <w:szCs w:val="24"/>
          <w:lang w:eastAsia="en-AU"/>
        </w:rPr>
        <w:t>Aboriginal Communities, in partnership with their local council, to manage and prevent illegal d</w:t>
      </w:r>
      <w:r>
        <w:rPr>
          <w:szCs w:val="24"/>
          <w:lang w:eastAsia="en-AU"/>
        </w:rPr>
        <w:t xml:space="preserve">umping on Aboriginal owned land through </w:t>
      </w:r>
      <w:r w:rsidRPr="0069649A">
        <w:rPr>
          <w:szCs w:val="24"/>
          <w:lang w:eastAsia="en-AU"/>
        </w:rPr>
        <w:t xml:space="preserve">education and training to up-skill the community to better manage their land in a sustainable manner and protect their land from further illegal dumping incidents. </w:t>
      </w:r>
      <w:r>
        <w:rPr>
          <w:szCs w:val="24"/>
          <w:lang w:eastAsia="en-AU"/>
        </w:rPr>
        <w:t>F</w:t>
      </w:r>
      <w:r w:rsidRPr="0069649A">
        <w:rPr>
          <w:szCs w:val="24"/>
          <w:lang w:eastAsia="en-AU"/>
        </w:rPr>
        <w:t xml:space="preserve">ive Local </w:t>
      </w:r>
      <w:r>
        <w:rPr>
          <w:szCs w:val="24"/>
          <w:lang w:eastAsia="en-AU"/>
        </w:rPr>
        <w:t xml:space="preserve">NSW </w:t>
      </w:r>
      <w:r w:rsidRPr="0069649A">
        <w:rPr>
          <w:szCs w:val="24"/>
          <w:lang w:eastAsia="en-AU"/>
        </w:rPr>
        <w:t xml:space="preserve">Aboriginal Land Councils </w:t>
      </w:r>
      <w:r>
        <w:rPr>
          <w:szCs w:val="24"/>
          <w:lang w:eastAsia="en-AU"/>
        </w:rPr>
        <w:t>were awarded funds</w:t>
      </w:r>
      <w:r w:rsidRPr="0069649A">
        <w:rPr>
          <w:szCs w:val="24"/>
          <w:lang w:eastAsia="en-AU"/>
        </w:rPr>
        <w:t xml:space="preserve"> for clean ups being held in 2012</w:t>
      </w:r>
      <w:r w:rsidR="006458A8">
        <w:rPr>
          <w:szCs w:val="24"/>
          <w:lang w:eastAsia="en-AU"/>
        </w:rPr>
        <w:noBreakHyphen/>
      </w:r>
      <w:r w:rsidRPr="0069649A">
        <w:rPr>
          <w:szCs w:val="24"/>
          <w:lang w:eastAsia="en-AU"/>
        </w:rPr>
        <w:t>13.</w:t>
      </w:r>
    </w:p>
    <w:p w:rsidR="003E4B9A" w:rsidRPr="00C064BA" w:rsidRDefault="003E4B9A" w:rsidP="00B1306B">
      <w:pPr>
        <w:rPr>
          <w:szCs w:val="24"/>
          <w:lang w:eastAsia="en-AU"/>
        </w:rPr>
      </w:pPr>
    </w:p>
    <w:p w:rsidR="005D1604" w:rsidRDefault="00DA4C98" w:rsidP="006B3148">
      <w:pPr>
        <w:pStyle w:val="Heading2"/>
        <w:pBdr>
          <w:top w:val="single" w:sz="4" w:space="1" w:color="auto"/>
          <w:left w:val="single" w:sz="4" w:space="4" w:color="auto"/>
          <w:right w:val="single" w:sz="4" w:space="4" w:color="auto"/>
        </w:pBdr>
        <w:shd w:val="clear" w:color="auto" w:fill="FFCC00"/>
      </w:pPr>
      <w:bookmarkStart w:id="92" w:name="_Toc383092782"/>
      <w:r w:rsidRPr="00DA4C98">
        <w:t>Strategy 15</w:t>
      </w:r>
      <w:r w:rsidR="005D1604">
        <w:t xml:space="preserve"> </w:t>
      </w:r>
      <w:r w:rsidR="00434277">
        <w:t>–</w:t>
      </w:r>
      <w:r w:rsidR="004234FB">
        <w:t xml:space="preserve"> </w:t>
      </w:r>
      <w:r w:rsidR="005D1604" w:rsidRPr="000D4406">
        <w:rPr>
          <w:i/>
        </w:rPr>
        <w:t>Indigenous Audit</w:t>
      </w:r>
      <w:bookmarkEnd w:id="92"/>
      <w:r w:rsidRPr="00DA4C98">
        <w:t xml:space="preserve"> </w:t>
      </w:r>
    </w:p>
    <w:p w:rsidR="00001F3D" w:rsidRDefault="00001F3D" w:rsidP="00F064B2">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p>
    <w:p w:rsidR="00AB7E44" w:rsidRPr="00F064B2" w:rsidRDefault="00AB7E44" w:rsidP="00F064B2">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r w:rsidRPr="00F064B2">
        <w:rPr>
          <w:rFonts w:cs="Arial"/>
          <w:i/>
          <w:szCs w:val="24"/>
        </w:rPr>
        <w:t>To undertake an audit of existing waste infrastructure and local capability in selected remote Indigenous communities as part of a larger municipal and essential services audit under the Council of Australian Governments’ National Partnership on Remote Indigenous Housing.</w:t>
      </w:r>
    </w:p>
    <w:p w:rsidR="00AB7E44" w:rsidRPr="00AB7E44" w:rsidRDefault="00AB7E44" w:rsidP="00F064B2">
      <w:pPr>
        <w:pBdr>
          <w:top w:val="single" w:sz="4" w:space="1" w:color="auto"/>
          <w:left w:val="single" w:sz="4" w:space="4" w:color="auto"/>
          <w:bottom w:val="single" w:sz="4" w:space="1" w:color="auto"/>
          <w:right w:val="single" w:sz="4" w:space="4" w:color="auto"/>
        </w:pBdr>
        <w:shd w:val="clear" w:color="auto" w:fill="FED36B" w:themeFill="accent3" w:themeFillTint="99"/>
      </w:pPr>
    </w:p>
    <w:p w:rsidR="0095217B" w:rsidRDefault="0095217B" w:rsidP="00B1306B">
      <w:pPr>
        <w:pStyle w:val="ListBullet"/>
        <w:rPr>
          <w:rFonts w:cs="Arial"/>
          <w:szCs w:val="24"/>
        </w:rPr>
      </w:pPr>
    </w:p>
    <w:p w:rsidR="00513903" w:rsidRDefault="00513903" w:rsidP="006458A8">
      <w:pPr>
        <w:pStyle w:val="ListBullet"/>
        <w:numPr>
          <w:ilvl w:val="0"/>
          <w:numId w:val="29"/>
        </w:numPr>
        <w:ind w:left="426" w:hanging="426"/>
      </w:pPr>
      <w:r w:rsidRPr="006458A8">
        <w:t xml:space="preserve">The audit of municipal and essential services was undertaken in 70 remote Indigenous communities under the auspices of the Council of Australian Governments’ National Partnership on Remote Indigenous Housing. </w:t>
      </w:r>
    </w:p>
    <w:p w:rsidR="006458A8" w:rsidRPr="006458A8" w:rsidRDefault="006458A8" w:rsidP="006458A8">
      <w:pPr>
        <w:pStyle w:val="ListBullet"/>
        <w:ind w:left="426"/>
      </w:pPr>
    </w:p>
    <w:p w:rsidR="009C7431" w:rsidRPr="004C2B5E" w:rsidRDefault="00422CC3" w:rsidP="006458A8">
      <w:pPr>
        <w:pStyle w:val="ListParagraph"/>
        <w:numPr>
          <w:ilvl w:val="0"/>
          <w:numId w:val="20"/>
        </w:numPr>
        <w:ind w:left="426" w:hanging="426"/>
        <w:rPr>
          <w:i/>
          <w:szCs w:val="24"/>
          <w:lang w:eastAsia="en-AU"/>
        </w:rPr>
      </w:pPr>
      <w:r w:rsidRPr="004C2B5E">
        <w:rPr>
          <w:szCs w:val="24"/>
          <w:lang w:eastAsia="en-AU"/>
        </w:rPr>
        <w:t>As part of the Audit, a review of national and jurisdictional guidelines, frameworks, and regulations was undertaken. Base level waste standards were agreed by the Commonwealth and all jurisdictions and issued on 10 December 2009</w:t>
      </w:r>
      <w:r w:rsidR="00B22F4F" w:rsidRPr="004C2B5E">
        <w:rPr>
          <w:szCs w:val="24"/>
          <w:lang w:eastAsia="en-AU"/>
        </w:rPr>
        <w:t>.</w:t>
      </w:r>
      <w:r w:rsidR="00434277">
        <w:rPr>
          <w:szCs w:val="24"/>
          <w:lang w:eastAsia="en-AU"/>
        </w:rPr>
        <w:t xml:space="preserve"> </w:t>
      </w:r>
      <w:r w:rsidR="00B22F4F" w:rsidRPr="004C2B5E">
        <w:rPr>
          <w:szCs w:val="24"/>
          <w:lang w:eastAsia="en-AU"/>
        </w:rPr>
        <w:t>Results of the Audit are informing further work on revised arrangements for the delivery of municipal and essential services</w:t>
      </w:r>
      <w:r w:rsidR="00B22F4F" w:rsidRPr="004C2B5E">
        <w:rPr>
          <w:i/>
          <w:szCs w:val="24"/>
          <w:lang w:eastAsia="en-AU"/>
        </w:rPr>
        <w:t>.</w:t>
      </w:r>
    </w:p>
    <w:p w:rsidR="004D49AC" w:rsidRDefault="004D49AC" w:rsidP="00B1306B">
      <w:pPr>
        <w:rPr>
          <w:rFonts w:cs="Arial"/>
          <w:szCs w:val="24"/>
        </w:rPr>
      </w:pPr>
    </w:p>
    <w:p w:rsidR="00FE470C" w:rsidRDefault="00FE470C" w:rsidP="00B1306B">
      <w:pPr>
        <w:rPr>
          <w:rFonts w:cs="Arial"/>
          <w:szCs w:val="24"/>
        </w:rPr>
      </w:pPr>
      <w:r>
        <w:rPr>
          <w:rFonts w:cs="Arial"/>
          <w:szCs w:val="24"/>
        </w:rPr>
        <w:br w:type="page"/>
      </w:r>
    </w:p>
    <w:p w:rsidR="00FE470C" w:rsidRDefault="00FE470C" w:rsidP="00A64E3E">
      <w:pPr>
        <w:pStyle w:val="Heading4"/>
      </w:pPr>
      <w:r>
        <w:lastRenderedPageBreak/>
        <w:t>Case Study 6</w:t>
      </w:r>
    </w:p>
    <w:p w:rsidR="00FE470C" w:rsidRDefault="001F5E0F" w:rsidP="00FE470C">
      <w:pPr>
        <w:pStyle w:val="Heading4"/>
      </w:pPr>
      <w:r w:rsidRPr="001F5E0F">
        <w:rPr>
          <w:noProof/>
          <w:lang w:val="en-US"/>
        </w:rPr>
        <w:pict>
          <v:shape id="Text Box 8" o:spid="_x0000_s1037" type="#_x0000_t202" style="position:absolute;left:0;text-align:left;margin-left:-27.45pt;margin-top:29.6pt;width:486pt;height:9in;z-index:25167872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" fillcolor="#fed36b [1942]" strokecolor="#feb80a [3206]">
            <v:stroke joinstyle="round" endcap="round"/>
            <v:textbox style="mso-next-textbox:#Text Box 8">
              <w:txbxContent>
                <w:p w:rsidR="008E5E36" w:rsidRDefault="008E5E36" w:rsidP="00F446D9"/>
                <w:p w:rsidR="008E5E36" w:rsidRPr="00F446D9" w:rsidRDefault="008E5E36" w:rsidP="00F446D9">
                  <w:pPr>
                    <w:jc w:val="center"/>
                    <w:rPr>
                      <w:b/>
                      <w:color w:val="C48B01" w:themeColor="accent3" w:themeShade="BF"/>
                      <w:sz w:val="28"/>
                      <w:szCs w:val="28"/>
                      <w:lang w:val="en-US"/>
                    </w:rPr>
                  </w:pPr>
                  <w:r w:rsidRPr="00F446D9">
                    <w:rPr>
                      <w:b/>
                      <w:color w:val="C48B01" w:themeColor="accent3" w:themeShade="BF"/>
                      <w:sz w:val="28"/>
                      <w:szCs w:val="28"/>
                    </w:rPr>
                    <w:t xml:space="preserve">Compaction Equipment for the recovery of Expanded Polystyrene </w:t>
                  </w:r>
                  <w:r w:rsidRPr="00F446D9">
                    <w:rPr>
                      <w:b/>
                      <w:color w:val="C48B01" w:themeColor="accent3" w:themeShade="BF"/>
                      <w:sz w:val="28"/>
                      <w:szCs w:val="28"/>
                    </w:rPr>
                    <w:br w:type="page"/>
                  </w:r>
                  <w:hyperlink r:id="rId15" w:history="1">
                    <w:r w:rsidRPr="007E01CD">
                      <w:rPr>
                        <w:rStyle w:val="Heading2Char"/>
                        <w:b w:val="0"/>
                        <w:i/>
                        <w:color w:val="C48B01" w:themeColor="accent3" w:themeShade="BF"/>
                        <w:szCs w:val="24"/>
                        <w:lang w:val="en-US"/>
                      </w:rPr>
                      <w:t>New South Wales</w:t>
                    </w:r>
                  </w:hyperlink>
                </w:p>
                <w:p w:rsidR="008E5E36" w:rsidRDefault="008E5E36" w:rsidP="00FE470C">
                  <w:pPr>
                    <w:jc w:val="center"/>
                  </w:pPr>
                </w:p>
                <w:p w:rsidR="008E5E36" w:rsidRPr="006458A8" w:rsidRDefault="008E5E36" w:rsidP="006458A8">
                  <w:pPr>
                    <w:rPr>
                      <w:b/>
                      <w:i/>
                    </w:rPr>
                  </w:pPr>
                  <w:bookmarkStart w:id="93" w:name="_Toc382989022"/>
                  <w:bookmarkStart w:id="94" w:name="_Toc382989153"/>
                  <w:bookmarkStart w:id="95" w:name="_Toc382989454"/>
                  <w:bookmarkStart w:id="96" w:name="_Toc382990924"/>
                  <w:bookmarkStart w:id="97" w:name="_Toc382991573"/>
                  <w:r>
                    <w:rPr>
                      <w:b/>
                      <w:i/>
                    </w:rPr>
                    <w:tab/>
                  </w:r>
                  <w:r w:rsidRPr="006458A8">
                    <w:rPr>
                      <w:b/>
                      <w:i/>
                    </w:rPr>
                    <w:t>What and Why</w:t>
                  </w:r>
                  <w:bookmarkEnd w:id="93"/>
                  <w:bookmarkEnd w:id="94"/>
                  <w:bookmarkEnd w:id="95"/>
                  <w:bookmarkEnd w:id="96"/>
                  <w:bookmarkEnd w:id="97"/>
                </w:p>
                <w:p w:rsidR="008E5E36" w:rsidRPr="00FE470C" w:rsidRDefault="008E5E36" w:rsidP="00FE470C"/>
                <w:p w:rsidR="008E5E36" w:rsidRPr="006458A8" w:rsidRDefault="008E5E36" w:rsidP="006458A8">
                  <w:pPr>
                    <w:pStyle w:val="ListParagraph"/>
                    <w:numPr>
                      <w:ilvl w:val="0"/>
                      <w:numId w:val="24"/>
                    </w:numPr>
                    <w:spacing w:after="200" w:line="276" w:lineRule="auto"/>
                    <w:ind w:left="714" w:hanging="357"/>
                    <w:rPr>
                      <w:rFonts w:cstheme="minorHAnsi"/>
                    </w:rPr>
                  </w:pPr>
                  <w:r w:rsidRPr="006458A8">
                    <w:rPr>
                      <w:rFonts w:cstheme="minorHAnsi"/>
                    </w:rPr>
                    <w:t xml:space="preserve">The provision of grants totalling $1 million to purchase and operate recycling equipment for Expanded Polystyrene </w:t>
                  </w:r>
                  <w:r>
                    <w:rPr>
                      <w:rFonts w:cstheme="minorHAnsi"/>
                    </w:rPr>
                    <w:t>–</w:t>
                  </w:r>
                  <w:r w:rsidRPr="006458A8">
                    <w:rPr>
                      <w:rFonts w:cstheme="minorHAnsi"/>
                    </w:rPr>
                    <w:t xml:space="preserve"> </w:t>
                  </w:r>
                  <w:r w:rsidRPr="006458A8">
                    <w:rPr>
                      <w:rFonts w:cstheme="minorHAnsi"/>
                      <w:i/>
                    </w:rPr>
                    <w:t>the type of packaging that comes with fresh food packaging, white goods, televisions and other electronic goods</w:t>
                  </w:r>
                </w:p>
                <w:p w:rsidR="008E5E36" w:rsidRPr="006458A8" w:rsidRDefault="008E5E36" w:rsidP="006458A8">
                  <w:pPr>
                    <w:pStyle w:val="ListParagraph"/>
                    <w:numPr>
                      <w:ilvl w:val="0"/>
                      <w:numId w:val="24"/>
                    </w:numPr>
                    <w:spacing w:after="200" w:line="276" w:lineRule="auto"/>
                    <w:ind w:left="714" w:hanging="357"/>
                    <w:rPr>
                      <w:rFonts w:cstheme="minorHAnsi"/>
                    </w:rPr>
                  </w:pPr>
                  <w:r w:rsidRPr="006458A8">
                    <w:rPr>
                      <w:rFonts w:cstheme="minorHAnsi"/>
                    </w:rPr>
                    <w:t xml:space="preserve">Expanded Polystyrene is seen as hard to recycle with less than 10 per cent recycled in 2011 and more than 12,000 tonnes disposed of in landfill each year </w:t>
                  </w:r>
                </w:p>
                <w:p w:rsidR="008E5E36" w:rsidRPr="006458A8" w:rsidRDefault="008E5E36" w:rsidP="006458A8">
                  <w:pPr>
                    <w:rPr>
                      <w:b/>
                      <w:i/>
                    </w:rPr>
                  </w:pPr>
                  <w:bookmarkStart w:id="98" w:name="_Toc382989023"/>
                  <w:bookmarkStart w:id="99" w:name="_Toc382989154"/>
                  <w:bookmarkStart w:id="100" w:name="_Toc382989455"/>
                  <w:bookmarkStart w:id="101" w:name="_Toc382990925"/>
                  <w:bookmarkStart w:id="102" w:name="_Toc382991574"/>
                  <w:r>
                    <w:rPr>
                      <w:b/>
                      <w:i/>
                    </w:rPr>
                    <w:tab/>
                  </w:r>
                  <w:r w:rsidRPr="006458A8">
                    <w:rPr>
                      <w:b/>
                      <w:i/>
                    </w:rPr>
                    <w:t>How?</w:t>
                  </w:r>
                  <w:bookmarkEnd w:id="98"/>
                  <w:bookmarkEnd w:id="99"/>
                  <w:bookmarkEnd w:id="100"/>
                  <w:bookmarkEnd w:id="101"/>
                  <w:bookmarkEnd w:id="102"/>
                </w:p>
                <w:p w:rsidR="008E5E36" w:rsidRPr="00FE470C" w:rsidRDefault="008E5E36" w:rsidP="00FE470C"/>
                <w:p w:rsidR="008E5E36" w:rsidRPr="006458A8" w:rsidRDefault="008E5E36" w:rsidP="006458A8">
                  <w:pPr>
                    <w:pStyle w:val="ListParagraph"/>
                    <w:numPr>
                      <w:ilvl w:val="0"/>
                      <w:numId w:val="24"/>
                    </w:numPr>
                    <w:spacing w:after="200" w:line="276" w:lineRule="auto"/>
                    <w:ind w:left="714" w:hanging="357"/>
                    <w:rPr>
                      <w:rFonts w:cstheme="minorHAnsi"/>
                    </w:rPr>
                  </w:pPr>
                  <w:r w:rsidRPr="006458A8">
                    <w:rPr>
                      <w:rFonts w:cstheme="minorHAnsi"/>
                    </w:rPr>
                    <w:t xml:space="preserve">Grants of up to $50,000 each were made to seven local councils, eight businesses and four not-for-profit organisations to provide recycling services to local communities </w:t>
                  </w:r>
                </w:p>
                <w:p w:rsidR="008E5E36" w:rsidRPr="006458A8" w:rsidRDefault="008E5E36" w:rsidP="006458A8">
                  <w:pPr>
                    <w:pStyle w:val="ListParagraph"/>
                    <w:numPr>
                      <w:ilvl w:val="0"/>
                      <w:numId w:val="24"/>
                    </w:numPr>
                    <w:spacing w:after="200" w:line="276" w:lineRule="auto"/>
                    <w:ind w:left="714" w:hanging="357"/>
                    <w:rPr>
                      <w:rFonts w:cstheme="minorHAnsi"/>
                    </w:rPr>
                  </w:pPr>
                  <w:r w:rsidRPr="006458A8">
                    <w:rPr>
                      <w:rFonts w:cstheme="minorHAnsi"/>
                    </w:rPr>
                    <w:t>The Grants were for installing compactors, shredders and storage cages to recycle the Expanded Polystyrene so that it can be re-used in local manufacturing processes or transported to international markets</w:t>
                  </w:r>
                </w:p>
                <w:p w:rsidR="008E5E36" w:rsidRPr="006458A8" w:rsidRDefault="008E5E36" w:rsidP="006458A8">
                  <w:pPr>
                    <w:pStyle w:val="ListParagraph"/>
                    <w:numPr>
                      <w:ilvl w:val="0"/>
                      <w:numId w:val="24"/>
                    </w:numPr>
                    <w:spacing w:after="200" w:line="276" w:lineRule="auto"/>
                    <w:ind w:left="714" w:hanging="357"/>
                    <w:rPr>
                      <w:rFonts w:cstheme="minorHAnsi"/>
                    </w:rPr>
                  </w:pPr>
                  <w:r w:rsidRPr="006458A8">
                    <w:rPr>
                      <w:rFonts w:cstheme="minorHAnsi"/>
                    </w:rPr>
                    <w:t>Each 15kg block of general purpose polystyrene is worth about $7.50, making it valuable enough to transport to buyers in Sydney or even overseas</w:t>
                  </w:r>
                </w:p>
                <w:p w:rsidR="008E5E36" w:rsidRPr="006458A8" w:rsidRDefault="008E5E36" w:rsidP="006458A8">
                  <w:pPr>
                    <w:rPr>
                      <w:b/>
                      <w:i/>
                    </w:rPr>
                  </w:pPr>
                  <w:bookmarkStart w:id="103" w:name="_Toc382989024"/>
                  <w:bookmarkStart w:id="104" w:name="_Toc382989155"/>
                  <w:bookmarkStart w:id="105" w:name="_Toc382989456"/>
                  <w:bookmarkStart w:id="106" w:name="_Toc382990926"/>
                  <w:bookmarkStart w:id="107" w:name="_Toc382991575"/>
                  <w:r>
                    <w:rPr>
                      <w:b/>
                      <w:i/>
                    </w:rPr>
                    <w:tab/>
                  </w:r>
                  <w:r w:rsidRPr="006458A8">
                    <w:rPr>
                      <w:b/>
                      <w:i/>
                    </w:rPr>
                    <w:t>Results</w:t>
                  </w:r>
                  <w:bookmarkEnd w:id="103"/>
                  <w:bookmarkEnd w:id="104"/>
                  <w:bookmarkEnd w:id="105"/>
                  <w:bookmarkEnd w:id="106"/>
                  <w:bookmarkEnd w:id="107"/>
                </w:p>
                <w:p w:rsidR="008E5E36" w:rsidRPr="00FE470C" w:rsidRDefault="008E5E36" w:rsidP="00FE470C"/>
                <w:p w:rsidR="008E5E36" w:rsidRPr="006458A8" w:rsidRDefault="008E5E36" w:rsidP="006458A8">
                  <w:pPr>
                    <w:pStyle w:val="ListParagraph"/>
                    <w:numPr>
                      <w:ilvl w:val="0"/>
                      <w:numId w:val="24"/>
                    </w:numPr>
                    <w:spacing w:after="200" w:line="276" w:lineRule="auto"/>
                    <w:ind w:left="714" w:hanging="357"/>
                    <w:rPr>
                      <w:rFonts w:cstheme="minorHAnsi"/>
                      <w:b/>
                      <w:i/>
                    </w:rPr>
                  </w:pPr>
                  <w:r w:rsidRPr="006458A8">
                    <w:rPr>
                      <w:rFonts w:cstheme="minorHAnsi"/>
                      <w:b/>
                      <w:i/>
                    </w:rPr>
                    <w:t>As of May 2013 grant recipients were recycling a total of 25 tonne (~2,500</w:t>
                  </w:r>
                  <w:r>
                    <w:rPr>
                      <w:rFonts w:cstheme="minorHAnsi"/>
                      <w:b/>
                      <w:i/>
                    </w:rPr>
                    <w:t> </w:t>
                  </w:r>
                  <w:r w:rsidRPr="006458A8">
                    <w:rPr>
                      <w:rFonts w:cstheme="minorHAnsi"/>
                      <w:b/>
                      <w:i/>
                    </w:rPr>
                    <w:t>loose m3) per month, a figure expected to grow to 50 tonnes per month by the end of 2013</w:t>
                  </w:r>
                </w:p>
                <w:p w:rsidR="008E5E36" w:rsidRPr="006458A8" w:rsidRDefault="008E5E36" w:rsidP="006458A8">
                  <w:pPr>
                    <w:pStyle w:val="ListParagraph"/>
                    <w:numPr>
                      <w:ilvl w:val="0"/>
                      <w:numId w:val="24"/>
                    </w:numPr>
                    <w:spacing w:after="200" w:line="276" w:lineRule="auto"/>
                    <w:ind w:left="714" w:hanging="357"/>
                    <w:rPr>
                      <w:rFonts w:cstheme="minorHAnsi"/>
                      <w:b/>
                      <w:i/>
                    </w:rPr>
                  </w:pPr>
                  <w:r w:rsidRPr="006458A8">
                    <w:rPr>
                      <w:rFonts w:cstheme="minorHAnsi"/>
                      <w:b/>
                      <w:i/>
                    </w:rPr>
                    <w:t>While the cost of compaction and transport is generally higher than the market value of the general purpose polystyrene, the value of the landfill space means that every tonne recycled saves a landfill owner between $1,500 and $2,500</w:t>
                  </w:r>
                </w:p>
                <w:p w:rsidR="008E5E36" w:rsidRPr="006458A8" w:rsidRDefault="008E5E36" w:rsidP="006458A8">
                  <w:pPr>
                    <w:pStyle w:val="ListParagraph"/>
                    <w:numPr>
                      <w:ilvl w:val="0"/>
                      <w:numId w:val="24"/>
                    </w:numPr>
                    <w:spacing w:after="200" w:line="276" w:lineRule="auto"/>
                    <w:ind w:left="714" w:hanging="357"/>
                    <w:rPr>
                      <w:rFonts w:cstheme="minorHAnsi"/>
                      <w:b/>
                      <w:i/>
                    </w:rPr>
                  </w:pPr>
                  <w:r w:rsidRPr="006458A8">
                    <w:rPr>
                      <w:rFonts w:cstheme="minorHAnsi"/>
                      <w:b/>
                      <w:i/>
                    </w:rPr>
                    <w:t>Some grant recipients have started using existing arrangements for recovered computers and televisions (e-waste) to transport EPS to a central location for compaction and increase the efficiency of recycling</w:t>
                  </w:r>
                </w:p>
                <w:p w:rsidR="008E5E36" w:rsidRPr="006458A8" w:rsidRDefault="008E5E36" w:rsidP="006458A8">
                  <w:pPr>
                    <w:pStyle w:val="ListParagraph"/>
                    <w:numPr>
                      <w:ilvl w:val="0"/>
                      <w:numId w:val="24"/>
                    </w:numPr>
                    <w:spacing w:after="200" w:line="276" w:lineRule="auto"/>
                    <w:ind w:left="714" w:hanging="357"/>
                    <w:rPr>
                      <w:rFonts w:cstheme="minorHAnsi"/>
                      <w:b/>
                      <w:i/>
                    </w:rPr>
                  </w:pPr>
                  <w:r w:rsidRPr="006458A8">
                    <w:rPr>
                      <w:rFonts w:cstheme="minorHAnsi"/>
                      <w:b/>
                      <w:i/>
                    </w:rPr>
                    <w:t xml:space="preserve">Further information </w:t>
                  </w:r>
                  <w:r>
                    <w:rPr>
                      <w:rFonts w:cstheme="minorHAnsi"/>
                      <w:b/>
                      <w:i/>
                    </w:rPr>
                    <w:t>–</w:t>
                  </w:r>
                  <w:r w:rsidRPr="006458A8">
                    <w:rPr>
                      <w:rFonts w:cstheme="minorHAnsi"/>
                      <w:b/>
                      <w:i/>
                    </w:rPr>
                    <w:t xml:space="preserve"> http://www.epa.nsw.gov.au/waste/EPSrecycling.htm</w:t>
                  </w:r>
                </w:p>
              </w:txbxContent>
            </v:textbox>
          </v:shape>
        </w:pict>
      </w:r>
      <w:r w:rsidR="00FE470C">
        <w:br w:type="page"/>
      </w:r>
    </w:p>
    <w:p w:rsidR="00CD5386" w:rsidRPr="00156658" w:rsidRDefault="00CD5386" w:rsidP="00B1306B">
      <w:pPr>
        <w:rPr>
          <w:rFonts w:cs="Arial"/>
          <w:szCs w:val="24"/>
        </w:rPr>
      </w:pPr>
    </w:p>
    <w:p w:rsidR="0095217B" w:rsidRPr="008A3ABF" w:rsidRDefault="0098520D" w:rsidP="00F446D9">
      <w:pPr>
        <w:pStyle w:val="Heading1"/>
      </w:pPr>
      <w:bookmarkStart w:id="108" w:name="_Toc383092783"/>
      <w:r w:rsidRPr="00FD3BBC">
        <w:t>PROVIDING</w:t>
      </w:r>
      <w:r w:rsidRPr="008A3ABF">
        <w:t xml:space="preserve"> THE EVIDENCE</w:t>
      </w:r>
      <w:bookmarkEnd w:id="108"/>
    </w:p>
    <w:p w:rsidR="0095217B" w:rsidRDefault="0095217B" w:rsidP="00B1306B"/>
    <w:p w:rsidR="0095217B" w:rsidRPr="00F82567" w:rsidRDefault="0097438F" w:rsidP="00B1306B">
      <w:pPr>
        <w:pBdr>
          <w:bottom w:val="single" w:sz="12" w:space="1" w:color="auto"/>
        </w:pBdr>
        <w:rPr>
          <w:color w:val="C48B01" w:themeColor="accent3" w:themeShade="BF"/>
          <w:szCs w:val="24"/>
        </w:rPr>
      </w:pPr>
      <w:r w:rsidRPr="00F82567">
        <w:rPr>
          <w:rFonts w:cs="Arial"/>
          <w:color w:val="C48B01" w:themeColor="accent3" w:themeShade="BF"/>
          <w:sz w:val="26"/>
          <w:szCs w:val="26"/>
          <w:lang w:val="en-US" w:eastAsia="en-AU"/>
        </w:rPr>
        <w:t>D</w:t>
      </w:r>
      <w:r w:rsidR="00E737BB" w:rsidRPr="00F82567">
        <w:rPr>
          <w:rFonts w:cs="Arial"/>
          <w:color w:val="C48B01" w:themeColor="accent3" w:themeShade="BF"/>
          <w:sz w:val="26"/>
          <w:szCs w:val="26"/>
          <w:lang w:val="en-US" w:eastAsia="en-AU"/>
        </w:rPr>
        <w:t xml:space="preserve">ecision makers </w:t>
      </w:r>
      <w:r w:rsidRPr="00F82567">
        <w:rPr>
          <w:rFonts w:cs="Arial"/>
          <w:color w:val="C48B01" w:themeColor="accent3" w:themeShade="BF"/>
          <w:sz w:val="26"/>
          <w:szCs w:val="26"/>
          <w:lang w:val="en-US" w:eastAsia="en-AU"/>
        </w:rPr>
        <w:t xml:space="preserve">have access </w:t>
      </w:r>
      <w:r w:rsidR="00E737BB" w:rsidRPr="00F82567">
        <w:rPr>
          <w:rFonts w:cs="Arial"/>
          <w:color w:val="C48B01" w:themeColor="accent3" w:themeShade="BF"/>
          <w:sz w:val="26"/>
          <w:szCs w:val="26"/>
          <w:lang w:val="en-US" w:eastAsia="en-AU"/>
        </w:rPr>
        <w:t xml:space="preserve">to meaningful, accurate and current national waste and resource recovery data and information to measure progress and educate and inform the </w:t>
      </w:r>
      <w:r w:rsidR="004C2B5E" w:rsidRPr="00F82567">
        <w:rPr>
          <w:rFonts w:cs="Arial"/>
          <w:color w:val="C48B01" w:themeColor="accent3" w:themeShade="BF"/>
          <w:sz w:val="26"/>
          <w:szCs w:val="26"/>
          <w:lang w:val="en-US" w:eastAsia="en-AU"/>
        </w:rPr>
        <w:t>behavior</w:t>
      </w:r>
      <w:r w:rsidR="00E737BB" w:rsidRPr="00F82567">
        <w:rPr>
          <w:rFonts w:cs="Arial"/>
          <w:color w:val="C48B01" w:themeColor="accent3" w:themeShade="BF"/>
          <w:sz w:val="26"/>
          <w:szCs w:val="26"/>
          <w:lang w:val="en-US" w:eastAsia="en-AU"/>
        </w:rPr>
        <w:t xml:space="preserve"> and the choices of the community</w:t>
      </w:r>
    </w:p>
    <w:p w:rsidR="001C65D5" w:rsidRDefault="001C65D5" w:rsidP="00B1306B">
      <w:pPr>
        <w:pBdr>
          <w:bottom w:val="single" w:sz="12" w:space="1" w:color="auto"/>
        </w:pBdr>
        <w:rPr>
          <w:szCs w:val="24"/>
        </w:rPr>
      </w:pPr>
    </w:p>
    <w:p w:rsidR="00CC4706" w:rsidRPr="00F064B2" w:rsidRDefault="00CC4706" w:rsidP="00F064B2">
      <w:pPr>
        <w:keepNext/>
        <w:keepLines/>
        <w:rPr>
          <w:szCs w:val="24"/>
        </w:rPr>
      </w:pPr>
    </w:p>
    <w:p w:rsidR="00FD3BBC" w:rsidRDefault="00DA4C98" w:rsidP="006B3148">
      <w:pPr>
        <w:pStyle w:val="Heading2"/>
        <w:pBdr>
          <w:top w:val="single" w:sz="4" w:space="1" w:color="auto"/>
          <w:left w:val="single" w:sz="4" w:space="4" w:color="auto"/>
          <w:right w:val="single" w:sz="4" w:space="4" w:color="auto"/>
        </w:pBdr>
        <w:shd w:val="clear" w:color="auto" w:fill="FFCC00"/>
      </w:pPr>
      <w:bookmarkStart w:id="109" w:name="_Toc383092784"/>
      <w:r w:rsidRPr="00DA4C98">
        <w:t>Strategy 16</w:t>
      </w:r>
      <w:r w:rsidR="00FD3BBC">
        <w:t xml:space="preserve"> </w:t>
      </w:r>
      <w:r w:rsidR="00434277">
        <w:t>–</w:t>
      </w:r>
      <w:r w:rsidR="004234FB">
        <w:t xml:space="preserve"> </w:t>
      </w:r>
      <w:r w:rsidR="00FD3BBC" w:rsidRPr="0015313B">
        <w:rPr>
          <w:i/>
        </w:rPr>
        <w:t>Reporting and Data System</w:t>
      </w:r>
      <w:bookmarkEnd w:id="109"/>
    </w:p>
    <w:p w:rsidR="00FD3BBC" w:rsidRDefault="00FD3BBC" w:rsidP="00B1306B">
      <w:pPr>
        <w:pBdr>
          <w:top w:val="single" w:sz="4" w:space="1" w:color="auto"/>
          <w:left w:val="single" w:sz="4" w:space="4" w:color="auto"/>
          <w:bottom w:val="single" w:sz="4" w:space="1" w:color="auto"/>
          <w:right w:val="single" w:sz="4" w:space="4" w:color="auto"/>
        </w:pBdr>
        <w:shd w:val="clear" w:color="auto" w:fill="FED36B" w:themeFill="accent3" w:themeFillTint="99"/>
        <w:rPr>
          <w:b/>
          <w:i/>
        </w:rPr>
      </w:pPr>
    </w:p>
    <w:p w:rsidR="00A369B2" w:rsidRDefault="00FD3BBC" w:rsidP="00B1306B">
      <w:pPr>
        <w:pBdr>
          <w:top w:val="single" w:sz="4" w:space="1" w:color="auto"/>
          <w:left w:val="single" w:sz="4" w:space="4" w:color="auto"/>
          <w:bottom w:val="single" w:sz="4" w:space="1" w:color="auto"/>
          <w:right w:val="single" w:sz="4" w:space="4" w:color="auto"/>
        </w:pBdr>
        <w:shd w:val="clear" w:color="auto" w:fill="FED36B" w:themeFill="accent3" w:themeFillTint="99"/>
        <w:rPr>
          <w:rFonts w:cs="Arial"/>
          <w:i/>
          <w:szCs w:val="24"/>
        </w:rPr>
      </w:pPr>
      <w:r w:rsidRPr="00FD3BBC">
        <w:rPr>
          <w:rFonts w:cs="Arial"/>
          <w:i/>
          <w:szCs w:val="24"/>
          <w:lang w:val="en-US"/>
        </w:rPr>
        <w:t>Publish a three yearly waste and resource recovery report, underpinned by a system that provides access to integrated national core data on waste and resource recovery</w:t>
      </w:r>
      <w:r w:rsidR="00E62FD4">
        <w:rPr>
          <w:rFonts w:cs="Arial"/>
          <w:i/>
          <w:szCs w:val="24"/>
        </w:rPr>
        <w:br/>
      </w:r>
    </w:p>
    <w:p w:rsidR="009A4778" w:rsidRDefault="009A4778" w:rsidP="00B1306B">
      <w:pPr>
        <w:rPr>
          <w:rFonts w:cs="Arial"/>
          <w:i/>
          <w:szCs w:val="24"/>
        </w:rPr>
      </w:pPr>
    </w:p>
    <w:p w:rsidR="00A26B55" w:rsidRDefault="00A26B55" w:rsidP="004C2B5E">
      <w:pPr>
        <w:rPr>
          <w:rFonts w:cs="Arial"/>
          <w:szCs w:val="24"/>
        </w:rPr>
      </w:pPr>
      <w:r w:rsidRPr="004C2B5E">
        <w:rPr>
          <w:rFonts w:cs="Arial"/>
          <w:szCs w:val="24"/>
        </w:rPr>
        <w:t>In late 2012, the Department commenced work on the National Waste Report 2013. The 2013 report will build on the information presented in the National Waste Report 2010, showing changes over time with updated data relating to a number of measures. New data sets will be included to show a more complete picture of waste and recycling in Australia. The National Waste Report 2013 is scheduled to be completed in late 2013 and released in early 2014. The 2013 report, data workbooks and interactive mapping will be available online.</w:t>
      </w:r>
    </w:p>
    <w:p w:rsidR="004C2B5E" w:rsidRPr="004C2B5E" w:rsidRDefault="004C2B5E" w:rsidP="004C2B5E">
      <w:pPr>
        <w:rPr>
          <w:rFonts w:cs="Arial"/>
          <w:szCs w:val="24"/>
        </w:rPr>
      </w:pPr>
    </w:p>
    <w:p w:rsidR="00A26B55" w:rsidRPr="004C2B5E" w:rsidRDefault="00A26B55" w:rsidP="004C2B5E">
      <w:pPr>
        <w:rPr>
          <w:rFonts w:cs="Arial"/>
          <w:szCs w:val="24"/>
        </w:rPr>
      </w:pPr>
      <w:r w:rsidRPr="004C2B5E">
        <w:rPr>
          <w:rFonts w:cs="Arial"/>
          <w:szCs w:val="24"/>
        </w:rPr>
        <w:t>In addition, overall 27 studies have been commissioned between 2010 and 2012 that will provide information to support the development of the second National Waste Report. These studies bring together data and statistics work in relation to waste generation and resource recovery in Australia, hazardous waste, organics, the Australian recycling sector, construction and demolition and commercial and industrial. In addition, many studies have been commissioned to gather information to feed into the National Waste Report 2013. These reports and studies have also assisted in establishing baseline data and developing a comprehensive account of waste issues, which can be used by industry, government and the community to make informed and timely decisions. This has assisted in clarifying waste and resource recovery data and information sources and the need for access to integrated national core data.</w:t>
      </w:r>
    </w:p>
    <w:p w:rsidR="009A4193" w:rsidRDefault="009A4193" w:rsidP="00B1306B">
      <w:pPr>
        <w:rPr>
          <w:szCs w:val="24"/>
        </w:rPr>
      </w:pPr>
      <w:r w:rsidRPr="004C2B5E">
        <w:rPr>
          <w:rFonts w:cs="Arial"/>
          <w:szCs w:val="24"/>
        </w:rPr>
        <w:br w:type="page"/>
      </w:r>
    </w:p>
    <w:p w:rsidR="008B5975" w:rsidRPr="00156658" w:rsidRDefault="008B5975" w:rsidP="00B1306B">
      <w:pPr>
        <w:rPr>
          <w:rFonts w:cs="Arial"/>
          <w:szCs w:val="24"/>
        </w:rPr>
      </w:pPr>
    </w:p>
    <w:p w:rsidR="008B5975" w:rsidRPr="000C3480" w:rsidRDefault="008B5975" w:rsidP="009E1DC7">
      <w:pPr>
        <w:pStyle w:val="Heading1"/>
        <w:numPr>
          <w:ilvl w:val="0"/>
          <w:numId w:val="0"/>
        </w:numPr>
        <w:ind w:left="360" w:hanging="360"/>
      </w:pPr>
      <w:bookmarkStart w:id="110" w:name="_Toc383092785"/>
      <w:r w:rsidRPr="000C3480">
        <w:t>Appendix A:</w:t>
      </w:r>
      <w:r w:rsidR="00677ACF" w:rsidRPr="000C3480">
        <w:t xml:space="preserve"> Working Groups</w:t>
      </w:r>
      <w:bookmarkEnd w:id="110"/>
    </w:p>
    <w:p w:rsidR="00991792" w:rsidRPr="00991792" w:rsidRDefault="00991792" w:rsidP="00B1306B"/>
    <w:tbl>
      <w:tblPr>
        <w:tblW w:w="4911" w:type="pct"/>
        <w:tblLayout w:type="fixed"/>
        <w:tblLook w:val="04A0"/>
      </w:tblPr>
      <w:tblGrid>
        <w:gridCol w:w="489"/>
        <w:gridCol w:w="450"/>
        <w:gridCol w:w="3132"/>
        <w:gridCol w:w="1372"/>
        <w:gridCol w:w="3634"/>
      </w:tblGrid>
      <w:tr w:rsidR="00B643D7" w:rsidRPr="008E7AD0" w:rsidTr="00FD7157">
        <w:tc>
          <w:tcPr>
            <w:tcW w:w="269" w:type="pct"/>
            <w:vMerge w:val="restart"/>
            <w:tcBorders>
              <w:top w:val="single" w:sz="8" w:space="0" w:color="auto"/>
              <w:left w:val="single" w:sz="8" w:space="0" w:color="auto"/>
              <w:right w:val="single" w:sz="8" w:space="0" w:color="auto"/>
            </w:tcBorders>
            <w:shd w:val="clear" w:color="auto" w:fill="auto"/>
            <w:textDirection w:val="btLr"/>
            <w:vAlign w:val="center"/>
          </w:tcPr>
          <w:p w:rsidR="00B643D7" w:rsidRPr="008E7AD0" w:rsidRDefault="00B643D7" w:rsidP="00DA4C98">
            <w:pPr>
              <w:jc w:val="center"/>
              <w:rPr>
                <w:b/>
                <w:bCs/>
                <w:i/>
                <w:iCs/>
                <w:sz w:val="17"/>
                <w:szCs w:val="17"/>
              </w:rPr>
            </w:pPr>
            <w:bookmarkStart w:id="111" w:name="RANGE!A1"/>
            <w:r w:rsidRPr="008E7AD0">
              <w:rPr>
                <w:b/>
                <w:bCs/>
                <w:i/>
                <w:iCs/>
                <w:sz w:val="17"/>
                <w:szCs w:val="17"/>
              </w:rPr>
              <w:t>National Waste Policy Strategy</w:t>
            </w:r>
            <w:bookmarkEnd w:id="111"/>
          </w:p>
        </w:tc>
        <w:tc>
          <w:tcPr>
            <w:tcW w:w="4731" w:type="pct"/>
            <w:gridSpan w:val="4"/>
            <w:tcBorders>
              <w:top w:val="single" w:sz="8" w:space="0" w:color="auto"/>
              <w:left w:val="nil"/>
              <w:bottom w:val="single" w:sz="8" w:space="0" w:color="auto"/>
              <w:right w:val="single" w:sz="8" w:space="0" w:color="auto"/>
            </w:tcBorders>
            <w:shd w:val="clear" w:color="000000" w:fill="FFCC00"/>
            <w:vAlign w:val="center"/>
          </w:tcPr>
          <w:p w:rsidR="00B643D7" w:rsidRPr="008E7AD0" w:rsidRDefault="00B643D7" w:rsidP="00987BB5">
            <w:pPr>
              <w:rPr>
                <w:b/>
                <w:bCs/>
                <w:sz w:val="17"/>
                <w:szCs w:val="17"/>
              </w:rPr>
            </w:pPr>
            <w:r w:rsidRPr="008E7AD0">
              <w:rPr>
                <w:b/>
                <w:bCs/>
                <w:sz w:val="17"/>
                <w:szCs w:val="17"/>
              </w:rPr>
              <w:t>National Waste Policy Cluster Working Groups</w:t>
            </w:r>
            <w:r w:rsidR="00AC4120">
              <w:rPr>
                <w:b/>
                <w:bCs/>
                <w:sz w:val="17"/>
                <w:szCs w:val="17"/>
              </w:rPr>
              <w:t xml:space="preserve"> </w:t>
            </w:r>
          </w:p>
        </w:tc>
      </w:tr>
      <w:tr w:rsidR="00B643D7" w:rsidRPr="008E7AD0" w:rsidTr="00FD7157">
        <w:tc>
          <w:tcPr>
            <w:tcW w:w="269" w:type="pct"/>
            <w:vMerge/>
            <w:tcBorders>
              <w:left w:val="single" w:sz="8" w:space="0" w:color="auto"/>
              <w:right w:val="single" w:sz="8" w:space="0" w:color="auto"/>
            </w:tcBorders>
            <w:shd w:val="clear" w:color="auto" w:fill="auto"/>
            <w:textDirection w:val="btLr"/>
            <w:vAlign w:val="center"/>
          </w:tcPr>
          <w:p w:rsidR="00B643D7" w:rsidRPr="008E7AD0" w:rsidRDefault="00B643D7" w:rsidP="00B1306B">
            <w:pPr>
              <w:rPr>
                <w:b/>
                <w:bCs/>
                <w:i/>
                <w:iCs/>
                <w:sz w:val="17"/>
                <w:szCs w:val="17"/>
              </w:rPr>
            </w:pPr>
          </w:p>
        </w:tc>
        <w:tc>
          <w:tcPr>
            <w:tcW w:w="1973" w:type="pct"/>
            <w:gridSpan w:val="2"/>
            <w:tcBorders>
              <w:left w:val="nil"/>
              <w:bottom w:val="single" w:sz="8" w:space="0" w:color="auto"/>
            </w:tcBorders>
            <w:shd w:val="clear" w:color="000000" w:fill="FFCC00"/>
          </w:tcPr>
          <w:p w:rsidR="00B643D7" w:rsidRPr="008E7AD0" w:rsidRDefault="00B643D7" w:rsidP="00B1306B">
            <w:pPr>
              <w:rPr>
                <w:b/>
                <w:bCs/>
                <w:sz w:val="17"/>
                <w:szCs w:val="17"/>
              </w:rPr>
            </w:pPr>
            <w:r w:rsidRPr="008E7AD0">
              <w:rPr>
                <w:b/>
                <w:bCs/>
                <w:sz w:val="17"/>
                <w:szCs w:val="17"/>
              </w:rPr>
              <w:t>Product Stewardship</w:t>
            </w:r>
          </w:p>
        </w:tc>
        <w:tc>
          <w:tcPr>
            <w:tcW w:w="756" w:type="pct"/>
            <w:tcBorders>
              <w:top w:val="single" w:sz="8" w:space="0" w:color="auto"/>
              <w:bottom w:val="single" w:sz="8" w:space="0" w:color="auto"/>
              <w:right w:val="single" w:sz="8" w:space="0" w:color="000000"/>
            </w:tcBorders>
            <w:shd w:val="clear" w:color="000000" w:fill="FFCC00"/>
          </w:tcPr>
          <w:p w:rsidR="00B643D7" w:rsidRPr="008E7AD0" w:rsidRDefault="00B643D7" w:rsidP="00B1306B">
            <w:pPr>
              <w:rPr>
                <w:b/>
                <w:bCs/>
                <w:sz w:val="17"/>
                <w:szCs w:val="17"/>
              </w:rPr>
            </w:pPr>
          </w:p>
        </w:tc>
        <w:tc>
          <w:tcPr>
            <w:tcW w:w="2002" w:type="pct"/>
            <w:tcBorders>
              <w:top w:val="single" w:sz="8" w:space="0" w:color="auto"/>
              <w:left w:val="nil"/>
              <w:bottom w:val="single" w:sz="8" w:space="0" w:color="auto"/>
              <w:right w:val="single" w:sz="8" w:space="0" w:color="auto"/>
            </w:tcBorders>
            <w:shd w:val="clear" w:color="000000" w:fill="FFCC00"/>
          </w:tcPr>
          <w:p w:rsidR="00B643D7" w:rsidRPr="008E7AD0" w:rsidRDefault="00B643D7" w:rsidP="00B1306B">
            <w:pPr>
              <w:rPr>
                <w:b/>
                <w:bCs/>
                <w:sz w:val="17"/>
                <w:szCs w:val="17"/>
              </w:rPr>
            </w:pPr>
            <w:r w:rsidRPr="008E7AD0">
              <w:rPr>
                <w:b/>
                <w:bCs/>
                <w:sz w:val="17"/>
                <w:szCs w:val="17"/>
              </w:rPr>
              <w:t>Chair: Australian Government</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48" w:type="pct"/>
            <w:tcBorders>
              <w:top w:val="single" w:sz="8" w:space="0" w:color="auto"/>
              <w:left w:val="nil"/>
              <w:bottom w:val="single" w:sz="4" w:space="0" w:color="auto"/>
              <w:right w:val="nil"/>
            </w:tcBorders>
            <w:shd w:val="clear" w:color="000000" w:fill="FF99CC"/>
          </w:tcPr>
          <w:p w:rsidR="00B643D7" w:rsidRPr="008E7AD0" w:rsidRDefault="00B643D7" w:rsidP="00B1306B">
            <w:pPr>
              <w:rPr>
                <w:b/>
                <w:bCs/>
                <w:sz w:val="17"/>
                <w:szCs w:val="17"/>
              </w:rPr>
            </w:pPr>
            <w:r w:rsidRPr="008E7AD0">
              <w:rPr>
                <w:b/>
                <w:bCs/>
                <w:sz w:val="17"/>
                <w:szCs w:val="17"/>
              </w:rPr>
              <w:t>1</w:t>
            </w:r>
          </w:p>
          <w:p w:rsidR="00B643D7" w:rsidRPr="008E7AD0" w:rsidRDefault="00B643D7" w:rsidP="00B1306B">
            <w:pPr>
              <w:rPr>
                <w:b/>
                <w:bCs/>
                <w:sz w:val="17"/>
                <w:szCs w:val="17"/>
              </w:rPr>
            </w:pPr>
          </w:p>
        </w:tc>
        <w:tc>
          <w:tcPr>
            <w:tcW w:w="4483" w:type="pct"/>
            <w:gridSpan w:val="3"/>
            <w:tcBorders>
              <w:top w:val="single" w:sz="8" w:space="0" w:color="auto"/>
              <w:left w:val="single" w:sz="8" w:space="0" w:color="auto"/>
              <w:bottom w:val="nil"/>
              <w:right w:val="single" w:sz="8" w:space="0" w:color="auto"/>
            </w:tcBorders>
            <w:shd w:val="clear" w:color="auto" w:fill="auto"/>
          </w:tcPr>
          <w:p w:rsidR="00B643D7" w:rsidRPr="008E7AD0" w:rsidRDefault="00B643D7" w:rsidP="00B1306B">
            <w:pPr>
              <w:rPr>
                <w:sz w:val="17"/>
                <w:szCs w:val="17"/>
              </w:rPr>
            </w:pPr>
            <w:r w:rsidRPr="008E7AD0">
              <w:rPr>
                <w:sz w:val="17"/>
                <w:szCs w:val="17"/>
              </w:rPr>
              <w:t>The Australian Government, with the s</w:t>
            </w:r>
            <w:r w:rsidRPr="008E7AD0">
              <w:rPr>
                <w:b/>
                <w:sz w:val="17"/>
                <w:szCs w:val="17"/>
              </w:rPr>
              <w:t>u</w:t>
            </w:r>
            <w:r w:rsidRPr="008E7AD0">
              <w:rPr>
                <w:sz w:val="17"/>
                <w:szCs w:val="17"/>
              </w:rPr>
              <w:t>pport of state and territory governments, will establish a national framework underpinned by legislation to support voluntary, co-regulatory and regulatory product stewardship and extended producer responsibility schemes to provide for the impacts of a product being responsibly managed during and at end of life.</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48" w:type="pct"/>
            <w:tcBorders>
              <w:top w:val="single" w:sz="4" w:space="0" w:color="auto"/>
              <w:left w:val="nil"/>
              <w:bottom w:val="single" w:sz="8" w:space="0" w:color="auto"/>
              <w:right w:val="nil"/>
            </w:tcBorders>
            <w:shd w:val="clear" w:color="000000" w:fill="FF99CC"/>
          </w:tcPr>
          <w:p w:rsidR="00B643D7" w:rsidRPr="008E7AD0" w:rsidRDefault="00B643D7" w:rsidP="00B1306B">
            <w:pPr>
              <w:rPr>
                <w:b/>
                <w:bCs/>
                <w:sz w:val="17"/>
                <w:szCs w:val="17"/>
              </w:rPr>
            </w:pPr>
            <w:r w:rsidRPr="008E7AD0">
              <w:rPr>
                <w:b/>
                <w:bCs/>
                <w:sz w:val="17"/>
                <w:szCs w:val="17"/>
              </w:rPr>
              <w:t>3</w:t>
            </w:r>
          </w:p>
        </w:tc>
        <w:tc>
          <w:tcPr>
            <w:tcW w:w="4483" w:type="pct"/>
            <w:gridSpan w:val="3"/>
            <w:tcBorders>
              <w:top w:val="single" w:sz="4" w:space="0" w:color="auto"/>
              <w:left w:val="single" w:sz="8" w:space="0" w:color="auto"/>
              <w:bottom w:val="single" w:sz="8" w:space="0" w:color="auto"/>
              <w:right w:val="single" w:sz="8" w:space="0" w:color="auto"/>
            </w:tcBorders>
            <w:shd w:val="clear" w:color="auto" w:fill="auto"/>
          </w:tcPr>
          <w:p w:rsidR="00B643D7" w:rsidRPr="008E7AD0" w:rsidRDefault="00B643D7" w:rsidP="00B1306B">
            <w:pPr>
              <w:rPr>
                <w:sz w:val="17"/>
                <w:szCs w:val="17"/>
              </w:rPr>
            </w:pPr>
            <w:r w:rsidRPr="008E7AD0">
              <w:rPr>
                <w:sz w:val="17"/>
                <w:szCs w:val="17"/>
              </w:rPr>
              <w:t>The Australian Government, in collaboration with state and territory governments, industry and the community will better manage packaging to improve the use of resources, reduce the environmental impact of packaging design, enhance away from home recycling and reduce litter.</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729" w:type="pct"/>
            <w:gridSpan w:val="3"/>
            <w:tcBorders>
              <w:top w:val="nil"/>
              <w:left w:val="nil"/>
              <w:bottom w:val="single" w:sz="8" w:space="0" w:color="auto"/>
              <w:right w:val="single" w:sz="8" w:space="0" w:color="000000"/>
            </w:tcBorders>
            <w:shd w:val="clear" w:color="000000" w:fill="FFCC00"/>
            <w:noWrap/>
          </w:tcPr>
          <w:p w:rsidR="00B643D7" w:rsidRPr="008E7AD0" w:rsidRDefault="00B643D7" w:rsidP="00AC4120">
            <w:pPr>
              <w:rPr>
                <w:sz w:val="17"/>
                <w:szCs w:val="17"/>
              </w:rPr>
            </w:pPr>
            <w:r w:rsidRPr="008E7AD0">
              <w:rPr>
                <w:sz w:val="17"/>
                <w:szCs w:val="17"/>
              </w:rPr>
              <w:t> </w:t>
            </w:r>
            <w:r w:rsidR="00AC4120">
              <w:rPr>
                <w:b/>
                <w:bCs/>
                <w:sz w:val="17"/>
                <w:szCs w:val="17"/>
              </w:rPr>
              <w:t>Data and Classifications</w:t>
            </w:r>
          </w:p>
        </w:tc>
        <w:tc>
          <w:tcPr>
            <w:tcW w:w="2002" w:type="pct"/>
            <w:tcBorders>
              <w:top w:val="nil"/>
              <w:left w:val="nil"/>
              <w:bottom w:val="single" w:sz="8" w:space="0" w:color="auto"/>
              <w:right w:val="single" w:sz="8" w:space="0" w:color="auto"/>
            </w:tcBorders>
            <w:shd w:val="clear" w:color="000000" w:fill="FFCC00"/>
          </w:tcPr>
          <w:p w:rsidR="00B643D7" w:rsidRPr="008E7AD0" w:rsidRDefault="00AC4120" w:rsidP="00B24B56">
            <w:pPr>
              <w:rPr>
                <w:b/>
                <w:bCs/>
                <w:sz w:val="17"/>
                <w:szCs w:val="17"/>
              </w:rPr>
            </w:pPr>
            <w:r>
              <w:rPr>
                <w:b/>
                <w:bCs/>
                <w:sz w:val="17"/>
                <w:szCs w:val="17"/>
              </w:rPr>
              <w:t>C</w:t>
            </w:r>
            <w:r w:rsidR="00B643D7" w:rsidRPr="008E7AD0">
              <w:rPr>
                <w:b/>
                <w:bCs/>
                <w:sz w:val="17"/>
                <w:szCs w:val="17"/>
              </w:rPr>
              <w:t xml:space="preserve">hair: </w:t>
            </w:r>
            <w:r w:rsidRPr="008E7AD0">
              <w:rPr>
                <w:b/>
                <w:bCs/>
                <w:sz w:val="17"/>
                <w:szCs w:val="17"/>
              </w:rPr>
              <w:t>Australian Government</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48" w:type="pct"/>
            <w:tcBorders>
              <w:top w:val="single" w:sz="8" w:space="0" w:color="auto"/>
              <w:left w:val="nil"/>
              <w:bottom w:val="single" w:sz="4" w:space="0" w:color="auto"/>
              <w:right w:val="single" w:sz="8" w:space="0" w:color="auto"/>
            </w:tcBorders>
            <w:shd w:val="clear" w:color="000000" w:fill="FF99CC"/>
          </w:tcPr>
          <w:p w:rsidR="00B643D7" w:rsidRPr="008E7AD0" w:rsidRDefault="00B643D7" w:rsidP="00B1306B">
            <w:pPr>
              <w:rPr>
                <w:b/>
                <w:bCs/>
                <w:sz w:val="17"/>
                <w:szCs w:val="17"/>
              </w:rPr>
            </w:pPr>
            <w:r w:rsidRPr="008E7AD0">
              <w:rPr>
                <w:b/>
                <w:bCs/>
                <w:sz w:val="17"/>
                <w:szCs w:val="17"/>
              </w:rPr>
              <w:t>2</w:t>
            </w:r>
          </w:p>
        </w:tc>
        <w:tc>
          <w:tcPr>
            <w:tcW w:w="4483" w:type="pct"/>
            <w:gridSpan w:val="3"/>
            <w:tcBorders>
              <w:top w:val="nil"/>
              <w:left w:val="nil"/>
              <w:bottom w:val="nil"/>
              <w:right w:val="single" w:sz="8" w:space="0" w:color="auto"/>
            </w:tcBorders>
            <w:shd w:val="clear" w:color="auto" w:fill="auto"/>
          </w:tcPr>
          <w:p w:rsidR="00B643D7" w:rsidRPr="008E7AD0" w:rsidRDefault="00B643D7" w:rsidP="00B1306B">
            <w:pPr>
              <w:rPr>
                <w:sz w:val="17"/>
                <w:szCs w:val="17"/>
              </w:rPr>
            </w:pPr>
            <w:r w:rsidRPr="008E7AD0">
              <w:rPr>
                <w:sz w:val="17"/>
                <w:szCs w:val="17"/>
              </w:rPr>
              <w:t>All governments as significant procurers of goods, services and infrastructure, will embody and promote sustainable procurement principles and practices within their own operations and delivery of programs and services to facilitate certainty in the market.</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48" w:type="pct"/>
            <w:tcBorders>
              <w:top w:val="single" w:sz="4" w:space="0" w:color="auto"/>
              <w:left w:val="nil"/>
              <w:bottom w:val="single" w:sz="4" w:space="0" w:color="auto"/>
              <w:right w:val="single" w:sz="8" w:space="0" w:color="auto"/>
            </w:tcBorders>
            <w:shd w:val="clear" w:color="000000" w:fill="FFCC00"/>
          </w:tcPr>
          <w:p w:rsidR="00B643D7" w:rsidRPr="008E7AD0" w:rsidRDefault="00B643D7" w:rsidP="00B1306B">
            <w:pPr>
              <w:rPr>
                <w:b/>
                <w:bCs/>
                <w:sz w:val="17"/>
                <w:szCs w:val="17"/>
              </w:rPr>
            </w:pPr>
            <w:r w:rsidRPr="008E7AD0">
              <w:rPr>
                <w:b/>
                <w:bCs/>
                <w:sz w:val="17"/>
                <w:szCs w:val="17"/>
              </w:rPr>
              <w:t>4</w:t>
            </w:r>
          </w:p>
        </w:tc>
        <w:tc>
          <w:tcPr>
            <w:tcW w:w="4483" w:type="pct"/>
            <w:gridSpan w:val="3"/>
            <w:tcBorders>
              <w:top w:val="single" w:sz="4" w:space="0" w:color="auto"/>
              <w:left w:val="nil"/>
              <w:bottom w:val="single" w:sz="4" w:space="0" w:color="auto"/>
              <w:right w:val="single" w:sz="8" w:space="0" w:color="auto"/>
            </w:tcBorders>
            <w:shd w:val="clear" w:color="auto" w:fill="auto"/>
          </w:tcPr>
          <w:p w:rsidR="00B643D7" w:rsidRPr="008E7AD0" w:rsidRDefault="00B643D7" w:rsidP="00B1306B">
            <w:pPr>
              <w:rPr>
                <w:sz w:val="17"/>
                <w:szCs w:val="17"/>
              </w:rPr>
            </w:pPr>
            <w:r w:rsidRPr="008E7AD0">
              <w:rPr>
                <w:sz w:val="17"/>
                <w:szCs w:val="17"/>
              </w:rPr>
              <w:t>The Australian Government, in collaboration with state and territory governments, will introduce a national definition and classification system for wastes (including hazardous and clinical wastes) that aligns with definitions in international conventions, provides for when a product or material ceases to become a waste, and reflects these classifications in relevant policies and instruments.</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48" w:type="pct"/>
            <w:tcBorders>
              <w:top w:val="single" w:sz="4" w:space="0" w:color="auto"/>
              <w:left w:val="nil"/>
              <w:bottom w:val="single" w:sz="4" w:space="0" w:color="auto"/>
              <w:right w:val="single" w:sz="8" w:space="0" w:color="auto"/>
            </w:tcBorders>
            <w:shd w:val="clear" w:color="000000" w:fill="FFCC00"/>
          </w:tcPr>
          <w:p w:rsidR="00B643D7" w:rsidRPr="008E7AD0" w:rsidRDefault="00B643D7" w:rsidP="00B1306B">
            <w:pPr>
              <w:rPr>
                <w:b/>
                <w:bCs/>
                <w:sz w:val="17"/>
                <w:szCs w:val="17"/>
              </w:rPr>
            </w:pPr>
            <w:r w:rsidRPr="008E7AD0">
              <w:rPr>
                <w:b/>
                <w:bCs/>
                <w:sz w:val="17"/>
                <w:szCs w:val="17"/>
              </w:rPr>
              <w:t>5</w:t>
            </w:r>
          </w:p>
        </w:tc>
        <w:tc>
          <w:tcPr>
            <w:tcW w:w="4483" w:type="pct"/>
            <w:gridSpan w:val="3"/>
            <w:tcBorders>
              <w:top w:val="single" w:sz="4" w:space="0" w:color="auto"/>
              <w:left w:val="nil"/>
              <w:bottom w:val="single" w:sz="4" w:space="0" w:color="auto"/>
              <w:right w:val="single" w:sz="8" w:space="0" w:color="auto"/>
            </w:tcBorders>
            <w:shd w:val="clear" w:color="auto" w:fill="auto"/>
          </w:tcPr>
          <w:p w:rsidR="00B643D7" w:rsidRPr="008E7AD0" w:rsidRDefault="00B643D7" w:rsidP="00B1306B">
            <w:pPr>
              <w:rPr>
                <w:sz w:val="17"/>
                <w:szCs w:val="17"/>
              </w:rPr>
            </w:pPr>
            <w:r w:rsidRPr="008E7AD0">
              <w:rPr>
                <w:sz w:val="17"/>
                <w:szCs w:val="17"/>
              </w:rPr>
              <w:t>The Australian Government, in collaboration with state and territory governments through the Environment Protection and Heritage Council, will facilitate the development of a suite of agreed national principles, specifications, best practice guidelines and standards, to remove impediments to the development and operation of effective markets for potential wastes.</w:t>
            </w:r>
          </w:p>
        </w:tc>
      </w:tr>
      <w:tr w:rsidR="00B643D7" w:rsidRPr="008E7AD0" w:rsidTr="00FD7157">
        <w:tc>
          <w:tcPr>
            <w:tcW w:w="269" w:type="pct"/>
            <w:vMerge/>
            <w:tcBorders>
              <w:left w:val="single" w:sz="8" w:space="0" w:color="auto"/>
              <w:right w:val="single" w:sz="8" w:space="0" w:color="auto"/>
            </w:tcBorders>
            <w:vAlign w:val="center"/>
          </w:tcPr>
          <w:p w:rsidR="00B643D7" w:rsidRPr="008E7AD0" w:rsidRDefault="00B643D7" w:rsidP="00B1306B">
            <w:pPr>
              <w:rPr>
                <w:b/>
                <w:bCs/>
                <w:i/>
                <w:iCs/>
                <w:sz w:val="17"/>
                <w:szCs w:val="17"/>
              </w:rPr>
            </w:pPr>
          </w:p>
        </w:tc>
        <w:tc>
          <w:tcPr>
            <w:tcW w:w="248" w:type="pct"/>
            <w:tcBorders>
              <w:top w:val="single" w:sz="4" w:space="0" w:color="auto"/>
              <w:left w:val="nil"/>
              <w:bottom w:val="single" w:sz="8" w:space="0" w:color="auto"/>
              <w:right w:val="single" w:sz="8" w:space="0" w:color="auto"/>
            </w:tcBorders>
            <w:shd w:val="clear" w:color="000000" w:fill="FFCC00"/>
          </w:tcPr>
          <w:p w:rsidR="00B643D7" w:rsidRPr="008E7AD0" w:rsidRDefault="00B643D7" w:rsidP="00B1306B">
            <w:pPr>
              <w:rPr>
                <w:b/>
                <w:bCs/>
                <w:sz w:val="17"/>
                <w:szCs w:val="17"/>
              </w:rPr>
            </w:pPr>
            <w:r w:rsidRPr="008E7AD0">
              <w:rPr>
                <w:b/>
                <w:bCs/>
                <w:sz w:val="17"/>
                <w:szCs w:val="17"/>
              </w:rPr>
              <w:t>6</w:t>
            </w:r>
          </w:p>
        </w:tc>
        <w:tc>
          <w:tcPr>
            <w:tcW w:w="4483" w:type="pct"/>
            <w:gridSpan w:val="3"/>
            <w:tcBorders>
              <w:top w:val="nil"/>
              <w:left w:val="nil"/>
              <w:bottom w:val="single" w:sz="8" w:space="0" w:color="000000"/>
              <w:right w:val="single" w:sz="8" w:space="0" w:color="auto"/>
            </w:tcBorders>
            <w:shd w:val="clear" w:color="auto" w:fill="auto"/>
          </w:tcPr>
          <w:p w:rsidR="00B643D7" w:rsidRPr="008E7AD0" w:rsidRDefault="00B643D7" w:rsidP="00B1306B">
            <w:pPr>
              <w:rPr>
                <w:sz w:val="17"/>
                <w:szCs w:val="17"/>
              </w:rPr>
            </w:pPr>
            <w:r w:rsidRPr="008E7AD0">
              <w:rPr>
                <w:sz w:val="17"/>
                <w:szCs w:val="17"/>
              </w:rPr>
              <w:t>The Australian Government, in collaboration with state and territory governments, local governments, industry, business and the community, will provide access to knowledge and expertise in sustainable procurement and business practices.</w:t>
            </w:r>
          </w:p>
        </w:tc>
      </w:tr>
      <w:tr w:rsidR="00AC4120" w:rsidRPr="008E7AD0" w:rsidTr="00AC4120">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4" w:space="0" w:color="auto"/>
              <w:left w:val="nil"/>
              <w:bottom w:val="single" w:sz="8" w:space="0" w:color="auto"/>
              <w:right w:val="single" w:sz="8" w:space="0" w:color="auto"/>
            </w:tcBorders>
            <w:shd w:val="clear" w:color="auto" w:fill="A6A6A6" w:themeFill="background1" w:themeFillShade="A6"/>
          </w:tcPr>
          <w:p w:rsidR="00AC4120" w:rsidRPr="008E7AD0" w:rsidRDefault="00AC4120" w:rsidP="00E11C53">
            <w:pPr>
              <w:rPr>
                <w:b/>
                <w:bCs/>
                <w:sz w:val="17"/>
                <w:szCs w:val="17"/>
              </w:rPr>
            </w:pPr>
            <w:r w:rsidRPr="008E7AD0">
              <w:rPr>
                <w:b/>
                <w:bCs/>
                <w:sz w:val="17"/>
                <w:szCs w:val="17"/>
              </w:rPr>
              <w:t>16</w:t>
            </w:r>
          </w:p>
        </w:tc>
        <w:tc>
          <w:tcPr>
            <w:tcW w:w="4483" w:type="pct"/>
            <w:gridSpan w:val="3"/>
            <w:tcBorders>
              <w:top w:val="nil"/>
              <w:left w:val="nil"/>
              <w:bottom w:val="single" w:sz="8" w:space="0" w:color="000000"/>
              <w:right w:val="single" w:sz="8" w:space="0" w:color="auto"/>
            </w:tcBorders>
            <w:shd w:val="clear" w:color="auto" w:fill="auto"/>
          </w:tcPr>
          <w:p w:rsidR="00AC4120" w:rsidRPr="008E7AD0" w:rsidRDefault="00AC4120" w:rsidP="00E11C53">
            <w:pPr>
              <w:rPr>
                <w:sz w:val="17"/>
                <w:szCs w:val="17"/>
              </w:rPr>
            </w:pPr>
            <w:r w:rsidRPr="008E7AD0">
              <w:rPr>
                <w:sz w:val="17"/>
                <w:szCs w:val="17"/>
              </w:rPr>
              <w:t>The Australian Government, in collaboration with state and territory governments, will develop and publish a three-yearly current and future trends waste and resource recovery report. This will be underpinned by a system that provides access to integrated national core data on waste and resource recovery that is accurate, meaningful and up-to-date and available online.</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729" w:type="pct"/>
            <w:gridSpan w:val="3"/>
            <w:tcBorders>
              <w:top w:val="single" w:sz="8" w:space="0" w:color="auto"/>
              <w:left w:val="nil"/>
              <w:bottom w:val="single" w:sz="8" w:space="0" w:color="auto"/>
              <w:right w:val="single" w:sz="8" w:space="0" w:color="000000"/>
            </w:tcBorders>
            <w:shd w:val="clear" w:color="000000" w:fill="FFCC00"/>
            <w:noWrap/>
          </w:tcPr>
          <w:p w:rsidR="00AC4120" w:rsidRPr="008E7AD0" w:rsidRDefault="00AC4120" w:rsidP="00B1306B">
            <w:pPr>
              <w:rPr>
                <w:sz w:val="17"/>
                <w:szCs w:val="17"/>
              </w:rPr>
            </w:pPr>
            <w:r w:rsidRPr="008E7AD0">
              <w:rPr>
                <w:sz w:val="17"/>
                <w:szCs w:val="17"/>
              </w:rPr>
              <w:t> </w:t>
            </w:r>
            <w:r w:rsidRPr="008E7AD0">
              <w:rPr>
                <w:b/>
                <w:bCs/>
                <w:sz w:val="17"/>
                <w:szCs w:val="17"/>
              </w:rPr>
              <w:t>Landfill Management</w:t>
            </w:r>
          </w:p>
        </w:tc>
        <w:tc>
          <w:tcPr>
            <w:tcW w:w="2002" w:type="pct"/>
            <w:tcBorders>
              <w:top w:val="nil"/>
              <w:left w:val="nil"/>
              <w:bottom w:val="single" w:sz="8" w:space="0" w:color="auto"/>
              <w:right w:val="single" w:sz="8" w:space="0" w:color="auto"/>
            </w:tcBorders>
            <w:shd w:val="clear" w:color="000000" w:fill="FFCC00"/>
          </w:tcPr>
          <w:p w:rsidR="00AC4120" w:rsidRPr="008E7AD0" w:rsidRDefault="00AC4120" w:rsidP="00B1306B">
            <w:pPr>
              <w:rPr>
                <w:b/>
                <w:bCs/>
                <w:sz w:val="17"/>
                <w:szCs w:val="17"/>
              </w:rPr>
            </w:pPr>
            <w:r w:rsidRPr="008E7AD0">
              <w:rPr>
                <w:b/>
                <w:bCs/>
                <w:sz w:val="17"/>
                <w:szCs w:val="17"/>
              </w:rPr>
              <w:t>Chair: Vic</w:t>
            </w:r>
            <w:r w:rsidR="00987BB5">
              <w:rPr>
                <w:b/>
                <w:bCs/>
                <w:sz w:val="17"/>
                <w:szCs w:val="17"/>
              </w:rPr>
              <w:t>toria</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8" w:space="0" w:color="auto"/>
              <w:left w:val="nil"/>
              <w:bottom w:val="single" w:sz="4" w:space="0" w:color="auto"/>
              <w:right w:val="single" w:sz="8" w:space="0" w:color="auto"/>
            </w:tcBorders>
            <w:shd w:val="clear" w:color="000000" w:fill="92D050"/>
          </w:tcPr>
          <w:p w:rsidR="00AC4120" w:rsidRPr="008E7AD0" w:rsidRDefault="00AC4120" w:rsidP="00B1306B">
            <w:pPr>
              <w:rPr>
                <w:b/>
                <w:bCs/>
                <w:sz w:val="17"/>
                <w:szCs w:val="17"/>
              </w:rPr>
            </w:pPr>
            <w:r w:rsidRPr="008E7AD0">
              <w:rPr>
                <w:b/>
                <w:bCs/>
                <w:sz w:val="17"/>
                <w:szCs w:val="17"/>
              </w:rPr>
              <w:t>7</w:t>
            </w:r>
          </w:p>
        </w:tc>
        <w:tc>
          <w:tcPr>
            <w:tcW w:w="4483" w:type="pct"/>
            <w:gridSpan w:val="3"/>
            <w:tcBorders>
              <w:top w:val="nil"/>
              <w:left w:val="nil"/>
              <w:bottom w:val="nil"/>
              <w:right w:val="single" w:sz="8" w:space="0" w:color="auto"/>
            </w:tcBorders>
            <w:shd w:val="clear" w:color="auto" w:fill="auto"/>
          </w:tcPr>
          <w:p w:rsidR="00AC4120" w:rsidRPr="008E7AD0" w:rsidRDefault="00AC4120" w:rsidP="00B1306B">
            <w:pPr>
              <w:rPr>
                <w:sz w:val="17"/>
                <w:szCs w:val="17"/>
              </w:rPr>
            </w:pPr>
            <w:r w:rsidRPr="008E7AD0">
              <w:rPr>
                <w:sz w:val="17"/>
                <w:szCs w:val="17"/>
              </w:rPr>
              <w:t>State and territory governments building on existing commitments, continue their focus to phase down the amount of biodegradable material sent to landfill.</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4" w:space="0" w:color="auto"/>
              <w:left w:val="nil"/>
              <w:bottom w:val="single" w:sz="4" w:space="0" w:color="auto"/>
              <w:right w:val="single" w:sz="8" w:space="0" w:color="auto"/>
            </w:tcBorders>
            <w:shd w:val="clear" w:color="000000" w:fill="92D050"/>
          </w:tcPr>
          <w:p w:rsidR="00AC4120" w:rsidRPr="008E7AD0" w:rsidRDefault="00AC4120" w:rsidP="00B1306B">
            <w:pPr>
              <w:rPr>
                <w:b/>
                <w:bCs/>
                <w:sz w:val="17"/>
                <w:szCs w:val="17"/>
              </w:rPr>
            </w:pPr>
            <w:r w:rsidRPr="008E7AD0">
              <w:rPr>
                <w:b/>
                <w:bCs/>
                <w:sz w:val="17"/>
                <w:szCs w:val="17"/>
              </w:rPr>
              <w:t>8</w:t>
            </w:r>
          </w:p>
        </w:tc>
        <w:tc>
          <w:tcPr>
            <w:tcW w:w="4483" w:type="pct"/>
            <w:gridSpan w:val="3"/>
            <w:tcBorders>
              <w:top w:val="single" w:sz="4" w:space="0" w:color="auto"/>
              <w:left w:val="nil"/>
              <w:bottom w:val="single" w:sz="4" w:space="0" w:color="auto"/>
              <w:right w:val="single" w:sz="8" w:space="0" w:color="auto"/>
            </w:tcBorders>
            <w:shd w:val="clear" w:color="auto" w:fill="auto"/>
          </w:tcPr>
          <w:p w:rsidR="00AC4120" w:rsidRPr="008E7AD0" w:rsidRDefault="00AC4120" w:rsidP="00B1306B">
            <w:pPr>
              <w:rPr>
                <w:sz w:val="17"/>
                <w:szCs w:val="17"/>
              </w:rPr>
            </w:pPr>
            <w:r w:rsidRPr="008E7AD0">
              <w:rPr>
                <w:sz w:val="17"/>
                <w:szCs w:val="17"/>
              </w:rPr>
              <w:t>State and territory governments ensure the safety and health risks arising from landfill gas emissions are managed across all landfills through appropriate regulation and licence requirements.</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4" w:space="0" w:color="auto"/>
              <w:left w:val="nil"/>
              <w:bottom w:val="single" w:sz="8" w:space="0" w:color="auto"/>
              <w:right w:val="single" w:sz="8" w:space="0" w:color="auto"/>
            </w:tcBorders>
            <w:shd w:val="clear" w:color="000000" w:fill="92D050"/>
          </w:tcPr>
          <w:p w:rsidR="00AC4120" w:rsidRPr="008E7AD0" w:rsidRDefault="00AC4120" w:rsidP="00B1306B">
            <w:pPr>
              <w:rPr>
                <w:b/>
                <w:bCs/>
                <w:sz w:val="17"/>
                <w:szCs w:val="17"/>
              </w:rPr>
            </w:pPr>
            <w:r w:rsidRPr="008E7AD0">
              <w:rPr>
                <w:b/>
                <w:bCs/>
                <w:sz w:val="17"/>
                <w:szCs w:val="17"/>
              </w:rPr>
              <w:t>9</w:t>
            </w:r>
          </w:p>
        </w:tc>
        <w:tc>
          <w:tcPr>
            <w:tcW w:w="4483" w:type="pct"/>
            <w:gridSpan w:val="3"/>
            <w:tcBorders>
              <w:top w:val="nil"/>
              <w:left w:val="nil"/>
              <w:bottom w:val="single" w:sz="8" w:space="0" w:color="000000"/>
              <w:right w:val="single" w:sz="8" w:space="0" w:color="auto"/>
            </w:tcBorders>
            <w:shd w:val="clear" w:color="auto" w:fill="auto"/>
          </w:tcPr>
          <w:p w:rsidR="00AC4120" w:rsidRPr="008E7AD0" w:rsidRDefault="00AC4120" w:rsidP="00B1306B">
            <w:pPr>
              <w:rPr>
                <w:sz w:val="17"/>
                <w:szCs w:val="17"/>
              </w:rPr>
            </w:pPr>
            <w:r w:rsidRPr="008E7AD0">
              <w:rPr>
                <w:sz w:val="17"/>
                <w:szCs w:val="17"/>
              </w:rPr>
              <w:t xml:space="preserve">The Australian Government, in collaboration with state and territory governments, will develop a strategy for measures to address emissions from disposal of waste to landfills and other waste activities, and </w:t>
            </w:r>
            <w:proofErr w:type="gramStart"/>
            <w:r w:rsidRPr="008E7AD0">
              <w:rPr>
                <w:sz w:val="17"/>
                <w:szCs w:val="17"/>
              </w:rPr>
              <w:t>these support</w:t>
            </w:r>
            <w:proofErr w:type="gramEnd"/>
            <w:r w:rsidRPr="008E7AD0">
              <w:rPr>
                <w:sz w:val="17"/>
                <w:szCs w:val="17"/>
              </w:rPr>
              <w:t xml:space="preserve"> the operation of a future Carbon Pollution Reduction Scheme.</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729" w:type="pct"/>
            <w:gridSpan w:val="3"/>
            <w:tcBorders>
              <w:top w:val="single" w:sz="8" w:space="0" w:color="auto"/>
              <w:left w:val="nil"/>
              <w:bottom w:val="single" w:sz="8" w:space="0" w:color="auto"/>
              <w:right w:val="single" w:sz="8" w:space="0" w:color="000000"/>
            </w:tcBorders>
            <w:shd w:val="clear" w:color="000000" w:fill="FFCC00"/>
            <w:noWrap/>
            <w:vAlign w:val="bottom"/>
          </w:tcPr>
          <w:p w:rsidR="00AC4120" w:rsidRPr="008E7AD0" w:rsidRDefault="00AC4120" w:rsidP="00B1306B">
            <w:pPr>
              <w:rPr>
                <w:sz w:val="17"/>
                <w:szCs w:val="17"/>
              </w:rPr>
            </w:pPr>
            <w:r w:rsidRPr="008E7AD0">
              <w:rPr>
                <w:sz w:val="17"/>
                <w:szCs w:val="17"/>
              </w:rPr>
              <w:t> </w:t>
            </w:r>
            <w:r w:rsidRPr="008E7AD0">
              <w:rPr>
                <w:b/>
                <w:bCs/>
                <w:sz w:val="17"/>
                <w:szCs w:val="17"/>
              </w:rPr>
              <w:t>Commercial &amp; Industrial, Construction &amp; Demolition &amp; Governments</w:t>
            </w:r>
          </w:p>
        </w:tc>
        <w:tc>
          <w:tcPr>
            <w:tcW w:w="2002" w:type="pct"/>
            <w:tcBorders>
              <w:top w:val="nil"/>
              <w:left w:val="nil"/>
              <w:bottom w:val="single" w:sz="8" w:space="0" w:color="auto"/>
              <w:right w:val="single" w:sz="8" w:space="0" w:color="auto"/>
            </w:tcBorders>
            <w:shd w:val="clear" w:color="000000" w:fill="FFCC00"/>
          </w:tcPr>
          <w:p w:rsidR="00AC4120" w:rsidRPr="008E7AD0" w:rsidRDefault="00AC4120" w:rsidP="00B1306B">
            <w:pPr>
              <w:rPr>
                <w:b/>
                <w:bCs/>
                <w:sz w:val="17"/>
                <w:szCs w:val="17"/>
              </w:rPr>
            </w:pPr>
            <w:r w:rsidRPr="008E7AD0">
              <w:rPr>
                <w:b/>
                <w:bCs/>
                <w:sz w:val="17"/>
                <w:szCs w:val="17"/>
              </w:rPr>
              <w:t>Chair: W</w:t>
            </w:r>
            <w:r w:rsidR="00987BB5">
              <w:rPr>
                <w:b/>
                <w:bCs/>
                <w:sz w:val="17"/>
                <w:szCs w:val="17"/>
              </w:rPr>
              <w:t xml:space="preserve">estern </w:t>
            </w:r>
            <w:r w:rsidRPr="008E7AD0">
              <w:rPr>
                <w:b/>
                <w:bCs/>
                <w:sz w:val="17"/>
                <w:szCs w:val="17"/>
              </w:rPr>
              <w:t>A</w:t>
            </w:r>
            <w:r w:rsidR="00987BB5">
              <w:rPr>
                <w:b/>
                <w:bCs/>
                <w:sz w:val="17"/>
                <w:szCs w:val="17"/>
              </w:rPr>
              <w:t>ustralia</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8" w:space="0" w:color="auto"/>
              <w:left w:val="nil"/>
              <w:bottom w:val="single" w:sz="4" w:space="0" w:color="auto"/>
              <w:right w:val="single" w:sz="8" w:space="0" w:color="auto"/>
            </w:tcBorders>
            <w:shd w:val="clear" w:color="000000" w:fill="92D050"/>
          </w:tcPr>
          <w:p w:rsidR="00AC4120" w:rsidRPr="008E7AD0" w:rsidRDefault="00AC4120" w:rsidP="00B1306B">
            <w:pPr>
              <w:rPr>
                <w:b/>
                <w:bCs/>
                <w:sz w:val="17"/>
                <w:szCs w:val="17"/>
              </w:rPr>
            </w:pPr>
            <w:r w:rsidRPr="008E7AD0">
              <w:rPr>
                <w:b/>
                <w:bCs/>
                <w:sz w:val="17"/>
                <w:szCs w:val="17"/>
              </w:rPr>
              <w:t>10</w:t>
            </w:r>
          </w:p>
        </w:tc>
        <w:tc>
          <w:tcPr>
            <w:tcW w:w="4483" w:type="pct"/>
            <w:gridSpan w:val="3"/>
            <w:tcBorders>
              <w:top w:val="nil"/>
              <w:left w:val="nil"/>
              <w:bottom w:val="nil"/>
              <w:right w:val="single" w:sz="8" w:space="0" w:color="auto"/>
            </w:tcBorders>
            <w:shd w:val="clear" w:color="auto" w:fill="auto"/>
          </w:tcPr>
          <w:p w:rsidR="00AC4120" w:rsidRPr="008E7AD0" w:rsidRDefault="00AC4120" w:rsidP="00B1306B">
            <w:pPr>
              <w:rPr>
                <w:sz w:val="17"/>
                <w:szCs w:val="17"/>
              </w:rPr>
            </w:pPr>
            <w:r w:rsidRPr="008E7AD0">
              <w:rPr>
                <w:sz w:val="17"/>
                <w:szCs w:val="17"/>
              </w:rPr>
              <w:t>State and territory and local governments, in collaboration with the Australian Government, industry and business, to achieve major improvements in waste avoidance and re-use of key materials in the commercial and industrial waste stream.</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4" w:space="0" w:color="auto"/>
              <w:left w:val="nil"/>
              <w:bottom w:val="single" w:sz="8" w:space="0" w:color="auto"/>
              <w:right w:val="single" w:sz="8" w:space="0" w:color="auto"/>
            </w:tcBorders>
            <w:shd w:val="clear" w:color="000000" w:fill="92D050"/>
          </w:tcPr>
          <w:p w:rsidR="00AC4120" w:rsidRPr="008E7AD0" w:rsidRDefault="00AC4120" w:rsidP="00B1306B">
            <w:pPr>
              <w:rPr>
                <w:b/>
                <w:bCs/>
                <w:sz w:val="17"/>
                <w:szCs w:val="17"/>
              </w:rPr>
            </w:pPr>
            <w:r w:rsidRPr="008E7AD0">
              <w:rPr>
                <w:b/>
                <w:bCs/>
                <w:sz w:val="17"/>
                <w:szCs w:val="17"/>
              </w:rPr>
              <w:t>11</w:t>
            </w:r>
          </w:p>
        </w:tc>
        <w:tc>
          <w:tcPr>
            <w:tcW w:w="4483" w:type="pct"/>
            <w:gridSpan w:val="3"/>
            <w:tcBorders>
              <w:top w:val="single" w:sz="4" w:space="0" w:color="auto"/>
              <w:left w:val="nil"/>
              <w:bottom w:val="single" w:sz="8" w:space="0" w:color="auto"/>
              <w:right w:val="single" w:sz="8" w:space="0" w:color="auto"/>
            </w:tcBorders>
            <w:shd w:val="clear" w:color="auto" w:fill="auto"/>
          </w:tcPr>
          <w:p w:rsidR="00AC4120" w:rsidRPr="008E7AD0" w:rsidRDefault="00AC4120" w:rsidP="00B1306B">
            <w:pPr>
              <w:rPr>
                <w:sz w:val="17"/>
                <w:szCs w:val="17"/>
              </w:rPr>
            </w:pPr>
            <w:r w:rsidRPr="008E7AD0">
              <w:rPr>
                <w:sz w:val="17"/>
                <w:szCs w:val="17"/>
              </w:rPr>
              <w:t>All governments continue to encourage best practice waste management and resource recovery for construction and demolition projects.</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729" w:type="pct"/>
            <w:gridSpan w:val="3"/>
            <w:tcBorders>
              <w:top w:val="nil"/>
              <w:left w:val="nil"/>
              <w:bottom w:val="single" w:sz="8" w:space="0" w:color="auto"/>
              <w:right w:val="single" w:sz="8" w:space="0" w:color="000000"/>
            </w:tcBorders>
            <w:shd w:val="clear" w:color="000000" w:fill="FFCC00"/>
            <w:noWrap/>
            <w:vAlign w:val="bottom"/>
          </w:tcPr>
          <w:p w:rsidR="00AC4120" w:rsidRPr="008E7AD0" w:rsidRDefault="00AC4120" w:rsidP="00B1306B">
            <w:pPr>
              <w:rPr>
                <w:sz w:val="17"/>
                <w:szCs w:val="17"/>
              </w:rPr>
            </w:pPr>
            <w:r w:rsidRPr="008E7AD0">
              <w:rPr>
                <w:sz w:val="17"/>
                <w:szCs w:val="17"/>
              </w:rPr>
              <w:t> </w:t>
            </w:r>
            <w:r w:rsidRPr="008E7AD0">
              <w:rPr>
                <w:b/>
                <w:bCs/>
                <w:sz w:val="17"/>
                <w:szCs w:val="17"/>
              </w:rPr>
              <w:t>Reducing Hazard &amp; Risk</w:t>
            </w:r>
          </w:p>
        </w:tc>
        <w:tc>
          <w:tcPr>
            <w:tcW w:w="2002" w:type="pct"/>
            <w:tcBorders>
              <w:top w:val="nil"/>
              <w:left w:val="nil"/>
              <w:bottom w:val="single" w:sz="8" w:space="0" w:color="auto"/>
              <w:right w:val="single" w:sz="8" w:space="0" w:color="auto"/>
            </w:tcBorders>
            <w:shd w:val="clear" w:color="000000" w:fill="FFCC00"/>
          </w:tcPr>
          <w:p w:rsidR="00AC4120" w:rsidRPr="008E7AD0" w:rsidRDefault="00AC4120" w:rsidP="00B1306B">
            <w:pPr>
              <w:rPr>
                <w:b/>
                <w:bCs/>
                <w:sz w:val="17"/>
                <w:szCs w:val="17"/>
              </w:rPr>
            </w:pPr>
            <w:r w:rsidRPr="008E7AD0">
              <w:rPr>
                <w:b/>
                <w:bCs/>
                <w:sz w:val="17"/>
                <w:szCs w:val="17"/>
              </w:rPr>
              <w:t>Chair: Australian Government</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8" w:space="0" w:color="auto"/>
              <w:left w:val="nil"/>
              <w:bottom w:val="single" w:sz="4" w:space="0" w:color="auto"/>
              <w:right w:val="single" w:sz="8" w:space="0" w:color="auto"/>
            </w:tcBorders>
            <w:shd w:val="clear" w:color="000000" w:fill="548DD4"/>
          </w:tcPr>
          <w:p w:rsidR="00AC4120" w:rsidRPr="008E7AD0" w:rsidRDefault="00AC4120" w:rsidP="00B1306B">
            <w:pPr>
              <w:rPr>
                <w:b/>
                <w:bCs/>
                <w:sz w:val="17"/>
                <w:szCs w:val="17"/>
              </w:rPr>
            </w:pPr>
            <w:r w:rsidRPr="008E7AD0">
              <w:rPr>
                <w:b/>
                <w:bCs/>
                <w:sz w:val="17"/>
                <w:szCs w:val="17"/>
              </w:rPr>
              <w:t>12</w:t>
            </w:r>
          </w:p>
        </w:tc>
        <w:tc>
          <w:tcPr>
            <w:tcW w:w="4483" w:type="pct"/>
            <w:gridSpan w:val="3"/>
            <w:tcBorders>
              <w:top w:val="nil"/>
              <w:left w:val="nil"/>
              <w:bottom w:val="nil"/>
              <w:right w:val="single" w:sz="8" w:space="0" w:color="auto"/>
            </w:tcBorders>
            <w:shd w:val="clear" w:color="auto" w:fill="auto"/>
          </w:tcPr>
          <w:p w:rsidR="00AC4120" w:rsidRPr="008E7AD0" w:rsidRDefault="00AC4120" w:rsidP="00B1306B">
            <w:pPr>
              <w:rPr>
                <w:sz w:val="17"/>
                <w:szCs w:val="17"/>
              </w:rPr>
            </w:pPr>
            <w:r w:rsidRPr="008E7AD0">
              <w:rPr>
                <w:sz w:val="17"/>
                <w:szCs w:val="17"/>
              </w:rPr>
              <w:t xml:space="preserve">The Australian Government, in collaboration with state and territory governments, will ensure that: our international obligations are met; hazardous materials entering the waste stream are reduced; </w:t>
            </w:r>
            <w:proofErr w:type="spellStart"/>
            <w:r w:rsidRPr="008E7AD0">
              <w:rPr>
                <w:sz w:val="17"/>
                <w:szCs w:val="17"/>
              </w:rPr>
              <w:t>transboundary</w:t>
            </w:r>
            <w:proofErr w:type="spellEnd"/>
            <w:r w:rsidRPr="008E7AD0">
              <w:rPr>
                <w:sz w:val="17"/>
                <w:szCs w:val="17"/>
              </w:rPr>
              <w:t xml:space="preserve"> movement of hazardous waste is effectively, efficiently and legally undertaken within Australia and complies with international requirements; product stewardship is adopted to provide for the impacts of a product with potentially hazardous materials being responsibly managed during and at the end of life; and facilities are available to handle and dispose of hazardous substances that become waste in an environmentally sound manner.</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4" w:space="0" w:color="auto"/>
              <w:left w:val="nil"/>
              <w:bottom w:val="single" w:sz="8" w:space="0" w:color="auto"/>
              <w:right w:val="single" w:sz="8" w:space="0" w:color="auto"/>
            </w:tcBorders>
            <w:shd w:val="clear" w:color="000000" w:fill="548DD4"/>
          </w:tcPr>
          <w:p w:rsidR="00AC4120" w:rsidRPr="008E7AD0" w:rsidRDefault="00AC4120" w:rsidP="00B1306B">
            <w:pPr>
              <w:rPr>
                <w:b/>
                <w:bCs/>
                <w:sz w:val="17"/>
                <w:szCs w:val="17"/>
              </w:rPr>
            </w:pPr>
            <w:r w:rsidRPr="008E7AD0">
              <w:rPr>
                <w:b/>
                <w:bCs/>
                <w:sz w:val="17"/>
                <w:szCs w:val="17"/>
              </w:rPr>
              <w:t>13</w:t>
            </w:r>
          </w:p>
        </w:tc>
        <w:tc>
          <w:tcPr>
            <w:tcW w:w="4483" w:type="pct"/>
            <w:gridSpan w:val="3"/>
            <w:tcBorders>
              <w:top w:val="single" w:sz="4" w:space="0" w:color="auto"/>
              <w:left w:val="nil"/>
              <w:bottom w:val="single" w:sz="8" w:space="0" w:color="auto"/>
              <w:right w:val="single" w:sz="8" w:space="0" w:color="auto"/>
            </w:tcBorders>
            <w:shd w:val="clear" w:color="auto" w:fill="auto"/>
          </w:tcPr>
          <w:p w:rsidR="00AC4120" w:rsidRPr="008E7AD0" w:rsidRDefault="00AC4120" w:rsidP="00B1306B">
            <w:pPr>
              <w:rPr>
                <w:sz w:val="17"/>
                <w:szCs w:val="17"/>
              </w:rPr>
            </w:pPr>
            <w:r w:rsidRPr="008E7AD0">
              <w:rPr>
                <w:sz w:val="17"/>
                <w:szCs w:val="17"/>
              </w:rPr>
              <w:t>The Australian Government, with the support of state and territory governments, will adopt a system that aligns with international approaches, to reduce hazardous substances in products and articles sold in Australia that represent a potential risk during and at end of life to human health, safety or the environment.</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729" w:type="pct"/>
            <w:gridSpan w:val="3"/>
            <w:tcBorders>
              <w:top w:val="nil"/>
              <w:left w:val="nil"/>
              <w:bottom w:val="single" w:sz="8" w:space="0" w:color="auto"/>
              <w:right w:val="single" w:sz="8" w:space="0" w:color="000000"/>
            </w:tcBorders>
            <w:shd w:val="clear" w:color="000000" w:fill="FFCC00"/>
            <w:noWrap/>
            <w:vAlign w:val="bottom"/>
          </w:tcPr>
          <w:p w:rsidR="00AC4120" w:rsidRPr="008E7AD0" w:rsidRDefault="00AC4120" w:rsidP="00B1306B">
            <w:pPr>
              <w:rPr>
                <w:sz w:val="17"/>
                <w:szCs w:val="17"/>
              </w:rPr>
            </w:pPr>
            <w:r w:rsidRPr="008E7AD0">
              <w:rPr>
                <w:sz w:val="17"/>
                <w:szCs w:val="17"/>
              </w:rPr>
              <w:t> </w:t>
            </w:r>
            <w:r w:rsidRPr="008E7AD0">
              <w:rPr>
                <w:b/>
                <w:bCs/>
                <w:sz w:val="17"/>
                <w:szCs w:val="17"/>
              </w:rPr>
              <w:t>Regional &amp; Remote Australia</w:t>
            </w:r>
          </w:p>
        </w:tc>
        <w:tc>
          <w:tcPr>
            <w:tcW w:w="2002" w:type="pct"/>
            <w:tcBorders>
              <w:top w:val="nil"/>
              <w:left w:val="nil"/>
              <w:bottom w:val="single" w:sz="8" w:space="0" w:color="auto"/>
              <w:right w:val="single" w:sz="8" w:space="0" w:color="auto"/>
            </w:tcBorders>
            <w:shd w:val="clear" w:color="000000" w:fill="FFCC00"/>
          </w:tcPr>
          <w:p w:rsidR="00AC4120" w:rsidRPr="008E7AD0" w:rsidRDefault="00987BB5" w:rsidP="00B1306B">
            <w:pPr>
              <w:rPr>
                <w:b/>
                <w:bCs/>
                <w:sz w:val="17"/>
                <w:szCs w:val="17"/>
              </w:rPr>
            </w:pPr>
            <w:r>
              <w:rPr>
                <w:b/>
                <w:bCs/>
                <w:sz w:val="17"/>
                <w:szCs w:val="17"/>
              </w:rPr>
              <w:t xml:space="preserve">Chair: </w:t>
            </w:r>
            <w:r w:rsidRPr="008E7AD0">
              <w:rPr>
                <w:b/>
                <w:bCs/>
                <w:sz w:val="17"/>
                <w:szCs w:val="17"/>
              </w:rPr>
              <w:t>W</w:t>
            </w:r>
            <w:r>
              <w:rPr>
                <w:b/>
                <w:bCs/>
                <w:sz w:val="17"/>
                <w:szCs w:val="17"/>
              </w:rPr>
              <w:t xml:space="preserve">estern </w:t>
            </w:r>
            <w:r w:rsidRPr="008E7AD0">
              <w:rPr>
                <w:b/>
                <w:bCs/>
                <w:sz w:val="17"/>
                <w:szCs w:val="17"/>
              </w:rPr>
              <w:t>A</w:t>
            </w:r>
            <w:r>
              <w:rPr>
                <w:b/>
                <w:bCs/>
                <w:sz w:val="17"/>
                <w:szCs w:val="17"/>
              </w:rPr>
              <w:t>ustralia</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8" w:space="0" w:color="auto"/>
              <w:left w:val="nil"/>
              <w:bottom w:val="single" w:sz="4" w:space="0" w:color="auto"/>
              <w:right w:val="single" w:sz="8" w:space="0" w:color="auto"/>
            </w:tcBorders>
            <w:shd w:val="clear" w:color="000000" w:fill="B2A1C7"/>
          </w:tcPr>
          <w:p w:rsidR="00AC4120" w:rsidRPr="008E7AD0" w:rsidRDefault="00AC4120" w:rsidP="00B1306B">
            <w:pPr>
              <w:rPr>
                <w:b/>
                <w:bCs/>
                <w:sz w:val="17"/>
                <w:szCs w:val="17"/>
              </w:rPr>
            </w:pPr>
            <w:r w:rsidRPr="008E7AD0">
              <w:rPr>
                <w:b/>
                <w:bCs/>
                <w:sz w:val="17"/>
                <w:szCs w:val="17"/>
              </w:rPr>
              <w:t>14</w:t>
            </w:r>
          </w:p>
        </w:tc>
        <w:tc>
          <w:tcPr>
            <w:tcW w:w="4483" w:type="pct"/>
            <w:gridSpan w:val="3"/>
            <w:tcBorders>
              <w:top w:val="nil"/>
              <w:left w:val="nil"/>
              <w:bottom w:val="nil"/>
              <w:right w:val="single" w:sz="8" w:space="0" w:color="auto"/>
            </w:tcBorders>
            <w:shd w:val="clear" w:color="auto" w:fill="auto"/>
          </w:tcPr>
          <w:p w:rsidR="00AC4120" w:rsidRPr="008E7AD0" w:rsidRDefault="00AC4120" w:rsidP="00B1306B">
            <w:pPr>
              <w:rPr>
                <w:sz w:val="17"/>
                <w:szCs w:val="17"/>
              </w:rPr>
            </w:pPr>
            <w:r w:rsidRPr="008E7AD0">
              <w:rPr>
                <w:sz w:val="17"/>
                <w:szCs w:val="17"/>
              </w:rPr>
              <w:t>State and territory and local governments to work together to identify regional and remote waste and resource recovery actions to build capacity and ensure an appropriate suite of services is available to communities.</w:t>
            </w:r>
          </w:p>
        </w:tc>
      </w:tr>
      <w:tr w:rsidR="00AC4120" w:rsidRPr="008E7AD0" w:rsidTr="00FD7157">
        <w:tc>
          <w:tcPr>
            <w:tcW w:w="269" w:type="pct"/>
            <w:vMerge/>
            <w:tcBorders>
              <w:left w:val="single" w:sz="8" w:space="0" w:color="auto"/>
              <w:right w:val="single" w:sz="8" w:space="0" w:color="auto"/>
            </w:tcBorders>
            <w:vAlign w:val="center"/>
          </w:tcPr>
          <w:p w:rsidR="00AC4120" w:rsidRPr="008E7AD0" w:rsidRDefault="00AC4120" w:rsidP="00B1306B">
            <w:pPr>
              <w:rPr>
                <w:b/>
                <w:bCs/>
                <w:i/>
                <w:iCs/>
                <w:sz w:val="17"/>
                <w:szCs w:val="17"/>
              </w:rPr>
            </w:pPr>
          </w:p>
        </w:tc>
        <w:tc>
          <w:tcPr>
            <w:tcW w:w="248" w:type="pct"/>
            <w:tcBorders>
              <w:top w:val="single" w:sz="4" w:space="0" w:color="auto"/>
              <w:left w:val="nil"/>
              <w:bottom w:val="single" w:sz="8" w:space="0" w:color="auto"/>
              <w:right w:val="single" w:sz="8" w:space="0" w:color="auto"/>
            </w:tcBorders>
            <w:shd w:val="clear" w:color="000000" w:fill="B2A1C7"/>
          </w:tcPr>
          <w:p w:rsidR="00AC4120" w:rsidRPr="008E7AD0" w:rsidRDefault="00AC4120" w:rsidP="00B1306B">
            <w:pPr>
              <w:rPr>
                <w:b/>
                <w:bCs/>
                <w:sz w:val="17"/>
                <w:szCs w:val="17"/>
              </w:rPr>
            </w:pPr>
            <w:r w:rsidRPr="008E7AD0">
              <w:rPr>
                <w:b/>
                <w:bCs/>
                <w:sz w:val="17"/>
                <w:szCs w:val="17"/>
              </w:rPr>
              <w:t>15</w:t>
            </w:r>
          </w:p>
        </w:tc>
        <w:tc>
          <w:tcPr>
            <w:tcW w:w="4483" w:type="pct"/>
            <w:gridSpan w:val="3"/>
            <w:tcBorders>
              <w:top w:val="single" w:sz="4" w:space="0" w:color="auto"/>
              <w:left w:val="nil"/>
              <w:bottom w:val="single" w:sz="8" w:space="0" w:color="auto"/>
              <w:right w:val="single" w:sz="8" w:space="0" w:color="auto"/>
            </w:tcBorders>
            <w:shd w:val="clear" w:color="auto" w:fill="auto"/>
          </w:tcPr>
          <w:p w:rsidR="00AC4120" w:rsidRPr="008E7AD0" w:rsidRDefault="00AC4120" w:rsidP="00B1306B">
            <w:pPr>
              <w:rPr>
                <w:sz w:val="17"/>
                <w:szCs w:val="17"/>
              </w:rPr>
            </w:pPr>
            <w:r w:rsidRPr="008E7AD0">
              <w:rPr>
                <w:sz w:val="17"/>
                <w:szCs w:val="17"/>
              </w:rPr>
              <w:t>The Australian Government will undertake an audit of existing waste infrastructure and local capability in selected remote Indigenous communities as part of a larger essential services audit under the Council of Australian Governments’ National Indigenous Housing Partnership Agreement.</w:t>
            </w:r>
          </w:p>
        </w:tc>
      </w:tr>
    </w:tbl>
    <w:p w:rsidR="00677ACF" w:rsidRDefault="00677ACF" w:rsidP="00B1306B">
      <w:r>
        <w:br w:type="page"/>
      </w:r>
    </w:p>
    <w:p w:rsidR="00731FB3" w:rsidRPr="00731FB3" w:rsidRDefault="00677ACF" w:rsidP="009E1DC7">
      <w:pPr>
        <w:pStyle w:val="Heading1"/>
        <w:numPr>
          <w:ilvl w:val="0"/>
          <w:numId w:val="0"/>
        </w:numPr>
        <w:ind w:left="360" w:hanging="360"/>
        <w:rPr>
          <w:szCs w:val="24"/>
        </w:rPr>
      </w:pPr>
      <w:bookmarkStart w:id="112" w:name="_Toc383092786"/>
      <w:r w:rsidRPr="000C3480">
        <w:lastRenderedPageBreak/>
        <w:t xml:space="preserve">Appendix B: </w:t>
      </w:r>
      <w:r w:rsidR="00731FB3" w:rsidRPr="00F535F9">
        <w:t xml:space="preserve">Links to </w:t>
      </w:r>
      <w:r w:rsidR="00B15551">
        <w:t>Relevant Websites</w:t>
      </w:r>
      <w:bookmarkEnd w:id="112"/>
    </w:p>
    <w:p w:rsidR="00731FB3" w:rsidRDefault="00731FB3" w:rsidP="00B1306B">
      <w:pPr>
        <w:pStyle w:val="ListBullet"/>
        <w:rPr>
          <w:szCs w:val="24"/>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3227"/>
        <w:gridCol w:w="6015"/>
      </w:tblGrid>
      <w:tr w:rsidR="00B15551" w:rsidRPr="003C223B" w:rsidTr="003F0805">
        <w:trPr>
          <w:cantSplit/>
        </w:trPr>
        <w:tc>
          <w:tcPr>
            <w:tcW w:w="1746" w:type="pct"/>
            <w:tcBorders>
              <w:top w:val="single" w:sz="4" w:space="0" w:color="auto"/>
              <w:bottom w:val="single" w:sz="4" w:space="0" w:color="auto"/>
            </w:tcBorders>
          </w:tcPr>
          <w:p w:rsidR="00B15551" w:rsidRDefault="00B15551" w:rsidP="00B24B56">
            <w:pPr>
              <w:pStyle w:val="NormalWeb"/>
              <w:spacing w:before="0" w:beforeAutospacing="0" w:after="0" w:afterAutospacing="0"/>
              <w:rPr>
                <w:rFonts w:ascii="Arial" w:hAnsi="Arial" w:cs="Arial"/>
                <w:b/>
                <w:sz w:val="20"/>
                <w:szCs w:val="20"/>
              </w:rPr>
            </w:pPr>
            <w:r w:rsidRPr="00B15551">
              <w:rPr>
                <w:rFonts w:ascii="Arial" w:hAnsi="Arial" w:cs="Arial"/>
                <w:b/>
                <w:sz w:val="20"/>
                <w:szCs w:val="20"/>
              </w:rPr>
              <w:t>National Waste Policy</w:t>
            </w:r>
            <w:r w:rsidR="007D50E6">
              <w:rPr>
                <w:rFonts w:ascii="Arial" w:hAnsi="Arial" w:cs="Arial"/>
                <w:b/>
                <w:sz w:val="20"/>
                <w:szCs w:val="20"/>
              </w:rPr>
              <w:t xml:space="preserve"> </w:t>
            </w:r>
          </w:p>
          <w:p w:rsidR="00B24B56" w:rsidRPr="00B15551" w:rsidRDefault="00B24B56" w:rsidP="00B24B56">
            <w:pPr>
              <w:pStyle w:val="NormalWeb"/>
              <w:spacing w:before="0" w:beforeAutospacing="0" w:after="0" w:afterAutospacing="0"/>
              <w:rPr>
                <w:rFonts w:ascii="Arial" w:hAnsi="Arial" w:cs="Arial"/>
                <w:b/>
                <w:sz w:val="20"/>
                <w:szCs w:val="20"/>
              </w:rPr>
            </w:pPr>
          </w:p>
        </w:tc>
        <w:tc>
          <w:tcPr>
            <w:tcW w:w="3254" w:type="pct"/>
            <w:tcBorders>
              <w:top w:val="single" w:sz="4" w:space="0" w:color="auto"/>
              <w:bottom w:val="single" w:sz="4" w:space="0" w:color="auto"/>
            </w:tcBorders>
          </w:tcPr>
          <w:p w:rsidR="00B15551" w:rsidRPr="003F0805" w:rsidRDefault="001F5E0F" w:rsidP="003F0805">
            <w:pPr>
              <w:pStyle w:val="IntenseQuote"/>
              <w:rPr>
                <w:rStyle w:val="Hyperlink"/>
                <w:color w:val="007DEB" w:themeColor="background2" w:themeShade="80"/>
              </w:rPr>
            </w:pPr>
            <w:hyperlink r:id="rId16" w:history="1">
              <w:r w:rsidR="00B15551" w:rsidRPr="003F0805">
                <w:rPr>
                  <w:rStyle w:val="Hyperlink"/>
                  <w:rFonts w:ascii="Arial" w:hAnsi="Arial" w:cs="Arial"/>
                  <w:color w:val="007DEB" w:themeColor="background2" w:themeShade="80"/>
                  <w:sz w:val="20"/>
                  <w:szCs w:val="20"/>
                </w:rPr>
                <w:t>www.environment.gov.au/wastepolicy</w:t>
              </w:r>
            </w:hyperlink>
          </w:p>
        </w:tc>
      </w:tr>
      <w:tr w:rsidR="00B15551" w:rsidRPr="003C223B" w:rsidTr="003F0805">
        <w:trPr>
          <w:cantSplit/>
        </w:trPr>
        <w:tc>
          <w:tcPr>
            <w:tcW w:w="1746" w:type="pct"/>
            <w:tcBorders>
              <w:top w:val="single" w:sz="4" w:space="0" w:color="auto"/>
              <w:bottom w:val="single" w:sz="4" w:space="0" w:color="auto"/>
            </w:tcBorders>
          </w:tcPr>
          <w:p w:rsidR="00731FB3" w:rsidRPr="00B15551" w:rsidRDefault="00731FB3" w:rsidP="00B1306B">
            <w:pPr>
              <w:pStyle w:val="NormalWeb"/>
              <w:spacing w:before="0" w:beforeAutospacing="0" w:after="0" w:afterAutospacing="0"/>
              <w:rPr>
                <w:rFonts w:ascii="Arial" w:hAnsi="Arial" w:cs="Arial"/>
                <w:b/>
                <w:sz w:val="20"/>
                <w:szCs w:val="20"/>
              </w:rPr>
            </w:pPr>
            <w:r w:rsidRPr="00B15551">
              <w:rPr>
                <w:rFonts w:ascii="Arial" w:hAnsi="Arial" w:cs="Arial"/>
                <w:b/>
                <w:sz w:val="20"/>
                <w:szCs w:val="20"/>
              </w:rPr>
              <w:t>Australian Government</w:t>
            </w:r>
          </w:p>
        </w:tc>
        <w:tc>
          <w:tcPr>
            <w:tcW w:w="3254" w:type="pct"/>
            <w:tcBorders>
              <w:top w:val="single" w:sz="4" w:space="0" w:color="auto"/>
              <w:bottom w:val="single" w:sz="4" w:space="0" w:color="auto"/>
            </w:tcBorders>
          </w:tcPr>
          <w:p w:rsidR="00731FB3" w:rsidRPr="00C410FB"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 xml:space="preserve">Department of </w:t>
            </w:r>
            <w:r w:rsidR="00B15551">
              <w:rPr>
                <w:rFonts w:ascii="Arial" w:hAnsi="Arial" w:cs="Arial"/>
                <w:sz w:val="20"/>
                <w:szCs w:val="20"/>
              </w:rPr>
              <w:t>the Environment</w:t>
            </w:r>
          </w:p>
          <w:p w:rsidR="00802406" w:rsidRDefault="001F5E0F" w:rsidP="003F0805">
            <w:pPr>
              <w:pStyle w:val="IntenseQuote"/>
              <w:rPr>
                <w:rFonts w:ascii="Arial" w:hAnsi="Arial" w:cs="Arial"/>
                <w:color w:val="007DEB" w:themeColor="background2" w:themeShade="80"/>
                <w:sz w:val="20"/>
                <w:szCs w:val="20"/>
              </w:rPr>
            </w:pPr>
            <w:hyperlink r:id="rId17" w:history="1">
              <w:r w:rsidR="00731FB3" w:rsidRPr="00640718">
                <w:rPr>
                  <w:rStyle w:val="Hyperlink"/>
                  <w:rFonts w:ascii="Arial" w:hAnsi="Arial" w:cs="Arial"/>
                  <w:color w:val="007DEB" w:themeColor="background2" w:themeShade="80"/>
                  <w:sz w:val="20"/>
                  <w:szCs w:val="20"/>
                </w:rPr>
                <w:t>www.environment.gov.au</w:t>
              </w:r>
            </w:hyperlink>
            <w:r w:rsidR="00731FB3" w:rsidRPr="00640718">
              <w:rPr>
                <w:rFonts w:ascii="Arial" w:hAnsi="Arial" w:cs="Arial"/>
                <w:color w:val="007DEB" w:themeColor="background2" w:themeShade="80"/>
                <w:sz w:val="20"/>
                <w:szCs w:val="20"/>
              </w:rPr>
              <w:t xml:space="preserve"> </w:t>
            </w:r>
          </w:p>
          <w:p w:rsidR="003F0805" w:rsidRPr="003F0805" w:rsidRDefault="003F0805" w:rsidP="003F0805">
            <w:pPr>
              <w:rPr>
                <w:lang w:val="en-US"/>
              </w:rPr>
            </w:pPr>
          </w:p>
        </w:tc>
      </w:tr>
      <w:tr w:rsidR="00B15551" w:rsidRPr="003C223B" w:rsidTr="003F0805">
        <w:trPr>
          <w:cantSplit/>
        </w:trPr>
        <w:tc>
          <w:tcPr>
            <w:tcW w:w="1746" w:type="pct"/>
            <w:tcBorders>
              <w:top w:val="single" w:sz="4" w:space="0" w:color="auto"/>
              <w:bottom w:val="single" w:sz="4" w:space="0" w:color="auto"/>
            </w:tcBorders>
          </w:tcPr>
          <w:p w:rsidR="00731FB3" w:rsidRPr="00B15551" w:rsidRDefault="00B15551" w:rsidP="00B1306B">
            <w:pPr>
              <w:pStyle w:val="NormalWeb"/>
              <w:spacing w:before="0" w:beforeAutospacing="0" w:after="0" w:afterAutospacing="0"/>
              <w:rPr>
                <w:rFonts w:ascii="Arial" w:hAnsi="Arial" w:cs="Arial"/>
                <w:b/>
                <w:sz w:val="20"/>
                <w:szCs w:val="20"/>
              </w:rPr>
            </w:pPr>
            <w:r>
              <w:rPr>
                <w:rFonts w:ascii="Arial" w:hAnsi="Arial" w:cs="Arial"/>
                <w:b/>
                <w:sz w:val="20"/>
                <w:szCs w:val="20"/>
              </w:rPr>
              <w:t>Australian Capital Territory</w:t>
            </w:r>
          </w:p>
        </w:tc>
        <w:tc>
          <w:tcPr>
            <w:tcW w:w="3254" w:type="pct"/>
            <w:tcBorders>
              <w:top w:val="single" w:sz="4" w:space="0" w:color="auto"/>
              <w:bottom w:val="single" w:sz="4" w:space="0" w:color="auto"/>
            </w:tcBorders>
          </w:tcPr>
          <w:p w:rsidR="00731FB3" w:rsidRPr="00C410FB" w:rsidRDefault="00E92D3D"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 xml:space="preserve">Environment and Sustainable Development Directorate </w:t>
            </w:r>
            <w:r w:rsidR="00731FB3" w:rsidRPr="00C410FB">
              <w:rPr>
                <w:rFonts w:ascii="Arial" w:hAnsi="Arial" w:cs="Arial"/>
                <w:sz w:val="20"/>
                <w:szCs w:val="20"/>
              </w:rPr>
              <w:br/>
            </w:r>
            <w:hyperlink r:id="rId18" w:history="1">
              <w:r w:rsidR="00731FB3" w:rsidRPr="00640718">
                <w:rPr>
                  <w:rStyle w:val="IntenseQuoteChar"/>
                  <w:rFonts w:ascii="Arial" w:hAnsi="Arial" w:cs="Arial"/>
                  <w:color w:val="007DEB" w:themeColor="background2" w:themeShade="80"/>
                  <w:sz w:val="20"/>
                  <w:szCs w:val="20"/>
                </w:rPr>
                <w:t>www.environment.act.gov.au</w:t>
              </w:r>
            </w:hyperlink>
            <w:r w:rsidR="00731FB3" w:rsidRPr="00C410FB">
              <w:rPr>
                <w:rFonts w:ascii="Arial" w:hAnsi="Arial" w:cs="Arial"/>
                <w:sz w:val="20"/>
                <w:szCs w:val="20"/>
              </w:rPr>
              <w:t xml:space="preserve"> </w:t>
            </w:r>
          </w:p>
          <w:p w:rsidR="00E92D3D" w:rsidRPr="00C410FB" w:rsidRDefault="00E92D3D"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Territory and Municipal Services</w:t>
            </w:r>
          </w:p>
          <w:p w:rsidR="00E92D3D" w:rsidRDefault="001F5E0F" w:rsidP="00B1306B">
            <w:pPr>
              <w:pStyle w:val="NormalWeb"/>
              <w:spacing w:before="0" w:beforeAutospacing="0" w:after="0" w:afterAutospacing="0"/>
              <w:rPr>
                <w:rFonts w:ascii="Arial" w:hAnsi="Arial" w:cs="Arial"/>
                <w:color w:val="007DEB" w:themeColor="background2" w:themeShade="80"/>
                <w:sz w:val="20"/>
                <w:szCs w:val="20"/>
              </w:rPr>
            </w:pPr>
            <w:hyperlink r:id="rId19" w:history="1">
              <w:r w:rsidR="00E92D3D" w:rsidRPr="00640718">
                <w:rPr>
                  <w:rStyle w:val="Hyperlink"/>
                  <w:rFonts w:ascii="Arial" w:hAnsi="Arial" w:cs="Arial"/>
                  <w:color w:val="007DEB" w:themeColor="background2" w:themeShade="80"/>
                  <w:sz w:val="20"/>
                  <w:szCs w:val="20"/>
                </w:rPr>
                <w:t>www.tams.act.gov.au</w:t>
              </w:r>
            </w:hyperlink>
            <w:r w:rsidR="00E92D3D" w:rsidRPr="00640718">
              <w:rPr>
                <w:rFonts w:ascii="Arial" w:hAnsi="Arial" w:cs="Arial"/>
                <w:color w:val="007DEB" w:themeColor="background2" w:themeShade="80"/>
                <w:sz w:val="20"/>
                <w:szCs w:val="20"/>
              </w:rPr>
              <w:t xml:space="preserve"> </w:t>
            </w:r>
          </w:p>
          <w:p w:rsidR="003F0805" w:rsidRPr="00640718" w:rsidRDefault="003F0805" w:rsidP="00B1306B">
            <w:pPr>
              <w:pStyle w:val="NormalWeb"/>
              <w:spacing w:before="0" w:beforeAutospacing="0" w:after="0" w:afterAutospacing="0"/>
              <w:rPr>
                <w:rFonts w:ascii="Arial" w:hAnsi="Arial" w:cs="Arial"/>
                <w:color w:val="007DEB" w:themeColor="background2" w:themeShade="80"/>
                <w:sz w:val="20"/>
                <w:szCs w:val="20"/>
              </w:rPr>
            </w:pPr>
          </w:p>
        </w:tc>
      </w:tr>
      <w:tr w:rsidR="00B15551" w:rsidRPr="003C223B" w:rsidTr="003F0805">
        <w:trPr>
          <w:cantSplit/>
        </w:trPr>
        <w:tc>
          <w:tcPr>
            <w:tcW w:w="1746" w:type="pct"/>
            <w:tcBorders>
              <w:top w:val="nil"/>
              <w:bottom w:val="single" w:sz="4" w:space="0" w:color="auto"/>
            </w:tcBorders>
          </w:tcPr>
          <w:p w:rsidR="00731FB3" w:rsidRPr="00B15551" w:rsidRDefault="003F0805" w:rsidP="00B1306B">
            <w:pPr>
              <w:pStyle w:val="NormalWeb"/>
              <w:spacing w:before="0" w:beforeAutospacing="0" w:after="0" w:afterAutospacing="0"/>
              <w:rPr>
                <w:rFonts w:ascii="Arial" w:hAnsi="Arial" w:cs="Arial"/>
                <w:b/>
                <w:sz w:val="20"/>
                <w:szCs w:val="20"/>
              </w:rPr>
            </w:pPr>
            <w:r>
              <w:rPr>
                <w:rFonts w:ascii="Arial" w:hAnsi="Arial" w:cs="Arial"/>
                <w:b/>
                <w:sz w:val="20"/>
                <w:szCs w:val="20"/>
              </w:rPr>
              <w:t>New South Wales</w:t>
            </w:r>
          </w:p>
        </w:tc>
        <w:tc>
          <w:tcPr>
            <w:tcW w:w="3254" w:type="pct"/>
            <w:tcBorders>
              <w:top w:val="nil"/>
              <w:bottom w:val="single" w:sz="4" w:space="0" w:color="auto"/>
            </w:tcBorders>
          </w:tcPr>
          <w:p w:rsidR="003F0805" w:rsidRDefault="003F0805"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Office of Environment &amp; Heritage</w:t>
            </w:r>
            <w:r w:rsidRPr="00C410FB">
              <w:rPr>
                <w:rFonts w:ascii="Arial" w:hAnsi="Arial" w:cs="Arial"/>
                <w:sz w:val="20"/>
                <w:szCs w:val="20"/>
              </w:rPr>
              <w:br/>
            </w:r>
            <w:hyperlink r:id="rId20" w:history="1">
              <w:r w:rsidRPr="00640718">
                <w:rPr>
                  <w:rStyle w:val="IntenseQuoteChar"/>
                  <w:rFonts w:ascii="Arial" w:hAnsi="Arial" w:cs="Arial"/>
                  <w:color w:val="007DEB" w:themeColor="background2" w:themeShade="80"/>
                  <w:sz w:val="20"/>
                  <w:szCs w:val="20"/>
                </w:rPr>
                <w:t>www.environment.nsw.gov.au</w:t>
              </w:r>
            </w:hyperlink>
          </w:p>
          <w:p w:rsidR="00731FB3" w:rsidRPr="00C410FB"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Department of Planning and Infrastructure</w:t>
            </w:r>
            <w:r w:rsidRPr="00C410FB">
              <w:rPr>
                <w:rFonts w:ascii="Arial" w:hAnsi="Arial" w:cs="Arial"/>
                <w:sz w:val="20"/>
                <w:szCs w:val="20"/>
              </w:rPr>
              <w:br/>
            </w:r>
            <w:hyperlink r:id="rId21" w:history="1">
              <w:r w:rsidRPr="00640718">
                <w:rPr>
                  <w:rStyle w:val="IntenseQuoteChar"/>
                  <w:rFonts w:ascii="Arial" w:hAnsi="Arial" w:cs="Arial"/>
                  <w:color w:val="007DEB" w:themeColor="background2" w:themeShade="80"/>
                  <w:sz w:val="20"/>
                  <w:szCs w:val="20"/>
                </w:rPr>
                <w:t>www.planning.nsw.gov.au</w:t>
              </w:r>
            </w:hyperlink>
            <w:r w:rsidRPr="00C410FB">
              <w:rPr>
                <w:rFonts w:ascii="Arial" w:hAnsi="Arial" w:cs="Arial"/>
                <w:sz w:val="20"/>
                <w:szCs w:val="20"/>
              </w:rPr>
              <w:t xml:space="preserve"> </w:t>
            </w:r>
          </w:p>
          <w:p w:rsidR="00AF73E0" w:rsidRPr="00C410FB" w:rsidRDefault="00AF73E0"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Environment Protection Au</w:t>
            </w:r>
            <w:r w:rsidR="00E92D3D" w:rsidRPr="00C410FB">
              <w:rPr>
                <w:rFonts w:ascii="Arial" w:hAnsi="Arial" w:cs="Arial"/>
                <w:sz w:val="20"/>
                <w:szCs w:val="20"/>
              </w:rPr>
              <w:t>thority</w:t>
            </w:r>
          </w:p>
          <w:p w:rsidR="00AF73E0" w:rsidRDefault="001F5E0F" w:rsidP="00B1306B">
            <w:pPr>
              <w:pStyle w:val="NormalWeb"/>
              <w:spacing w:before="0" w:beforeAutospacing="0" w:after="0" w:afterAutospacing="0"/>
              <w:rPr>
                <w:rFonts w:ascii="Arial" w:hAnsi="Arial" w:cs="Arial"/>
                <w:color w:val="007DEB" w:themeColor="background2" w:themeShade="80"/>
                <w:sz w:val="20"/>
                <w:szCs w:val="20"/>
              </w:rPr>
            </w:pPr>
            <w:hyperlink r:id="rId22" w:history="1">
              <w:r w:rsidR="00AF73E0" w:rsidRPr="00640718">
                <w:rPr>
                  <w:rStyle w:val="Hyperlink"/>
                  <w:rFonts w:ascii="Arial" w:hAnsi="Arial" w:cs="Arial"/>
                  <w:color w:val="007DEB" w:themeColor="background2" w:themeShade="80"/>
                  <w:sz w:val="20"/>
                  <w:szCs w:val="20"/>
                </w:rPr>
                <w:t>www.environment.nsw.gov.au/epa/</w:t>
              </w:r>
            </w:hyperlink>
            <w:r w:rsidR="00AF73E0" w:rsidRPr="00640718">
              <w:rPr>
                <w:rFonts w:ascii="Arial" w:hAnsi="Arial" w:cs="Arial"/>
                <w:color w:val="007DEB" w:themeColor="background2" w:themeShade="80"/>
                <w:sz w:val="20"/>
                <w:szCs w:val="20"/>
              </w:rPr>
              <w:t xml:space="preserve"> </w:t>
            </w:r>
          </w:p>
          <w:p w:rsidR="003F0805" w:rsidRPr="00640718" w:rsidRDefault="003F0805" w:rsidP="00B1306B">
            <w:pPr>
              <w:pStyle w:val="NormalWeb"/>
              <w:spacing w:before="0" w:beforeAutospacing="0" w:after="0" w:afterAutospacing="0"/>
              <w:rPr>
                <w:rFonts w:ascii="Arial" w:hAnsi="Arial" w:cs="Arial"/>
                <w:color w:val="007DEB" w:themeColor="background2" w:themeShade="80"/>
                <w:sz w:val="20"/>
                <w:szCs w:val="20"/>
              </w:rPr>
            </w:pPr>
          </w:p>
        </w:tc>
      </w:tr>
      <w:tr w:rsidR="00B15551" w:rsidRPr="003C223B" w:rsidTr="003F0805">
        <w:trPr>
          <w:cantSplit/>
        </w:trPr>
        <w:tc>
          <w:tcPr>
            <w:tcW w:w="1746" w:type="pct"/>
            <w:tcBorders>
              <w:top w:val="single" w:sz="4" w:space="0" w:color="auto"/>
              <w:bottom w:val="single" w:sz="4" w:space="0" w:color="auto"/>
            </w:tcBorders>
          </w:tcPr>
          <w:p w:rsidR="00731FB3" w:rsidRPr="00B15551" w:rsidRDefault="00B15551" w:rsidP="00B1306B">
            <w:pPr>
              <w:pStyle w:val="NormalWeb"/>
              <w:spacing w:before="0" w:beforeAutospacing="0" w:after="0" w:afterAutospacing="0"/>
              <w:rPr>
                <w:rFonts w:ascii="Arial" w:hAnsi="Arial" w:cs="Arial"/>
                <w:b/>
                <w:sz w:val="20"/>
                <w:szCs w:val="20"/>
              </w:rPr>
            </w:pPr>
            <w:r>
              <w:rPr>
                <w:rFonts w:ascii="Arial" w:hAnsi="Arial" w:cs="Arial"/>
                <w:b/>
                <w:sz w:val="20"/>
                <w:szCs w:val="20"/>
              </w:rPr>
              <w:t>Northern Territory</w:t>
            </w:r>
          </w:p>
        </w:tc>
        <w:tc>
          <w:tcPr>
            <w:tcW w:w="3254" w:type="pct"/>
            <w:tcBorders>
              <w:top w:val="single" w:sz="4" w:space="0" w:color="auto"/>
              <w:bottom w:val="single" w:sz="4" w:space="0" w:color="auto"/>
            </w:tcBorders>
          </w:tcPr>
          <w:p w:rsidR="00731FB3"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 xml:space="preserve">Department of </w:t>
            </w:r>
            <w:r w:rsidR="00AF73E0" w:rsidRPr="00C410FB">
              <w:rPr>
                <w:rFonts w:ascii="Arial" w:hAnsi="Arial" w:cs="Arial"/>
                <w:sz w:val="20"/>
                <w:szCs w:val="20"/>
              </w:rPr>
              <w:t>Lands, Planning and Environment</w:t>
            </w:r>
            <w:r w:rsidRPr="00C410FB">
              <w:rPr>
                <w:rFonts w:ascii="Arial" w:hAnsi="Arial" w:cs="Arial"/>
                <w:sz w:val="20"/>
                <w:szCs w:val="20"/>
              </w:rPr>
              <w:br/>
            </w:r>
            <w:hyperlink r:id="rId23" w:history="1">
              <w:r w:rsidR="00AF73E0" w:rsidRPr="00640718">
                <w:rPr>
                  <w:rStyle w:val="Hyperlink"/>
                  <w:rFonts w:ascii="Arial" w:hAnsi="Arial" w:cs="Arial"/>
                  <w:color w:val="007DEB" w:themeColor="background2" w:themeShade="80"/>
                  <w:sz w:val="20"/>
                  <w:szCs w:val="20"/>
                </w:rPr>
                <w:t>www.ntepa.nt.gov.au</w:t>
              </w:r>
            </w:hyperlink>
            <w:r w:rsidR="00AF73E0" w:rsidRPr="00C410FB">
              <w:rPr>
                <w:rFonts w:ascii="Arial" w:hAnsi="Arial" w:cs="Arial"/>
                <w:sz w:val="20"/>
                <w:szCs w:val="20"/>
              </w:rPr>
              <w:t xml:space="preserve"> </w:t>
            </w:r>
          </w:p>
          <w:p w:rsidR="003F0805" w:rsidRPr="00C410FB" w:rsidRDefault="003F0805" w:rsidP="00B1306B">
            <w:pPr>
              <w:pStyle w:val="NormalWeb"/>
              <w:spacing w:before="0" w:beforeAutospacing="0" w:after="0" w:afterAutospacing="0"/>
              <w:rPr>
                <w:rFonts w:ascii="Arial" w:hAnsi="Arial" w:cs="Arial"/>
                <w:sz w:val="20"/>
                <w:szCs w:val="20"/>
              </w:rPr>
            </w:pPr>
          </w:p>
        </w:tc>
      </w:tr>
      <w:tr w:rsidR="00B15551" w:rsidRPr="003C223B" w:rsidTr="003F0805">
        <w:trPr>
          <w:cantSplit/>
        </w:trPr>
        <w:tc>
          <w:tcPr>
            <w:tcW w:w="1746" w:type="pct"/>
            <w:tcBorders>
              <w:top w:val="single" w:sz="4" w:space="0" w:color="auto"/>
              <w:bottom w:val="single" w:sz="4" w:space="0" w:color="auto"/>
            </w:tcBorders>
          </w:tcPr>
          <w:p w:rsidR="00731FB3" w:rsidRPr="00B15551" w:rsidRDefault="00B15551" w:rsidP="00B1306B">
            <w:pPr>
              <w:pStyle w:val="NormalWeb"/>
              <w:spacing w:before="0" w:beforeAutospacing="0" w:after="0" w:afterAutospacing="0"/>
              <w:rPr>
                <w:rFonts w:ascii="Arial" w:hAnsi="Arial" w:cs="Arial"/>
                <w:b/>
                <w:sz w:val="20"/>
                <w:szCs w:val="20"/>
              </w:rPr>
            </w:pPr>
            <w:r>
              <w:rPr>
                <w:rFonts w:ascii="Arial" w:hAnsi="Arial" w:cs="Arial"/>
                <w:b/>
                <w:sz w:val="20"/>
                <w:szCs w:val="20"/>
              </w:rPr>
              <w:t>Queensland</w:t>
            </w:r>
          </w:p>
        </w:tc>
        <w:tc>
          <w:tcPr>
            <w:tcW w:w="3254" w:type="pct"/>
            <w:tcBorders>
              <w:top w:val="single" w:sz="4" w:space="0" w:color="auto"/>
              <w:bottom w:val="single" w:sz="4" w:space="0" w:color="auto"/>
            </w:tcBorders>
          </w:tcPr>
          <w:p w:rsidR="00731FB3"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 xml:space="preserve">Department of Environment and </w:t>
            </w:r>
            <w:r w:rsidR="004B3517" w:rsidRPr="00C410FB">
              <w:rPr>
                <w:rFonts w:ascii="Arial" w:hAnsi="Arial" w:cs="Arial"/>
                <w:sz w:val="20"/>
                <w:szCs w:val="20"/>
              </w:rPr>
              <w:t>Heritage Protection</w:t>
            </w:r>
            <w:r w:rsidRPr="00C410FB">
              <w:rPr>
                <w:rFonts w:ascii="Arial" w:hAnsi="Arial" w:cs="Arial"/>
                <w:sz w:val="20"/>
                <w:szCs w:val="20"/>
              </w:rPr>
              <w:br/>
            </w:r>
            <w:hyperlink r:id="rId24" w:history="1">
              <w:r w:rsidR="004B3517" w:rsidRPr="00640718">
                <w:rPr>
                  <w:rStyle w:val="Hyperlink"/>
                  <w:rFonts w:ascii="Arial" w:hAnsi="Arial" w:cs="Arial"/>
                  <w:color w:val="007DEB" w:themeColor="background2" w:themeShade="80"/>
                  <w:sz w:val="20"/>
                  <w:szCs w:val="20"/>
                </w:rPr>
                <w:t>www.ehp.qld.gov.au</w:t>
              </w:r>
            </w:hyperlink>
            <w:r w:rsidR="00D84088">
              <w:rPr>
                <w:rFonts w:ascii="Arial" w:hAnsi="Arial" w:cs="Arial"/>
                <w:sz w:val="20"/>
                <w:szCs w:val="20"/>
              </w:rPr>
              <w:t xml:space="preserve"> </w:t>
            </w:r>
          </w:p>
          <w:p w:rsidR="003F0805" w:rsidRPr="00C410FB" w:rsidRDefault="003F0805" w:rsidP="00B1306B">
            <w:pPr>
              <w:pStyle w:val="NormalWeb"/>
              <w:spacing w:before="0" w:beforeAutospacing="0" w:after="0" w:afterAutospacing="0"/>
              <w:rPr>
                <w:rFonts w:ascii="Arial" w:hAnsi="Arial" w:cs="Arial"/>
                <w:sz w:val="20"/>
                <w:szCs w:val="20"/>
              </w:rPr>
            </w:pPr>
          </w:p>
        </w:tc>
      </w:tr>
      <w:tr w:rsidR="00B15551" w:rsidRPr="003C223B" w:rsidTr="003F0805">
        <w:trPr>
          <w:cantSplit/>
        </w:trPr>
        <w:tc>
          <w:tcPr>
            <w:tcW w:w="1746" w:type="pct"/>
            <w:tcBorders>
              <w:top w:val="single" w:sz="4" w:space="0" w:color="auto"/>
              <w:bottom w:val="single" w:sz="4" w:space="0" w:color="auto"/>
            </w:tcBorders>
          </w:tcPr>
          <w:p w:rsidR="00731FB3" w:rsidRPr="00B15551" w:rsidRDefault="003F0805" w:rsidP="00B1306B">
            <w:pPr>
              <w:pStyle w:val="NormalWeb"/>
              <w:spacing w:before="0" w:beforeAutospacing="0" w:after="0" w:afterAutospacing="0"/>
              <w:rPr>
                <w:rFonts w:ascii="Arial" w:hAnsi="Arial" w:cs="Arial"/>
                <w:b/>
                <w:sz w:val="20"/>
                <w:szCs w:val="20"/>
              </w:rPr>
            </w:pPr>
            <w:r w:rsidRPr="00B15551">
              <w:rPr>
                <w:rFonts w:ascii="Arial" w:hAnsi="Arial" w:cs="Arial"/>
                <w:b/>
                <w:sz w:val="20"/>
                <w:szCs w:val="20"/>
              </w:rPr>
              <w:t>S</w:t>
            </w:r>
            <w:r>
              <w:rPr>
                <w:rFonts w:ascii="Arial" w:hAnsi="Arial" w:cs="Arial"/>
                <w:b/>
                <w:sz w:val="20"/>
                <w:szCs w:val="20"/>
              </w:rPr>
              <w:t>outh Australia</w:t>
            </w:r>
          </w:p>
        </w:tc>
        <w:tc>
          <w:tcPr>
            <w:tcW w:w="3254" w:type="pct"/>
            <w:tcBorders>
              <w:top w:val="single" w:sz="4" w:space="0" w:color="auto"/>
              <w:bottom w:val="single" w:sz="4" w:space="0" w:color="auto"/>
            </w:tcBorders>
          </w:tcPr>
          <w:p w:rsidR="003F0805" w:rsidRDefault="003F0805"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Department of Environment, Water and Natural Resources</w:t>
            </w:r>
            <w:r w:rsidRPr="00C410FB">
              <w:rPr>
                <w:rFonts w:ascii="Arial" w:hAnsi="Arial" w:cs="Arial"/>
                <w:sz w:val="20"/>
                <w:szCs w:val="20"/>
              </w:rPr>
              <w:br/>
            </w:r>
            <w:hyperlink r:id="rId25" w:history="1">
              <w:r w:rsidRPr="00640718">
                <w:rPr>
                  <w:rStyle w:val="IntenseQuoteChar"/>
                  <w:rFonts w:ascii="Arial" w:hAnsi="Arial" w:cs="Arial"/>
                  <w:color w:val="007DEB" w:themeColor="background2" w:themeShade="80"/>
                  <w:sz w:val="20"/>
                  <w:szCs w:val="20"/>
                </w:rPr>
                <w:t>www.environment.sa.gov.au</w:t>
              </w:r>
            </w:hyperlink>
          </w:p>
          <w:p w:rsidR="00731FB3" w:rsidRPr="00C410FB"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Environment Protection Authority</w:t>
            </w:r>
            <w:r w:rsidRPr="00C410FB">
              <w:rPr>
                <w:rFonts w:ascii="Arial" w:hAnsi="Arial" w:cs="Arial"/>
                <w:sz w:val="20"/>
                <w:szCs w:val="20"/>
              </w:rPr>
              <w:br/>
            </w:r>
            <w:hyperlink r:id="rId26" w:history="1">
              <w:r w:rsidRPr="00640718">
                <w:rPr>
                  <w:rStyle w:val="IntenseQuoteChar"/>
                  <w:rFonts w:ascii="Arial" w:hAnsi="Arial" w:cs="Arial"/>
                  <w:color w:val="007DEB" w:themeColor="background2" w:themeShade="80"/>
                  <w:sz w:val="20"/>
                  <w:szCs w:val="20"/>
                </w:rPr>
                <w:t>www.epa.sa.gov.au</w:t>
              </w:r>
            </w:hyperlink>
            <w:r w:rsidRPr="00C410FB">
              <w:rPr>
                <w:rFonts w:ascii="Arial" w:hAnsi="Arial" w:cs="Arial"/>
                <w:sz w:val="20"/>
                <w:szCs w:val="20"/>
              </w:rPr>
              <w:t xml:space="preserve"> </w:t>
            </w:r>
          </w:p>
          <w:p w:rsidR="00731FB3" w:rsidRPr="00C410FB"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Zero Waste SA</w:t>
            </w:r>
          </w:p>
          <w:p w:rsidR="00731FB3" w:rsidRDefault="001F5E0F" w:rsidP="00B1306B">
            <w:pPr>
              <w:pStyle w:val="IntenseQuote"/>
              <w:rPr>
                <w:rFonts w:ascii="Arial" w:hAnsi="Arial" w:cs="Arial"/>
                <w:color w:val="007DEB" w:themeColor="background2" w:themeShade="80"/>
                <w:sz w:val="20"/>
                <w:szCs w:val="20"/>
              </w:rPr>
            </w:pPr>
            <w:hyperlink r:id="rId27" w:history="1">
              <w:r w:rsidR="00731FB3" w:rsidRPr="00640718">
                <w:rPr>
                  <w:rStyle w:val="Hyperlink"/>
                  <w:rFonts w:ascii="Arial" w:hAnsi="Arial" w:cs="Arial"/>
                  <w:color w:val="007DEB" w:themeColor="background2" w:themeShade="80"/>
                  <w:sz w:val="20"/>
                  <w:szCs w:val="20"/>
                </w:rPr>
                <w:t>www.zerowaste.sa.gov.au</w:t>
              </w:r>
            </w:hyperlink>
            <w:r w:rsidR="00731FB3" w:rsidRPr="00640718">
              <w:rPr>
                <w:rFonts w:ascii="Arial" w:hAnsi="Arial" w:cs="Arial"/>
                <w:color w:val="007DEB" w:themeColor="background2" w:themeShade="80"/>
                <w:sz w:val="20"/>
                <w:szCs w:val="20"/>
              </w:rPr>
              <w:t xml:space="preserve"> </w:t>
            </w:r>
          </w:p>
          <w:p w:rsidR="003F0805" w:rsidRPr="003F0805" w:rsidRDefault="003F0805" w:rsidP="003F0805">
            <w:pPr>
              <w:rPr>
                <w:lang w:val="en-US"/>
              </w:rPr>
            </w:pPr>
          </w:p>
        </w:tc>
      </w:tr>
      <w:tr w:rsidR="00B15551" w:rsidRPr="003C223B" w:rsidTr="003F0805">
        <w:trPr>
          <w:cantSplit/>
        </w:trPr>
        <w:tc>
          <w:tcPr>
            <w:tcW w:w="1746" w:type="pct"/>
            <w:tcBorders>
              <w:top w:val="nil"/>
              <w:bottom w:val="single" w:sz="4" w:space="0" w:color="auto"/>
            </w:tcBorders>
          </w:tcPr>
          <w:p w:rsidR="00731FB3" w:rsidRPr="00B15551" w:rsidRDefault="003F0805" w:rsidP="00B1306B">
            <w:pPr>
              <w:pStyle w:val="NormalWeb"/>
              <w:spacing w:before="0" w:beforeAutospacing="0" w:after="0" w:afterAutospacing="0"/>
              <w:rPr>
                <w:rFonts w:ascii="Arial" w:hAnsi="Arial" w:cs="Arial"/>
                <w:b/>
                <w:sz w:val="20"/>
                <w:szCs w:val="20"/>
              </w:rPr>
            </w:pPr>
            <w:r w:rsidRPr="00B15551">
              <w:rPr>
                <w:rFonts w:ascii="Arial" w:hAnsi="Arial" w:cs="Arial"/>
                <w:b/>
                <w:sz w:val="20"/>
                <w:szCs w:val="20"/>
              </w:rPr>
              <w:t>Tas</w:t>
            </w:r>
            <w:r>
              <w:rPr>
                <w:rFonts w:ascii="Arial" w:hAnsi="Arial" w:cs="Arial"/>
                <w:b/>
                <w:sz w:val="20"/>
                <w:szCs w:val="20"/>
              </w:rPr>
              <w:t>mania</w:t>
            </w:r>
          </w:p>
        </w:tc>
        <w:tc>
          <w:tcPr>
            <w:tcW w:w="3254" w:type="pct"/>
            <w:tcBorders>
              <w:top w:val="nil"/>
              <w:bottom w:val="single" w:sz="4" w:space="0" w:color="auto"/>
            </w:tcBorders>
          </w:tcPr>
          <w:p w:rsidR="003F0805" w:rsidRDefault="003F0805"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Department of Primary Industries, Parks, Water and Environment</w:t>
            </w:r>
            <w:r w:rsidRPr="00C410FB">
              <w:rPr>
                <w:rFonts w:ascii="Arial" w:hAnsi="Arial" w:cs="Arial"/>
                <w:sz w:val="20"/>
                <w:szCs w:val="20"/>
              </w:rPr>
              <w:br/>
            </w:r>
            <w:hyperlink r:id="rId28" w:history="1">
              <w:r w:rsidRPr="00640718">
                <w:rPr>
                  <w:rStyle w:val="IntenseQuoteChar"/>
                  <w:rFonts w:ascii="Arial" w:hAnsi="Arial" w:cs="Arial"/>
                  <w:color w:val="007DEB" w:themeColor="background2" w:themeShade="80"/>
                  <w:sz w:val="20"/>
                  <w:szCs w:val="20"/>
                </w:rPr>
                <w:t>www.dpipwe.tas.gov.au</w:t>
              </w:r>
            </w:hyperlink>
          </w:p>
          <w:p w:rsidR="00731FB3"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E</w:t>
            </w:r>
            <w:r w:rsidR="008A49F5" w:rsidRPr="00C410FB">
              <w:rPr>
                <w:rFonts w:ascii="Arial" w:hAnsi="Arial" w:cs="Arial"/>
                <w:sz w:val="20"/>
                <w:szCs w:val="20"/>
              </w:rPr>
              <w:t>nvironment Protection Authority</w:t>
            </w:r>
            <w:r w:rsidRPr="00C410FB">
              <w:rPr>
                <w:rFonts w:ascii="Arial" w:hAnsi="Arial" w:cs="Arial"/>
                <w:sz w:val="20"/>
                <w:szCs w:val="20"/>
              </w:rPr>
              <w:br/>
            </w:r>
            <w:hyperlink r:id="rId29" w:history="1">
              <w:r w:rsidRPr="00640718">
                <w:rPr>
                  <w:rStyle w:val="IntenseQuoteChar"/>
                  <w:rFonts w:ascii="Arial" w:hAnsi="Arial" w:cs="Arial"/>
                  <w:color w:val="007DEB" w:themeColor="background2" w:themeShade="80"/>
                  <w:sz w:val="20"/>
                  <w:szCs w:val="20"/>
                </w:rPr>
                <w:t>www.epa.tas.gov.au</w:t>
              </w:r>
            </w:hyperlink>
            <w:r w:rsidRPr="00C410FB">
              <w:rPr>
                <w:rFonts w:ascii="Arial" w:hAnsi="Arial" w:cs="Arial"/>
                <w:sz w:val="20"/>
                <w:szCs w:val="20"/>
              </w:rPr>
              <w:t xml:space="preserve"> </w:t>
            </w:r>
          </w:p>
          <w:p w:rsidR="003F0805" w:rsidRPr="00C410FB" w:rsidRDefault="003F0805" w:rsidP="00B1306B">
            <w:pPr>
              <w:pStyle w:val="NormalWeb"/>
              <w:spacing w:before="0" w:beforeAutospacing="0" w:after="0" w:afterAutospacing="0"/>
              <w:rPr>
                <w:rFonts w:ascii="Arial" w:hAnsi="Arial" w:cs="Arial"/>
                <w:sz w:val="20"/>
                <w:szCs w:val="20"/>
              </w:rPr>
            </w:pPr>
          </w:p>
        </w:tc>
      </w:tr>
      <w:tr w:rsidR="00B15551" w:rsidRPr="003C223B" w:rsidTr="003F0805">
        <w:trPr>
          <w:cantSplit/>
        </w:trPr>
        <w:tc>
          <w:tcPr>
            <w:tcW w:w="1746" w:type="pct"/>
            <w:tcBorders>
              <w:top w:val="nil"/>
              <w:bottom w:val="single" w:sz="4" w:space="0" w:color="auto"/>
            </w:tcBorders>
          </w:tcPr>
          <w:p w:rsidR="00731FB3" w:rsidRPr="00B15551" w:rsidRDefault="003F0805" w:rsidP="00B1306B">
            <w:pPr>
              <w:pStyle w:val="NormalWeb"/>
              <w:spacing w:before="0" w:beforeAutospacing="0" w:after="0" w:afterAutospacing="0"/>
              <w:rPr>
                <w:rFonts w:ascii="Arial" w:hAnsi="Arial" w:cs="Arial"/>
                <w:b/>
                <w:sz w:val="20"/>
                <w:szCs w:val="20"/>
              </w:rPr>
            </w:pPr>
            <w:r w:rsidRPr="00B15551">
              <w:rPr>
                <w:rFonts w:ascii="Arial" w:hAnsi="Arial" w:cs="Arial"/>
                <w:b/>
                <w:sz w:val="20"/>
                <w:szCs w:val="20"/>
              </w:rPr>
              <w:t>Vic</w:t>
            </w:r>
            <w:r>
              <w:rPr>
                <w:rFonts w:ascii="Arial" w:hAnsi="Arial" w:cs="Arial"/>
                <w:b/>
                <w:sz w:val="20"/>
                <w:szCs w:val="20"/>
              </w:rPr>
              <w:t>toria</w:t>
            </w:r>
          </w:p>
        </w:tc>
        <w:tc>
          <w:tcPr>
            <w:tcW w:w="3254" w:type="pct"/>
            <w:tcBorders>
              <w:top w:val="nil"/>
              <w:bottom w:val="single" w:sz="4" w:space="0" w:color="auto"/>
            </w:tcBorders>
          </w:tcPr>
          <w:p w:rsidR="003F0805" w:rsidRDefault="003F0805" w:rsidP="00B1306B">
            <w:pPr>
              <w:rPr>
                <w:rFonts w:cs="Arial"/>
                <w:sz w:val="20"/>
                <w:szCs w:val="20"/>
              </w:rPr>
            </w:pPr>
            <w:r w:rsidRPr="00C410FB">
              <w:rPr>
                <w:rFonts w:cs="Arial"/>
                <w:sz w:val="20"/>
                <w:szCs w:val="20"/>
              </w:rPr>
              <w:t>Department of Sustainability and Environment</w:t>
            </w:r>
            <w:r w:rsidRPr="00C410FB">
              <w:rPr>
                <w:rFonts w:cs="Arial"/>
                <w:sz w:val="20"/>
                <w:szCs w:val="20"/>
              </w:rPr>
              <w:br/>
            </w:r>
            <w:hyperlink r:id="rId30" w:history="1">
              <w:r w:rsidRPr="00640718">
                <w:rPr>
                  <w:rStyle w:val="IntenseQuoteChar"/>
                  <w:rFonts w:ascii="Arial" w:eastAsia="Calibri" w:hAnsi="Arial" w:cs="Arial"/>
                  <w:color w:val="007DEB" w:themeColor="background2" w:themeShade="80"/>
                  <w:sz w:val="20"/>
                  <w:szCs w:val="20"/>
                </w:rPr>
                <w:t>www.dse.vic.gov.au</w:t>
              </w:r>
            </w:hyperlink>
          </w:p>
          <w:p w:rsidR="008A49F5" w:rsidRPr="00C410FB" w:rsidRDefault="00731FB3" w:rsidP="00B1306B">
            <w:pPr>
              <w:rPr>
                <w:rFonts w:cs="Arial"/>
                <w:sz w:val="20"/>
                <w:szCs w:val="20"/>
              </w:rPr>
            </w:pPr>
            <w:r w:rsidRPr="00C410FB">
              <w:rPr>
                <w:rFonts w:cs="Arial"/>
                <w:sz w:val="20"/>
                <w:szCs w:val="20"/>
              </w:rPr>
              <w:t xml:space="preserve">Environment Protection Authority </w:t>
            </w:r>
          </w:p>
          <w:p w:rsidR="00731FB3" w:rsidRPr="00640718" w:rsidRDefault="001F5E0F" w:rsidP="00B1306B">
            <w:pPr>
              <w:rPr>
                <w:rFonts w:cs="Arial"/>
                <w:color w:val="007DEB" w:themeColor="background2" w:themeShade="80"/>
                <w:sz w:val="20"/>
                <w:szCs w:val="20"/>
              </w:rPr>
            </w:pPr>
            <w:hyperlink r:id="rId31" w:history="1">
              <w:r w:rsidR="00731FB3" w:rsidRPr="00640718">
                <w:rPr>
                  <w:rStyle w:val="Hyperlink"/>
                  <w:rFonts w:cs="Arial"/>
                  <w:color w:val="007DEB" w:themeColor="background2" w:themeShade="80"/>
                  <w:sz w:val="20"/>
                  <w:szCs w:val="20"/>
                </w:rPr>
                <w:t>www.epa.vic.gov.au</w:t>
              </w:r>
            </w:hyperlink>
            <w:r w:rsidR="00731FB3" w:rsidRPr="00640718">
              <w:rPr>
                <w:rFonts w:cs="Arial"/>
                <w:color w:val="007DEB" w:themeColor="background2" w:themeShade="80"/>
                <w:sz w:val="20"/>
                <w:szCs w:val="20"/>
              </w:rPr>
              <w:t xml:space="preserve"> </w:t>
            </w:r>
          </w:p>
          <w:p w:rsidR="008A49F5" w:rsidRPr="00C410FB" w:rsidRDefault="008A49F5" w:rsidP="00B1306B">
            <w:pPr>
              <w:rPr>
                <w:rFonts w:cs="Arial"/>
                <w:sz w:val="20"/>
                <w:szCs w:val="20"/>
              </w:rPr>
            </w:pPr>
            <w:r w:rsidRPr="00C410FB">
              <w:rPr>
                <w:rFonts w:cs="Arial"/>
                <w:sz w:val="20"/>
                <w:szCs w:val="20"/>
              </w:rPr>
              <w:t>Sustainability Victoria</w:t>
            </w:r>
          </w:p>
          <w:p w:rsidR="008A49F5" w:rsidRDefault="001F5E0F" w:rsidP="00B1306B">
            <w:pPr>
              <w:rPr>
                <w:rFonts w:cs="Arial"/>
                <w:color w:val="007DEB" w:themeColor="background2" w:themeShade="80"/>
                <w:sz w:val="20"/>
                <w:szCs w:val="20"/>
              </w:rPr>
            </w:pPr>
            <w:hyperlink r:id="rId32" w:history="1">
              <w:r w:rsidR="00C410FB" w:rsidRPr="00640718">
                <w:rPr>
                  <w:rStyle w:val="Hyperlink"/>
                  <w:rFonts w:cs="Arial"/>
                  <w:color w:val="007DEB" w:themeColor="background2" w:themeShade="80"/>
                  <w:sz w:val="20"/>
                  <w:szCs w:val="20"/>
                </w:rPr>
                <w:t>www.sustainability.vic.gov.au</w:t>
              </w:r>
            </w:hyperlink>
            <w:r w:rsidR="00C410FB" w:rsidRPr="00640718">
              <w:rPr>
                <w:rFonts w:cs="Arial"/>
                <w:color w:val="007DEB" w:themeColor="background2" w:themeShade="80"/>
                <w:sz w:val="20"/>
                <w:szCs w:val="20"/>
              </w:rPr>
              <w:t xml:space="preserve"> </w:t>
            </w:r>
          </w:p>
          <w:p w:rsidR="003F0805" w:rsidRPr="00640718" w:rsidRDefault="003F0805" w:rsidP="00B1306B">
            <w:pPr>
              <w:rPr>
                <w:rFonts w:cs="Arial"/>
                <w:color w:val="007DEB" w:themeColor="background2" w:themeShade="80"/>
                <w:sz w:val="20"/>
                <w:szCs w:val="20"/>
              </w:rPr>
            </w:pPr>
          </w:p>
        </w:tc>
      </w:tr>
      <w:tr w:rsidR="00B15551" w:rsidRPr="003C223B" w:rsidTr="003F0805">
        <w:trPr>
          <w:cantSplit/>
        </w:trPr>
        <w:tc>
          <w:tcPr>
            <w:tcW w:w="1746" w:type="pct"/>
            <w:tcBorders>
              <w:top w:val="nil"/>
              <w:bottom w:val="single" w:sz="4" w:space="0" w:color="auto"/>
            </w:tcBorders>
          </w:tcPr>
          <w:p w:rsidR="00731FB3" w:rsidRPr="00B15551" w:rsidRDefault="003F0805" w:rsidP="00B1306B">
            <w:pPr>
              <w:pStyle w:val="NormalWeb"/>
              <w:spacing w:before="0" w:beforeAutospacing="0" w:after="0" w:afterAutospacing="0"/>
              <w:rPr>
                <w:rFonts w:ascii="Arial" w:hAnsi="Arial" w:cs="Arial"/>
                <w:sz w:val="20"/>
                <w:szCs w:val="20"/>
              </w:rPr>
            </w:pPr>
            <w:r>
              <w:rPr>
                <w:rFonts w:ascii="Arial" w:hAnsi="Arial" w:cs="Arial"/>
                <w:b/>
                <w:sz w:val="20"/>
                <w:szCs w:val="20"/>
              </w:rPr>
              <w:t>Western Australia</w:t>
            </w:r>
          </w:p>
        </w:tc>
        <w:tc>
          <w:tcPr>
            <w:tcW w:w="3254" w:type="pct"/>
            <w:tcBorders>
              <w:top w:val="nil"/>
              <w:bottom w:val="single" w:sz="4" w:space="0" w:color="auto"/>
            </w:tcBorders>
          </w:tcPr>
          <w:p w:rsidR="003F0805" w:rsidRPr="00C410FB" w:rsidRDefault="003F0805" w:rsidP="003F0805">
            <w:pPr>
              <w:rPr>
                <w:rFonts w:cs="Arial"/>
                <w:sz w:val="20"/>
                <w:szCs w:val="20"/>
              </w:rPr>
            </w:pPr>
            <w:r w:rsidRPr="00C410FB">
              <w:rPr>
                <w:rFonts w:cs="Arial"/>
                <w:sz w:val="20"/>
                <w:szCs w:val="20"/>
              </w:rPr>
              <w:t>Department of Environment and Conservation</w:t>
            </w:r>
          </w:p>
          <w:p w:rsidR="003F0805" w:rsidRDefault="001F5E0F" w:rsidP="003F0805">
            <w:pPr>
              <w:rPr>
                <w:rFonts w:cs="Arial"/>
                <w:sz w:val="20"/>
                <w:szCs w:val="20"/>
              </w:rPr>
            </w:pPr>
            <w:hyperlink r:id="rId33" w:history="1">
              <w:r w:rsidR="003F0805" w:rsidRPr="00640718">
                <w:rPr>
                  <w:rStyle w:val="Hyperlink"/>
                  <w:rFonts w:cs="Arial"/>
                  <w:color w:val="007DEB" w:themeColor="background2" w:themeShade="80"/>
                  <w:sz w:val="20"/>
                  <w:szCs w:val="20"/>
                </w:rPr>
                <w:t>www.dec.wa.gov.au</w:t>
              </w:r>
            </w:hyperlink>
          </w:p>
          <w:p w:rsidR="00731FB3" w:rsidRPr="00C410FB" w:rsidRDefault="00731FB3" w:rsidP="00B1306B">
            <w:pPr>
              <w:rPr>
                <w:rFonts w:cs="Arial"/>
                <w:sz w:val="20"/>
                <w:szCs w:val="20"/>
              </w:rPr>
            </w:pPr>
            <w:r w:rsidRPr="00C410FB">
              <w:rPr>
                <w:rFonts w:cs="Arial"/>
                <w:sz w:val="20"/>
                <w:szCs w:val="20"/>
              </w:rPr>
              <w:t xml:space="preserve">Environmental Protection Authority </w:t>
            </w:r>
          </w:p>
          <w:p w:rsidR="00731FB3" w:rsidRPr="00640718" w:rsidRDefault="001F5E0F" w:rsidP="00B1306B">
            <w:pPr>
              <w:pStyle w:val="IntenseQuote"/>
              <w:rPr>
                <w:rFonts w:ascii="Arial" w:hAnsi="Arial" w:cs="Arial"/>
                <w:color w:val="007DEB" w:themeColor="background2" w:themeShade="80"/>
                <w:sz w:val="20"/>
                <w:szCs w:val="20"/>
              </w:rPr>
            </w:pPr>
            <w:hyperlink r:id="rId34" w:history="1">
              <w:r w:rsidR="00731FB3" w:rsidRPr="00640718">
                <w:rPr>
                  <w:rStyle w:val="Hyperlink"/>
                  <w:rFonts w:ascii="Arial" w:hAnsi="Arial" w:cs="Arial"/>
                  <w:color w:val="007DEB" w:themeColor="background2" w:themeShade="80"/>
                  <w:sz w:val="20"/>
                  <w:szCs w:val="20"/>
                </w:rPr>
                <w:t>www.epa.wa.gov.au</w:t>
              </w:r>
            </w:hyperlink>
            <w:r w:rsidR="00731FB3" w:rsidRPr="00640718">
              <w:rPr>
                <w:rFonts w:ascii="Arial" w:hAnsi="Arial" w:cs="Arial"/>
                <w:color w:val="007DEB" w:themeColor="background2" w:themeShade="80"/>
                <w:sz w:val="20"/>
                <w:szCs w:val="20"/>
              </w:rPr>
              <w:t xml:space="preserve"> </w:t>
            </w:r>
          </w:p>
          <w:p w:rsidR="00731FB3" w:rsidRPr="00C410FB" w:rsidRDefault="00731FB3" w:rsidP="00B1306B">
            <w:pPr>
              <w:pStyle w:val="NormalWeb"/>
              <w:spacing w:before="0" w:beforeAutospacing="0" w:after="0" w:afterAutospacing="0"/>
              <w:rPr>
                <w:rFonts w:ascii="Arial" w:hAnsi="Arial" w:cs="Arial"/>
                <w:sz w:val="20"/>
                <w:szCs w:val="20"/>
              </w:rPr>
            </w:pPr>
            <w:r w:rsidRPr="00C410FB">
              <w:rPr>
                <w:rFonts w:ascii="Arial" w:hAnsi="Arial" w:cs="Arial"/>
                <w:sz w:val="20"/>
                <w:szCs w:val="20"/>
              </w:rPr>
              <w:t>Waste Authority</w:t>
            </w:r>
          </w:p>
          <w:p w:rsidR="00731FB3" w:rsidRDefault="001F5E0F" w:rsidP="00B1306B">
            <w:pPr>
              <w:pStyle w:val="IntenseQuote"/>
              <w:rPr>
                <w:rFonts w:ascii="Arial" w:hAnsi="Arial" w:cs="Arial"/>
                <w:color w:val="007DEB" w:themeColor="background2" w:themeShade="80"/>
                <w:sz w:val="20"/>
                <w:szCs w:val="20"/>
              </w:rPr>
            </w:pPr>
            <w:hyperlink r:id="rId35" w:history="1">
              <w:r w:rsidR="00731FB3" w:rsidRPr="00640718">
                <w:rPr>
                  <w:rStyle w:val="Hyperlink"/>
                  <w:rFonts w:ascii="Arial" w:hAnsi="Arial" w:cs="Arial"/>
                  <w:color w:val="007DEB" w:themeColor="background2" w:themeShade="80"/>
                  <w:sz w:val="20"/>
                  <w:szCs w:val="20"/>
                </w:rPr>
                <w:t>www.zerowaste.wa.gov.au</w:t>
              </w:r>
            </w:hyperlink>
            <w:r w:rsidR="00731FB3" w:rsidRPr="00640718">
              <w:rPr>
                <w:rFonts w:ascii="Arial" w:hAnsi="Arial" w:cs="Arial"/>
                <w:color w:val="007DEB" w:themeColor="background2" w:themeShade="80"/>
                <w:sz w:val="20"/>
                <w:szCs w:val="20"/>
              </w:rPr>
              <w:t xml:space="preserve"> </w:t>
            </w:r>
          </w:p>
          <w:p w:rsidR="003F0805" w:rsidRPr="003F0805" w:rsidRDefault="003F0805" w:rsidP="003F0805">
            <w:pPr>
              <w:rPr>
                <w:lang w:val="en-US"/>
              </w:rPr>
            </w:pPr>
          </w:p>
        </w:tc>
      </w:tr>
    </w:tbl>
    <w:p w:rsidR="00677ACF" w:rsidRPr="00156658" w:rsidRDefault="00677ACF" w:rsidP="00B1306B">
      <w:pPr>
        <w:pStyle w:val="ListBullet"/>
      </w:pPr>
      <w:r w:rsidRPr="00156658">
        <w:br w:type="page"/>
      </w:r>
    </w:p>
    <w:p w:rsidR="00D2094B" w:rsidRPr="000C3480" w:rsidRDefault="00F535F9" w:rsidP="009E1DC7">
      <w:pPr>
        <w:pStyle w:val="Heading1"/>
        <w:numPr>
          <w:ilvl w:val="0"/>
          <w:numId w:val="0"/>
        </w:numPr>
        <w:ind w:left="360" w:hanging="360"/>
      </w:pPr>
      <w:bookmarkStart w:id="113" w:name="_Toc383092787"/>
      <w:r>
        <w:lastRenderedPageBreak/>
        <w:t xml:space="preserve">Appendix </w:t>
      </w:r>
      <w:r w:rsidR="00B24B56">
        <w:t>C</w:t>
      </w:r>
      <w:r w:rsidR="00677ACF" w:rsidRPr="000C3480">
        <w:t>: Resources</w:t>
      </w:r>
      <w:bookmarkEnd w:id="113"/>
    </w:p>
    <w:sectPr w:rsidR="00D2094B" w:rsidRPr="000C3480" w:rsidSect="00521C17">
      <w:headerReference w:type="even" r:id="rId36"/>
      <w:footerReference w:type="default" r:id="rId37"/>
      <w:footnotePr>
        <w:numFmt w:val="upperRoman"/>
      </w:footnotePr>
      <w:endnotePr>
        <w:numFmt w:val="decimal"/>
      </w:endnotePr>
      <w:pgSz w:w="11906" w:h="16838"/>
      <w:pgMar w:top="1440" w:right="1440" w:bottom="1304"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ED" w:rsidRDefault="000B37ED" w:rsidP="00A60185">
      <w:r>
        <w:separator/>
      </w:r>
    </w:p>
  </w:endnote>
  <w:endnote w:type="continuationSeparator" w:id="0">
    <w:p w:rsidR="000B37ED" w:rsidRDefault="000B37ED" w:rsidP="00A60185">
      <w:r>
        <w:continuationSeparator/>
      </w:r>
    </w:p>
  </w:endnote>
  <w:endnote w:id="1">
    <w:p w:rsidR="008E5E3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15313B">
        <w:rPr>
          <w:i/>
        </w:rPr>
        <w:endnoteRef/>
      </w:r>
      <w:r w:rsidRPr="0015313B">
        <w:rPr>
          <w:rFonts w:ascii="Arial" w:hAnsi="Arial" w:cs="Arial"/>
          <w:i/>
          <w:sz w:val="22"/>
          <w:szCs w:val="22"/>
        </w:rPr>
        <w:t xml:space="preserve"> </w:t>
      </w:r>
      <w:r w:rsidRPr="00B24B56">
        <w:rPr>
          <w:rFonts w:ascii="Arial" w:hAnsi="Arial" w:cs="Arial"/>
          <w:i/>
          <w:sz w:val="22"/>
          <w:szCs w:val="22"/>
        </w:rPr>
        <w:t xml:space="preserve">National Waste Policy - </w:t>
      </w:r>
      <w:hyperlink r:id="rId1" w:history="1">
        <w:r w:rsidRPr="00B24B56">
          <w:rPr>
            <w:rFonts w:ascii="Arial" w:hAnsi="Arial" w:cs="Arial"/>
            <w:i/>
            <w:sz w:val="22"/>
            <w:szCs w:val="22"/>
          </w:rPr>
          <w:t>http://www.environment.gov.au/topics/environment-protection/national-waste-policy</w:t>
        </w:r>
      </w:hyperlink>
    </w:p>
    <w:p w:rsidR="008E5E36" w:rsidRPr="00B24B56" w:rsidRDefault="008E5E36">
      <w:pPr>
        <w:pStyle w:val="EndnoteText"/>
        <w:rPr>
          <w:rFonts w:ascii="Arial" w:hAnsi="Arial" w:cs="Arial"/>
          <w:i/>
          <w:sz w:val="22"/>
          <w:szCs w:val="22"/>
        </w:rPr>
      </w:pPr>
    </w:p>
  </w:endnote>
  <w:endnote w:id="2">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Consultation paper on the proposed model for accreditation of voluntary product stewardship arrangements - </w:t>
      </w:r>
      <w:hyperlink r:id="rId2" w:history="1">
        <w:r w:rsidRPr="0015313B">
          <w:rPr>
            <w:rFonts w:ascii="Arial" w:hAnsi="Arial" w:cs="Arial"/>
            <w:i/>
            <w:sz w:val="22"/>
            <w:szCs w:val="22"/>
          </w:rPr>
          <w:t>http://www.environment.gov.au/settlements/waste/product-stewardship/consultation/voluntary.html</w:t>
        </w:r>
      </w:hyperlink>
    </w:p>
    <w:p w:rsidR="008E5E36" w:rsidRPr="00B24B56" w:rsidRDefault="008E5E36" w:rsidP="00B24B56">
      <w:pPr>
        <w:pStyle w:val="EndnoteText"/>
        <w:rPr>
          <w:rFonts w:ascii="Arial" w:hAnsi="Arial" w:cs="Arial"/>
          <w:i/>
          <w:sz w:val="22"/>
          <w:szCs w:val="22"/>
        </w:rPr>
      </w:pPr>
    </w:p>
  </w:endnote>
  <w:endnote w:id="3">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Product Stewardship Regulation 2012 and Product Stewardship (Voluntary Arrangements) Instrument 2012 - </w:t>
      </w:r>
      <w:r w:rsidRPr="00947B8B">
        <w:rPr>
          <w:rFonts w:ascii="Arial" w:hAnsi="Arial" w:cs="Arial"/>
          <w:i/>
          <w:sz w:val="22"/>
          <w:szCs w:val="22"/>
        </w:rPr>
        <w:t>http://www.environment.gov.au/topics/environment-protection/national-waste-policy/product-stewardship/legislation</w:t>
      </w:r>
    </w:p>
    <w:p w:rsidR="008E5E36" w:rsidRPr="00B24B56" w:rsidRDefault="008E5E36">
      <w:pPr>
        <w:pStyle w:val="EndnoteText"/>
        <w:rPr>
          <w:rFonts w:ascii="Arial" w:hAnsi="Arial" w:cs="Arial"/>
          <w:i/>
          <w:sz w:val="22"/>
          <w:szCs w:val="22"/>
        </w:rPr>
      </w:pPr>
    </w:p>
  </w:endnote>
  <w:endnote w:id="4">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Accreditation under the voluntary provision of the Product Stewardship Act 2011</w:t>
      </w:r>
      <w:r>
        <w:rPr>
          <w:rFonts w:ascii="Arial" w:hAnsi="Arial" w:cs="Arial"/>
          <w:i/>
          <w:sz w:val="22"/>
          <w:szCs w:val="22"/>
        </w:rPr>
        <w:t xml:space="preserve"> - </w:t>
      </w:r>
      <w:r w:rsidRPr="00947B8B">
        <w:rPr>
          <w:rFonts w:ascii="Arial" w:hAnsi="Arial" w:cs="Arial"/>
          <w:i/>
          <w:sz w:val="22"/>
          <w:szCs w:val="22"/>
        </w:rPr>
        <w:t>http://www.environment.gov.au/topics/environment-protection/national-waste-policy/product-stewardship</w:t>
      </w:r>
    </w:p>
    <w:p w:rsidR="008E5E36" w:rsidRPr="00B24B56" w:rsidRDefault="008E5E36">
      <w:pPr>
        <w:pStyle w:val="EndnoteText"/>
        <w:rPr>
          <w:rFonts w:ascii="Arial" w:hAnsi="Arial" w:cs="Arial"/>
          <w:i/>
          <w:sz w:val="22"/>
          <w:szCs w:val="22"/>
        </w:rPr>
      </w:pPr>
    </w:p>
  </w:endnote>
  <w:endnote w:id="5">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Australian and New Zealand Standard for collection, storage, transport and treatment of electrical and electronic waste</w:t>
      </w:r>
      <w:r>
        <w:rPr>
          <w:rFonts w:ascii="Arial" w:hAnsi="Arial" w:cs="Arial"/>
          <w:i/>
          <w:sz w:val="22"/>
          <w:szCs w:val="22"/>
        </w:rPr>
        <w:t xml:space="preserve"> – standardsaustralia.org.au</w:t>
      </w:r>
    </w:p>
    <w:p w:rsidR="008E5E36" w:rsidRPr="00B24B56" w:rsidRDefault="008E5E36">
      <w:pPr>
        <w:pStyle w:val="EndnoteText"/>
        <w:rPr>
          <w:rFonts w:ascii="Arial" w:hAnsi="Arial" w:cs="Arial"/>
          <w:i/>
          <w:sz w:val="22"/>
          <w:szCs w:val="22"/>
        </w:rPr>
      </w:pPr>
    </w:p>
  </w:endnote>
  <w:endnote w:id="6">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proofErr w:type="spellStart"/>
      <w:r w:rsidRPr="00B24B56">
        <w:rPr>
          <w:rFonts w:ascii="Arial" w:hAnsi="Arial" w:cs="Arial"/>
          <w:i/>
          <w:sz w:val="22"/>
          <w:szCs w:val="22"/>
        </w:rPr>
        <w:t>FluoroCycle</w:t>
      </w:r>
      <w:proofErr w:type="spellEnd"/>
      <w:r w:rsidRPr="00B24B56">
        <w:rPr>
          <w:rFonts w:ascii="Arial" w:hAnsi="Arial" w:cs="Arial"/>
          <w:i/>
          <w:sz w:val="22"/>
          <w:szCs w:val="22"/>
        </w:rPr>
        <w:t xml:space="preserve"> Scheme for mercury-containing lamps</w:t>
      </w:r>
      <w:r>
        <w:rPr>
          <w:rFonts w:ascii="Arial" w:hAnsi="Arial" w:cs="Arial"/>
          <w:i/>
          <w:sz w:val="22"/>
          <w:szCs w:val="22"/>
        </w:rPr>
        <w:t xml:space="preserve"> - </w:t>
      </w:r>
      <w:r w:rsidRPr="008E7620">
        <w:rPr>
          <w:rFonts w:ascii="Arial" w:hAnsi="Arial" w:cs="Arial"/>
          <w:i/>
          <w:sz w:val="22"/>
          <w:szCs w:val="22"/>
        </w:rPr>
        <w:t>http://www.fluorocycle.org.au</w:t>
      </w:r>
    </w:p>
    <w:p w:rsidR="008E5E36" w:rsidRPr="00B24B56" w:rsidRDefault="008E5E36">
      <w:pPr>
        <w:pStyle w:val="EndnoteText"/>
        <w:rPr>
          <w:rFonts w:ascii="Arial" w:hAnsi="Arial" w:cs="Arial"/>
          <w:i/>
          <w:sz w:val="22"/>
          <w:szCs w:val="22"/>
        </w:rPr>
      </w:pPr>
    </w:p>
  </w:endnote>
  <w:endnote w:id="7">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Tyre Stewardship Australia</w:t>
      </w:r>
      <w:r>
        <w:rPr>
          <w:rFonts w:ascii="Arial" w:hAnsi="Arial" w:cs="Arial"/>
          <w:i/>
          <w:sz w:val="22"/>
          <w:szCs w:val="22"/>
        </w:rPr>
        <w:t xml:space="preserve"> - </w:t>
      </w:r>
      <w:r w:rsidRPr="008E7620">
        <w:rPr>
          <w:rFonts w:ascii="Arial" w:hAnsi="Arial" w:cs="Arial"/>
          <w:i/>
          <w:sz w:val="22"/>
          <w:szCs w:val="22"/>
        </w:rPr>
        <w:t>http://tyrestewardship.org.au</w:t>
      </w:r>
    </w:p>
    <w:p w:rsidR="008E5E36" w:rsidRPr="00B24B56" w:rsidRDefault="008E5E36">
      <w:pPr>
        <w:pStyle w:val="EndnoteText"/>
        <w:rPr>
          <w:rFonts w:ascii="Arial" w:hAnsi="Arial" w:cs="Arial"/>
          <w:i/>
          <w:sz w:val="22"/>
          <w:szCs w:val="22"/>
        </w:rPr>
      </w:pPr>
    </w:p>
  </w:endnote>
  <w:endnote w:id="8">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Sustainable Procurement Guide</w:t>
      </w:r>
      <w:r>
        <w:rPr>
          <w:rFonts w:ascii="Arial" w:hAnsi="Arial" w:cs="Arial"/>
          <w:i/>
          <w:sz w:val="22"/>
          <w:szCs w:val="22"/>
        </w:rPr>
        <w:t xml:space="preserve"> - </w:t>
      </w:r>
    </w:p>
    <w:p w:rsidR="008E5E36" w:rsidRPr="00B24B56" w:rsidRDefault="008E5E36">
      <w:pPr>
        <w:pStyle w:val="EndnoteText"/>
        <w:rPr>
          <w:rFonts w:ascii="Arial" w:hAnsi="Arial" w:cs="Arial"/>
          <w:i/>
          <w:sz w:val="22"/>
          <w:szCs w:val="22"/>
        </w:rPr>
      </w:pPr>
      <w:r w:rsidRPr="00B24B56">
        <w:rPr>
          <w:rFonts w:ascii="Arial" w:hAnsi="Arial" w:cs="Arial"/>
          <w:i/>
          <w:sz w:val="22"/>
          <w:szCs w:val="22"/>
        </w:rPr>
        <w:t>http://www.environment.gov.au/wastepolicy/publications/sustainable-procurement-guide.html</w:t>
      </w:r>
    </w:p>
  </w:endnote>
  <w:endnote w:id="9">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Guide to the sustainable procurement of services</w:t>
      </w:r>
      <w:r>
        <w:rPr>
          <w:rFonts w:ascii="Arial" w:hAnsi="Arial" w:cs="Arial"/>
          <w:i/>
          <w:sz w:val="22"/>
          <w:szCs w:val="22"/>
        </w:rPr>
        <w:t xml:space="preserve"> - </w:t>
      </w: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t>http://www.environment.gov.au/wastepolicy/publications/sustainable-procurement-services.html</w:t>
      </w:r>
    </w:p>
  </w:endnote>
  <w:endnote w:id="10">
    <w:p w:rsidR="008E5E36" w:rsidRPr="00B24B56" w:rsidRDefault="008E5E36" w:rsidP="0032392A">
      <w:pPr>
        <w:pStyle w:val="EndnoteText"/>
        <w:rPr>
          <w:rFonts w:ascii="Arial" w:hAnsi="Arial" w:cs="Arial"/>
          <w:i/>
          <w:sz w:val="22"/>
          <w:szCs w:val="22"/>
        </w:rPr>
      </w:pPr>
    </w:p>
    <w:p w:rsidR="008E5E36" w:rsidRPr="00B24B56" w:rsidRDefault="008E5E36" w:rsidP="0032392A">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Sustainable Procurement in the Australian Government Report 2013</w:t>
      </w:r>
      <w:r>
        <w:rPr>
          <w:rFonts w:ascii="Arial" w:hAnsi="Arial" w:cs="Arial"/>
          <w:i/>
          <w:sz w:val="22"/>
          <w:szCs w:val="22"/>
        </w:rPr>
        <w:t xml:space="preserve"> - </w:t>
      </w: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t>http://www.environment.gov.au/wastepolicy/publications/sustainable-procurement-2013.html</w:t>
      </w:r>
    </w:p>
  </w:endnote>
  <w:endnote w:id="11">
    <w:p w:rsidR="008E5E3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Pr>
          <w:rFonts w:ascii="Arial" w:hAnsi="Arial" w:cs="Arial"/>
          <w:i/>
          <w:sz w:val="22"/>
          <w:szCs w:val="22"/>
        </w:rPr>
        <w:t xml:space="preserve"> Get it Right Bin night -</w:t>
      </w:r>
      <w:r w:rsidRPr="00B24B56">
        <w:rPr>
          <w:rFonts w:ascii="Arial" w:hAnsi="Arial" w:cs="Arial"/>
          <w:i/>
          <w:sz w:val="22"/>
          <w:szCs w:val="22"/>
        </w:rPr>
        <w:t xml:space="preserve"> </w:t>
      </w:r>
      <w:hyperlink r:id="rId3" w:history="1">
        <w:r w:rsidRPr="00B24B56">
          <w:rPr>
            <w:rFonts w:ascii="Arial" w:hAnsi="Arial" w:cs="Arial"/>
            <w:i/>
            <w:sz w:val="22"/>
            <w:szCs w:val="22"/>
          </w:rPr>
          <w:t>http://www.getitrightbinnight.vic.gov.au/</w:t>
        </w:r>
      </w:hyperlink>
    </w:p>
    <w:p w:rsidR="008E5E36" w:rsidRPr="00B24B56" w:rsidRDefault="008E5E36">
      <w:pPr>
        <w:pStyle w:val="EndnoteText"/>
        <w:rPr>
          <w:rFonts w:ascii="Arial" w:hAnsi="Arial" w:cs="Arial"/>
          <w:i/>
          <w:sz w:val="22"/>
          <w:szCs w:val="22"/>
        </w:rPr>
      </w:pPr>
    </w:p>
  </w:endnote>
  <w:endnote w:id="12">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Pr>
          <w:rFonts w:ascii="Arial" w:hAnsi="Arial" w:cs="Arial"/>
          <w:i/>
          <w:sz w:val="22"/>
          <w:szCs w:val="22"/>
        </w:rPr>
        <w:t xml:space="preserve"> </w:t>
      </w:r>
      <w:r w:rsidRPr="00B24B56">
        <w:rPr>
          <w:rFonts w:ascii="Arial" w:hAnsi="Arial" w:cs="Arial"/>
          <w:i/>
          <w:sz w:val="22"/>
          <w:szCs w:val="22"/>
        </w:rPr>
        <w:t>Smarter Resources, Smarter Business</w:t>
      </w:r>
      <w:r>
        <w:rPr>
          <w:rFonts w:ascii="Arial" w:hAnsi="Arial" w:cs="Arial"/>
          <w:i/>
          <w:sz w:val="22"/>
          <w:szCs w:val="22"/>
        </w:rPr>
        <w:t xml:space="preserve"> - </w:t>
      </w:r>
      <w:r w:rsidRPr="00B24B56">
        <w:rPr>
          <w:rFonts w:ascii="Arial" w:hAnsi="Arial" w:cs="Arial"/>
          <w:i/>
          <w:sz w:val="22"/>
          <w:szCs w:val="22"/>
        </w:rPr>
        <w:t xml:space="preserve"> </w:t>
      </w:r>
      <w:hyperlink r:id="rId4" w:history="1">
        <w:r w:rsidRPr="00B24B56">
          <w:rPr>
            <w:rFonts w:ascii="Arial" w:hAnsi="Arial" w:cs="Arial"/>
            <w:i/>
            <w:sz w:val="22"/>
            <w:szCs w:val="22"/>
          </w:rPr>
          <w:t>http://www.sustainability.vic.gov.au/www/html/3601-smarter-resources-smarter-business-program.asp</w:t>
        </w:r>
      </w:hyperlink>
    </w:p>
    <w:p w:rsidR="008E5E36" w:rsidRPr="00B24B56" w:rsidRDefault="008E5E36">
      <w:pPr>
        <w:pStyle w:val="EndnoteText"/>
        <w:rPr>
          <w:rFonts w:ascii="Arial" w:hAnsi="Arial" w:cs="Arial"/>
          <w:i/>
          <w:sz w:val="22"/>
          <w:szCs w:val="22"/>
        </w:rPr>
      </w:pPr>
    </w:p>
  </w:endnote>
  <w:endnote w:id="13">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Packaging Impacts Consultation Regulation Impact Statement Consultation Summary Report</w:t>
      </w:r>
      <w:r>
        <w:rPr>
          <w:rFonts w:ascii="Arial" w:hAnsi="Arial" w:cs="Arial"/>
          <w:i/>
          <w:sz w:val="22"/>
          <w:szCs w:val="22"/>
        </w:rPr>
        <w:t xml:space="preserve"> - </w:t>
      </w: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t>http://www.scew.gov.au/consultation/packaging-impacts-consultation-regulation-impact-statement-ris</w:t>
      </w:r>
    </w:p>
  </w:endnote>
  <w:endnote w:id="14">
    <w:p w:rsidR="008E5E36" w:rsidRPr="00B24B56" w:rsidRDefault="008E5E36" w:rsidP="00B24B56">
      <w:pPr>
        <w:pStyle w:val="EndnoteText"/>
        <w:rPr>
          <w:rFonts w:ascii="Arial" w:hAnsi="Arial" w:cs="Arial"/>
          <w:i/>
          <w:sz w:val="22"/>
          <w:szCs w:val="22"/>
        </w:rPr>
      </w:pP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Waste Classifications in Australia – a comparison of waste classifications in the Australian Waste Database with current</w:t>
      </w:r>
      <w:r>
        <w:rPr>
          <w:rFonts w:ascii="Arial" w:hAnsi="Arial" w:cs="Arial"/>
          <w:i/>
          <w:sz w:val="22"/>
          <w:szCs w:val="22"/>
        </w:rPr>
        <w:t xml:space="preserve"> jurisdictional classifications - </w:t>
      </w:r>
      <w:r w:rsidRPr="00B24B56">
        <w:rPr>
          <w:rFonts w:ascii="Arial" w:hAnsi="Arial" w:cs="Arial"/>
          <w:i/>
          <w:sz w:val="22"/>
          <w:szCs w:val="22"/>
        </w:rPr>
        <w:t xml:space="preserve"> </w:t>
      </w:r>
      <w:hyperlink r:id="rId5" w:history="1">
        <w:r w:rsidRPr="00B24B56">
          <w:rPr>
            <w:rFonts w:ascii="Arial" w:hAnsi="Arial" w:cs="Arial"/>
            <w:i/>
            <w:sz w:val="22"/>
            <w:szCs w:val="22"/>
          </w:rPr>
          <w:t>http://www.environment.gov.au/wastepolicy/publications/pubs/waste-classifications-comparisons.pdf</w:t>
        </w:r>
      </w:hyperlink>
    </w:p>
  </w:endnote>
  <w:endnote w:id="15">
    <w:p w:rsidR="008E5E36" w:rsidRPr="00B24B56" w:rsidRDefault="008E5E36" w:rsidP="00B24B56">
      <w:pPr>
        <w:pStyle w:val="EndnoteText"/>
        <w:rPr>
          <w:rFonts w:ascii="Arial" w:hAnsi="Arial" w:cs="Arial"/>
          <w:i/>
          <w:sz w:val="22"/>
          <w:szCs w:val="22"/>
        </w:rPr>
      </w:pPr>
    </w:p>
    <w:p w:rsidR="008E5E36" w:rsidRDefault="008E5E36" w:rsidP="00B24B56">
      <w:pPr>
        <w:pStyle w:val="EndnoteText"/>
      </w:pPr>
      <w:r w:rsidRPr="00B24B56">
        <w:rPr>
          <w:rFonts w:ascii="Arial" w:hAnsi="Arial" w:cs="Arial"/>
          <w:i/>
          <w:sz w:val="22"/>
          <w:szCs w:val="22"/>
        </w:rPr>
        <w:endnoteRef/>
      </w:r>
      <w:r w:rsidRPr="00B24B56">
        <w:rPr>
          <w:rFonts w:ascii="Arial" w:hAnsi="Arial" w:cs="Arial"/>
          <w:i/>
          <w:sz w:val="22"/>
          <w:szCs w:val="22"/>
        </w:rPr>
        <w:t xml:space="preserve"> Australian Waste Definitions:</w:t>
      </w:r>
      <w:r>
        <w:rPr>
          <w:rFonts w:ascii="Arial" w:hAnsi="Arial" w:cs="Arial"/>
          <w:i/>
          <w:sz w:val="22"/>
          <w:szCs w:val="22"/>
        </w:rPr>
        <w:t xml:space="preserve"> - </w:t>
      </w:r>
      <w:hyperlink r:id="rId6" w:history="1">
        <w:r w:rsidRPr="00B24B56">
          <w:rPr>
            <w:rFonts w:ascii="Arial" w:hAnsi="Arial" w:cs="Arial"/>
            <w:i/>
            <w:sz w:val="22"/>
            <w:szCs w:val="22"/>
          </w:rPr>
          <w:t>http://www.environment.gov.au/wastepolicy/publications/pubs/australian-waste-definitions.pdf</w:t>
        </w:r>
      </w:hyperlink>
    </w:p>
    <w:p w:rsidR="008E5E36" w:rsidRPr="00B24B56" w:rsidRDefault="008E5E36" w:rsidP="00B24B56">
      <w:pPr>
        <w:pStyle w:val="EndnoteText"/>
        <w:rPr>
          <w:rFonts w:ascii="Arial" w:hAnsi="Arial" w:cs="Arial"/>
          <w:i/>
          <w:sz w:val="22"/>
          <w:szCs w:val="22"/>
        </w:rPr>
      </w:pPr>
    </w:p>
  </w:endnote>
  <w:endnote w:id="16">
    <w:p w:rsidR="008E5E36" w:rsidRPr="00B24B56" w:rsidRDefault="008E5E36" w:rsidP="0041281C">
      <w:pPr>
        <w:pStyle w:val="EndnoteText"/>
        <w:keepNext/>
        <w:keepLines/>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Pr>
          <w:rFonts w:ascii="Arial" w:hAnsi="Arial" w:cs="Arial"/>
          <w:i/>
          <w:sz w:val="22"/>
          <w:szCs w:val="22"/>
        </w:rPr>
        <w:t xml:space="preserve">Australian Recycling Sector - </w:t>
      </w:r>
      <w:hyperlink r:id="rId7" w:history="1">
        <w:r w:rsidRPr="00B24B56">
          <w:rPr>
            <w:rFonts w:ascii="Arial" w:hAnsi="Arial" w:cs="Arial"/>
            <w:i/>
            <w:sz w:val="22"/>
            <w:szCs w:val="22"/>
          </w:rPr>
          <w:t>http://www.environment.gov.au/wastepolicy/publications/pubs/australian-recycling-sector.pdf</w:t>
        </w:r>
      </w:hyperlink>
    </w:p>
  </w:endnote>
  <w:endnote w:id="17">
    <w:p w:rsidR="008E5E36" w:rsidRPr="00B24B56" w:rsidRDefault="008E5E36" w:rsidP="0041281C">
      <w:pPr>
        <w:pStyle w:val="EndnoteText"/>
        <w:keepNext/>
        <w:keepLines/>
        <w:rPr>
          <w:rFonts w:ascii="Arial" w:hAnsi="Arial" w:cs="Arial"/>
          <w:i/>
          <w:sz w:val="22"/>
          <w:szCs w:val="22"/>
        </w:rPr>
      </w:pPr>
    </w:p>
    <w:p w:rsidR="008E5E36" w:rsidRPr="00B24B56" w:rsidRDefault="008E5E36" w:rsidP="0041281C">
      <w:pPr>
        <w:pStyle w:val="EndnoteText"/>
        <w:keepNext/>
        <w:keepLines/>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Data collection and reporting</w:t>
      </w:r>
      <w:r>
        <w:rPr>
          <w:rFonts w:ascii="Arial" w:hAnsi="Arial" w:cs="Arial"/>
          <w:i/>
          <w:sz w:val="22"/>
          <w:szCs w:val="22"/>
        </w:rPr>
        <w:t xml:space="preserve"> through licensing arrangements - </w:t>
      </w:r>
      <w:r w:rsidRPr="00B24B56">
        <w:rPr>
          <w:rFonts w:ascii="Arial" w:hAnsi="Arial" w:cs="Arial"/>
          <w:i/>
          <w:sz w:val="22"/>
          <w:szCs w:val="22"/>
        </w:rPr>
        <w:t xml:space="preserve"> </w:t>
      </w:r>
      <w:hyperlink r:id="rId8" w:history="1">
        <w:r w:rsidRPr="00B24B56">
          <w:rPr>
            <w:rFonts w:ascii="Arial" w:hAnsi="Arial" w:cs="Arial"/>
            <w:i/>
            <w:sz w:val="22"/>
            <w:szCs w:val="22"/>
          </w:rPr>
          <w:t>http://www.environment.gov.au/wastepolicy/publications/pubs/data-collection-and-reporting.pdf</w:t>
        </w:r>
      </w:hyperlink>
      <w:r w:rsidRPr="00B24B56">
        <w:rPr>
          <w:rFonts w:ascii="Arial" w:hAnsi="Arial" w:cs="Arial"/>
          <w:i/>
          <w:sz w:val="22"/>
          <w:szCs w:val="22"/>
        </w:rPr>
        <w:t xml:space="preserve"> </w:t>
      </w:r>
    </w:p>
  </w:endnote>
  <w:endnote w:id="18">
    <w:p w:rsidR="008E5E36" w:rsidRPr="00B24B56" w:rsidRDefault="008E5E36" w:rsidP="00B24B56">
      <w:pPr>
        <w:pStyle w:val="EndnoteText"/>
        <w:rPr>
          <w:rFonts w:ascii="Arial" w:hAnsi="Arial" w:cs="Arial"/>
          <w:i/>
          <w:sz w:val="22"/>
          <w:szCs w:val="22"/>
        </w:rPr>
      </w:pP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Beneficial reuse and resource recovery of waste materials: An inventory of Australian over-arching objectives and guiding principles</w:t>
      </w:r>
      <w:r>
        <w:rPr>
          <w:rFonts w:ascii="Arial" w:hAnsi="Arial" w:cs="Arial"/>
          <w:i/>
          <w:sz w:val="22"/>
          <w:szCs w:val="22"/>
        </w:rPr>
        <w:t xml:space="preserve"> - </w:t>
      </w:r>
      <w:hyperlink r:id="rId9" w:history="1">
        <w:r w:rsidRPr="00B24B56">
          <w:rPr>
            <w:rFonts w:ascii="Arial" w:hAnsi="Arial" w:cs="Arial"/>
            <w:i/>
            <w:sz w:val="22"/>
            <w:szCs w:val="22"/>
          </w:rPr>
          <w:t>http://www.environment.gov.au/wastepolicy/publications/reuse-resource-recovery.html</w:t>
        </w:r>
      </w:hyperlink>
      <w:r w:rsidRPr="00B24B56">
        <w:rPr>
          <w:rFonts w:ascii="Arial" w:hAnsi="Arial" w:cs="Arial"/>
          <w:i/>
          <w:sz w:val="22"/>
          <w:szCs w:val="22"/>
        </w:rPr>
        <w:t xml:space="preserve"> </w:t>
      </w:r>
    </w:p>
  </w:endnote>
  <w:endnote w:id="19">
    <w:p w:rsidR="008E5E36" w:rsidRPr="00B24B56" w:rsidRDefault="008E5E36" w:rsidP="0075114A">
      <w:pPr>
        <w:pStyle w:val="EndnoteText"/>
        <w:rPr>
          <w:rFonts w:ascii="Arial" w:hAnsi="Arial" w:cs="Arial"/>
          <w:i/>
          <w:sz w:val="22"/>
          <w:szCs w:val="22"/>
        </w:rPr>
      </w:pPr>
    </w:p>
    <w:p w:rsidR="008E5E36" w:rsidRPr="00B24B56" w:rsidRDefault="008E5E36" w:rsidP="0075114A">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A stock-take of waste related standards, specifications and guidelines</w:t>
      </w:r>
      <w:r>
        <w:rPr>
          <w:rFonts w:ascii="Arial" w:hAnsi="Arial" w:cs="Arial"/>
          <w:i/>
          <w:sz w:val="22"/>
          <w:szCs w:val="22"/>
        </w:rPr>
        <w:t xml:space="preserve"> - </w:t>
      </w:r>
    </w:p>
    <w:p w:rsidR="008E5E36" w:rsidRPr="00B24B56" w:rsidRDefault="008E5E36" w:rsidP="0075114A">
      <w:pPr>
        <w:pStyle w:val="EndnoteText"/>
        <w:rPr>
          <w:rFonts w:ascii="Arial" w:hAnsi="Arial" w:cs="Arial"/>
          <w:i/>
          <w:sz w:val="22"/>
          <w:szCs w:val="22"/>
        </w:rPr>
      </w:pPr>
      <w:r w:rsidRPr="00B24B56">
        <w:rPr>
          <w:rFonts w:ascii="Arial" w:hAnsi="Arial" w:cs="Arial"/>
          <w:i/>
          <w:sz w:val="22"/>
          <w:szCs w:val="22"/>
        </w:rPr>
        <w:t>http://www.environment.gov.au/wastepolicy/publications/stocktake-standards.html</w:t>
      </w:r>
    </w:p>
  </w:endnote>
  <w:endnote w:id="20">
    <w:p w:rsidR="008E5E36" w:rsidRPr="00B24B56" w:rsidRDefault="008E5E36" w:rsidP="001C5F24">
      <w:pPr>
        <w:pStyle w:val="EndnoteText"/>
        <w:rPr>
          <w:rFonts w:ascii="Arial" w:hAnsi="Arial" w:cs="Arial"/>
          <w:i/>
          <w:sz w:val="22"/>
          <w:szCs w:val="22"/>
        </w:rPr>
      </w:pPr>
    </w:p>
    <w:p w:rsidR="008E5E36" w:rsidRPr="00B24B56" w:rsidRDefault="008E5E36" w:rsidP="001C5F24">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Beneficial reuse and resource recovery of waste materials: inventory of Commonwealth and state and territory guiding principles</w:t>
      </w:r>
      <w:r>
        <w:rPr>
          <w:rFonts w:ascii="Arial" w:hAnsi="Arial" w:cs="Arial"/>
          <w:i/>
          <w:sz w:val="22"/>
          <w:szCs w:val="22"/>
        </w:rPr>
        <w:t xml:space="preserve"> - </w:t>
      </w: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t>http://www.environment.gov.au/wastepolicy/publications/beneficial-reuse-principles.html</w:t>
      </w:r>
    </w:p>
  </w:endnote>
  <w:endnote w:id="21">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Smarter Resources, Smarter Business</w:t>
      </w:r>
      <w:r>
        <w:rPr>
          <w:rFonts w:ascii="Arial" w:hAnsi="Arial" w:cs="Arial"/>
          <w:i/>
          <w:sz w:val="22"/>
          <w:szCs w:val="22"/>
        </w:rPr>
        <w:t xml:space="preserve"> - </w:t>
      </w:r>
      <w:r w:rsidRPr="008E7620">
        <w:rPr>
          <w:rFonts w:ascii="Arial" w:hAnsi="Arial" w:cs="Arial"/>
          <w:i/>
          <w:sz w:val="22"/>
          <w:szCs w:val="22"/>
        </w:rPr>
        <w:t>http://www.sustainability.vic.gov.au/Services-and-Advice/Business/Smarter-Resources-Smarter-Business</w:t>
      </w:r>
    </w:p>
    <w:p w:rsidR="008E5E36" w:rsidRPr="00B24B56" w:rsidRDefault="008E5E36">
      <w:pPr>
        <w:pStyle w:val="EndnoteText"/>
        <w:rPr>
          <w:rFonts w:ascii="Arial" w:hAnsi="Arial" w:cs="Arial"/>
          <w:i/>
          <w:sz w:val="22"/>
          <w:szCs w:val="22"/>
        </w:rPr>
      </w:pPr>
    </w:p>
  </w:endnote>
  <w:endnote w:id="22">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Sustainable Choice - </w:t>
      </w:r>
      <w:r w:rsidRPr="00D65C05">
        <w:rPr>
          <w:rFonts w:ascii="Arial" w:hAnsi="Arial" w:cs="Arial"/>
          <w:i/>
          <w:sz w:val="22"/>
          <w:szCs w:val="22"/>
        </w:rPr>
        <w:t>http://www.lgnsw.org.au/member-services/sustainable-choice</w:t>
      </w:r>
    </w:p>
  </w:endnote>
  <w:endnote w:id="23">
    <w:p w:rsidR="008E5E36" w:rsidRPr="00B24B56" w:rsidRDefault="008E5E36" w:rsidP="00B24B56">
      <w:pPr>
        <w:pStyle w:val="EndnoteText"/>
        <w:rPr>
          <w:rFonts w:ascii="Arial" w:hAnsi="Arial" w:cs="Arial"/>
          <w:i/>
          <w:sz w:val="22"/>
          <w:szCs w:val="22"/>
        </w:rPr>
      </w:pP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Pr>
          <w:rFonts w:ascii="Arial" w:hAnsi="Arial" w:cs="Arial"/>
          <w:i/>
          <w:sz w:val="22"/>
          <w:szCs w:val="22"/>
        </w:rPr>
        <w:t xml:space="preserve"> National Food Waste Assessment - </w:t>
      </w:r>
      <w:r w:rsidRPr="00B24B56">
        <w:rPr>
          <w:rFonts w:ascii="Arial" w:hAnsi="Arial" w:cs="Arial"/>
          <w:i/>
          <w:sz w:val="22"/>
          <w:szCs w:val="22"/>
        </w:rPr>
        <w:t xml:space="preserve"> </w:t>
      </w:r>
      <w:hyperlink r:id="rId10" w:history="1">
        <w:r w:rsidRPr="00B24B56">
          <w:rPr>
            <w:rFonts w:ascii="Arial" w:hAnsi="Arial" w:cs="Arial"/>
            <w:i/>
            <w:sz w:val="22"/>
            <w:szCs w:val="22"/>
          </w:rPr>
          <w:t>http://www.environment.gov.au/wastepolicy/publications/pubs/food-waste.pdf</w:t>
        </w:r>
      </w:hyperlink>
    </w:p>
  </w:endnote>
  <w:endnote w:id="24">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Pr>
          <w:rFonts w:ascii="Arial" w:hAnsi="Arial" w:cs="Arial"/>
          <w:i/>
          <w:sz w:val="22"/>
          <w:szCs w:val="22"/>
        </w:rPr>
        <w:t xml:space="preserve">Love Food Hate Waste Program - </w:t>
      </w:r>
      <w:hyperlink r:id="rId11" w:history="1">
        <w:r w:rsidRPr="00B24B56">
          <w:rPr>
            <w:rFonts w:ascii="Arial" w:hAnsi="Arial" w:cs="Arial"/>
            <w:i/>
            <w:sz w:val="22"/>
            <w:szCs w:val="22"/>
          </w:rPr>
          <w:t>http://www.lovefoodhatewaste.nsw.gov.au/business/home.aspx</w:t>
        </w:r>
      </w:hyperlink>
    </w:p>
    <w:p w:rsidR="008E5E36" w:rsidRPr="00B24B56" w:rsidRDefault="008E5E36">
      <w:pPr>
        <w:pStyle w:val="EndnoteText"/>
        <w:rPr>
          <w:rFonts w:ascii="Arial" w:hAnsi="Arial" w:cs="Arial"/>
          <w:i/>
          <w:sz w:val="22"/>
          <w:szCs w:val="22"/>
        </w:rPr>
      </w:pPr>
    </w:p>
  </w:endnote>
  <w:endnote w:id="25">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sidRPr="00DB5E8E">
        <w:rPr>
          <w:rFonts w:ascii="Arial" w:hAnsi="Arial" w:cs="Arial"/>
          <w:i/>
          <w:sz w:val="22"/>
          <w:szCs w:val="22"/>
        </w:rPr>
        <w:t xml:space="preserve">Melbourne Metropolitan Organics Plan - </w:t>
      </w:r>
      <w:hyperlink r:id="rId12" w:history="1">
        <w:r w:rsidRPr="00B24B56">
          <w:rPr>
            <w:rFonts w:ascii="Arial" w:hAnsi="Arial" w:cs="Arial"/>
            <w:i/>
            <w:sz w:val="22"/>
            <w:szCs w:val="22"/>
          </w:rPr>
          <w:t>http://www.sustainability.vic.gov.au/www/html/3295-melbourne-metropolitan-organics-plan.asp</w:t>
        </w:r>
      </w:hyperlink>
    </w:p>
    <w:p w:rsidR="008E5E36" w:rsidRPr="00B24B56" w:rsidRDefault="008E5E36">
      <w:pPr>
        <w:pStyle w:val="EndnoteText"/>
        <w:rPr>
          <w:rFonts w:ascii="Arial" w:hAnsi="Arial" w:cs="Arial"/>
          <w:i/>
          <w:sz w:val="22"/>
          <w:szCs w:val="22"/>
        </w:rPr>
      </w:pPr>
    </w:p>
  </w:endnote>
  <w:endnote w:id="26">
    <w:p w:rsidR="008E5E36" w:rsidRPr="00B24B56" w:rsidRDefault="008E5E36" w:rsidP="00B443DD">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Organics Recycling in Aus</w:t>
      </w:r>
      <w:r>
        <w:rPr>
          <w:rFonts w:ascii="Arial" w:hAnsi="Arial" w:cs="Arial"/>
          <w:i/>
          <w:sz w:val="22"/>
          <w:szCs w:val="22"/>
        </w:rPr>
        <w:t xml:space="preserve">tralia Industry Statistics 2011 - </w:t>
      </w: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t>http://www.environment.gov.au/wastepolicy/publications/organics-recycling.html</w:t>
      </w:r>
    </w:p>
  </w:endnote>
  <w:endnote w:id="27">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Pr>
          <w:rFonts w:ascii="Arial" w:hAnsi="Arial" w:cs="Arial"/>
          <w:i/>
          <w:sz w:val="22"/>
          <w:szCs w:val="22"/>
        </w:rPr>
        <w:t xml:space="preserve"> Closed Landfill Guidelines - </w:t>
      </w:r>
    </w:p>
    <w:p w:rsidR="008E5E36" w:rsidRPr="00B24B56" w:rsidRDefault="001F5E0F" w:rsidP="00B24B56">
      <w:pPr>
        <w:pStyle w:val="EndnoteText"/>
        <w:rPr>
          <w:rFonts w:ascii="Arial" w:hAnsi="Arial" w:cs="Arial"/>
          <w:i/>
          <w:sz w:val="22"/>
          <w:szCs w:val="22"/>
        </w:rPr>
      </w:pPr>
      <w:hyperlink r:id="rId13" w:history="1">
        <w:r w:rsidR="008E5E36" w:rsidRPr="00B24B56">
          <w:rPr>
            <w:rFonts w:ascii="Arial" w:hAnsi="Arial" w:cs="Arial"/>
            <w:i/>
            <w:sz w:val="22"/>
            <w:szCs w:val="22"/>
          </w:rPr>
          <w:t>http://www.epa.vic.gov.au/~/media/Publications/1490.pdf</w:t>
        </w:r>
      </w:hyperlink>
      <w:r w:rsidR="008E5E36" w:rsidRPr="00B24B56">
        <w:rPr>
          <w:rFonts w:ascii="Arial" w:hAnsi="Arial" w:cs="Arial"/>
          <w:i/>
          <w:sz w:val="22"/>
          <w:szCs w:val="22"/>
        </w:rPr>
        <w:t xml:space="preserve"> </w:t>
      </w:r>
    </w:p>
  </w:endnote>
  <w:endnote w:id="28">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sidRPr="00DB5E8E">
        <w:rPr>
          <w:rFonts w:ascii="Arial" w:hAnsi="Arial" w:cs="Arial"/>
          <w:i/>
          <w:sz w:val="22"/>
          <w:szCs w:val="22"/>
        </w:rPr>
        <w:t>Transition support to improve rural landfill infrastructure</w:t>
      </w:r>
      <w:r w:rsidRPr="00D65C05">
        <w:rPr>
          <w:rFonts w:ascii="Arial" w:hAnsi="Arial" w:cs="Arial"/>
          <w:i/>
          <w:sz w:val="22"/>
          <w:szCs w:val="22"/>
        </w:rPr>
        <w:t xml:space="preserve"> </w:t>
      </w:r>
      <w:r>
        <w:rPr>
          <w:rFonts w:ascii="Arial" w:hAnsi="Arial" w:cs="Arial"/>
          <w:i/>
          <w:sz w:val="22"/>
          <w:szCs w:val="22"/>
        </w:rPr>
        <w:t xml:space="preserve"> - </w:t>
      </w:r>
      <w:hyperlink r:id="rId14" w:history="1">
        <w:r w:rsidRPr="00B24B56">
          <w:rPr>
            <w:rFonts w:ascii="Arial" w:hAnsi="Arial" w:cs="Arial"/>
            <w:i/>
            <w:sz w:val="22"/>
            <w:szCs w:val="22"/>
          </w:rPr>
          <w:t>http://www.sustainability.vic.gov.au/www/html/3248-transition-support-to-improve-rural-landfill-infrastructure.asp</w:t>
        </w:r>
      </w:hyperlink>
    </w:p>
    <w:p w:rsidR="008E5E36" w:rsidRPr="00B24B56" w:rsidRDefault="008E5E36">
      <w:pPr>
        <w:pStyle w:val="EndnoteText"/>
        <w:rPr>
          <w:rFonts w:ascii="Arial" w:hAnsi="Arial" w:cs="Arial"/>
          <w:i/>
          <w:sz w:val="22"/>
          <w:szCs w:val="22"/>
        </w:rPr>
      </w:pPr>
    </w:p>
  </w:endnote>
  <w:endnote w:id="29">
    <w:p w:rsidR="008E5E36" w:rsidRPr="00B24B56" w:rsidRDefault="008E5E36" w:rsidP="00513903">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proofErr w:type="spellStart"/>
      <w:r>
        <w:rPr>
          <w:rFonts w:ascii="Arial" w:hAnsi="Arial" w:cs="Arial"/>
          <w:i/>
          <w:sz w:val="22"/>
          <w:szCs w:val="22"/>
        </w:rPr>
        <w:t>Bintrim</w:t>
      </w:r>
      <w:proofErr w:type="spellEnd"/>
      <w:r>
        <w:rPr>
          <w:rFonts w:ascii="Arial" w:hAnsi="Arial" w:cs="Arial"/>
          <w:i/>
          <w:sz w:val="22"/>
          <w:szCs w:val="22"/>
        </w:rPr>
        <w:t xml:space="preserve"> Program - </w:t>
      </w:r>
      <w:hyperlink r:id="rId15" w:history="1">
        <w:r w:rsidRPr="00B24B56">
          <w:rPr>
            <w:rFonts w:ascii="Arial" w:hAnsi="Arial" w:cs="Arial"/>
            <w:i/>
            <w:sz w:val="22"/>
            <w:szCs w:val="22"/>
          </w:rPr>
          <w:t>http://www.epa.nsw.gov.au/bintrim/</w:t>
        </w:r>
      </w:hyperlink>
    </w:p>
    <w:p w:rsidR="008E5E36" w:rsidRPr="00B24B56" w:rsidRDefault="008E5E36" w:rsidP="00513903">
      <w:pPr>
        <w:pStyle w:val="EndnoteText"/>
        <w:rPr>
          <w:rFonts w:ascii="Arial" w:hAnsi="Arial" w:cs="Arial"/>
          <w:i/>
          <w:sz w:val="22"/>
          <w:szCs w:val="22"/>
        </w:rPr>
      </w:pPr>
    </w:p>
  </w:endnote>
  <w:endnote w:id="30">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sidRPr="00DB5E8E">
        <w:rPr>
          <w:rFonts w:ascii="Arial" w:hAnsi="Arial" w:cs="Arial"/>
          <w:i/>
          <w:sz w:val="22"/>
          <w:szCs w:val="22"/>
        </w:rPr>
        <w:t>Driving Investment for New Recycling</w:t>
      </w:r>
      <w:r w:rsidRPr="00D65C05">
        <w:rPr>
          <w:rFonts w:ascii="Arial" w:hAnsi="Arial" w:cs="Arial"/>
          <w:i/>
          <w:sz w:val="22"/>
          <w:szCs w:val="22"/>
        </w:rPr>
        <w:t xml:space="preserve"> </w:t>
      </w:r>
      <w:r>
        <w:rPr>
          <w:rFonts w:ascii="Arial" w:hAnsi="Arial" w:cs="Arial"/>
          <w:i/>
          <w:sz w:val="22"/>
          <w:szCs w:val="22"/>
        </w:rPr>
        <w:t xml:space="preserve">- </w:t>
      </w:r>
      <w:r w:rsidRPr="00D65C05">
        <w:rPr>
          <w:rFonts w:ascii="Arial" w:hAnsi="Arial" w:cs="Arial"/>
          <w:i/>
          <w:sz w:val="22"/>
          <w:szCs w:val="22"/>
        </w:rPr>
        <w:t>http://www.sustainability.vic.gov.au/Services-and-Advice/Funding/Driving-Investment-for-New-Recycling</w:t>
      </w:r>
    </w:p>
    <w:p w:rsidR="008E5E36" w:rsidRPr="00B24B56" w:rsidRDefault="008E5E36">
      <w:pPr>
        <w:pStyle w:val="EndnoteText"/>
        <w:rPr>
          <w:rFonts w:ascii="Arial" w:hAnsi="Arial" w:cs="Arial"/>
          <w:i/>
          <w:sz w:val="22"/>
          <w:szCs w:val="22"/>
        </w:rPr>
      </w:pPr>
    </w:p>
  </w:endnote>
  <w:endnote w:id="31">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sidRPr="00DB5E8E">
        <w:rPr>
          <w:rFonts w:ascii="Arial" w:hAnsi="Arial" w:cs="Arial"/>
          <w:i/>
          <w:sz w:val="22"/>
          <w:szCs w:val="22"/>
        </w:rPr>
        <w:t xml:space="preserve">Resource Recovery Infrastructure fund - </w:t>
      </w:r>
      <w:hyperlink r:id="rId16" w:history="1">
        <w:r w:rsidRPr="00B24B56">
          <w:rPr>
            <w:rFonts w:ascii="Arial" w:hAnsi="Arial" w:cs="Arial"/>
            <w:i/>
            <w:sz w:val="22"/>
            <w:szCs w:val="22"/>
          </w:rPr>
          <w:t>http://www.sustainability.vic.gov.au/www/html/3635-resource-recovery-infrastructure-fund.asp</w:t>
        </w:r>
      </w:hyperlink>
    </w:p>
    <w:p w:rsidR="008E5E36" w:rsidRPr="00B24B56" w:rsidRDefault="008E5E36">
      <w:pPr>
        <w:pStyle w:val="EndnoteText"/>
        <w:rPr>
          <w:rFonts w:ascii="Arial" w:hAnsi="Arial" w:cs="Arial"/>
          <w:i/>
          <w:sz w:val="22"/>
          <w:szCs w:val="22"/>
        </w:rPr>
      </w:pPr>
    </w:p>
  </w:endnote>
  <w:endnote w:id="32">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Review of Waste Reduction and Recycling Programs Targeting the C</w:t>
      </w:r>
      <w:r>
        <w:rPr>
          <w:rFonts w:ascii="Arial" w:hAnsi="Arial" w:cs="Arial"/>
          <w:i/>
          <w:sz w:val="22"/>
          <w:szCs w:val="22"/>
        </w:rPr>
        <w:t xml:space="preserve">ommercial and Industrial Sector - </w:t>
      </w:r>
      <w:hyperlink r:id="rId17" w:history="1">
        <w:r w:rsidRPr="00B24B56">
          <w:rPr>
            <w:rFonts w:ascii="Arial" w:hAnsi="Arial" w:cs="Arial"/>
            <w:i/>
            <w:sz w:val="22"/>
            <w:szCs w:val="22"/>
          </w:rPr>
          <w:t>http://www.zerowaste.wa.gov.au/media/files/documents/SLR_Final_Report7Sep12.pdf</w:t>
        </w:r>
      </w:hyperlink>
    </w:p>
  </w:endnote>
  <w:endnote w:id="33">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Beyond Waste Fund – </w:t>
      </w:r>
      <w:r w:rsidRPr="00D65C05">
        <w:rPr>
          <w:rFonts w:ascii="Arial" w:hAnsi="Arial" w:cs="Arial"/>
          <w:i/>
          <w:sz w:val="22"/>
          <w:szCs w:val="22"/>
        </w:rPr>
        <w:t>http://www.epa.vic.gov.au/waste/docs/EPASVMWMG-funds-background.pdf</w:t>
      </w:r>
    </w:p>
    <w:p w:rsidR="008E5E36" w:rsidRPr="00B24B56" w:rsidRDefault="008E5E36">
      <w:pPr>
        <w:pStyle w:val="EndnoteText"/>
        <w:rPr>
          <w:rFonts w:ascii="Arial" w:hAnsi="Arial" w:cs="Arial"/>
          <w:i/>
          <w:sz w:val="22"/>
          <w:szCs w:val="22"/>
        </w:rPr>
      </w:pPr>
    </w:p>
  </w:endnote>
  <w:endnote w:id="34">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Place-based approaches to commercial and</w:t>
      </w:r>
      <w:r>
        <w:rPr>
          <w:rFonts w:ascii="Arial" w:hAnsi="Arial" w:cs="Arial"/>
          <w:i/>
          <w:sz w:val="22"/>
          <w:szCs w:val="22"/>
        </w:rPr>
        <w:t xml:space="preserve"> industrial waste and recycling - </w:t>
      </w:r>
      <w:r w:rsidRPr="00B24B56">
        <w:rPr>
          <w:rFonts w:ascii="Arial" w:hAnsi="Arial" w:cs="Arial"/>
          <w:i/>
          <w:sz w:val="22"/>
          <w:szCs w:val="22"/>
        </w:rPr>
        <w:t xml:space="preserve"> </w:t>
      </w:r>
      <w:hyperlink r:id="rId18" w:history="1">
        <w:r w:rsidRPr="00B24B56">
          <w:rPr>
            <w:rFonts w:ascii="Arial" w:hAnsi="Arial" w:cs="Arial"/>
            <w:i/>
            <w:sz w:val="22"/>
            <w:szCs w:val="22"/>
          </w:rPr>
          <w:t>http://www.environment.gov.au/wastepolicy/publications/pubs/place-based-approaches.pdf</w:t>
        </w:r>
      </w:hyperlink>
      <w:r w:rsidRPr="00B24B56">
        <w:rPr>
          <w:rFonts w:ascii="Arial" w:hAnsi="Arial" w:cs="Arial"/>
          <w:i/>
          <w:sz w:val="22"/>
          <w:szCs w:val="22"/>
        </w:rPr>
        <w:t xml:space="preserve"> </w:t>
      </w:r>
    </w:p>
  </w:endnote>
  <w:endnote w:id="35">
    <w:p w:rsidR="008E5E36" w:rsidRDefault="008E5E36" w:rsidP="00B24B56">
      <w:pPr>
        <w:pStyle w:val="EndnoteText"/>
        <w:rPr>
          <w:rFonts w:ascii="Arial" w:hAnsi="Arial" w:cs="Arial"/>
          <w:i/>
          <w:sz w:val="22"/>
          <w:szCs w:val="22"/>
        </w:rPr>
      </w:pPr>
    </w:p>
    <w:p w:rsidR="008E5E36" w:rsidRPr="00B24B56" w:rsidRDefault="008E5E36" w:rsidP="00B24B5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Waste and Resource Recovery Facilities Workers Manual</w:t>
      </w:r>
      <w:r>
        <w:rPr>
          <w:rFonts w:ascii="Arial" w:hAnsi="Arial" w:cs="Arial"/>
          <w:i/>
          <w:sz w:val="22"/>
          <w:szCs w:val="22"/>
        </w:rPr>
        <w:t xml:space="preserve"> - </w:t>
      </w:r>
      <w:r w:rsidRPr="00B24B56">
        <w:rPr>
          <w:rFonts w:ascii="Arial" w:hAnsi="Arial" w:cs="Arial"/>
          <w:i/>
          <w:sz w:val="22"/>
          <w:szCs w:val="22"/>
        </w:rPr>
        <w:t>http://www.wcra.com.au/files/WARR%20Manual%20low%20res.pdf</w:t>
      </w:r>
    </w:p>
  </w:endnote>
  <w:endnote w:id="36">
    <w:p w:rsidR="008E5E36" w:rsidRPr="00B24B56" w:rsidRDefault="008E5E36">
      <w:pPr>
        <w:pStyle w:val="EndnoteText"/>
        <w:rPr>
          <w:rFonts w:ascii="Arial" w:hAnsi="Arial" w:cs="Arial"/>
          <w:i/>
          <w:sz w:val="22"/>
          <w:szCs w:val="22"/>
        </w:rPr>
      </w:pPr>
    </w:p>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Construction and demolition waste guide - recycling and re-use across the supply chain</w:t>
      </w:r>
      <w:r>
        <w:rPr>
          <w:rFonts w:ascii="Arial" w:hAnsi="Arial" w:cs="Arial"/>
          <w:i/>
          <w:sz w:val="22"/>
          <w:szCs w:val="22"/>
        </w:rPr>
        <w:t xml:space="preserve"> - </w:t>
      </w:r>
      <w:r w:rsidRPr="00E26191">
        <w:rPr>
          <w:rFonts w:ascii="Arial" w:hAnsi="Arial" w:cs="Arial"/>
          <w:i/>
          <w:sz w:val="22"/>
          <w:szCs w:val="22"/>
        </w:rPr>
        <w:t>http://www.environment.gov.au/resource/construction-and-demolition-waste-guide-recycling-and-re-use-across-supply-chain</w:t>
      </w:r>
    </w:p>
    <w:p w:rsidR="008E5E36" w:rsidRPr="00B24B56" w:rsidRDefault="008E5E36">
      <w:pPr>
        <w:pStyle w:val="EndnoteText"/>
        <w:rPr>
          <w:rFonts w:ascii="Arial" w:hAnsi="Arial" w:cs="Arial"/>
          <w:i/>
          <w:sz w:val="22"/>
          <w:szCs w:val="22"/>
        </w:rPr>
      </w:pPr>
    </w:p>
  </w:endnote>
  <w:endnote w:id="37">
    <w:p w:rsidR="008E5E36" w:rsidRPr="00B24B56" w:rsidRDefault="008E5E36" w:rsidP="00B24B56">
      <w:pPr>
        <w:pStyle w:val="EndnoteText"/>
        <w:rPr>
          <w:rFonts w:ascii="Arial" w:hAnsi="Arial" w:cs="Arial"/>
          <w:i/>
          <w:sz w:val="22"/>
          <w:szCs w:val="22"/>
        </w:rPr>
      </w:pPr>
      <w:r w:rsidRPr="00DB5E8E">
        <w:rPr>
          <w:rFonts w:ascii="Arial" w:hAnsi="Arial" w:cs="Arial"/>
          <w:i/>
          <w:sz w:val="22"/>
          <w:szCs w:val="22"/>
        </w:rPr>
        <w:endnoteRef/>
      </w:r>
      <w:r w:rsidRPr="00B24B56">
        <w:rPr>
          <w:rFonts w:ascii="Arial" w:hAnsi="Arial" w:cs="Arial"/>
          <w:i/>
          <w:sz w:val="22"/>
          <w:szCs w:val="22"/>
        </w:rPr>
        <w:t xml:space="preserve"> Guidelines for managing asbestos at construction and demoli</w:t>
      </w:r>
      <w:r>
        <w:rPr>
          <w:rFonts w:ascii="Arial" w:hAnsi="Arial" w:cs="Arial"/>
          <w:i/>
          <w:sz w:val="22"/>
          <w:szCs w:val="22"/>
        </w:rPr>
        <w:t xml:space="preserve">tion waste recycling facilities - </w:t>
      </w:r>
      <w:hyperlink r:id="rId19" w:history="1">
        <w:r w:rsidRPr="00B24B56">
          <w:rPr>
            <w:rFonts w:ascii="Arial" w:hAnsi="Arial" w:cs="Arial"/>
            <w:i/>
            <w:sz w:val="22"/>
            <w:szCs w:val="22"/>
          </w:rPr>
          <w:t>http://www.dec.wa.gov.au/search.html?searchword=asbestos&amp;searchphrase=all</w:t>
        </w:r>
      </w:hyperlink>
      <w:r w:rsidRPr="00B24B56">
        <w:rPr>
          <w:rFonts w:ascii="Arial" w:hAnsi="Arial" w:cs="Arial"/>
          <w:i/>
          <w:sz w:val="22"/>
          <w:szCs w:val="22"/>
        </w:rPr>
        <w:t xml:space="preserve"> </w:t>
      </w:r>
    </w:p>
  </w:endnote>
  <w:endnote w:id="38">
    <w:p w:rsidR="008E5E36" w:rsidRPr="00B24B56" w:rsidRDefault="008E5E36" w:rsidP="005279CA">
      <w:pPr>
        <w:pStyle w:val="EndnoteText"/>
        <w:rPr>
          <w:rFonts w:ascii="Arial" w:hAnsi="Arial" w:cs="Arial"/>
          <w:i/>
          <w:sz w:val="22"/>
          <w:szCs w:val="22"/>
        </w:rPr>
      </w:pPr>
    </w:p>
    <w:p w:rsidR="008E5E36" w:rsidRPr="00B24B56" w:rsidRDefault="008E5E36" w:rsidP="005279CA">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Hazardous Waste Data Assessment</w:t>
      </w:r>
      <w:r>
        <w:rPr>
          <w:rFonts w:ascii="Arial" w:hAnsi="Arial" w:cs="Arial"/>
          <w:i/>
          <w:sz w:val="22"/>
          <w:szCs w:val="22"/>
        </w:rPr>
        <w:t xml:space="preserve"> - </w:t>
      </w:r>
    </w:p>
    <w:p w:rsidR="008E5E36" w:rsidRDefault="008E5E36" w:rsidP="00B24B56">
      <w:pPr>
        <w:pStyle w:val="EndnoteText"/>
        <w:rPr>
          <w:rFonts w:ascii="Arial" w:hAnsi="Arial" w:cs="Arial"/>
          <w:i/>
          <w:sz w:val="22"/>
          <w:szCs w:val="22"/>
        </w:rPr>
      </w:pPr>
      <w:r w:rsidRPr="00B24B56">
        <w:rPr>
          <w:rFonts w:ascii="Arial" w:hAnsi="Arial" w:cs="Arial"/>
          <w:i/>
          <w:sz w:val="22"/>
          <w:szCs w:val="22"/>
        </w:rPr>
        <w:t>www.environment.gov.au/wastepolicy/publications/hazardous-waste-data.html</w:t>
      </w:r>
    </w:p>
    <w:p w:rsidR="008E5E36" w:rsidRPr="00B24B56" w:rsidRDefault="008E5E36" w:rsidP="00B24B56">
      <w:pPr>
        <w:pStyle w:val="EndnoteText"/>
        <w:rPr>
          <w:rFonts w:ascii="Arial" w:hAnsi="Arial" w:cs="Arial"/>
          <w:i/>
          <w:sz w:val="22"/>
          <w:szCs w:val="22"/>
        </w:rPr>
      </w:pPr>
    </w:p>
  </w:endnote>
  <w:endnote w:id="39">
    <w:p w:rsidR="008E5E36" w:rsidRPr="00B24B56" w:rsidRDefault="008E5E36">
      <w:pPr>
        <w:pStyle w:val="EndnoteText"/>
        <w:rPr>
          <w:rFonts w:ascii="Arial" w:hAnsi="Arial" w:cs="Arial"/>
          <w:i/>
          <w:sz w:val="22"/>
          <w:szCs w:val="22"/>
        </w:rPr>
      </w:pPr>
      <w:r w:rsidRPr="00B24B56">
        <w:rPr>
          <w:rFonts w:ascii="Arial" w:hAnsi="Arial" w:cs="Arial"/>
          <w:i/>
          <w:sz w:val="22"/>
          <w:szCs w:val="22"/>
        </w:rPr>
        <w:endnoteRef/>
      </w:r>
      <w:r w:rsidRPr="00B24B56">
        <w:rPr>
          <w:rFonts w:ascii="Arial" w:hAnsi="Arial" w:cs="Arial"/>
          <w:i/>
          <w:sz w:val="22"/>
          <w:szCs w:val="22"/>
        </w:rPr>
        <w:t xml:space="preserve"> </w:t>
      </w:r>
      <w:r w:rsidRPr="0015313B">
        <w:rPr>
          <w:rFonts w:ascii="Arial" w:hAnsi="Arial" w:cs="Arial"/>
          <w:i/>
          <w:sz w:val="22"/>
          <w:szCs w:val="22"/>
        </w:rPr>
        <w:t>COAG Consultation Regulation Impact Statement – Hazardous Substances in Products</w:t>
      </w:r>
    </w:p>
    <w:p w:rsidR="008E5E36" w:rsidRPr="00B24B56" w:rsidRDefault="008E5E36">
      <w:pPr>
        <w:pStyle w:val="EndnoteText"/>
        <w:rPr>
          <w:rFonts w:ascii="Arial" w:hAnsi="Arial" w:cs="Arial"/>
          <w:i/>
          <w:sz w:val="22"/>
          <w:szCs w:val="22"/>
        </w:rPr>
      </w:pPr>
    </w:p>
  </w:endnote>
  <w:endnote w:id="40">
    <w:p w:rsidR="008E5E36" w:rsidRPr="00DB1B37" w:rsidRDefault="008E5E36">
      <w:pPr>
        <w:pStyle w:val="EndnoteText"/>
        <w:rPr>
          <w:rFonts w:ascii="Arial" w:hAnsi="Arial" w:cs="Arial"/>
          <w:i/>
          <w:sz w:val="22"/>
          <w:szCs w:val="22"/>
        </w:rPr>
      </w:pPr>
      <w:r w:rsidRPr="00DB1B37">
        <w:rPr>
          <w:rFonts w:ascii="Arial" w:hAnsi="Arial" w:cs="Arial"/>
          <w:i/>
          <w:sz w:val="22"/>
          <w:szCs w:val="22"/>
        </w:rPr>
        <w:endnoteRef/>
      </w:r>
      <w:r>
        <w:rPr>
          <w:rFonts w:ascii="Arial" w:hAnsi="Arial" w:cs="Arial"/>
          <w:i/>
          <w:sz w:val="22"/>
          <w:szCs w:val="22"/>
        </w:rPr>
        <w:t xml:space="preserve"> </w:t>
      </w:r>
      <w:r w:rsidRPr="00DB5E8E">
        <w:rPr>
          <w:rFonts w:ascii="Arial" w:hAnsi="Arial" w:cs="Arial"/>
          <w:i/>
          <w:sz w:val="22"/>
          <w:szCs w:val="22"/>
        </w:rPr>
        <w:t>Aboriginal lands clean-up program -</w:t>
      </w:r>
      <w:r w:rsidRPr="00DB1B37">
        <w:rPr>
          <w:rFonts w:ascii="Arial" w:hAnsi="Arial" w:cs="Arial"/>
          <w:i/>
          <w:sz w:val="22"/>
          <w:szCs w:val="22"/>
        </w:rPr>
        <w:t xml:space="preserve"> </w:t>
      </w:r>
      <w:hyperlink r:id="rId20" w:history="1">
        <w:r w:rsidRPr="00DB1B37">
          <w:rPr>
            <w:rFonts w:ascii="Arial" w:hAnsi="Arial" w:cs="Arial"/>
            <w:i/>
            <w:sz w:val="22"/>
            <w:szCs w:val="22"/>
          </w:rPr>
          <w:t>http://www.environment.nsw.gov.au/grants/alcup.htm</w:t>
        </w:r>
      </w:hyperlink>
    </w:p>
    <w:p w:rsidR="008E5E36" w:rsidRPr="00DB5E8E" w:rsidRDefault="008E5E36">
      <w:pPr>
        <w:pStyle w:val="EndnoteText"/>
        <w:rPr>
          <w:rFonts w:ascii="Arial" w:hAnsi="Arial" w:cs="Arial"/>
          <w:i/>
          <w:sz w:val="22"/>
          <w:szCs w:val="2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SemiLight-Pla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8157"/>
      <w:docPartObj>
        <w:docPartGallery w:val="Page Numbers (Bottom of Page)"/>
        <w:docPartUnique/>
      </w:docPartObj>
    </w:sdtPr>
    <w:sdtContent>
      <w:p w:rsidR="008E5E36" w:rsidRDefault="001F5E0F">
        <w:pPr>
          <w:pStyle w:val="Footer"/>
          <w:jc w:val="right"/>
        </w:pPr>
        <w:fldSimple w:instr=" PAGE   \* MERGEFORMAT ">
          <w:r w:rsidR="009D5B1D">
            <w:rPr>
              <w:noProof/>
            </w:rPr>
            <w:t>2</w:t>
          </w:r>
        </w:fldSimple>
      </w:p>
    </w:sdtContent>
  </w:sdt>
  <w:p w:rsidR="008E5E36" w:rsidRDefault="008E5E3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ED" w:rsidRDefault="000B37ED" w:rsidP="00A60185">
      <w:r>
        <w:separator/>
      </w:r>
    </w:p>
  </w:footnote>
  <w:footnote w:type="continuationSeparator" w:id="0">
    <w:p w:rsidR="000B37ED" w:rsidRDefault="000B37ED"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36" w:rsidRDefault="001F5E0F" w:rsidP="00E45765">
    <w:pPr>
      <w:pStyle w:val="Classification"/>
    </w:pPr>
    <w:r>
      <w:fldChar w:fldCharType="begin"/>
    </w:r>
    <w:r w:rsidR="008E5E36">
      <w:instrText xml:space="preserve"> DOCPROPERTY SecurityClassification \* MERGEFORMAT </w:instrText>
    </w:r>
    <w:r>
      <w:fldChar w:fldCharType="separate"/>
    </w:r>
    <w:r w:rsidR="008E5E36">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D64640"/>
    <w:multiLevelType w:val="hybridMultilevel"/>
    <w:tmpl w:val="1E66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06F1"/>
    <w:multiLevelType w:val="hybridMultilevel"/>
    <w:tmpl w:val="F9D0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C13EC"/>
    <w:multiLevelType w:val="hybridMultilevel"/>
    <w:tmpl w:val="A15488FA"/>
    <w:lvl w:ilvl="0" w:tplc="0C090001">
      <w:start w:val="1"/>
      <w:numFmt w:val="bullet"/>
      <w:lvlText w:val=""/>
      <w:lvlJc w:val="left"/>
      <w:pPr>
        <w:ind w:left="720" w:hanging="360"/>
      </w:pPr>
      <w:rPr>
        <w:rFonts w:ascii="Symbol" w:hAnsi="Symbol" w:hint="default"/>
      </w:rPr>
    </w:lvl>
    <w:lvl w:ilvl="1" w:tplc="89E4621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850AD"/>
    <w:multiLevelType w:val="hybridMultilevel"/>
    <w:tmpl w:val="9ED6E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46D63"/>
    <w:multiLevelType w:val="hybridMultilevel"/>
    <w:tmpl w:val="11A4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C0"/>
    <w:multiLevelType w:val="hybridMultilevel"/>
    <w:tmpl w:val="22208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74DBA"/>
    <w:multiLevelType w:val="multilevel"/>
    <w:tmpl w:val="1BC82EF0"/>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FB224A"/>
    <w:multiLevelType w:val="hybridMultilevel"/>
    <w:tmpl w:val="2EB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B6CED"/>
    <w:multiLevelType w:val="hybridMultilevel"/>
    <w:tmpl w:val="861EC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79137A"/>
    <w:multiLevelType w:val="hybridMultilevel"/>
    <w:tmpl w:val="32B6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59556E1"/>
    <w:multiLevelType w:val="hybridMultilevel"/>
    <w:tmpl w:val="879E2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C31082"/>
    <w:multiLevelType w:val="hybridMultilevel"/>
    <w:tmpl w:val="FEF0F9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95D519A"/>
    <w:multiLevelType w:val="hybridMultilevel"/>
    <w:tmpl w:val="91CC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495C4B"/>
    <w:multiLevelType w:val="hybridMultilevel"/>
    <w:tmpl w:val="380E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3472C"/>
    <w:multiLevelType w:val="hybridMultilevel"/>
    <w:tmpl w:val="3DA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0583C"/>
    <w:multiLevelType w:val="multilevel"/>
    <w:tmpl w:val="E82EE26E"/>
    <w:lvl w:ilvl="0">
      <w:start w:val="1"/>
      <w:numFmt w:val="decimal"/>
      <w:lvlText w:val="%1"/>
      <w:lvlJc w:val="left"/>
      <w:pPr>
        <w:ind w:left="432" w:hanging="432"/>
      </w:pPr>
      <w:rPr>
        <w:rFonts w:hint="default"/>
      </w:rPr>
    </w:lvl>
    <w:lvl w:ilvl="1">
      <w:numFmt w:val="none"/>
      <w:pStyle w:val="Heading2"/>
      <w:lvlText w:val=""/>
      <w:lvlJc w:val="left"/>
      <w:pPr>
        <w:ind w:left="0" w:firstLine="0"/>
      </w:pPr>
      <w:rPr>
        <w:rFonts w:hint="default"/>
      </w:rPr>
    </w:lvl>
    <w:lvl w:ilvl="2">
      <w:start w:val="1"/>
      <w:numFmt w:val="none"/>
      <w:pStyle w:val="Heading3"/>
      <w:lvlText w:val=""/>
      <w:lvlJc w:val="left"/>
      <w:pPr>
        <w:ind w:left="720" w:hanging="720"/>
      </w:pPr>
      <w:rPr>
        <w:rFonts w:hint="default"/>
      </w:rPr>
    </w:lvl>
    <w:lvl w:ilvl="3">
      <w:start w:val="1"/>
      <w:numFmt w:val="none"/>
      <w:pStyle w:val="Heading4"/>
      <w:lvlText w:val=""/>
      <w:lvlJc w:val="left"/>
      <w:pPr>
        <w:tabs>
          <w:tab w:val="num" w:pos="0"/>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546B5687"/>
    <w:multiLevelType w:val="hybridMultilevel"/>
    <w:tmpl w:val="82D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75EE1"/>
    <w:multiLevelType w:val="hybridMultilevel"/>
    <w:tmpl w:val="A8D0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8076CD"/>
    <w:multiLevelType w:val="hybridMultilevel"/>
    <w:tmpl w:val="D9E48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284951"/>
    <w:multiLevelType w:val="hybridMultilevel"/>
    <w:tmpl w:val="F01E6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A71256"/>
    <w:multiLevelType w:val="hybridMultilevel"/>
    <w:tmpl w:val="CAC4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56429"/>
    <w:multiLevelType w:val="multilevel"/>
    <w:tmpl w:val="E898CC72"/>
    <w:numStyleLink w:val="KeyPoints"/>
  </w:abstractNum>
  <w:abstractNum w:abstractNumId="25">
    <w:nsid w:val="73C776C1"/>
    <w:multiLevelType w:val="hybridMultilevel"/>
    <w:tmpl w:val="F40405C6"/>
    <w:lvl w:ilvl="0" w:tplc="9B48A30C">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nsid w:val="7BBA61D3"/>
    <w:multiLevelType w:val="hybridMultilevel"/>
    <w:tmpl w:val="35BCB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3"/>
  </w:num>
  <w:num w:numId="4">
    <w:abstractNumId w:val="11"/>
  </w:num>
  <w:num w:numId="5">
    <w:abstractNumId w:val="24"/>
  </w:num>
  <w:num w:numId="6">
    <w:abstractNumId w:val="3"/>
  </w:num>
  <w:num w:numId="7">
    <w:abstractNumId w:val="21"/>
  </w:num>
  <w:num w:numId="8">
    <w:abstractNumId w:val="6"/>
  </w:num>
  <w:num w:numId="9">
    <w:abstractNumId w:val="14"/>
  </w:num>
  <w:num w:numId="10">
    <w:abstractNumId w:val="18"/>
  </w:num>
  <w:num w:numId="11">
    <w:abstractNumId w:val="9"/>
  </w:num>
  <w:num w:numId="12">
    <w:abstractNumId w:val="5"/>
  </w:num>
  <w:num w:numId="13">
    <w:abstractNumId w:val="10"/>
  </w:num>
  <w:num w:numId="14">
    <w:abstractNumId w:val="15"/>
  </w:num>
  <w:num w:numId="15">
    <w:abstractNumId w:val="17"/>
  </w:num>
  <w:num w:numId="16">
    <w:abstractNumId w:val="23"/>
  </w:num>
  <w:num w:numId="17">
    <w:abstractNumId w:val="20"/>
  </w:num>
  <w:num w:numId="18">
    <w:abstractNumId w:val="19"/>
  </w:num>
  <w:num w:numId="19">
    <w:abstractNumId w:val="8"/>
  </w:num>
  <w:num w:numId="20">
    <w:abstractNumId w:val="2"/>
  </w:num>
  <w:num w:numId="21">
    <w:abstractNumId w:val="4"/>
  </w:num>
  <w:num w:numId="22">
    <w:abstractNumId w:val="22"/>
  </w:num>
  <w:num w:numId="23">
    <w:abstractNumId w:val="12"/>
  </w:num>
  <w:num w:numId="24">
    <w:abstractNumId w:val="16"/>
  </w:num>
  <w:num w:numId="25">
    <w:abstractNumId w:val="1"/>
  </w:num>
  <w:num w:numId="26">
    <w:abstractNumId w:val="25"/>
  </w:num>
  <w:num w:numId="27">
    <w:abstractNumId w:val="25"/>
    <w:lvlOverride w:ilvl="0">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7"/>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o:colormru v:ext="edit" colors="#f3f9a7,#f7fda3,#fbfed2,#ff6,#ffc,#ff9,#c9f7b7,#ffe5f8"/>
    </o:shapedefaults>
  </w:hdrShapeDefaults>
  <w:footnotePr>
    <w:numFmt w:val="upperRoman"/>
    <w:footnote w:id="-1"/>
    <w:footnote w:id="0"/>
  </w:footnotePr>
  <w:endnotePr>
    <w:numFmt w:val="decimal"/>
    <w:endnote w:id="-1"/>
    <w:endnote w:id="0"/>
  </w:endnotePr>
  <w:compat/>
  <w:docVars>
    <w:docVar w:name="SecurityClassificationInHeader" w:val="False"/>
  </w:docVars>
  <w:rsids>
    <w:rsidRoot w:val="00FF08A1"/>
    <w:rsid w:val="00001048"/>
    <w:rsid w:val="00001E7D"/>
    <w:rsid w:val="00001F3D"/>
    <w:rsid w:val="000020E6"/>
    <w:rsid w:val="00004AEE"/>
    <w:rsid w:val="00005070"/>
    <w:rsid w:val="00005673"/>
    <w:rsid w:val="00005CAA"/>
    <w:rsid w:val="00005CFD"/>
    <w:rsid w:val="00007060"/>
    <w:rsid w:val="00007AA7"/>
    <w:rsid w:val="00010210"/>
    <w:rsid w:val="00012D66"/>
    <w:rsid w:val="00013FCE"/>
    <w:rsid w:val="0001440F"/>
    <w:rsid w:val="00014494"/>
    <w:rsid w:val="000151D6"/>
    <w:rsid w:val="00015ADA"/>
    <w:rsid w:val="00016996"/>
    <w:rsid w:val="00020594"/>
    <w:rsid w:val="00020C99"/>
    <w:rsid w:val="00020CE6"/>
    <w:rsid w:val="00021036"/>
    <w:rsid w:val="00021A7F"/>
    <w:rsid w:val="000223D6"/>
    <w:rsid w:val="0002323D"/>
    <w:rsid w:val="0002707B"/>
    <w:rsid w:val="00027AC7"/>
    <w:rsid w:val="00030067"/>
    <w:rsid w:val="00030202"/>
    <w:rsid w:val="00030875"/>
    <w:rsid w:val="000321DF"/>
    <w:rsid w:val="00033B1A"/>
    <w:rsid w:val="00036261"/>
    <w:rsid w:val="00037D8A"/>
    <w:rsid w:val="00042011"/>
    <w:rsid w:val="0004228E"/>
    <w:rsid w:val="00042FD2"/>
    <w:rsid w:val="00043D3E"/>
    <w:rsid w:val="000453F7"/>
    <w:rsid w:val="00045B29"/>
    <w:rsid w:val="000460C5"/>
    <w:rsid w:val="000512D4"/>
    <w:rsid w:val="0005148E"/>
    <w:rsid w:val="000536B2"/>
    <w:rsid w:val="0005468D"/>
    <w:rsid w:val="00055605"/>
    <w:rsid w:val="0006073B"/>
    <w:rsid w:val="0006244B"/>
    <w:rsid w:val="00062BEB"/>
    <w:rsid w:val="00062FC5"/>
    <w:rsid w:val="00063AD4"/>
    <w:rsid w:val="0006441E"/>
    <w:rsid w:val="000648AF"/>
    <w:rsid w:val="000649F6"/>
    <w:rsid w:val="00064E9D"/>
    <w:rsid w:val="00065E96"/>
    <w:rsid w:val="00072C5A"/>
    <w:rsid w:val="000735C7"/>
    <w:rsid w:val="000735D9"/>
    <w:rsid w:val="000759E5"/>
    <w:rsid w:val="00076C65"/>
    <w:rsid w:val="0008222A"/>
    <w:rsid w:val="00084AC6"/>
    <w:rsid w:val="000850F0"/>
    <w:rsid w:val="000869BD"/>
    <w:rsid w:val="00091608"/>
    <w:rsid w:val="0009333C"/>
    <w:rsid w:val="00093B95"/>
    <w:rsid w:val="0009704F"/>
    <w:rsid w:val="000A008C"/>
    <w:rsid w:val="000A03DD"/>
    <w:rsid w:val="000A0658"/>
    <w:rsid w:val="000A0F11"/>
    <w:rsid w:val="000A125A"/>
    <w:rsid w:val="000A14E9"/>
    <w:rsid w:val="000A2312"/>
    <w:rsid w:val="000A2FFE"/>
    <w:rsid w:val="000A301F"/>
    <w:rsid w:val="000A3372"/>
    <w:rsid w:val="000A406A"/>
    <w:rsid w:val="000A56CB"/>
    <w:rsid w:val="000A57CD"/>
    <w:rsid w:val="000B1A40"/>
    <w:rsid w:val="000B261E"/>
    <w:rsid w:val="000B2C1E"/>
    <w:rsid w:val="000B3758"/>
    <w:rsid w:val="000B37ED"/>
    <w:rsid w:val="000B4D75"/>
    <w:rsid w:val="000B5E45"/>
    <w:rsid w:val="000B62ED"/>
    <w:rsid w:val="000B75E1"/>
    <w:rsid w:val="000B7681"/>
    <w:rsid w:val="000B7B42"/>
    <w:rsid w:val="000C02B7"/>
    <w:rsid w:val="000C0697"/>
    <w:rsid w:val="000C073F"/>
    <w:rsid w:val="000C1C7B"/>
    <w:rsid w:val="000C2FF2"/>
    <w:rsid w:val="000C303E"/>
    <w:rsid w:val="000C3480"/>
    <w:rsid w:val="000C4AA6"/>
    <w:rsid w:val="000C4ACB"/>
    <w:rsid w:val="000C5100"/>
    <w:rsid w:val="000C52CE"/>
    <w:rsid w:val="000C5342"/>
    <w:rsid w:val="000C62F8"/>
    <w:rsid w:val="000C706A"/>
    <w:rsid w:val="000C7827"/>
    <w:rsid w:val="000D230C"/>
    <w:rsid w:val="000D2887"/>
    <w:rsid w:val="000D3C02"/>
    <w:rsid w:val="000D4406"/>
    <w:rsid w:val="000D490E"/>
    <w:rsid w:val="000D6353"/>
    <w:rsid w:val="000D6D63"/>
    <w:rsid w:val="000D715A"/>
    <w:rsid w:val="000D72FE"/>
    <w:rsid w:val="000D745F"/>
    <w:rsid w:val="000D7FE3"/>
    <w:rsid w:val="000E0081"/>
    <w:rsid w:val="000E058A"/>
    <w:rsid w:val="000E07CF"/>
    <w:rsid w:val="000E0BCE"/>
    <w:rsid w:val="000E31C1"/>
    <w:rsid w:val="000E467D"/>
    <w:rsid w:val="000E480C"/>
    <w:rsid w:val="000E4B96"/>
    <w:rsid w:val="000E5C6F"/>
    <w:rsid w:val="000E6E05"/>
    <w:rsid w:val="000E74B2"/>
    <w:rsid w:val="000F170C"/>
    <w:rsid w:val="000F2CF2"/>
    <w:rsid w:val="000F39D2"/>
    <w:rsid w:val="000F411B"/>
    <w:rsid w:val="000F532C"/>
    <w:rsid w:val="000F58AC"/>
    <w:rsid w:val="000F5A37"/>
    <w:rsid w:val="000F5FF9"/>
    <w:rsid w:val="000F67C4"/>
    <w:rsid w:val="0010016F"/>
    <w:rsid w:val="0010048F"/>
    <w:rsid w:val="00100BEF"/>
    <w:rsid w:val="00100F55"/>
    <w:rsid w:val="00102CA0"/>
    <w:rsid w:val="001043CD"/>
    <w:rsid w:val="001100D6"/>
    <w:rsid w:val="00111326"/>
    <w:rsid w:val="001114B2"/>
    <w:rsid w:val="00112875"/>
    <w:rsid w:val="0011498E"/>
    <w:rsid w:val="00116E96"/>
    <w:rsid w:val="00117A45"/>
    <w:rsid w:val="00117CBD"/>
    <w:rsid w:val="00117FCD"/>
    <w:rsid w:val="00120782"/>
    <w:rsid w:val="001216B9"/>
    <w:rsid w:val="00121ACB"/>
    <w:rsid w:val="001224AE"/>
    <w:rsid w:val="00123564"/>
    <w:rsid w:val="00123568"/>
    <w:rsid w:val="001334D5"/>
    <w:rsid w:val="001337D4"/>
    <w:rsid w:val="00135960"/>
    <w:rsid w:val="00135962"/>
    <w:rsid w:val="00136C29"/>
    <w:rsid w:val="00136D9C"/>
    <w:rsid w:val="0013705A"/>
    <w:rsid w:val="00137EF4"/>
    <w:rsid w:val="0014021E"/>
    <w:rsid w:val="00141D67"/>
    <w:rsid w:val="00143C64"/>
    <w:rsid w:val="001442B2"/>
    <w:rsid w:val="00144ABE"/>
    <w:rsid w:val="00145692"/>
    <w:rsid w:val="00147C12"/>
    <w:rsid w:val="001517FF"/>
    <w:rsid w:val="0015245A"/>
    <w:rsid w:val="001527A1"/>
    <w:rsid w:val="001530DC"/>
    <w:rsid w:val="0015313B"/>
    <w:rsid w:val="00153607"/>
    <w:rsid w:val="00154483"/>
    <w:rsid w:val="00154989"/>
    <w:rsid w:val="00155A9F"/>
    <w:rsid w:val="001560AF"/>
    <w:rsid w:val="00156658"/>
    <w:rsid w:val="00157110"/>
    <w:rsid w:val="0015740D"/>
    <w:rsid w:val="0015760C"/>
    <w:rsid w:val="00160262"/>
    <w:rsid w:val="0016219C"/>
    <w:rsid w:val="001621C3"/>
    <w:rsid w:val="00163223"/>
    <w:rsid w:val="001632F3"/>
    <w:rsid w:val="001644C3"/>
    <w:rsid w:val="00164ED1"/>
    <w:rsid w:val="00166050"/>
    <w:rsid w:val="001672BE"/>
    <w:rsid w:val="0016780A"/>
    <w:rsid w:val="0017037B"/>
    <w:rsid w:val="001713FA"/>
    <w:rsid w:val="00172FD2"/>
    <w:rsid w:val="0017305A"/>
    <w:rsid w:val="00173EBF"/>
    <w:rsid w:val="0017450A"/>
    <w:rsid w:val="00175ED3"/>
    <w:rsid w:val="00177E09"/>
    <w:rsid w:val="0018047B"/>
    <w:rsid w:val="0018218A"/>
    <w:rsid w:val="00182791"/>
    <w:rsid w:val="001831C1"/>
    <w:rsid w:val="0018344C"/>
    <w:rsid w:val="0018353A"/>
    <w:rsid w:val="001842A2"/>
    <w:rsid w:val="0018447E"/>
    <w:rsid w:val="00184DE7"/>
    <w:rsid w:val="001856F8"/>
    <w:rsid w:val="00186C73"/>
    <w:rsid w:val="00187928"/>
    <w:rsid w:val="00187FA8"/>
    <w:rsid w:val="0019010D"/>
    <w:rsid w:val="0019059D"/>
    <w:rsid w:val="00190830"/>
    <w:rsid w:val="00192685"/>
    <w:rsid w:val="00192F5E"/>
    <w:rsid w:val="0019529F"/>
    <w:rsid w:val="00195C4C"/>
    <w:rsid w:val="001970AD"/>
    <w:rsid w:val="00197772"/>
    <w:rsid w:val="00197FDB"/>
    <w:rsid w:val="001A049A"/>
    <w:rsid w:val="001A3D36"/>
    <w:rsid w:val="001A496B"/>
    <w:rsid w:val="001A51C8"/>
    <w:rsid w:val="001A6C85"/>
    <w:rsid w:val="001B402F"/>
    <w:rsid w:val="001B4CA8"/>
    <w:rsid w:val="001B5EA1"/>
    <w:rsid w:val="001B6D16"/>
    <w:rsid w:val="001C042E"/>
    <w:rsid w:val="001C07F1"/>
    <w:rsid w:val="001C08E9"/>
    <w:rsid w:val="001C2E7D"/>
    <w:rsid w:val="001C3D28"/>
    <w:rsid w:val="001C4F3D"/>
    <w:rsid w:val="001C5470"/>
    <w:rsid w:val="001C5BF3"/>
    <w:rsid w:val="001C5F24"/>
    <w:rsid w:val="001C6144"/>
    <w:rsid w:val="001C65D5"/>
    <w:rsid w:val="001D02E4"/>
    <w:rsid w:val="001D0CDC"/>
    <w:rsid w:val="001D0EFE"/>
    <w:rsid w:val="001D0FFB"/>
    <w:rsid w:val="001D13F7"/>
    <w:rsid w:val="001D1D82"/>
    <w:rsid w:val="001D317D"/>
    <w:rsid w:val="001D39FD"/>
    <w:rsid w:val="001D417F"/>
    <w:rsid w:val="001D7675"/>
    <w:rsid w:val="001E097C"/>
    <w:rsid w:val="001E0F52"/>
    <w:rsid w:val="001E1182"/>
    <w:rsid w:val="001E11C6"/>
    <w:rsid w:val="001E5BC0"/>
    <w:rsid w:val="001E5F65"/>
    <w:rsid w:val="001F3634"/>
    <w:rsid w:val="001F5452"/>
    <w:rsid w:val="001F5E0F"/>
    <w:rsid w:val="001F60EE"/>
    <w:rsid w:val="001F7477"/>
    <w:rsid w:val="00201AEE"/>
    <w:rsid w:val="00202C90"/>
    <w:rsid w:val="00205C6F"/>
    <w:rsid w:val="00205CEE"/>
    <w:rsid w:val="002065F3"/>
    <w:rsid w:val="00207F52"/>
    <w:rsid w:val="00207FDB"/>
    <w:rsid w:val="00211EE2"/>
    <w:rsid w:val="00211FAF"/>
    <w:rsid w:val="00213227"/>
    <w:rsid w:val="00213969"/>
    <w:rsid w:val="00213DE8"/>
    <w:rsid w:val="00213F6D"/>
    <w:rsid w:val="00216118"/>
    <w:rsid w:val="00217A21"/>
    <w:rsid w:val="00217FD5"/>
    <w:rsid w:val="00220265"/>
    <w:rsid w:val="002209AB"/>
    <w:rsid w:val="002222CD"/>
    <w:rsid w:val="002250FF"/>
    <w:rsid w:val="002251E3"/>
    <w:rsid w:val="00225342"/>
    <w:rsid w:val="0022606A"/>
    <w:rsid w:val="00227276"/>
    <w:rsid w:val="00227A95"/>
    <w:rsid w:val="00230B01"/>
    <w:rsid w:val="002316BD"/>
    <w:rsid w:val="00232624"/>
    <w:rsid w:val="00233FEA"/>
    <w:rsid w:val="002356C8"/>
    <w:rsid w:val="00235A4A"/>
    <w:rsid w:val="00235C3A"/>
    <w:rsid w:val="00235C81"/>
    <w:rsid w:val="00236B96"/>
    <w:rsid w:val="00236EA7"/>
    <w:rsid w:val="00237161"/>
    <w:rsid w:val="00240A72"/>
    <w:rsid w:val="00241E1E"/>
    <w:rsid w:val="002434C1"/>
    <w:rsid w:val="002440CC"/>
    <w:rsid w:val="00244779"/>
    <w:rsid w:val="002449A1"/>
    <w:rsid w:val="00244DDA"/>
    <w:rsid w:val="002473FC"/>
    <w:rsid w:val="00247AD2"/>
    <w:rsid w:val="0025000C"/>
    <w:rsid w:val="0025152D"/>
    <w:rsid w:val="0025180B"/>
    <w:rsid w:val="00251B67"/>
    <w:rsid w:val="00252E3C"/>
    <w:rsid w:val="00253DC0"/>
    <w:rsid w:val="00257F08"/>
    <w:rsid w:val="00260A82"/>
    <w:rsid w:val="00262198"/>
    <w:rsid w:val="0026378F"/>
    <w:rsid w:val="00263F30"/>
    <w:rsid w:val="00265816"/>
    <w:rsid w:val="00270749"/>
    <w:rsid w:val="0027163A"/>
    <w:rsid w:val="00272786"/>
    <w:rsid w:val="0027599A"/>
    <w:rsid w:val="00275A6C"/>
    <w:rsid w:val="00277935"/>
    <w:rsid w:val="00277B75"/>
    <w:rsid w:val="0028146E"/>
    <w:rsid w:val="002835EA"/>
    <w:rsid w:val="002855C5"/>
    <w:rsid w:val="00285F1B"/>
    <w:rsid w:val="0028794F"/>
    <w:rsid w:val="00290197"/>
    <w:rsid w:val="00290810"/>
    <w:rsid w:val="00292797"/>
    <w:rsid w:val="00292B81"/>
    <w:rsid w:val="002935F5"/>
    <w:rsid w:val="00295450"/>
    <w:rsid w:val="00296FA7"/>
    <w:rsid w:val="002A093F"/>
    <w:rsid w:val="002A1865"/>
    <w:rsid w:val="002A1AAD"/>
    <w:rsid w:val="002A2A29"/>
    <w:rsid w:val="002A34AE"/>
    <w:rsid w:val="002A3503"/>
    <w:rsid w:val="002A425E"/>
    <w:rsid w:val="002A44C9"/>
    <w:rsid w:val="002A62DA"/>
    <w:rsid w:val="002B06BB"/>
    <w:rsid w:val="002B0A87"/>
    <w:rsid w:val="002B1159"/>
    <w:rsid w:val="002B18AE"/>
    <w:rsid w:val="002B1AA2"/>
    <w:rsid w:val="002B50CB"/>
    <w:rsid w:val="002B59D6"/>
    <w:rsid w:val="002B59F0"/>
    <w:rsid w:val="002B5D7A"/>
    <w:rsid w:val="002B62A5"/>
    <w:rsid w:val="002B70C7"/>
    <w:rsid w:val="002B7F85"/>
    <w:rsid w:val="002C1C93"/>
    <w:rsid w:val="002C3B96"/>
    <w:rsid w:val="002C3DD9"/>
    <w:rsid w:val="002C5066"/>
    <w:rsid w:val="002C534E"/>
    <w:rsid w:val="002C5813"/>
    <w:rsid w:val="002C58C8"/>
    <w:rsid w:val="002C6376"/>
    <w:rsid w:val="002C6EC2"/>
    <w:rsid w:val="002C7F53"/>
    <w:rsid w:val="002D1A60"/>
    <w:rsid w:val="002D31F5"/>
    <w:rsid w:val="002D4AAC"/>
    <w:rsid w:val="002D5DD0"/>
    <w:rsid w:val="002D71D9"/>
    <w:rsid w:val="002D7943"/>
    <w:rsid w:val="002E1A25"/>
    <w:rsid w:val="002E1C7C"/>
    <w:rsid w:val="002E1DE1"/>
    <w:rsid w:val="002E2C3D"/>
    <w:rsid w:val="002E3FA0"/>
    <w:rsid w:val="002E5CBD"/>
    <w:rsid w:val="002E722E"/>
    <w:rsid w:val="002E7882"/>
    <w:rsid w:val="002F0045"/>
    <w:rsid w:val="002F045A"/>
    <w:rsid w:val="002F4F91"/>
    <w:rsid w:val="002F54CF"/>
    <w:rsid w:val="002F6A9D"/>
    <w:rsid w:val="003000E1"/>
    <w:rsid w:val="0030039D"/>
    <w:rsid w:val="00300A1E"/>
    <w:rsid w:val="003024D6"/>
    <w:rsid w:val="0030326F"/>
    <w:rsid w:val="00305E68"/>
    <w:rsid w:val="0030619F"/>
    <w:rsid w:val="0030679F"/>
    <w:rsid w:val="0030686A"/>
    <w:rsid w:val="00310701"/>
    <w:rsid w:val="00311A6F"/>
    <w:rsid w:val="003135ED"/>
    <w:rsid w:val="00313987"/>
    <w:rsid w:val="0031402F"/>
    <w:rsid w:val="0031414F"/>
    <w:rsid w:val="00314FE8"/>
    <w:rsid w:val="00315980"/>
    <w:rsid w:val="00316702"/>
    <w:rsid w:val="00316F7F"/>
    <w:rsid w:val="003218E8"/>
    <w:rsid w:val="00321AA7"/>
    <w:rsid w:val="0032392A"/>
    <w:rsid w:val="00323D51"/>
    <w:rsid w:val="00324397"/>
    <w:rsid w:val="00324A28"/>
    <w:rsid w:val="003255C8"/>
    <w:rsid w:val="00325E34"/>
    <w:rsid w:val="00326739"/>
    <w:rsid w:val="00326B9D"/>
    <w:rsid w:val="003304AE"/>
    <w:rsid w:val="00330DCE"/>
    <w:rsid w:val="003319AA"/>
    <w:rsid w:val="00331E11"/>
    <w:rsid w:val="00334528"/>
    <w:rsid w:val="00334761"/>
    <w:rsid w:val="00335749"/>
    <w:rsid w:val="003363BE"/>
    <w:rsid w:val="0033703D"/>
    <w:rsid w:val="00337EBC"/>
    <w:rsid w:val="0034010B"/>
    <w:rsid w:val="00341DCD"/>
    <w:rsid w:val="003426DD"/>
    <w:rsid w:val="00342E51"/>
    <w:rsid w:val="00343880"/>
    <w:rsid w:val="003442F7"/>
    <w:rsid w:val="0034563E"/>
    <w:rsid w:val="003464BA"/>
    <w:rsid w:val="00347647"/>
    <w:rsid w:val="00347A4E"/>
    <w:rsid w:val="003502C3"/>
    <w:rsid w:val="003518D6"/>
    <w:rsid w:val="00351B3B"/>
    <w:rsid w:val="00353A0F"/>
    <w:rsid w:val="0035460C"/>
    <w:rsid w:val="00354AB1"/>
    <w:rsid w:val="00354D01"/>
    <w:rsid w:val="003556BD"/>
    <w:rsid w:val="00356120"/>
    <w:rsid w:val="003575A4"/>
    <w:rsid w:val="003602FE"/>
    <w:rsid w:val="00362B94"/>
    <w:rsid w:val="00363F79"/>
    <w:rsid w:val="00365147"/>
    <w:rsid w:val="00366F34"/>
    <w:rsid w:val="0037016E"/>
    <w:rsid w:val="003702D3"/>
    <w:rsid w:val="0037132E"/>
    <w:rsid w:val="00371559"/>
    <w:rsid w:val="00371985"/>
    <w:rsid w:val="00371F86"/>
    <w:rsid w:val="00372908"/>
    <w:rsid w:val="00373135"/>
    <w:rsid w:val="003736C5"/>
    <w:rsid w:val="00373C6B"/>
    <w:rsid w:val="00374275"/>
    <w:rsid w:val="003747E6"/>
    <w:rsid w:val="0037494E"/>
    <w:rsid w:val="00374E69"/>
    <w:rsid w:val="00375344"/>
    <w:rsid w:val="003759F1"/>
    <w:rsid w:val="00375BDE"/>
    <w:rsid w:val="003778E3"/>
    <w:rsid w:val="00383020"/>
    <w:rsid w:val="00383468"/>
    <w:rsid w:val="00386FA5"/>
    <w:rsid w:val="0039056D"/>
    <w:rsid w:val="00391007"/>
    <w:rsid w:val="00391410"/>
    <w:rsid w:val="00391A7A"/>
    <w:rsid w:val="003925A4"/>
    <w:rsid w:val="003942DD"/>
    <w:rsid w:val="00394D7E"/>
    <w:rsid w:val="00394E30"/>
    <w:rsid w:val="003975FD"/>
    <w:rsid w:val="003A201F"/>
    <w:rsid w:val="003A2C3C"/>
    <w:rsid w:val="003A2FF7"/>
    <w:rsid w:val="003A4226"/>
    <w:rsid w:val="003A4597"/>
    <w:rsid w:val="003A4E8A"/>
    <w:rsid w:val="003A752F"/>
    <w:rsid w:val="003B057D"/>
    <w:rsid w:val="003B0E81"/>
    <w:rsid w:val="003B0E9F"/>
    <w:rsid w:val="003B17F2"/>
    <w:rsid w:val="003B18F5"/>
    <w:rsid w:val="003B3998"/>
    <w:rsid w:val="003B60CC"/>
    <w:rsid w:val="003B6648"/>
    <w:rsid w:val="003B7D4B"/>
    <w:rsid w:val="003C1B25"/>
    <w:rsid w:val="003C2443"/>
    <w:rsid w:val="003C3DC1"/>
    <w:rsid w:val="003C4BF4"/>
    <w:rsid w:val="003C5905"/>
    <w:rsid w:val="003C5DA3"/>
    <w:rsid w:val="003C6BE5"/>
    <w:rsid w:val="003C73FF"/>
    <w:rsid w:val="003D436E"/>
    <w:rsid w:val="003D4BCD"/>
    <w:rsid w:val="003D564F"/>
    <w:rsid w:val="003D5DD0"/>
    <w:rsid w:val="003D6791"/>
    <w:rsid w:val="003D6C2B"/>
    <w:rsid w:val="003E01D8"/>
    <w:rsid w:val="003E0550"/>
    <w:rsid w:val="003E0F4D"/>
    <w:rsid w:val="003E128B"/>
    <w:rsid w:val="003E2100"/>
    <w:rsid w:val="003E4B9A"/>
    <w:rsid w:val="003E5B5B"/>
    <w:rsid w:val="003E697A"/>
    <w:rsid w:val="003E7217"/>
    <w:rsid w:val="003F03D1"/>
    <w:rsid w:val="003F0805"/>
    <w:rsid w:val="003F08C8"/>
    <w:rsid w:val="003F23FF"/>
    <w:rsid w:val="003F3D6C"/>
    <w:rsid w:val="003F4CA5"/>
    <w:rsid w:val="003F5568"/>
    <w:rsid w:val="003F58A8"/>
    <w:rsid w:val="003F5AA6"/>
    <w:rsid w:val="003F5B22"/>
    <w:rsid w:val="003F5FED"/>
    <w:rsid w:val="003F6F5B"/>
    <w:rsid w:val="003F732B"/>
    <w:rsid w:val="003F7579"/>
    <w:rsid w:val="003F789D"/>
    <w:rsid w:val="00403217"/>
    <w:rsid w:val="0040342D"/>
    <w:rsid w:val="00405F21"/>
    <w:rsid w:val="00406F84"/>
    <w:rsid w:val="004105EB"/>
    <w:rsid w:val="0041192D"/>
    <w:rsid w:val="00411E55"/>
    <w:rsid w:val="0041281C"/>
    <w:rsid w:val="00413EE1"/>
    <w:rsid w:val="004140A1"/>
    <w:rsid w:val="00415F57"/>
    <w:rsid w:val="00416DEC"/>
    <w:rsid w:val="00420543"/>
    <w:rsid w:val="0042128E"/>
    <w:rsid w:val="0042204D"/>
    <w:rsid w:val="00422407"/>
    <w:rsid w:val="00422CC3"/>
    <w:rsid w:val="004234CF"/>
    <w:rsid w:val="004234FB"/>
    <w:rsid w:val="00423F94"/>
    <w:rsid w:val="004247FE"/>
    <w:rsid w:val="00425A4E"/>
    <w:rsid w:val="00425FA6"/>
    <w:rsid w:val="00427862"/>
    <w:rsid w:val="0043199C"/>
    <w:rsid w:val="00432B60"/>
    <w:rsid w:val="00432CC5"/>
    <w:rsid w:val="0043345E"/>
    <w:rsid w:val="004336B5"/>
    <w:rsid w:val="00434277"/>
    <w:rsid w:val="004351B3"/>
    <w:rsid w:val="004404E9"/>
    <w:rsid w:val="00440698"/>
    <w:rsid w:val="00440741"/>
    <w:rsid w:val="004407D1"/>
    <w:rsid w:val="00440B12"/>
    <w:rsid w:val="00442C31"/>
    <w:rsid w:val="00443594"/>
    <w:rsid w:val="00446A6E"/>
    <w:rsid w:val="00447146"/>
    <w:rsid w:val="00450476"/>
    <w:rsid w:val="00450E0F"/>
    <w:rsid w:val="004540E2"/>
    <w:rsid w:val="00454454"/>
    <w:rsid w:val="00454628"/>
    <w:rsid w:val="00456150"/>
    <w:rsid w:val="00456584"/>
    <w:rsid w:val="00457FFC"/>
    <w:rsid w:val="00461861"/>
    <w:rsid w:val="00461E09"/>
    <w:rsid w:val="00463068"/>
    <w:rsid w:val="00463B40"/>
    <w:rsid w:val="00463E71"/>
    <w:rsid w:val="0046764B"/>
    <w:rsid w:val="00467924"/>
    <w:rsid w:val="004712A5"/>
    <w:rsid w:val="0047266F"/>
    <w:rsid w:val="00472A37"/>
    <w:rsid w:val="00473B78"/>
    <w:rsid w:val="00473CBE"/>
    <w:rsid w:val="00473DB9"/>
    <w:rsid w:val="004746EC"/>
    <w:rsid w:val="00476946"/>
    <w:rsid w:val="00476D6B"/>
    <w:rsid w:val="00477653"/>
    <w:rsid w:val="004832A2"/>
    <w:rsid w:val="004833A7"/>
    <w:rsid w:val="00483416"/>
    <w:rsid w:val="0048730B"/>
    <w:rsid w:val="00491470"/>
    <w:rsid w:val="0049172B"/>
    <w:rsid w:val="00492C16"/>
    <w:rsid w:val="00493284"/>
    <w:rsid w:val="004A0678"/>
    <w:rsid w:val="004A0AAB"/>
    <w:rsid w:val="004A1624"/>
    <w:rsid w:val="004A3101"/>
    <w:rsid w:val="004A48A3"/>
    <w:rsid w:val="004A690C"/>
    <w:rsid w:val="004B0D92"/>
    <w:rsid w:val="004B0EC0"/>
    <w:rsid w:val="004B3517"/>
    <w:rsid w:val="004B3A03"/>
    <w:rsid w:val="004B498E"/>
    <w:rsid w:val="004B541A"/>
    <w:rsid w:val="004B66F1"/>
    <w:rsid w:val="004B6BFE"/>
    <w:rsid w:val="004B6F61"/>
    <w:rsid w:val="004B7159"/>
    <w:rsid w:val="004B72C7"/>
    <w:rsid w:val="004C2B5E"/>
    <w:rsid w:val="004C2C4A"/>
    <w:rsid w:val="004C3B6D"/>
    <w:rsid w:val="004C3EA0"/>
    <w:rsid w:val="004C6171"/>
    <w:rsid w:val="004C6582"/>
    <w:rsid w:val="004D02AA"/>
    <w:rsid w:val="004D1A79"/>
    <w:rsid w:val="004D40B3"/>
    <w:rsid w:val="004D49AC"/>
    <w:rsid w:val="004D6461"/>
    <w:rsid w:val="004D6F05"/>
    <w:rsid w:val="004D74D0"/>
    <w:rsid w:val="004E08C2"/>
    <w:rsid w:val="004E0997"/>
    <w:rsid w:val="004E1245"/>
    <w:rsid w:val="004E1415"/>
    <w:rsid w:val="004E237A"/>
    <w:rsid w:val="004E2DED"/>
    <w:rsid w:val="004E35D0"/>
    <w:rsid w:val="004E39A6"/>
    <w:rsid w:val="004E532B"/>
    <w:rsid w:val="004E578D"/>
    <w:rsid w:val="004E63E0"/>
    <w:rsid w:val="004F02E4"/>
    <w:rsid w:val="004F065E"/>
    <w:rsid w:val="004F5E86"/>
    <w:rsid w:val="004F68C3"/>
    <w:rsid w:val="004F7169"/>
    <w:rsid w:val="004F7CA4"/>
    <w:rsid w:val="00500D66"/>
    <w:rsid w:val="00502B8F"/>
    <w:rsid w:val="00503992"/>
    <w:rsid w:val="00503D32"/>
    <w:rsid w:val="005052C1"/>
    <w:rsid w:val="00505403"/>
    <w:rsid w:val="00505DF0"/>
    <w:rsid w:val="00506DBB"/>
    <w:rsid w:val="00506F2B"/>
    <w:rsid w:val="00507BC0"/>
    <w:rsid w:val="0051085D"/>
    <w:rsid w:val="005109AF"/>
    <w:rsid w:val="0051142A"/>
    <w:rsid w:val="005125AD"/>
    <w:rsid w:val="0051265D"/>
    <w:rsid w:val="00513903"/>
    <w:rsid w:val="00513911"/>
    <w:rsid w:val="00514C8E"/>
    <w:rsid w:val="0052031F"/>
    <w:rsid w:val="00521450"/>
    <w:rsid w:val="005217EF"/>
    <w:rsid w:val="00521C17"/>
    <w:rsid w:val="00522F87"/>
    <w:rsid w:val="0052395C"/>
    <w:rsid w:val="00523A8B"/>
    <w:rsid w:val="00525604"/>
    <w:rsid w:val="00525F54"/>
    <w:rsid w:val="005264E9"/>
    <w:rsid w:val="005270A5"/>
    <w:rsid w:val="00527912"/>
    <w:rsid w:val="005279CA"/>
    <w:rsid w:val="00527F5D"/>
    <w:rsid w:val="00530866"/>
    <w:rsid w:val="00530DA5"/>
    <w:rsid w:val="00531DBF"/>
    <w:rsid w:val="005337B6"/>
    <w:rsid w:val="00534282"/>
    <w:rsid w:val="00534F6E"/>
    <w:rsid w:val="00537220"/>
    <w:rsid w:val="00537A8C"/>
    <w:rsid w:val="0054124D"/>
    <w:rsid w:val="005424B7"/>
    <w:rsid w:val="0054346A"/>
    <w:rsid w:val="005451C5"/>
    <w:rsid w:val="00545759"/>
    <w:rsid w:val="00545BE0"/>
    <w:rsid w:val="00546930"/>
    <w:rsid w:val="00547043"/>
    <w:rsid w:val="005477E5"/>
    <w:rsid w:val="00547B5D"/>
    <w:rsid w:val="00551FF1"/>
    <w:rsid w:val="0055448F"/>
    <w:rsid w:val="00554C6A"/>
    <w:rsid w:val="005568E8"/>
    <w:rsid w:val="005568FB"/>
    <w:rsid w:val="00560CA0"/>
    <w:rsid w:val="005613FD"/>
    <w:rsid w:val="00562E85"/>
    <w:rsid w:val="0056332F"/>
    <w:rsid w:val="00564D1E"/>
    <w:rsid w:val="005719B3"/>
    <w:rsid w:val="005721A1"/>
    <w:rsid w:val="0057295E"/>
    <w:rsid w:val="00573CB4"/>
    <w:rsid w:val="005757AF"/>
    <w:rsid w:val="00575A0A"/>
    <w:rsid w:val="00577924"/>
    <w:rsid w:val="005806DA"/>
    <w:rsid w:val="005808F8"/>
    <w:rsid w:val="00581C39"/>
    <w:rsid w:val="00583A9E"/>
    <w:rsid w:val="00586300"/>
    <w:rsid w:val="005870B9"/>
    <w:rsid w:val="005903B6"/>
    <w:rsid w:val="005920B8"/>
    <w:rsid w:val="0059274E"/>
    <w:rsid w:val="00593029"/>
    <w:rsid w:val="005932E8"/>
    <w:rsid w:val="0059419D"/>
    <w:rsid w:val="005956FE"/>
    <w:rsid w:val="0059728A"/>
    <w:rsid w:val="005A0247"/>
    <w:rsid w:val="005A0D77"/>
    <w:rsid w:val="005A126E"/>
    <w:rsid w:val="005A163A"/>
    <w:rsid w:val="005A259B"/>
    <w:rsid w:val="005A2879"/>
    <w:rsid w:val="005A327C"/>
    <w:rsid w:val="005A3519"/>
    <w:rsid w:val="005A452F"/>
    <w:rsid w:val="005A5DCE"/>
    <w:rsid w:val="005A746A"/>
    <w:rsid w:val="005A75A9"/>
    <w:rsid w:val="005A7A89"/>
    <w:rsid w:val="005B0E0C"/>
    <w:rsid w:val="005B140D"/>
    <w:rsid w:val="005B1583"/>
    <w:rsid w:val="005B39E1"/>
    <w:rsid w:val="005B39FA"/>
    <w:rsid w:val="005B3CD3"/>
    <w:rsid w:val="005B6767"/>
    <w:rsid w:val="005B7690"/>
    <w:rsid w:val="005B784A"/>
    <w:rsid w:val="005C0AAB"/>
    <w:rsid w:val="005C0B22"/>
    <w:rsid w:val="005C0E9A"/>
    <w:rsid w:val="005C1FEA"/>
    <w:rsid w:val="005C3495"/>
    <w:rsid w:val="005C460A"/>
    <w:rsid w:val="005C5038"/>
    <w:rsid w:val="005C5C09"/>
    <w:rsid w:val="005D1604"/>
    <w:rsid w:val="005D2882"/>
    <w:rsid w:val="005D6B5B"/>
    <w:rsid w:val="005D79FA"/>
    <w:rsid w:val="005D7C14"/>
    <w:rsid w:val="005E0177"/>
    <w:rsid w:val="005E1019"/>
    <w:rsid w:val="005E1791"/>
    <w:rsid w:val="005E2843"/>
    <w:rsid w:val="005E2C31"/>
    <w:rsid w:val="005E3DFC"/>
    <w:rsid w:val="005E552E"/>
    <w:rsid w:val="005E5942"/>
    <w:rsid w:val="005E60AF"/>
    <w:rsid w:val="005E6C08"/>
    <w:rsid w:val="005E7F49"/>
    <w:rsid w:val="005F02E7"/>
    <w:rsid w:val="005F0588"/>
    <w:rsid w:val="005F17A0"/>
    <w:rsid w:val="005F1C9D"/>
    <w:rsid w:val="005F1DEA"/>
    <w:rsid w:val="005F4040"/>
    <w:rsid w:val="005F6143"/>
    <w:rsid w:val="005F6B67"/>
    <w:rsid w:val="005F6C83"/>
    <w:rsid w:val="00600E3C"/>
    <w:rsid w:val="006019CC"/>
    <w:rsid w:val="006033B3"/>
    <w:rsid w:val="00603AEF"/>
    <w:rsid w:val="006047E3"/>
    <w:rsid w:val="00604C70"/>
    <w:rsid w:val="00607FC9"/>
    <w:rsid w:val="0061617E"/>
    <w:rsid w:val="00620099"/>
    <w:rsid w:val="00622FE1"/>
    <w:rsid w:val="00624400"/>
    <w:rsid w:val="0062521C"/>
    <w:rsid w:val="006252FC"/>
    <w:rsid w:val="00625C07"/>
    <w:rsid w:val="00626B34"/>
    <w:rsid w:val="00630A2B"/>
    <w:rsid w:val="00630E46"/>
    <w:rsid w:val="00630F6D"/>
    <w:rsid w:val="00632610"/>
    <w:rsid w:val="00632DC7"/>
    <w:rsid w:val="00634212"/>
    <w:rsid w:val="00634D73"/>
    <w:rsid w:val="00634DBD"/>
    <w:rsid w:val="006357FB"/>
    <w:rsid w:val="00635EA0"/>
    <w:rsid w:val="00637E91"/>
    <w:rsid w:val="006406FC"/>
    <w:rsid w:val="00640718"/>
    <w:rsid w:val="00640E57"/>
    <w:rsid w:val="00640F7F"/>
    <w:rsid w:val="00643ED9"/>
    <w:rsid w:val="006458A8"/>
    <w:rsid w:val="00646020"/>
    <w:rsid w:val="00646122"/>
    <w:rsid w:val="00647EAB"/>
    <w:rsid w:val="00650DFA"/>
    <w:rsid w:val="00652B18"/>
    <w:rsid w:val="00652DBC"/>
    <w:rsid w:val="00652FAA"/>
    <w:rsid w:val="006532FB"/>
    <w:rsid w:val="00653E16"/>
    <w:rsid w:val="0065441C"/>
    <w:rsid w:val="006547FF"/>
    <w:rsid w:val="0065555B"/>
    <w:rsid w:val="00655F53"/>
    <w:rsid w:val="00657220"/>
    <w:rsid w:val="00657362"/>
    <w:rsid w:val="0066016E"/>
    <w:rsid w:val="0066104B"/>
    <w:rsid w:val="006613A3"/>
    <w:rsid w:val="00664A1B"/>
    <w:rsid w:val="006655EE"/>
    <w:rsid w:val="00666080"/>
    <w:rsid w:val="00667C10"/>
    <w:rsid w:val="00667EF4"/>
    <w:rsid w:val="006705BE"/>
    <w:rsid w:val="00670CE0"/>
    <w:rsid w:val="00671143"/>
    <w:rsid w:val="00673D22"/>
    <w:rsid w:val="00676FCA"/>
    <w:rsid w:val="00677177"/>
    <w:rsid w:val="0067781D"/>
    <w:rsid w:val="00677ACF"/>
    <w:rsid w:val="006824DF"/>
    <w:rsid w:val="006842E5"/>
    <w:rsid w:val="00684FCF"/>
    <w:rsid w:val="00685702"/>
    <w:rsid w:val="00685C4A"/>
    <w:rsid w:val="0068612E"/>
    <w:rsid w:val="006862F7"/>
    <w:rsid w:val="00687502"/>
    <w:rsid w:val="00687BFD"/>
    <w:rsid w:val="00687C92"/>
    <w:rsid w:val="00690C85"/>
    <w:rsid w:val="00690E82"/>
    <w:rsid w:val="006910B1"/>
    <w:rsid w:val="006930A3"/>
    <w:rsid w:val="00694396"/>
    <w:rsid w:val="0069534E"/>
    <w:rsid w:val="00695724"/>
    <w:rsid w:val="0069649A"/>
    <w:rsid w:val="0069669C"/>
    <w:rsid w:val="00696F36"/>
    <w:rsid w:val="00697107"/>
    <w:rsid w:val="006A04D4"/>
    <w:rsid w:val="006A1200"/>
    <w:rsid w:val="006A1919"/>
    <w:rsid w:val="006A3243"/>
    <w:rsid w:val="006A3FE0"/>
    <w:rsid w:val="006A4BFF"/>
    <w:rsid w:val="006A4F4E"/>
    <w:rsid w:val="006A4FF7"/>
    <w:rsid w:val="006A55CA"/>
    <w:rsid w:val="006A6B90"/>
    <w:rsid w:val="006A6C23"/>
    <w:rsid w:val="006A78D5"/>
    <w:rsid w:val="006B0061"/>
    <w:rsid w:val="006B14DB"/>
    <w:rsid w:val="006B15EC"/>
    <w:rsid w:val="006B1DE9"/>
    <w:rsid w:val="006B21C4"/>
    <w:rsid w:val="006B2EE5"/>
    <w:rsid w:val="006B3148"/>
    <w:rsid w:val="006B34ED"/>
    <w:rsid w:val="006B3524"/>
    <w:rsid w:val="006B429E"/>
    <w:rsid w:val="006B62CD"/>
    <w:rsid w:val="006B69CB"/>
    <w:rsid w:val="006B704C"/>
    <w:rsid w:val="006B72B5"/>
    <w:rsid w:val="006B7911"/>
    <w:rsid w:val="006C0746"/>
    <w:rsid w:val="006C100A"/>
    <w:rsid w:val="006C2E2F"/>
    <w:rsid w:val="006C4A1A"/>
    <w:rsid w:val="006C5973"/>
    <w:rsid w:val="006C6000"/>
    <w:rsid w:val="006C799E"/>
    <w:rsid w:val="006D0393"/>
    <w:rsid w:val="006D1676"/>
    <w:rsid w:val="006D1A83"/>
    <w:rsid w:val="006D1ED4"/>
    <w:rsid w:val="006D23C9"/>
    <w:rsid w:val="006D3F4A"/>
    <w:rsid w:val="006D62AC"/>
    <w:rsid w:val="006D63E5"/>
    <w:rsid w:val="006D7B75"/>
    <w:rsid w:val="006E1123"/>
    <w:rsid w:val="006E1B72"/>
    <w:rsid w:val="006E1CFE"/>
    <w:rsid w:val="006E27F8"/>
    <w:rsid w:val="006E6BF5"/>
    <w:rsid w:val="006F102E"/>
    <w:rsid w:val="006F10C4"/>
    <w:rsid w:val="006F242B"/>
    <w:rsid w:val="006F280E"/>
    <w:rsid w:val="006F3AE0"/>
    <w:rsid w:val="006F3FB3"/>
    <w:rsid w:val="006F40E9"/>
    <w:rsid w:val="006F44B0"/>
    <w:rsid w:val="006F5603"/>
    <w:rsid w:val="006F5923"/>
    <w:rsid w:val="006F5FCD"/>
    <w:rsid w:val="00701400"/>
    <w:rsid w:val="007037CF"/>
    <w:rsid w:val="007043C0"/>
    <w:rsid w:val="00705212"/>
    <w:rsid w:val="0070693C"/>
    <w:rsid w:val="00706F1A"/>
    <w:rsid w:val="00710FB0"/>
    <w:rsid w:val="00712FA1"/>
    <w:rsid w:val="0071441D"/>
    <w:rsid w:val="00716032"/>
    <w:rsid w:val="007167C0"/>
    <w:rsid w:val="0071685B"/>
    <w:rsid w:val="0071738A"/>
    <w:rsid w:val="00717B2B"/>
    <w:rsid w:val="00717DB7"/>
    <w:rsid w:val="00720481"/>
    <w:rsid w:val="0072379D"/>
    <w:rsid w:val="00724C0D"/>
    <w:rsid w:val="00727327"/>
    <w:rsid w:val="00730644"/>
    <w:rsid w:val="00731FB3"/>
    <w:rsid w:val="00732787"/>
    <w:rsid w:val="007328DD"/>
    <w:rsid w:val="00733193"/>
    <w:rsid w:val="0073373C"/>
    <w:rsid w:val="00735AF9"/>
    <w:rsid w:val="00737E65"/>
    <w:rsid w:val="00741335"/>
    <w:rsid w:val="0074316C"/>
    <w:rsid w:val="00744DDA"/>
    <w:rsid w:val="00745E03"/>
    <w:rsid w:val="007476A7"/>
    <w:rsid w:val="00750CAE"/>
    <w:rsid w:val="00750E4E"/>
    <w:rsid w:val="0075114A"/>
    <w:rsid w:val="00751AF8"/>
    <w:rsid w:val="00753E36"/>
    <w:rsid w:val="0075698C"/>
    <w:rsid w:val="0075732A"/>
    <w:rsid w:val="00757992"/>
    <w:rsid w:val="007600F8"/>
    <w:rsid w:val="00760262"/>
    <w:rsid w:val="0076180C"/>
    <w:rsid w:val="0076310C"/>
    <w:rsid w:val="00763CFF"/>
    <w:rsid w:val="00763DC7"/>
    <w:rsid w:val="007664B4"/>
    <w:rsid w:val="0076744F"/>
    <w:rsid w:val="00767BCE"/>
    <w:rsid w:val="00767EFC"/>
    <w:rsid w:val="007707DE"/>
    <w:rsid w:val="00770B5D"/>
    <w:rsid w:val="00772B34"/>
    <w:rsid w:val="00772FCB"/>
    <w:rsid w:val="007730EE"/>
    <w:rsid w:val="00774A1F"/>
    <w:rsid w:val="007752F1"/>
    <w:rsid w:val="00776768"/>
    <w:rsid w:val="0077781A"/>
    <w:rsid w:val="0078019F"/>
    <w:rsid w:val="007804C5"/>
    <w:rsid w:val="0078187A"/>
    <w:rsid w:val="00781923"/>
    <w:rsid w:val="00785D5D"/>
    <w:rsid w:val="00786A17"/>
    <w:rsid w:val="00787093"/>
    <w:rsid w:val="00790474"/>
    <w:rsid w:val="00791D2C"/>
    <w:rsid w:val="00792247"/>
    <w:rsid w:val="00792351"/>
    <w:rsid w:val="00793946"/>
    <w:rsid w:val="00793AB4"/>
    <w:rsid w:val="00794068"/>
    <w:rsid w:val="00795970"/>
    <w:rsid w:val="00796529"/>
    <w:rsid w:val="007A0A3B"/>
    <w:rsid w:val="007A2573"/>
    <w:rsid w:val="007A4FF5"/>
    <w:rsid w:val="007B044B"/>
    <w:rsid w:val="007B106C"/>
    <w:rsid w:val="007B1A4E"/>
    <w:rsid w:val="007B2757"/>
    <w:rsid w:val="007B2E9B"/>
    <w:rsid w:val="007B3D05"/>
    <w:rsid w:val="007B3E51"/>
    <w:rsid w:val="007B4242"/>
    <w:rsid w:val="007B53D8"/>
    <w:rsid w:val="007B5503"/>
    <w:rsid w:val="007B6EF7"/>
    <w:rsid w:val="007B7411"/>
    <w:rsid w:val="007B7F60"/>
    <w:rsid w:val="007C16ED"/>
    <w:rsid w:val="007C179C"/>
    <w:rsid w:val="007C1F07"/>
    <w:rsid w:val="007C325C"/>
    <w:rsid w:val="007C42FD"/>
    <w:rsid w:val="007C66B8"/>
    <w:rsid w:val="007C6BB3"/>
    <w:rsid w:val="007D019C"/>
    <w:rsid w:val="007D14B4"/>
    <w:rsid w:val="007D3AD7"/>
    <w:rsid w:val="007D50E6"/>
    <w:rsid w:val="007D5F2F"/>
    <w:rsid w:val="007D753C"/>
    <w:rsid w:val="007E01CD"/>
    <w:rsid w:val="007E045D"/>
    <w:rsid w:val="007E0A31"/>
    <w:rsid w:val="007E20C9"/>
    <w:rsid w:val="007E24CA"/>
    <w:rsid w:val="007E24F6"/>
    <w:rsid w:val="007E30AC"/>
    <w:rsid w:val="007E32FA"/>
    <w:rsid w:val="007E59F8"/>
    <w:rsid w:val="007E7636"/>
    <w:rsid w:val="007E7AD3"/>
    <w:rsid w:val="007F53E7"/>
    <w:rsid w:val="007F7A5D"/>
    <w:rsid w:val="007F7C2B"/>
    <w:rsid w:val="00800F64"/>
    <w:rsid w:val="00801050"/>
    <w:rsid w:val="00802406"/>
    <w:rsid w:val="00802F0B"/>
    <w:rsid w:val="00803A05"/>
    <w:rsid w:val="00804730"/>
    <w:rsid w:val="00805973"/>
    <w:rsid w:val="00805F38"/>
    <w:rsid w:val="00806146"/>
    <w:rsid w:val="00807119"/>
    <w:rsid w:val="00810A67"/>
    <w:rsid w:val="00816C1C"/>
    <w:rsid w:val="0081722B"/>
    <w:rsid w:val="0082013A"/>
    <w:rsid w:val="008215FB"/>
    <w:rsid w:val="00823244"/>
    <w:rsid w:val="0082359F"/>
    <w:rsid w:val="00823EC8"/>
    <w:rsid w:val="0082520D"/>
    <w:rsid w:val="00825B55"/>
    <w:rsid w:val="00825BC0"/>
    <w:rsid w:val="0082674D"/>
    <w:rsid w:val="00826B96"/>
    <w:rsid w:val="00826F46"/>
    <w:rsid w:val="00830631"/>
    <w:rsid w:val="00830A98"/>
    <w:rsid w:val="00830AAB"/>
    <w:rsid w:val="00830C6C"/>
    <w:rsid w:val="00832919"/>
    <w:rsid w:val="00833102"/>
    <w:rsid w:val="00833CF7"/>
    <w:rsid w:val="008340C8"/>
    <w:rsid w:val="00834CDE"/>
    <w:rsid w:val="008365B2"/>
    <w:rsid w:val="00837127"/>
    <w:rsid w:val="0084127E"/>
    <w:rsid w:val="00842036"/>
    <w:rsid w:val="00842464"/>
    <w:rsid w:val="0084422A"/>
    <w:rsid w:val="00845601"/>
    <w:rsid w:val="008466C1"/>
    <w:rsid w:val="00846C41"/>
    <w:rsid w:val="00847A47"/>
    <w:rsid w:val="00847EC0"/>
    <w:rsid w:val="00850A79"/>
    <w:rsid w:val="008541C8"/>
    <w:rsid w:val="008558CA"/>
    <w:rsid w:val="00855C5C"/>
    <w:rsid w:val="00855E1A"/>
    <w:rsid w:val="008602D5"/>
    <w:rsid w:val="00860946"/>
    <w:rsid w:val="00860DA4"/>
    <w:rsid w:val="00862E74"/>
    <w:rsid w:val="008630BE"/>
    <w:rsid w:val="00864046"/>
    <w:rsid w:val="00865100"/>
    <w:rsid w:val="00867909"/>
    <w:rsid w:val="00871F88"/>
    <w:rsid w:val="008720C6"/>
    <w:rsid w:val="00874A9A"/>
    <w:rsid w:val="00875742"/>
    <w:rsid w:val="00875776"/>
    <w:rsid w:val="00877A54"/>
    <w:rsid w:val="008817D4"/>
    <w:rsid w:val="008844EA"/>
    <w:rsid w:val="008859A6"/>
    <w:rsid w:val="00885A60"/>
    <w:rsid w:val="008866C3"/>
    <w:rsid w:val="00887812"/>
    <w:rsid w:val="00890F3A"/>
    <w:rsid w:val="00891D45"/>
    <w:rsid w:val="00892C5C"/>
    <w:rsid w:val="00893A78"/>
    <w:rsid w:val="00896D63"/>
    <w:rsid w:val="00896D71"/>
    <w:rsid w:val="008A02D0"/>
    <w:rsid w:val="008A3ABF"/>
    <w:rsid w:val="008A3C96"/>
    <w:rsid w:val="008A49F5"/>
    <w:rsid w:val="008A5673"/>
    <w:rsid w:val="008A6006"/>
    <w:rsid w:val="008A6752"/>
    <w:rsid w:val="008A6878"/>
    <w:rsid w:val="008B28C5"/>
    <w:rsid w:val="008B3014"/>
    <w:rsid w:val="008B3622"/>
    <w:rsid w:val="008B3693"/>
    <w:rsid w:val="008B4019"/>
    <w:rsid w:val="008B43FC"/>
    <w:rsid w:val="008B4601"/>
    <w:rsid w:val="008B482E"/>
    <w:rsid w:val="008B4F91"/>
    <w:rsid w:val="008B5975"/>
    <w:rsid w:val="008B603E"/>
    <w:rsid w:val="008B65C9"/>
    <w:rsid w:val="008C2D4A"/>
    <w:rsid w:val="008C38FA"/>
    <w:rsid w:val="008C3988"/>
    <w:rsid w:val="008C452F"/>
    <w:rsid w:val="008C46B9"/>
    <w:rsid w:val="008C4D1A"/>
    <w:rsid w:val="008C50D9"/>
    <w:rsid w:val="008C5F20"/>
    <w:rsid w:val="008C60A4"/>
    <w:rsid w:val="008C707E"/>
    <w:rsid w:val="008C7D44"/>
    <w:rsid w:val="008D01BD"/>
    <w:rsid w:val="008D1E70"/>
    <w:rsid w:val="008D2320"/>
    <w:rsid w:val="008D2D26"/>
    <w:rsid w:val="008D2E11"/>
    <w:rsid w:val="008D2F70"/>
    <w:rsid w:val="008D37AE"/>
    <w:rsid w:val="008D3900"/>
    <w:rsid w:val="008D3AAD"/>
    <w:rsid w:val="008D403B"/>
    <w:rsid w:val="008D424A"/>
    <w:rsid w:val="008D4588"/>
    <w:rsid w:val="008D5EF3"/>
    <w:rsid w:val="008D69A4"/>
    <w:rsid w:val="008D6E1D"/>
    <w:rsid w:val="008D7ABA"/>
    <w:rsid w:val="008E04BA"/>
    <w:rsid w:val="008E22B5"/>
    <w:rsid w:val="008E3F12"/>
    <w:rsid w:val="008E5E36"/>
    <w:rsid w:val="008E656E"/>
    <w:rsid w:val="008E7163"/>
    <w:rsid w:val="008E73EE"/>
    <w:rsid w:val="008E7620"/>
    <w:rsid w:val="008E7AD0"/>
    <w:rsid w:val="008F2286"/>
    <w:rsid w:val="008F29AA"/>
    <w:rsid w:val="008F2D28"/>
    <w:rsid w:val="008F39B4"/>
    <w:rsid w:val="008F3EAF"/>
    <w:rsid w:val="008F4162"/>
    <w:rsid w:val="008F5A40"/>
    <w:rsid w:val="008F6FA4"/>
    <w:rsid w:val="008F7252"/>
    <w:rsid w:val="0090037F"/>
    <w:rsid w:val="0090078B"/>
    <w:rsid w:val="00901AF1"/>
    <w:rsid w:val="00901DE0"/>
    <w:rsid w:val="00902B45"/>
    <w:rsid w:val="00903E02"/>
    <w:rsid w:val="00904244"/>
    <w:rsid w:val="0090682B"/>
    <w:rsid w:val="009112DA"/>
    <w:rsid w:val="0091182E"/>
    <w:rsid w:val="009119B2"/>
    <w:rsid w:val="009124B3"/>
    <w:rsid w:val="00913175"/>
    <w:rsid w:val="009131C2"/>
    <w:rsid w:val="0091491F"/>
    <w:rsid w:val="00915310"/>
    <w:rsid w:val="009159AD"/>
    <w:rsid w:val="0091673A"/>
    <w:rsid w:val="00916EDB"/>
    <w:rsid w:val="00917E18"/>
    <w:rsid w:val="009201C7"/>
    <w:rsid w:val="009202C3"/>
    <w:rsid w:val="00920861"/>
    <w:rsid w:val="00922B13"/>
    <w:rsid w:val="00922D3C"/>
    <w:rsid w:val="0092307A"/>
    <w:rsid w:val="00923E91"/>
    <w:rsid w:val="009242EF"/>
    <w:rsid w:val="00925EA7"/>
    <w:rsid w:val="009261B0"/>
    <w:rsid w:val="009270C9"/>
    <w:rsid w:val="00927C34"/>
    <w:rsid w:val="00927D42"/>
    <w:rsid w:val="00927FD5"/>
    <w:rsid w:val="009307BA"/>
    <w:rsid w:val="00930E6A"/>
    <w:rsid w:val="009318CB"/>
    <w:rsid w:val="009320B3"/>
    <w:rsid w:val="00932291"/>
    <w:rsid w:val="00932559"/>
    <w:rsid w:val="00932861"/>
    <w:rsid w:val="00932B5D"/>
    <w:rsid w:val="0093408E"/>
    <w:rsid w:val="009341E3"/>
    <w:rsid w:val="00935AFE"/>
    <w:rsid w:val="009368DB"/>
    <w:rsid w:val="00943124"/>
    <w:rsid w:val="009434E8"/>
    <w:rsid w:val="009437F7"/>
    <w:rsid w:val="009438A8"/>
    <w:rsid w:val="00944281"/>
    <w:rsid w:val="00944B0E"/>
    <w:rsid w:val="009454A5"/>
    <w:rsid w:val="009454EC"/>
    <w:rsid w:val="00945D99"/>
    <w:rsid w:val="00946C85"/>
    <w:rsid w:val="00947B8B"/>
    <w:rsid w:val="00950CD9"/>
    <w:rsid w:val="0095217B"/>
    <w:rsid w:val="00952AA3"/>
    <w:rsid w:val="00952DDF"/>
    <w:rsid w:val="009536D1"/>
    <w:rsid w:val="00953896"/>
    <w:rsid w:val="00953ADF"/>
    <w:rsid w:val="0095423A"/>
    <w:rsid w:val="00954635"/>
    <w:rsid w:val="00954EA4"/>
    <w:rsid w:val="00956BAD"/>
    <w:rsid w:val="00957995"/>
    <w:rsid w:val="009606DC"/>
    <w:rsid w:val="00960E79"/>
    <w:rsid w:val="009619C3"/>
    <w:rsid w:val="009625DB"/>
    <w:rsid w:val="00962B54"/>
    <w:rsid w:val="00963B6A"/>
    <w:rsid w:val="0096419B"/>
    <w:rsid w:val="00964298"/>
    <w:rsid w:val="00966734"/>
    <w:rsid w:val="00966C52"/>
    <w:rsid w:val="0096787A"/>
    <w:rsid w:val="0097045F"/>
    <w:rsid w:val="0097091A"/>
    <w:rsid w:val="00970950"/>
    <w:rsid w:val="00970AB0"/>
    <w:rsid w:val="009723C2"/>
    <w:rsid w:val="00973F0A"/>
    <w:rsid w:val="00973F1F"/>
    <w:rsid w:val="0097438F"/>
    <w:rsid w:val="00974A38"/>
    <w:rsid w:val="00974F83"/>
    <w:rsid w:val="009760F8"/>
    <w:rsid w:val="009811B9"/>
    <w:rsid w:val="009812D4"/>
    <w:rsid w:val="0098189C"/>
    <w:rsid w:val="00983130"/>
    <w:rsid w:val="0098520D"/>
    <w:rsid w:val="00986F99"/>
    <w:rsid w:val="00987BB5"/>
    <w:rsid w:val="009909FF"/>
    <w:rsid w:val="00990A85"/>
    <w:rsid w:val="00991792"/>
    <w:rsid w:val="009920D8"/>
    <w:rsid w:val="00992186"/>
    <w:rsid w:val="009921AF"/>
    <w:rsid w:val="00993463"/>
    <w:rsid w:val="00994CD8"/>
    <w:rsid w:val="00996277"/>
    <w:rsid w:val="009972E0"/>
    <w:rsid w:val="009A14E5"/>
    <w:rsid w:val="009A3E25"/>
    <w:rsid w:val="009A4193"/>
    <w:rsid w:val="009A42E9"/>
    <w:rsid w:val="009A43B0"/>
    <w:rsid w:val="009A4778"/>
    <w:rsid w:val="009A4C05"/>
    <w:rsid w:val="009A54B2"/>
    <w:rsid w:val="009A6962"/>
    <w:rsid w:val="009A6B31"/>
    <w:rsid w:val="009A6F92"/>
    <w:rsid w:val="009B29B1"/>
    <w:rsid w:val="009B38BE"/>
    <w:rsid w:val="009B3922"/>
    <w:rsid w:val="009B392C"/>
    <w:rsid w:val="009B50B5"/>
    <w:rsid w:val="009B5638"/>
    <w:rsid w:val="009B5693"/>
    <w:rsid w:val="009C2579"/>
    <w:rsid w:val="009C2C20"/>
    <w:rsid w:val="009C385A"/>
    <w:rsid w:val="009C3D0F"/>
    <w:rsid w:val="009C6B16"/>
    <w:rsid w:val="009C6CC4"/>
    <w:rsid w:val="009C7431"/>
    <w:rsid w:val="009D243C"/>
    <w:rsid w:val="009D2645"/>
    <w:rsid w:val="009D46A8"/>
    <w:rsid w:val="009D5A4C"/>
    <w:rsid w:val="009D5B1D"/>
    <w:rsid w:val="009D6F94"/>
    <w:rsid w:val="009E05AC"/>
    <w:rsid w:val="009E0C9F"/>
    <w:rsid w:val="009E1B19"/>
    <w:rsid w:val="009E1DC7"/>
    <w:rsid w:val="009E1F71"/>
    <w:rsid w:val="009E224B"/>
    <w:rsid w:val="009E288E"/>
    <w:rsid w:val="009E295D"/>
    <w:rsid w:val="009E3C48"/>
    <w:rsid w:val="009E3ED2"/>
    <w:rsid w:val="009E502B"/>
    <w:rsid w:val="009E515B"/>
    <w:rsid w:val="009E7E3E"/>
    <w:rsid w:val="009F052C"/>
    <w:rsid w:val="009F0C41"/>
    <w:rsid w:val="009F14F2"/>
    <w:rsid w:val="009F2D2E"/>
    <w:rsid w:val="009F2EAF"/>
    <w:rsid w:val="009F3192"/>
    <w:rsid w:val="009F35E2"/>
    <w:rsid w:val="009F49FB"/>
    <w:rsid w:val="009F65F9"/>
    <w:rsid w:val="009F6723"/>
    <w:rsid w:val="009F68BA"/>
    <w:rsid w:val="00A0072A"/>
    <w:rsid w:val="00A01562"/>
    <w:rsid w:val="00A01B06"/>
    <w:rsid w:val="00A050B4"/>
    <w:rsid w:val="00A055BE"/>
    <w:rsid w:val="00A055D0"/>
    <w:rsid w:val="00A056C5"/>
    <w:rsid w:val="00A0590E"/>
    <w:rsid w:val="00A06277"/>
    <w:rsid w:val="00A06838"/>
    <w:rsid w:val="00A079DC"/>
    <w:rsid w:val="00A105FA"/>
    <w:rsid w:val="00A10F49"/>
    <w:rsid w:val="00A111C2"/>
    <w:rsid w:val="00A11AF7"/>
    <w:rsid w:val="00A1231B"/>
    <w:rsid w:val="00A13045"/>
    <w:rsid w:val="00A146B5"/>
    <w:rsid w:val="00A15E7F"/>
    <w:rsid w:val="00A17215"/>
    <w:rsid w:val="00A20AB8"/>
    <w:rsid w:val="00A2226F"/>
    <w:rsid w:val="00A23019"/>
    <w:rsid w:val="00A25AF7"/>
    <w:rsid w:val="00A26B55"/>
    <w:rsid w:val="00A3086E"/>
    <w:rsid w:val="00A31153"/>
    <w:rsid w:val="00A3124F"/>
    <w:rsid w:val="00A314D7"/>
    <w:rsid w:val="00A3275A"/>
    <w:rsid w:val="00A32E52"/>
    <w:rsid w:val="00A33549"/>
    <w:rsid w:val="00A338E7"/>
    <w:rsid w:val="00A34137"/>
    <w:rsid w:val="00A355A0"/>
    <w:rsid w:val="00A35CAA"/>
    <w:rsid w:val="00A369B2"/>
    <w:rsid w:val="00A36AE5"/>
    <w:rsid w:val="00A36E7F"/>
    <w:rsid w:val="00A37BC7"/>
    <w:rsid w:val="00A37E75"/>
    <w:rsid w:val="00A41132"/>
    <w:rsid w:val="00A41C48"/>
    <w:rsid w:val="00A41E65"/>
    <w:rsid w:val="00A4278C"/>
    <w:rsid w:val="00A43996"/>
    <w:rsid w:val="00A439E2"/>
    <w:rsid w:val="00A43E0A"/>
    <w:rsid w:val="00A446C5"/>
    <w:rsid w:val="00A47708"/>
    <w:rsid w:val="00A47B20"/>
    <w:rsid w:val="00A530C7"/>
    <w:rsid w:val="00A55F5B"/>
    <w:rsid w:val="00A56508"/>
    <w:rsid w:val="00A56F64"/>
    <w:rsid w:val="00A60185"/>
    <w:rsid w:val="00A61ECB"/>
    <w:rsid w:val="00A62B07"/>
    <w:rsid w:val="00A64E3E"/>
    <w:rsid w:val="00A661EA"/>
    <w:rsid w:val="00A667FC"/>
    <w:rsid w:val="00A678E8"/>
    <w:rsid w:val="00A71C1F"/>
    <w:rsid w:val="00A72A70"/>
    <w:rsid w:val="00A72F54"/>
    <w:rsid w:val="00A733FC"/>
    <w:rsid w:val="00A74178"/>
    <w:rsid w:val="00A7484B"/>
    <w:rsid w:val="00A74C3E"/>
    <w:rsid w:val="00A769D9"/>
    <w:rsid w:val="00A76C9B"/>
    <w:rsid w:val="00A804C0"/>
    <w:rsid w:val="00A81A3A"/>
    <w:rsid w:val="00A81DF4"/>
    <w:rsid w:val="00A82BB0"/>
    <w:rsid w:val="00A830E5"/>
    <w:rsid w:val="00A846F2"/>
    <w:rsid w:val="00A848A9"/>
    <w:rsid w:val="00A84C4C"/>
    <w:rsid w:val="00A864C5"/>
    <w:rsid w:val="00A87135"/>
    <w:rsid w:val="00A91368"/>
    <w:rsid w:val="00A93280"/>
    <w:rsid w:val="00A94256"/>
    <w:rsid w:val="00A951EA"/>
    <w:rsid w:val="00A959B4"/>
    <w:rsid w:val="00A95FA5"/>
    <w:rsid w:val="00A972C4"/>
    <w:rsid w:val="00AA1F70"/>
    <w:rsid w:val="00AA2548"/>
    <w:rsid w:val="00AA3115"/>
    <w:rsid w:val="00AA4D29"/>
    <w:rsid w:val="00AA58C4"/>
    <w:rsid w:val="00AA68FD"/>
    <w:rsid w:val="00AB11C8"/>
    <w:rsid w:val="00AB1218"/>
    <w:rsid w:val="00AB32FF"/>
    <w:rsid w:val="00AB66AF"/>
    <w:rsid w:val="00AB78AD"/>
    <w:rsid w:val="00AB7E44"/>
    <w:rsid w:val="00AC08A8"/>
    <w:rsid w:val="00AC0B96"/>
    <w:rsid w:val="00AC391A"/>
    <w:rsid w:val="00AC4120"/>
    <w:rsid w:val="00AC4BBC"/>
    <w:rsid w:val="00AC589D"/>
    <w:rsid w:val="00AC5E37"/>
    <w:rsid w:val="00AC6AF7"/>
    <w:rsid w:val="00AC7F21"/>
    <w:rsid w:val="00AC7F87"/>
    <w:rsid w:val="00AD141E"/>
    <w:rsid w:val="00AD2BE8"/>
    <w:rsid w:val="00AD36AD"/>
    <w:rsid w:val="00AD56C8"/>
    <w:rsid w:val="00AD58F2"/>
    <w:rsid w:val="00AD6889"/>
    <w:rsid w:val="00AD6B41"/>
    <w:rsid w:val="00AD6CB5"/>
    <w:rsid w:val="00AD7DA6"/>
    <w:rsid w:val="00AE01FC"/>
    <w:rsid w:val="00AE1FD0"/>
    <w:rsid w:val="00AE2891"/>
    <w:rsid w:val="00AE3D7E"/>
    <w:rsid w:val="00AE468D"/>
    <w:rsid w:val="00AF378D"/>
    <w:rsid w:val="00AF3C77"/>
    <w:rsid w:val="00AF4C6A"/>
    <w:rsid w:val="00AF73E0"/>
    <w:rsid w:val="00B0187F"/>
    <w:rsid w:val="00B01C27"/>
    <w:rsid w:val="00B02106"/>
    <w:rsid w:val="00B022DC"/>
    <w:rsid w:val="00B0512A"/>
    <w:rsid w:val="00B0521E"/>
    <w:rsid w:val="00B0529F"/>
    <w:rsid w:val="00B06EA1"/>
    <w:rsid w:val="00B11655"/>
    <w:rsid w:val="00B1306B"/>
    <w:rsid w:val="00B1418B"/>
    <w:rsid w:val="00B15551"/>
    <w:rsid w:val="00B16095"/>
    <w:rsid w:val="00B168A3"/>
    <w:rsid w:val="00B200C9"/>
    <w:rsid w:val="00B21195"/>
    <w:rsid w:val="00B221C7"/>
    <w:rsid w:val="00B22F4F"/>
    <w:rsid w:val="00B239AD"/>
    <w:rsid w:val="00B24B22"/>
    <w:rsid w:val="00B24B56"/>
    <w:rsid w:val="00B25310"/>
    <w:rsid w:val="00B266E4"/>
    <w:rsid w:val="00B26C1C"/>
    <w:rsid w:val="00B301D1"/>
    <w:rsid w:val="00B328E6"/>
    <w:rsid w:val="00B32E33"/>
    <w:rsid w:val="00B32F8F"/>
    <w:rsid w:val="00B33841"/>
    <w:rsid w:val="00B37673"/>
    <w:rsid w:val="00B37AD2"/>
    <w:rsid w:val="00B40FC0"/>
    <w:rsid w:val="00B43191"/>
    <w:rsid w:val="00B439A6"/>
    <w:rsid w:val="00B43CC9"/>
    <w:rsid w:val="00B443DD"/>
    <w:rsid w:val="00B47C41"/>
    <w:rsid w:val="00B524E2"/>
    <w:rsid w:val="00B52926"/>
    <w:rsid w:val="00B53251"/>
    <w:rsid w:val="00B54DE9"/>
    <w:rsid w:val="00B553EC"/>
    <w:rsid w:val="00B5572E"/>
    <w:rsid w:val="00B55E3F"/>
    <w:rsid w:val="00B568DE"/>
    <w:rsid w:val="00B606A9"/>
    <w:rsid w:val="00B612D1"/>
    <w:rsid w:val="00B61C7B"/>
    <w:rsid w:val="00B63513"/>
    <w:rsid w:val="00B63C36"/>
    <w:rsid w:val="00B643D7"/>
    <w:rsid w:val="00B66CAB"/>
    <w:rsid w:val="00B67FE2"/>
    <w:rsid w:val="00B707B9"/>
    <w:rsid w:val="00B72345"/>
    <w:rsid w:val="00B75027"/>
    <w:rsid w:val="00B81096"/>
    <w:rsid w:val="00B8127B"/>
    <w:rsid w:val="00B839D3"/>
    <w:rsid w:val="00B85893"/>
    <w:rsid w:val="00B8762D"/>
    <w:rsid w:val="00B8786C"/>
    <w:rsid w:val="00B87A9F"/>
    <w:rsid w:val="00B90949"/>
    <w:rsid w:val="00B93676"/>
    <w:rsid w:val="00B93DD0"/>
    <w:rsid w:val="00B94260"/>
    <w:rsid w:val="00B9576F"/>
    <w:rsid w:val="00B96C76"/>
    <w:rsid w:val="00B97732"/>
    <w:rsid w:val="00BA13C4"/>
    <w:rsid w:val="00BA45B0"/>
    <w:rsid w:val="00BA5321"/>
    <w:rsid w:val="00BA535B"/>
    <w:rsid w:val="00BA58CB"/>
    <w:rsid w:val="00BA65A8"/>
    <w:rsid w:val="00BA6D19"/>
    <w:rsid w:val="00BA7461"/>
    <w:rsid w:val="00BA76D4"/>
    <w:rsid w:val="00BA7DA9"/>
    <w:rsid w:val="00BB0FAD"/>
    <w:rsid w:val="00BB20B7"/>
    <w:rsid w:val="00BB2988"/>
    <w:rsid w:val="00BB561E"/>
    <w:rsid w:val="00BB6DF4"/>
    <w:rsid w:val="00BB76B6"/>
    <w:rsid w:val="00BB7D48"/>
    <w:rsid w:val="00BC127A"/>
    <w:rsid w:val="00BC154C"/>
    <w:rsid w:val="00BC1CF7"/>
    <w:rsid w:val="00BC22E3"/>
    <w:rsid w:val="00BC26B1"/>
    <w:rsid w:val="00BC412A"/>
    <w:rsid w:val="00BC4215"/>
    <w:rsid w:val="00BC4352"/>
    <w:rsid w:val="00BC56B9"/>
    <w:rsid w:val="00BC6978"/>
    <w:rsid w:val="00BC7B81"/>
    <w:rsid w:val="00BD017B"/>
    <w:rsid w:val="00BD05FE"/>
    <w:rsid w:val="00BD09BA"/>
    <w:rsid w:val="00BD0C31"/>
    <w:rsid w:val="00BD1A6F"/>
    <w:rsid w:val="00BD203C"/>
    <w:rsid w:val="00BD3456"/>
    <w:rsid w:val="00BD3CF7"/>
    <w:rsid w:val="00BD4B07"/>
    <w:rsid w:val="00BD6B1F"/>
    <w:rsid w:val="00BD6D4D"/>
    <w:rsid w:val="00BD7299"/>
    <w:rsid w:val="00BD7997"/>
    <w:rsid w:val="00BD7F44"/>
    <w:rsid w:val="00BE0079"/>
    <w:rsid w:val="00BE02E5"/>
    <w:rsid w:val="00BE1F11"/>
    <w:rsid w:val="00BE4125"/>
    <w:rsid w:val="00BE6D3C"/>
    <w:rsid w:val="00BE7852"/>
    <w:rsid w:val="00BF02A6"/>
    <w:rsid w:val="00BF082C"/>
    <w:rsid w:val="00BF0D50"/>
    <w:rsid w:val="00BF2F96"/>
    <w:rsid w:val="00BF6C37"/>
    <w:rsid w:val="00BF6D4E"/>
    <w:rsid w:val="00BF7CEE"/>
    <w:rsid w:val="00C002BB"/>
    <w:rsid w:val="00C02529"/>
    <w:rsid w:val="00C036AE"/>
    <w:rsid w:val="00C03880"/>
    <w:rsid w:val="00C064BA"/>
    <w:rsid w:val="00C12847"/>
    <w:rsid w:val="00C135CF"/>
    <w:rsid w:val="00C17EFA"/>
    <w:rsid w:val="00C2046E"/>
    <w:rsid w:val="00C20A60"/>
    <w:rsid w:val="00C23A2C"/>
    <w:rsid w:val="00C23CDF"/>
    <w:rsid w:val="00C25EC6"/>
    <w:rsid w:val="00C26182"/>
    <w:rsid w:val="00C26513"/>
    <w:rsid w:val="00C2683F"/>
    <w:rsid w:val="00C304F0"/>
    <w:rsid w:val="00C30B41"/>
    <w:rsid w:val="00C3184D"/>
    <w:rsid w:val="00C31DB6"/>
    <w:rsid w:val="00C32195"/>
    <w:rsid w:val="00C346B6"/>
    <w:rsid w:val="00C346F2"/>
    <w:rsid w:val="00C355AC"/>
    <w:rsid w:val="00C408EA"/>
    <w:rsid w:val="00C410FB"/>
    <w:rsid w:val="00C44058"/>
    <w:rsid w:val="00C45A23"/>
    <w:rsid w:val="00C4714E"/>
    <w:rsid w:val="00C51CCA"/>
    <w:rsid w:val="00C5291E"/>
    <w:rsid w:val="00C5504F"/>
    <w:rsid w:val="00C57B55"/>
    <w:rsid w:val="00C61C66"/>
    <w:rsid w:val="00C63376"/>
    <w:rsid w:val="00C63BD8"/>
    <w:rsid w:val="00C64F4E"/>
    <w:rsid w:val="00C65D11"/>
    <w:rsid w:val="00C65E07"/>
    <w:rsid w:val="00C67A06"/>
    <w:rsid w:val="00C73790"/>
    <w:rsid w:val="00C74F97"/>
    <w:rsid w:val="00C77779"/>
    <w:rsid w:val="00C803C8"/>
    <w:rsid w:val="00C8189A"/>
    <w:rsid w:val="00C8231D"/>
    <w:rsid w:val="00C8276E"/>
    <w:rsid w:val="00C82A60"/>
    <w:rsid w:val="00C82DF7"/>
    <w:rsid w:val="00C82F07"/>
    <w:rsid w:val="00C82FF9"/>
    <w:rsid w:val="00C83D01"/>
    <w:rsid w:val="00C842AC"/>
    <w:rsid w:val="00C85B85"/>
    <w:rsid w:val="00C91260"/>
    <w:rsid w:val="00C932EF"/>
    <w:rsid w:val="00C9351C"/>
    <w:rsid w:val="00C93921"/>
    <w:rsid w:val="00C95AD5"/>
    <w:rsid w:val="00C96688"/>
    <w:rsid w:val="00C96775"/>
    <w:rsid w:val="00CA0723"/>
    <w:rsid w:val="00CA1FFA"/>
    <w:rsid w:val="00CA35F1"/>
    <w:rsid w:val="00CA50D5"/>
    <w:rsid w:val="00CA55C8"/>
    <w:rsid w:val="00CA6503"/>
    <w:rsid w:val="00CA66A1"/>
    <w:rsid w:val="00CB0604"/>
    <w:rsid w:val="00CB07F4"/>
    <w:rsid w:val="00CB15F8"/>
    <w:rsid w:val="00CB1690"/>
    <w:rsid w:val="00CB16C7"/>
    <w:rsid w:val="00CB2878"/>
    <w:rsid w:val="00CB423D"/>
    <w:rsid w:val="00CB45D5"/>
    <w:rsid w:val="00CB4769"/>
    <w:rsid w:val="00CC01C9"/>
    <w:rsid w:val="00CC0274"/>
    <w:rsid w:val="00CC05E5"/>
    <w:rsid w:val="00CC23A7"/>
    <w:rsid w:val="00CC2974"/>
    <w:rsid w:val="00CC4365"/>
    <w:rsid w:val="00CC4706"/>
    <w:rsid w:val="00CC6072"/>
    <w:rsid w:val="00CD11B0"/>
    <w:rsid w:val="00CD1676"/>
    <w:rsid w:val="00CD223D"/>
    <w:rsid w:val="00CD2D90"/>
    <w:rsid w:val="00CD3930"/>
    <w:rsid w:val="00CD4B78"/>
    <w:rsid w:val="00CD5386"/>
    <w:rsid w:val="00CD54A6"/>
    <w:rsid w:val="00CD6008"/>
    <w:rsid w:val="00CE2198"/>
    <w:rsid w:val="00CE297A"/>
    <w:rsid w:val="00CE2F16"/>
    <w:rsid w:val="00CE443D"/>
    <w:rsid w:val="00CE6AE7"/>
    <w:rsid w:val="00CE71C2"/>
    <w:rsid w:val="00CE727E"/>
    <w:rsid w:val="00CF1492"/>
    <w:rsid w:val="00CF1939"/>
    <w:rsid w:val="00CF38CB"/>
    <w:rsid w:val="00CF42D5"/>
    <w:rsid w:val="00CF4483"/>
    <w:rsid w:val="00CF4EDA"/>
    <w:rsid w:val="00CF6495"/>
    <w:rsid w:val="00CF653C"/>
    <w:rsid w:val="00D01615"/>
    <w:rsid w:val="00D021CB"/>
    <w:rsid w:val="00D02852"/>
    <w:rsid w:val="00D03FDD"/>
    <w:rsid w:val="00D051F7"/>
    <w:rsid w:val="00D06F37"/>
    <w:rsid w:val="00D07F67"/>
    <w:rsid w:val="00D108C0"/>
    <w:rsid w:val="00D10F1A"/>
    <w:rsid w:val="00D116F8"/>
    <w:rsid w:val="00D13B3E"/>
    <w:rsid w:val="00D149AC"/>
    <w:rsid w:val="00D14FD6"/>
    <w:rsid w:val="00D157A6"/>
    <w:rsid w:val="00D17596"/>
    <w:rsid w:val="00D17658"/>
    <w:rsid w:val="00D2094B"/>
    <w:rsid w:val="00D20B5A"/>
    <w:rsid w:val="00D21B19"/>
    <w:rsid w:val="00D22640"/>
    <w:rsid w:val="00D22C3D"/>
    <w:rsid w:val="00D230E2"/>
    <w:rsid w:val="00D23ABB"/>
    <w:rsid w:val="00D241E9"/>
    <w:rsid w:val="00D265D2"/>
    <w:rsid w:val="00D2674C"/>
    <w:rsid w:val="00D26C58"/>
    <w:rsid w:val="00D26D3A"/>
    <w:rsid w:val="00D3002D"/>
    <w:rsid w:val="00D30401"/>
    <w:rsid w:val="00D337A2"/>
    <w:rsid w:val="00D33C8B"/>
    <w:rsid w:val="00D360A8"/>
    <w:rsid w:val="00D40406"/>
    <w:rsid w:val="00D40A80"/>
    <w:rsid w:val="00D41D94"/>
    <w:rsid w:val="00D43044"/>
    <w:rsid w:val="00D4329E"/>
    <w:rsid w:val="00D43967"/>
    <w:rsid w:val="00D44F60"/>
    <w:rsid w:val="00D45EE3"/>
    <w:rsid w:val="00D45EFC"/>
    <w:rsid w:val="00D46629"/>
    <w:rsid w:val="00D50618"/>
    <w:rsid w:val="00D509E9"/>
    <w:rsid w:val="00D5136B"/>
    <w:rsid w:val="00D51B1A"/>
    <w:rsid w:val="00D5212D"/>
    <w:rsid w:val="00D52ECC"/>
    <w:rsid w:val="00D5316E"/>
    <w:rsid w:val="00D53B1C"/>
    <w:rsid w:val="00D57375"/>
    <w:rsid w:val="00D57482"/>
    <w:rsid w:val="00D612A1"/>
    <w:rsid w:val="00D64335"/>
    <w:rsid w:val="00D65C05"/>
    <w:rsid w:val="00D6706F"/>
    <w:rsid w:val="00D70B65"/>
    <w:rsid w:val="00D711B7"/>
    <w:rsid w:val="00D72601"/>
    <w:rsid w:val="00D72AF3"/>
    <w:rsid w:val="00D761CC"/>
    <w:rsid w:val="00D80579"/>
    <w:rsid w:val="00D81643"/>
    <w:rsid w:val="00D833ED"/>
    <w:rsid w:val="00D84088"/>
    <w:rsid w:val="00D84B51"/>
    <w:rsid w:val="00D854B9"/>
    <w:rsid w:val="00D86C97"/>
    <w:rsid w:val="00D876AC"/>
    <w:rsid w:val="00D969C2"/>
    <w:rsid w:val="00DA1B12"/>
    <w:rsid w:val="00DA2FC9"/>
    <w:rsid w:val="00DA4C98"/>
    <w:rsid w:val="00DA54C9"/>
    <w:rsid w:val="00DA6739"/>
    <w:rsid w:val="00DA6CAE"/>
    <w:rsid w:val="00DA747B"/>
    <w:rsid w:val="00DB0878"/>
    <w:rsid w:val="00DB0B26"/>
    <w:rsid w:val="00DB1A9E"/>
    <w:rsid w:val="00DB1B37"/>
    <w:rsid w:val="00DB2821"/>
    <w:rsid w:val="00DB31D6"/>
    <w:rsid w:val="00DB4005"/>
    <w:rsid w:val="00DB4377"/>
    <w:rsid w:val="00DB5E8E"/>
    <w:rsid w:val="00DB69D8"/>
    <w:rsid w:val="00DB7157"/>
    <w:rsid w:val="00DB7CB1"/>
    <w:rsid w:val="00DC2350"/>
    <w:rsid w:val="00DC25AA"/>
    <w:rsid w:val="00DC34EB"/>
    <w:rsid w:val="00DC3CCC"/>
    <w:rsid w:val="00DC457A"/>
    <w:rsid w:val="00DC4B82"/>
    <w:rsid w:val="00DC54AC"/>
    <w:rsid w:val="00DC5868"/>
    <w:rsid w:val="00DC606D"/>
    <w:rsid w:val="00DC6167"/>
    <w:rsid w:val="00DC6B8A"/>
    <w:rsid w:val="00DD3427"/>
    <w:rsid w:val="00DD62FE"/>
    <w:rsid w:val="00DD6FB8"/>
    <w:rsid w:val="00DD7140"/>
    <w:rsid w:val="00DE1110"/>
    <w:rsid w:val="00DE1B51"/>
    <w:rsid w:val="00DE3176"/>
    <w:rsid w:val="00DE495C"/>
    <w:rsid w:val="00DE52C1"/>
    <w:rsid w:val="00DE5358"/>
    <w:rsid w:val="00DE5458"/>
    <w:rsid w:val="00DF0090"/>
    <w:rsid w:val="00DF1E5B"/>
    <w:rsid w:val="00DF2275"/>
    <w:rsid w:val="00DF24E8"/>
    <w:rsid w:val="00DF2ED1"/>
    <w:rsid w:val="00DF33F8"/>
    <w:rsid w:val="00DF36CC"/>
    <w:rsid w:val="00DF3F5E"/>
    <w:rsid w:val="00DF5653"/>
    <w:rsid w:val="00DF7E4A"/>
    <w:rsid w:val="00E01734"/>
    <w:rsid w:val="00E031E5"/>
    <w:rsid w:val="00E0596E"/>
    <w:rsid w:val="00E06065"/>
    <w:rsid w:val="00E06E06"/>
    <w:rsid w:val="00E06F66"/>
    <w:rsid w:val="00E11BEE"/>
    <w:rsid w:val="00E11C53"/>
    <w:rsid w:val="00E13A93"/>
    <w:rsid w:val="00E13C7A"/>
    <w:rsid w:val="00E1488F"/>
    <w:rsid w:val="00E1628B"/>
    <w:rsid w:val="00E1760B"/>
    <w:rsid w:val="00E20341"/>
    <w:rsid w:val="00E203AE"/>
    <w:rsid w:val="00E20803"/>
    <w:rsid w:val="00E22DB5"/>
    <w:rsid w:val="00E23A14"/>
    <w:rsid w:val="00E25102"/>
    <w:rsid w:val="00E260C9"/>
    <w:rsid w:val="00E26191"/>
    <w:rsid w:val="00E2664A"/>
    <w:rsid w:val="00E2793C"/>
    <w:rsid w:val="00E30091"/>
    <w:rsid w:val="00E3424F"/>
    <w:rsid w:val="00E3479F"/>
    <w:rsid w:val="00E34E04"/>
    <w:rsid w:val="00E356E5"/>
    <w:rsid w:val="00E36F29"/>
    <w:rsid w:val="00E36F81"/>
    <w:rsid w:val="00E371EE"/>
    <w:rsid w:val="00E37EFB"/>
    <w:rsid w:val="00E40DAB"/>
    <w:rsid w:val="00E41F20"/>
    <w:rsid w:val="00E42105"/>
    <w:rsid w:val="00E42751"/>
    <w:rsid w:val="00E43141"/>
    <w:rsid w:val="00E439C8"/>
    <w:rsid w:val="00E454B3"/>
    <w:rsid w:val="00E45765"/>
    <w:rsid w:val="00E469D3"/>
    <w:rsid w:val="00E47D42"/>
    <w:rsid w:val="00E5098C"/>
    <w:rsid w:val="00E51E7D"/>
    <w:rsid w:val="00E51FEE"/>
    <w:rsid w:val="00E5244F"/>
    <w:rsid w:val="00E5288B"/>
    <w:rsid w:val="00E52B58"/>
    <w:rsid w:val="00E53BAD"/>
    <w:rsid w:val="00E55952"/>
    <w:rsid w:val="00E576D7"/>
    <w:rsid w:val="00E60213"/>
    <w:rsid w:val="00E62463"/>
    <w:rsid w:val="00E62FD4"/>
    <w:rsid w:val="00E631A5"/>
    <w:rsid w:val="00E64595"/>
    <w:rsid w:val="00E661B2"/>
    <w:rsid w:val="00E673CC"/>
    <w:rsid w:val="00E67968"/>
    <w:rsid w:val="00E7077E"/>
    <w:rsid w:val="00E714AB"/>
    <w:rsid w:val="00E724CB"/>
    <w:rsid w:val="00E737BB"/>
    <w:rsid w:val="00E74D29"/>
    <w:rsid w:val="00E754C7"/>
    <w:rsid w:val="00E7653F"/>
    <w:rsid w:val="00E76695"/>
    <w:rsid w:val="00E76B4D"/>
    <w:rsid w:val="00E773F7"/>
    <w:rsid w:val="00E814D8"/>
    <w:rsid w:val="00E829FA"/>
    <w:rsid w:val="00E83A6E"/>
    <w:rsid w:val="00E83C74"/>
    <w:rsid w:val="00E83CEE"/>
    <w:rsid w:val="00E84812"/>
    <w:rsid w:val="00E85E07"/>
    <w:rsid w:val="00E878E0"/>
    <w:rsid w:val="00E9087B"/>
    <w:rsid w:val="00E91F18"/>
    <w:rsid w:val="00E9226D"/>
    <w:rsid w:val="00E92D3D"/>
    <w:rsid w:val="00EA0D71"/>
    <w:rsid w:val="00EA3E95"/>
    <w:rsid w:val="00EA416C"/>
    <w:rsid w:val="00EA5941"/>
    <w:rsid w:val="00EA6680"/>
    <w:rsid w:val="00EA7DC1"/>
    <w:rsid w:val="00EB3FC6"/>
    <w:rsid w:val="00EB558F"/>
    <w:rsid w:val="00EB55BC"/>
    <w:rsid w:val="00EB60CE"/>
    <w:rsid w:val="00EB6FC0"/>
    <w:rsid w:val="00EB75A7"/>
    <w:rsid w:val="00EB7D53"/>
    <w:rsid w:val="00EC045C"/>
    <w:rsid w:val="00EC19C6"/>
    <w:rsid w:val="00EC1CE3"/>
    <w:rsid w:val="00EC200D"/>
    <w:rsid w:val="00EC2C6B"/>
    <w:rsid w:val="00EC5B36"/>
    <w:rsid w:val="00EC70C1"/>
    <w:rsid w:val="00ED216B"/>
    <w:rsid w:val="00ED4BE0"/>
    <w:rsid w:val="00ED50E1"/>
    <w:rsid w:val="00ED5AD6"/>
    <w:rsid w:val="00ED6486"/>
    <w:rsid w:val="00EE10E7"/>
    <w:rsid w:val="00EE2C0B"/>
    <w:rsid w:val="00EE3146"/>
    <w:rsid w:val="00EE3B38"/>
    <w:rsid w:val="00EE417A"/>
    <w:rsid w:val="00EE4B6D"/>
    <w:rsid w:val="00EE5451"/>
    <w:rsid w:val="00EE729E"/>
    <w:rsid w:val="00EE79B5"/>
    <w:rsid w:val="00EF1A7A"/>
    <w:rsid w:val="00EF483B"/>
    <w:rsid w:val="00EF50BB"/>
    <w:rsid w:val="00EF53FF"/>
    <w:rsid w:val="00EF55A3"/>
    <w:rsid w:val="00F00192"/>
    <w:rsid w:val="00F01DF6"/>
    <w:rsid w:val="00F01E6D"/>
    <w:rsid w:val="00F02876"/>
    <w:rsid w:val="00F02D3C"/>
    <w:rsid w:val="00F0340D"/>
    <w:rsid w:val="00F059A6"/>
    <w:rsid w:val="00F064B2"/>
    <w:rsid w:val="00F06F38"/>
    <w:rsid w:val="00F11787"/>
    <w:rsid w:val="00F11CE8"/>
    <w:rsid w:val="00F12BEA"/>
    <w:rsid w:val="00F14C0A"/>
    <w:rsid w:val="00F1584B"/>
    <w:rsid w:val="00F1633C"/>
    <w:rsid w:val="00F21BF4"/>
    <w:rsid w:val="00F236E6"/>
    <w:rsid w:val="00F23756"/>
    <w:rsid w:val="00F2523A"/>
    <w:rsid w:val="00F25A61"/>
    <w:rsid w:val="00F25FFA"/>
    <w:rsid w:val="00F27572"/>
    <w:rsid w:val="00F310D2"/>
    <w:rsid w:val="00F337B4"/>
    <w:rsid w:val="00F339E6"/>
    <w:rsid w:val="00F33B25"/>
    <w:rsid w:val="00F36A5C"/>
    <w:rsid w:val="00F36F3D"/>
    <w:rsid w:val="00F414D4"/>
    <w:rsid w:val="00F42366"/>
    <w:rsid w:val="00F4259B"/>
    <w:rsid w:val="00F43665"/>
    <w:rsid w:val="00F43F19"/>
    <w:rsid w:val="00F4405F"/>
    <w:rsid w:val="00F44661"/>
    <w:rsid w:val="00F446D9"/>
    <w:rsid w:val="00F4528F"/>
    <w:rsid w:val="00F46303"/>
    <w:rsid w:val="00F4642A"/>
    <w:rsid w:val="00F477BD"/>
    <w:rsid w:val="00F47D41"/>
    <w:rsid w:val="00F50DD8"/>
    <w:rsid w:val="00F5137D"/>
    <w:rsid w:val="00F51D5B"/>
    <w:rsid w:val="00F51F09"/>
    <w:rsid w:val="00F52E44"/>
    <w:rsid w:val="00F53491"/>
    <w:rsid w:val="00F535F9"/>
    <w:rsid w:val="00F5420D"/>
    <w:rsid w:val="00F55190"/>
    <w:rsid w:val="00F56614"/>
    <w:rsid w:val="00F57A30"/>
    <w:rsid w:val="00F602B3"/>
    <w:rsid w:val="00F60859"/>
    <w:rsid w:val="00F61710"/>
    <w:rsid w:val="00F61E15"/>
    <w:rsid w:val="00F61ED8"/>
    <w:rsid w:val="00F621D1"/>
    <w:rsid w:val="00F63C62"/>
    <w:rsid w:val="00F63E18"/>
    <w:rsid w:val="00F64388"/>
    <w:rsid w:val="00F64648"/>
    <w:rsid w:val="00F64932"/>
    <w:rsid w:val="00F65539"/>
    <w:rsid w:val="00F65A1C"/>
    <w:rsid w:val="00F66EAC"/>
    <w:rsid w:val="00F66F50"/>
    <w:rsid w:val="00F67DAD"/>
    <w:rsid w:val="00F710CD"/>
    <w:rsid w:val="00F72B6C"/>
    <w:rsid w:val="00F74270"/>
    <w:rsid w:val="00F743E4"/>
    <w:rsid w:val="00F747AD"/>
    <w:rsid w:val="00F75BA7"/>
    <w:rsid w:val="00F76CDC"/>
    <w:rsid w:val="00F82544"/>
    <w:rsid w:val="00F82567"/>
    <w:rsid w:val="00F8256D"/>
    <w:rsid w:val="00F8261F"/>
    <w:rsid w:val="00F82FF8"/>
    <w:rsid w:val="00F8330D"/>
    <w:rsid w:val="00F83390"/>
    <w:rsid w:val="00F83594"/>
    <w:rsid w:val="00F84305"/>
    <w:rsid w:val="00F8485C"/>
    <w:rsid w:val="00F862AD"/>
    <w:rsid w:val="00F865AA"/>
    <w:rsid w:val="00F86A14"/>
    <w:rsid w:val="00F86C09"/>
    <w:rsid w:val="00F87149"/>
    <w:rsid w:val="00F87FFE"/>
    <w:rsid w:val="00F932C8"/>
    <w:rsid w:val="00F939EE"/>
    <w:rsid w:val="00F94FEE"/>
    <w:rsid w:val="00F954C9"/>
    <w:rsid w:val="00F9552F"/>
    <w:rsid w:val="00F957CC"/>
    <w:rsid w:val="00FA136A"/>
    <w:rsid w:val="00FA47E7"/>
    <w:rsid w:val="00FA4CF0"/>
    <w:rsid w:val="00FA563B"/>
    <w:rsid w:val="00FA61AA"/>
    <w:rsid w:val="00FA68D4"/>
    <w:rsid w:val="00FA69A4"/>
    <w:rsid w:val="00FB0B97"/>
    <w:rsid w:val="00FB1279"/>
    <w:rsid w:val="00FB1495"/>
    <w:rsid w:val="00FB2099"/>
    <w:rsid w:val="00FB5D54"/>
    <w:rsid w:val="00FB6936"/>
    <w:rsid w:val="00FB6F12"/>
    <w:rsid w:val="00FC14AC"/>
    <w:rsid w:val="00FC2D5C"/>
    <w:rsid w:val="00FC5B5E"/>
    <w:rsid w:val="00FC734B"/>
    <w:rsid w:val="00FD1694"/>
    <w:rsid w:val="00FD3BBC"/>
    <w:rsid w:val="00FD4927"/>
    <w:rsid w:val="00FD7157"/>
    <w:rsid w:val="00FD7636"/>
    <w:rsid w:val="00FE0A62"/>
    <w:rsid w:val="00FE3229"/>
    <w:rsid w:val="00FE44FF"/>
    <w:rsid w:val="00FE470C"/>
    <w:rsid w:val="00FE6135"/>
    <w:rsid w:val="00FE74C3"/>
    <w:rsid w:val="00FF0553"/>
    <w:rsid w:val="00FF08A1"/>
    <w:rsid w:val="00FF14D3"/>
    <w:rsid w:val="00FF1FCF"/>
    <w:rsid w:val="00FF215C"/>
    <w:rsid w:val="00FF49E8"/>
    <w:rsid w:val="00FF5995"/>
    <w:rsid w:val="00FF672F"/>
    <w:rsid w:val="00FF6D17"/>
    <w:rsid w:val="00FF7269"/>
    <w:rsid w:val="00FF75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3f9a7,#f7fda3,#fbfed2,#ff6,#ffc,#ff9,#c9f7b7,#ffe5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F3C77"/>
    <w:pPr>
      <w:spacing w:line="240" w:lineRule="auto"/>
    </w:pPr>
    <w:rPr>
      <w:sz w:val="24"/>
      <w:szCs w:val="22"/>
      <w:lang w:eastAsia="en-US"/>
    </w:rPr>
  </w:style>
  <w:style w:type="paragraph" w:styleId="Heading1">
    <w:name w:val="heading 1"/>
    <w:basedOn w:val="Normal"/>
    <w:next w:val="Normal"/>
    <w:link w:val="Heading1Char"/>
    <w:uiPriority w:val="9"/>
    <w:qFormat/>
    <w:rsid w:val="00F446D9"/>
    <w:pPr>
      <w:keepNext/>
      <w:numPr>
        <w:numId w:val="26"/>
      </w:numPr>
      <w:outlineLvl w:val="0"/>
    </w:pPr>
    <w:rPr>
      <w:rFonts w:cs="Arial"/>
      <w:b/>
      <w:color w:val="C48B01" w:themeColor="accent3" w:themeShade="BF"/>
      <w:sz w:val="28"/>
      <w:szCs w:val="28"/>
    </w:rPr>
  </w:style>
  <w:style w:type="paragraph" w:styleId="Heading2">
    <w:name w:val="heading 2"/>
    <w:basedOn w:val="Normal"/>
    <w:next w:val="Normal"/>
    <w:link w:val="Heading2Char"/>
    <w:uiPriority w:val="9"/>
    <w:qFormat/>
    <w:rsid w:val="002A1865"/>
    <w:pPr>
      <w:keepNext/>
      <w:numPr>
        <w:ilvl w:val="1"/>
        <w:numId w:val="10"/>
      </w:numPr>
      <w:outlineLvl w:val="1"/>
    </w:pPr>
    <w:rPr>
      <w:rFonts w:cs="Arial"/>
      <w:b/>
    </w:rPr>
  </w:style>
  <w:style w:type="paragraph" w:styleId="Heading3">
    <w:name w:val="heading 3"/>
    <w:aliases w:val="Heading 3 do not use"/>
    <w:basedOn w:val="Normal"/>
    <w:next w:val="Normal"/>
    <w:link w:val="Heading3Char"/>
    <w:qFormat/>
    <w:rsid w:val="002A1865"/>
    <w:pPr>
      <w:keepNext/>
      <w:numPr>
        <w:ilvl w:val="2"/>
        <w:numId w:val="10"/>
      </w:numPr>
      <w:outlineLvl w:val="2"/>
    </w:pPr>
    <w:rPr>
      <w:rFonts w:cs="Arial"/>
      <w:b/>
      <w:i/>
    </w:rPr>
  </w:style>
  <w:style w:type="paragraph" w:styleId="Heading4">
    <w:name w:val="heading 4"/>
    <w:basedOn w:val="Normal"/>
    <w:next w:val="Normal"/>
    <w:link w:val="Heading4Char"/>
    <w:autoRedefine/>
    <w:uiPriority w:val="9"/>
    <w:qFormat/>
    <w:rsid w:val="00B40FC0"/>
    <w:pPr>
      <w:keepNext/>
      <w:numPr>
        <w:ilvl w:val="3"/>
        <w:numId w:val="10"/>
      </w:numPr>
      <w:spacing w:after="120"/>
      <w:outlineLvl w:val="3"/>
    </w:pPr>
    <w:rPr>
      <w:rFonts w:cs="Arial"/>
      <w:b/>
      <w:i/>
      <w:color w:val="C48B01" w:themeColor="accent3" w:themeShade="BF"/>
      <w:sz w:val="32"/>
      <w:szCs w:val="32"/>
    </w:rPr>
  </w:style>
  <w:style w:type="paragraph" w:styleId="Heading5">
    <w:name w:val="heading 5"/>
    <w:basedOn w:val="Normal"/>
    <w:next w:val="Normal"/>
    <w:link w:val="Heading5Char"/>
    <w:uiPriority w:val="9"/>
    <w:semiHidden/>
    <w:unhideWhenUsed/>
    <w:rsid w:val="005806DA"/>
    <w:pPr>
      <w:keepNext/>
      <w:keepLines/>
      <w:numPr>
        <w:ilvl w:val="4"/>
        <w:numId w:val="10"/>
      </w:numPr>
      <w:spacing w:before="200"/>
      <w:outlineLvl w:val="4"/>
    </w:pPr>
    <w:rPr>
      <w:rFonts w:asciiTheme="majorHAnsi" w:eastAsiaTheme="majorEastAsia" w:hAnsiTheme="majorHAnsi" w:cstheme="majorBidi"/>
      <w:color w:val="3E6B19" w:themeColor="accent1" w:themeShade="7F"/>
    </w:rPr>
  </w:style>
  <w:style w:type="paragraph" w:styleId="Heading6">
    <w:name w:val="heading 6"/>
    <w:basedOn w:val="Normal"/>
    <w:next w:val="Normal"/>
    <w:link w:val="Heading6Char"/>
    <w:uiPriority w:val="9"/>
    <w:semiHidden/>
    <w:unhideWhenUsed/>
    <w:qFormat/>
    <w:rsid w:val="005806DA"/>
    <w:pPr>
      <w:keepNext/>
      <w:keepLines/>
      <w:numPr>
        <w:ilvl w:val="5"/>
        <w:numId w:val="10"/>
      </w:numPr>
      <w:spacing w:before="200"/>
      <w:outlineLvl w:val="5"/>
    </w:pPr>
    <w:rPr>
      <w:rFonts w:asciiTheme="majorHAnsi" w:eastAsiaTheme="majorEastAsia" w:hAnsiTheme="majorHAnsi" w:cstheme="majorBidi"/>
      <w:i/>
      <w:iCs/>
      <w:color w:val="3E6B19" w:themeColor="accent1" w:themeShade="7F"/>
    </w:rPr>
  </w:style>
  <w:style w:type="paragraph" w:styleId="Heading7">
    <w:name w:val="heading 7"/>
    <w:basedOn w:val="Normal"/>
    <w:next w:val="Normal"/>
    <w:link w:val="Heading7Char"/>
    <w:uiPriority w:val="9"/>
    <w:semiHidden/>
    <w:unhideWhenUsed/>
    <w:qFormat/>
    <w:rsid w:val="005806D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06D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06D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F446D9"/>
    <w:rPr>
      <w:rFonts w:cs="Arial"/>
      <w:b/>
      <w:color w:val="C48B01" w:themeColor="accent3" w:themeShade="BF"/>
      <w:sz w:val="28"/>
      <w:szCs w:val="28"/>
      <w:lang w:eastAsia="en-US"/>
    </w:rPr>
  </w:style>
  <w:style w:type="character" w:customStyle="1" w:styleId="Heading2Char">
    <w:name w:val="Heading 2 Char"/>
    <w:basedOn w:val="DefaultParagraphFont"/>
    <w:link w:val="Heading2"/>
    <w:uiPriority w:val="9"/>
    <w:rsid w:val="002A1865"/>
    <w:rPr>
      <w:rFonts w:cs="Arial"/>
      <w:b/>
      <w:sz w:val="24"/>
      <w:szCs w:val="22"/>
      <w:lang w:eastAsia="en-US"/>
    </w:rPr>
  </w:style>
  <w:style w:type="character" w:customStyle="1" w:styleId="Heading3Char">
    <w:name w:val="Heading 3 Char"/>
    <w:aliases w:val="Heading 3 do not use Char"/>
    <w:basedOn w:val="DefaultParagraphFont"/>
    <w:link w:val="Heading3"/>
    <w:rsid w:val="002A1865"/>
    <w:rPr>
      <w:rFonts w:cs="Arial"/>
      <w:b/>
      <w:i/>
      <w:sz w:val="24"/>
      <w:szCs w:val="22"/>
      <w:lang w:eastAsia="en-US"/>
    </w:rPr>
  </w:style>
  <w:style w:type="character" w:customStyle="1" w:styleId="Heading4Char">
    <w:name w:val="Heading 4 Char"/>
    <w:basedOn w:val="DefaultParagraphFont"/>
    <w:link w:val="Heading4"/>
    <w:uiPriority w:val="9"/>
    <w:rsid w:val="00B40FC0"/>
    <w:rPr>
      <w:rFonts w:cs="Arial"/>
      <w:b/>
      <w:i/>
      <w:color w:val="C48B01" w:themeColor="accent3" w:themeShade="BF"/>
      <w:sz w:val="32"/>
      <w:szCs w:val="3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unhideWhenUsed/>
    <w:rsid w:val="00F50DD8"/>
    <w:rPr>
      <w:sz w:val="20"/>
      <w:szCs w:val="20"/>
    </w:rPr>
  </w:style>
  <w:style w:type="character" w:customStyle="1" w:styleId="FootnoteTextChar">
    <w:name w:val="Footnote Text Char"/>
    <w:basedOn w:val="DefaultParagraphFont"/>
    <w:link w:val="FootnoteText"/>
    <w:uiPriority w:val="99"/>
    <w:rsid w:val="00F50DD8"/>
    <w:rPr>
      <w:lang w:eastAsia="en-US"/>
    </w:rPr>
  </w:style>
  <w:style w:type="character" w:styleId="FootnoteReference">
    <w:name w:val="footnote reference"/>
    <w:basedOn w:val="DefaultParagraphFont"/>
    <w:uiPriority w:val="99"/>
    <w:unhideWhenUsed/>
    <w:rsid w:val="00F50DD8"/>
    <w:rPr>
      <w:vertAlign w:val="superscript"/>
    </w:rPr>
  </w:style>
  <w:style w:type="paragraph" w:styleId="TOCHeading">
    <w:name w:val="TOC Heading"/>
    <w:basedOn w:val="Heading1"/>
    <w:next w:val="Normal"/>
    <w:uiPriority w:val="39"/>
    <w:unhideWhenUsed/>
    <w:qFormat/>
    <w:rsid w:val="00F65539"/>
    <w:pPr>
      <w:keepLines/>
      <w:spacing w:before="480"/>
      <w:outlineLvl w:val="9"/>
    </w:pPr>
    <w:rPr>
      <w:rFonts w:asciiTheme="majorHAnsi" w:eastAsiaTheme="majorEastAsia" w:hAnsiTheme="majorHAnsi" w:cstheme="majorBidi"/>
      <w:bCs/>
      <w:color w:val="5EA226" w:themeColor="accent1" w:themeShade="BF"/>
      <w:lang w:val="en-US"/>
    </w:rPr>
  </w:style>
  <w:style w:type="paragraph" w:styleId="TOC1">
    <w:name w:val="toc 1"/>
    <w:basedOn w:val="Normal"/>
    <w:next w:val="Normal"/>
    <w:autoRedefine/>
    <w:uiPriority w:val="39"/>
    <w:unhideWhenUsed/>
    <w:rsid w:val="008541C8"/>
    <w:pPr>
      <w:tabs>
        <w:tab w:val="left" w:pos="440"/>
        <w:tab w:val="right" w:leader="dot" w:pos="9016"/>
      </w:tabs>
      <w:spacing w:after="100"/>
    </w:pPr>
  </w:style>
  <w:style w:type="paragraph" w:styleId="TOC2">
    <w:name w:val="toc 2"/>
    <w:basedOn w:val="Normal"/>
    <w:next w:val="Normal"/>
    <w:autoRedefine/>
    <w:uiPriority w:val="39"/>
    <w:unhideWhenUsed/>
    <w:rsid w:val="00F65539"/>
    <w:pPr>
      <w:spacing w:after="100"/>
      <w:ind w:left="220"/>
    </w:pPr>
  </w:style>
  <w:style w:type="paragraph" w:styleId="TOC3">
    <w:name w:val="toc 3"/>
    <w:basedOn w:val="Normal"/>
    <w:next w:val="Normal"/>
    <w:autoRedefine/>
    <w:uiPriority w:val="39"/>
    <w:unhideWhenUsed/>
    <w:rsid w:val="00F65539"/>
    <w:pPr>
      <w:spacing w:after="100"/>
      <w:ind w:left="440"/>
    </w:pPr>
  </w:style>
  <w:style w:type="character" w:styleId="Hyperlink">
    <w:name w:val="Hyperlink"/>
    <w:basedOn w:val="DefaultParagraphFont"/>
    <w:uiPriority w:val="99"/>
    <w:unhideWhenUsed/>
    <w:rsid w:val="00F65539"/>
    <w:rPr>
      <w:color w:val="EB8803" w:themeColor="hyperlink"/>
      <w:u w:val="single"/>
    </w:rPr>
  </w:style>
  <w:style w:type="character" w:styleId="CommentReference">
    <w:name w:val="annotation reference"/>
    <w:basedOn w:val="DefaultParagraphFont"/>
    <w:uiPriority w:val="99"/>
    <w:semiHidden/>
    <w:unhideWhenUsed/>
    <w:rsid w:val="0098189C"/>
    <w:rPr>
      <w:sz w:val="16"/>
      <w:szCs w:val="16"/>
    </w:rPr>
  </w:style>
  <w:style w:type="paragraph" w:styleId="CommentText">
    <w:name w:val="annotation text"/>
    <w:basedOn w:val="Normal"/>
    <w:link w:val="CommentTextChar"/>
    <w:uiPriority w:val="99"/>
    <w:unhideWhenUsed/>
    <w:rsid w:val="0098189C"/>
    <w:rPr>
      <w:sz w:val="20"/>
      <w:szCs w:val="20"/>
    </w:rPr>
  </w:style>
  <w:style w:type="character" w:customStyle="1" w:styleId="CommentTextChar">
    <w:name w:val="Comment Text Char"/>
    <w:basedOn w:val="DefaultParagraphFont"/>
    <w:link w:val="CommentText"/>
    <w:uiPriority w:val="99"/>
    <w:rsid w:val="0098189C"/>
    <w:rPr>
      <w:lang w:eastAsia="en-US"/>
    </w:rPr>
  </w:style>
  <w:style w:type="paragraph" w:styleId="CommentSubject">
    <w:name w:val="annotation subject"/>
    <w:basedOn w:val="CommentText"/>
    <w:next w:val="CommentText"/>
    <w:link w:val="CommentSubjectChar"/>
    <w:uiPriority w:val="99"/>
    <w:semiHidden/>
    <w:unhideWhenUsed/>
    <w:rsid w:val="0098189C"/>
    <w:rPr>
      <w:b/>
      <w:bCs/>
    </w:rPr>
  </w:style>
  <w:style w:type="character" w:customStyle="1" w:styleId="CommentSubjectChar">
    <w:name w:val="Comment Subject Char"/>
    <w:basedOn w:val="CommentTextChar"/>
    <w:link w:val="CommentSubject"/>
    <w:uiPriority w:val="99"/>
    <w:semiHidden/>
    <w:rsid w:val="0098189C"/>
    <w:rPr>
      <w:b/>
      <w:bCs/>
      <w:lang w:eastAsia="en-US"/>
    </w:rPr>
  </w:style>
  <w:style w:type="paragraph" w:styleId="EndnoteText">
    <w:name w:val="endnote text"/>
    <w:basedOn w:val="Normal"/>
    <w:link w:val="EndnoteTextChar"/>
    <w:rsid w:val="0082674D"/>
    <w:rPr>
      <w:rFonts w:ascii="Times New Roman" w:eastAsia="Times New Roman" w:hAnsi="Times New Roman"/>
      <w:sz w:val="20"/>
      <w:szCs w:val="20"/>
      <w:lang w:eastAsia="en-AU"/>
    </w:rPr>
  </w:style>
  <w:style w:type="character" w:customStyle="1" w:styleId="EndnoteTextChar">
    <w:name w:val="Endnote Text Char"/>
    <w:basedOn w:val="DefaultParagraphFont"/>
    <w:link w:val="EndnoteText"/>
    <w:rsid w:val="0082674D"/>
    <w:rPr>
      <w:rFonts w:ascii="Times New Roman" w:eastAsia="Times New Roman" w:hAnsi="Times New Roman"/>
    </w:rPr>
  </w:style>
  <w:style w:type="character" w:styleId="EndnoteReference">
    <w:name w:val="endnote reference"/>
    <w:basedOn w:val="DefaultParagraphFont"/>
    <w:rsid w:val="0082674D"/>
    <w:rPr>
      <w:vertAlign w:val="superscript"/>
    </w:rPr>
  </w:style>
  <w:style w:type="paragraph" w:customStyle="1" w:styleId="my-rteelement-p">
    <w:name w:val="my-rteelement-p"/>
    <w:basedOn w:val="Normal"/>
    <w:rsid w:val="008B603E"/>
    <w:pPr>
      <w:spacing w:before="100" w:beforeAutospacing="1" w:after="100" w:afterAutospacing="1"/>
    </w:pPr>
    <w:rPr>
      <w:rFonts w:ascii="Times New Roman" w:eastAsia="Times New Roman" w:hAnsi="Times New Roman"/>
      <w:szCs w:val="24"/>
      <w:lang w:eastAsia="en-AU"/>
    </w:rPr>
  </w:style>
  <w:style w:type="paragraph" w:styleId="NormalWeb">
    <w:name w:val="Normal (Web)"/>
    <w:basedOn w:val="Normal"/>
    <w:uiPriority w:val="99"/>
    <w:unhideWhenUsed/>
    <w:rsid w:val="008B603E"/>
    <w:pPr>
      <w:spacing w:before="100" w:beforeAutospacing="1" w:after="100" w:afterAutospacing="1"/>
    </w:pPr>
    <w:rPr>
      <w:rFonts w:ascii="Times New Roman" w:eastAsia="Times New Roman" w:hAnsi="Times New Roman"/>
      <w:szCs w:val="24"/>
      <w:lang w:eastAsia="en-AU"/>
    </w:rPr>
  </w:style>
  <w:style w:type="character" w:styleId="Emphasis">
    <w:name w:val="Emphasis"/>
    <w:basedOn w:val="DefaultParagraphFont"/>
    <w:uiPriority w:val="20"/>
    <w:qFormat/>
    <w:rsid w:val="008B603E"/>
    <w:rPr>
      <w:i/>
      <w:iCs/>
    </w:rPr>
  </w:style>
  <w:style w:type="paragraph" w:styleId="Revision">
    <w:name w:val="Revision"/>
    <w:hidden/>
    <w:uiPriority w:val="99"/>
    <w:semiHidden/>
    <w:rsid w:val="00C82DF7"/>
    <w:rPr>
      <w:sz w:val="22"/>
      <w:szCs w:val="22"/>
      <w:lang w:eastAsia="en-US"/>
    </w:rPr>
  </w:style>
  <w:style w:type="character" w:styleId="Strong">
    <w:name w:val="Strong"/>
    <w:basedOn w:val="DefaultParagraphFont"/>
    <w:uiPriority w:val="22"/>
    <w:qFormat/>
    <w:rsid w:val="00534282"/>
    <w:rPr>
      <w:b/>
      <w:bCs/>
    </w:rPr>
  </w:style>
  <w:style w:type="character" w:styleId="FollowedHyperlink">
    <w:name w:val="FollowedHyperlink"/>
    <w:basedOn w:val="DefaultParagraphFont"/>
    <w:uiPriority w:val="99"/>
    <w:semiHidden/>
    <w:unhideWhenUsed/>
    <w:rsid w:val="007B7F60"/>
    <w:rPr>
      <w:color w:val="5F7791" w:themeColor="followedHyperlink"/>
      <w:u w:val="single"/>
    </w:rPr>
  </w:style>
  <w:style w:type="paragraph" w:customStyle="1" w:styleId="Default">
    <w:name w:val="Default"/>
    <w:rsid w:val="007B7411"/>
    <w:pPr>
      <w:autoSpaceDE w:val="0"/>
      <w:autoSpaceDN w:val="0"/>
      <w:adjustRightInd w:val="0"/>
    </w:pPr>
    <w:rPr>
      <w:rFonts w:ascii="Calibri" w:hAnsi="Calibri" w:cs="Calibri"/>
      <w:color w:val="000000"/>
      <w:sz w:val="24"/>
      <w:szCs w:val="24"/>
    </w:rPr>
  </w:style>
  <w:style w:type="paragraph" w:styleId="IntenseQuote">
    <w:name w:val="Intense Quote"/>
    <w:aliases w:val="NWP hyperlink"/>
    <w:basedOn w:val="NormalWeb"/>
    <w:next w:val="Normal"/>
    <w:link w:val="IntenseQuoteChar"/>
    <w:uiPriority w:val="30"/>
    <w:qFormat/>
    <w:rsid w:val="00731FB3"/>
    <w:pPr>
      <w:spacing w:before="0" w:beforeAutospacing="0" w:after="0" w:afterAutospacing="0"/>
    </w:pPr>
    <w:rPr>
      <w:color w:val="0000FF"/>
      <w:u w:val="single"/>
      <w:lang w:val="en-US" w:eastAsia="en-US"/>
    </w:rPr>
  </w:style>
  <w:style w:type="character" w:customStyle="1" w:styleId="IntenseQuoteChar">
    <w:name w:val="Intense Quote Char"/>
    <w:aliases w:val="NWP hyperlink Char"/>
    <w:basedOn w:val="DefaultParagraphFont"/>
    <w:link w:val="IntenseQuote"/>
    <w:uiPriority w:val="30"/>
    <w:rsid w:val="00731FB3"/>
    <w:rPr>
      <w:rFonts w:ascii="Times New Roman" w:eastAsia="Times New Roman" w:hAnsi="Times New Roman"/>
      <w:color w:val="0000FF"/>
      <w:sz w:val="24"/>
      <w:szCs w:val="24"/>
      <w:u w:val="single"/>
      <w:lang w:val="en-US" w:eastAsia="en-US"/>
    </w:rPr>
  </w:style>
  <w:style w:type="paragraph" w:customStyle="1" w:styleId="EPANormal">
    <w:name w:val="EPA Normal"/>
    <w:basedOn w:val="Normal"/>
    <w:uiPriority w:val="2"/>
    <w:qFormat/>
    <w:rsid w:val="00850A79"/>
    <w:pPr>
      <w:spacing w:after="80"/>
    </w:pPr>
    <w:rPr>
      <w:rFonts w:asciiTheme="minorHAnsi" w:eastAsiaTheme="minorHAnsi" w:hAnsiTheme="minorHAnsi" w:cstheme="minorBidi"/>
      <w:sz w:val="20"/>
      <w:szCs w:val="20"/>
    </w:rPr>
  </w:style>
  <w:style w:type="paragraph" w:styleId="NoSpacing">
    <w:name w:val="No Spacing"/>
    <w:link w:val="NoSpacingChar"/>
    <w:uiPriority w:val="1"/>
    <w:qFormat/>
    <w:rsid w:val="004336B5"/>
    <w:pPr>
      <w:spacing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336B5"/>
    <w:rPr>
      <w:rFonts w:asciiTheme="minorHAnsi" w:eastAsiaTheme="minorEastAsia" w:hAnsiTheme="minorHAnsi" w:cstheme="minorBidi"/>
      <w:sz w:val="22"/>
      <w:szCs w:val="22"/>
      <w:lang w:val="en-US" w:eastAsia="en-US"/>
    </w:rPr>
  </w:style>
  <w:style w:type="paragraph" w:customStyle="1" w:styleId="NWPHeading4">
    <w:name w:val="NWP Heading 4"/>
    <w:basedOn w:val="Normal"/>
    <w:link w:val="NWPHeading4Char"/>
    <w:qFormat/>
    <w:rsid w:val="001C65D5"/>
    <w:pPr>
      <w:keepNext/>
      <w:spacing w:before="60" w:after="120"/>
      <w:outlineLvl w:val="0"/>
    </w:pPr>
    <w:rPr>
      <w:rFonts w:ascii="Times New Roman" w:eastAsia="Times New Roman" w:hAnsi="Times New Roman"/>
      <w:b/>
      <w:i/>
      <w:szCs w:val="24"/>
      <w:lang w:eastAsia="en-AU"/>
    </w:rPr>
  </w:style>
  <w:style w:type="character" w:customStyle="1" w:styleId="NWPHeading4Char">
    <w:name w:val="NWP Heading 4 Char"/>
    <w:basedOn w:val="DefaultParagraphFont"/>
    <w:link w:val="NWPHeading4"/>
    <w:rsid w:val="001C65D5"/>
    <w:rPr>
      <w:rFonts w:ascii="Times New Roman" w:eastAsia="Times New Roman" w:hAnsi="Times New Roman"/>
      <w:b/>
      <w:i/>
      <w:sz w:val="24"/>
      <w:szCs w:val="24"/>
    </w:rPr>
  </w:style>
  <w:style w:type="paragraph" w:styleId="DocumentMap">
    <w:name w:val="Document Map"/>
    <w:basedOn w:val="Normal"/>
    <w:link w:val="DocumentMapChar"/>
    <w:uiPriority w:val="99"/>
    <w:semiHidden/>
    <w:unhideWhenUsed/>
    <w:rsid w:val="000850F0"/>
    <w:rPr>
      <w:rFonts w:ascii="Tahoma" w:hAnsi="Tahoma" w:cs="Tahoma"/>
      <w:sz w:val="16"/>
      <w:szCs w:val="16"/>
    </w:rPr>
  </w:style>
  <w:style w:type="character" w:customStyle="1" w:styleId="DocumentMapChar">
    <w:name w:val="Document Map Char"/>
    <w:basedOn w:val="DefaultParagraphFont"/>
    <w:link w:val="DocumentMap"/>
    <w:uiPriority w:val="99"/>
    <w:semiHidden/>
    <w:rsid w:val="000850F0"/>
    <w:rPr>
      <w:rFonts w:ascii="Tahoma" w:hAnsi="Tahoma" w:cs="Tahoma"/>
      <w:sz w:val="16"/>
      <w:szCs w:val="16"/>
      <w:lang w:eastAsia="en-US"/>
    </w:rPr>
  </w:style>
  <w:style w:type="character" w:customStyle="1" w:styleId="Heading5Char">
    <w:name w:val="Heading 5 Char"/>
    <w:basedOn w:val="DefaultParagraphFont"/>
    <w:link w:val="Heading5"/>
    <w:uiPriority w:val="9"/>
    <w:semiHidden/>
    <w:rsid w:val="005806DA"/>
    <w:rPr>
      <w:rFonts w:asciiTheme="majorHAnsi" w:eastAsiaTheme="majorEastAsia" w:hAnsiTheme="majorHAnsi" w:cstheme="majorBidi"/>
      <w:color w:val="3E6B19" w:themeColor="accent1" w:themeShade="7F"/>
      <w:sz w:val="24"/>
      <w:szCs w:val="22"/>
      <w:lang w:eastAsia="en-US"/>
    </w:rPr>
  </w:style>
  <w:style w:type="character" w:customStyle="1" w:styleId="Heading6Char">
    <w:name w:val="Heading 6 Char"/>
    <w:basedOn w:val="DefaultParagraphFont"/>
    <w:link w:val="Heading6"/>
    <w:uiPriority w:val="9"/>
    <w:semiHidden/>
    <w:rsid w:val="005806DA"/>
    <w:rPr>
      <w:rFonts w:asciiTheme="majorHAnsi" w:eastAsiaTheme="majorEastAsia" w:hAnsiTheme="majorHAnsi" w:cstheme="majorBidi"/>
      <w:i/>
      <w:iCs/>
      <w:color w:val="3E6B19" w:themeColor="accent1" w:themeShade="7F"/>
      <w:sz w:val="24"/>
      <w:szCs w:val="22"/>
      <w:lang w:eastAsia="en-US"/>
    </w:rPr>
  </w:style>
  <w:style w:type="character" w:customStyle="1" w:styleId="Heading7Char">
    <w:name w:val="Heading 7 Char"/>
    <w:basedOn w:val="DefaultParagraphFont"/>
    <w:link w:val="Heading7"/>
    <w:uiPriority w:val="9"/>
    <w:semiHidden/>
    <w:rsid w:val="005806DA"/>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5806D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5806DA"/>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F3C77"/>
    <w:pPr>
      <w:spacing w:line="240" w:lineRule="auto"/>
    </w:pPr>
    <w:rPr>
      <w:sz w:val="24"/>
      <w:szCs w:val="22"/>
      <w:lang w:eastAsia="en-US"/>
    </w:rPr>
  </w:style>
  <w:style w:type="paragraph" w:styleId="Heading1">
    <w:name w:val="heading 1"/>
    <w:basedOn w:val="Normal"/>
    <w:next w:val="Normal"/>
    <w:link w:val="Heading1Char"/>
    <w:uiPriority w:val="9"/>
    <w:qFormat/>
    <w:rsid w:val="00F446D9"/>
    <w:pPr>
      <w:keepNext/>
      <w:numPr>
        <w:numId w:val="43"/>
      </w:numPr>
      <w:outlineLvl w:val="0"/>
    </w:pPr>
    <w:rPr>
      <w:rFonts w:cs="Arial"/>
      <w:b/>
      <w:color w:val="C48B01" w:themeColor="accent3" w:themeShade="BF"/>
      <w:sz w:val="28"/>
      <w:szCs w:val="28"/>
    </w:rPr>
  </w:style>
  <w:style w:type="paragraph" w:styleId="Heading2">
    <w:name w:val="heading 2"/>
    <w:basedOn w:val="Normal"/>
    <w:next w:val="Normal"/>
    <w:link w:val="Heading2Char"/>
    <w:uiPriority w:val="9"/>
    <w:qFormat/>
    <w:rsid w:val="002A1865"/>
    <w:pPr>
      <w:keepNext/>
      <w:numPr>
        <w:ilvl w:val="1"/>
        <w:numId w:val="13"/>
      </w:numPr>
      <w:outlineLvl w:val="1"/>
    </w:pPr>
    <w:rPr>
      <w:rFonts w:cs="Arial"/>
      <w:b/>
    </w:rPr>
  </w:style>
  <w:style w:type="paragraph" w:styleId="Heading3">
    <w:name w:val="heading 3"/>
    <w:aliases w:val="Heading 3 do not use"/>
    <w:basedOn w:val="Normal"/>
    <w:next w:val="Normal"/>
    <w:link w:val="Heading3Char"/>
    <w:qFormat/>
    <w:rsid w:val="002A1865"/>
    <w:pPr>
      <w:keepNext/>
      <w:numPr>
        <w:ilvl w:val="2"/>
        <w:numId w:val="13"/>
      </w:numPr>
      <w:outlineLvl w:val="2"/>
    </w:pPr>
    <w:rPr>
      <w:rFonts w:cs="Arial"/>
      <w:b/>
      <w:i/>
    </w:rPr>
  </w:style>
  <w:style w:type="paragraph" w:styleId="Heading4">
    <w:name w:val="heading 4"/>
    <w:basedOn w:val="Normal"/>
    <w:next w:val="Normal"/>
    <w:link w:val="Heading4Char"/>
    <w:autoRedefine/>
    <w:uiPriority w:val="9"/>
    <w:qFormat/>
    <w:rsid w:val="00B40FC0"/>
    <w:pPr>
      <w:keepNext/>
      <w:numPr>
        <w:ilvl w:val="3"/>
        <w:numId w:val="13"/>
      </w:numPr>
      <w:spacing w:after="120"/>
      <w:outlineLvl w:val="3"/>
    </w:pPr>
    <w:rPr>
      <w:rFonts w:cs="Arial"/>
      <w:b/>
      <w:i/>
      <w:color w:val="C48B01" w:themeColor="accent3" w:themeShade="BF"/>
      <w:sz w:val="32"/>
      <w:szCs w:val="32"/>
    </w:rPr>
  </w:style>
  <w:style w:type="paragraph" w:styleId="Heading5">
    <w:name w:val="heading 5"/>
    <w:basedOn w:val="Normal"/>
    <w:next w:val="Normal"/>
    <w:link w:val="Heading5Char"/>
    <w:uiPriority w:val="9"/>
    <w:semiHidden/>
    <w:unhideWhenUsed/>
    <w:rsid w:val="005806DA"/>
    <w:pPr>
      <w:keepNext/>
      <w:keepLines/>
      <w:numPr>
        <w:ilvl w:val="4"/>
        <w:numId w:val="13"/>
      </w:numPr>
      <w:spacing w:before="200"/>
      <w:outlineLvl w:val="4"/>
    </w:pPr>
    <w:rPr>
      <w:rFonts w:asciiTheme="majorHAnsi" w:eastAsiaTheme="majorEastAsia" w:hAnsiTheme="majorHAnsi" w:cstheme="majorBidi"/>
      <w:color w:val="3E6B19" w:themeColor="accent1" w:themeShade="7F"/>
    </w:rPr>
  </w:style>
  <w:style w:type="paragraph" w:styleId="Heading6">
    <w:name w:val="heading 6"/>
    <w:basedOn w:val="Normal"/>
    <w:next w:val="Normal"/>
    <w:link w:val="Heading6Char"/>
    <w:uiPriority w:val="9"/>
    <w:semiHidden/>
    <w:unhideWhenUsed/>
    <w:qFormat/>
    <w:rsid w:val="005806DA"/>
    <w:pPr>
      <w:keepNext/>
      <w:keepLines/>
      <w:numPr>
        <w:ilvl w:val="5"/>
        <w:numId w:val="13"/>
      </w:numPr>
      <w:spacing w:before="200"/>
      <w:outlineLvl w:val="5"/>
    </w:pPr>
    <w:rPr>
      <w:rFonts w:asciiTheme="majorHAnsi" w:eastAsiaTheme="majorEastAsia" w:hAnsiTheme="majorHAnsi" w:cstheme="majorBidi"/>
      <w:i/>
      <w:iCs/>
      <w:color w:val="3E6B19" w:themeColor="accent1" w:themeShade="7F"/>
    </w:rPr>
  </w:style>
  <w:style w:type="paragraph" w:styleId="Heading7">
    <w:name w:val="heading 7"/>
    <w:basedOn w:val="Normal"/>
    <w:next w:val="Normal"/>
    <w:link w:val="Heading7Char"/>
    <w:uiPriority w:val="9"/>
    <w:semiHidden/>
    <w:unhideWhenUsed/>
    <w:qFormat/>
    <w:rsid w:val="005806D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06DA"/>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06D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F446D9"/>
    <w:rPr>
      <w:rFonts w:cs="Arial"/>
      <w:b/>
      <w:color w:val="C48B01" w:themeColor="accent3" w:themeShade="BF"/>
      <w:sz w:val="28"/>
      <w:szCs w:val="28"/>
      <w:lang w:eastAsia="en-US"/>
    </w:rPr>
  </w:style>
  <w:style w:type="character" w:customStyle="1" w:styleId="Heading2Char">
    <w:name w:val="Heading 2 Char"/>
    <w:basedOn w:val="DefaultParagraphFont"/>
    <w:link w:val="Heading2"/>
    <w:uiPriority w:val="9"/>
    <w:rsid w:val="002A1865"/>
    <w:rPr>
      <w:rFonts w:cs="Arial"/>
      <w:b/>
      <w:sz w:val="24"/>
      <w:szCs w:val="22"/>
      <w:lang w:eastAsia="en-US"/>
    </w:rPr>
  </w:style>
  <w:style w:type="character" w:customStyle="1" w:styleId="Heading3Char">
    <w:name w:val="Heading 3 Char"/>
    <w:aliases w:val="Heading 3 do not use Char"/>
    <w:basedOn w:val="DefaultParagraphFont"/>
    <w:link w:val="Heading3"/>
    <w:rsid w:val="002A1865"/>
    <w:rPr>
      <w:rFonts w:cs="Arial"/>
      <w:b/>
      <w:i/>
      <w:sz w:val="24"/>
      <w:szCs w:val="22"/>
      <w:lang w:eastAsia="en-US"/>
    </w:rPr>
  </w:style>
  <w:style w:type="character" w:customStyle="1" w:styleId="Heading4Char">
    <w:name w:val="Heading 4 Char"/>
    <w:basedOn w:val="DefaultParagraphFont"/>
    <w:link w:val="Heading4"/>
    <w:uiPriority w:val="9"/>
    <w:rsid w:val="00B40FC0"/>
    <w:rPr>
      <w:rFonts w:cs="Arial"/>
      <w:b/>
      <w:i/>
      <w:color w:val="C48B01" w:themeColor="accent3" w:themeShade="BF"/>
      <w:sz w:val="32"/>
      <w:szCs w:val="3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unhideWhenUsed/>
    <w:rsid w:val="00F50DD8"/>
    <w:rPr>
      <w:sz w:val="20"/>
      <w:szCs w:val="20"/>
    </w:rPr>
  </w:style>
  <w:style w:type="character" w:customStyle="1" w:styleId="FootnoteTextChar">
    <w:name w:val="Footnote Text Char"/>
    <w:basedOn w:val="DefaultParagraphFont"/>
    <w:link w:val="FootnoteText"/>
    <w:uiPriority w:val="99"/>
    <w:rsid w:val="00F50DD8"/>
    <w:rPr>
      <w:lang w:eastAsia="en-US"/>
    </w:rPr>
  </w:style>
  <w:style w:type="character" w:styleId="FootnoteReference">
    <w:name w:val="footnote reference"/>
    <w:basedOn w:val="DefaultParagraphFont"/>
    <w:uiPriority w:val="99"/>
    <w:unhideWhenUsed/>
    <w:rsid w:val="00F50DD8"/>
    <w:rPr>
      <w:vertAlign w:val="superscript"/>
    </w:rPr>
  </w:style>
  <w:style w:type="paragraph" w:styleId="TOCHeading">
    <w:name w:val="TOC Heading"/>
    <w:basedOn w:val="Heading1"/>
    <w:next w:val="Normal"/>
    <w:uiPriority w:val="39"/>
    <w:unhideWhenUsed/>
    <w:qFormat/>
    <w:rsid w:val="00F65539"/>
    <w:pPr>
      <w:keepLines/>
      <w:spacing w:before="480"/>
      <w:outlineLvl w:val="9"/>
    </w:pPr>
    <w:rPr>
      <w:rFonts w:asciiTheme="majorHAnsi" w:eastAsiaTheme="majorEastAsia" w:hAnsiTheme="majorHAnsi" w:cstheme="majorBidi"/>
      <w:bCs/>
      <w:color w:val="5EA226" w:themeColor="accent1" w:themeShade="BF"/>
      <w:lang w:val="en-US"/>
    </w:rPr>
  </w:style>
  <w:style w:type="paragraph" w:styleId="TOC1">
    <w:name w:val="toc 1"/>
    <w:basedOn w:val="Normal"/>
    <w:next w:val="Normal"/>
    <w:autoRedefine/>
    <w:uiPriority w:val="39"/>
    <w:unhideWhenUsed/>
    <w:rsid w:val="008541C8"/>
    <w:pPr>
      <w:tabs>
        <w:tab w:val="left" w:pos="440"/>
        <w:tab w:val="right" w:leader="dot" w:pos="9016"/>
      </w:tabs>
      <w:spacing w:after="100"/>
    </w:pPr>
  </w:style>
  <w:style w:type="paragraph" w:styleId="TOC2">
    <w:name w:val="toc 2"/>
    <w:basedOn w:val="Normal"/>
    <w:next w:val="Normal"/>
    <w:autoRedefine/>
    <w:uiPriority w:val="39"/>
    <w:unhideWhenUsed/>
    <w:rsid w:val="00F65539"/>
    <w:pPr>
      <w:spacing w:after="100"/>
      <w:ind w:left="220"/>
    </w:pPr>
  </w:style>
  <w:style w:type="paragraph" w:styleId="TOC3">
    <w:name w:val="toc 3"/>
    <w:basedOn w:val="Normal"/>
    <w:next w:val="Normal"/>
    <w:autoRedefine/>
    <w:uiPriority w:val="39"/>
    <w:unhideWhenUsed/>
    <w:rsid w:val="00F65539"/>
    <w:pPr>
      <w:spacing w:after="100"/>
      <w:ind w:left="440"/>
    </w:pPr>
  </w:style>
  <w:style w:type="character" w:styleId="Hyperlink">
    <w:name w:val="Hyperlink"/>
    <w:basedOn w:val="DefaultParagraphFont"/>
    <w:uiPriority w:val="99"/>
    <w:unhideWhenUsed/>
    <w:rsid w:val="00F65539"/>
    <w:rPr>
      <w:color w:val="EB8803" w:themeColor="hyperlink"/>
      <w:u w:val="single"/>
    </w:rPr>
  </w:style>
  <w:style w:type="character" w:styleId="CommentReference">
    <w:name w:val="annotation reference"/>
    <w:basedOn w:val="DefaultParagraphFont"/>
    <w:uiPriority w:val="99"/>
    <w:semiHidden/>
    <w:unhideWhenUsed/>
    <w:rsid w:val="0098189C"/>
    <w:rPr>
      <w:sz w:val="16"/>
      <w:szCs w:val="16"/>
    </w:rPr>
  </w:style>
  <w:style w:type="paragraph" w:styleId="CommentText">
    <w:name w:val="annotation text"/>
    <w:basedOn w:val="Normal"/>
    <w:link w:val="CommentTextChar"/>
    <w:uiPriority w:val="99"/>
    <w:unhideWhenUsed/>
    <w:rsid w:val="0098189C"/>
    <w:rPr>
      <w:sz w:val="20"/>
      <w:szCs w:val="20"/>
    </w:rPr>
  </w:style>
  <w:style w:type="character" w:customStyle="1" w:styleId="CommentTextChar">
    <w:name w:val="Comment Text Char"/>
    <w:basedOn w:val="DefaultParagraphFont"/>
    <w:link w:val="CommentText"/>
    <w:uiPriority w:val="99"/>
    <w:rsid w:val="0098189C"/>
    <w:rPr>
      <w:lang w:eastAsia="en-US"/>
    </w:rPr>
  </w:style>
  <w:style w:type="paragraph" w:styleId="CommentSubject">
    <w:name w:val="annotation subject"/>
    <w:basedOn w:val="CommentText"/>
    <w:next w:val="CommentText"/>
    <w:link w:val="CommentSubjectChar"/>
    <w:uiPriority w:val="99"/>
    <w:semiHidden/>
    <w:unhideWhenUsed/>
    <w:rsid w:val="0098189C"/>
    <w:rPr>
      <w:b/>
      <w:bCs/>
    </w:rPr>
  </w:style>
  <w:style w:type="character" w:customStyle="1" w:styleId="CommentSubjectChar">
    <w:name w:val="Comment Subject Char"/>
    <w:basedOn w:val="CommentTextChar"/>
    <w:link w:val="CommentSubject"/>
    <w:uiPriority w:val="99"/>
    <w:semiHidden/>
    <w:rsid w:val="0098189C"/>
    <w:rPr>
      <w:b/>
      <w:bCs/>
      <w:lang w:eastAsia="en-US"/>
    </w:rPr>
  </w:style>
  <w:style w:type="paragraph" w:styleId="EndnoteText">
    <w:name w:val="endnote text"/>
    <w:basedOn w:val="Normal"/>
    <w:link w:val="EndnoteTextChar"/>
    <w:rsid w:val="0082674D"/>
    <w:rPr>
      <w:rFonts w:ascii="Times New Roman" w:eastAsia="Times New Roman" w:hAnsi="Times New Roman"/>
      <w:sz w:val="20"/>
      <w:szCs w:val="20"/>
      <w:lang w:eastAsia="en-AU"/>
    </w:rPr>
  </w:style>
  <w:style w:type="character" w:customStyle="1" w:styleId="EndnoteTextChar">
    <w:name w:val="Endnote Text Char"/>
    <w:basedOn w:val="DefaultParagraphFont"/>
    <w:link w:val="EndnoteText"/>
    <w:rsid w:val="0082674D"/>
    <w:rPr>
      <w:rFonts w:ascii="Times New Roman" w:eastAsia="Times New Roman" w:hAnsi="Times New Roman"/>
    </w:rPr>
  </w:style>
  <w:style w:type="character" w:styleId="EndnoteReference">
    <w:name w:val="endnote reference"/>
    <w:basedOn w:val="DefaultParagraphFont"/>
    <w:rsid w:val="0082674D"/>
    <w:rPr>
      <w:vertAlign w:val="superscript"/>
    </w:rPr>
  </w:style>
  <w:style w:type="paragraph" w:customStyle="1" w:styleId="my-rteelement-p">
    <w:name w:val="my-rteelement-p"/>
    <w:basedOn w:val="Normal"/>
    <w:rsid w:val="008B603E"/>
    <w:pPr>
      <w:spacing w:before="100" w:beforeAutospacing="1" w:after="100" w:afterAutospacing="1"/>
    </w:pPr>
    <w:rPr>
      <w:rFonts w:ascii="Times New Roman" w:eastAsia="Times New Roman" w:hAnsi="Times New Roman"/>
      <w:szCs w:val="24"/>
      <w:lang w:eastAsia="en-AU"/>
    </w:rPr>
  </w:style>
  <w:style w:type="paragraph" w:styleId="NormalWeb">
    <w:name w:val="Normal (Web)"/>
    <w:basedOn w:val="Normal"/>
    <w:uiPriority w:val="99"/>
    <w:unhideWhenUsed/>
    <w:rsid w:val="008B603E"/>
    <w:pPr>
      <w:spacing w:before="100" w:beforeAutospacing="1" w:after="100" w:afterAutospacing="1"/>
    </w:pPr>
    <w:rPr>
      <w:rFonts w:ascii="Times New Roman" w:eastAsia="Times New Roman" w:hAnsi="Times New Roman"/>
      <w:szCs w:val="24"/>
      <w:lang w:eastAsia="en-AU"/>
    </w:rPr>
  </w:style>
  <w:style w:type="character" w:styleId="Emphasis">
    <w:name w:val="Emphasis"/>
    <w:basedOn w:val="DefaultParagraphFont"/>
    <w:uiPriority w:val="20"/>
    <w:qFormat/>
    <w:rsid w:val="008B603E"/>
    <w:rPr>
      <w:i/>
      <w:iCs/>
    </w:rPr>
  </w:style>
  <w:style w:type="paragraph" w:styleId="Revision">
    <w:name w:val="Revision"/>
    <w:hidden/>
    <w:uiPriority w:val="99"/>
    <w:semiHidden/>
    <w:rsid w:val="00C82DF7"/>
    <w:rPr>
      <w:sz w:val="22"/>
      <w:szCs w:val="22"/>
      <w:lang w:eastAsia="en-US"/>
    </w:rPr>
  </w:style>
  <w:style w:type="character" w:styleId="Strong">
    <w:name w:val="Strong"/>
    <w:basedOn w:val="DefaultParagraphFont"/>
    <w:uiPriority w:val="22"/>
    <w:qFormat/>
    <w:rsid w:val="00534282"/>
    <w:rPr>
      <w:b/>
      <w:bCs/>
    </w:rPr>
  </w:style>
  <w:style w:type="character" w:styleId="FollowedHyperlink">
    <w:name w:val="FollowedHyperlink"/>
    <w:basedOn w:val="DefaultParagraphFont"/>
    <w:uiPriority w:val="99"/>
    <w:semiHidden/>
    <w:unhideWhenUsed/>
    <w:rsid w:val="007B7F60"/>
    <w:rPr>
      <w:color w:val="5F7791" w:themeColor="followedHyperlink"/>
      <w:u w:val="single"/>
    </w:rPr>
  </w:style>
  <w:style w:type="paragraph" w:customStyle="1" w:styleId="Default">
    <w:name w:val="Default"/>
    <w:rsid w:val="007B7411"/>
    <w:pPr>
      <w:autoSpaceDE w:val="0"/>
      <w:autoSpaceDN w:val="0"/>
      <w:adjustRightInd w:val="0"/>
    </w:pPr>
    <w:rPr>
      <w:rFonts w:ascii="Calibri" w:hAnsi="Calibri" w:cs="Calibri"/>
      <w:color w:val="000000"/>
      <w:sz w:val="24"/>
      <w:szCs w:val="24"/>
    </w:rPr>
  </w:style>
  <w:style w:type="paragraph" w:styleId="IntenseQuote">
    <w:name w:val="Intense Quote"/>
    <w:aliases w:val="NWP hyperlink"/>
    <w:basedOn w:val="NormalWeb"/>
    <w:next w:val="Normal"/>
    <w:link w:val="IntenseQuoteChar"/>
    <w:uiPriority w:val="30"/>
    <w:qFormat/>
    <w:rsid w:val="00731FB3"/>
    <w:pPr>
      <w:spacing w:before="0" w:beforeAutospacing="0" w:after="0" w:afterAutospacing="0"/>
    </w:pPr>
    <w:rPr>
      <w:color w:val="0000FF"/>
      <w:u w:val="single"/>
      <w:lang w:val="en-US" w:eastAsia="en-US"/>
    </w:rPr>
  </w:style>
  <w:style w:type="character" w:customStyle="1" w:styleId="IntenseQuoteChar">
    <w:name w:val="Intense Quote Char"/>
    <w:aliases w:val="NWP hyperlink Char"/>
    <w:basedOn w:val="DefaultParagraphFont"/>
    <w:link w:val="IntenseQuote"/>
    <w:uiPriority w:val="30"/>
    <w:rsid w:val="00731FB3"/>
    <w:rPr>
      <w:rFonts w:ascii="Times New Roman" w:eastAsia="Times New Roman" w:hAnsi="Times New Roman"/>
      <w:color w:val="0000FF"/>
      <w:sz w:val="24"/>
      <w:szCs w:val="24"/>
      <w:u w:val="single"/>
      <w:lang w:val="en-US" w:eastAsia="en-US"/>
    </w:rPr>
  </w:style>
  <w:style w:type="paragraph" w:customStyle="1" w:styleId="EPANormal">
    <w:name w:val="EPA Normal"/>
    <w:basedOn w:val="Normal"/>
    <w:uiPriority w:val="2"/>
    <w:qFormat/>
    <w:rsid w:val="00850A79"/>
    <w:pPr>
      <w:spacing w:after="80"/>
    </w:pPr>
    <w:rPr>
      <w:rFonts w:asciiTheme="minorHAnsi" w:eastAsiaTheme="minorHAnsi" w:hAnsiTheme="minorHAnsi" w:cstheme="minorBidi"/>
      <w:sz w:val="20"/>
      <w:szCs w:val="20"/>
    </w:rPr>
  </w:style>
  <w:style w:type="paragraph" w:styleId="NoSpacing">
    <w:name w:val="No Spacing"/>
    <w:link w:val="NoSpacingChar"/>
    <w:uiPriority w:val="1"/>
    <w:qFormat/>
    <w:rsid w:val="004336B5"/>
    <w:pPr>
      <w:spacing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336B5"/>
    <w:rPr>
      <w:rFonts w:asciiTheme="minorHAnsi" w:eastAsiaTheme="minorEastAsia" w:hAnsiTheme="minorHAnsi" w:cstheme="minorBidi"/>
      <w:sz w:val="22"/>
      <w:szCs w:val="22"/>
      <w:lang w:val="en-US" w:eastAsia="en-US"/>
    </w:rPr>
  </w:style>
  <w:style w:type="paragraph" w:customStyle="1" w:styleId="NWPHeading4">
    <w:name w:val="NWP Heading 4"/>
    <w:basedOn w:val="Normal"/>
    <w:link w:val="NWPHeading4Char"/>
    <w:qFormat/>
    <w:rsid w:val="001C65D5"/>
    <w:pPr>
      <w:keepNext/>
      <w:spacing w:before="60" w:after="120"/>
      <w:outlineLvl w:val="0"/>
    </w:pPr>
    <w:rPr>
      <w:rFonts w:ascii="Times New Roman" w:eastAsia="Times New Roman" w:hAnsi="Times New Roman"/>
      <w:b/>
      <w:i/>
      <w:szCs w:val="24"/>
      <w:lang w:eastAsia="en-AU"/>
    </w:rPr>
  </w:style>
  <w:style w:type="character" w:customStyle="1" w:styleId="NWPHeading4Char">
    <w:name w:val="NWP Heading 4 Char"/>
    <w:basedOn w:val="DefaultParagraphFont"/>
    <w:link w:val="NWPHeading4"/>
    <w:rsid w:val="001C65D5"/>
    <w:rPr>
      <w:rFonts w:ascii="Times New Roman" w:eastAsia="Times New Roman" w:hAnsi="Times New Roman"/>
      <w:b/>
      <w:i/>
      <w:sz w:val="24"/>
      <w:szCs w:val="24"/>
    </w:rPr>
  </w:style>
  <w:style w:type="paragraph" w:styleId="DocumentMap">
    <w:name w:val="Document Map"/>
    <w:basedOn w:val="Normal"/>
    <w:link w:val="DocumentMapChar"/>
    <w:uiPriority w:val="99"/>
    <w:semiHidden/>
    <w:unhideWhenUsed/>
    <w:rsid w:val="000850F0"/>
    <w:rPr>
      <w:rFonts w:ascii="Tahoma" w:hAnsi="Tahoma" w:cs="Tahoma"/>
      <w:sz w:val="16"/>
      <w:szCs w:val="16"/>
    </w:rPr>
  </w:style>
  <w:style w:type="character" w:customStyle="1" w:styleId="DocumentMapChar">
    <w:name w:val="Document Map Char"/>
    <w:basedOn w:val="DefaultParagraphFont"/>
    <w:link w:val="DocumentMap"/>
    <w:uiPriority w:val="99"/>
    <w:semiHidden/>
    <w:rsid w:val="000850F0"/>
    <w:rPr>
      <w:rFonts w:ascii="Tahoma" w:hAnsi="Tahoma" w:cs="Tahoma"/>
      <w:sz w:val="16"/>
      <w:szCs w:val="16"/>
      <w:lang w:eastAsia="en-US"/>
    </w:rPr>
  </w:style>
  <w:style w:type="character" w:customStyle="1" w:styleId="Heading5Char">
    <w:name w:val="Heading 5 Char"/>
    <w:basedOn w:val="DefaultParagraphFont"/>
    <w:link w:val="Heading5"/>
    <w:uiPriority w:val="9"/>
    <w:semiHidden/>
    <w:rsid w:val="005806DA"/>
    <w:rPr>
      <w:rFonts w:asciiTheme="majorHAnsi" w:eastAsiaTheme="majorEastAsia" w:hAnsiTheme="majorHAnsi" w:cstheme="majorBidi"/>
      <w:color w:val="3E6B19" w:themeColor="accent1" w:themeShade="7F"/>
      <w:sz w:val="24"/>
      <w:szCs w:val="22"/>
      <w:lang w:eastAsia="en-US"/>
    </w:rPr>
  </w:style>
  <w:style w:type="character" w:customStyle="1" w:styleId="Heading6Char">
    <w:name w:val="Heading 6 Char"/>
    <w:basedOn w:val="DefaultParagraphFont"/>
    <w:link w:val="Heading6"/>
    <w:uiPriority w:val="9"/>
    <w:semiHidden/>
    <w:rsid w:val="005806DA"/>
    <w:rPr>
      <w:rFonts w:asciiTheme="majorHAnsi" w:eastAsiaTheme="majorEastAsia" w:hAnsiTheme="majorHAnsi" w:cstheme="majorBidi"/>
      <w:i/>
      <w:iCs/>
      <w:color w:val="3E6B19" w:themeColor="accent1" w:themeShade="7F"/>
      <w:sz w:val="24"/>
      <w:szCs w:val="22"/>
      <w:lang w:eastAsia="en-US"/>
    </w:rPr>
  </w:style>
  <w:style w:type="character" w:customStyle="1" w:styleId="Heading7Char">
    <w:name w:val="Heading 7 Char"/>
    <w:basedOn w:val="DefaultParagraphFont"/>
    <w:link w:val="Heading7"/>
    <w:uiPriority w:val="9"/>
    <w:semiHidden/>
    <w:rsid w:val="005806DA"/>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5806D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5806DA"/>
    <w:rPr>
      <w:rFonts w:asciiTheme="majorHAnsi" w:eastAsiaTheme="majorEastAsia" w:hAnsiTheme="majorHAnsi" w:cstheme="majorBidi"/>
      <w:i/>
      <w:iCs/>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5741207">
      <w:bodyDiv w:val="1"/>
      <w:marLeft w:val="0"/>
      <w:marRight w:val="0"/>
      <w:marTop w:val="0"/>
      <w:marBottom w:val="0"/>
      <w:divBdr>
        <w:top w:val="none" w:sz="0" w:space="0" w:color="auto"/>
        <w:left w:val="none" w:sz="0" w:space="0" w:color="auto"/>
        <w:bottom w:val="none" w:sz="0" w:space="0" w:color="auto"/>
        <w:right w:val="none" w:sz="0" w:space="0" w:color="auto"/>
      </w:divBdr>
      <w:divsChild>
        <w:div w:id="228611101">
          <w:marLeft w:val="0"/>
          <w:marRight w:val="0"/>
          <w:marTop w:val="0"/>
          <w:marBottom w:val="0"/>
          <w:divBdr>
            <w:top w:val="none" w:sz="0" w:space="0" w:color="auto"/>
            <w:left w:val="none" w:sz="0" w:space="0" w:color="auto"/>
            <w:bottom w:val="none" w:sz="0" w:space="0" w:color="auto"/>
            <w:right w:val="none" w:sz="0" w:space="0" w:color="auto"/>
          </w:divBdr>
          <w:divsChild>
            <w:div w:id="2131438185">
              <w:marLeft w:val="0"/>
              <w:marRight w:val="0"/>
              <w:marTop w:val="0"/>
              <w:marBottom w:val="0"/>
              <w:divBdr>
                <w:top w:val="none" w:sz="0" w:space="0" w:color="auto"/>
                <w:left w:val="none" w:sz="0" w:space="0" w:color="auto"/>
                <w:bottom w:val="none" w:sz="0" w:space="0" w:color="auto"/>
                <w:right w:val="none" w:sz="0" w:space="0" w:color="auto"/>
              </w:divBdr>
              <w:divsChild>
                <w:div w:id="12242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80">
      <w:bodyDiv w:val="1"/>
      <w:marLeft w:val="0"/>
      <w:marRight w:val="0"/>
      <w:marTop w:val="0"/>
      <w:marBottom w:val="0"/>
      <w:divBdr>
        <w:top w:val="none" w:sz="0" w:space="0" w:color="auto"/>
        <w:left w:val="none" w:sz="0" w:space="0" w:color="auto"/>
        <w:bottom w:val="none" w:sz="0" w:space="0" w:color="auto"/>
        <w:right w:val="none" w:sz="0" w:space="0" w:color="auto"/>
      </w:divBdr>
      <w:divsChild>
        <w:div w:id="436946575">
          <w:marLeft w:val="0"/>
          <w:marRight w:val="0"/>
          <w:marTop w:val="0"/>
          <w:marBottom w:val="0"/>
          <w:divBdr>
            <w:top w:val="none" w:sz="0" w:space="0" w:color="auto"/>
            <w:left w:val="none" w:sz="0" w:space="0" w:color="auto"/>
            <w:bottom w:val="none" w:sz="0" w:space="0" w:color="auto"/>
            <w:right w:val="none" w:sz="0" w:space="0" w:color="auto"/>
          </w:divBdr>
          <w:divsChild>
            <w:div w:id="255023247">
              <w:marLeft w:val="0"/>
              <w:marRight w:val="0"/>
              <w:marTop w:val="120"/>
              <w:marBottom w:val="675"/>
              <w:divBdr>
                <w:top w:val="none" w:sz="0" w:space="0" w:color="auto"/>
                <w:left w:val="none" w:sz="0" w:space="0" w:color="auto"/>
                <w:bottom w:val="none" w:sz="0" w:space="0" w:color="auto"/>
                <w:right w:val="none" w:sz="0" w:space="0" w:color="auto"/>
              </w:divBdr>
              <w:divsChild>
                <w:div w:id="1420638112">
                  <w:marLeft w:val="0"/>
                  <w:marRight w:val="0"/>
                  <w:marTop w:val="0"/>
                  <w:marBottom w:val="0"/>
                  <w:divBdr>
                    <w:top w:val="none" w:sz="0" w:space="0" w:color="auto"/>
                    <w:left w:val="none" w:sz="0" w:space="0" w:color="auto"/>
                    <w:bottom w:val="none" w:sz="0" w:space="0" w:color="auto"/>
                    <w:right w:val="none" w:sz="0" w:space="0" w:color="auto"/>
                  </w:divBdr>
                  <w:divsChild>
                    <w:div w:id="17644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1235">
      <w:bodyDiv w:val="1"/>
      <w:marLeft w:val="0"/>
      <w:marRight w:val="0"/>
      <w:marTop w:val="0"/>
      <w:marBottom w:val="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
      </w:divsChild>
    </w:div>
    <w:div w:id="233705131">
      <w:bodyDiv w:val="1"/>
      <w:marLeft w:val="0"/>
      <w:marRight w:val="0"/>
      <w:marTop w:val="0"/>
      <w:marBottom w:val="0"/>
      <w:divBdr>
        <w:top w:val="none" w:sz="0" w:space="0" w:color="auto"/>
        <w:left w:val="none" w:sz="0" w:space="0" w:color="auto"/>
        <w:bottom w:val="none" w:sz="0" w:space="0" w:color="auto"/>
        <w:right w:val="none" w:sz="0" w:space="0" w:color="auto"/>
      </w:divBdr>
    </w:div>
    <w:div w:id="470027209">
      <w:bodyDiv w:val="1"/>
      <w:marLeft w:val="0"/>
      <w:marRight w:val="0"/>
      <w:marTop w:val="0"/>
      <w:marBottom w:val="0"/>
      <w:divBdr>
        <w:top w:val="none" w:sz="0" w:space="0" w:color="auto"/>
        <w:left w:val="none" w:sz="0" w:space="0" w:color="auto"/>
        <w:bottom w:val="none" w:sz="0" w:space="0" w:color="auto"/>
        <w:right w:val="none" w:sz="0" w:space="0" w:color="auto"/>
      </w:divBdr>
    </w:div>
    <w:div w:id="500194312">
      <w:bodyDiv w:val="1"/>
      <w:marLeft w:val="0"/>
      <w:marRight w:val="0"/>
      <w:marTop w:val="0"/>
      <w:marBottom w:val="0"/>
      <w:divBdr>
        <w:top w:val="none" w:sz="0" w:space="0" w:color="auto"/>
        <w:left w:val="none" w:sz="0" w:space="0" w:color="auto"/>
        <w:bottom w:val="none" w:sz="0" w:space="0" w:color="auto"/>
        <w:right w:val="none" w:sz="0" w:space="0" w:color="auto"/>
      </w:divBdr>
    </w:div>
    <w:div w:id="519975222">
      <w:bodyDiv w:val="1"/>
      <w:marLeft w:val="0"/>
      <w:marRight w:val="0"/>
      <w:marTop w:val="0"/>
      <w:marBottom w:val="0"/>
      <w:divBdr>
        <w:top w:val="none" w:sz="0" w:space="0" w:color="auto"/>
        <w:left w:val="none" w:sz="0" w:space="0" w:color="auto"/>
        <w:bottom w:val="none" w:sz="0" w:space="0" w:color="auto"/>
        <w:right w:val="none" w:sz="0" w:space="0" w:color="auto"/>
      </w:divBdr>
    </w:div>
    <w:div w:id="540746222">
      <w:bodyDiv w:val="1"/>
      <w:marLeft w:val="0"/>
      <w:marRight w:val="0"/>
      <w:marTop w:val="0"/>
      <w:marBottom w:val="0"/>
      <w:divBdr>
        <w:top w:val="none" w:sz="0" w:space="0" w:color="auto"/>
        <w:left w:val="none" w:sz="0" w:space="0" w:color="auto"/>
        <w:bottom w:val="none" w:sz="0" w:space="0" w:color="auto"/>
        <w:right w:val="none" w:sz="0" w:space="0" w:color="auto"/>
      </w:divBdr>
      <w:divsChild>
        <w:div w:id="1011638670">
          <w:marLeft w:val="0"/>
          <w:marRight w:val="0"/>
          <w:marTop w:val="0"/>
          <w:marBottom w:val="0"/>
          <w:divBdr>
            <w:top w:val="none" w:sz="0" w:space="0" w:color="auto"/>
            <w:left w:val="none" w:sz="0" w:space="0" w:color="auto"/>
            <w:bottom w:val="none" w:sz="0" w:space="0" w:color="auto"/>
            <w:right w:val="none" w:sz="0" w:space="0" w:color="auto"/>
          </w:divBdr>
        </w:div>
      </w:divsChild>
    </w:div>
    <w:div w:id="617297191">
      <w:bodyDiv w:val="1"/>
      <w:marLeft w:val="0"/>
      <w:marRight w:val="0"/>
      <w:marTop w:val="0"/>
      <w:marBottom w:val="0"/>
      <w:divBdr>
        <w:top w:val="none" w:sz="0" w:space="0" w:color="auto"/>
        <w:left w:val="none" w:sz="0" w:space="0" w:color="auto"/>
        <w:bottom w:val="none" w:sz="0" w:space="0" w:color="auto"/>
        <w:right w:val="none" w:sz="0" w:space="0" w:color="auto"/>
      </w:divBdr>
    </w:div>
    <w:div w:id="982586135">
      <w:bodyDiv w:val="1"/>
      <w:marLeft w:val="0"/>
      <w:marRight w:val="0"/>
      <w:marTop w:val="0"/>
      <w:marBottom w:val="0"/>
      <w:divBdr>
        <w:top w:val="none" w:sz="0" w:space="0" w:color="auto"/>
        <w:left w:val="none" w:sz="0" w:space="0" w:color="auto"/>
        <w:bottom w:val="none" w:sz="0" w:space="0" w:color="auto"/>
        <w:right w:val="none" w:sz="0" w:space="0" w:color="auto"/>
      </w:divBdr>
      <w:divsChild>
        <w:div w:id="765611298">
          <w:marLeft w:val="0"/>
          <w:marRight w:val="0"/>
          <w:marTop w:val="0"/>
          <w:marBottom w:val="0"/>
          <w:divBdr>
            <w:top w:val="none" w:sz="0" w:space="0" w:color="auto"/>
            <w:left w:val="none" w:sz="0" w:space="0" w:color="auto"/>
            <w:bottom w:val="none" w:sz="0" w:space="0" w:color="auto"/>
            <w:right w:val="none" w:sz="0" w:space="0" w:color="auto"/>
          </w:divBdr>
          <w:divsChild>
            <w:div w:id="1949240699">
              <w:marLeft w:val="0"/>
              <w:marRight w:val="0"/>
              <w:marTop w:val="0"/>
              <w:marBottom w:val="0"/>
              <w:divBdr>
                <w:top w:val="none" w:sz="0" w:space="0" w:color="auto"/>
                <w:left w:val="none" w:sz="0" w:space="0" w:color="auto"/>
                <w:bottom w:val="none" w:sz="0" w:space="0" w:color="auto"/>
                <w:right w:val="none" w:sz="0" w:space="0" w:color="auto"/>
              </w:divBdr>
              <w:divsChild>
                <w:div w:id="1500926591">
                  <w:marLeft w:val="0"/>
                  <w:marRight w:val="0"/>
                  <w:marTop w:val="0"/>
                  <w:marBottom w:val="0"/>
                  <w:divBdr>
                    <w:top w:val="none" w:sz="0" w:space="0" w:color="auto"/>
                    <w:left w:val="none" w:sz="0" w:space="0" w:color="auto"/>
                    <w:bottom w:val="none" w:sz="0" w:space="0" w:color="auto"/>
                    <w:right w:val="none" w:sz="0" w:space="0" w:color="auto"/>
                  </w:divBdr>
                  <w:divsChild>
                    <w:div w:id="659699224">
                      <w:marLeft w:val="0"/>
                      <w:marRight w:val="0"/>
                      <w:marTop w:val="0"/>
                      <w:marBottom w:val="0"/>
                      <w:divBdr>
                        <w:top w:val="none" w:sz="0" w:space="0" w:color="auto"/>
                        <w:left w:val="none" w:sz="0" w:space="0" w:color="auto"/>
                        <w:bottom w:val="none" w:sz="0" w:space="0" w:color="auto"/>
                        <w:right w:val="none" w:sz="0" w:space="0" w:color="auto"/>
                      </w:divBdr>
                      <w:divsChild>
                        <w:div w:id="1529828532">
                          <w:marLeft w:val="0"/>
                          <w:marRight w:val="0"/>
                          <w:marTop w:val="0"/>
                          <w:marBottom w:val="0"/>
                          <w:divBdr>
                            <w:top w:val="none" w:sz="0" w:space="0" w:color="auto"/>
                            <w:left w:val="none" w:sz="0" w:space="0" w:color="auto"/>
                            <w:bottom w:val="none" w:sz="0" w:space="0" w:color="auto"/>
                            <w:right w:val="none" w:sz="0" w:space="0" w:color="auto"/>
                          </w:divBdr>
                          <w:divsChild>
                            <w:div w:id="1072656147">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147551">
      <w:bodyDiv w:val="1"/>
      <w:marLeft w:val="0"/>
      <w:marRight w:val="0"/>
      <w:marTop w:val="0"/>
      <w:marBottom w:val="0"/>
      <w:divBdr>
        <w:top w:val="none" w:sz="0" w:space="0" w:color="auto"/>
        <w:left w:val="none" w:sz="0" w:space="0" w:color="auto"/>
        <w:bottom w:val="none" w:sz="0" w:space="0" w:color="auto"/>
        <w:right w:val="none" w:sz="0" w:space="0" w:color="auto"/>
      </w:divBdr>
      <w:divsChild>
        <w:div w:id="1702783615">
          <w:marLeft w:val="0"/>
          <w:marRight w:val="0"/>
          <w:marTop w:val="0"/>
          <w:marBottom w:val="0"/>
          <w:divBdr>
            <w:top w:val="none" w:sz="0" w:space="0" w:color="auto"/>
            <w:left w:val="none" w:sz="0" w:space="0" w:color="auto"/>
            <w:bottom w:val="none" w:sz="0" w:space="0" w:color="auto"/>
            <w:right w:val="none" w:sz="0" w:space="0" w:color="auto"/>
          </w:divBdr>
          <w:divsChild>
            <w:div w:id="8802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8109">
      <w:bodyDiv w:val="1"/>
      <w:marLeft w:val="0"/>
      <w:marRight w:val="0"/>
      <w:marTop w:val="0"/>
      <w:marBottom w:val="0"/>
      <w:divBdr>
        <w:top w:val="none" w:sz="0" w:space="0" w:color="auto"/>
        <w:left w:val="none" w:sz="0" w:space="0" w:color="auto"/>
        <w:bottom w:val="none" w:sz="0" w:space="0" w:color="auto"/>
        <w:right w:val="none" w:sz="0" w:space="0" w:color="auto"/>
      </w:divBdr>
      <w:divsChild>
        <w:div w:id="939265804">
          <w:marLeft w:val="0"/>
          <w:marRight w:val="0"/>
          <w:marTop w:val="0"/>
          <w:marBottom w:val="0"/>
          <w:divBdr>
            <w:top w:val="none" w:sz="0" w:space="0" w:color="auto"/>
            <w:left w:val="none" w:sz="0" w:space="0" w:color="auto"/>
            <w:bottom w:val="none" w:sz="0" w:space="0" w:color="auto"/>
            <w:right w:val="none" w:sz="0" w:space="0" w:color="auto"/>
          </w:divBdr>
        </w:div>
      </w:divsChild>
    </w:div>
    <w:div w:id="1220046335">
      <w:bodyDiv w:val="1"/>
      <w:marLeft w:val="0"/>
      <w:marRight w:val="0"/>
      <w:marTop w:val="0"/>
      <w:marBottom w:val="0"/>
      <w:divBdr>
        <w:top w:val="none" w:sz="0" w:space="0" w:color="auto"/>
        <w:left w:val="none" w:sz="0" w:space="0" w:color="auto"/>
        <w:bottom w:val="none" w:sz="0" w:space="0" w:color="auto"/>
        <w:right w:val="none" w:sz="0" w:space="0" w:color="auto"/>
      </w:divBdr>
    </w:div>
    <w:div w:id="1291014185">
      <w:bodyDiv w:val="1"/>
      <w:marLeft w:val="0"/>
      <w:marRight w:val="0"/>
      <w:marTop w:val="0"/>
      <w:marBottom w:val="0"/>
      <w:divBdr>
        <w:top w:val="none" w:sz="0" w:space="0" w:color="auto"/>
        <w:left w:val="none" w:sz="0" w:space="0" w:color="auto"/>
        <w:bottom w:val="none" w:sz="0" w:space="0" w:color="auto"/>
        <w:right w:val="none" w:sz="0" w:space="0" w:color="auto"/>
      </w:divBdr>
      <w:divsChild>
        <w:div w:id="19207792">
          <w:marLeft w:val="0"/>
          <w:marRight w:val="0"/>
          <w:marTop w:val="0"/>
          <w:marBottom w:val="0"/>
          <w:divBdr>
            <w:top w:val="none" w:sz="0" w:space="0" w:color="auto"/>
            <w:left w:val="none" w:sz="0" w:space="0" w:color="auto"/>
            <w:bottom w:val="none" w:sz="0" w:space="0" w:color="auto"/>
            <w:right w:val="none" w:sz="0" w:space="0" w:color="auto"/>
          </w:divBdr>
          <w:divsChild>
            <w:div w:id="3783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4423">
          <w:marLeft w:val="0"/>
          <w:marRight w:val="0"/>
          <w:marTop w:val="0"/>
          <w:marBottom w:val="0"/>
          <w:divBdr>
            <w:top w:val="none" w:sz="0" w:space="0" w:color="auto"/>
            <w:left w:val="none" w:sz="0" w:space="0" w:color="auto"/>
            <w:bottom w:val="none" w:sz="0" w:space="0" w:color="auto"/>
            <w:right w:val="none" w:sz="0" w:space="0" w:color="auto"/>
          </w:divBdr>
          <w:divsChild>
            <w:div w:id="464810752">
              <w:marLeft w:val="0"/>
              <w:marRight w:val="0"/>
              <w:marTop w:val="0"/>
              <w:marBottom w:val="0"/>
              <w:divBdr>
                <w:top w:val="none" w:sz="0" w:space="0" w:color="auto"/>
                <w:left w:val="none" w:sz="0" w:space="0" w:color="auto"/>
                <w:bottom w:val="none" w:sz="0" w:space="0" w:color="auto"/>
                <w:right w:val="none" w:sz="0" w:space="0" w:color="auto"/>
              </w:divBdr>
              <w:divsChild>
                <w:div w:id="1364986114">
                  <w:marLeft w:val="0"/>
                  <w:marRight w:val="0"/>
                  <w:marTop w:val="0"/>
                  <w:marBottom w:val="0"/>
                  <w:divBdr>
                    <w:top w:val="none" w:sz="0" w:space="0" w:color="auto"/>
                    <w:left w:val="none" w:sz="0" w:space="0" w:color="auto"/>
                    <w:bottom w:val="none" w:sz="0" w:space="0" w:color="auto"/>
                    <w:right w:val="none" w:sz="0" w:space="0" w:color="auto"/>
                  </w:divBdr>
                  <w:divsChild>
                    <w:div w:id="5203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8232">
      <w:bodyDiv w:val="1"/>
      <w:marLeft w:val="0"/>
      <w:marRight w:val="0"/>
      <w:marTop w:val="0"/>
      <w:marBottom w:val="0"/>
      <w:divBdr>
        <w:top w:val="none" w:sz="0" w:space="0" w:color="auto"/>
        <w:left w:val="none" w:sz="0" w:space="0" w:color="auto"/>
        <w:bottom w:val="none" w:sz="0" w:space="0" w:color="auto"/>
        <w:right w:val="none" w:sz="0" w:space="0" w:color="auto"/>
      </w:divBdr>
      <w:divsChild>
        <w:div w:id="325059102">
          <w:marLeft w:val="422"/>
          <w:marRight w:val="0"/>
          <w:marTop w:val="0"/>
          <w:marBottom w:val="0"/>
          <w:divBdr>
            <w:top w:val="none" w:sz="0" w:space="0" w:color="auto"/>
            <w:left w:val="none" w:sz="0" w:space="0" w:color="auto"/>
            <w:bottom w:val="none" w:sz="0" w:space="0" w:color="auto"/>
            <w:right w:val="none" w:sz="0" w:space="0" w:color="auto"/>
          </w:divBdr>
          <w:divsChild>
            <w:div w:id="2045012803">
              <w:marLeft w:val="0"/>
              <w:marRight w:val="0"/>
              <w:marTop w:val="0"/>
              <w:marBottom w:val="0"/>
              <w:divBdr>
                <w:top w:val="none" w:sz="0" w:space="0" w:color="auto"/>
                <w:left w:val="none" w:sz="0" w:space="0" w:color="auto"/>
                <w:bottom w:val="none" w:sz="0" w:space="0" w:color="auto"/>
                <w:right w:val="none" w:sz="0" w:space="0" w:color="auto"/>
              </w:divBdr>
              <w:divsChild>
                <w:div w:id="358119108">
                  <w:marLeft w:val="993"/>
                  <w:marRight w:val="0"/>
                  <w:marTop w:val="0"/>
                  <w:marBottom w:val="0"/>
                  <w:divBdr>
                    <w:top w:val="none" w:sz="0" w:space="0" w:color="auto"/>
                    <w:left w:val="none" w:sz="0" w:space="0" w:color="auto"/>
                    <w:bottom w:val="none" w:sz="0" w:space="0" w:color="auto"/>
                    <w:right w:val="none" w:sz="0" w:space="0" w:color="auto"/>
                  </w:divBdr>
                  <w:divsChild>
                    <w:div w:id="1071390406">
                      <w:marLeft w:val="0"/>
                      <w:marRight w:val="0"/>
                      <w:marTop w:val="0"/>
                      <w:marBottom w:val="372"/>
                      <w:divBdr>
                        <w:top w:val="none" w:sz="0" w:space="0" w:color="auto"/>
                        <w:left w:val="none" w:sz="0" w:space="0" w:color="auto"/>
                        <w:bottom w:val="none" w:sz="0" w:space="0" w:color="auto"/>
                        <w:right w:val="none" w:sz="0" w:space="0" w:color="auto"/>
                      </w:divBdr>
                      <w:divsChild>
                        <w:div w:id="1735272949">
                          <w:marLeft w:val="0"/>
                          <w:marRight w:val="0"/>
                          <w:marTop w:val="0"/>
                          <w:marBottom w:val="0"/>
                          <w:divBdr>
                            <w:top w:val="none" w:sz="0" w:space="0" w:color="auto"/>
                            <w:left w:val="none" w:sz="0" w:space="0" w:color="auto"/>
                            <w:bottom w:val="none" w:sz="0" w:space="0" w:color="auto"/>
                            <w:right w:val="none" w:sz="0" w:space="0" w:color="auto"/>
                          </w:divBdr>
                          <w:divsChild>
                            <w:div w:id="1263488181">
                              <w:marLeft w:val="0"/>
                              <w:marRight w:val="0"/>
                              <w:marTop w:val="0"/>
                              <w:marBottom w:val="0"/>
                              <w:divBdr>
                                <w:top w:val="none" w:sz="0" w:space="0" w:color="auto"/>
                                <w:left w:val="none" w:sz="0" w:space="0" w:color="auto"/>
                                <w:bottom w:val="none" w:sz="0" w:space="0" w:color="auto"/>
                                <w:right w:val="none" w:sz="0" w:space="0" w:color="auto"/>
                              </w:divBdr>
                              <w:divsChild>
                                <w:div w:id="883100101">
                                  <w:marLeft w:val="0"/>
                                  <w:marRight w:val="497"/>
                                  <w:marTop w:val="0"/>
                                  <w:marBottom w:val="124"/>
                                  <w:divBdr>
                                    <w:top w:val="none" w:sz="0" w:space="0" w:color="auto"/>
                                    <w:left w:val="none" w:sz="0" w:space="0" w:color="auto"/>
                                    <w:bottom w:val="dotted" w:sz="12" w:space="6" w:color="333333"/>
                                    <w:right w:val="none" w:sz="0" w:space="0" w:color="auto"/>
                                  </w:divBdr>
                                </w:div>
                              </w:divsChild>
                            </w:div>
                          </w:divsChild>
                        </w:div>
                      </w:divsChild>
                    </w:div>
                  </w:divsChild>
                </w:div>
              </w:divsChild>
            </w:div>
          </w:divsChild>
        </w:div>
      </w:divsChild>
    </w:div>
    <w:div w:id="1364671427">
      <w:bodyDiv w:val="1"/>
      <w:marLeft w:val="0"/>
      <w:marRight w:val="0"/>
      <w:marTop w:val="0"/>
      <w:marBottom w:val="0"/>
      <w:divBdr>
        <w:top w:val="none" w:sz="0" w:space="0" w:color="auto"/>
        <w:left w:val="none" w:sz="0" w:space="0" w:color="auto"/>
        <w:bottom w:val="none" w:sz="0" w:space="0" w:color="auto"/>
        <w:right w:val="none" w:sz="0" w:space="0" w:color="auto"/>
      </w:divBdr>
      <w:divsChild>
        <w:div w:id="1379627218">
          <w:marLeft w:val="0"/>
          <w:marRight w:val="0"/>
          <w:marTop w:val="0"/>
          <w:marBottom w:val="0"/>
          <w:divBdr>
            <w:top w:val="none" w:sz="0" w:space="0" w:color="auto"/>
            <w:left w:val="none" w:sz="0" w:space="0" w:color="auto"/>
            <w:bottom w:val="none" w:sz="0" w:space="0" w:color="auto"/>
            <w:right w:val="none" w:sz="0" w:space="0" w:color="auto"/>
          </w:divBdr>
          <w:divsChild>
            <w:div w:id="1130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6410">
      <w:bodyDiv w:val="1"/>
      <w:marLeft w:val="0"/>
      <w:marRight w:val="0"/>
      <w:marTop w:val="0"/>
      <w:marBottom w:val="0"/>
      <w:divBdr>
        <w:top w:val="none" w:sz="0" w:space="0" w:color="auto"/>
        <w:left w:val="none" w:sz="0" w:space="0" w:color="auto"/>
        <w:bottom w:val="none" w:sz="0" w:space="0" w:color="auto"/>
        <w:right w:val="none" w:sz="0" w:space="0" w:color="auto"/>
      </w:divBdr>
      <w:divsChild>
        <w:div w:id="189877976">
          <w:marLeft w:val="0"/>
          <w:marRight w:val="0"/>
          <w:marTop w:val="0"/>
          <w:marBottom w:val="0"/>
          <w:divBdr>
            <w:top w:val="none" w:sz="0" w:space="0" w:color="auto"/>
            <w:left w:val="none" w:sz="0" w:space="0" w:color="auto"/>
            <w:bottom w:val="none" w:sz="0" w:space="0" w:color="auto"/>
            <w:right w:val="none" w:sz="0" w:space="0" w:color="auto"/>
          </w:divBdr>
        </w:div>
      </w:divsChild>
    </w:div>
    <w:div w:id="1499232394">
      <w:bodyDiv w:val="1"/>
      <w:marLeft w:val="0"/>
      <w:marRight w:val="0"/>
      <w:marTop w:val="0"/>
      <w:marBottom w:val="0"/>
      <w:divBdr>
        <w:top w:val="none" w:sz="0" w:space="0" w:color="auto"/>
        <w:left w:val="none" w:sz="0" w:space="0" w:color="auto"/>
        <w:bottom w:val="none" w:sz="0" w:space="0" w:color="auto"/>
        <w:right w:val="none" w:sz="0" w:space="0" w:color="auto"/>
      </w:divBdr>
      <w:divsChild>
        <w:div w:id="2045014683">
          <w:marLeft w:val="0"/>
          <w:marRight w:val="0"/>
          <w:marTop w:val="0"/>
          <w:marBottom w:val="0"/>
          <w:divBdr>
            <w:top w:val="none" w:sz="0" w:space="0" w:color="auto"/>
            <w:left w:val="none" w:sz="0" w:space="0" w:color="auto"/>
            <w:bottom w:val="none" w:sz="0" w:space="0" w:color="auto"/>
            <w:right w:val="none" w:sz="0" w:space="0" w:color="auto"/>
          </w:divBdr>
        </w:div>
      </w:divsChild>
    </w:div>
    <w:div w:id="1511875488">
      <w:bodyDiv w:val="1"/>
      <w:marLeft w:val="0"/>
      <w:marRight w:val="0"/>
      <w:marTop w:val="0"/>
      <w:marBottom w:val="0"/>
      <w:divBdr>
        <w:top w:val="none" w:sz="0" w:space="0" w:color="auto"/>
        <w:left w:val="none" w:sz="0" w:space="0" w:color="auto"/>
        <w:bottom w:val="none" w:sz="0" w:space="0" w:color="auto"/>
        <w:right w:val="none" w:sz="0" w:space="0" w:color="auto"/>
      </w:divBdr>
    </w:div>
    <w:div w:id="1526599868">
      <w:bodyDiv w:val="1"/>
      <w:marLeft w:val="0"/>
      <w:marRight w:val="0"/>
      <w:marTop w:val="0"/>
      <w:marBottom w:val="0"/>
      <w:divBdr>
        <w:top w:val="none" w:sz="0" w:space="0" w:color="auto"/>
        <w:left w:val="none" w:sz="0" w:space="0" w:color="auto"/>
        <w:bottom w:val="none" w:sz="0" w:space="0" w:color="auto"/>
        <w:right w:val="none" w:sz="0" w:space="0" w:color="auto"/>
      </w:divBdr>
      <w:divsChild>
        <w:div w:id="958340898">
          <w:marLeft w:val="0"/>
          <w:marRight w:val="0"/>
          <w:marTop w:val="0"/>
          <w:marBottom w:val="0"/>
          <w:divBdr>
            <w:top w:val="none" w:sz="0" w:space="0" w:color="auto"/>
            <w:left w:val="none" w:sz="0" w:space="0" w:color="auto"/>
            <w:bottom w:val="none" w:sz="0" w:space="0" w:color="auto"/>
            <w:right w:val="none" w:sz="0" w:space="0" w:color="auto"/>
          </w:divBdr>
          <w:divsChild>
            <w:div w:id="1465806500">
              <w:marLeft w:val="0"/>
              <w:marRight w:val="0"/>
              <w:marTop w:val="0"/>
              <w:marBottom w:val="0"/>
              <w:divBdr>
                <w:top w:val="none" w:sz="0" w:space="0" w:color="auto"/>
                <w:left w:val="none" w:sz="0" w:space="0" w:color="auto"/>
                <w:bottom w:val="none" w:sz="0" w:space="0" w:color="auto"/>
                <w:right w:val="none" w:sz="0" w:space="0" w:color="auto"/>
              </w:divBdr>
              <w:divsChild>
                <w:div w:id="1563564143">
                  <w:marLeft w:val="0"/>
                  <w:marRight w:val="0"/>
                  <w:marTop w:val="0"/>
                  <w:marBottom w:val="0"/>
                  <w:divBdr>
                    <w:top w:val="none" w:sz="0" w:space="0" w:color="auto"/>
                    <w:left w:val="none" w:sz="0" w:space="0" w:color="auto"/>
                    <w:bottom w:val="none" w:sz="0" w:space="0" w:color="auto"/>
                    <w:right w:val="none" w:sz="0" w:space="0" w:color="auto"/>
                  </w:divBdr>
                  <w:divsChild>
                    <w:div w:id="546795327">
                      <w:marLeft w:val="0"/>
                      <w:marRight w:val="0"/>
                      <w:marTop w:val="0"/>
                      <w:marBottom w:val="0"/>
                      <w:divBdr>
                        <w:top w:val="none" w:sz="0" w:space="0" w:color="auto"/>
                        <w:left w:val="none" w:sz="0" w:space="0" w:color="auto"/>
                        <w:bottom w:val="none" w:sz="0" w:space="0" w:color="auto"/>
                        <w:right w:val="none" w:sz="0" w:space="0" w:color="auto"/>
                      </w:divBdr>
                      <w:divsChild>
                        <w:div w:id="1200892425">
                          <w:marLeft w:val="300"/>
                          <w:marRight w:val="300"/>
                          <w:marTop w:val="0"/>
                          <w:marBottom w:val="300"/>
                          <w:divBdr>
                            <w:top w:val="none" w:sz="0" w:space="0" w:color="auto"/>
                            <w:left w:val="none" w:sz="0" w:space="0" w:color="auto"/>
                            <w:bottom w:val="none" w:sz="0" w:space="0" w:color="auto"/>
                            <w:right w:val="none" w:sz="0" w:space="0" w:color="auto"/>
                          </w:divBdr>
                          <w:divsChild>
                            <w:div w:id="1879396763">
                              <w:marLeft w:val="0"/>
                              <w:marRight w:val="0"/>
                              <w:marTop w:val="0"/>
                              <w:marBottom w:val="0"/>
                              <w:divBdr>
                                <w:top w:val="none" w:sz="0" w:space="0" w:color="auto"/>
                                <w:left w:val="none" w:sz="0" w:space="0" w:color="auto"/>
                                <w:bottom w:val="none" w:sz="0" w:space="0" w:color="auto"/>
                                <w:right w:val="none" w:sz="0" w:space="0" w:color="auto"/>
                              </w:divBdr>
                              <w:divsChild>
                                <w:div w:id="11060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671806">
      <w:bodyDiv w:val="1"/>
      <w:marLeft w:val="0"/>
      <w:marRight w:val="0"/>
      <w:marTop w:val="0"/>
      <w:marBottom w:val="0"/>
      <w:divBdr>
        <w:top w:val="none" w:sz="0" w:space="0" w:color="auto"/>
        <w:left w:val="none" w:sz="0" w:space="0" w:color="auto"/>
        <w:bottom w:val="none" w:sz="0" w:space="0" w:color="auto"/>
        <w:right w:val="none" w:sz="0" w:space="0" w:color="auto"/>
      </w:divBdr>
      <w:divsChild>
        <w:div w:id="1203398989">
          <w:marLeft w:val="0"/>
          <w:marRight w:val="0"/>
          <w:marTop w:val="0"/>
          <w:marBottom w:val="0"/>
          <w:divBdr>
            <w:top w:val="none" w:sz="0" w:space="0" w:color="auto"/>
            <w:left w:val="none" w:sz="0" w:space="0" w:color="auto"/>
            <w:bottom w:val="none" w:sz="0" w:space="0" w:color="auto"/>
            <w:right w:val="none" w:sz="0" w:space="0" w:color="auto"/>
          </w:divBdr>
        </w:div>
      </w:divsChild>
    </w:div>
    <w:div w:id="1812795420">
      <w:bodyDiv w:val="1"/>
      <w:marLeft w:val="0"/>
      <w:marRight w:val="0"/>
      <w:marTop w:val="0"/>
      <w:marBottom w:val="0"/>
      <w:divBdr>
        <w:top w:val="none" w:sz="0" w:space="0" w:color="auto"/>
        <w:left w:val="none" w:sz="0" w:space="0" w:color="auto"/>
        <w:bottom w:val="none" w:sz="0" w:space="0" w:color="auto"/>
        <w:right w:val="none" w:sz="0" w:space="0" w:color="auto"/>
      </w:divBdr>
      <w:divsChild>
        <w:div w:id="957680947">
          <w:marLeft w:val="0"/>
          <w:marRight w:val="0"/>
          <w:marTop w:val="0"/>
          <w:marBottom w:val="0"/>
          <w:divBdr>
            <w:top w:val="none" w:sz="0" w:space="0" w:color="auto"/>
            <w:left w:val="none" w:sz="0" w:space="0" w:color="auto"/>
            <w:bottom w:val="none" w:sz="0" w:space="0" w:color="auto"/>
            <w:right w:val="none" w:sz="0" w:space="0" w:color="auto"/>
          </w:divBdr>
          <w:divsChild>
            <w:div w:id="144592473">
              <w:marLeft w:val="0"/>
              <w:marRight w:val="0"/>
              <w:marTop w:val="0"/>
              <w:marBottom w:val="0"/>
              <w:divBdr>
                <w:top w:val="none" w:sz="0" w:space="0" w:color="auto"/>
                <w:left w:val="none" w:sz="0" w:space="0" w:color="auto"/>
                <w:bottom w:val="none" w:sz="0" w:space="0" w:color="auto"/>
                <w:right w:val="none" w:sz="0" w:space="0" w:color="auto"/>
              </w:divBdr>
              <w:divsChild>
                <w:div w:id="1091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67353">
      <w:bodyDiv w:val="1"/>
      <w:marLeft w:val="0"/>
      <w:marRight w:val="0"/>
      <w:marTop w:val="0"/>
      <w:marBottom w:val="0"/>
      <w:divBdr>
        <w:top w:val="none" w:sz="0" w:space="0" w:color="auto"/>
        <w:left w:val="none" w:sz="0" w:space="0" w:color="auto"/>
        <w:bottom w:val="none" w:sz="0" w:space="0" w:color="auto"/>
        <w:right w:val="none" w:sz="0" w:space="0" w:color="auto"/>
      </w:divBdr>
    </w:div>
    <w:div w:id="2046520625">
      <w:bodyDiv w:val="1"/>
      <w:marLeft w:val="0"/>
      <w:marRight w:val="0"/>
      <w:marTop w:val="0"/>
      <w:marBottom w:val="0"/>
      <w:divBdr>
        <w:top w:val="none" w:sz="0" w:space="0" w:color="auto"/>
        <w:left w:val="none" w:sz="0" w:space="0" w:color="auto"/>
        <w:bottom w:val="none" w:sz="0" w:space="0" w:color="auto"/>
        <w:right w:val="none" w:sz="0" w:space="0" w:color="auto"/>
      </w:divBdr>
    </w:div>
    <w:div w:id="2047369097">
      <w:bodyDiv w:val="1"/>
      <w:marLeft w:val="0"/>
      <w:marRight w:val="0"/>
      <w:marTop w:val="0"/>
      <w:marBottom w:val="0"/>
      <w:divBdr>
        <w:top w:val="none" w:sz="0" w:space="0" w:color="auto"/>
        <w:left w:val="none" w:sz="0" w:space="0" w:color="auto"/>
        <w:bottom w:val="none" w:sz="0" w:space="0" w:color="auto"/>
        <w:right w:val="none" w:sz="0" w:space="0" w:color="auto"/>
      </w:divBdr>
      <w:divsChild>
        <w:div w:id="583144879">
          <w:marLeft w:val="0"/>
          <w:marRight w:val="0"/>
          <w:marTop w:val="0"/>
          <w:marBottom w:val="0"/>
          <w:divBdr>
            <w:top w:val="none" w:sz="0" w:space="0" w:color="auto"/>
            <w:left w:val="none" w:sz="0" w:space="0" w:color="auto"/>
            <w:bottom w:val="none" w:sz="0" w:space="0" w:color="auto"/>
            <w:right w:val="none" w:sz="0" w:space="0" w:color="auto"/>
          </w:divBdr>
          <w:divsChild>
            <w:div w:id="266546677">
              <w:marLeft w:val="0"/>
              <w:marRight w:val="0"/>
              <w:marTop w:val="0"/>
              <w:marBottom w:val="0"/>
              <w:divBdr>
                <w:top w:val="none" w:sz="0" w:space="0" w:color="auto"/>
                <w:left w:val="none" w:sz="0" w:space="0" w:color="auto"/>
                <w:bottom w:val="none" w:sz="0" w:space="0" w:color="auto"/>
                <w:right w:val="none" w:sz="0" w:space="0" w:color="auto"/>
              </w:divBdr>
              <w:divsChild>
                <w:div w:id="320893867">
                  <w:marLeft w:val="0"/>
                  <w:marRight w:val="0"/>
                  <w:marTop w:val="0"/>
                  <w:marBottom w:val="0"/>
                  <w:divBdr>
                    <w:top w:val="none" w:sz="0" w:space="0" w:color="auto"/>
                    <w:left w:val="none" w:sz="0" w:space="0" w:color="auto"/>
                    <w:bottom w:val="none" w:sz="0" w:space="0" w:color="auto"/>
                    <w:right w:val="none" w:sz="0" w:space="0" w:color="auto"/>
                  </w:divBdr>
                  <w:divsChild>
                    <w:div w:id="223373163">
                      <w:marLeft w:val="0"/>
                      <w:marRight w:val="0"/>
                      <w:marTop w:val="0"/>
                      <w:marBottom w:val="0"/>
                      <w:divBdr>
                        <w:top w:val="none" w:sz="0" w:space="0" w:color="auto"/>
                        <w:left w:val="none" w:sz="0" w:space="0" w:color="auto"/>
                        <w:bottom w:val="none" w:sz="0" w:space="0" w:color="auto"/>
                        <w:right w:val="none" w:sz="0" w:space="0" w:color="auto"/>
                      </w:divBdr>
                      <w:divsChild>
                        <w:div w:id="545878561">
                          <w:marLeft w:val="300"/>
                          <w:marRight w:val="300"/>
                          <w:marTop w:val="0"/>
                          <w:marBottom w:val="300"/>
                          <w:divBdr>
                            <w:top w:val="none" w:sz="0" w:space="0" w:color="auto"/>
                            <w:left w:val="none" w:sz="0" w:space="0" w:color="auto"/>
                            <w:bottom w:val="none" w:sz="0" w:space="0" w:color="auto"/>
                            <w:right w:val="none" w:sz="0" w:space="0" w:color="auto"/>
                          </w:divBdr>
                          <w:divsChild>
                            <w:div w:id="970355574">
                              <w:marLeft w:val="0"/>
                              <w:marRight w:val="0"/>
                              <w:marTop w:val="0"/>
                              <w:marBottom w:val="0"/>
                              <w:divBdr>
                                <w:top w:val="none" w:sz="0" w:space="0" w:color="auto"/>
                                <w:left w:val="none" w:sz="0" w:space="0" w:color="auto"/>
                                <w:bottom w:val="none" w:sz="0" w:space="0" w:color="auto"/>
                                <w:right w:val="none" w:sz="0" w:space="0" w:color="auto"/>
                              </w:divBdr>
                              <w:divsChild>
                                <w:div w:id="710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313646">
      <w:bodyDiv w:val="1"/>
      <w:marLeft w:val="0"/>
      <w:marRight w:val="0"/>
      <w:marTop w:val="0"/>
      <w:marBottom w:val="0"/>
      <w:divBdr>
        <w:top w:val="none" w:sz="0" w:space="0" w:color="auto"/>
        <w:left w:val="none" w:sz="0" w:space="0" w:color="auto"/>
        <w:bottom w:val="none" w:sz="0" w:space="0" w:color="auto"/>
        <w:right w:val="none" w:sz="0" w:space="0" w:color="auto"/>
      </w:divBdr>
      <w:divsChild>
        <w:div w:id="485980315">
          <w:marLeft w:val="0"/>
          <w:marRight w:val="0"/>
          <w:marTop w:val="0"/>
          <w:marBottom w:val="0"/>
          <w:divBdr>
            <w:top w:val="none" w:sz="0" w:space="0" w:color="auto"/>
            <w:left w:val="none" w:sz="0" w:space="0" w:color="auto"/>
            <w:bottom w:val="none" w:sz="0" w:space="0" w:color="auto"/>
            <w:right w:val="none" w:sz="0" w:space="0" w:color="auto"/>
          </w:divBdr>
          <w:divsChild>
            <w:div w:id="1521241401">
              <w:marLeft w:val="0"/>
              <w:marRight w:val="0"/>
              <w:marTop w:val="120"/>
              <w:marBottom w:val="675"/>
              <w:divBdr>
                <w:top w:val="none" w:sz="0" w:space="0" w:color="auto"/>
                <w:left w:val="none" w:sz="0" w:space="0" w:color="auto"/>
                <w:bottom w:val="none" w:sz="0" w:space="0" w:color="auto"/>
                <w:right w:val="none" w:sz="0" w:space="0" w:color="auto"/>
              </w:divBdr>
              <w:divsChild>
                <w:div w:id="396520021">
                  <w:marLeft w:val="0"/>
                  <w:marRight w:val="0"/>
                  <w:marTop w:val="0"/>
                  <w:marBottom w:val="0"/>
                  <w:divBdr>
                    <w:top w:val="none" w:sz="0" w:space="0" w:color="auto"/>
                    <w:left w:val="none" w:sz="0" w:space="0" w:color="auto"/>
                    <w:bottom w:val="none" w:sz="0" w:space="0" w:color="auto"/>
                    <w:right w:val="none" w:sz="0" w:space="0" w:color="auto"/>
                  </w:divBdr>
                  <w:divsChild>
                    <w:div w:id="16919566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topics/environment-protection/national-waste-policy" TargetMode="External"/><Relationship Id="rId18" Type="http://schemas.openxmlformats.org/officeDocument/2006/relationships/hyperlink" Target="http://www.environment.act.gov.au" TargetMode="External"/><Relationship Id="rId26" Type="http://schemas.openxmlformats.org/officeDocument/2006/relationships/hyperlink" Target="http://www.epa.s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lanning.nsw.gov.au" TargetMode="External"/><Relationship Id="rId34" Type="http://schemas.openxmlformats.org/officeDocument/2006/relationships/hyperlink" Target="http://www.epa.wa.gov.au"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environment.gov.au" TargetMode="External"/><Relationship Id="rId25" Type="http://schemas.openxmlformats.org/officeDocument/2006/relationships/hyperlink" Target="http://www.environment.sa.gov.au" TargetMode="External"/><Relationship Id="rId33" Type="http://schemas.openxmlformats.org/officeDocument/2006/relationships/hyperlink" Target="http://www.dec.w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vironment.gov.au/wastepolicy" TargetMode="External"/><Relationship Id="rId20" Type="http://schemas.openxmlformats.org/officeDocument/2006/relationships/hyperlink" Target="http://www.environment.nsw.gov.au" TargetMode="External"/><Relationship Id="rId29" Type="http://schemas.openxmlformats.org/officeDocument/2006/relationships/hyperlink" Target="http://www.epa.tas.gov.a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hp.qld.gov.au" TargetMode="External"/><Relationship Id="rId32" Type="http://schemas.openxmlformats.org/officeDocument/2006/relationships/hyperlink" Target="http://www.sustainability.vic.gov.au"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northtaswaste.com.au/" TargetMode="External"/><Relationship Id="rId23" Type="http://schemas.openxmlformats.org/officeDocument/2006/relationships/hyperlink" Target="http://www.ntepa.nt.gov.au" TargetMode="External"/><Relationship Id="rId28" Type="http://schemas.openxmlformats.org/officeDocument/2006/relationships/hyperlink" Target="http://www.dpipwe.tas.gov.au"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tams.act.gov.au" TargetMode="External"/><Relationship Id="rId31" Type="http://schemas.openxmlformats.org/officeDocument/2006/relationships/hyperlink" Target="http://www.ep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rthtaswaste.com.au/" TargetMode="External"/><Relationship Id="rId22" Type="http://schemas.openxmlformats.org/officeDocument/2006/relationships/hyperlink" Target="http://www.environment.nsw.gov.au/epa/" TargetMode="External"/><Relationship Id="rId27" Type="http://schemas.openxmlformats.org/officeDocument/2006/relationships/hyperlink" Target="http://www.zerowaste.sa.gov.au" TargetMode="External"/><Relationship Id="rId30" Type="http://schemas.openxmlformats.org/officeDocument/2006/relationships/hyperlink" Target="http://www.dse.vic.gov.au" TargetMode="External"/><Relationship Id="rId35" Type="http://schemas.openxmlformats.org/officeDocument/2006/relationships/hyperlink" Target="http://www.zerowaste.wa.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environment.gov.au/wastepolicy/publications/pubs/data-collection-and-reporting.pdf" TargetMode="External"/><Relationship Id="rId13" Type="http://schemas.openxmlformats.org/officeDocument/2006/relationships/hyperlink" Target="http://www.epa.vic.gov.au/~/media/Publications/1490.pdf" TargetMode="External"/><Relationship Id="rId18" Type="http://schemas.openxmlformats.org/officeDocument/2006/relationships/hyperlink" Target="http://www.environment.gov.au/wastepolicy/publications/pubs/place-based-approaches.pdf" TargetMode="External"/><Relationship Id="rId3" Type="http://schemas.openxmlformats.org/officeDocument/2006/relationships/hyperlink" Target="http://www.getitrightbinnight.vic.gov.au/" TargetMode="External"/><Relationship Id="rId7" Type="http://schemas.openxmlformats.org/officeDocument/2006/relationships/hyperlink" Target="http://www.environment.gov.au/wastepolicy/publications/pubs/australian-recycling-sector.pdf" TargetMode="External"/><Relationship Id="rId12" Type="http://schemas.openxmlformats.org/officeDocument/2006/relationships/hyperlink" Target="http://www.sustainability.vic.gov.au/www/html/3295-melbourne-metropolitan-organics-plan.asp" TargetMode="External"/><Relationship Id="rId17" Type="http://schemas.openxmlformats.org/officeDocument/2006/relationships/hyperlink" Target="http://www.zerowaste.wa.gov.au/media/files/documents/SLR_Final_Report7Sep12.pdf" TargetMode="External"/><Relationship Id="rId2" Type="http://schemas.openxmlformats.org/officeDocument/2006/relationships/hyperlink" Target="http://www.environment.gov.au/settlements/waste/product-stewardship/consultation/voluntary.html" TargetMode="External"/><Relationship Id="rId16" Type="http://schemas.openxmlformats.org/officeDocument/2006/relationships/hyperlink" Target="http://www.sustainability.vic.gov.au/www/html/3635-resource-recovery-infrastructure-fund.asp" TargetMode="External"/><Relationship Id="rId20" Type="http://schemas.openxmlformats.org/officeDocument/2006/relationships/hyperlink" Target="http://www.environment.nsw.gov.au/grants/alcup.htm" TargetMode="External"/><Relationship Id="rId1" Type="http://schemas.openxmlformats.org/officeDocument/2006/relationships/hyperlink" Target="http://www.environment.gov.au/topics/environment-protection/national-waste-policy" TargetMode="External"/><Relationship Id="rId6" Type="http://schemas.openxmlformats.org/officeDocument/2006/relationships/hyperlink" Target="http://www.environment.gov.au/wastepolicy/publications/pubs/australian-waste-definitions.pdf" TargetMode="External"/><Relationship Id="rId11" Type="http://schemas.openxmlformats.org/officeDocument/2006/relationships/hyperlink" Target="http://www.lovefoodhatewaste.nsw.gov.au/business/home.aspx" TargetMode="External"/><Relationship Id="rId5" Type="http://schemas.openxmlformats.org/officeDocument/2006/relationships/hyperlink" Target="http://www.environment.gov.au/wastepolicy/publications/pubs/waste-classifications-comparisons.pdf" TargetMode="External"/><Relationship Id="rId15" Type="http://schemas.openxmlformats.org/officeDocument/2006/relationships/hyperlink" Target="http://www.epa.nsw.gov.au/bintrim/" TargetMode="External"/><Relationship Id="rId10" Type="http://schemas.openxmlformats.org/officeDocument/2006/relationships/hyperlink" Target="http://www.environment.gov.au/wastepolicy/publications/pubs/food-waste.pdf" TargetMode="External"/><Relationship Id="rId19" Type="http://schemas.openxmlformats.org/officeDocument/2006/relationships/hyperlink" Target="http://www.dec.wa.gov.au/search.html?searchword=asbestos&amp;searchphrase=all" TargetMode="External"/><Relationship Id="rId4" Type="http://schemas.openxmlformats.org/officeDocument/2006/relationships/hyperlink" Target="http://www.sustainability.vic.gov.au/www/html/3601-smarter-resources-smarter-business-program.asp" TargetMode="External"/><Relationship Id="rId9" Type="http://schemas.openxmlformats.org/officeDocument/2006/relationships/hyperlink" Target="http://www.environment.gov.au/wastepolicy/publications/reuse-resource-recovery.html" TargetMode="External"/><Relationship Id="rId14" Type="http://schemas.openxmlformats.org/officeDocument/2006/relationships/hyperlink" Target="http://www.sustainability.vic.gov.au/www/html/3248-transition-support-to-improve-rural-landfill-infrastructure.asp" TargetMode="Externa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2013-04-08T00:00:00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5.xml><?xml version="1.0" encoding="utf-8"?>
<ds:datastoreItem xmlns:ds="http://schemas.openxmlformats.org/officeDocument/2006/customXml" ds:itemID="{88DB4909-7DE7-4D0B-A0CA-F0BEA4BA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29</Pages>
  <Words>6224</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NATIONAL WASTE POLICY:  LESS WASTE, MORE RESOURCES</vt:lpstr>
    </vt:vector>
  </TitlesOfParts>
  <Company>Department of the Environment</Company>
  <LinksUpToDate>false</LinksUpToDate>
  <CharactersWithSpaces>41624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Policy Implementation Report 2012 and 2013</dc:title>
  <dc:subject>Draft Implementation Report 2012</dc:subject>
  <dc:creator>A05404</dc:creator>
  <cp:lastModifiedBy>A00870</cp:lastModifiedBy>
  <cp:revision>28</cp:revision>
  <cp:lastPrinted>2014-05-07T05:13:00Z</cp:lastPrinted>
  <dcterms:created xsi:type="dcterms:W3CDTF">2014-03-18T23:59:00Z</dcterms:created>
  <dcterms:modified xsi:type="dcterms:W3CDTF">2014-05-15T03:43:00Z</dcterms:modified>
</cp:coreProperties>
</file>