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DA8A" w14:textId="77777777" w:rsidR="009873DC" w:rsidRPr="003E143A" w:rsidRDefault="009873DC" w:rsidP="009873DC">
      <w:pPr>
        <w:pStyle w:val="Heading1"/>
        <w:jc w:val="center"/>
        <w:rPr>
          <w:rStyle w:val="field"/>
          <w:rFonts w:eastAsiaTheme="minorEastAsia" w:cs="Calibri"/>
          <w:b w:val="0"/>
          <w:bCs w:val="0"/>
          <w:color w:val="165788"/>
          <w:spacing w:val="0"/>
          <w:kern w:val="0"/>
          <w:sz w:val="40"/>
          <w:szCs w:val="40"/>
          <w:lang w:eastAsia="ja-JP"/>
        </w:rPr>
      </w:pPr>
      <w:r w:rsidRPr="003E143A">
        <w:rPr>
          <w:rStyle w:val="field"/>
          <w:rFonts w:eastAsiaTheme="minorEastAsia" w:cs="Calibri"/>
          <w:b w:val="0"/>
          <w:bCs w:val="0"/>
          <w:color w:val="165788"/>
          <w:spacing w:val="0"/>
          <w:kern w:val="0"/>
          <w:sz w:val="40"/>
          <w:szCs w:val="40"/>
          <w:lang w:eastAsia="ja-JP"/>
        </w:rPr>
        <w:t>National Biosecurity Committee</w:t>
      </w:r>
    </w:p>
    <w:p w14:paraId="4F83D23F" w14:textId="77777777" w:rsidR="009873DC" w:rsidRPr="003E143A" w:rsidRDefault="009873DC" w:rsidP="009873DC">
      <w:pPr>
        <w:spacing w:beforeLines="120" w:before="288" w:after="120"/>
        <w:jc w:val="center"/>
        <w:rPr>
          <w:rFonts w:cs="Calibri"/>
          <w:b/>
          <w:bCs/>
          <w:sz w:val="28"/>
          <w:szCs w:val="28"/>
          <w:lang w:eastAsia="ja-JP"/>
        </w:rPr>
      </w:pPr>
      <w:r w:rsidRPr="003E143A">
        <w:rPr>
          <w:rFonts w:cs="Calibri"/>
          <w:b/>
          <w:bCs/>
          <w:sz w:val="28"/>
          <w:szCs w:val="28"/>
          <w:lang w:eastAsia="ja-JP"/>
        </w:rPr>
        <w:t>Annual Report 2025</w:t>
      </w:r>
    </w:p>
    <w:p w14:paraId="37B20AFA" w14:textId="77777777" w:rsidR="001E537E" w:rsidRPr="003E143A" w:rsidRDefault="001E537E" w:rsidP="001E537E">
      <w:pPr>
        <w:spacing w:before="120" w:after="120"/>
        <w:rPr>
          <w:rFonts w:cs="Calibri"/>
          <w:sz w:val="22"/>
        </w:rPr>
      </w:pPr>
      <w:r w:rsidRPr="003E143A">
        <w:rPr>
          <w:rFonts w:cs="Calibri"/>
          <w:sz w:val="22"/>
        </w:rPr>
        <w:t xml:space="preserve">The National Biosecurity Committee (NBC) provides strategic leadership, coordination and oversight of Australia’s national biosecurity system. </w:t>
      </w:r>
    </w:p>
    <w:p w14:paraId="33736AF4" w14:textId="77777777" w:rsidR="009873DC" w:rsidRPr="003E143A" w:rsidRDefault="009873DC" w:rsidP="009873DC">
      <w:pPr>
        <w:spacing w:before="120" w:after="120"/>
        <w:rPr>
          <w:rFonts w:cs="Calibri"/>
          <w:sz w:val="22"/>
        </w:rPr>
      </w:pPr>
      <w:r w:rsidRPr="003E143A">
        <w:rPr>
          <w:rFonts w:cs="Calibri"/>
          <w:sz w:val="22"/>
        </w:rPr>
        <w:t>The NBC brings together representatives from all states and territories, the Commonwealth and Biosecurity New Zealand, with Animal Health Australia and Plant Health Australia participating as observers and technical experts. The NBC provides advice to the Agriculture Senior Officials Committee and Agriculture Ministers on national biosecurity priorities and implementation of the Intergovernmental Agreement on Biosecurity (IGAB).</w:t>
      </w:r>
    </w:p>
    <w:p w14:paraId="6DDAE728" w14:textId="77777777" w:rsidR="009873DC" w:rsidRPr="003E143A" w:rsidRDefault="009873DC" w:rsidP="009873DC">
      <w:pPr>
        <w:spacing w:before="120" w:after="120"/>
        <w:rPr>
          <w:rFonts w:cs="Calibri"/>
          <w:sz w:val="22"/>
        </w:rPr>
      </w:pPr>
      <w:r w:rsidRPr="003E143A">
        <w:rPr>
          <w:rFonts w:cs="Calibri"/>
          <w:sz w:val="22"/>
        </w:rPr>
        <w:t>In 2025, the NBC worked collaboratively with governments, industry and system partners to strengthen preparedness, governance and resilience across plant, animal, environmental and aquatic biosecurity.</w:t>
      </w:r>
    </w:p>
    <w:p w14:paraId="01E2E58B" w14:textId="77777777" w:rsidR="009873DC" w:rsidRPr="003E143A" w:rsidRDefault="009873DC" w:rsidP="009873DC">
      <w:pPr>
        <w:pStyle w:val="ListBullet"/>
        <w:numPr>
          <w:ilvl w:val="0"/>
          <w:numId w:val="0"/>
        </w:numPr>
        <w:rPr>
          <w:rFonts w:cs="Calibri"/>
          <w:sz w:val="22"/>
        </w:rPr>
      </w:pPr>
      <w:r w:rsidRPr="003E143A">
        <w:rPr>
          <w:rFonts w:cs="Calibri"/>
          <w:b/>
          <w:sz w:val="22"/>
        </w:rPr>
        <w:t>Reforming national biosecurity governance –</w:t>
      </w:r>
      <w:r w:rsidRPr="003E143A">
        <w:rPr>
          <w:rFonts w:cs="Calibri"/>
          <w:sz w:val="22"/>
        </w:rPr>
        <w:t xml:space="preserve"> Through 2025 the NBC undertook a comprehensive reform program to uplift NBC strategic national oversight of the biosecurity system, including:</w:t>
      </w:r>
    </w:p>
    <w:p w14:paraId="788CAA48" w14:textId="77777777" w:rsidR="009873DC" w:rsidRPr="003E143A" w:rsidRDefault="009873DC" w:rsidP="009873DC">
      <w:pPr>
        <w:pStyle w:val="ListBullet"/>
        <w:rPr>
          <w:rFonts w:cs="Calibri"/>
          <w:sz w:val="22"/>
        </w:rPr>
      </w:pPr>
      <w:r w:rsidRPr="003E143A">
        <w:rPr>
          <w:rFonts w:cs="Calibri"/>
          <w:sz w:val="22"/>
        </w:rPr>
        <w:t>Identifying system</w:t>
      </w:r>
      <w:r w:rsidRPr="003E143A">
        <w:rPr>
          <w:rFonts w:ascii="Cambria Math" w:hAnsi="Cambria Math" w:cs="Cambria Math"/>
          <w:sz w:val="22"/>
        </w:rPr>
        <w:t>‑</w:t>
      </w:r>
      <w:r w:rsidRPr="003E143A">
        <w:rPr>
          <w:rFonts w:cs="Calibri"/>
          <w:sz w:val="22"/>
        </w:rPr>
        <w:t xml:space="preserve">wide risks, challenges and opportunities, finalising a rolling </w:t>
      </w:r>
      <w:r w:rsidRPr="003E143A">
        <w:rPr>
          <w:rStyle w:val="Hyperlink"/>
          <w:rFonts w:cs="Calibri"/>
          <w:sz w:val="22"/>
        </w:rPr>
        <w:t>three</w:t>
      </w:r>
      <w:r w:rsidRPr="003E143A">
        <w:rPr>
          <w:rStyle w:val="Hyperlink"/>
          <w:rFonts w:ascii="Cambria Math" w:hAnsi="Cambria Math" w:cs="Cambria Math"/>
          <w:sz w:val="22"/>
        </w:rPr>
        <w:t>‑</w:t>
      </w:r>
      <w:r w:rsidRPr="003E143A">
        <w:rPr>
          <w:rStyle w:val="Hyperlink"/>
          <w:rFonts w:cs="Calibri"/>
          <w:sz w:val="22"/>
        </w:rPr>
        <w:t>year NBC workplan</w:t>
      </w:r>
      <w:r w:rsidRPr="003E143A">
        <w:rPr>
          <w:rFonts w:cs="Calibri"/>
          <w:sz w:val="22"/>
        </w:rPr>
        <w:t xml:space="preserve">, updated </w:t>
      </w:r>
      <w:r w:rsidRPr="003E143A">
        <w:rPr>
          <w:rStyle w:val="Hyperlink"/>
          <w:rFonts w:cs="Calibri"/>
          <w:sz w:val="22"/>
        </w:rPr>
        <w:t>NBC Terms of Reference</w:t>
      </w:r>
      <w:r w:rsidRPr="003E143A">
        <w:rPr>
          <w:rFonts w:cs="Calibri"/>
          <w:sz w:val="22"/>
        </w:rPr>
        <w:t xml:space="preserve"> and a new communications plan – which were endorsed by the Commonwealth, State, and Territory Agriculture Ministers.</w:t>
      </w:r>
    </w:p>
    <w:p w14:paraId="476D937B" w14:textId="77777777" w:rsidR="009873DC" w:rsidRPr="003E143A" w:rsidRDefault="009873DC" w:rsidP="009873DC">
      <w:pPr>
        <w:rPr>
          <w:rFonts w:cs="Calibri"/>
          <w:sz w:val="22"/>
        </w:rPr>
      </w:pPr>
      <w:r w:rsidRPr="003E143A">
        <w:rPr>
          <w:rFonts w:cs="Calibri"/>
          <w:b/>
          <w:sz w:val="22"/>
        </w:rPr>
        <w:t xml:space="preserve">Implementing the IGAB Review - </w:t>
      </w:r>
      <w:r w:rsidRPr="003E143A">
        <w:rPr>
          <w:rFonts w:cs="Calibri"/>
          <w:sz w:val="22"/>
        </w:rPr>
        <w:t xml:space="preserve">NBC endorsed the findings and recommendations of the </w:t>
      </w:r>
      <w:hyperlink r:id="rId11" w:history="1">
        <w:r w:rsidRPr="003E143A">
          <w:rPr>
            <w:rStyle w:val="Hyperlink"/>
            <w:rFonts w:cs="Calibri"/>
            <w:sz w:val="22"/>
          </w:rPr>
          <w:t>2024 IGAB Review</w:t>
        </w:r>
      </w:hyperlink>
      <w:r w:rsidRPr="003E143A">
        <w:rPr>
          <w:rFonts w:cs="Calibri"/>
          <w:sz w:val="22"/>
        </w:rPr>
        <w:t xml:space="preserve"> and oversaw the joint Ministers’ response, the </w:t>
      </w:r>
      <w:hyperlink r:id="rId12" w:anchor="implementation-plan" w:history="1">
        <w:r w:rsidRPr="003E143A">
          <w:rPr>
            <w:rStyle w:val="Hyperlink"/>
            <w:rFonts w:cs="Calibri"/>
            <w:sz w:val="22"/>
          </w:rPr>
          <w:t>IGAB Review Implementation Plan</w:t>
        </w:r>
      </w:hyperlink>
      <w:r w:rsidRPr="003E143A">
        <w:rPr>
          <w:rFonts w:cs="Calibri"/>
          <w:sz w:val="22"/>
        </w:rPr>
        <w:t>, and commencement of reforms in response.</w:t>
      </w:r>
    </w:p>
    <w:p w14:paraId="51BFA1E3" w14:textId="77777777" w:rsidR="009873DC" w:rsidRPr="003E143A" w:rsidRDefault="009873DC" w:rsidP="009873DC">
      <w:pPr>
        <w:rPr>
          <w:rFonts w:cs="Calibri"/>
          <w:sz w:val="22"/>
        </w:rPr>
      </w:pPr>
      <w:r w:rsidRPr="003E143A">
        <w:rPr>
          <w:rFonts w:cs="Calibri"/>
          <w:b/>
          <w:sz w:val="22"/>
        </w:rPr>
        <w:t xml:space="preserve">Enhancing H5 High Pathogenicity Avian Influenza preparedness – </w:t>
      </w:r>
      <w:r w:rsidRPr="003E143A">
        <w:rPr>
          <w:rFonts w:cs="Calibri"/>
          <w:bCs/>
          <w:sz w:val="22"/>
        </w:rPr>
        <w:t>NBC</w:t>
      </w:r>
      <w:r w:rsidRPr="003E143A">
        <w:rPr>
          <w:rFonts w:cs="Calibri"/>
          <w:b/>
          <w:sz w:val="22"/>
        </w:rPr>
        <w:t xml:space="preserve"> </w:t>
      </w:r>
      <w:r w:rsidRPr="003E143A">
        <w:rPr>
          <w:rFonts w:cs="Calibri"/>
          <w:sz w:val="22"/>
        </w:rPr>
        <w:t>led the development and operationalisation of the H5 National Management Agreement – a nation-leading framework to enable national response to manage incursions of H5 HPAI in wildlife. Additionally, NBC:</w:t>
      </w:r>
    </w:p>
    <w:p w14:paraId="3FB250E4" w14:textId="77777777" w:rsidR="009873DC" w:rsidRPr="003E143A" w:rsidRDefault="009873DC" w:rsidP="009873DC">
      <w:pPr>
        <w:pStyle w:val="ListBullet"/>
        <w:rPr>
          <w:rFonts w:cs="Calibri"/>
          <w:sz w:val="22"/>
        </w:rPr>
      </w:pPr>
      <w:r w:rsidRPr="003E143A">
        <w:rPr>
          <w:rFonts w:cs="Calibri"/>
          <w:sz w:val="22"/>
        </w:rPr>
        <w:t>Oversaw the Australia Government’s investment of over $100 million to prepare for H5 bird flu, including strengthening surveillance, and boosting biosecurity capacity and capability, accelerating preparedness planning, and boosting pandemic influenza vaccine stores.</w:t>
      </w:r>
    </w:p>
    <w:p w14:paraId="36D602FC" w14:textId="77777777" w:rsidR="009873DC" w:rsidRPr="001715EE" w:rsidRDefault="009873DC" w:rsidP="009873DC">
      <w:pPr>
        <w:pStyle w:val="ListBullet"/>
        <w:rPr>
          <w:rFonts w:cs="Calibri"/>
          <w:sz w:val="22"/>
        </w:rPr>
      </w:pPr>
      <w:r w:rsidRPr="003E143A">
        <w:rPr>
          <w:rFonts w:cs="Calibri"/>
          <w:sz w:val="22"/>
        </w:rPr>
        <w:t>Conducted a tailored cross</w:t>
      </w:r>
      <w:r w:rsidRPr="003E143A">
        <w:rPr>
          <w:rFonts w:ascii="Cambria Math" w:hAnsi="Cambria Math" w:cs="Cambria Math"/>
          <w:sz w:val="22"/>
        </w:rPr>
        <w:t>‑</w:t>
      </w:r>
      <w:r w:rsidRPr="003E143A">
        <w:rPr>
          <w:rFonts w:cs="Calibri"/>
          <w:sz w:val="22"/>
        </w:rPr>
        <w:t>agency exercise to test national readiness for a wildlife</w:t>
      </w:r>
      <w:r w:rsidRPr="001715EE">
        <w:rPr>
          <w:rFonts w:cs="Calibri"/>
          <w:sz w:val="22"/>
        </w:rPr>
        <w:t xml:space="preserve"> </w:t>
      </w:r>
      <w:proofErr w:type="gramStart"/>
      <w:r w:rsidRPr="001715EE">
        <w:rPr>
          <w:rFonts w:cs="Calibri"/>
          <w:sz w:val="22"/>
        </w:rPr>
        <w:t>response, and</w:t>
      </w:r>
      <w:proofErr w:type="gramEnd"/>
      <w:r w:rsidRPr="001715EE">
        <w:rPr>
          <w:rFonts w:cs="Calibri"/>
          <w:sz w:val="22"/>
        </w:rPr>
        <w:t xml:space="preserve"> established monthly oversight meetings to drive further preparedness at all levels.</w:t>
      </w:r>
    </w:p>
    <w:p w14:paraId="4B3D5450" w14:textId="77777777" w:rsidR="009873DC" w:rsidRPr="001715EE" w:rsidRDefault="009873DC" w:rsidP="009873DC">
      <w:pPr>
        <w:rPr>
          <w:rFonts w:cs="Calibri"/>
          <w:sz w:val="22"/>
        </w:rPr>
      </w:pPr>
      <w:r w:rsidRPr="001715EE">
        <w:rPr>
          <w:rFonts w:cs="Calibri"/>
          <w:b/>
          <w:sz w:val="22"/>
        </w:rPr>
        <w:t xml:space="preserve">Delivering the National Biosecurity Strategy - </w:t>
      </w:r>
      <w:r w:rsidRPr="001715EE">
        <w:rPr>
          <w:rFonts w:cs="Calibri"/>
          <w:sz w:val="22"/>
        </w:rPr>
        <w:t>Maintained oversight of implementation of the National Biosecurity Strategy (NBS), refined NBS governance and monitoring arrangements and guided development of the first NBS Annual Report.</w:t>
      </w:r>
    </w:p>
    <w:p w14:paraId="0AD867F1" w14:textId="77777777" w:rsidR="009873DC" w:rsidRPr="001715EE" w:rsidRDefault="009873DC" w:rsidP="009873DC">
      <w:pPr>
        <w:rPr>
          <w:rFonts w:cs="Calibri"/>
          <w:sz w:val="22"/>
        </w:rPr>
      </w:pPr>
      <w:r w:rsidRPr="001715EE">
        <w:rPr>
          <w:rFonts w:cs="Calibri"/>
          <w:b/>
          <w:sz w:val="22"/>
        </w:rPr>
        <w:t xml:space="preserve">Strengthening emergency biosecurity response arrangements - </w:t>
      </w:r>
      <w:r w:rsidRPr="001715EE">
        <w:rPr>
          <w:rFonts w:cs="Calibri"/>
          <w:bCs/>
          <w:sz w:val="22"/>
        </w:rPr>
        <w:t xml:space="preserve">Worked </w:t>
      </w:r>
      <w:r w:rsidRPr="001715EE">
        <w:rPr>
          <w:rFonts w:cs="Calibri"/>
          <w:sz w:val="22"/>
        </w:rPr>
        <w:t>with governments and industry to review policy issues associated with emergency response cost</w:t>
      </w:r>
      <w:r w:rsidRPr="001715EE">
        <w:rPr>
          <w:rFonts w:ascii="Cambria Math" w:hAnsi="Cambria Math" w:cs="Cambria Math"/>
          <w:sz w:val="22"/>
        </w:rPr>
        <w:t>‑</w:t>
      </w:r>
      <w:r w:rsidRPr="001715EE">
        <w:rPr>
          <w:rFonts w:cs="Calibri"/>
          <w:sz w:val="22"/>
        </w:rPr>
        <w:t>sharing arrangements and aligned this work with scheduled five</w:t>
      </w:r>
      <w:r w:rsidRPr="001715EE">
        <w:rPr>
          <w:rFonts w:ascii="Cambria Math" w:hAnsi="Cambria Math" w:cs="Cambria Math"/>
          <w:sz w:val="22"/>
        </w:rPr>
        <w:t>‑</w:t>
      </w:r>
      <w:r w:rsidRPr="001715EE">
        <w:rPr>
          <w:rFonts w:cs="Calibri"/>
          <w:sz w:val="22"/>
        </w:rPr>
        <w:t>yearly reviews of national response deeds and the NBC sectoral sub-committee reviews currently in progress.</w:t>
      </w:r>
    </w:p>
    <w:p w14:paraId="2B184B17" w14:textId="77777777" w:rsidR="009873DC" w:rsidRPr="001715EE" w:rsidRDefault="009873DC" w:rsidP="009873DC">
      <w:pPr>
        <w:rPr>
          <w:rFonts w:cs="Calibri"/>
          <w:bCs/>
          <w:sz w:val="22"/>
        </w:rPr>
      </w:pPr>
      <w:r w:rsidRPr="001715EE">
        <w:rPr>
          <w:rFonts w:cs="Calibri"/>
          <w:b/>
          <w:sz w:val="22"/>
        </w:rPr>
        <w:t xml:space="preserve">Engaging stakeholders, strengthening partnership and supporting innovation – </w:t>
      </w:r>
      <w:r w:rsidRPr="001715EE">
        <w:rPr>
          <w:rFonts w:cs="Calibri"/>
          <w:bCs/>
          <w:sz w:val="22"/>
        </w:rPr>
        <w:t>The NBC brought together key stakeholders across the biosecurity system, including:</w:t>
      </w:r>
    </w:p>
    <w:p w14:paraId="5E057038" w14:textId="77777777" w:rsidR="009873DC" w:rsidRPr="001715EE" w:rsidRDefault="009873DC" w:rsidP="009873DC">
      <w:pPr>
        <w:pStyle w:val="ListBullet"/>
        <w:rPr>
          <w:rFonts w:cs="Calibri"/>
          <w:sz w:val="22"/>
        </w:rPr>
      </w:pPr>
      <w:r w:rsidRPr="001715EE">
        <w:rPr>
          <w:rFonts w:cs="Calibri"/>
          <w:sz w:val="22"/>
        </w:rPr>
        <w:lastRenderedPageBreak/>
        <w:t>Hosting the National Biosecurity Forum, bringing together stakeholders from government, industry, research, education and trade.</w:t>
      </w:r>
    </w:p>
    <w:p w14:paraId="11AEFD65" w14:textId="77777777" w:rsidR="009873DC" w:rsidRPr="001715EE" w:rsidRDefault="009873DC" w:rsidP="009873DC">
      <w:pPr>
        <w:pStyle w:val="ListBullet"/>
        <w:rPr>
          <w:rFonts w:cs="Calibri"/>
          <w:sz w:val="22"/>
        </w:rPr>
      </w:pPr>
      <w:r w:rsidRPr="001715EE">
        <w:rPr>
          <w:rFonts w:cs="Calibri"/>
          <w:sz w:val="22"/>
        </w:rPr>
        <w:t>Recognised excellence through the Australian Biosecurity Awards and launched the Biosecurity Business Pledge Australia.</w:t>
      </w:r>
    </w:p>
    <w:p w14:paraId="013BD87F" w14:textId="77777777" w:rsidR="009873DC" w:rsidRPr="001715EE" w:rsidRDefault="009873DC" w:rsidP="009873DC">
      <w:pPr>
        <w:pStyle w:val="ListBullet"/>
        <w:rPr>
          <w:rFonts w:cs="Calibri"/>
          <w:sz w:val="22"/>
        </w:rPr>
      </w:pPr>
      <w:r w:rsidRPr="001715EE">
        <w:rPr>
          <w:rFonts w:cs="Calibri"/>
          <w:sz w:val="22"/>
        </w:rPr>
        <w:t>Engaged with emerging research and technology, including climate risk forecasting and public perceptions research.</w:t>
      </w:r>
    </w:p>
    <w:p w14:paraId="6FED3A94" w14:textId="77777777" w:rsidR="009873DC" w:rsidRPr="001715EE" w:rsidRDefault="009873DC" w:rsidP="009873DC">
      <w:pPr>
        <w:rPr>
          <w:rFonts w:cs="Calibri"/>
          <w:sz w:val="22"/>
        </w:rPr>
      </w:pPr>
      <w:r w:rsidRPr="001715EE">
        <w:rPr>
          <w:rFonts w:cs="Calibri"/>
          <w:b/>
          <w:sz w:val="22"/>
        </w:rPr>
        <w:t xml:space="preserve">Advancing national traceability - </w:t>
      </w:r>
      <w:r w:rsidRPr="001715EE">
        <w:rPr>
          <w:rFonts w:cs="Calibri"/>
          <w:sz w:val="22"/>
        </w:rPr>
        <w:t>Convened an NBC traceability workshop to consider biosecurity</w:t>
      </w:r>
      <w:r w:rsidRPr="001715EE">
        <w:rPr>
          <w:rFonts w:ascii="Cambria Math" w:hAnsi="Cambria Math" w:cs="Cambria Math"/>
          <w:sz w:val="22"/>
        </w:rPr>
        <w:t>‑</w:t>
      </w:r>
      <w:r w:rsidRPr="001715EE">
        <w:rPr>
          <w:rFonts w:cs="Calibri"/>
          <w:sz w:val="22"/>
        </w:rPr>
        <w:t>focused traceability priorities, taking a holistic approach to plant, animal and environmental traceability across Australia’s biosecurity system.</w:t>
      </w:r>
    </w:p>
    <w:p w14:paraId="7AED33AD" w14:textId="77777777" w:rsidR="009873DC" w:rsidRPr="001715EE" w:rsidRDefault="009873DC" w:rsidP="009873DC">
      <w:pPr>
        <w:rPr>
          <w:rFonts w:cs="Calibri"/>
          <w:sz w:val="22"/>
        </w:rPr>
      </w:pPr>
      <w:r w:rsidRPr="001715EE">
        <w:rPr>
          <w:rFonts w:cs="Calibri"/>
          <w:b/>
          <w:bCs/>
          <w:sz w:val="22"/>
        </w:rPr>
        <w:t>Science and technology</w:t>
      </w:r>
      <w:r w:rsidRPr="001715EE">
        <w:rPr>
          <w:rFonts w:cs="Calibri"/>
          <w:sz w:val="22"/>
        </w:rPr>
        <w:t xml:space="preserve"> - the NBC sectoral committees and expert groups advanced policy, technical and scientific advice on matters affecting their sector, covering all pests and disease risks to the terrestrial and aquatic (inland water and marine) animals and plants, and the environment.</w:t>
      </w:r>
    </w:p>
    <w:p w14:paraId="78E47F96" w14:textId="77777777" w:rsidR="009873DC" w:rsidRPr="001715EE" w:rsidRDefault="009873DC" w:rsidP="009873DC">
      <w:pPr>
        <w:rPr>
          <w:rFonts w:cs="Calibri"/>
          <w:sz w:val="22"/>
        </w:rPr>
      </w:pPr>
      <w:r w:rsidRPr="001715EE">
        <w:rPr>
          <w:rFonts w:cs="Calibri"/>
          <w:b/>
          <w:bCs/>
          <w:sz w:val="22"/>
        </w:rPr>
        <w:t>Looking ahead to 2026</w:t>
      </w:r>
      <w:r w:rsidRPr="001715EE">
        <w:rPr>
          <w:rFonts w:cs="Calibri"/>
          <w:sz w:val="22"/>
        </w:rPr>
        <w:t xml:space="preserve"> - Looking ahead to 2026, the NBC will continue to focus on reforms to ensure the strength and stability of Australia’s biosecurity system, strengthening emergency response arrangements, and enhancing engagement with industry and the community to protect Australia’s economy, environment and way of life from biosecurity threats.</w:t>
      </w:r>
    </w:p>
    <w:p w14:paraId="70FF948D" w14:textId="77777777" w:rsidR="009873DC" w:rsidRPr="001715EE" w:rsidRDefault="009873DC" w:rsidP="009873DC">
      <w:pPr>
        <w:rPr>
          <w:rFonts w:cs="Calibri"/>
          <w:sz w:val="22"/>
        </w:rPr>
      </w:pPr>
    </w:p>
    <w:p w14:paraId="17F2D731" w14:textId="77777777" w:rsidR="009873DC" w:rsidRPr="008C58C8" w:rsidRDefault="009873DC" w:rsidP="009873DC">
      <w:pPr>
        <w:rPr>
          <w:rFonts w:cs="Calibri"/>
        </w:rPr>
      </w:pPr>
    </w:p>
    <w:p w14:paraId="5A3630EA" w14:textId="77777777" w:rsidR="009873DC" w:rsidRPr="008C58C8" w:rsidRDefault="009873DC" w:rsidP="009873DC">
      <w:pPr>
        <w:rPr>
          <w:rFonts w:cs="Calibri"/>
        </w:rPr>
      </w:pPr>
    </w:p>
    <w:p w14:paraId="6BFF7119" w14:textId="77777777" w:rsidR="009873DC" w:rsidRPr="008C58C8" w:rsidRDefault="009873DC" w:rsidP="009873DC">
      <w:pPr>
        <w:rPr>
          <w:rFonts w:cs="Calibri"/>
        </w:rPr>
      </w:pPr>
    </w:p>
    <w:p w14:paraId="41A2C218" w14:textId="77777777" w:rsidR="009873DC" w:rsidRDefault="009873DC" w:rsidP="009873DC">
      <w:pPr>
        <w:rPr>
          <w:rFonts w:cs="Calibri"/>
        </w:rPr>
      </w:pPr>
    </w:p>
    <w:p w14:paraId="6EB235DA" w14:textId="77777777" w:rsidR="003E143A" w:rsidRDefault="003E143A" w:rsidP="009873DC">
      <w:pPr>
        <w:rPr>
          <w:rFonts w:cs="Calibri"/>
        </w:rPr>
      </w:pPr>
    </w:p>
    <w:p w14:paraId="435F0DA3" w14:textId="77777777" w:rsidR="003E143A" w:rsidRDefault="003E143A" w:rsidP="009873DC">
      <w:pPr>
        <w:rPr>
          <w:rFonts w:cs="Calibri"/>
        </w:rPr>
      </w:pPr>
    </w:p>
    <w:p w14:paraId="43BD1D83" w14:textId="77777777" w:rsidR="003E143A" w:rsidRDefault="003E143A" w:rsidP="009873DC">
      <w:pPr>
        <w:rPr>
          <w:rFonts w:cs="Calibri"/>
        </w:rPr>
      </w:pPr>
    </w:p>
    <w:p w14:paraId="368FBE79" w14:textId="77777777" w:rsidR="003E143A" w:rsidRDefault="003E143A" w:rsidP="009873DC">
      <w:pPr>
        <w:rPr>
          <w:rFonts w:cs="Calibri"/>
        </w:rPr>
      </w:pPr>
    </w:p>
    <w:p w14:paraId="467D6488" w14:textId="77777777" w:rsidR="003E143A" w:rsidRDefault="003E143A" w:rsidP="009873DC">
      <w:pPr>
        <w:rPr>
          <w:rFonts w:cs="Calibri"/>
        </w:rPr>
      </w:pPr>
    </w:p>
    <w:p w14:paraId="4B70DABA" w14:textId="37AB8427" w:rsidR="003E143A" w:rsidRPr="008C58C8" w:rsidRDefault="003E143A" w:rsidP="009873DC">
      <w:pPr>
        <w:rPr>
          <w:rFonts w:cs="Calibri"/>
        </w:rPr>
      </w:pPr>
    </w:p>
    <w:p w14:paraId="1247B3F0" w14:textId="49089FCC" w:rsidR="00262394" w:rsidRPr="008C58C8" w:rsidRDefault="009873DC" w:rsidP="00FB2765">
      <w:pPr>
        <w:rPr>
          <w:rFonts w:cs="Calibri"/>
        </w:rPr>
      </w:pPr>
      <w:r w:rsidRPr="008C58C8">
        <w:rPr>
          <w:rFonts w:cs="Calibri"/>
          <w:noProof/>
          <w:lang w:eastAsia="ja-JP"/>
        </w:rPr>
        <mc:AlternateContent>
          <mc:Choice Requires="wps">
            <w:drawing>
              <wp:anchor distT="91440" distB="91440" distL="114300" distR="114300" simplePos="0" relativeHeight="251659264" behindDoc="1" locked="0" layoutInCell="1" allowOverlap="1" wp14:anchorId="47DB0F57" wp14:editId="39E85B51">
                <wp:simplePos x="0" y="0"/>
                <wp:positionH relativeFrom="margin">
                  <wp:posOffset>0</wp:posOffset>
                </wp:positionH>
                <wp:positionV relativeFrom="paragraph">
                  <wp:posOffset>405130</wp:posOffset>
                </wp:positionV>
                <wp:extent cx="6233160" cy="1403985"/>
                <wp:effectExtent l="0" t="0" r="0" b="0"/>
                <wp:wrapTopAndBottom/>
                <wp:docPr id="1557946020" name="Text Box 2">
                  <a:extLst xmlns:a="http://schemas.openxmlformats.org/drawingml/2006/main">
                    <a:ext uri="{FF2B5EF4-FFF2-40B4-BE49-F238E27FC236}">
                      <a16:creationId xmlns:a16="http://schemas.microsoft.com/office/drawing/2014/main" id="{D2C63FDF-9295-4D60-A465-0E8B09CFBB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1403985"/>
                        </a:xfrm>
                        <a:prstGeom prst="rect">
                          <a:avLst/>
                        </a:prstGeom>
                        <a:noFill/>
                        <a:ln w="9525">
                          <a:noFill/>
                          <a:miter lim="800000"/>
                          <a:headEnd/>
                          <a:tailEnd/>
                        </a:ln>
                      </wps:spPr>
                      <wps:txbx>
                        <w:txbxContent>
                          <w:p w14:paraId="285ECAFD" w14:textId="77777777" w:rsidR="009873DC" w:rsidRPr="00C41A2E" w:rsidRDefault="009873DC" w:rsidP="009873DC">
                            <w:pPr>
                              <w:pBdr>
                                <w:top w:val="single" w:sz="24" w:space="5" w:color="4F81BD" w:themeColor="accent1"/>
                                <w:bottom w:val="single" w:sz="24" w:space="8" w:color="4F81BD" w:themeColor="accent1"/>
                              </w:pBdr>
                              <w:rPr>
                                <w:rFonts w:ascii="Cambria" w:hAnsi="Cambria"/>
                                <w:i/>
                                <w:iCs/>
                                <w:color w:val="4F81BD" w:themeColor="accent1"/>
                                <w:sz w:val="18"/>
                                <w:szCs w:val="18"/>
                              </w:rPr>
                            </w:pPr>
                            <w:r w:rsidRPr="00C41A2E">
                              <w:rPr>
                                <w:rFonts w:ascii="Cambria" w:hAnsi="Cambria"/>
                                <w:i/>
                                <w:iCs/>
                                <w:color w:val="4F81BD" w:themeColor="accent1"/>
                                <w:sz w:val="18"/>
                                <w:szCs w:val="18"/>
                              </w:rPr>
                              <w:t>The National Biosecurity Committee is responsible for managing a national, strategic approach to biosecurity threats relating to plant and animal pests and diseases, marine and aquatic pests, and the impact of these on agricultural production, the environment, community wellbeing and social amenity. The Committee provides advice to the Agriculture Senior Officials Committee and the Agriculture Ministers’ Meeting on national biosecurity issues, and on progress in implementing the Intergovernmental Agreement on Biosecurity.</w:t>
                            </w:r>
                          </w:p>
                          <w:p w14:paraId="579E1D95" w14:textId="77777777" w:rsidR="009873DC" w:rsidRPr="00C41A2E" w:rsidRDefault="009873DC" w:rsidP="009873DC">
                            <w:pPr>
                              <w:pBdr>
                                <w:top w:val="single" w:sz="24" w:space="5" w:color="4F81BD" w:themeColor="accent1"/>
                                <w:bottom w:val="single" w:sz="24" w:space="8" w:color="4F81BD" w:themeColor="accent1"/>
                              </w:pBdr>
                              <w:rPr>
                                <w:rFonts w:ascii="Cambria" w:hAnsi="Cambria"/>
                                <w:i/>
                                <w:iCs/>
                                <w:color w:val="4F81BD" w:themeColor="accent1"/>
                                <w:sz w:val="18"/>
                                <w:szCs w:val="18"/>
                              </w:rPr>
                            </w:pPr>
                            <w:r w:rsidRPr="00C41A2E">
                              <w:rPr>
                                <w:rFonts w:ascii="Cambria" w:hAnsi="Cambria"/>
                                <w:i/>
                                <w:iCs/>
                                <w:color w:val="4F81BD" w:themeColor="accent1"/>
                                <w:sz w:val="18"/>
                                <w:szCs w:val="18"/>
                              </w:rPr>
                              <w:t xml:space="preserve">For more information, visit the </w:t>
                            </w:r>
                            <w:hyperlink r:id="rId13" w:history="1">
                              <w:r w:rsidRPr="00C41A2E">
                                <w:rPr>
                                  <w:rStyle w:val="Hyperlink"/>
                                  <w:rFonts w:ascii="Cambria" w:hAnsi="Cambria"/>
                                  <w:i/>
                                  <w:iCs/>
                                  <w:sz w:val="18"/>
                                  <w:szCs w:val="18"/>
                                </w:rPr>
                                <w:t>National Biosecurity Committee’s website</w:t>
                              </w:r>
                            </w:hyperlink>
                            <w:r w:rsidRPr="00C41A2E">
                              <w:rPr>
                                <w:rFonts w:ascii="Cambria" w:hAnsi="Cambria"/>
                                <w:i/>
                                <w:iCs/>
                                <w:color w:val="4F81BD" w:themeColor="accent1"/>
                                <w:sz w:val="18"/>
                                <w:szCs w:val="18"/>
                              </w:rPr>
                              <w:t>, hosted by the Department of Agriculture, Fisheries and Forestry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DB0F57" id="_x0000_t202" coordsize="21600,21600" o:spt="202" path="m,l,21600r21600,l21600,xe">
                <v:stroke joinstyle="miter"/>
                <v:path gradientshapeok="t" o:connecttype="rect"/>
              </v:shapetype>
              <v:shape id="Text Box 2" o:spid="_x0000_s1026" type="#_x0000_t202" style="position:absolute;margin-left:0;margin-top:31.9pt;width:490.8pt;height:110.55pt;z-index:-251657216;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" filled="f" stroked="f">
                <v:textbox style="mso-fit-shape-to-text:t">
                  <w:txbxContent>
                    <w:p w14:paraId="285ECAFD" w14:textId="77777777" w:rsidR="009873DC" w:rsidRPr="00C41A2E" w:rsidRDefault="009873DC" w:rsidP="009873DC">
                      <w:pPr>
                        <w:pBdr>
                          <w:top w:val="single" w:sz="24" w:space="5" w:color="4F81BD" w:themeColor="accent1"/>
                          <w:bottom w:val="single" w:sz="24" w:space="8" w:color="4F81BD" w:themeColor="accent1"/>
                        </w:pBdr>
                        <w:rPr>
                          <w:rFonts w:ascii="Cambria" w:hAnsi="Cambria"/>
                          <w:i/>
                          <w:iCs/>
                          <w:color w:val="4F81BD" w:themeColor="accent1"/>
                          <w:sz w:val="18"/>
                          <w:szCs w:val="18"/>
                        </w:rPr>
                      </w:pPr>
                      <w:r w:rsidRPr="00C41A2E">
                        <w:rPr>
                          <w:rFonts w:ascii="Cambria" w:hAnsi="Cambria"/>
                          <w:i/>
                          <w:iCs/>
                          <w:color w:val="4F81BD" w:themeColor="accent1"/>
                          <w:sz w:val="18"/>
                          <w:szCs w:val="18"/>
                        </w:rPr>
                        <w:t>The National Biosecurity Committee is responsible for managing a national, strategic approach to biosecurity threats relating to plant and animal pests and diseases, marine and aquatic pests, and the impact of these on agricultural production, the environment, community wellbeing and social amenity. The Committee provides advice to the Agriculture Senior Officials Committee and the Agriculture Ministers’ Meeting on national biosecurity issues, and on progress in implementing the Intergovernmental Agreement on Biosecurity.</w:t>
                      </w:r>
                    </w:p>
                    <w:p w14:paraId="579E1D95" w14:textId="77777777" w:rsidR="009873DC" w:rsidRPr="00C41A2E" w:rsidRDefault="009873DC" w:rsidP="009873DC">
                      <w:pPr>
                        <w:pBdr>
                          <w:top w:val="single" w:sz="24" w:space="5" w:color="4F81BD" w:themeColor="accent1"/>
                          <w:bottom w:val="single" w:sz="24" w:space="8" w:color="4F81BD" w:themeColor="accent1"/>
                        </w:pBdr>
                        <w:rPr>
                          <w:rFonts w:ascii="Cambria" w:hAnsi="Cambria"/>
                          <w:i/>
                          <w:iCs/>
                          <w:color w:val="4F81BD" w:themeColor="accent1"/>
                          <w:sz w:val="18"/>
                          <w:szCs w:val="18"/>
                        </w:rPr>
                      </w:pPr>
                      <w:r w:rsidRPr="00C41A2E">
                        <w:rPr>
                          <w:rFonts w:ascii="Cambria" w:hAnsi="Cambria"/>
                          <w:i/>
                          <w:iCs/>
                          <w:color w:val="4F81BD" w:themeColor="accent1"/>
                          <w:sz w:val="18"/>
                          <w:szCs w:val="18"/>
                        </w:rPr>
                        <w:t xml:space="preserve">For more information, visit the </w:t>
                      </w:r>
                      <w:hyperlink r:id="rId14" w:history="1">
                        <w:r w:rsidRPr="00C41A2E">
                          <w:rPr>
                            <w:rStyle w:val="Hyperlink"/>
                            <w:rFonts w:ascii="Cambria" w:hAnsi="Cambria"/>
                            <w:i/>
                            <w:iCs/>
                            <w:sz w:val="18"/>
                            <w:szCs w:val="18"/>
                          </w:rPr>
                          <w:t>National Biosecurity Committee’s website</w:t>
                        </w:r>
                      </w:hyperlink>
                      <w:r w:rsidRPr="00C41A2E">
                        <w:rPr>
                          <w:rFonts w:ascii="Cambria" w:hAnsi="Cambria"/>
                          <w:i/>
                          <w:iCs/>
                          <w:color w:val="4F81BD" w:themeColor="accent1"/>
                          <w:sz w:val="18"/>
                          <w:szCs w:val="18"/>
                        </w:rPr>
                        <w:t>, hosted by the Department of Agriculture, Fisheries and Forestry</w:t>
                      </w:r>
                    </w:p>
                  </w:txbxContent>
                </v:textbox>
                <w10:wrap type="topAndBottom" anchorx="margin"/>
              </v:shape>
            </w:pict>
          </mc:Fallback>
        </mc:AlternateContent>
      </w:r>
    </w:p>
    <w:sectPr w:rsidR="00262394" w:rsidRPr="008C58C8">
      <w:headerReference w:type="even" r:id="rId15"/>
      <w:footerReference w:type="even" r:id="rId16"/>
      <w:footerReference w:type="default" r:id="rId17"/>
      <w:headerReference w:type="first" r:id="rId18"/>
      <w:footerReference w:type="first" r:id="rId19"/>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7476F" w14:textId="77777777" w:rsidR="00370A26" w:rsidRDefault="00370A26">
      <w:r>
        <w:separator/>
      </w:r>
    </w:p>
    <w:p w14:paraId="59EC2EA9" w14:textId="77777777" w:rsidR="00370A26" w:rsidRDefault="00370A26"/>
    <w:p w14:paraId="54C6F238" w14:textId="77777777" w:rsidR="00370A26" w:rsidRDefault="00370A26"/>
  </w:endnote>
  <w:endnote w:type="continuationSeparator" w:id="0">
    <w:p w14:paraId="1886FD1E" w14:textId="77777777" w:rsidR="00370A26" w:rsidRDefault="00370A26">
      <w:r>
        <w:continuationSeparator/>
      </w:r>
    </w:p>
    <w:p w14:paraId="0DA93467" w14:textId="77777777" w:rsidR="00370A26" w:rsidRDefault="00370A26"/>
    <w:p w14:paraId="2F4C185A" w14:textId="77777777" w:rsidR="00370A26" w:rsidRDefault="00370A26"/>
  </w:endnote>
  <w:endnote w:type="continuationNotice" w:id="1">
    <w:p w14:paraId="158E6834" w14:textId="77777777" w:rsidR="00370A26" w:rsidRDefault="00370A26">
      <w:pPr>
        <w:pStyle w:val="Footer"/>
      </w:pPr>
    </w:p>
    <w:p w14:paraId="13404552" w14:textId="77777777" w:rsidR="00370A26" w:rsidRDefault="00370A26"/>
    <w:p w14:paraId="23B017A2" w14:textId="77777777" w:rsidR="00370A26" w:rsidRDefault="00370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58E7" w14:textId="77777777" w:rsidR="00C30975" w:rsidRDefault="00D61857">
    <w:pPr>
      <w:pStyle w:val="Footer"/>
    </w:pPr>
    <w:r>
      <w:rPr>
        <w:noProof/>
      </w:rPr>
      <mc:AlternateContent>
        <mc:Choice Requires="wps">
          <w:drawing>
            <wp:anchor distT="0" distB="0" distL="0" distR="0" simplePos="0" relativeHeight="251675136" behindDoc="0" locked="0" layoutInCell="1" allowOverlap="1" wp14:anchorId="3C13FB15" wp14:editId="4F693409">
              <wp:simplePos x="635" y="635"/>
              <wp:positionH relativeFrom="page">
                <wp:align>center</wp:align>
              </wp:positionH>
              <wp:positionV relativeFrom="page">
                <wp:align>bottom</wp:align>
              </wp:positionV>
              <wp:extent cx="551815" cy="404495"/>
              <wp:effectExtent l="0" t="0" r="635" b="0"/>
              <wp:wrapNone/>
              <wp:docPr id="10488372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977133" w14:textId="77777777" w:rsidR="00D61857" w:rsidRPr="00D61857" w:rsidRDefault="00D61857" w:rsidP="00D61857">
                          <w:pPr>
                            <w:spacing w:after="0"/>
                            <w:rPr>
                              <w:rFonts w:cs="Calibri"/>
                              <w:noProof/>
                              <w:color w:val="FF0000"/>
                              <w:szCs w:val="24"/>
                            </w:rPr>
                          </w:pPr>
                          <w:r w:rsidRPr="00D61857">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13FB15"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44977133" w14:textId="77777777" w:rsidR="00D61857" w:rsidRPr="00D61857" w:rsidRDefault="00D61857" w:rsidP="00D61857">
                    <w:pPr>
                      <w:spacing w:after="0"/>
                      <w:rPr>
                        <w:rFonts w:cs="Calibri"/>
                        <w:noProof/>
                        <w:color w:val="FF0000"/>
                        <w:szCs w:val="24"/>
                      </w:rPr>
                    </w:pPr>
                    <w:r w:rsidRPr="00D61857">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321451"/>
      <w:docPartObj>
        <w:docPartGallery w:val="Page Numbers (Bottom of Page)"/>
        <w:docPartUnique/>
      </w:docPartObj>
    </w:sdtPr>
    <w:sdtContent>
      <w:sdt>
        <w:sdtPr>
          <w:id w:val="-1769616900"/>
          <w:docPartObj>
            <w:docPartGallery w:val="Page Numbers (Top of Page)"/>
            <w:docPartUnique/>
          </w:docPartObj>
        </w:sdtPr>
        <w:sdtContent>
          <w:p w14:paraId="5F84A842" w14:textId="639EB84C" w:rsidR="00A875EA" w:rsidRDefault="00A875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57B6D5" w14:textId="38383637" w:rsidR="002A193C" w:rsidRDefault="002A193C" w:rsidP="00D61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FFA5" w14:textId="77777777" w:rsidR="002A193C" w:rsidRDefault="00D61857" w:rsidP="00D61857">
    <w:pPr>
      <w:pStyle w:val="Footer"/>
    </w:pPr>
    <w:r>
      <w:rPr>
        <w:noProof/>
      </w:rPr>
      <mc:AlternateContent>
        <mc:Choice Requires="wps">
          <w:drawing>
            <wp:anchor distT="0" distB="0" distL="0" distR="0" simplePos="0" relativeHeight="251674112" behindDoc="0" locked="0" layoutInCell="1" allowOverlap="1" wp14:anchorId="27E9532F" wp14:editId="701BA374">
              <wp:simplePos x="900752" y="10058400"/>
              <wp:positionH relativeFrom="page">
                <wp:align>center</wp:align>
              </wp:positionH>
              <wp:positionV relativeFrom="page">
                <wp:align>bottom</wp:align>
              </wp:positionV>
              <wp:extent cx="551815" cy="404495"/>
              <wp:effectExtent l="0" t="0" r="635" b="0"/>
              <wp:wrapNone/>
              <wp:docPr id="20335558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2E6251E" w14:textId="77777777" w:rsidR="00D61857" w:rsidRPr="00D61857" w:rsidRDefault="00D61857" w:rsidP="00D61857">
                          <w:pPr>
                            <w:spacing w:after="0"/>
                            <w:rPr>
                              <w:rFonts w:cs="Calibri"/>
                              <w:noProof/>
                              <w:color w:val="FF0000"/>
                              <w:szCs w:val="24"/>
                            </w:rPr>
                          </w:pPr>
                          <w:r w:rsidRPr="00D61857">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9532F" id="_x0000_t202" coordsize="21600,21600" o:spt="202" path="m,l,21600r21600,l21600,xe">
              <v:stroke joinstyle="miter"/>
              <v:path gradientshapeok="t" o:connecttype="rect"/>
            </v:shapetype>
            <v:shape id="Text Box 10" o:spid="_x0000_s1030" type="#_x0000_t202" alt="OFFICIAL" style="position:absolute;left:0;text-align:left;margin-left:0;margin-top:0;width:43.45pt;height:31.8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2E6251E" w14:textId="77777777" w:rsidR="00D61857" w:rsidRPr="00D61857" w:rsidRDefault="00D61857" w:rsidP="00D61857">
                    <w:pPr>
                      <w:spacing w:after="0"/>
                      <w:rPr>
                        <w:rFonts w:cs="Calibri"/>
                        <w:noProof/>
                        <w:color w:val="FF0000"/>
                        <w:szCs w:val="24"/>
                      </w:rPr>
                    </w:pPr>
                    <w:r w:rsidRPr="00D61857">
                      <w:rPr>
                        <w:rFonts w:cs="Calibri"/>
                        <w:noProof/>
                        <w:color w:val="FF0000"/>
                        <w:szCs w:val="24"/>
                      </w:rPr>
                      <w:t>OFFICIAL</w:t>
                    </w:r>
                  </w:p>
                </w:txbxContent>
              </v:textbox>
              <w10:wrap anchorx="page" anchory="page"/>
            </v:shape>
          </w:pict>
        </mc:Fallback>
      </mc:AlternateContent>
    </w:r>
    <w:r w:rsidR="002A193C">
      <w:t xml:space="preserve">Department of Agriculture, </w:t>
    </w:r>
    <w:r w:rsidR="00A9002C">
      <w:t>Fisheries and Forestry</w:t>
    </w:r>
    <w:r>
      <w:tab/>
    </w:r>
    <w:r w:rsidR="002A193C">
      <w:fldChar w:fldCharType="begin"/>
    </w:r>
    <w:r w:rsidR="002A193C">
      <w:instrText xml:space="preserve"> PAGE   \* MERGEFORMAT </w:instrText>
    </w:r>
    <w:r w:rsidR="002A193C">
      <w:fldChar w:fldCharType="separate"/>
    </w:r>
    <w:r w:rsidR="002A193C">
      <w:rPr>
        <w:noProof/>
      </w:rPr>
      <w:t>1</w:t>
    </w:r>
    <w:r w:rsidR="002A19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D28D" w14:textId="77777777" w:rsidR="00370A26" w:rsidRDefault="00370A26">
      <w:r>
        <w:separator/>
      </w:r>
    </w:p>
    <w:p w14:paraId="1F546FB3" w14:textId="77777777" w:rsidR="00370A26" w:rsidRDefault="00370A26"/>
    <w:p w14:paraId="054DDEE7" w14:textId="77777777" w:rsidR="00370A26" w:rsidRDefault="00370A26"/>
  </w:footnote>
  <w:footnote w:type="continuationSeparator" w:id="0">
    <w:p w14:paraId="49955849" w14:textId="77777777" w:rsidR="00370A26" w:rsidRDefault="00370A26">
      <w:r>
        <w:continuationSeparator/>
      </w:r>
    </w:p>
    <w:p w14:paraId="0168D1B9" w14:textId="77777777" w:rsidR="00370A26" w:rsidRDefault="00370A26"/>
    <w:p w14:paraId="2D425A95" w14:textId="77777777" w:rsidR="00370A26" w:rsidRDefault="00370A26"/>
  </w:footnote>
  <w:footnote w:type="continuationNotice" w:id="1">
    <w:p w14:paraId="5B012C77" w14:textId="77777777" w:rsidR="00370A26" w:rsidRDefault="00370A26">
      <w:pPr>
        <w:pStyle w:val="Footer"/>
      </w:pPr>
    </w:p>
    <w:p w14:paraId="5713B2A3" w14:textId="77777777" w:rsidR="00370A26" w:rsidRDefault="00370A26"/>
    <w:p w14:paraId="29B8F627" w14:textId="77777777" w:rsidR="00370A26" w:rsidRDefault="00370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3B17" w14:textId="1AA96710" w:rsidR="002A193C" w:rsidRDefault="00D61857">
    <w:pPr>
      <w:pStyle w:val="Header"/>
    </w:pPr>
    <w:r>
      <w:rPr>
        <w:noProof/>
        <w:lang w:val="en-US"/>
      </w:rPr>
      <mc:AlternateContent>
        <mc:Choice Requires="wps">
          <w:drawing>
            <wp:anchor distT="0" distB="0" distL="0" distR="0" simplePos="0" relativeHeight="251672064" behindDoc="0" locked="0" layoutInCell="1" allowOverlap="1" wp14:anchorId="1675E9E1" wp14:editId="33B6AF6A">
              <wp:simplePos x="635" y="635"/>
              <wp:positionH relativeFrom="page">
                <wp:align>center</wp:align>
              </wp:positionH>
              <wp:positionV relativeFrom="page">
                <wp:align>top</wp:align>
              </wp:positionV>
              <wp:extent cx="551815" cy="404495"/>
              <wp:effectExtent l="0" t="0" r="635" b="14605"/>
              <wp:wrapNone/>
              <wp:docPr id="143728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451EC59" w14:textId="77777777" w:rsidR="00D61857" w:rsidRPr="00D61857" w:rsidRDefault="00D61857" w:rsidP="00D61857">
                          <w:pPr>
                            <w:spacing w:after="0"/>
                            <w:rPr>
                              <w:rFonts w:cs="Calibri"/>
                              <w:noProof/>
                              <w:color w:val="FF0000"/>
                              <w:szCs w:val="24"/>
                            </w:rPr>
                          </w:pPr>
                          <w:r w:rsidRPr="00D61857">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75E9E1" id="_x0000_t202" coordsize="21600,21600" o:spt="202" path="m,l,21600r21600,l21600,xe">
              <v:stroke joinstyle="miter"/>
              <v:path gradientshapeok="t" o:connecttype="rect"/>
            </v:shapetype>
            <v:shape id="Text Box 8" o:spid="_x0000_s1027" type="#_x0000_t202" alt="OFFICIAL" style="position:absolute;left:0;text-align:left;margin-left:0;margin-top:0;width:43.45pt;height:31.8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451EC59" w14:textId="77777777" w:rsidR="00D61857" w:rsidRPr="00D61857" w:rsidRDefault="00D61857" w:rsidP="00D61857">
                    <w:pPr>
                      <w:spacing w:after="0"/>
                      <w:rPr>
                        <w:rFonts w:cs="Calibri"/>
                        <w:noProof/>
                        <w:color w:val="FF0000"/>
                        <w:szCs w:val="24"/>
                      </w:rPr>
                    </w:pPr>
                    <w:r w:rsidRPr="00D61857">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7137" w14:textId="42498CC0" w:rsidR="002A193C" w:rsidRDefault="00D61857">
    <w:pPr>
      <w:pStyle w:val="Header"/>
      <w:jc w:val="left"/>
    </w:pPr>
    <w:r>
      <w:rPr>
        <w:noProof/>
        <w:lang w:eastAsia="en-AU"/>
      </w:rPr>
      <mc:AlternateContent>
        <mc:Choice Requires="wps">
          <w:drawing>
            <wp:anchor distT="0" distB="0" distL="0" distR="0" simplePos="0" relativeHeight="251671040" behindDoc="0" locked="0" layoutInCell="1" allowOverlap="1" wp14:anchorId="1D502801" wp14:editId="3EA19BD7">
              <wp:simplePos x="900752" y="354842"/>
              <wp:positionH relativeFrom="page">
                <wp:align>center</wp:align>
              </wp:positionH>
              <wp:positionV relativeFrom="page">
                <wp:align>top</wp:align>
              </wp:positionV>
              <wp:extent cx="551815" cy="404495"/>
              <wp:effectExtent l="0" t="0" r="635" b="14605"/>
              <wp:wrapNone/>
              <wp:docPr id="12957660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158F8D8" w14:textId="77777777" w:rsidR="00D61857" w:rsidRPr="00D61857" w:rsidRDefault="00D61857" w:rsidP="00D61857">
                          <w:pPr>
                            <w:spacing w:after="0"/>
                            <w:rPr>
                              <w:rFonts w:cs="Calibri"/>
                              <w:noProof/>
                              <w:color w:val="FF0000"/>
                              <w:szCs w:val="24"/>
                            </w:rPr>
                          </w:pPr>
                          <w:r w:rsidRPr="00D61857">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02801" id="_x0000_t202" coordsize="21600,21600" o:spt="202" path="m,l,21600r21600,l21600,xe">
              <v:stroke joinstyle="miter"/>
              <v:path gradientshapeok="t" o:connecttype="rect"/>
            </v:shapetype>
            <v:shape id="Text Box 7" o:spid="_x0000_s1029" type="#_x0000_t202" alt="OFFICIAL" style="position:absolute;margin-left:0;margin-top:0;width:43.45pt;height:31.8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0158F8D8" w14:textId="77777777" w:rsidR="00D61857" w:rsidRPr="00D61857" w:rsidRDefault="00D61857" w:rsidP="00D61857">
                    <w:pPr>
                      <w:spacing w:after="0"/>
                      <w:rPr>
                        <w:rFonts w:cs="Calibri"/>
                        <w:noProof/>
                        <w:color w:val="FF0000"/>
                        <w:szCs w:val="24"/>
                      </w:rPr>
                    </w:pPr>
                    <w:r w:rsidRPr="00D61857">
                      <w:rPr>
                        <w:rFonts w:cs="Calibri"/>
                        <w:noProof/>
                        <w:color w:val="FF0000"/>
                        <w:szCs w:val="24"/>
                      </w:rPr>
                      <w:t>OFFICIAL</w:t>
                    </w:r>
                  </w:p>
                </w:txbxContent>
              </v:textbox>
              <w10:wrap anchorx="page" anchory="page"/>
            </v:shape>
          </w:pict>
        </mc:Fallback>
      </mc:AlternateContent>
    </w:r>
    <w:r w:rsidR="00D36729">
      <w:rPr>
        <w:noProof/>
        <w:lang w:eastAsia="en-AU"/>
      </w:rPr>
      <w:drawing>
        <wp:inline distT="0" distB="0" distL="0" distR="0" wp14:anchorId="5A396220" wp14:editId="562C19A6">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8D3661E"/>
    <w:multiLevelType w:val="hybridMultilevel"/>
    <w:tmpl w:val="B7888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01584C"/>
    <w:multiLevelType w:val="hybridMultilevel"/>
    <w:tmpl w:val="63EEF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814375"/>
    <w:multiLevelType w:val="hybridMultilevel"/>
    <w:tmpl w:val="585C5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6800B4"/>
    <w:multiLevelType w:val="multilevel"/>
    <w:tmpl w:val="A0241B28"/>
    <w:numStyleLink w:val="List1"/>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9F329DA"/>
    <w:multiLevelType w:val="multilevel"/>
    <w:tmpl w:val="2B64EC8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BE313E"/>
    <w:multiLevelType w:val="hybridMultilevel"/>
    <w:tmpl w:val="C570D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3D10C8"/>
    <w:multiLevelType w:val="hybridMultilevel"/>
    <w:tmpl w:val="DE308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8B541B"/>
    <w:multiLevelType w:val="multilevel"/>
    <w:tmpl w:val="BF3294C2"/>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4"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584FFD"/>
    <w:multiLevelType w:val="hybridMultilevel"/>
    <w:tmpl w:val="63CA9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A0B438A"/>
    <w:multiLevelType w:val="hybridMultilevel"/>
    <w:tmpl w:val="7842D6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37268471">
    <w:abstractNumId w:val="12"/>
  </w:num>
  <w:num w:numId="2" w16cid:durableId="1355770275">
    <w:abstractNumId w:val="13"/>
  </w:num>
  <w:num w:numId="3" w16cid:durableId="1882862685">
    <w:abstractNumId w:val="1"/>
  </w:num>
  <w:num w:numId="4" w16cid:durableId="360508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8"/>
  </w:num>
  <w:num w:numId="6" w16cid:durableId="1314989398">
    <w:abstractNumId w:val="11"/>
  </w:num>
  <w:num w:numId="7" w16cid:durableId="951480071">
    <w:abstractNumId w:val="6"/>
  </w:num>
  <w:num w:numId="8" w16cid:durableId="844629787">
    <w:abstractNumId w:val="1"/>
    <w:lvlOverride w:ilvl="0">
      <w:lvl w:ilvl="0">
        <w:start w:val="1"/>
        <w:numFmt w:val="decimal"/>
        <w:pStyle w:val="Heading2"/>
        <w:lvlText w:val="%1"/>
        <w:lvlJc w:val="left"/>
        <w:pPr>
          <w:ind w:left="720" w:hanging="720"/>
        </w:pPr>
      </w:lvl>
    </w:lvlOverride>
  </w:num>
  <w:num w:numId="9" w16cid:durableId="1698308952">
    <w:abstractNumId w:val="12"/>
  </w:num>
  <w:num w:numId="10" w16cid:durableId="547035718">
    <w:abstractNumId w:val="13"/>
  </w:num>
  <w:num w:numId="11" w16cid:durableId="1145393031">
    <w:abstractNumId w:val="0"/>
  </w:num>
  <w:num w:numId="12" w16cid:durableId="645671681">
    <w:abstractNumId w:val="14"/>
  </w:num>
  <w:num w:numId="13" w16cid:durableId="274824895">
    <w:abstractNumId w:val="17"/>
  </w:num>
  <w:num w:numId="14" w16cid:durableId="1361395064">
    <w:abstractNumId w:val="15"/>
  </w:num>
  <w:num w:numId="15" w16cid:durableId="236869232">
    <w:abstractNumId w:val="7"/>
  </w:num>
  <w:num w:numId="16" w16cid:durableId="7741777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6839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7008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8503102">
    <w:abstractNumId w:val="3"/>
  </w:num>
  <w:num w:numId="20" w16cid:durableId="1436634146">
    <w:abstractNumId w:val="9"/>
  </w:num>
  <w:num w:numId="21" w16cid:durableId="200820838">
    <w:abstractNumId w:val="16"/>
  </w:num>
  <w:num w:numId="22" w16cid:durableId="1000431341">
    <w:abstractNumId w:val="2"/>
  </w:num>
  <w:num w:numId="23" w16cid:durableId="1363629116">
    <w:abstractNumId w:val="4"/>
  </w:num>
  <w:num w:numId="24" w16cid:durableId="869103158">
    <w:abstractNumId w:val="10"/>
  </w:num>
  <w:num w:numId="25" w16cid:durableId="180704700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EA"/>
    <w:rsid w:val="0000286A"/>
    <w:rsid w:val="00015BED"/>
    <w:rsid w:val="00047CF6"/>
    <w:rsid w:val="00067744"/>
    <w:rsid w:val="00071927"/>
    <w:rsid w:val="00093CD3"/>
    <w:rsid w:val="000A0EBD"/>
    <w:rsid w:val="000D55C1"/>
    <w:rsid w:val="000D6DD8"/>
    <w:rsid w:val="000D71E9"/>
    <w:rsid w:val="00112B86"/>
    <w:rsid w:val="00134E1D"/>
    <w:rsid w:val="001450BA"/>
    <w:rsid w:val="001567E9"/>
    <w:rsid w:val="001715EE"/>
    <w:rsid w:val="00183612"/>
    <w:rsid w:val="00192C36"/>
    <w:rsid w:val="001A1F79"/>
    <w:rsid w:val="001B1009"/>
    <w:rsid w:val="001C3583"/>
    <w:rsid w:val="001D77BC"/>
    <w:rsid w:val="001E1C4C"/>
    <w:rsid w:val="001E537E"/>
    <w:rsid w:val="001F63ED"/>
    <w:rsid w:val="00201500"/>
    <w:rsid w:val="00222B30"/>
    <w:rsid w:val="00236BA8"/>
    <w:rsid w:val="00262394"/>
    <w:rsid w:val="00274C12"/>
    <w:rsid w:val="002A193C"/>
    <w:rsid w:val="003005B7"/>
    <w:rsid w:val="00305911"/>
    <w:rsid w:val="003214D2"/>
    <w:rsid w:val="00340820"/>
    <w:rsid w:val="00357095"/>
    <w:rsid w:val="00362353"/>
    <w:rsid w:val="00370A26"/>
    <w:rsid w:val="003776EE"/>
    <w:rsid w:val="00381D23"/>
    <w:rsid w:val="00396339"/>
    <w:rsid w:val="003A1FDD"/>
    <w:rsid w:val="003A4B4A"/>
    <w:rsid w:val="003D3CE1"/>
    <w:rsid w:val="003D44DC"/>
    <w:rsid w:val="003E143A"/>
    <w:rsid w:val="00402404"/>
    <w:rsid w:val="00406AC2"/>
    <w:rsid w:val="00451E21"/>
    <w:rsid w:val="00460750"/>
    <w:rsid w:val="004705F2"/>
    <w:rsid w:val="00473964"/>
    <w:rsid w:val="00482FD5"/>
    <w:rsid w:val="004837B1"/>
    <w:rsid w:val="0048569E"/>
    <w:rsid w:val="00486C20"/>
    <w:rsid w:val="00490E7F"/>
    <w:rsid w:val="004C6362"/>
    <w:rsid w:val="004C6C47"/>
    <w:rsid w:val="004C766C"/>
    <w:rsid w:val="0054262A"/>
    <w:rsid w:val="00543AA7"/>
    <w:rsid w:val="0059380F"/>
    <w:rsid w:val="005F0E4D"/>
    <w:rsid w:val="005F3ED1"/>
    <w:rsid w:val="005F7ED2"/>
    <w:rsid w:val="00611DA7"/>
    <w:rsid w:val="006416D4"/>
    <w:rsid w:val="00653CB9"/>
    <w:rsid w:val="0067243B"/>
    <w:rsid w:val="006B73C8"/>
    <w:rsid w:val="006E1CF5"/>
    <w:rsid w:val="00704CE7"/>
    <w:rsid w:val="007405CB"/>
    <w:rsid w:val="00760477"/>
    <w:rsid w:val="00762C3E"/>
    <w:rsid w:val="00763F74"/>
    <w:rsid w:val="00775809"/>
    <w:rsid w:val="007B1F92"/>
    <w:rsid w:val="007C5B94"/>
    <w:rsid w:val="007D0961"/>
    <w:rsid w:val="008153FE"/>
    <w:rsid w:val="00821DA2"/>
    <w:rsid w:val="0082249A"/>
    <w:rsid w:val="00826753"/>
    <w:rsid w:val="00833933"/>
    <w:rsid w:val="00835E9D"/>
    <w:rsid w:val="00892FE1"/>
    <w:rsid w:val="008A3190"/>
    <w:rsid w:val="008C58C8"/>
    <w:rsid w:val="008D1B48"/>
    <w:rsid w:val="008D643F"/>
    <w:rsid w:val="0090774C"/>
    <w:rsid w:val="00946843"/>
    <w:rsid w:val="009679F4"/>
    <w:rsid w:val="009873DC"/>
    <w:rsid w:val="00991227"/>
    <w:rsid w:val="00996A46"/>
    <w:rsid w:val="009A1E6B"/>
    <w:rsid w:val="009C67A9"/>
    <w:rsid w:val="009E7B5C"/>
    <w:rsid w:val="009F00C4"/>
    <w:rsid w:val="009F6E1F"/>
    <w:rsid w:val="00A16700"/>
    <w:rsid w:val="00A26D23"/>
    <w:rsid w:val="00A27706"/>
    <w:rsid w:val="00A336EC"/>
    <w:rsid w:val="00A50201"/>
    <w:rsid w:val="00A52203"/>
    <w:rsid w:val="00A7401B"/>
    <w:rsid w:val="00A875EA"/>
    <w:rsid w:val="00A87C92"/>
    <w:rsid w:val="00A9002C"/>
    <w:rsid w:val="00AA70E3"/>
    <w:rsid w:val="00AB0FBE"/>
    <w:rsid w:val="00AB27F3"/>
    <w:rsid w:val="00AF1EB9"/>
    <w:rsid w:val="00AF5211"/>
    <w:rsid w:val="00B01FB8"/>
    <w:rsid w:val="00B35721"/>
    <w:rsid w:val="00B43A41"/>
    <w:rsid w:val="00B5453F"/>
    <w:rsid w:val="00B97EBA"/>
    <w:rsid w:val="00BA0AFF"/>
    <w:rsid w:val="00BB6ACE"/>
    <w:rsid w:val="00BC6BA3"/>
    <w:rsid w:val="00BD2275"/>
    <w:rsid w:val="00BF0496"/>
    <w:rsid w:val="00C00AAC"/>
    <w:rsid w:val="00C031A8"/>
    <w:rsid w:val="00C05EA8"/>
    <w:rsid w:val="00C06619"/>
    <w:rsid w:val="00C30975"/>
    <w:rsid w:val="00C41A2E"/>
    <w:rsid w:val="00C4721F"/>
    <w:rsid w:val="00C51E35"/>
    <w:rsid w:val="00C759F8"/>
    <w:rsid w:val="00C92F0F"/>
    <w:rsid w:val="00CF7FF8"/>
    <w:rsid w:val="00D06356"/>
    <w:rsid w:val="00D36729"/>
    <w:rsid w:val="00D45274"/>
    <w:rsid w:val="00D45E0E"/>
    <w:rsid w:val="00D61857"/>
    <w:rsid w:val="00D666DC"/>
    <w:rsid w:val="00D843C2"/>
    <w:rsid w:val="00D912A7"/>
    <w:rsid w:val="00E05D92"/>
    <w:rsid w:val="00E223F4"/>
    <w:rsid w:val="00E3006D"/>
    <w:rsid w:val="00E362EF"/>
    <w:rsid w:val="00E60E5E"/>
    <w:rsid w:val="00E732BE"/>
    <w:rsid w:val="00E74C11"/>
    <w:rsid w:val="00E86770"/>
    <w:rsid w:val="00E96E54"/>
    <w:rsid w:val="00F01D00"/>
    <w:rsid w:val="00F35EE8"/>
    <w:rsid w:val="00F45246"/>
    <w:rsid w:val="00F5729D"/>
    <w:rsid w:val="00F65DFD"/>
    <w:rsid w:val="00F76767"/>
    <w:rsid w:val="00F90D42"/>
    <w:rsid w:val="00FB088E"/>
    <w:rsid w:val="00FB2765"/>
    <w:rsid w:val="00FB6115"/>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AEA89"/>
  <w15:docId w15:val="{54AFDC71-C2A9-4F33-BC0A-088BDA53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0"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5EA"/>
    <w:pPr>
      <w:spacing w:after="200"/>
    </w:pPr>
    <w:rPr>
      <w:rFonts w:ascii="Calibri" w:eastAsia="Calibri" w:hAnsi="Calibri"/>
      <w:sz w:val="24"/>
      <w:szCs w:val="22"/>
      <w:lang w:eastAsia="en-US"/>
    </w:rPr>
  </w:style>
  <w:style w:type="paragraph" w:styleId="Heading1">
    <w:name w:val="heading 1"/>
    <w:next w:val="Normal"/>
    <w:link w:val="Heading1Char"/>
    <w:uiPriority w:val="1"/>
    <w:qFormat/>
    <w:rsid w:val="00835E9D"/>
    <w:pPr>
      <w:widowControl w:val="0"/>
      <w:spacing w:before="360"/>
      <w:contextualSpacing/>
      <w:outlineLvl w:val="0"/>
    </w:pPr>
    <w:rPr>
      <w:rFonts w:ascii="Calibri" w:eastAsiaTheme="minorHAnsi" w:hAnsi="Calibri" w:cstheme="minorBidi"/>
      <w:b/>
      <w:bCs/>
      <w:spacing w:val="5"/>
      <w:kern w:val="28"/>
      <w:sz w:val="60"/>
      <w:szCs w:val="28"/>
      <w:lang w:eastAsia="en-US"/>
    </w:rPr>
  </w:style>
  <w:style w:type="paragraph" w:styleId="Heading2">
    <w:name w:val="heading 2"/>
    <w:basedOn w:val="Normal"/>
    <w:next w:val="Normal"/>
    <w:link w:val="Heading2Char"/>
    <w:uiPriority w:val="3"/>
    <w:rsid w:val="00835E9D"/>
    <w:pPr>
      <w:keepNext/>
      <w:numPr>
        <w:numId w:val="8"/>
      </w:numPr>
      <w:spacing w:after="60"/>
      <w:outlineLvl w:val="1"/>
    </w:pPr>
    <w:rPr>
      <w:rFonts w:eastAsiaTheme="minorEastAsia"/>
      <w:bCs/>
      <w:color w:val="000000"/>
      <w:sz w:val="44"/>
      <w:szCs w:val="28"/>
      <w:lang w:eastAsia="ja-JP"/>
    </w:rPr>
  </w:style>
  <w:style w:type="paragraph" w:styleId="Heading3">
    <w:name w:val="heading 3"/>
    <w:next w:val="Normal"/>
    <w:link w:val="Heading3Char"/>
    <w:qFormat/>
    <w:rsid w:val="00835E9D"/>
    <w:pPr>
      <w:keepNext/>
      <w:keepLines/>
      <w:numPr>
        <w:ilvl w:val="1"/>
        <w:numId w:val="8"/>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835E9D"/>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835E9D"/>
    <w:pPr>
      <w:keepNext/>
      <w:keepLines/>
      <w:spacing w:after="0"/>
      <w:outlineLvl w:val="4"/>
    </w:pPr>
    <w:rPr>
      <w:b/>
      <w:sz w:val="28"/>
    </w:rPr>
  </w:style>
  <w:style w:type="paragraph" w:styleId="Heading6">
    <w:name w:val="heading 6"/>
    <w:basedOn w:val="Normal"/>
    <w:next w:val="Normal"/>
    <w:link w:val="Heading6Char"/>
    <w:uiPriority w:val="9"/>
    <w:semiHidden/>
    <w:qFormat/>
    <w:rsid w:val="00A16700"/>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A16700"/>
    <w:pPr>
      <w:keepNext/>
      <w:keepLines/>
      <w:spacing w:before="4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semiHidden/>
    <w:qFormat/>
    <w:rsid w:val="00A16700"/>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826753"/>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D61857"/>
    <w:pPr>
      <w:tabs>
        <w:tab w:val="center" w:pos="4820"/>
      </w:tabs>
      <w:spacing w:before="120"/>
      <w:jc w:val="center"/>
    </w:pPr>
    <w:rPr>
      <w:sz w:val="20"/>
    </w:rPr>
  </w:style>
  <w:style w:type="character" w:customStyle="1" w:styleId="HeaderChar">
    <w:name w:val="Header Char"/>
    <w:basedOn w:val="DefaultParagraphFont"/>
    <w:link w:val="Header"/>
    <w:uiPriority w:val="26"/>
    <w:rsid w:val="00D61857"/>
    <w:rPr>
      <w:rFonts w:ascii="Calibri" w:eastAsiaTheme="minorHAnsi" w:hAnsi="Calibri" w:cstheme="minorBidi"/>
      <w:szCs w:val="22"/>
      <w:lang w:eastAsia="en-US"/>
    </w:rPr>
  </w:style>
  <w:style w:type="paragraph" w:styleId="Footer">
    <w:name w:val="footer"/>
    <w:basedOn w:val="Normal"/>
    <w:link w:val="FooterChar"/>
    <w:uiPriority w:val="99"/>
    <w:rsid w:val="00D61857"/>
    <w:pPr>
      <w:tabs>
        <w:tab w:val="center" w:pos="4536"/>
      </w:tabs>
      <w:spacing w:after="480"/>
      <w:jc w:val="center"/>
    </w:pPr>
    <w:rPr>
      <w:sz w:val="20"/>
    </w:rPr>
  </w:style>
  <w:style w:type="character" w:customStyle="1" w:styleId="FooterChar">
    <w:name w:val="Footer Char"/>
    <w:basedOn w:val="DefaultParagraphFont"/>
    <w:link w:val="Footer"/>
    <w:uiPriority w:val="99"/>
    <w:rsid w:val="00D6185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835E9D"/>
    <w:rPr>
      <w:rFonts w:ascii="Calibri" w:eastAsiaTheme="minorHAnsi" w:hAnsi="Calibri" w:cstheme="minorBidi"/>
      <w:b/>
      <w:bCs/>
      <w:spacing w:val="5"/>
      <w:kern w:val="28"/>
      <w:sz w:val="60"/>
      <w:szCs w:val="28"/>
      <w:lang w:eastAsia="en-US"/>
    </w:rPr>
  </w:style>
  <w:style w:type="character" w:customStyle="1" w:styleId="Heading2Char">
    <w:name w:val="Heading 2 Char"/>
    <w:basedOn w:val="DefaultParagraphFont"/>
    <w:link w:val="Heading2"/>
    <w:uiPriority w:val="3"/>
    <w:rsid w:val="00835E9D"/>
    <w:rPr>
      <w:rFonts w:ascii="Calibri" w:eastAsiaTheme="minorEastAsia" w:hAnsi="Calibri" w:cstheme="minorBidi"/>
      <w:bCs/>
      <w:color w:val="000000"/>
      <w:sz w:val="44"/>
      <w:szCs w:val="28"/>
      <w:lang w:eastAsia="ja-JP"/>
    </w:rPr>
  </w:style>
  <w:style w:type="character" w:customStyle="1" w:styleId="Heading3Char">
    <w:name w:val="Heading 3 Char"/>
    <w:basedOn w:val="DefaultParagraphFont"/>
    <w:link w:val="Heading3"/>
    <w:rsid w:val="00835E9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835E9D"/>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835E9D"/>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pPr>
    <w:rPr>
      <w:b/>
      <w:bCs/>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pPr>
    <w:rPr>
      <w:b/>
      <w:noProof/>
    </w:rPr>
  </w:style>
  <w:style w:type="paragraph" w:styleId="TOC2">
    <w:name w:val="toc 2"/>
    <w:basedOn w:val="Normal"/>
    <w:next w:val="Normal"/>
    <w:uiPriority w:val="39"/>
    <w:unhideWhenUsed/>
    <w:qFormat/>
    <w:rsid w:val="00067744"/>
    <w:pPr>
      <w:tabs>
        <w:tab w:val="right" w:leader="dot" w:pos="9060"/>
      </w:tabs>
      <w:spacing w:before="120" w:after="120"/>
      <w:ind w:left="1134" w:hanging="709"/>
    </w:pPr>
    <w:rPr>
      <w:noProof/>
    </w:rPr>
  </w:style>
  <w:style w:type="paragraph" w:styleId="TOC3">
    <w:name w:val="toc 3"/>
    <w:basedOn w:val="Normal"/>
    <w:next w:val="Normal"/>
    <w:uiPriority w:val="39"/>
    <w:unhideWhenUsed/>
    <w:qFormat/>
    <w:rsid w:val="00BB6ACE"/>
    <w:pPr>
      <w:tabs>
        <w:tab w:val="right" w:leader="dot" w:pos="9072"/>
      </w:tabs>
      <w:spacing w:before="120" w:after="120"/>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762C3E"/>
    <w:pPr>
      <w:numPr>
        <w:numId w:val="9"/>
      </w:numPr>
      <w:spacing w:before="120" w:after="120"/>
      <w:ind w:left="454" w:hanging="454"/>
    </w:pPr>
  </w:style>
  <w:style w:type="paragraph" w:styleId="TableofFigures">
    <w:name w:val="table of figures"/>
    <w:basedOn w:val="Normal"/>
    <w:next w:val="Normal"/>
    <w:uiPriority w:val="99"/>
    <w:rsid w:val="00BB6ACE"/>
    <w:pPr>
      <w:spacing w:before="120" w:after="120"/>
    </w:pPr>
  </w:style>
  <w:style w:type="paragraph" w:styleId="ListBullet2">
    <w:name w:val="List Bullet 2"/>
    <w:basedOn w:val="Normal"/>
    <w:uiPriority w:val="8"/>
    <w:qFormat/>
    <w:rsid w:val="00762C3E"/>
    <w:pPr>
      <w:numPr>
        <w:ilvl w:val="1"/>
        <w:numId w:val="9"/>
      </w:numPr>
      <w:spacing w:before="120" w:after="120"/>
      <w:ind w:left="908" w:hanging="454"/>
      <w:contextualSpacing/>
    </w:pPr>
  </w:style>
  <w:style w:type="paragraph" w:styleId="ListNumber">
    <w:name w:val="List Number"/>
    <w:basedOn w:val="Normal"/>
    <w:uiPriority w:val="9"/>
    <w:qFormat/>
    <w:rsid w:val="00762C3E"/>
    <w:pPr>
      <w:numPr>
        <w:numId w:val="10"/>
      </w:numPr>
      <w:tabs>
        <w:tab w:val="left" w:pos="142"/>
      </w:tabs>
      <w:spacing w:before="120" w:after="120"/>
      <w:ind w:left="454" w:hanging="454"/>
    </w:pPr>
  </w:style>
  <w:style w:type="paragraph" w:styleId="ListNumber2">
    <w:name w:val="List Number 2"/>
    <w:uiPriority w:val="10"/>
    <w:qFormat/>
    <w:rsid w:val="009E7B5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
    <w:name w:val="Table Bullet"/>
    <w:basedOn w:val="TableText"/>
    <w:uiPriority w:val="15"/>
    <w:qFormat/>
    <w:rsid w:val="00996A46"/>
    <w:pPr>
      <w:numPr>
        <w:numId w:val="6"/>
      </w:numPr>
    </w:pPr>
  </w:style>
  <w:style w:type="paragraph" w:styleId="DocumentMap">
    <w:name w:val="Document Map"/>
    <w:basedOn w:val="Normal"/>
    <w:link w:val="DocumentMapChar"/>
    <w:uiPriority w:val="99"/>
    <w:semiHidden/>
    <w:unhideWhenUsed/>
    <w:rsid w:val="00BB6A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rPr>
      <w:b/>
    </w:rPr>
  </w:style>
  <w:style w:type="paragraph" w:customStyle="1" w:styleId="Securityclassification">
    <w:name w:val="Security classification"/>
    <w:basedOn w:val="Header"/>
    <w:next w:val="Header"/>
    <w:uiPriority w:val="26"/>
    <w:semiHidden/>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62C3E"/>
    <w:pPr>
      <w:numPr>
        <w:ilvl w:val="2"/>
        <w:numId w:val="9"/>
      </w:numPr>
      <w:ind w:left="1361" w:hanging="45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
    <w:qFormat/>
    <w:rsid w:val="00996A46"/>
    <w:pPr>
      <w:numPr>
        <w:numId w:val="11"/>
      </w:numPr>
      <w:tabs>
        <w:tab w:val="num" w:pos="462"/>
      </w:tabs>
      <w:ind w:left="568" w:hanging="284"/>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列"/>
    <w:basedOn w:val="Normal"/>
    <w:link w:val="ListParagraphChar"/>
    <w:uiPriority w:val="34"/>
    <w:qFormat/>
    <w:rsid w:val="00BB6ACE"/>
    <w:pPr>
      <w:spacing w:after="0"/>
      <w:ind w:left="720"/>
    </w:pPr>
    <w:rPr>
      <w:rFonts w:cs="Calibri"/>
    </w:rPr>
  </w:style>
  <w:style w:type="character" w:customStyle="1" w:styleId="Heading6Char">
    <w:name w:val="Heading 6 Char"/>
    <w:basedOn w:val="DefaultParagraphFont"/>
    <w:link w:val="Heading6"/>
    <w:uiPriority w:val="9"/>
    <w:semiHidden/>
    <w:rsid w:val="00A16700"/>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CF7FF8"/>
    <w:pPr>
      <w:numPr>
        <w:ilvl w:val="1"/>
        <w:numId w:val="13"/>
      </w:numPr>
    </w:pPr>
  </w:style>
  <w:style w:type="paragraph" w:customStyle="1" w:styleId="TableListNumber3">
    <w:name w:val="Table List Number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character" w:customStyle="1" w:styleId="Heading7Char">
    <w:name w:val="Heading 7 Char"/>
    <w:basedOn w:val="DefaultParagraphFont"/>
    <w:link w:val="Heading7"/>
    <w:uiPriority w:val="9"/>
    <w:semiHidden/>
    <w:rsid w:val="00A16700"/>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A16700"/>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A27706"/>
    <w:pPr>
      <w:numPr>
        <w:numId w:val="15"/>
      </w:numPr>
    </w:pPr>
  </w:style>
  <w:style w:type="character" w:customStyle="1" w:styleId="Heading9Char">
    <w:name w:val="Heading 9 Char"/>
    <w:basedOn w:val="DefaultParagraphFont"/>
    <w:link w:val="Heading9"/>
    <w:uiPriority w:val="9"/>
    <w:semiHidden/>
    <w:rsid w:val="00826753"/>
    <w:rPr>
      <w:rFonts w:asciiTheme="minorHAnsi" w:eastAsiaTheme="majorEastAsia" w:hAnsiTheme="minorHAnsi" w:cstheme="majorBidi"/>
      <w:b/>
      <w:iCs/>
      <w:color w:val="000000" w:themeColor="text1"/>
      <w:szCs w:val="21"/>
      <w:lang w:eastAsia="en-US"/>
    </w:rPr>
  </w:style>
  <w:style w:type="table" w:styleId="TableGrid">
    <w:name w:val="Table Grid"/>
    <w:basedOn w:val="TableNormal"/>
    <w:uiPriority w:val="39"/>
    <w:rsid w:val="00A875EA"/>
    <w:rPr>
      <w:rFonts w:ascii="Arial" w:eastAsia="Calibri" w:hAnsi="Arial"/>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qFormat/>
    <w:locked/>
    <w:rsid w:val="00A875EA"/>
    <w:rPr>
      <w:rFonts w:ascii="Calibri" w:eastAsiaTheme="minorHAnsi" w:hAnsi="Calibri" w:cs="Calibri"/>
      <w:sz w:val="22"/>
      <w:szCs w:val="22"/>
      <w:lang w:eastAsia="en-US"/>
    </w:rPr>
  </w:style>
  <w:style w:type="character" w:customStyle="1" w:styleId="field">
    <w:name w:val="field"/>
    <w:basedOn w:val="DefaultParagraphFont"/>
    <w:rsid w:val="00987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policy/partnerships/nb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riculture.gov.au/biosecurity-trade/policy/partnerships/nbc/intergovernmental-agreement-on-biosecurity/igabreview/2024-intergov-agreement-biosec-revie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policy/partnerships/nbc/intergovernmental-agreement-on-biosecurity/igabreview/2024-intergov-agreement-biosec-revie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biosecurity-trade/policy/partnerships/nb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AEFD23-42C1-4CE1-8F99-394933C67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2b53c995-2120-4bc0-8922-c25044d37f65"/>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Short_document_template</Template>
  <TotalTime>7</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National Biosecurity Committee Annual Report 2025</vt:lpstr>
    </vt:vector>
  </TitlesOfParts>
  <Company/>
  <LinksUpToDate>false</LinksUpToDate>
  <CharactersWithSpaces>4580</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Biosecurity Committee Annual Report 2025</dc:title>
  <dc:creator>Department of Agriculture, Fisheries and Forestry</dc:creator>
  <cp:revision>4</cp:revision>
  <cp:lastPrinted>2026-05-12T07:12:00Z</cp:lastPrinted>
  <dcterms:created xsi:type="dcterms:W3CDTF">2026-05-12T05:52:00Z</dcterms:created>
  <dcterms:modified xsi:type="dcterms:W3CDTF">2026-05-12T07:12:00Z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_DocHome">
    <vt:i4>986778056</vt:i4>
  </property>
  <property fmtid="{D5CDD505-2E9C-101B-9397-08002B2CF9AE}" pid="4" name="ClassificationContentMarkingHeaderShapeIds">
    <vt:lpwstr>75e73740,2c8aeb6c,4d3bd1fa,55ab39f3,34f34a2f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351e854a,51c89a,793599a5,3e83fc58,78ecbfb3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2024-07-17T04:47:03Z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9f8d9c3c-f4a4-40a1-ad7c-6abbf8b868bb</vt:lpwstr>
  </property>
  <property fmtid="{D5CDD505-2E9C-101B-9397-08002B2CF9AE}" pid="16" name="MSIP_Label_933d8be6-3c40-4052-87a2-9c2adcba8759_ContentBits">
    <vt:lpwstr>3</vt:lpwstr>
  </property>
  <property fmtid="{D5CDD505-2E9C-101B-9397-08002B2CF9AE}" pid="17" name="MediaServiceImageTags">
    <vt:lpwstr/>
  </property>
</Properties>
</file>