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diagrams/data1.xml" ContentType="application/vnd.openxmlformats-officedocument.drawingml.diagramData+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628442" w14:textId="77777777" w:rsidR="00BF191A" w:rsidRDefault="006D38BF" w:rsidP="00BD1A39">
      <w:pPr>
        <w:pStyle w:val="Heading1"/>
      </w:pPr>
      <w:r w:rsidRPr="006D38BF">
        <w:t>Non-road diesel engines – evaluating a national approach to managing emissions</w:t>
      </w:r>
    </w:p>
    <w:p w14:paraId="3BA8E341" w14:textId="77777777" w:rsidR="00A66B90" w:rsidRDefault="006D38BF" w:rsidP="00BF191A">
      <w:pPr>
        <w:pStyle w:val="Subtitle"/>
      </w:pPr>
      <w:r w:rsidRPr="006D38BF">
        <w:t>Discussion paper</w:t>
      </w:r>
    </w:p>
    <w:p w14:paraId="78E6C7DD" w14:textId="4E4156B9" w:rsidR="00764D6A" w:rsidRPr="00A66B90" w:rsidRDefault="002B74D9" w:rsidP="00A66B90">
      <w:pPr>
        <w:pStyle w:val="Date"/>
      </w:pPr>
      <w:r w:rsidRPr="00A66B90">
        <w:t>October 2020</w:t>
      </w:r>
    </w:p>
    <w:p w14:paraId="54B2433E" w14:textId="237DE58F" w:rsidR="00764D6A" w:rsidRDefault="00A25880">
      <w:pPr>
        <w:pStyle w:val="Picture"/>
      </w:pPr>
      <w:r>
        <w:drawing>
          <wp:inline distT="0" distB="0" distL="0" distR="0" wp14:anchorId="2FDC5CFE" wp14:editId="33E83F09">
            <wp:extent cx="5516245" cy="5516245"/>
            <wp:effectExtent l="0" t="0" r="8255" b="825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55CA901E" w14:textId="77777777" w:rsidR="00764D6A" w:rsidRDefault="00E91D72">
      <w:pPr>
        <w:pStyle w:val="Normalsmall"/>
      </w:pPr>
      <w:r>
        <w:br w:type="page"/>
      </w:r>
      <w:r>
        <w:lastRenderedPageBreak/>
        <w:t xml:space="preserve">© Commonwealth of Australia </w:t>
      </w:r>
      <w:r w:rsidR="00B97E61">
        <w:t>202</w:t>
      </w:r>
      <w:r w:rsidR="00D6626A">
        <w:t>1</w:t>
      </w:r>
    </w:p>
    <w:p w14:paraId="5707ACA2" w14:textId="77777777" w:rsidR="00764D6A" w:rsidRDefault="00E91D72">
      <w:pPr>
        <w:pStyle w:val="Normalsmall"/>
        <w:rPr>
          <w:rStyle w:val="Strong"/>
        </w:rPr>
      </w:pPr>
      <w:r>
        <w:rPr>
          <w:rStyle w:val="Strong"/>
        </w:rPr>
        <w:t>Ownership of intellectual property rights</w:t>
      </w:r>
    </w:p>
    <w:p w14:paraId="5C76A59B"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4EBC1495" w14:textId="77777777" w:rsidR="00764D6A" w:rsidRDefault="00E91D72">
      <w:pPr>
        <w:pStyle w:val="Normalsmall"/>
        <w:rPr>
          <w:rStyle w:val="Strong"/>
        </w:rPr>
      </w:pPr>
      <w:r>
        <w:rPr>
          <w:rStyle w:val="Strong"/>
        </w:rPr>
        <w:t>Creative Commons licence</w:t>
      </w:r>
    </w:p>
    <w:p w14:paraId="206E79D6" w14:textId="77777777" w:rsidR="00764D6A" w:rsidRDefault="00E91D72">
      <w:pPr>
        <w:pStyle w:val="Normalsmall"/>
      </w:pPr>
      <w:r>
        <w:t xml:space="preserve">All material in this publication is licensed under a </w:t>
      </w:r>
      <w:hyperlink r:id="rId9"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4944DB30" w14:textId="77777777" w:rsidR="00764D6A" w:rsidRDefault="00E91D72">
      <w:pPr>
        <w:pStyle w:val="Normalsmall"/>
      </w:pPr>
      <w:r>
        <w:t xml:space="preserve">Inquiries about the licence and any use of this document should be emailed to </w:t>
      </w:r>
      <w:hyperlink r:id="rId10" w:history="1">
        <w:r w:rsidR="00EF55CC" w:rsidRPr="00CD29E9">
          <w:rPr>
            <w:rStyle w:val="Hyperlink"/>
          </w:rPr>
          <w:t>copyright@awe.gov.au</w:t>
        </w:r>
      </w:hyperlink>
      <w:r>
        <w:t>.</w:t>
      </w:r>
    </w:p>
    <w:p w14:paraId="71998F1C" w14:textId="77777777" w:rsidR="00764D6A" w:rsidRDefault="00E91D72">
      <w:pPr>
        <w:pStyle w:val="Normalsmall"/>
      </w:pPr>
      <w:r>
        <w:rPr>
          <w:noProof/>
          <w:lang w:eastAsia="en-AU"/>
        </w:rPr>
        <w:drawing>
          <wp:inline distT="0" distB="0" distL="0" distR="0" wp14:anchorId="7E512551" wp14:editId="0A118A24">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1"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2B141ABC" w14:textId="77777777" w:rsidR="00764D6A" w:rsidRDefault="00E91D72">
      <w:pPr>
        <w:pStyle w:val="Normalsmall"/>
        <w:rPr>
          <w:rStyle w:val="Strong"/>
        </w:rPr>
      </w:pPr>
      <w:r>
        <w:rPr>
          <w:rStyle w:val="Strong"/>
        </w:rPr>
        <w:t>Cataloguing data</w:t>
      </w:r>
    </w:p>
    <w:p w14:paraId="3D5277FD" w14:textId="725F66B6" w:rsidR="00764D6A" w:rsidRDefault="00E91D72">
      <w:pPr>
        <w:pStyle w:val="Normalsmall"/>
      </w:pPr>
      <w:r>
        <w:t xml:space="preserve">This publication (and any material sourced from it) should be attributed as: </w:t>
      </w:r>
      <w:r w:rsidR="009D5007" w:rsidRPr="00E10B2C">
        <w:t>DAWE</w:t>
      </w:r>
      <w:r w:rsidR="00B97E61" w:rsidRPr="00E10B2C">
        <w:t xml:space="preserve"> 202</w:t>
      </w:r>
      <w:r w:rsidR="00E10B2C" w:rsidRPr="00E10B2C">
        <w:t>0</w:t>
      </w:r>
      <w:r w:rsidRPr="00E10B2C">
        <w:t xml:space="preserve">, </w:t>
      </w:r>
      <w:r w:rsidR="004255F0" w:rsidRPr="004255F0">
        <w:rPr>
          <w:i/>
        </w:rPr>
        <w:t xml:space="preserve">Non-road diesel engines – evaluating a national approach to managing emissions: </w:t>
      </w:r>
      <w:r w:rsidR="0007791D">
        <w:rPr>
          <w:i/>
        </w:rPr>
        <w:t>d</w:t>
      </w:r>
      <w:r w:rsidR="004255F0" w:rsidRPr="004255F0">
        <w:rPr>
          <w:i/>
        </w:rPr>
        <w:t>iscussion paper</w:t>
      </w:r>
      <w:r>
        <w:t xml:space="preserve">, </w:t>
      </w:r>
      <w:r w:rsidR="00B5740E">
        <w:t>Department of Agriculture, Water and the Environment</w:t>
      </w:r>
      <w:r>
        <w:t xml:space="preserve">, Canberra, </w:t>
      </w:r>
      <w:r w:rsidR="00E12D93" w:rsidRPr="008C407C">
        <w:t>October</w:t>
      </w:r>
      <w:r>
        <w:t>. CC BY 4.0.</w:t>
      </w:r>
    </w:p>
    <w:p w14:paraId="1FD1E8A6" w14:textId="40491BD4" w:rsidR="00764D6A" w:rsidRDefault="00E91D72">
      <w:pPr>
        <w:pStyle w:val="Normalsmall"/>
        <w:rPr>
          <w:highlight w:val="yellow"/>
        </w:rPr>
      </w:pPr>
      <w:r w:rsidRPr="008C407C">
        <w:t xml:space="preserve">ISBN </w:t>
      </w:r>
      <w:r w:rsidR="00924EFB" w:rsidRPr="00924EFB">
        <w:t>978-1-76003-380-4</w:t>
      </w:r>
    </w:p>
    <w:p w14:paraId="52D6E392" w14:textId="31D2F4BB" w:rsidR="00764D6A" w:rsidRDefault="00E91D72">
      <w:pPr>
        <w:pStyle w:val="Normalsmall"/>
      </w:pPr>
      <w:r>
        <w:t xml:space="preserve">This publication is </w:t>
      </w:r>
      <w:r w:rsidRPr="00E20810">
        <w:t xml:space="preserve">available at </w:t>
      </w:r>
      <w:hyperlink r:id="rId12" w:history="1">
        <w:r w:rsidR="008A6A88" w:rsidRPr="00DD4411">
          <w:rPr>
            <w:rStyle w:val="Hyperlink"/>
          </w:rPr>
          <w:t>http://www.environment.gov.au/protection/air-quality/national-clean-air-agreement/evaluation-non-road-diesel-engine-emissions</w:t>
        </w:r>
      </w:hyperlink>
      <w:r w:rsidRPr="00E20810">
        <w:t>.</w:t>
      </w:r>
    </w:p>
    <w:p w14:paraId="18E54BE2" w14:textId="77777777" w:rsidR="00764D6A" w:rsidRDefault="00B5740E">
      <w:pPr>
        <w:pStyle w:val="Normalsmall"/>
        <w:spacing w:after="0"/>
      </w:pPr>
      <w:r>
        <w:t xml:space="preserve">Department of Agriculture, </w:t>
      </w:r>
      <w:proofErr w:type="gramStart"/>
      <w:r>
        <w:t>Water</w:t>
      </w:r>
      <w:proofErr w:type="gramEnd"/>
      <w:r>
        <w:t xml:space="preserve"> and the Environment</w:t>
      </w:r>
    </w:p>
    <w:p w14:paraId="2F9CC989" w14:textId="77777777" w:rsidR="00764D6A" w:rsidRDefault="00E91D72">
      <w:pPr>
        <w:pStyle w:val="Normalsmall"/>
        <w:spacing w:after="0"/>
      </w:pPr>
      <w:r>
        <w:t>GPO Box 858 Canberra ACT 2601</w:t>
      </w:r>
    </w:p>
    <w:p w14:paraId="2CEC5B98" w14:textId="77777777" w:rsidR="00764D6A" w:rsidRDefault="00E91D72">
      <w:pPr>
        <w:pStyle w:val="Normalsmall"/>
        <w:spacing w:after="0"/>
      </w:pPr>
      <w:r>
        <w:t xml:space="preserve">Telephone </w:t>
      </w:r>
      <w:r w:rsidRPr="00773056">
        <w:t>1800 900 090</w:t>
      </w:r>
    </w:p>
    <w:p w14:paraId="0282B35C" w14:textId="77777777" w:rsidR="00764D6A" w:rsidRDefault="00E91D72">
      <w:pPr>
        <w:pStyle w:val="Normalsmall"/>
      </w:pPr>
      <w:r w:rsidRPr="00E20810">
        <w:t xml:space="preserve">Web </w:t>
      </w:r>
      <w:hyperlink r:id="rId13" w:history="1">
        <w:r w:rsidR="00E20810" w:rsidRPr="00E20810">
          <w:rPr>
            <w:rStyle w:val="Hyperlink"/>
          </w:rPr>
          <w:t>awe.gov.au</w:t>
        </w:r>
      </w:hyperlink>
    </w:p>
    <w:p w14:paraId="6B277B6E" w14:textId="77777777" w:rsidR="007C358A" w:rsidRDefault="007C358A">
      <w:pPr>
        <w:pStyle w:val="Normalsmall"/>
      </w:pPr>
      <w:r>
        <w:rPr>
          <w:rStyle w:val="Strong"/>
        </w:rPr>
        <w:t>Disclaimer</w:t>
      </w:r>
    </w:p>
    <w:p w14:paraId="5A53907A" w14:textId="257D59CE"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5CF0E84A"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210C41B7" w14:textId="153365F9" w:rsidR="00764D6A" w:rsidRDefault="00E91D72">
          <w:pPr>
            <w:pStyle w:val="TOCHeading"/>
          </w:pPr>
          <w:r>
            <w:t>Contents</w:t>
          </w:r>
        </w:p>
        <w:p w14:paraId="420193D1" w14:textId="15704A70" w:rsidR="0024247E"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63874237" w:history="1">
            <w:r w:rsidR="0024247E" w:rsidRPr="00D51284">
              <w:rPr>
                <w:rStyle w:val="Hyperlink"/>
              </w:rPr>
              <w:t>1</w:t>
            </w:r>
            <w:r w:rsidR="0024247E">
              <w:rPr>
                <w:rFonts w:asciiTheme="minorHAnsi" w:eastAsiaTheme="minorEastAsia" w:hAnsiTheme="minorHAnsi"/>
                <w:b w:val="0"/>
                <w:lang w:eastAsia="en-AU"/>
              </w:rPr>
              <w:tab/>
            </w:r>
            <w:r w:rsidR="0024247E" w:rsidRPr="00D51284">
              <w:rPr>
                <w:rStyle w:val="Hyperlink"/>
              </w:rPr>
              <w:t>Purpose of the document</w:t>
            </w:r>
            <w:r w:rsidR="0024247E">
              <w:rPr>
                <w:webHidden/>
              </w:rPr>
              <w:tab/>
            </w:r>
            <w:r w:rsidR="0024247E">
              <w:rPr>
                <w:webHidden/>
              </w:rPr>
              <w:fldChar w:fldCharType="begin"/>
            </w:r>
            <w:r w:rsidR="0024247E">
              <w:rPr>
                <w:webHidden/>
              </w:rPr>
              <w:instrText xml:space="preserve"> PAGEREF _Toc63874237 \h </w:instrText>
            </w:r>
            <w:r w:rsidR="0024247E">
              <w:rPr>
                <w:webHidden/>
              </w:rPr>
            </w:r>
            <w:r w:rsidR="0024247E">
              <w:rPr>
                <w:webHidden/>
              </w:rPr>
              <w:fldChar w:fldCharType="separate"/>
            </w:r>
            <w:r w:rsidR="0024247E">
              <w:rPr>
                <w:webHidden/>
              </w:rPr>
              <w:t>1</w:t>
            </w:r>
            <w:r w:rsidR="0024247E">
              <w:rPr>
                <w:webHidden/>
              </w:rPr>
              <w:fldChar w:fldCharType="end"/>
            </w:r>
          </w:hyperlink>
        </w:p>
        <w:p w14:paraId="51908414" w14:textId="74E2B8FD" w:rsidR="0024247E" w:rsidRDefault="004460A7">
          <w:pPr>
            <w:pStyle w:val="TOC1"/>
            <w:rPr>
              <w:rFonts w:asciiTheme="minorHAnsi" w:eastAsiaTheme="minorEastAsia" w:hAnsiTheme="minorHAnsi"/>
              <w:b w:val="0"/>
              <w:lang w:eastAsia="en-AU"/>
            </w:rPr>
          </w:pPr>
          <w:hyperlink w:anchor="_Toc63874238" w:history="1">
            <w:r w:rsidR="0024247E" w:rsidRPr="00D51284">
              <w:rPr>
                <w:rStyle w:val="Hyperlink"/>
              </w:rPr>
              <w:t>2</w:t>
            </w:r>
            <w:r w:rsidR="0024247E">
              <w:rPr>
                <w:rFonts w:asciiTheme="minorHAnsi" w:eastAsiaTheme="minorEastAsia" w:hAnsiTheme="minorHAnsi"/>
                <w:b w:val="0"/>
                <w:lang w:eastAsia="en-AU"/>
              </w:rPr>
              <w:tab/>
            </w:r>
            <w:r w:rsidR="0024247E" w:rsidRPr="00D51284">
              <w:rPr>
                <w:rStyle w:val="Hyperlink"/>
              </w:rPr>
              <w:t>Consultation overview</w:t>
            </w:r>
            <w:r w:rsidR="0024247E">
              <w:rPr>
                <w:webHidden/>
              </w:rPr>
              <w:tab/>
            </w:r>
            <w:r w:rsidR="0024247E">
              <w:rPr>
                <w:webHidden/>
              </w:rPr>
              <w:fldChar w:fldCharType="begin"/>
            </w:r>
            <w:r w:rsidR="0024247E">
              <w:rPr>
                <w:webHidden/>
              </w:rPr>
              <w:instrText xml:space="preserve"> PAGEREF _Toc63874238 \h </w:instrText>
            </w:r>
            <w:r w:rsidR="0024247E">
              <w:rPr>
                <w:webHidden/>
              </w:rPr>
            </w:r>
            <w:r w:rsidR="0024247E">
              <w:rPr>
                <w:webHidden/>
              </w:rPr>
              <w:fldChar w:fldCharType="separate"/>
            </w:r>
            <w:r w:rsidR="0024247E">
              <w:rPr>
                <w:webHidden/>
              </w:rPr>
              <w:t>2</w:t>
            </w:r>
            <w:r w:rsidR="0024247E">
              <w:rPr>
                <w:webHidden/>
              </w:rPr>
              <w:fldChar w:fldCharType="end"/>
            </w:r>
          </w:hyperlink>
        </w:p>
        <w:p w14:paraId="3027D439" w14:textId="7AE1208E" w:rsidR="0024247E" w:rsidRDefault="004460A7">
          <w:pPr>
            <w:pStyle w:val="TOC2"/>
            <w:tabs>
              <w:tab w:val="left" w:pos="1100"/>
            </w:tabs>
            <w:rPr>
              <w:rFonts w:asciiTheme="minorHAnsi" w:eastAsiaTheme="minorEastAsia" w:hAnsiTheme="minorHAnsi"/>
              <w:lang w:eastAsia="en-AU"/>
            </w:rPr>
          </w:pPr>
          <w:hyperlink w:anchor="_Toc63874239" w:history="1">
            <w:r w:rsidR="0024247E" w:rsidRPr="00D51284">
              <w:rPr>
                <w:rStyle w:val="Hyperlink"/>
              </w:rPr>
              <w:t>2.1</w:t>
            </w:r>
            <w:r w:rsidR="0024247E">
              <w:rPr>
                <w:rFonts w:asciiTheme="minorHAnsi" w:eastAsiaTheme="minorEastAsia" w:hAnsiTheme="minorHAnsi"/>
                <w:lang w:eastAsia="en-AU"/>
              </w:rPr>
              <w:tab/>
            </w:r>
            <w:r w:rsidR="0024247E" w:rsidRPr="00D51284">
              <w:rPr>
                <w:rStyle w:val="Hyperlink"/>
              </w:rPr>
              <w:t>Consultation objectives</w:t>
            </w:r>
            <w:r w:rsidR="0024247E">
              <w:rPr>
                <w:webHidden/>
              </w:rPr>
              <w:tab/>
            </w:r>
            <w:r w:rsidR="0024247E">
              <w:rPr>
                <w:webHidden/>
              </w:rPr>
              <w:fldChar w:fldCharType="begin"/>
            </w:r>
            <w:r w:rsidR="0024247E">
              <w:rPr>
                <w:webHidden/>
              </w:rPr>
              <w:instrText xml:space="preserve"> PAGEREF _Toc63874239 \h </w:instrText>
            </w:r>
            <w:r w:rsidR="0024247E">
              <w:rPr>
                <w:webHidden/>
              </w:rPr>
            </w:r>
            <w:r w:rsidR="0024247E">
              <w:rPr>
                <w:webHidden/>
              </w:rPr>
              <w:fldChar w:fldCharType="separate"/>
            </w:r>
            <w:r w:rsidR="0024247E">
              <w:rPr>
                <w:webHidden/>
              </w:rPr>
              <w:t>2</w:t>
            </w:r>
            <w:r w:rsidR="0024247E">
              <w:rPr>
                <w:webHidden/>
              </w:rPr>
              <w:fldChar w:fldCharType="end"/>
            </w:r>
          </w:hyperlink>
        </w:p>
        <w:p w14:paraId="03056A33" w14:textId="42CBC793" w:rsidR="0024247E" w:rsidRDefault="004460A7">
          <w:pPr>
            <w:pStyle w:val="TOC2"/>
            <w:tabs>
              <w:tab w:val="left" w:pos="1100"/>
            </w:tabs>
            <w:rPr>
              <w:rFonts w:asciiTheme="minorHAnsi" w:eastAsiaTheme="minorEastAsia" w:hAnsiTheme="minorHAnsi"/>
              <w:lang w:eastAsia="en-AU"/>
            </w:rPr>
          </w:pPr>
          <w:hyperlink w:anchor="_Toc63874240" w:history="1">
            <w:r w:rsidR="0024247E" w:rsidRPr="00D51284">
              <w:rPr>
                <w:rStyle w:val="Hyperlink"/>
              </w:rPr>
              <w:t>2.2</w:t>
            </w:r>
            <w:r w:rsidR="0024247E">
              <w:rPr>
                <w:rFonts w:asciiTheme="minorHAnsi" w:eastAsiaTheme="minorEastAsia" w:hAnsiTheme="minorHAnsi"/>
                <w:lang w:eastAsia="en-AU"/>
              </w:rPr>
              <w:tab/>
            </w:r>
            <w:r w:rsidR="0024247E" w:rsidRPr="00D51284">
              <w:rPr>
                <w:rStyle w:val="Hyperlink"/>
              </w:rPr>
              <w:t>Consultation timeline</w:t>
            </w:r>
            <w:r w:rsidR="0024247E">
              <w:rPr>
                <w:webHidden/>
              </w:rPr>
              <w:tab/>
            </w:r>
            <w:r w:rsidR="0024247E">
              <w:rPr>
                <w:webHidden/>
              </w:rPr>
              <w:fldChar w:fldCharType="begin"/>
            </w:r>
            <w:r w:rsidR="0024247E">
              <w:rPr>
                <w:webHidden/>
              </w:rPr>
              <w:instrText xml:space="preserve"> PAGEREF _Toc63874240 \h </w:instrText>
            </w:r>
            <w:r w:rsidR="0024247E">
              <w:rPr>
                <w:webHidden/>
              </w:rPr>
            </w:r>
            <w:r w:rsidR="0024247E">
              <w:rPr>
                <w:webHidden/>
              </w:rPr>
              <w:fldChar w:fldCharType="separate"/>
            </w:r>
            <w:r w:rsidR="0024247E">
              <w:rPr>
                <w:webHidden/>
              </w:rPr>
              <w:t>2</w:t>
            </w:r>
            <w:r w:rsidR="0024247E">
              <w:rPr>
                <w:webHidden/>
              </w:rPr>
              <w:fldChar w:fldCharType="end"/>
            </w:r>
          </w:hyperlink>
        </w:p>
        <w:p w14:paraId="01C7D1B1" w14:textId="7A1456A9" w:rsidR="0024247E" w:rsidRDefault="004460A7">
          <w:pPr>
            <w:pStyle w:val="TOC2"/>
            <w:tabs>
              <w:tab w:val="left" w:pos="1100"/>
            </w:tabs>
            <w:rPr>
              <w:rFonts w:asciiTheme="minorHAnsi" w:eastAsiaTheme="minorEastAsia" w:hAnsiTheme="minorHAnsi"/>
              <w:lang w:eastAsia="en-AU"/>
            </w:rPr>
          </w:pPr>
          <w:hyperlink w:anchor="_Toc63874241" w:history="1">
            <w:r w:rsidR="0024247E" w:rsidRPr="00D51284">
              <w:rPr>
                <w:rStyle w:val="Hyperlink"/>
              </w:rPr>
              <w:t>2.3</w:t>
            </w:r>
            <w:r w:rsidR="0024247E">
              <w:rPr>
                <w:rFonts w:asciiTheme="minorHAnsi" w:eastAsiaTheme="minorEastAsia" w:hAnsiTheme="minorHAnsi"/>
                <w:lang w:eastAsia="en-AU"/>
              </w:rPr>
              <w:tab/>
            </w:r>
            <w:r w:rsidR="0024247E" w:rsidRPr="00D51284">
              <w:rPr>
                <w:rStyle w:val="Hyperlink"/>
              </w:rPr>
              <w:t>How to engage</w:t>
            </w:r>
            <w:r w:rsidR="0024247E">
              <w:rPr>
                <w:webHidden/>
              </w:rPr>
              <w:tab/>
            </w:r>
            <w:r w:rsidR="0024247E">
              <w:rPr>
                <w:webHidden/>
              </w:rPr>
              <w:fldChar w:fldCharType="begin"/>
            </w:r>
            <w:r w:rsidR="0024247E">
              <w:rPr>
                <w:webHidden/>
              </w:rPr>
              <w:instrText xml:space="preserve"> PAGEREF _Toc63874241 \h </w:instrText>
            </w:r>
            <w:r w:rsidR="0024247E">
              <w:rPr>
                <w:webHidden/>
              </w:rPr>
            </w:r>
            <w:r w:rsidR="0024247E">
              <w:rPr>
                <w:webHidden/>
              </w:rPr>
              <w:fldChar w:fldCharType="separate"/>
            </w:r>
            <w:r w:rsidR="0024247E">
              <w:rPr>
                <w:webHidden/>
              </w:rPr>
              <w:t>3</w:t>
            </w:r>
            <w:r w:rsidR="0024247E">
              <w:rPr>
                <w:webHidden/>
              </w:rPr>
              <w:fldChar w:fldCharType="end"/>
            </w:r>
          </w:hyperlink>
        </w:p>
        <w:p w14:paraId="69C41864" w14:textId="0AB81F38" w:rsidR="0024247E" w:rsidRDefault="004460A7">
          <w:pPr>
            <w:pStyle w:val="TOC1"/>
            <w:rPr>
              <w:rFonts w:asciiTheme="minorHAnsi" w:eastAsiaTheme="minorEastAsia" w:hAnsiTheme="minorHAnsi"/>
              <w:b w:val="0"/>
              <w:lang w:eastAsia="en-AU"/>
            </w:rPr>
          </w:pPr>
          <w:hyperlink w:anchor="_Toc63874242" w:history="1">
            <w:r w:rsidR="0024247E" w:rsidRPr="00D51284">
              <w:rPr>
                <w:rStyle w:val="Hyperlink"/>
              </w:rPr>
              <w:t>3</w:t>
            </w:r>
            <w:r w:rsidR="0024247E">
              <w:rPr>
                <w:rFonts w:asciiTheme="minorHAnsi" w:eastAsiaTheme="minorEastAsia" w:hAnsiTheme="minorHAnsi"/>
                <w:b w:val="0"/>
                <w:lang w:eastAsia="en-AU"/>
              </w:rPr>
              <w:tab/>
            </w:r>
            <w:r w:rsidR="0024247E" w:rsidRPr="00D51284">
              <w:rPr>
                <w:rStyle w:val="Hyperlink"/>
              </w:rPr>
              <w:t>Background and policy context</w:t>
            </w:r>
            <w:r w:rsidR="0024247E">
              <w:rPr>
                <w:webHidden/>
              </w:rPr>
              <w:tab/>
            </w:r>
            <w:r w:rsidR="0024247E">
              <w:rPr>
                <w:webHidden/>
              </w:rPr>
              <w:fldChar w:fldCharType="begin"/>
            </w:r>
            <w:r w:rsidR="0024247E">
              <w:rPr>
                <w:webHidden/>
              </w:rPr>
              <w:instrText xml:space="preserve"> PAGEREF _Toc63874242 \h </w:instrText>
            </w:r>
            <w:r w:rsidR="0024247E">
              <w:rPr>
                <w:webHidden/>
              </w:rPr>
            </w:r>
            <w:r w:rsidR="0024247E">
              <w:rPr>
                <w:webHidden/>
              </w:rPr>
              <w:fldChar w:fldCharType="separate"/>
            </w:r>
            <w:r w:rsidR="0024247E">
              <w:rPr>
                <w:webHidden/>
              </w:rPr>
              <w:t>4</w:t>
            </w:r>
            <w:r w:rsidR="0024247E">
              <w:rPr>
                <w:webHidden/>
              </w:rPr>
              <w:fldChar w:fldCharType="end"/>
            </w:r>
          </w:hyperlink>
        </w:p>
        <w:p w14:paraId="22E8A1CC" w14:textId="31C40356" w:rsidR="0024247E" w:rsidRDefault="004460A7">
          <w:pPr>
            <w:pStyle w:val="TOC2"/>
            <w:tabs>
              <w:tab w:val="left" w:pos="1100"/>
            </w:tabs>
            <w:rPr>
              <w:rFonts w:asciiTheme="minorHAnsi" w:eastAsiaTheme="minorEastAsia" w:hAnsiTheme="minorHAnsi"/>
              <w:lang w:eastAsia="en-AU"/>
            </w:rPr>
          </w:pPr>
          <w:hyperlink w:anchor="_Toc63874243" w:history="1">
            <w:r w:rsidR="0024247E" w:rsidRPr="00D51284">
              <w:rPr>
                <w:rStyle w:val="Hyperlink"/>
              </w:rPr>
              <w:t>3.1</w:t>
            </w:r>
            <w:r w:rsidR="0024247E">
              <w:rPr>
                <w:rFonts w:asciiTheme="minorHAnsi" w:eastAsiaTheme="minorEastAsia" w:hAnsiTheme="minorHAnsi"/>
                <w:lang w:eastAsia="en-AU"/>
              </w:rPr>
              <w:tab/>
            </w:r>
            <w:r w:rsidR="0024247E" w:rsidRPr="00D51284">
              <w:rPr>
                <w:rStyle w:val="Hyperlink"/>
              </w:rPr>
              <w:t>Non-road diesel engines</w:t>
            </w:r>
            <w:r w:rsidR="0024247E">
              <w:rPr>
                <w:webHidden/>
              </w:rPr>
              <w:tab/>
            </w:r>
            <w:r w:rsidR="0024247E">
              <w:rPr>
                <w:webHidden/>
              </w:rPr>
              <w:fldChar w:fldCharType="begin"/>
            </w:r>
            <w:r w:rsidR="0024247E">
              <w:rPr>
                <w:webHidden/>
              </w:rPr>
              <w:instrText xml:space="preserve"> PAGEREF _Toc63874243 \h </w:instrText>
            </w:r>
            <w:r w:rsidR="0024247E">
              <w:rPr>
                <w:webHidden/>
              </w:rPr>
            </w:r>
            <w:r w:rsidR="0024247E">
              <w:rPr>
                <w:webHidden/>
              </w:rPr>
              <w:fldChar w:fldCharType="separate"/>
            </w:r>
            <w:r w:rsidR="0024247E">
              <w:rPr>
                <w:webHidden/>
              </w:rPr>
              <w:t>4</w:t>
            </w:r>
            <w:r w:rsidR="0024247E">
              <w:rPr>
                <w:webHidden/>
              </w:rPr>
              <w:fldChar w:fldCharType="end"/>
            </w:r>
          </w:hyperlink>
        </w:p>
        <w:p w14:paraId="5193C967" w14:textId="203B42D7" w:rsidR="0024247E" w:rsidRDefault="004460A7">
          <w:pPr>
            <w:pStyle w:val="TOC2"/>
            <w:tabs>
              <w:tab w:val="left" w:pos="1100"/>
            </w:tabs>
            <w:rPr>
              <w:rFonts w:asciiTheme="minorHAnsi" w:eastAsiaTheme="minorEastAsia" w:hAnsiTheme="minorHAnsi"/>
              <w:lang w:eastAsia="en-AU"/>
            </w:rPr>
          </w:pPr>
          <w:hyperlink w:anchor="_Toc63874244" w:history="1">
            <w:r w:rsidR="0024247E" w:rsidRPr="00D51284">
              <w:rPr>
                <w:rStyle w:val="Hyperlink"/>
              </w:rPr>
              <w:t>3.2</w:t>
            </w:r>
            <w:r w:rsidR="0024247E">
              <w:rPr>
                <w:rFonts w:asciiTheme="minorHAnsi" w:eastAsiaTheme="minorEastAsia" w:hAnsiTheme="minorHAnsi"/>
                <w:lang w:eastAsia="en-AU"/>
              </w:rPr>
              <w:tab/>
            </w:r>
            <w:r w:rsidR="0024247E" w:rsidRPr="00D51284">
              <w:rPr>
                <w:rStyle w:val="Hyperlink"/>
              </w:rPr>
              <w:t>International standards for non-road diesel engines</w:t>
            </w:r>
            <w:r w:rsidR="0024247E">
              <w:rPr>
                <w:webHidden/>
              </w:rPr>
              <w:tab/>
            </w:r>
            <w:r w:rsidR="0024247E">
              <w:rPr>
                <w:webHidden/>
              </w:rPr>
              <w:fldChar w:fldCharType="begin"/>
            </w:r>
            <w:r w:rsidR="0024247E">
              <w:rPr>
                <w:webHidden/>
              </w:rPr>
              <w:instrText xml:space="preserve"> PAGEREF _Toc63874244 \h </w:instrText>
            </w:r>
            <w:r w:rsidR="0024247E">
              <w:rPr>
                <w:webHidden/>
              </w:rPr>
            </w:r>
            <w:r w:rsidR="0024247E">
              <w:rPr>
                <w:webHidden/>
              </w:rPr>
              <w:fldChar w:fldCharType="separate"/>
            </w:r>
            <w:r w:rsidR="0024247E">
              <w:rPr>
                <w:webHidden/>
              </w:rPr>
              <w:t>4</w:t>
            </w:r>
            <w:r w:rsidR="0024247E">
              <w:rPr>
                <w:webHidden/>
              </w:rPr>
              <w:fldChar w:fldCharType="end"/>
            </w:r>
          </w:hyperlink>
        </w:p>
        <w:p w14:paraId="2DA25A66" w14:textId="2BC260F2" w:rsidR="0024247E" w:rsidRDefault="004460A7">
          <w:pPr>
            <w:pStyle w:val="TOC2"/>
            <w:tabs>
              <w:tab w:val="left" w:pos="1100"/>
            </w:tabs>
            <w:rPr>
              <w:rFonts w:asciiTheme="minorHAnsi" w:eastAsiaTheme="minorEastAsia" w:hAnsiTheme="minorHAnsi"/>
              <w:lang w:eastAsia="en-AU"/>
            </w:rPr>
          </w:pPr>
          <w:hyperlink w:anchor="_Toc63874245" w:history="1">
            <w:r w:rsidR="0024247E" w:rsidRPr="00D51284">
              <w:rPr>
                <w:rStyle w:val="Hyperlink"/>
              </w:rPr>
              <w:t>3.3</w:t>
            </w:r>
            <w:r w:rsidR="0024247E">
              <w:rPr>
                <w:rFonts w:asciiTheme="minorHAnsi" w:eastAsiaTheme="minorEastAsia" w:hAnsiTheme="minorHAnsi"/>
                <w:lang w:eastAsia="en-AU"/>
              </w:rPr>
              <w:tab/>
            </w:r>
            <w:r w:rsidR="0024247E" w:rsidRPr="00D51284">
              <w:rPr>
                <w:rStyle w:val="Hyperlink"/>
              </w:rPr>
              <w:t>Policy context</w:t>
            </w:r>
            <w:r w:rsidR="0024247E">
              <w:rPr>
                <w:webHidden/>
              </w:rPr>
              <w:tab/>
            </w:r>
            <w:r w:rsidR="0024247E">
              <w:rPr>
                <w:webHidden/>
              </w:rPr>
              <w:fldChar w:fldCharType="begin"/>
            </w:r>
            <w:r w:rsidR="0024247E">
              <w:rPr>
                <w:webHidden/>
              </w:rPr>
              <w:instrText xml:space="preserve"> PAGEREF _Toc63874245 \h </w:instrText>
            </w:r>
            <w:r w:rsidR="0024247E">
              <w:rPr>
                <w:webHidden/>
              </w:rPr>
            </w:r>
            <w:r w:rsidR="0024247E">
              <w:rPr>
                <w:webHidden/>
              </w:rPr>
              <w:fldChar w:fldCharType="separate"/>
            </w:r>
            <w:r w:rsidR="0024247E">
              <w:rPr>
                <w:webHidden/>
              </w:rPr>
              <w:t>5</w:t>
            </w:r>
            <w:r w:rsidR="0024247E">
              <w:rPr>
                <w:webHidden/>
              </w:rPr>
              <w:fldChar w:fldCharType="end"/>
            </w:r>
          </w:hyperlink>
        </w:p>
        <w:p w14:paraId="4872B6B3" w14:textId="26C02B01" w:rsidR="0024247E" w:rsidRDefault="004460A7">
          <w:pPr>
            <w:pStyle w:val="TOC2"/>
            <w:tabs>
              <w:tab w:val="left" w:pos="1100"/>
            </w:tabs>
            <w:rPr>
              <w:rFonts w:asciiTheme="minorHAnsi" w:eastAsiaTheme="minorEastAsia" w:hAnsiTheme="minorHAnsi"/>
              <w:lang w:eastAsia="en-AU"/>
            </w:rPr>
          </w:pPr>
          <w:hyperlink w:anchor="_Toc63874246" w:history="1">
            <w:r w:rsidR="0024247E" w:rsidRPr="00D51284">
              <w:rPr>
                <w:rStyle w:val="Hyperlink"/>
              </w:rPr>
              <w:t>3.4</w:t>
            </w:r>
            <w:r w:rsidR="0024247E">
              <w:rPr>
                <w:rFonts w:asciiTheme="minorHAnsi" w:eastAsiaTheme="minorEastAsia" w:hAnsiTheme="minorHAnsi"/>
                <w:lang w:eastAsia="en-AU"/>
              </w:rPr>
              <w:tab/>
            </w:r>
            <w:r w:rsidR="0024247E" w:rsidRPr="00D51284">
              <w:rPr>
                <w:rStyle w:val="Hyperlink"/>
              </w:rPr>
              <w:t>Scope of evaluation</w:t>
            </w:r>
            <w:r w:rsidR="0024247E">
              <w:rPr>
                <w:webHidden/>
              </w:rPr>
              <w:tab/>
            </w:r>
            <w:r w:rsidR="0024247E">
              <w:rPr>
                <w:webHidden/>
              </w:rPr>
              <w:fldChar w:fldCharType="begin"/>
            </w:r>
            <w:r w:rsidR="0024247E">
              <w:rPr>
                <w:webHidden/>
              </w:rPr>
              <w:instrText xml:space="preserve"> PAGEREF _Toc63874246 \h </w:instrText>
            </w:r>
            <w:r w:rsidR="0024247E">
              <w:rPr>
                <w:webHidden/>
              </w:rPr>
            </w:r>
            <w:r w:rsidR="0024247E">
              <w:rPr>
                <w:webHidden/>
              </w:rPr>
              <w:fldChar w:fldCharType="separate"/>
            </w:r>
            <w:r w:rsidR="0024247E">
              <w:rPr>
                <w:webHidden/>
              </w:rPr>
              <w:t>6</w:t>
            </w:r>
            <w:r w:rsidR="0024247E">
              <w:rPr>
                <w:webHidden/>
              </w:rPr>
              <w:fldChar w:fldCharType="end"/>
            </w:r>
          </w:hyperlink>
        </w:p>
        <w:p w14:paraId="73D7BAFB" w14:textId="7B25F957" w:rsidR="0024247E" w:rsidRDefault="004460A7">
          <w:pPr>
            <w:pStyle w:val="TOC1"/>
            <w:rPr>
              <w:rFonts w:asciiTheme="minorHAnsi" w:eastAsiaTheme="minorEastAsia" w:hAnsiTheme="minorHAnsi"/>
              <w:b w:val="0"/>
              <w:lang w:eastAsia="en-AU"/>
            </w:rPr>
          </w:pPr>
          <w:hyperlink w:anchor="_Toc63874247" w:history="1">
            <w:r w:rsidR="0024247E" w:rsidRPr="00D51284">
              <w:rPr>
                <w:rStyle w:val="Hyperlink"/>
              </w:rPr>
              <w:t>4</w:t>
            </w:r>
            <w:r w:rsidR="0024247E">
              <w:rPr>
                <w:rFonts w:asciiTheme="minorHAnsi" w:eastAsiaTheme="minorEastAsia" w:hAnsiTheme="minorHAnsi"/>
                <w:b w:val="0"/>
                <w:lang w:eastAsia="en-AU"/>
              </w:rPr>
              <w:tab/>
            </w:r>
            <w:r w:rsidR="0024247E" w:rsidRPr="00D51284">
              <w:rPr>
                <w:rStyle w:val="Hyperlink"/>
              </w:rPr>
              <w:t>Nature and extent of the problem</w:t>
            </w:r>
            <w:r w:rsidR="0024247E">
              <w:rPr>
                <w:webHidden/>
              </w:rPr>
              <w:tab/>
            </w:r>
            <w:r w:rsidR="0024247E">
              <w:rPr>
                <w:webHidden/>
              </w:rPr>
              <w:fldChar w:fldCharType="begin"/>
            </w:r>
            <w:r w:rsidR="0024247E">
              <w:rPr>
                <w:webHidden/>
              </w:rPr>
              <w:instrText xml:space="preserve"> PAGEREF _Toc63874247 \h </w:instrText>
            </w:r>
            <w:r w:rsidR="0024247E">
              <w:rPr>
                <w:webHidden/>
              </w:rPr>
            </w:r>
            <w:r w:rsidR="0024247E">
              <w:rPr>
                <w:webHidden/>
              </w:rPr>
              <w:fldChar w:fldCharType="separate"/>
            </w:r>
            <w:r w:rsidR="0024247E">
              <w:rPr>
                <w:webHidden/>
              </w:rPr>
              <w:t>9</w:t>
            </w:r>
            <w:r w:rsidR="0024247E">
              <w:rPr>
                <w:webHidden/>
              </w:rPr>
              <w:fldChar w:fldCharType="end"/>
            </w:r>
          </w:hyperlink>
        </w:p>
        <w:p w14:paraId="362D13BD" w14:textId="7A05FA01" w:rsidR="0024247E" w:rsidRDefault="004460A7">
          <w:pPr>
            <w:pStyle w:val="TOC2"/>
            <w:tabs>
              <w:tab w:val="left" w:pos="1100"/>
            </w:tabs>
            <w:rPr>
              <w:rFonts w:asciiTheme="minorHAnsi" w:eastAsiaTheme="minorEastAsia" w:hAnsiTheme="minorHAnsi"/>
              <w:lang w:eastAsia="en-AU"/>
            </w:rPr>
          </w:pPr>
          <w:hyperlink w:anchor="_Toc63874248" w:history="1">
            <w:r w:rsidR="0024247E" w:rsidRPr="00D51284">
              <w:rPr>
                <w:rStyle w:val="Hyperlink"/>
              </w:rPr>
              <w:t>4.1</w:t>
            </w:r>
            <w:r w:rsidR="0024247E">
              <w:rPr>
                <w:rFonts w:asciiTheme="minorHAnsi" w:eastAsiaTheme="minorEastAsia" w:hAnsiTheme="minorHAnsi"/>
                <w:lang w:eastAsia="en-AU"/>
              </w:rPr>
              <w:tab/>
            </w:r>
            <w:r w:rsidR="0024247E" w:rsidRPr="00D51284">
              <w:rPr>
                <w:rStyle w:val="Hyperlink"/>
              </w:rPr>
              <w:t>Need for action</w:t>
            </w:r>
            <w:r w:rsidR="0024247E">
              <w:rPr>
                <w:webHidden/>
              </w:rPr>
              <w:tab/>
            </w:r>
            <w:r w:rsidR="0024247E">
              <w:rPr>
                <w:webHidden/>
              </w:rPr>
              <w:fldChar w:fldCharType="begin"/>
            </w:r>
            <w:r w:rsidR="0024247E">
              <w:rPr>
                <w:webHidden/>
              </w:rPr>
              <w:instrText xml:space="preserve"> PAGEREF _Toc63874248 \h </w:instrText>
            </w:r>
            <w:r w:rsidR="0024247E">
              <w:rPr>
                <w:webHidden/>
              </w:rPr>
            </w:r>
            <w:r w:rsidR="0024247E">
              <w:rPr>
                <w:webHidden/>
              </w:rPr>
              <w:fldChar w:fldCharType="separate"/>
            </w:r>
            <w:r w:rsidR="0024247E">
              <w:rPr>
                <w:webHidden/>
              </w:rPr>
              <w:t>11</w:t>
            </w:r>
            <w:r w:rsidR="0024247E">
              <w:rPr>
                <w:webHidden/>
              </w:rPr>
              <w:fldChar w:fldCharType="end"/>
            </w:r>
          </w:hyperlink>
        </w:p>
        <w:p w14:paraId="7A5B0A81" w14:textId="2FA92569" w:rsidR="0024247E" w:rsidRDefault="004460A7">
          <w:pPr>
            <w:pStyle w:val="TOC1"/>
            <w:rPr>
              <w:rFonts w:asciiTheme="minorHAnsi" w:eastAsiaTheme="minorEastAsia" w:hAnsiTheme="minorHAnsi"/>
              <w:b w:val="0"/>
              <w:lang w:eastAsia="en-AU"/>
            </w:rPr>
          </w:pPr>
          <w:hyperlink w:anchor="_Toc63874249" w:history="1">
            <w:r w:rsidR="0024247E" w:rsidRPr="00D51284">
              <w:rPr>
                <w:rStyle w:val="Hyperlink"/>
              </w:rPr>
              <w:t>5</w:t>
            </w:r>
            <w:r w:rsidR="0024247E">
              <w:rPr>
                <w:rFonts w:asciiTheme="minorHAnsi" w:eastAsiaTheme="minorEastAsia" w:hAnsiTheme="minorHAnsi"/>
                <w:b w:val="0"/>
                <w:lang w:eastAsia="en-AU"/>
              </w:rPr>
              <w:tab/>
            </w:r>
            <w:r w:rsidR="0024247E" w:rsidRPr="00D51284">
              <w:rPr>
                <w:rStyle w:val="Hyperlink"/>
              </w:rPr>
              <w:t>Objectives of government action</w:t>
            </w:r>
            <w:r w:rsidR="0024247E">
              <w:rPr>
                <w:webHidden/>
              </w:rPr>
              <w:tab/>
            </w:r>
            <w:r w:rsidR="0024247E">
              <w:rPr>
                <w:webHidden/>
              </w:rPr>
              <w:fldChar w:fldCharType="begin"/>
            </w:r>
            <w:r w:rsidR="0024247E">
              <w:rPr>
                <w:webHidden/>
              </w:rPr>
              <w:instrText xml:space="preserve"> PAGEREF _Toc63874249 \h </w:instrText>
            </w:r>
            <w:r w:rsidR="0024247E">
              <w:rPr>
                <w:webHidden/>
              </w:rPr>
            </w:r>
            <w:r w:rsidR="0024247E">
              <w:rPr>
                <w:webHidden/>
              </w:rPr>
              <w:fldChar w:fldCharType="separate"/>
            </w:r>
            <w:r w:rsidR="0024247E">
              <w:rPr>
                <w:webHidden/>
              </w:rPr>
              <w:t>18</w:t>
            </w:r>
            <w:r w:rsidR="0024247E">
              <w:rPr>
                <w:webHidden/>
              </w:rPr>
              <w:fldChar w:fldCharType="end"/>
            </w:r>
          </w:hyperlink>
        </w:p>
        <w:p w14:paraId="11AEF6B2" w14:textId="2F89B3F4" w:rsidR="0024247E" w:rsidRDefault="004460A7">
          <w:pPr>
            <w:pStyle w:val="TOC1"/>
            <w:rPr>
              <w:rFonts w:asciiTheme="minorHAnsi" w:eastAsiaTheme="minorEastAsia" w:hAnsiTheme="minorHAnsi"/>
              <w:b w:val="0"/>
              <w:lang w:eastAsia="en-AU"/>
            </w:rPr>
          </w:pPr>
          <w:hyperlink w:anchor="_Toc63874250" w:history="1">
            <w:r w:rsidR="0024247E" w:rsidRPr="00D51284">
              <w:rPr>
                <w:rStyle w:val="Hyperlink"/>
              </w:rPr>
              <w:t>6</w:t>
            </w:r>
            <w:r w:rsidR="0024247E">
              <w:rPr>
                <w:rFonts w:asciiTheme="minorHAnsi" w:eastAsiaTheme="minorEastAsia" w:hAnsiTheme="minorHAnsi"/>
                <w:b w:val="0"/>
                <w:lang w:eastAsia="en-AU"/>
              </w:rPr>
              <w:tab/>
            </w:r>
            <w:r w:rsidR="0024247E" w:rsidRPr="00D51284">
              <w:rPr>
                <w:rStyle w:val="Hyperlink"/>
              </w:rPr>
              <w:t>Statement of options</w:t>
            </w:r>
            <w:r w:rsidR="0024247E">
              <w:rPr>
                <w:webHidden/>
              </w:rPr>
              <w:tab/>
            </w:r>
            <w:r w:rsidR="0024247E">
              <w:rPr>
                <w:webHidden/>
              </w:rPr>
              <w:fldChar w:fldCharType="begin"/>
            </w:r>
            <w:r w:rsidR="0024247E">
              <w:rPr>
                <w:webHidden/>
              </w:rPr>
              <w:instrText xml:space="preserve"> PAGEREF _Toc63874250 \h </w:instrText>
            </w:r>
            <w:r w:rsidR="0024247E">
              <w:rPr>
                <w:webHidden/>
              </w:rPr>
            </w:r>
            <w:r w:rsidR="0024247E">
              <w:rPr>
                <w:webHidden/>
              </w:rPr>
              <w:fldChar w:fldCharType="separate"/>
            </w:r>
            <w:r w:rsidR="0024247E">
              <w:rPr>
                <w:webHidden/>
              </w:rPr>
              <w:t>19</w:t>
            </w:r>
            <w:r w:rsidR="0024247E">
              <w:rPr>
                <w:webHidden/>
              </w:rPr>
              <w:fldChar w:fldCharType="end"/>
            </w:r>
          </w:hyperlink>
        </w:p>
        <w:p w14:paraId="003AB9A6" w14:textId="362443C2" w:rsidR="0024247E" w:rsidRDefault="004460A7">
          <w:pPr>
            <w:pStyle w:val="TOC2"/>
            <w:tabs>
              <w:tab w:val="left" w:pos="1100"/>
            </w:tabs>
            <w:rPr>
              <w:rFonts w:asciiTheme="minorHAnsi" w:eastAsiaTheme="minorEastAsia" w:hAnsiTheme="minorHAnsi"/>
              <w:lang w:eastAsia="en-AU"/>
            </w:rPr>
          </w:pPr>
          <w:hyperlink w:anchor="_Toc63874251" w:history="1">
            <w:r w:rsidR="0024247E" w:rsidRPr="00D51284">
              <w:rPr>
                <w:rStyle w:val="Hyperlink"/>
              </w:rPr>
              <w:t>6.1</w:t>
            </w:r>
            <w:r w:rsidR="0024247E">
              <w:rPr>
                <w:rFonts w:asciiTheme="minorHAnsi" w:eastAsiaTheme="minorEastAsia" w:hAnsiTheme="minorHAnsi"/>
                <w:lang w:eastAsia="en-AU"/>
              </w:rPr>
              <w:tab/>
            </w:r>
            <w:r w:rsidR="0024247E" w:rsidRPr="00D51284">
              <w:rPr>
                <w:rStyle w:val="Hyperlink"/>
              </w:rPr>
              <w:t>The options for action</w:t>
            </w:r>
            <w:r w:rsidR="0024247E">
              <w:rPr>
                <w:webHidden/>
              </w:rPr>
              <w:tab/>
            </w:r>
            <w:r w:rsidR="0024247E">
              <w:rPr>
                <w:webHidden/>
              </w:rPr>
              <w:fldChar w:fldCharType="begin"/>
            </w:r>
            <w:r w:rsidR="0024247E">
              <w:rPr>
                <w:webHidden/>
              </w:rPr>
              <w:instrText xml:space="preserve"> PAGEREF _Toc63874251 \h </w:instrText>
            </w:r>
            <w:r w:rsidR="0024247E">
              <w:rPr>
                <w:webHidden/>
              </w:rPr>
            </w:r>
            <w:r w:rsidR="0024247E">
              <w:rPr>
                <w:webHidden/>
              </w:rPr>
              <w:fldChar w:fldCharType="separate"/>
            </w:r>
            <w:r w:rsidR="0024247E">
              <w:rPr>
                <w:webHidden/>
              </w:rPr>
              <w:t>19</w:t>
            </w:r>
            <w:r w:rsidR="0024247E">
              <w:rPr>
                <w:webHidden/>
              </w:rPr>
              <w:fldChar w:fldCharType="end"/>
            </w:r>
          </w:hyperlink>
        </w:p>
        <w:p w14:paraId="67F0C482" w14:textId="6F4DA942" w:rsidR="0024247E" w:rsidRDefault="004460A7">
          <w:pPr>
            <w:pStyle w:val="TOC1"/>
            <w:rPr>
              <w:rFonts w:asciiTheme="minorHAnsi" w:eastAsiaTheme="minorEastAsia" w:hAnsiTheme="minorHAnsi"/>
              <w:b w:val="0"/>
              <w:lang w:eastAsia="en-AU"/>
            </w:rPr>
          </w:pPr>
          <w:hyperlink w:anchor="_Toc63874252" w:history="1">
            <w:r w:rsidR="0024247E" w:rsidRPr="00D51284">
              <w:rPr>
                <w:rStyle w:val="Hyperlink"/>
              </w:rPr>
              <w:t>Appendix 1: Consultation questions</w:t>
            </w:r>
            <w:r w:rsidR="0024247E">
              <w:rPr>
                <w:webHidden/>
              </w:rPr>
              <w:tab/>
            </w:r>
            <w:r w:rsidR="0024247E">
              <w:rPr>
                <w:webHidden/>
              </w:rPr>
              <w:fldChar w:fldCharType="begin"/>
            </w:r>
            <w:r w:rsidR="0024247E">
              <w:rPr>
                <w:webHidden/>
              </w:rPr>
              <w:instrText xml:space="preserve"> PAGEREF _Toc63874252 \h </w:instrText>
            </w:r>
            <w:r w:rsidR="0024247E">
              <w:rPr>
                <w:webHidden/>
              </w:rPr>
            </w:r>
            <w:r w:rsidR="0024247E">
              <w:rPr>
                <w:webHidden/>
              </w:rPr>
              <w:fldChar w:fldCharType="separate"/>
            </w:r>
            <w:r w:rsidR="0024247E">
              <w:rPr>
                <w:webHidden/>
              </w:rPr>
              <w:t>31</w:t>
            </w:r>
            <w:r w:rsidR="0024247E">
              <w:rPr>
                <w:webHidden/>
              </w:rPr>
              <w:fldChar w:fldCharType="end"/>
            </w:r>
          </w:hyperlink>
        </w:p>
        <w:p w14:paraId="1AAF99B4" w14:textId="69F1D2D2" w:rsidR="0024247E" w:rsidRDefault="004460A7">
          <w:pPr>
            <w:pStyle w:val="TOC1"/>
            <w:rPr>
              <w:rFonts w:asciiTheme="minorHAnsi" w:eastAsiaTheme="minorEastAsia" w:hAnsiTheme="minorHAnsi"/>
              <w:b w:val="0"/>
              <w:lang w:eastAsia="en-AU"/>
            </w:rPr>
          </w:pPr>
          <w:hyperlink w:anchor="_Toc63874253" w:history="1">
            <w:r w:rsidR="0024247E" w:rsidRPr="00D51284">
              <w:rPr>
                <w:rStyle w:val="Hyperlink"/>
              </w:rPr>
              <w:t>Appendix 2: Analysis method</w:t>
            </w:r>
            <w:r w:rsidR="0024247E">
              <w:rPr>
                <w:webHidden/>
              </w:rPr>
              <w:tab/>
            </w:r>
            <w:r w:rsidR="0024247E">
              <w:rPr>
                <w:webHidden/>
              </w:rPr>
              <w:fldChar w:fldCharType="begin"/>
            </w:r>
            <w:r w:rsidR="0024247E">
              <w:rPr>
                <w:webHidden/>
              </w:rPr>
              <w:instrText xml:space="preserve"> PAGEREF _Toc63874253 \h </w:instrText>
            </w:r>
            <w:r w:rsidR="0024247E">
              <w:rPr>
                <w:webHidden/>
              </w:rPr>
            </w:r>
            <w:r w:rsidR="0024247E">
              <w:rPr>
                <w:webHidden/>
              </w:rPr>
              <w:fldChar w:fldCharType="separate"/>
            </w:r>
            <w:r w:rsidR="0024247E">
              <w:rPr>
                <w:webHidden/>
              </w:rPr>
              <w:t>33</w:t>
            </w:r>
            <w:r w:rsidR="0024247E">
              <w:rPr>
                <w:webHidden/>
              </w:rPr>
              <w:fldChar w:fldCharType="end"/>
            </w:r>
          </w:hyperlink>
        </w:p>
        <w:p w14:paraId="5DA85486" w14:textId="4E97D153" w:rsidR="0024247E" w:rsidRDefault="004460A7">
          <w:pPr>
            <w:pStyle w:val="TOC2"/>
            <w:rPr>
              <w:rFonts w:asciiTheme="minorHAnsi" w:eastAsiaTheme="minorEastAsia" w:hAnsiTheme="minorHAnsi"/>
              <w:lang w:eastAsia="en-AU"/>
            </w:rPr>
          </w:pPr>
          <w:hyperlink w:anchor="_Toc63874254" w:history="1">
            <w:r w:rsidR="0024247E" w:rsidRPr="00D51284">
              <w:rPr>
                <w:rStyle w:val="Hyperlink"/>
              </w:rPr>
              <w:t>Quantitative modelling</w:t>
            </w:r>
            <w:r w:rsidR="0024247E">
              <w:rPr>
                <w:webHidden/>
              </w:rPr>
              <w:tab/>
            </w:r>
            <w:r w:rsidR="0024247E">
              <w:rPr>
                <w:webHidden/>
              </w:rPr>
              <w:fldChar w:fldCharType="begin"/>
            </w:r>
            <w:r w:rsidR="0024247E">
              <w:rPr>
                <w:webHidden/>
              </w:rPr>
              <w:instrText xml:space="preserve"> PAGEREF _Toc63874254 \h </w:instrText>
            </w:r>
            <w:r w:rsidR="0024247E">
              <w:rPr>
                <w:webHidden/>
              </w:rPr>
            </w:r>
            <w:r w:rsidR="0024247E">
              <w:rPr>
                <w:webHidden/>
              </w:rPr>
              <w:fldChar w:fldCharType="separate"/>
            </w:r>
            <w:r w:rsidR="0024247E">
              <w:rPr>
                <w:webHidden/>
              </w:rPr>
              <w:t>33</w:t>
            </w:r>
            <w:r w:rsidR="0024247E">
              <w:rPr>
                <w:webHidden/>
              </w:rPr>
              <w:fldChar w:fldCharType="end"/>
            </w:r>
          </w:hyperlink>
        </w:p>
        <w:p w14:paraId="1DBF731F" w14:textId="0E06A8A3" w:rsidR="0024247E" w:rsidRDefault="004460A7">
          <w:pPr>
            <w:pStyle w:val="TOC1"/>
            <w:rPr>
              <w:rFonts w:asciiTheme="minorHAnsi" w:eastAsiaTheme="minorEastAsia" w:hAnsiTheme="minorHAnsi"/>
              <w:b w:val="0"/>
              <w:lang w:eastAsia="en-AU"/>
            </w:rPr>
          </w:pPr>
          <w:hyperlink w:anchor="_Toc63874255" w:history="1">
            <w:r w:rsidR="0024247E" w:rsidRPr="00D51284">
              <w:rPr>
                <w:rStyle w:val="Hyperlink"/>
              </w:rPr>
              <w:t>Appendix 3: International emission standards</w:t>
            </w:r>
            <w:r w:rsidR="0024247E">
              <w:rPr>
                <w:webHidden/>
              </w:rPr>
              <w:tab/>
            </w:r>
            <w:r w:rsidR="0024247E">
              <w:rPr>
                <w:webHidden/>
              </w:rPr>
              <w:fldChar w:fldCharType="begin"/>
            </w:r>
            <w:r w:rsidR="0024247E">
              <w:rPr>
                <w:webHidden/>
              </w:rPr>
              <w:instrText xml:space="preserve"> PAGEREF _Toc63874255 \h </w:instrText>
            </w:r>
            <w:r w:rsidR="0024247E">
              <w:rPr>
                <w:webHidden/>
              </w:rPr>
            </w:r>
            <w:r w:rsidR="0024247E">
              <w:rPr>
                <w:webHidden/>
              </w:rPr>
              <w:fldChar w:fldCharType="separate"/>
            </w:r>
            <w:r w:rsidR="0024247E">
              <w:rPr>
                <w:webHidden/>
              </w:rPr>
              <w:t>39</w:t>
            </w:r>
            <w:r w:rsidR="0024247E">
              <w:rPr>
                <w:webHidden/>
              </w:rPr>
              <w:fldChar w:fldCharType="end"/>
            </w:r>
          </w:hyperlink>
        </w:p>
        <w:p w14:paraId="54B028F4" w14:textId="18205D7B" w:rsidR="0024247E" w:rsidRDefault="004460A7">
          <w:pPr>
            <w:pStyle w:val="TOC1"/>
            <w:rPr>
              <w:rFonts w:asciiTheme="minorHAnsi" w:eastAsiaTheme="minorEastAsia" w:hAnsiTheme="minorHAnsi"/>
              <w:b w:val="0"/>
              <w:lang w:eastAsia="en-AU"/>
            </w:rPr>
          </w:pPr>
          <w:hyperlink w:anchor="_Toc63874256" w:history="1">
            <w:r w:rsidR="0024247E" w:rsidRPr="00D51284">
              <w:rPr>
                <w:rStyle w:val="Hyperlink"/>
              </w:rPr>
              <w:t>Appendix 4: US emission standards for non-road diesel engines</w:t>
            </w:r>
            <w:r w:rsidR="0024247E">
              <w:rPr>
                <w:webHidden/>
              </w:rPr>
              <w:tab/>
            </w:r>
            <w:r w:rsidR="0024247E">
              <w:rPr>
                <w:webHidden/>
              </w:rPr>
              <w:fldChar w:fldCharType="begin"/>
            </w:r>
            <w:r w:rsidR="0024247E">
              <w:rPr>
                <w:webHidden/>
              </w:rPr>
              <w:instrText xml:space="preserve"> PAGEREF _Toc63874256 \h </w:instrText>
            </w:r>
            <w:r w:rsidR="0024247E">
              <w:rPr>
                <w:webHidden/>
              </w:rPr>
            </w:r>
            <w:r w:rsidR="0024247E">
              <w:rPr>
                <w:webHidden/>
              </w:rPr>
              <w:fldChar w:fldCharType="separate"/>
            </w:r>
            <w:r w:rsidR="0024247E">
              <w:rPr>
                <w:webHidden/>
              </w:rPr>
              <w:t>40</w:t>
            </w:r>
            <w:r w:rsidR="0024247E">
              <w:rPr>
                <w:webHidden/>
              </w:rPr>
              <w:fldChar w:fldCharType="end"/>
            </w:r>
          </w:hyperlink>
        </w:p>
        <w:p w14:paraId="051FF76E" w14:textId="355D3C16" w:rsidR="0024247E" w:rsidRDefault="004460A7">
          <w:pPr>
            <w:pStyle w:val="TOC1"/>
            <w:rPr>
              <w:rFonts w:asciiTheme="minorHAnsi" w:eastAsiaTheme="minorEastAsia" w:hAnsiTheme="minorHAnsi"/>
              <w:b w:val="0"/>
              <w:lang w:eastAsia="en-AU"/>
            </w:rPr>
          </w:pPr>
          <w:hyperlink w:anchor="_Toc63874257" w:history="1">
            <w:r w:rsidR="0024247E" w:rsidRPr="00D51284">
              <w:rPr>
                <w:rStyle w:val="Hyperlink"/>
              </w:rPr>
              <w:t>Appendix 5: EU emission standards for non-road diesel engines</w:t>
            </w:r>
            <w:r w:rsidR="0024247E">
              <w:rPr>
                <w:webHidden/>
              </w:rPr>
              <w:tab/>
            </w:r>
            <w:r w:rsidR="0024247E">
              <w:rPr>
                <w:webHidden/>
              </w:rPr>
              <w:fldChar w:fldCharType="begin"/>
            </w:r>
            <w:r w:rsidR="0024247E">
              <w:rPr>
                <w:webHidden/>
              </w:rPr>
              <w:instrText xml:space="preserve"> PAGEREF _Toc63874257 \h </w:instrText>
            </w:r>
            <w:r w:rsidR="0024247E">
              <w:rPr>
                <w:webHidden/>
              </w:rPr>
            </w:r>
            <w:r w:rsidR="0024247E">
              <w:rPr>
                <w:webHidden/>
              </w:rPr>
              <w:fldChar w:fldCharType="separate"/>
            </w:r>
            <w:r w:rsidR="0024247E">
              <w:rPr>
                <w:webHidden/>
              </w:rPr>
              <w:t>42</w:t>
            </w:r>
            <w:r w:rsidR="0024247E">
              <w:rPr>
                <w:webHidden/>
              </w:rPr>
              <w:fldChar w:fldCharType="end"/>
            </w:r>
          </w:hyperlink>
        </w:p>
        <w:p w14:paraId="3663E1D2" w14:textId="5CB77455" w:rsidR="0024247E" w:rsidRDefault="004460A7">
          <w:pPr>
            <w:pStyle w:val="TOC1"/>
            <w:rPr>
              <w:rFonts w:asciiTheme="minorHAnsi" w:eastAsiaTheme="minorEastAsia" w:hAnsiTheme="minorHAnsi"/>
              <w:b w:val="0"/>
              <w:lang w:eastAsia="en-AU"/>
            </w:rPr>
          </w:pPr>
          <w:hyperlink w:anchor="_Toc63874258" w:history="1">
            <w:r w:rsidR="0024247E" w:rsidRPr="00D51284">
              <w:rPr>
                <w:rStyle w:val="Hyperlink"/>
              </w:rPr>
              <w:t>Appendix 6: Australian diesel fuel quality and non-road diesel engines</w:t>
            </w:r>
            <w:r w:rsidR="0024247E">
              <w:rPr>
                <w:webHidden/>
              </w:rPr>
              <w:tab/>
            </w:r>
            <w:r w:rsidR="0024247E">
              <w:rPr>
                <w:webHidden/>
              </w:rPr>
              <w:fldChar w:fldCharType="begin"/>
            </w:r>
            <w:r w:rsidR="0024247E">
              <w:rPr>
                <w:webHidden/>
              </w:rPr>
              <w:instrText xml:space="preserve"> PAGEREF _Toc63874258 \h </w:instrText>
            </w:r>
            <w:r w:rsidR="0024247E">
              <w:rPr>
                <w:webHidden/>
              </w:rPr>
            </w:r>
            <w:r w:rsidR="0024247E">
              <w:rPr>
                <w:webHidden/>
              </w:rPr>
              <w:fldChar w:fldCharType="separate"/>
            </w:r>
            <w:r w:rsidR="0024247E">
              <w:rPr>
                <w:webHidden/>
              </w:rPr>
              <w:t>44</w:t>
            </w:r>
            <w:r w:rsidR="0024247E">
              <w:rPr>
                <w:webHidden/>
              </w:rPr>
              <w:fldChar w:fldCharType="end"/>
            </w:r>
          </w:hyperlink>
        </w:p>
        <w:p w14:paraId="30DB0B3C" w14:textId="6F2862B2" w:rsidR="0024247E" w:rsidRDefault="004460A7">
          <w:pPr>
            <w:pStyle w:val="TOC1"/>
            <w:rPr>
              <w:rFonts w:asciiTheme="minorHAnsi" w:eastAsiaTheme="minorEastAsia" w:hAnsiTheme="minorHAnsi"/>
              <w:b w:val="0"/>
              <w:lang w:eastAsia="en-AU"/>
            </w:rPr>
          </w:pPr>
          <w:hyperlink w:anchor="_Toc63874259" w:history="1">
            <w:r w:rsidR="0024247E" w:rsidRPr="00D51284">
              <w:rPr>
                <w:rStyle w:val="Hyperlink"/>
              </w:rPr>
              <w:t>References</w:t>
            </w:r>
            <w:r w:rsidR="0024247E">
              <w:rPr>
                <w:webHidden/>
              </w:rPr>
              <w:tab/>
            </w:r>
            <w:r w:rsidR="0024247E">
              <w:rPr>
                <w:webHidden/>
              </w:rPr>
              <w:fldChar w:fldCharType="begin"/>
            </w:r>
            <w:r w:rsidR="0024247E">
              <w:rPr>
                <w:webHidden/>
              </w:rPr>
              <w:instrText xml:space="preserve"> PAGEREF _Toc63874259 \h </w:instrText>
            </w:r>
            <w:r w:rsidR="0024247E">
              <w:rPr>
                <w:webHidden/>
              </w:rPr>
            </w:r>
            <w:r w:rsidR="0024247E">
              <w:rPr>
                <w:webHidden/>
              </w:rPr>
              <w:fldChar w:fldCharType="separate"/>
            </w:r>
            <w:r w:rsidR="0024247E">
              <w:rPr>
                <w:webHidden/>
              </w:rPr>
              <w:t>46</w:t>
            </w:r>
            <w:r w:rsidR="0024247E">
              <w:rPr>
                <w:webHidden/>
              </w:rPr>
              <w:fldChar w:fldCharType="end"/>
            </w:r>
          </w:hyperlink>
        </w:p>
        <w:p w14:paraId="49BDF2EC" w14:textId="5E4ABD62" w:rsidR="00764D6A" w:rsidRDefault="00E91D72">
          <w:r>
            <w:rPr>
              <w:b/>
              <w:noProof/>
            </w:rPr>
            <w:fldChar w:fldCharType="end"/>
          </w:r>
        </w:p>
      </w:sdtContent>
    </w:sdt>
    <w:p w14:paraId="171D119E" w14:textId="77777777" w:rsidR="00764D6A" w:rsidRDefault="00E91D72">
      <w:pPr>
        <w:pStyle w:val="TOCHeading2"/>
        <w:rPr>
          <w:rStyle w:val="Strong"/>
        </w:rPr>
      </w:pPr>
      <w:r>
        <w:rPr>
          <w:rStyle w:val="Strong"/>
        </w:rPr>
        <w:t>Tables</w:t>
      </w:r>
    </w:p>
    <w:p w14:paraId="4D008FBE" w14:textId="04406F64" w:rsidR="00013516" w:rsidRDefault="00E91D72">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63696008" w:history="1">
        <w:r w:rsidR="00013516" w:rsidRPr="00512629">
          <w:rPr>
            <w:rStyle w:val="Hyperlink"/>
            <w:noProof/>
          </w:rPr>
          <w:t>Table 1 NRDE equipment responsible for the majority of noxious emissions</w:t>
        </w:r>
        <w:r w:rsidR="00013516">
          <w:rPr>
            <w:noProof/>
            <w:webHidden/>
          </w:rPr>
          <w:tab/>
        </w:r>
        <w:r w:rsidR="00013516">
          <w:rPr>
            <w:noProof/>
            <w:webHidden/>
          </w:rPr>
          <w:fldChar w:fldCharType="begin"/>
        </w:r>
        <w:r w:rsidR="00013516">
          <w:rPr>
            <w:noProof/>
            <w:webHidden/>
          </w:rPr>
          <w:instrText xml:space="preserve"> PAGEREF _Toc63696008 \h </w:instrText>
        </w:r>
        <w:r w:rsidR="00013516">
          <w:rPr>
            <w:noProof/>
            <w:webHidden/>
          </w:rPr>
        </w:r>
        <w:r w:rsidR="00013516">
          <w:rPr>
            <w:noProof/>
            <w:webHidden/>
          </w:rPr>
          <w:fldChar w:fldCharType="separate"/>
        </w:r>
        <w:r w:rsidR="0024247E">
          <w:rPr>
            <w:noProof/>
            <w:webHidden/>
          </w:rPr>
          <w:t>10</w:t>
        </w:r>
        <w:r w:rsidR="00013516">
          <w:rPr>
            <w:noProof/>
            <w:webHidden/>
          </w:rPr>
          <w:fldChar w:fldCharType="end"/>
        </w:r>
      </w:hyperlink>
    </w:p>
    <w:p w14:paraId="299747E3" w14:textId="0D6F74DF" w:rsidR="00013516" w:rsidRDefault="004460A7">
      <w:pPr>
        <w:pStyle w:val="TableofFigures"/>
        <w:tabs>
          <w:tab w:val="right" w:leader="dot" w:pos="9060"/>
        </w:tabs>
        <w:rPr>
          <w:rFonts w:asciiTheme="minorHAnsi" w:eastAsiaTheme="minorEastAsia" w:hAnsiTheme="minorHAnsi"/>
          <w:noProof/>
          <w:lang w:eastAsia="en-AU"/>
        </w:rPr>
      </w:pPr>
      <w:hyperlink w:anchor="_Toc63696009" w:history="1">
        <w:r w:rsidR="00013516" w:rsidRPr="00512629">
          <w:rPr>
            <w:rStyle w:val="Hyperlink"/>
            <w:noProof/>
          </w:rPr>
          <w:t>Table 2 Summary of NRDE management scenarios</w:t>
        </w:r>
        <w:r w:rsidR="00013516">
          <w:rPr>
            <w:noProof/>
            <w:webHidden/>
          </w:rPr>
          <w:tab/>
        </w:r>
        <w:r w:rsidR="00013516">
          <w:rPr>
            <w:noProof/>
            <w:webHidden/>
          </w:rPr>
          <w:fldChar w:fldCharType="begin"/>
        </w:r>
        <w:r w:rsidR="00013516">
          <w:rPr>
            <w:noProof/>
            <w:webHidden/>
          </w:rPr>
          <w:instrText xml:space="preserve"> PAGEREF _Toc63696009 \h </w:instrText>
        </w:r>
        <w:r w:rsidR="00013516">
          <w:rPr>
            <w:noProof/>
            <w:webHidden/>
          </w:rPr>
        </w:r>
        <w:r w:rsidR="00013516">
          <w:rPr>
            <w:noProof/>
            <w:webHidden/>
          </w:rPr>
          <w:fldChar w:fldCharType="separate"/>
        </w:r>
        <w:r w:rsidR="0024247E">
          <w:rPr>
            <w:noProof/>
            <w:webHidden/>
          </w:rPr>
          <w:t>19</w:t>
        </w:r>
        <w:r w:rsidR="00013516">
          <w:rPr>
            <w:noProof/>
            <w:webHidden/>
          </w:rPr>
          <w:fldChar w:fldCharType="end"/>
        </w:r>
      </w:hyperlink>
    </w:p>
    <w:p w14:paraId="2BAD9D77" w14:textId="0CFC0439" w:rsidR="00013516" w:rsidRDefault="004460A7">
      <w:pPr>
        <w:pStyle w:val="TableofFigures"/>
        <w:tabs>
          <w:tab w:val="right" w:leader="dot" w:pos="9060"/>
        </w:tabs>
        <w:rPr>
          <w:rFonts w:asciiTheme="minorHAnsi" w:eastAsiaTheme="minorEastAsia" w:hAnsiTheme="minorHAnsi"/>
          <w:noProof/>
          <w:lang w:eastAsia="en-AU"/>
        </w:rPr>
      </w:pPr>
      <w:hyperlink w:anchor="_Toc63696010" w:history="1">
        <w:r w:rsidR="00013516" w:rsidRPr="00512629">
          <w:rPr>
            <w:rStyle w:val="Hyperlink"/>
            <w:noProof/>
          </w:rPr>
          <w:t>Table 3 Scenario 1 roles for suppliers and consumers of NRDE and government</w:t>
        </w:r>
        <w:r w:rsidR="00013516">
          <w:rPr>
            <w:noProof/>
            <w:webHidden/>
          </w:rPr>
          <w:tab/>
        </w:r>
        <w:r w:rsidR="00013516">
          <w:rPr>
            <w:noProof/>
            <w:webHidden/>
          </w:rPr>
          <w:fldChar w:fldCharType="begin"/>
        </w:r>
        <w:r w:rsidR="00013516">
          <w:rPr>
            <w:noProof/>
            <w:webHidden/>
          </w:rPr>
          <w:instrText xml:space="preserve"> PAGEREF _Toc63696010 \h </w:instrText>
        </w:r>
        <w:r w:rsidR="00013516">
          <w:rPr>
            <w:noProof/>
            <w:webHidden/>
          </w:rPr>
        </w:r>
        <w:r w:rsidR="00013516">
          <w:rPr>
            <w:noProof/>
            <w:webHidden/>
          </w:rPr>
          <w:fldChar w:fldCharType="separate"/>
        </w:r>
        <w:r w:rsidR="0024247E">
          <w:rPr>
            <w:noProof/>
            <w:webHidden/>
          </w:rPr>
          <w:t>26</w:t>
        </w:r>
        <w:r w:rsidR="00013516">
          <w:rPr>
            <w:noProof/>
            <w:webHidden/>
          </w:rPr>
          <w:fldChar w:fldCharType="end"/>
        </w:r>
      </w:hyperlink>
    </w:p>
    <w:p w14:paraId="3E7EBB71" w14:textId="4794B4BE" w:rsidR="00013516" w:rsidRDefault="004460A7">
      <w:pPr>
        <w:pStyle w:val="TableofFigures"/>
        <w:tabs>
          <w:tab w:val="right" w:leader="dot" w:pos="9060"/>
        </w:tabs>
        <w:rPr>
          <w:rFonts w:asciiTheme="minorHAnsi" w:eastAsiaTheme="minorEastAsia" w:hAnsiTheme="minorHAnsi"/>
          <w:noProof/>
          <w:lang w:eastAsia="en-AU"/>
        </w:rPr>
      </w:pPr>
      <w:hyperlink w:anchor="_Toc63696011" w:history="1">
        <w:r w:rsidR="00013516" w:rsidRPr="00512629">
          <w:rPr>
            <w:rStyle w:val="Hyperlink"/>
            <w:noProof/>
          </w:rPr>
          <w:t>Table 4 Scenario 2 features and options for industry consideration</w:t>
        </w:r>
        <w:r w:rsidR="00013516">
          <w:rPr>
            <w:noProof/>
            <w:webHidden/>
          </w:rPr>
          <w:tab/>
        </w:r>
        <w:r w:rsidR="00013516">
          <w:rPr>
            <w:noProof/>
            <w:webHidden/>
          </w:rPr>
          <w:fldChar w:fldCharType="begin"/>
        </w:r>
        <w:r w:rsidR="00013516">
          <w:rPr>
            <w:noProof/>
            <w:webHidden/>
          </w:rPr>
          <w:instrText xml:space="preserve"> PAGEREF _Toc63696011 \h </w:instrText>
        </w:r>
        <w:r w:rsidR="00013516">
          <w:rPr>
            <w:noProof/>
            <w:webHidden/>
          </w:rPr>
        </w:r>
        <w:r w:rsidR="00013516">
          <w:rPr>
            <w:noProof/>
            <w:webHidden/>
          </w:rPr>
          <w:fldChar w:fldCharType="separate"/>
        </w:r>
        <w:r w:rsidR="0024247E">
          <w:rPr>
            <w:noProof/>
            <w:webHidden/>
          </w:rPr>
          <w:t>27</w:t>
        </w:r>
        <w:r w:rsidR="00013516">
          <w:rPr>
            <w:noProof/>
            <w:webHidden/>
          </w:rPr>
          <w:fldChar w:fldCharType="end"/>
        </w:r>
      </w:hyperlink>
    </w:p>
    <w:p w14:paraId="1EE9B665" w14:textId="414EBA33" w:rsidR="00013516" w:rsidRDefault="004460A7">
      <w:pPr>
        <w:pStyle w:val="TableofFigures"/>
        <w:tabs>
          <w:tab w:val="right" w:leader="dot" w:pos="9060"/>
        </w:tabs>
        <w:rPr>
          <w:rFonts w:asciiTheme="minorHAnsi" w:eastAsiaTheme="minorEastAsia" w:hAnsiTheme="minorHAnsi"/>
          <w:noProof/>
          <w:lang w:eastAsia="en-AU"/>
        </w:rPr>
      </w:pPr>
      <w:hyperlink w:anchor="_Toc63696012" w:history="1">
        <w:r w:rsidR="00013516" w:rsidRPr="00512629">
          <w:rPr>
            <w:rStyle w:val="Hyperlink"/>
            <w:noProof/>
          </w:rPr>
          <w:t>Table 5 Scenario 2 roles for suppliers and consumers of NRDE and Government</w:t>
        </w:r>
        <w:r w:rsidR="00013516">
          <w:rPr>
            <w:noProof/>
            <w:webHidden/>
          </w:rPr>
          <w:tab/>
        </w:r>
        <w:r w:rsidR="00013516">
          <w:rPr>
            <w:noProof/>
            <w:webHidden/>
          </w:rPr>
          <w:fldChar w:fldCharType="begin"/>
        </w:r>
        <w:r w:rsidR="00013516">
          <w:rPr>
            <w:noProof/>
            <w:webHidden/>
          </w:rPr>
          <w:instrText xml:space="preserve"> PAGEREF _Toc63696012 \h </w:instrText>
        </w:r>
        <w:r w:rsidR="00013516">
          <w:rPr>
            <w:noProof/>
            <w:webHidden/>
          </w:rPr>
        </w:r>
        <w:r w:rsidR="00013516">
          <w:rPr>
            <w:noProof/>
            <w:webHidden/>
          </w:rPr>
          <w:fldChar w:fldCharType="separate"/>
        </w:r>
        <w:r w:rsidR="0024247E">
          <w:rPr>
            <w:noProof/>
            <w:webHidden/>
          </w:rPr>
          <w:t>27</w:t>
        </w:r>
        <w:r w:rsidR="00013516">
          <w:rPr>
            <w:noProof/>
            <w:webHidden/>
          </w:rPr>
          <w:fldChar w:fldCharType="end"/>
        </w:r>
      </w:hyperlink>
    </w:p>
    <w:p w14:paraId="0706FA17" w14:textId="211B53A0" w:rsidR="00013516" w:rsidRDefault="004460A7">
      <w:pPr>
        <w:pStyle w:val="TableofFigures"/>
        <w:tabs>
          <w:tab w:val="right" w:leader="dot" w:pos="9060"/>
        </w:tabs>
        <w:rPr>
          <w:rFonts w:asciiTheme="minorHAnsi" w:eastAsiaTheme="minorEastAsia" w:hAnsiTheme="minorHAnsi"/>
          <w:noProof/>
          <w:lang w:eastAsia="en-AU"/>
        </w:rPr>
      </w:pPr>
      <w:hyperlink w:anchor="_Toc63696013" w:history="1">
        <w:r w:rsidR="00013516" w:rsidRPr="00512629">
          <w:rPr>
            <w:rStyle w:val="Hyperlink"/>
            <w:noProof/>
          </w:rPr>
          <w:t>Table 6 Scenario 3 features and options for industry consideration</w:t>
        </w:r>
        <w:r w:rsidR="00013516">
          <w:rPr>
            <w:noProof/>
            <w:webHidden/>
          </w:rPr>
          <w:tab/>
        </w:r>
        <w:r w:rsidR="00013516">
          <w:rPr>
            <w:noProof/>
            <w:webHidden/>
          </w:rPr>
          <w:fldChar w:fldCharType="begin"/>
        </w:r>
        <w:r w:rsidR="00013516">
          <w:rPr>
            <w:noProof/>
            <w:webHidden/>
          </w:rPr>
          <w:instrText xml:space="preserve"> PAGEREF _Toc63696013 \h </w:instrText>
        </w:r>
        <w:r w:rsidR="00013516">
          <w:rPr>
            <w:noProof/>
            <w:webHidden/>
          </w:rPr>
        </w:r>
        <w:r w:rsidR="00013516">
          <w:rPr>
            <w:noProof/>
            <w:webHidden/>
          </w:rPr>
          <w:fldChar w:fldCharType="separate"/>
        </w:r>
        <w:r w:rsidR="0024247E">
          <w:rPr>
            <w:noProof/>
            <w:webHidden/>
          </w:rPr>
          <w:t>29</w:t>
        </w:r>
        <w:r w:rsidR="00013516">
          <w:rPr>
            <w:noProof/>
            <w:webHidden/>
          </w:rPr>
          <w:fldChar w:fldCharType="end"/>
        </w:r>
      </w:hyperlink>
    </w:p>
    <w:p w14:paraId="31B4FD14" w14:textId="5626E96F" w:rsidR="00013516" w:rsidRDefault="004460A7">
      <w:pPr>
        <w:pStyle w:val="TableofFigures"/>
        <w:tabs>
          <w:tab w:val="right" w:leader="dot" w:pos="9060"/>
        </w:tabs>
        <w:rPr>
          <w:rFonts w:asciiTheme="minorHAnsi" w:eastAsiaTheme="minorEastAsia" w:hAnsiTheme="minorHAnsi"/>
          <w:noProof/>
          <w:lang w:eastAsia="en-AU"/>
        </w:rPr>
      </w:pPr>
      <w:hyperlink w:anchor="_Toc63696014" w:history="1">
        <w:r w:rsidR="00013516" w:rsidRPr="00512629">
          <w:rPr>
            <w:rStyle w:val="Hyperlink"/>
            <w:noProof/>
          </w:rPr>
          <w:t>Table 7 Scenario 3 roles for suppliers and consumers of NRDE and government</w:t>
        </w:r>
        <w:r w:rsidR="00013516">
          <w:rPr>
            <w:noProof/>
            <w:webHidden/>
          </w:rPr>
          <w:tab/>
        </w:r>
        <w:r w:rsidR="00013516">
          <w:rPr>
            <w:noProof/>
            <w:webHidden/>
          </w:rPr>
          <w:fldChar w:fldCharType="begin"/>
        </w:r>
        <w:r w:rsidR="00013516">
          <w:rPr>
            <w:noProof/>
            <w:webHidden/>
          </w:rPr>
          <w:instrText xml:space="preserve"> PAGEREF _Toc63696014 \h </w:instrText>
        </w:r>
        <w:r w:rsidR="00013516">
          <w:rPr>
            <w:noProof/>
            <w:webHidden/>
          </w:rPr>
        </w:r>
        <w:r w:rsidR="00013516">
          <w:rPr>
            <w:noProof/>
            <w:webHidden/>
          </w:rPr>
          <w:fldChar w:fldCharType="separate"/>
        </w:r>
        <w:r w:rsidR="0024247E">
          <w:rPr>
            <w:noProof/>
            <w:webHidden/>
          </w:rPr>
          <w:t>29</w:t>
        </w:r>
        <w:r w:rsidR="00013516">
          <w:rPr>
            <w:noProof/>
            <w:webHidden/>
          </w:rPr>
          <w:fldChar w:fldCharType="end"/>
        </w:r>
      </w:hyperlink>
    </w:p>
    <w:p w14:paraId="075DAF00" w14:textId="0D2AE04E" w:rsidR="00013516" w:rsidRDefault="004460A7">
      <w:pPr>
        <w:pStyle w:val="TableofFigures"/>
        <w:tabs>
          <w:tab w:val="right" w:leader="dot" w:pos="9060"/>
        </w:tabs>
        <w:rPr>
          <w:rFonts w:asciiTheme="minorHAnsi" w:eastAsiaTheme="minorEastAsia" w:hAnsiTheme="minorHAnsi"/>
          <w:noProof/>
          <w:lang w:eastAsia="en-AU"/>
        </w:rPr>
      </w:pPr>
      <w:hyperlink w:anchor="_Toc63696015" w:history="1">
        <w:r w:rsidR="00013516" w:rsidRPr="00512629">
          <w:rPr>
            <w:rStyle w:val="Hyperlink"/>
            <w:noProof/>
          </w:rPr>
          <w:t>Table 8 US and EU standards for different engine power</w:t>
        </w:r>
        <w:r w:rsidR="00013516">
          <w:rPr>
            <w:noProof/>
            <w:webHidden/>
          </w:rPr>
          <w:tab/>
        </w:r>
        <w:r w:rsidR="00013516">
          <w:rPr>
            <w:noProof/>
            <w:webHidden/>
          </w:rPr>
          <w:fldChar w:fldCharType="begin"/>
        </w:r>
        <w:r w:rsidR="00013516">
          <w:rPr>
            <w:noProof/>
            <w:webHidden/>
          </w:rPr>
          <w:instrText xml:space="preserve"> PAGEREF _Toc63696015 \h </w:instrText>
        </w:r>
        <w:r w:rsidR="00013516">
          <w:rPr>
            <w:noProof/>
            <w:webHidden/>
          </w:rPr>
        </w:r>
        <w:r w:rsidR="00013516">
          <w:rPr>
            <w:noProof/>
            <w:webHidden/>
          </w:rPr>
          <w:fldChar w:fldCharType="separate"/>
        </w:r>
        <w:r w:rsidR="0024247E">
          <w:rPr>
            <w:noProof/>
            <w:webHidden/>
          </w:rPr>
          <w:t>39</w:t>
        </w:r>
        <w:r w:rsidR="00013516">
          <w:rPr>
            <w:noProof/>
            <w:webHidden/>
          </w:rPr>
          <w:fldChar w:fldCharType="end"/>
        </w:r>
      </w:hyperlink>
    </w:p>
    <w:p w14:paraId="300F5876" w14:textId="5BA31EB6" w:rsidR="00013516" w:rsidRDefault="004460A7">
      <w:pPr>
        <w:pStyle w:val="TableofFigures"/>
        <w:tabs>
          <w:tab w:val="right" w:leader="dot" w:pos="9060"/>
        </w:tabs>
        <w:rPr>
          <w:rFonts w:asciiTheme="minorHAnsi" w:eastAsiaTheme="minorEastAsia" w:hAnsiTheme="minorHAnsi"/>
          <w:noProof/>
          <w:lang w:eastAsia="en-AU"/>
        </w:rPr>
      </w:pPr>
      <w:hyperlink w:anchor="_Toc63696016" w:history="1">
        <w:r w:rsidR="00013516" w:rsidRPr="00512629">
          <w:rPr>
            <w:rStyle w:val="Hyperlink"/>
            <w:noProof/>
          </w:rPr>
          <w:t>Table 9 US emission standards</w:t>
        </w:r>
        <w:r w:rsidR="00013516">
          <w:rPr>
            <w:noProof/>
            <w:webHidden/>
          </w:rPr>
          <w:tab/>
        </w:r>
        <w:r w:rsidR="00013516">
          <w:rPr>
            <w:noProof/>
            <w:webHidden/>
          </w:rPr>
          <w:fldChar w:fldCharType="begin"/>
        </w:r>
        <w:r w:rsidR="00013516">
          <w:rPr>
            <w:noProof/>
            <w:webHidden/>
          </w:rPr>
          <w:instrText xml:space="preserve"> PAGEREF _Toc63696016 \h </w:instrText>
        </w:r>
        <w:r w:rsidR="00013516">
          <w:rPr>
            <w:noProof/>
            <w:webHidden/>
          </w:rPr>
        </w:r>
        <w:r w:rsidR="00013516">
          <w:rPr>
            <w:noProof/>
            <w:webHidden/>
          </w:rPr>
          <w:fldChar w:fldCharType="separate"/>
        </w:r>
        <w:r w:rsidR="0024247E">
          <w:rPr>
            <w:noProof/>
            <w:webHidden/>
          </w:rPr>
          <w:t>40</w:t>
        </w:r>
        <w:r w:rsidR="00013516">
          <w:rPr>
            <w:noProof/>
            <w:webHidden/>
          </w:rPr>
          <w:fldChar w:fldCharType="end"/>
        </w:r>
      </w:hyperlink>
    </w:p>
    <w:p w14:paraId="57C168F4" w14:textId="5A13DFDA" w:rsidR="00013516" w:rsidRDefault="004460A7">
      <w:pPr>
        <w:pStyle w:val="TableofFigures"/>
        <w:tabs>
          <w:tab w:val="right" w:leader="dot" w:pos="9060"/>
        </w:tabs>
        <w:rPr>
          <w:rFonts w:asciiTheme="minorHAnsi" w:eastAsiaTheme="minorEastAsia" w:hAnsiTheme="minorHAnsi"/>
          <w:noProof/>
          <w:lang w:eastAsia="en-AU"/>
        </w:rPr>
      </w:pPr>
      <w:hyperlink w:anchor="_Toc63696017" w:history="1">
        <w:r w:rsidR="00013516" w:rsidRPr="00512629">
          <w:rPr>
            <w:rStyle w:val="Hyperlink"/>
            <w:noProof/>
          </w:rPr>
          <w:t>Table 10 EU emission standards</w:t>
        </w:r>
        <w:r w:rsidR="00013516">
          <w:rPr>
            <w:noProof/>
            <w:webHidden/>
          </w:rPr>
          <w:tab/>
        </w:r>
        <w:r w:rsidR="00013516">
          <w:rPr>
            <w:noProof/>
            <w:webHidden/>
          </w:rPr>
          <w:fldChar w:fldCharType="begin"/>
        </w:r>
        <w:r w:rsidR="00013516">
          <w:rPr>
            <w:noProof/>
            <w:webHidden/>
          </w:rPr>
          <w:instrText xml:space="preserve"> PAGEREF _Toc63696017 \h </w:instrText>
        </w:r>
        <w:r w:rsidR="00013516">
          <w:rPr>
            <w:noProof/>
            <w:webHidden/>
          </w:rPr>
        </w:r>
        <w:r w:rsidR="00013516">
          <w:rPr>
            <w:noProof/>
            <w:webHidden/>
          </w:rPr>
          <w:fldChar w:fldCharType="separate"/>
        </w:r>
        <w:r w:rsidR="0024247E">
          <w:rPr>
            <w:noProof/>
            <w:webHidden/>
          </w:rPr>
          <w:t>42</w:t>
        </w:r>
        <w:r w:rsidR="00013516">
          <w:rPr>
            <w:noProof/>
            <w:webHidden/>
          </w:rPr>
          <w:fldChar w:fldCharType="end"/>
        </w:r>
      </w:hyperlink>
    </w:p>
    <w:p w14:paraId="6A654054" w14:textId="31E43A6C" w:rsidR="00545A06" w:rsidRDefault="00E91D72" w:rsidP="00545A06">
      <w:pPr>
        <w:pStyle w:val="TableofFigures"/>
        <w:tabs>
          <w:tab w:val="right" w:leader="dot" w:pos="9060"/>
        </w:tabs>
      </w:pPr>
      <w:r>
        <w:rPr>
          <w:noProof/>
        </w:rPr>
        <w:fldChar w:fldCharType="end"/>
      </w:r>
    </w:p>
    <w:p w14:paraId="1D284AB7" w14:textId="77777777" w:rsidR="00764D6A" w:rsidRDefault="00E91D72">
      <w:pPr>
        <w:pStyle w:val="TOCHeading2"/>
        <w:rPr>
          <w:rStyle w:val="Strong"/>
        </w:rPr>
      </w:pPr>
      <w:r>
        <w:rPr>
          <w:rStyle w:val="Strong"/>
        </w:rPr>
        <w:t>Figures</w:t>
      </w:r>
    </w:p>
    <w:p w14:paraId="2DD79166" w14:textId="4AF94C13" w:rsidR="0024247E" w:rsidRDefault="00E91D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63874262" w:history="1">
        <w:r w:rsidR="0024247E" w:rsidRPr="00446CC7">
          <w:rPr>
            <w:rStyle w:val="Hyperlink"/>
            <w:noProof/>
          </w:rPr>
          <w:t>Figure 1 Key consultation activities</w:t>
        </w:r>
        <w:r w:rsidR="0024247E">
          <w:rPr>
            <w:noProof/>
            <w:webHidden/>
          </w:rPr>
          <w:tab/>
        </w:r>
        <w:r w:rsidR="0024247E">
          <w:rPr>
            <w:noProof/>
            <w:webHidden/>
          </w:rPr>
          <w:fldChar w:fldCharType="begin"/>
        </w:r>
        <w:r w:rsidR="0024247E">
          <w:rPr>
            <w:noProof/>
            <w:webHidden/>
          </w:rPr>
          <w:instrText xml:space="preserve"> PAGEREF _Toc63874262 \h </w:instrText>
        </w:r>
        <w:r w:rsidR="0024247E">
          <w:rPr>
            <w:noProof/>
            <w:webHidden/>
          </w:rPr>
        </w:r>
        <w:r w:rsidR="0024247E">
          <w:rPr>
            <w:noProof/>
            <w:webHidden/>
          </w:rPr>
          <w:fldChar w:fldCharType="separate"/>
        </w:r>
        <w:r w:rsidR="0024247E">
          <w:rPr>
            <w:noProof/>
            <w:webHidden/>
          </w:rPr>
          <w:t>2</w:t>
        </w:r>
        <w:r w:rsidR="0024247E">
          <w:rPr>
            <w:noProof/>
            <w:webHidden/>
          </w:rPr>
          <w:fldChar w:fldCharType="end"/>
        </w:r>
      </w:hyperlink>
    </w:p>
    <w:p w14:paraId="41F1C6D4" w14:textId="37A97AFE" w:rsidR="0024247E" w:rsidRDefault="004460A7">
      <w:pPr>
        <w:pStyle w:val="TableofFigures"/>
        <w:tabs>
          <w:tab w:val="right" w:leader="dot" w:pos="9060"/>
        </w:tabs>
        <w:rPr>
          <w:rFonts w:asciiTheme="minorHAnsi" w:eastAsiaTheme="minorEastAsia" w:hAnsiTheme="minorHAnsi"/>
          <w:noProof/>
          <w:lang w:eastAsia="en-AU"/>
        </w:rPr>
      </w:pPr>
      <w:hyperlink w:anchor="_Toc63874263" w:history="1">
        <w:r w:rsidR="0024247E" w:rsidRPr="00446CC7">
          <w:rPr>
            <w:rStyle w:val="Hyperlink"/>
            <w:noProof/>
          </w:rPr>
          <w:t>Figure 2 Uses of non-road diesel engines</w:t>
        </w:r>
        <w:r w:rsidR="0024247E">
          <w:rPr>
            <w:noProof/>
            <w:webHidden/>
          </w:rPr>
          <w:tab/>
        </w:r>
        <w:r w:rsidR="0024247E">
          <w:rPr>
            <w:noProof/>
            <w:webHidden/>
          </w:rPr>
          <w:fldChar w:fldCharType="begin"/>
        </w:r>
        <w:r w:rsidR="0024247E">
          <w:rPr>
            <w:noProof/>
            <w:webHidden/>
          </w:rPr>
          <w:instrText xml:space="preserve"> PAGEREF _Toc63874263 \h </w:instrText>
        </w:r>
        <w:r w:rsidR="0024247E">
          <w:rPr>
            <w:noProof/>
            <w:webHidden/>
          </w:rPr>
        </w:r>
        <w:r w:rsidR="0024247E">
          <w:rPr>
            <w:noProof/>
            <w:webHidden/>
          </w:rPr>
          <w:fldChar w:fldCharType="separate"/>
        </w:r>
        <w:r w:rsidR="0024247E">
          <w:rPr>
            <w:noProof/>
            <w:webHidden/>
          </w:rPr>
          <w:t>4</w:t>
        </w:r>
        <w:r w:rsidR="0024247E">
          <w:rPr>
            <w:noProof/>
            <w:webHidden/>
          </w:rPr>
          <w:fldChar w:fldCharType="end"/>
        </w:r>
      </w:hyperlink>
    </w:p>
    <w:p w14:paraId="73658582" w14:textId="21050047" w:rsidR="0024247E" w:rsidRDefault="004460A7">
      <w:pPr>
        <w:pStyle w:val="TableofFigures"/>
        <w:tabs>
          <w:tab w:val="right" w:leader="dot" w:pos="9060"/>
        </w:tabs>
        <w:rPr>
          <w:rFonts w:asciiTheme="minorHAnsi" w:eastAsiaTheme="minorEastAsia" w:hAnsiTheme="minorHAnsi"/>
          <w:noProof/>
          <w:lang w:eastAsia="en-AU"/>
        </w:rPr>
      </w:pPr>
      <w:hyperlink w:anchor="_Toc63874264" w:history="1">
        <w:r w:rsidR="0024247E" w:rsidRPr="00446CC7">
          <w:rPr>
            <w:rStyle w:val="Hyperlink"/>
            <w:noProof/>
          </w:rPr>
          <w:t>Figure 3 US and broadly equivalent EU non-road diesel engine standards</w:t>
        </w:r>
        <w:r w:rsidR="0024247E">
          <w:rPr>
            <w:noProof/>
            <w:webHidden/>
          </w:rPr>
          <w:tab/>
        </w:r>
        <w:r w:rsidR="0024247E">
          <w:rPr>
            <w:noProof/>
            <w:webHidden/>
          </w:rPr>
          <w:fldChar w:fldCharType="begin"/>
        </w:r>
        <w:r w:rsidR="0024247E">
          <w:rPr>
            <w:noProof/>
            <w:webHidden/>
          </w:rPr>
          <w:instrText xml:space="preserve"> PAGEREF _Toc63874264 \h </w:instrText>
        </w:r>
        <w:r w:rsidR="0024247E">
          <w:rPr>
            <w:noProof/>
            <w:webHidden/>
          </w:rPr>
        </w:r>
        <w:r w:rsidR="0024247E">
          <w:rPr>
            <w:noProof/>
            <w:webHidden/>
          </w:rPr>
          <w:fldChar w:fldCharType="separate"/>
        </w:r>
        <w:r w:rsidR="0024247E">
          <w:rPr>
            <w:noProof/>
            <w:webHidden/>
          </w:rPr>
          <w:t>4</w:t>
        </w:r>
        <w:r w:rsidR="0024247E">
          <w:rPr>
            <w:noProof/>
            <w:webHidden/>
          </w:rPr>
          <w:fldChar w:fldCharType="end"/>
        </w:r>
      </w:hyperlink>
    </w:p>
    <w:p w14:paraId="18BFCBE8" w14:textId="6CF6B835" w:rsidR="0024247E" w:rsidRDefault="004460A7">
      <w:pPr>
        <w:pStyle w:val="TableofFigures"/>
        <w:tabs>
          <w:tab w:val="right" w:leader="dot" w:pos="9060"/>
        </w:tabs>
        <w:rPr>
          <w:rFonts w:asciiTheme="minorHAnsi" w:eastAsiaTheme="minorEastAsia" w:hAnsiTheme="minorHAnsi"/>
          <w:noProof/>
          <w:lang w:eastAsia="en-AU"/>
        </w:rPr>
      </w:pPr>
      <w:hyperlink w:anchor="_Toc63874265" w:history="1">
        <w:r w:rsidR="0024247E" w:rsidRPr="00446CC7">
          <w:rPr>
            <w:rStyle w:val="Hyperlink"/>
            <w:noProof/>
          </w:rPr>
          <w:t>Figure 4 Introduction of NRDE emission standards to other countries</w:t>
        </w:r>
        <w:r w:rsidR="0024247E">
          <w:rPr>
            <w:noProof/>
            <w:webHidden/>
          </w:rPr>
          <w:tab/>
        </w:r>
        <w:r w:rsidR="0024247E">
          <w:rPr>
            <w:noProof/>
            <w:webHidden/>
          </w:rPr>
          <w:fldChar w:fldCharType="begin"/>
        </w:r>
        <w:r w:rsidR="0024247E">
          <w:rPr>
            <w:noProof/>
            <w:webHidden/>
          </w:rPr>
          <w:instrText xml:space="preserve"> PAGEREF _Toc63874265 \h </w:instrText>
        </w:r>
        <w:r w:rsidR="0024247E">
          <w:rPr>
            <w:noProof/>
            <w:webHidden/>
          </w:rPr>
        </w:r>
        <w:r w:rsidR="0024247E">
          <w:rPr>
            <w:noProof/>
            <w:webHidden/>
          </w:rPr>
          <w:fldChar w:fldCharType="separate"/>
        </w:r>
        <w:r w:rsidR="0024247E">
          <w:rPr>
            <w:noProof/>
            <w:webHidden/>
          </w:rPr>
          <w:t>5</w:t>
        </w:r>
        <w:r w:rsidR="0024247E">
          <w:rPr>
            <w:noProof/>
            <w:webHidden/>
          </w:rPr>
          <w:fldChar w:fldCharType="end"/>
        </w:r>
      </w:hyperlink>
    </w:p>
    <w:p w14:paraId="10FE4A8B" w14:textId="3218FDCD" w:rsidR="0024247E" w:rsidRDefault="004460A7">
      <w:pPr>
        <w:pStyle w:val="TableofFigures"/>
        <w:tabs>
          <w:tab w:val="right" w:leader="dot" w:pos="9060"/>
        </w:tabs>
        <w:rPr>
          <w:rFonts w:asciiTheme="minorHAnsi" w:eastAsiaTheme="minorEastAsia" w:hAnsiTheme="minorHAnsi"/>
          <w:noProof/>
          <w:lang w:eastAsia="en-AU"/>
        </w:rPr>
      </w:pPr>
      <w:hyperlink w:anchor="_Toc63874266" w:history="1">
        <w:r w:rsidR="0024247E" w:rsidRPr="00446CC7">
          <w:rPr>
            <w:rStyle w:val="Hyperlink"/>
            <w:noProof/>
          </w:rPr>
          <w:t>Figure 5 Analytical stages of the evaluation</w:t>
        </w:r>
        <w:r w:rsidR="0024247E">
          <w:rPr>
            <w:noProof/>
            <w:webHidden/>
          </w:rPr>
          <w:tab/>
        </w:r>
        <w:r w:rsidR="0024247E">
          <w:rPr>
            <w:noProof/>
            <w:webHidden/>
          </w:rPr>
          <w:fldChar w:fldCharType="begin"/>
        </w:r>
        <w:r w:rsidR="0024247E">
          <w:rPr>
            <w:noProof/>
            <w:webHidden/>
          </w:rPr>
          <w:instrText xml:space="preserve"> PAGEREF _Toc63874266 \h </w:instrText>
        </w:r>
        <w:r w:rsidR="0024247E">
          <w:rPr>
            <w:noProof/>
            <w:webHidden/>
          </w:rPr>
        </w:r>
        <w:r w:rsidR="0024247E">
          <w:rPr>
            <w:noProof/>
            <w:webHidden/>
          </w:rPr>
          <w:fldChar w:fldCharType="separate"/>
        </w:r>
        <w:r w:rsidR="0024247E">
          <w:rPr>
            <w:noProof/>
            <w:webHidden/>
          </w:rPr>
          <w:t>6</w:t>
        </w:r>
        <w:r w:rsidR="0024247E">
          <w:rPr>
            <w:noProof/>
            <w:webHidden/>
          </w:rPr>
          <w:fldChar w:fldCharType="end"/>
        </w:r>
      </w:hyperlink>
    </w:p>
    <w:p w14:paraId="067E6003" w14:textId="62E1E9FB" w:rsidR="0024247E" w:rsidRDefault="004460A7">
      <w:pPr>
        <w:pStyle w:val="TableofFigures"/>
        <w:tabs>
          <w:tab w:val="right" w:leader="dot" w:pos="9060"/>
        </w:tabs>
        <w:rPr>
          <w:rFonts w:asciiTheme="minorHAnsi" w:eastAsiaTheme="minorEastAsia" w:hAnsiTheme="minorHAnsi"/>
          <w:noProof/>
          <w:lang w:eastAsia="en-AU"/>
        </w:rPr>
      </w:pPr>
      <w:hyperlink w:anchor="_Toc63874267" w:history="1">
        <w:r w:rsidR="0024247E" w:rsidRPr="00446CC7">
          <w:rPr>
            <w:rStyle w:val="Hyperlink"/>
            <w:noProof/>
          </w:rPr>
          <w:t>Figure 6 Key steps in the evaluation</w:t>
        </w:r>
        <w:r w:rsidR="0024247E">
          <w:rPr>
            <w:noProof/>
            <w:webHidden/>
          </w:rPr>
          <w:tab/>
        </w:r>
        <w:r w:rsidR="0024247E">
          <w:rPr>
            <w:noProof/>
            <w:webHidden/>
          </w:rPr>
          <w:fldChar w:fldCharType="begin"/>
        </w:r>
        <w:r w:rsidR="0024247E">
          <w:rPr>
            <w:noProof/>
            <w:webHidden/>
          </w:rPr>
          <w:instrText xml:space="preserve"> PAGEREF _Toc63874267 \h </w:instrText>
        </w:r>
        <w:r w:rsidR="0024247E">
          <w:rPr>
            <w:noProof/>
            <w:webHidden/>
          </w:rPr>
        </w:r>
        <w:r w:rsidR="0024247E">
          <w:rPr>
            <w:noProof/>
            <w:webHidden/>
          </w:rPr>
          <w:fldChar w:fldCharType="separate"/>
        </w:r>
        <w:r w:rsidR="0024247E">
          <w:rPr>
            <w:noProof/>
            <w:webHidden/>
          </w:rPr>
          <w:t>6</w:t>
        </w:r>
        <w:r w:rsidR="0024247E">
          <w:rPr>
            <w:noProof/>
            <w:webHidden/>
          </w:rPr>
          <w:fldChar w:fldCharType="end"/>
        </w:r>
      </w:hyperlink>
    </w:p>
    <w:p w14:paraId="3935F854" w14:textId="1C53EB5B" w:rsidR="0024247E" w:rsidRDefault="004460A7">
      <w:pPr>
        <w:pStyle w:val="TableofFigures"/>
        <w:tabs>
          <w:tab w:val="right" w:leader="dot" w:pos="9060"/>
        </w:tabs>
        <w:rPr>
          <w:rFonts w:asciiTheme="minorHAnsi" w:eastAsiaTheme="minorEastAsia" w:hAnsiTheme="minorHAnsi"/>
          <w:noProof/>
          <w:lang w:eastAsia="en-AU"/>
        </w:rPr>
      </w:pPr>
      <w:hyperlink w:anchor="_Toc63874268" w:history="1">
        <w:r w:rsidR="0024247E" w:rsidRPr="00446CC7">
          <w:rPr>
            <w:rStyle w:val="Hyperlink"/>
            <w:noProof/>
          </w:rPr>
          <w:t xml:space="preserve">Figure 7 </w:t>
        </w:r>
        <w:r w:rsidR="0024247E" w:rsidRPr="00446CC7">
          <w:rPr>
            <w:rStyle w:val="Hyperlink"/>
            <w:rFonts w:cs="Arial"/>
            <w:noProof/>
          </w:rPr>
          <w:t>NRDE equipment types included in the evaluation</w:t>
        </w:r>
        <w:r w:rsidR="0024247E">
          <w:rPr>
            <w:noProof/>
            <w:webHidden/>
          </w:rPr>
          <w:tab/>
        </w:r>
        <w:r w:rsidR="0024247E">
          <w:rPr>
            <w:noProof/>
            <w:webHidden/>
          </w:rPr>
          <w:fldChar w:fldCharType="begin"/>
        </w:r>
        <w:r w:rsidR="0024247E">
          <w:rPr>
            <w:noProof/>
            <w:webHidden/>
          </w:rPr>
          <w:instrText xml:space="preserve"> PAGEREF _Toc63874268 \h </w:instrText>
        </w:r>
        <w:r w:rsidR="0024247E">
          <w:rPr>
            <w:noProof/>
            <w:webHidden/>
          </w:rPr>
        </w:r>
        <w:r w:rsidR="0024247E">
          <w:rPr>
            <w:noProof/>
            <w:webHidden/>
          </w:rPr>
          <w:fldChar w:fldCharType="separate"/>
        </w:r>
        <w:r w:rsidR="0024247E">
          <w:rPr>
            <w:noProof/>
            <w:webHidden/>
          </w:rPr>
          <w:t>7</w:t>
        </w:r>
        <w:r w:rsidR="0024247E">
          <w:rPr>
            <w:noProof/>
            <w:webHidden/>
          </w:rPr>
          <w:fldChar w:fldCharType="end"/>
        </w:r>
      </w:hyperlink>
    </w:p>
    <w:p w14:paraId="668492EB" w14:textId="597A9E8E" w:rsidR="0024247E" w:rsidRDefault="004460A7">
      <w:pPr>
        <w:pStyle w:val="TableofFigures"/>
        <w:tabs>
          <w:tab w:val="right" w:leader="dot" w:pos="9060"/>
        </w:tabs>
        <w:rPr>
          <w:rFonts w:asciiTheme="minorHAnsi" w:eastAsiaTheme="minorEastAsia" w:hAnsiTheme="minorHAnsi"/>
          <w:noProof/>
          <w:lang w:eastAsia="en-AU"/>
        </w:rPr>
      </w:pPr>
      <w:hyperlink w:anchor="_Toc63874269" w:history="1">
        <w:r w:rsidR="0024247E" w:rsidRPr="00446CC7">
          <w:rPr>
            <w:rStyle w:val="Hyperlink"/>
            <w:noProof/>
          </w:rPr>
          <w:t>Figure 8 Key emissions characteristics of Australian NRDE in 2018</w:t>
        </w:r>
        <w:r w:rsidR="0024247E">
          <w:rPr>
            <w:noProof/>
            <w:webHidden/>
          </w:rPr>
          <w:tab/>
        </w:r>
        <w:r w:rsidR="0024247E">
          <w:rPr>
            <w:noProof/>
            <w:webHidden/>
          </w:rPr>
          <w:fldChar w:fldCharType="begin"/>
        </w:r>
        <w:r w:rsidR="0024247E">
          <w:rPr>
            <w:noProof/>
            <w:webHidden/>
          </w:rPr>
          <w:instrText xml:space="preserve"> PAGEREF _Toc63874269 \h </w:instrText>
        </w:r>
        <w:r w:rsidR="0024247E">
          <w:rPr>
            <w:noProof/>
            <w:webHidden/>
          </w:rPr>
        </w:r>
        <w:r w:rsidR="0024247E">
          <w:rPr>
            <w:noProof/>
            <w:webHidden/>
          </w:rPr>
          <w:fldChar w:fldCharType="separate"/>
        </w:r>
        <w:r w:rsidR="0024247E">
          <w:rPr>
            <w:noProof/>
            <w:webHidden/>
          </w:rPr>
          <w:t>9</w:t>
        </w:r>
        <w:r w:rsidR="0024247E">
          <w:rPr>
            <w:noProof/>
            <w:webHidden/>
          </w:rPr>
          <w:fldChar w:fldCharType="end"/>
        </w:r>
      </w:hyperlink>
    </w:p>
    <w:p w14:paraId="07052A80" w14:textId="24CB7D9B" w:rsidR="0024247E" w:rsidRDefault="004460A7">
      <w:pPr>
        <w:pStyle w:val="TableofFigures"/>
        <w:tabs>
          <w:tab w:val="right" w:leader="dot" w:pos="9060"/>
        </w:tabs>
        <w:rPr>
          <w:rFonts w:asciiTheme="minorHAnsi" w:eastAsiaTheme="minorEastAsia" w:hAnsiTheme="minorHAnsi"/>
          <w:noProof/>
          <w:lang w:eastAsia="en-AU"/>
        </w:rPr>
      </w:pPr>
      <w:hyperlink w:anchor="_Toc63874270" w:history="1">
        <w:r w:rsidR="0024247E" w:rsidRPr="00446CC7">
          <w:rPr>
            <w:rStyle w:val="Hyperlink"/>
            <w:noProof/>
          </w:rPr>
          <w:t>Figure 9 Those most vulnerable to health impacts from noxious NRDE emissions</w:t>
        </w:r>
        <w:r w:rsidR="0024247E">
          <w:rPr>
            <w:noProof/>
            <w:webHidden/>
          </w:rPr>
          <w:tab/>
        </w:r>
        <w:r w:rsidR="0024247E">
          <w:rPr>
            <w:noProof/>
            <w:webHidden/>
          </w:rPr>
          <w:fldChar w:fldCharType="begin"/>
        </w:r>
        <w:r w:rsidR="0024247E">
          <w:rPr>
            <w:noProof/>
            <w:webHidden/>
          </w:rPr>
          <w:instrText xml:space="preserve"> PAGEREF _Toc63874270 \h </w:instrText>
        </w:r>
        <w:r w:rsidR="0024247E">
          <w:rPr>
            <w:noProof/>
            <w:webHidden/>
          </w:rPr>
        </w:r>
        <w:r w:rsidR="0024247E">
          <w:rPr>
            <w:noProof/>
            <w:webHidden/>
          </w:rPr>
          <w:fldChar w:fldCharType="separate"/>
        </w:r>
        <w:r w:rsidR="0024247E">
          <w:rPr>
            <w:noProof/>
            <w:webHidden/>
          </w:rPr>
          <w:t>12</w:t>
        </w:r>
        <w:r w:rsidR="0024247E">
          <w:rPr>
            <w:noProof/>
            <w:webHidden/>
          </w:rPr>
          <w:fldChar w:fldCharType="end"/>
        </w:r>
      </w:hyperlink>
    </w:p>
    <w:p w14:paraId="6C3C1DE7" w14:textId="77F07E70" w:rsidR="0024247E" w:rsidRDefault="004460A7">
      <w:pPr>
        <w:pStyle w:val="TableofFigures"/>
        <w:tabs>
          <w:tab w:val="right" w:leader="dot" w:pos="9060"/>
        </w:tabs>
        <w:rPr>
          <w:rFonts w:asciiTheme="minorHAnsi" w:eastAsiaTheme="minorEastAsia" w:hAnsiTheme="minorHAnsi"/>
          <w:noProof/>
          <w:lang w:eastAsia="en-AU"/>
        </w:rPr>
      </w:pPr>
      <w:hyperlink w:anchor="_Toc63874271" w:history="1">
        <w:r w:rsidR="0024247E" w:rsidRPr="00446CC7">
          <w:rPr>
            <w:rStyle w:val="Hyperlink"/>
            <w:noProof/>
          </w:rPr>
          <w:t>Figure 10 Mechanisms that contribute formation of secondary particles</w:t>
        </w:r>
        <w:r w:rsidR="0024247E">
          <w:rPr>
            <w:noProof/>
            <w:webHidden/>
          </w:rPr>
          <w:tab/>
        </w:r>
        <w:r w:rsidR="0024247E">
          <w:rPr>
            <w:noProof/>
            <w:webHidden/>
          </w:rPr>
          <w:fldChar w:fldCharType="begin"/>
        </w:r>
        <w:r w:rsidR="0024247E">
          <w:rPr>
            <w:noProof/>
            <w:webHidden/>
          </w:rPr>
          <w:instrText xml:space="preserve"> PAGEREF _Toc63874271 \h </w:instrText>
        </w:r>
        <w:r w:rsidR="0024247E">
          <w:rPr>
            <w:noProof/>
            <w:webHidden/>
          </w:rPr>
        </w:r>
        <w:r w:rsidR="0024247E">
          <w:rPr>
            <w:noProof/>
            <w:webHidden/>
          </w:rPr>
          <w:fldChar w:fldCharType="separate"/>
        </w:r>
        <w:r w:rsidR="0024247E">
          <w:rPr>
            <w:noProof/>
            <w:webHidden/>
          </w:rPr>
          <w:t>13</w:t>
        </w:r>
        <w:r w:rsidR="0024247E">
          <w:rPr>
            <w:noProof/>
            <w:webHidden/>
          </w:rPr>
          <w:fldChar w:fldCharType="end"/>
        </w:r>
      </w:hyperlink>
    </w:p>
    <w:p w14:paraId="595429F7" w14:textId="44A81A7B" w:rsidR="0024247E" w:rsidRDefault="004460A7">
      <w:pPr>
        <w:pStyle w:val="TableofFigures"/>
        <w:tabs>
          <w:tab w:val="right" w:leader="dot" w:pos="9060"/>
        </w:tabs>
        <w:rPr>
          <w:rFonts w:asciiTheme="minorHAnsi" w:eastAsiaTheme="minorEastAsia" w:hAnsiTheme="minorHAnsi"/>
          <w:noProof/>
          <w:lang w:eastAsia="en-AU"/>
        </w:rPr>
      </w:pPr>
      <w:hyperlink w:anchor="_Toc63874272" w:history="1">
        <w:r w:rsidR="0024247E" w:rsidRPr="00446CC7">
          <w:rPr>
            <w:rStyle w:val="Hyperlink"/>
            <w:noProof/>
          </w:rPr>
          <w:t>Figure 11 2018 Australian NRDE sales by tier rating</w:t>
        </w:r>
        <w:r w:rsidR="0024247E">
          <w:rPr>
            <w:noProof/>
            <w:webHidden/>
          </w:rPr>
          <w:tab/>
        </w:r>
        <w:r w:rsidR="0024247E">
          <w:rPr>
            <w:noProof/>
            <w:webHidden/>
          </w:rPr>
          <w:fldChar w:fldCharType="begin"/>
        </w:r>
        <w:r w:rsidR="0024247E">
          <w:rPr>
            <w:noProof/>
            <w:webHidden/>
          </w:rPr>
          <w:instrText xml:space="preserve"> PAGEREF _Toc63874272 \h </w:instrText>
        </w:r>
        <w:r w:rsidR="0024247E">
          <w:rPr>
            <w:noProof/>
            <w:webHidden/>
          </w:rPr>
        </w:r>
        <w:r w:rsidR="0024247E">
          <w:rPr>
            <w:noProof/>
            <w:webHidden/>
          </w:rPr>
          <w:fldChar w:fldCharType="separate"/>
        </w:r>
        <w:r w:rsidR="0024247E">
          <w:rPr>
            <w:noProof/>
            <w:webHidden/>
          </w:rPr>
          <w:t>14</w:t>
        </w:r>
        <w:r w:rsidR="0024247E">
          <w:rPr>
            <w:noProof/>
            <w:webHidden/>
          </w:rPr>
          <w:fldChar w:fldCharType="end"/>
        </w:r>
      </w:hyperlink>
    </w:p>
    <w:p w14:paraId="0CDADD19" w14:textId="71538E30" w:rsidR="0024247E" w:rsidRDefault="004460A7">
      <w:pPr>
        <w:pStyle w:val="TableofFigures"/>
        <w:tabs>
          <w:tab w:val="right" w:leader="dot" w:pos="9060"/>
        </w:tabs>
        <w:rPr>
          <w:rFonts w:asciiTheme="minorHAnsi" w:eastAsiaTheme="minorEastAsia" w:hAnsiTheme="minorHAnsi"/>
          <w:noProof/>
          <w:lang w:eastAsia="en-AU"/>
        </w:rPr>
      </w:pPr>
      <w:hyperlink w:anchor="_Toc63874273" w:history="1">
        <w:r w:rsidR="0024247E" w:rsidRPr="00446CC7">
          <w:rPr>
            <w:rStyle w:val="Hyperlink"/>
            <w:noProof/>
          </w:rPr>
          <w:t>Figure 12 Net changes in business as usual NRDE emissions forecast between 2018 and 2043</w:t>
        </w:r>
        <w:r w:rsidR="0024247E">
          <w:rPr>
            <w:noProof/>
            <w:webHidden/>
          </w:rPr>
          <w:tab/>
        </w:r>
        <w:r w:rsidR="0024247E">
          <w:rPr>
            <w:noProof/>
            <w:webHidden/>
          </w:rPr>
          <w:fldChar w:fldCharType="begin"/>
        </w:r>
        <w:r w:rsidR="0024247E">
          <w:rPr>
            <w:noProof/>
            <w:webHidden/>
          </w:rPr>
          <w:instrText xml:space="preserve"> PAGEREF _Toc63874273 \h </w:instrText>
        </w:r>
        <w:r w:rsidR="0024247E">
          <w:rPr>
            <w:noProof/>
            <w:webHidden/>
          </w:rPr>
        </w:r>
        <w:r w:rsidR="0024247E">
          <w:rPr>
            <w:noProof/>
            <w:webHidden/>
          </w:rPr>
          <w:fldChar w:fldCharType="separate"/>
        </w:r>
        <w:r w:rsidR="0024247E">
          <w:rPr>
            <w:noProof/>
            <w:webHidden/>
          </w:rPr>
          <w:t>16</w:t>
        </w:r>
        <w:r w:rsidR="0024247E">
          <w:rPr>
            <w:noProof/>
            <w:webHidden/>
          </w:rPr>
          <w:fldChar w:fldCharType="end"/>
        </w:r>
      </w:hyperlink>
    </w:p>
    <w:p w14:paraId="4360BEEE" w14:textId="165AC4BC" w:rsidR="0024247E" w:rsidRDefault="004460A7">
      <w:pPr>
        <w:pStyle w:val="TableofFigures"/>
        <w:tabs>
          <w:tab w:val="right" w:leader="dot" w:pos="9060"/>
        </w:tabs>
        <w:rPr>
          <w:rFonts w:asciiTheme="minorHAnsi" w:eastAsiaTheme="minorEastAsia" w:hAnsiTheme="minorHAnsi"/>
          <w:noProof/>
          <w:lang w:eastAsia="en-AU"/>
        </w:rPr>
      </w:pPr>
      <w:hyperlink w:anchor="_Toc63874274" w:history="1">
        <w:r w:rsidR="0024247E" w:rsidRPr="00446CC7">
          <w:rPr>
            <w:rStyle w:val="Hyperlink"/>
            <w:noProof/>
          </w:rPr>
          <w:t>Figure 13 Predicted tiering as a proportion of the national NRDE stock (fleet)</w:t>
        </w:r>
        <w:r w:rsidR="0024247E">
          <w:rPr>
            <w:noProof/>
            <w:webHidden/>
          </w:rPr>
          <w:tab/>
        </w:r>
        <w:r w:rsidR="0024247E">
          <w:rPr>
            <w:noProof/>
            <w:webHidden/>
          </w:rPr>
          <w:fldChar w:fldCharType="begin"/>
        </w:r>
        <w:r w:rsidR="0024247E">
          <w:rPr>
            <w:noProof/>
            <w:webHidden/>
          </w:rPr>
          <w:instrText xml:space="preserve"> PAGEREF _Toc63874274 \h </w:instrText>
        </w:r>
        <w:r w:rsidR="0024247E">
          <w:rPr>
            <w:noProof/>
            <w:webHidden/>
          </w:rPr>
        </w:r>
        <w:r w:rsidR="0024247E">
          <w:rPr>
            <w:noProof/>
            <w:webHidden/>
          </w:rPr>
          <w:fldChar w:fldCharType="separate"/>
        </w:r>
        <w:r w:rsidR="0024247E">
          <w:rPr>
            <w:noProof/>
            <w:webHidden/>
          </w:rPr>
          <w:t>21</w:t>
        </w:r>
        <w:r w:rsidR="0024247E">
          <w:rPr>
            <w:noProof/>
            <w:webHidden/>
          </w:rPr>
          <w:fldChar w:fldCharType="end"/>
        </w:r>
      </w:hyperlink>
    </w:p>
    <w:p w14:paraId="718988CC" w14:textId="5265A771" w:rsidR="0024247E" w:rsidRDefault="004460A7">
      <w:pPr>
        <w:pStyle w:val="TableofFigures"/>
        <w:tabs>
          <w:tab w:val="right" w:leader="dot" w:pos="9060"/>
        </w:tabs>
        <w:rPr>
          <w:rFonts w:asciiTheme="minorHAnsi" w:eastAsiaTheme="minorEastAsia" w:hAnsiTheme="minorHAnsi"/>
          <w:noProof/>
          <w:lang w:eastAsia="en-AU"/>
        </w:rPr>
      </w:pPr>
      <w:hyperlink w:anchor="_Toc63874275" w:history="1">
        <w:r w:rsidR="0024247E" w:rsidRPr="00446CC7">
          <w:rPr>
            <w:rStyle w:val="Hyperlink"/>
            <w:noProof/>
          </w:rPr>
          <w:t>Figure 14 Emissions model</w:t>
        </w:r>
        <w:r w:rsidR="0024247E">
          <w:rPr>
            <w:noProof/>
            <w:webHidden/>
          </w:rPr>
          <w:tab/>
        </w:r>
        <w:r w:rsidR="0024247E">
          <w:rPr>
            <w:noProof/>
            <w:webHidden/>
          </w:rPr>
          <w:fldChar w:fldCharType="begin"/>
        </w:r>
        <w:r w:rsidR="0024247E">
          <w:rPr>
            <w:noProof/>
            <w:webHidden/>
          </w:rPr>
          <w:instrText xml:space="preserve"> PAGEREF _Toc63874275 \h </w:instrText>
        </w:r>
        <w:r w:rsidR="0024247E">
          <w:rPr>
            <w:noProof/>
            <w:webHidden/>
          </w:rPr>
        </w:r>
        <w:r w:rsidR="0024247E">
          <w:rPr>
            <w:noProof/>
            <w:webHidden/>
          </w:rPr>
          <w:fldChar w:fldCharType="separate"/>
        </w:r>
        <w:r w:rsidR="0024247E">
          <w:rPr>
            <w:noProof/>
            <w:webHidden/>
          </w:rPr>
          <w:t>35</w:t>
        </w:r>
        <w:r w:rsidR="0024247E">
          <w:rPr>
            <w:noProof/>
            <w:webHidden/>
          </w:rPr>
          <w:fldChar w:fldCharType="end"/>
        </w:r>
      </w:hyperlink>
    </w:p>
    <w:p w14:paraId="4452003B" w14:textId="337CC4C0" w:rsidR="0024247E" w:rsidRDefault="004460A7">
      <w:pPr>
        <w:pStyle w:val="TableofFigures"/>
        <w:tabs>
          <w:tab w:val="right" w:leader="dot" w:pos="9060"/>
        </w:tabs>
        <w:rPr>
          <w:rFonts w:asciiTheme="minorHAnsi" w:eastAsiaTheme="minorEastAsia" w:hAnsiTheme="minorHAnsi"/>
          <w:noProof/>
          <w:lang w:eastAsia="en-AU"/>
        </w:rPr>
      </w:pPr>
      <w:hyperlink w:anchor="_Toc63874276" w:history="1">
        <w:r w:rsidR="0024247E" w:rsidRPr="00446CC7">
          <w:rPr>
            <w:rStyle w:val="Hyperlink"/>
            <w:noProof/>
          </w:rPr>
          <w:t>Figure 15 Exposure model</w:t>
        </w:r>
        <w:r w:rsidR="0024247E">
          <w:rPr>
            <w:noProof/>
            <w:webHidden/>
          </w:rPr>
          <w:tab/>
        </w:r>
        <w:r w:rsidR="0024247E">
          <w:rPr>
            <w:noProof/>
            <w:webHidden/>
          </w:rPr>
          <w:fldChar w:fldCharType="begin"/>
        </w:r>
        <w:r w:rsidR="0024247E">
          <w:rPr>
            <w:noProof/>
            <w:webHidden/>
          </w:rPr>
          <w:instrText xml:space="preserve"> PAGEREF _Toc63874276 \h </w:instrText>
        </w:r>
        <w:r w:rsidR="0024247E">
          <w:rPr>
            <w:noProof/>
            <w:webHidden/>
          </w:rPr>
        </w:r>
        <w:r w:rsidR="0024247E">
          <w:rPr>
            <w:noProof/>
            <w:webHidden/>
          </w:rPr>
          <w:fldChar w:fldCharType="separate"/>
        </w:r>
        <w:r w:rsidR="0024247E">
          <w:rPr>
            <w:noProof/>
            <w:webHidden/>
          </w:rPr>
          <w:t>36</w:t>
        </w:r>
        <w:r w:rsidR="0024247E">
          <w:rPr>
            <w:noProof/>
            <w:webHidden/>
          </w:rPr>
          <w:fldChar w:fldCharType="end"/>
        </w:r>
      </w:hyperlink>
    </w:p>
    <w:p w14:paraId="1C57C0ED" w14:textId="18DFB6AC" w:rsidR="00764D6A" w:rsidRDefault="00E91D72">
      <w:r>
        <w:fldChar w:fldCharType="end"/>
      </w:r>
    </w:p>
    <w:p w14:paraId="099DFDA4" w14:textId="77777777" w:rsidR="00764D6A" w:rsidRDefault="00E91D72">
      <w:pPr>
        <w:pStyle w:val="TOCHeading2"/>
        <w:rPr>
          <w:rStyle w:val="Strong"/>
        </w:rPr>
      </w:pPr>
      <w:r>
        <w:rPr>
          <w:rStyle w:val="Strong"/>
        </w:rPr>
        <w:t>Boxes</w:t>
      </w:r>
    </w:p>
    <w:p w14:paraId="480BECC4" w14:textId="689EA944" w:rsidR="0024247E" w:rsidRDefault="00E91D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"Box" </w:instrText>
      </w:r>
      <w:r>
        <w:fldChar w:fldCharType="separate"/>
      </w:r>
      <w:hyperlink w:anchor="_Toc63874279" w:history="1">
        <w:r w:rsidR="0024247E" w:rsidRPr="00916E4A">
          <w:rPr>
            <w:rStyle w:val="Hyperlink"/>
            <w:noProof/>
          </w:rPr>
          <w:t>Box 1 Non-road diesel engines in Australia</w:t>
        </w:r>
        <w:r w:rsidR="0024247E">
          <w:rPr>
            <w:noProof/>
            <w:webHidden/>
          </w:rPr>
          <w:tab/>
        </w:r>
        <w:r w:rsidR="0024247E">
          <w:rPr>
            <w:noProof/>
            <w:webHidden/>
          </w:rPr>
          <w:fldChar w:fldCharType="begin"/>
        </w:r>
        <w:r w:rsidR="0024247E">
          <w:rPr>
            <w:noProof/>
            <w:webHidden/>
          </w:rPr>
          <w:instrText xml:space="preserve"> PAGEREF _Toc63874279 \h </w:instrText>
        </w:r>
        <w:r w:rsidR="0024247E">
          <w:rPr>
            <w:noProof/>
            <w:webHidden/>
          </w:rPr>
        </w:r>
        <w:r w:rsidR="0024247E">
          <w:rPr>
            <w:noProof/>
            <w:webHidden/>
          </w:rPr>
          <w:fldChar w:fldCharType="separate"/>
        </w:r>
        <w:r w:rsidR="0024247E">
          <w:rPr>
            <w:noProof/>
            <w:webHidden/>
          </w:rPr>
          <w:t>15</w:t>
        </w:r>
        <w:r w:rsidR="0024247E">
          <w:rPr>
            <w:noProof/>
            <w:webHidden/>
          </w:rPr>
          <w:fldChar w:fldCharType="end"/>
        </w:r>
      </w:hyperlink>
    </w:p>
    <w:p w14:paraId="0C86FEC9" w14:textId="207E3DB4" w:rsidR="0024247E" w:rsidRDefault="004460A7">
      <w:pPr>
        <w:pStyle w:val="TableofFigures"/>
        <w:tabs>
          <w:tab w:val="right" w:leader="dot" w:pos="9060"/>
        </w:tabs>
        <w:rPr>
          <w:rFonts w:asciiTheme="minorHAnsi" w:eastAsiaTheme="minorEastAsia" w:hAnsiTheme="minorHAnsi"/>
          <w:noProof/>
          <w:lang w:eastAsia="en-AU"/>
        </w:rPr>
      </w:pPr>
      <w:hyperlink w:anchor="_Toc63874280" w:history="1">
        <w:r w:rsidR="0024247E" w:rsidRPr="00916E4A">
          <w:rPr>
            <w:rStyle w:val="Hyperlink"/>
            <w:noProof/>
          </w:rPr>
          <w:t>Box 2 Future market conditions in the absence of intervention</w:t>
        </w:r>
        <w:r w:rsidR="0024247E">
          <w:rPr>
            <w:noProof/>
            <w:webHidden/>
          </w:rPr>
          <w:tab/>
        </w:r>
        <w:r w:rsidR="0024247E">
          <w:rPr>
            <w:noProof/>
            <w:webHidden/>
          </w:rPr>
          <w:fldChar w:fldCharType="begin"/>
        </w:r>
        <w:r w:rsidR="0024247E">
          <w:rPr>
            <w:noProof/>
            <w:webHidden/>
          </w:rPr>
          <w:instrText xml:space="preserve"> PAGEREF _Toc63874280 \h </w:instrText>
        </w:r>
        <w:r w:rsidR="0024247E">
          <w:rPr>
            <w:noProof/>
            <w:webHidden/>
          </w:rPr>
        </w:r>
        <w:r w:rsidR="0024247E">
          <w:rPr>
            <w:noProof/>
            <w:webHidden/>
          </w:rPr>
          <w:fldChar w:fldCharType="separate"/>
        </w:r>
        <w:r w:rsidR="0024247E">
          <w:rPr>
            <w:noProof/>
            <w:webHidden/>
          </w:rPr>
          <w:t>21</w:t>
        </w:r>
        <w:r w:rsidR="0024247E">
          <w:rPr>
            <w:noProof/>
            <w:webHidden/>
          </w:rPr>
          <w:fldChar w:fldCharType="end"/>
        </w:r>
      </w:hyperlink>
    </w:p>
    <w:p w14:paraId="31E927DB" w14:textId="5924F362" w:rsidR="0024247E" w:rsidRDefault="004460A7">
      <w:pPr>
        <w:pStyle w:val="TableofFigures"/>
        <w:tabs>
          <w:tab w:val="right" w:leader="dot" w:pos="9060"/>
        </w:tabs>
        <w:rPr>
          <w:rFonts w:asciiTheme="minorHAnsi" w:eastAsiaTheme="minorEastAsia" w:hAnsiTheme="minorHAnsi"/>
          <w:noProof/>
          <w:lang w:eastAsia="en-AU"/>
        </w:rPr>
      </w:pPr>
      <w:hyperlink w:anchor="_Toc63874281" w:history="1">
        <w:r w:rsidR="0024247E" w:rsidRPr="00916E4A">
          <w:rPr>
            <w:rStyle w:val="Hyperlink"/>
            <w:noProof/>
          </w:rPr>
          <w:t>Box 3 Questions regarding the management scenario overarching assumptions</w:t>
        </w:r>
        <w:r w:rsidR="0024247E">
          <w:rPr>
            <w:noProof/>
            <w:webHidden/>
          </w:rPr>
          <w:tab/>
        </w:r>
        <w:r w:rsidR="0024247E">
          <w:rPr>
            <w:noProof/>
            <w:webHidden/>
          </w:rPr>
          <w:fldChar w:fldCharType="begin"/>
        </w:r>
        <w:r w:rsidR="0024247E">
          <w:rPr>
            <w:noProof/>
            <w:webHidden/>
          </w:rPr>
          <w:instrText xml:space="preserve"> PAGEREF _Toc63874281 \h </w:instrText>
        </w:r>
        <w:r w:rsidR="0024247E">
          <w:rPr>
            <w:noProof/>
            <w:webHidden/>
          </w:rPr>
        </w:r>
        <w:r w:rsidR="0024247E">
          <w:rPr>
            <w:noProof/>
            <w:webHidden/>
          </w:rPr>
          <w:fldChar w:fldCharType="separate"/>
        </w:r>
        <w:r w:rsidR="0024247E">
          <w:rPr>
            <w:noProof/>
            <w:webHidden/>
          </w:rPr>
          <w:t>24</w:t>
        </w:r>
        <w:r w:rsidR="0024247E">
          <w:rPr>
            <w:noProof/>
            <w:webHidden/>
          </w:rPr>
          <w:fldChar w:fldCharType="end"/>
        </w:r>
      </w:hyperlink>
    </w:p>
    <w:p w14:paraId="58AAD74C" w14:textId="7820E265" w:rsidR="0024247E" w:rsidRDefault="004460A7">
      <w:pPr>
        <w:pStyle w:val="TableofFigures"/>
        <w:tabs>
          <w:tab w:val="right" w:leader="dot" w:pos="9060"/>
        </w:tabs>
        <w:rPr>
          <w:rFonts w:asciiTheme="minorHAnsi" w:eastAsiaTheme="minorEastAsia" w:hAnsiTheme="minorHAnsi"/>
          <w:noProof/>
          <w:lang w:eastAsia="en-AU"/>
        </w:rPr>
      </w:pPr>
      <w:hyperlink w:anchor="_Toc63874282" w:history="1">
        <w:r w:rsidR="0024247E" w:rsidRPr="00916E4A">
          <w:rPr>
            <w:rStyle w:val="Hyperlink"/>
            <w:noProof/>
          </w:rPr>
          <w:t>Box 4 Base case</w:t>
        </w:r>
        <w:r w:rsidR="0024247E">
          <w:rPr>
            <w:noProof/>
            <w:webHidden/>
          </w:rPr>
          <w:tab/>
        </w:r>
        <w:r w:rsidR="0024247E">
          <w:rPr>
            <w:noProof/>
            <w:webHidden/>
          </w:rPr>
          <w:fldChar w:fldCharType="begin"/>
        </w:r>
        <w:r w:rsidR="0024247E">
          <w:rPr>
            <w:noProof/>
            <w:webHidden/>
          </w:rPr>
          <w:instrText xml:space="preserve"> PAGEREF _Toc63874282 \h </w:instrText>
        </w:r>
        <w:r w:rsidR="0024247E">
          <w:rPr>
            <w:noProof/>
            <w:webHidden/>
          </w:rPr>
        </w:r>
        <w:r w:rsidR="0024247E">
          <w:rPr>
            <w:noProof/>
            <w:webHidden/>
          </w:rPr>
          <w:fldChar w:fldCharType="separate"/>
        </w:r>
        <w:r w:rsidR="0024247E">
          <w:rPr>
            <w:noProof/>
            <w:webHidden/>
          </w:rPr>
          <w:t>26</w:t>
        </w:r>
        <w:r w:rsidR="0024247E">
          <w:rPr>
            <w:noProof/>
            <w:webHidden/>
          </w:rPr>
          <w:fldChar w:fldCharType="end"/>
        </w:r>
      </w:hyperlink>
    </w:p>
    <w:p w14:paraId="2D12572D" w14:textId="42CB4852" w:rsidR="0024247E" w:rsidRDefault="004460A7">
      <w:pPr>
        <w:pStyle w:val="TableofFigures"/>
        <w:tabs>
          <w:tab w:val="right" w:leader="dot" w:pos="9060"/>
        </w:tabs>
        <w:rPr>
          <w:rFonts w:asciiTheme="minorHAnsi" w:eastAsiaTheme="minorEastAsia" w:hAnsiTheme="minorHAnsi"/>
          <w:noProof/>
          <w:lang w:eastAsia="en-AU"/>
        </w:rPr>
      </w:pPr>
      <w:hyperlink w:anchor="_Toc63874283" w:history="1">
        <w:r w:rsidR="0024247E" w:rsidRPr="00916E4A">
          <w:rPr>
            <w:rStyle w:val="Hyperlink"/>
            <w:noProof/>
          </w:rPr>
          <w:t>Box 5 Scenario 1 features and options for industry consideration</w:t>
        </w:r>
        <w:r w:rsidR="0024247E">
          <w:rPr>
            <w:noProof/>
            <w:webHidden/>
          </w:rPr>
          <w:tab/>
        </w:r>
        <w:r w:rsidR="0024247E">
          <w:rPr>
            <w:noProof/>
            <w:webHidden/>
          </w:rPr>
          <w:fldChar w:fldCharType="begin"/>
        </w:r>
        <w:r w:rsidR="0024247E">
          <w:rPr>
            <w:noProof/>
            <w:webHidden/>
          </w:rPr>
          <w:instrText xml:space="preserve"> PAGEREF _Toc63874283 \h </w:instrText>
        </w:r>
        <w:r w:rsidR="0024247E">
          <w:rPr>
            <w:noProof/>
            <w:webHidden/>
          </w:rPr>
        </w:r>
        <w:r w:rsidR="0024247E">
          <w:rPr>
            <w:noProof/>
            <w:webHidden/>
          </w:rPr>
          <w:fldChar w:fldCharType="separate"/>
        </w:r>
        <w:r w:rsidR="0024247E">
          <w:rPr>
            <w:noProof/>
            <w:webHidden/>
          </w:rPr>
          <w:t>28</w:t>
        </w:r>
        <w:r w:rsidR="0024247E">
          <w:rPr>
            <w:noProof/>
            <w:webHidden/>
          </w:rPr>
          <w:fldChar w:fldCharType="end"/>
        </w:r>
      </w:hyperlink>
    </w:p>
    <w:p w14:paraId="33A727A6" w14:textId="56972E26" w:rsidR="0024247E" w:rsidRDefault="004460A7">
      <w:pPr>
        <w:pStyle w:val="TableofFigures"/>
        <w:tabs>
          <w:tab w:val="right" w:leader="dot" w:pos="9060"/>
        </w:tabs>
        <w:rPr>
          <w:rFonts w:asciiTheme="minorHAnsi" w:eastAsiaTheme="minorEastAsia" w:hAnsiTheme="minorHAnsi"/>
          <w:noProof/>
          <w:lang w:eastAsia="en-AU"/>
        </w:rPr>
      </w:pPr>
      <w:hyperlink w:anchor="_Toc63874284" w:history="1">
        <w:r w:rsidR="0024247E" w:rsidRPr="00916E4A">
          <w:rPr>
            <w:rStyle w:val="Hyperlink"/>
            <w:noProof/>
          </w:rPr>
          <w:t>Box 6 Questions regarding scenario 1</w:t>
        </w:r>
        <w:r w:rsidR="0024247E">
          <w:rPr>
            <w:noProof/>
            <w:webHidden/>
          </w:rPr>
          <w:tab/>
        </w:r>
        <w:r w:rsidR="0024247E">
          <w:rPr>
            <w:noProof/>
            <w:webHidden/>
          </w:rPr>
          <w:fldChar w:fldCharType="begin"/>
        </w:r>
        <w:r w:rsidR="0024247E">
          <w:rPr>
            <w:noProof/>
            <w:webHidden/>
          </w:rPr>
          <w:instrText xml:space="preserve"> PAGEREF _Toc63874284 \h </w:instrText>
        </w:r>
        <w:r w:rsidR="0024247E">
          <w:rPr>
            <w:noProof/>
            <w:webHidden/>
          </w:rPr>
        </w:r>
        <w:r w:rsidR="0024247E">
          <w:rPr>
            <w:noProof/>
            <w:webHidden/>
          </w:rPr>
          <w:fldChar w:fldCharType="separate"/>
        </w:r>
        <w:r w:rsidR="0024247E">
          <w:rPr>
            <w:noProof/>
            <w:webHidden/>
          </w:rPr>
          <w:t>30</w:t>
        </w:r>
        <w:r w:rsidR="0024247E">
          <w:rPr>
            <w:noProof/>
            <w:webHidden/>
          </w:rPr>
          <w:fldChar w:fldCharType="end"/>
        </w:r>
      </w:hyperlink>
    </w:p>
    <w:p w14:paraId="2EA8DE07" w14:textId="63C5F15D" w:rsidR="0024247E" w:rsidRDefault="004460A7">
      <w:pPr>
        <w:pStyle w:val="TableofFigures"/>
        <w:tabs>
          <w:tab w:val="right" w:leader="dot" w:pos="9060"/>
        </w:tabs>
        <w:rPr>
          <w:rFonts w:asciiTheme="minorHAnsi" w:eastAsiaTheme="minorEastAsia" w:hAnsiTheme="minorHAnsi"/>
          <w:noProof/>
          <w:lang w:eastAsia="en-AU"/>
        </w:rPr>
      </w:pPr>
      <w:hyperlink w:anchor="_Toc63874285" w:history="1">
        <w:r w:rsidR="0024247E" w:rsidRPr="00916E4A">
          <w:rPr>
            <w:rStyle w:val="Hyperlink"/>
            <w:noProof/>
          </w:rPr>
          <w:t>Box 7 Questions regarding scenario 2</w:t>
        </w:r>
        <w:r w:rsidR="0024247E">
          <w:rPr>
            <w:noProof/>
            <w:webHidden/>
          </w:rPr>
          <w:tab/>
        </w:r>
        <w:r w:rsidR="0024247E">
          <w:rPr>
            <w:noProof/>
            <w:webHidden/>
          </w:rPr>
          <w:fldChar w:fldCharType="begin"/>
        </w:r>
        <w:r w:rsidR="0024247E">
          <w:rPr>
            <w:noProof/>
            <w:webHidden/>
          </w:rPr>
          <w:instrText xml:space="preserve"> PAGEREF _Toc63874285 \h </w:instrText>
        </w:r>
        <w:r w:rsidR="0024247E">
          <w:rPr>
            <w:noProof/>
            <w:webHidden/>
          </w:rPr>
        </w:r>
        <w:r w:rsidR="0024247E">
          <w:rPr>
            <w:noProof/>
            <w:webHidden/>
          </w:rPr>
          <w:fldChar w:fldCharType="separate"/>
        </w:r>
        <w:r w:rsidR="0024247E">
          <w:rPr>
            <w:noProof/>
            <w:webHidden/>
          </w:rPr>
          <w:t>32</w:t>
        </w:r>
        <w:r w:rsidR="0024247E">
          <w:rPr>
            <w:noProof/>
            <w:webHidden/>
          </w:rPr>
          <w:fldChar w:fldCharType="end"/>
        </w:r>
      </w:hyperlink>
    </w:p>
    <w:p w14:paraId="1F5A7A67" w14:textId="1192545E" w:rsidR="0024247E" w:rsidRDefault="004460A7">
      <w:pPr>
        <w:pStyle w:val="TableofFigures"/>
        <w:tabs>
          <w:tab w:val="right" w:leader="dot" w:pos="9060"/>
        </w:tabs>
        <w:rPr>
          <w:rFonts w:asciiTheme="minorHAnsi" w:eastAsiaTheme="minorEastAsia" w:hAnsiTheme="minorHAnsi"/>
          <w:noProof/>
          <w:lang w:eastAsia="en-AU"/>
        </w:rPr>
      </w:pPr>
      <w:hyperlink w:anchor="_Toc63874286" w:history="1">
        <w:r w:rsidR="0024247E" w:rsidRPr="00916E4A">
          <w:rPr>
            <w:rStyle w:val="Hyperlink"/>
            <w:noProof/>
          </w:rPr>
          <w:t>Box 8 Questions regarding scenario 3</w:t>
        </w:r>
        <w:r w:rsidR="0024247E">
          <w:rPr>
            <w:noProof/>
            <w:webHidden/>
          </w:rPr>
          <w:tab/>
        </w:r>
        <w:r w:rsidR="0024247E">
          <w:rPr>
            <w:noProof/>
            <w:webHidden/>
          </w:rPr>
          <w:fldChar w:fldCharType="begin"/>
        </w:r>
        <w:r w:rsidR="0024247E">
          <w:rPr>
            <w:noProof/>
            <w:webHidden/>
          </w:rPr>
          <w:instrText xml:space="preserve"> PAGEREF _Toc63874286 \h </w:instrText>
        </w:r>
        <w:r w:rsidR="0024247E">
          <w:rPr>
            <w:noProof/>
            <w:webHidden/>
          </w:rPr>
        </w:r>
        <w:r w:rsidR="0024247E">
          <w:rPr>
            <w:noProof/>
            <w:webHidden/>
          </w:rPr>
          <w:fldChar w:fldCharType="separate"/>
        </w:r>
        <w:r w:rsidR="0024247E">
          <w:rPr>
            <w:noProof/>
            <w:webHidden/>
          </w:rPr>
          <w:t>34</w:t>
        </w:r>
        <w:r w:rsidR="0024247E">
          <w:rPr>
            <w:noProof/>
            <w:webHidden/>
          </w:rPr>
          <w:fldChar w:fldCharType="end"/>
        </w:r>
      </w:hyperlink>
    </w:p>
    <w:p w14:paraId="6D167C4F" w14:textId="7C133C2A" w:rsidR="0024247E" w:rsidRDefault="004460A7">
      <w:pPr>
        <w:pStyle w:val="TableofFigures"/>
        <w:tabs>
          <w:tab w:val="right" w:leader="dot" w:pos="9060"/>
        </w:tabs>
        <w:rPr>
          <w:noProof/>
        </w:rPr>
      </w:pPr>
      <w:hyperlink w:anchor="_Toc63874287" w:history="1">
        <w:r w:rsidR="0024247E" w:rsidRPr="00916E4A">
          <w:rPr>
            <w:rStyle w:val="Hyperlink"/>
            <w:noProof/>
          </w:rPr>
          <w:t>Box 9 Consolidated consultation questions</w:t>
        </w:r>
        <w:r w:rsidR="0024247E">
          <w:rPr>
            <w:noProof/>
            <w:webHidden/>
          </w:rPr>
          <w:tab/>
        </w:r>
        <w:r w:rsidR="0024247E">
          <w:rPr>
            <w:noProof/>
            <w:webHidden/>
          </w:rPr>
          <w:fldChar w:fldCharType="begin"/>
        </w:r>
        <w:r w:rsidR="0024247E">
          <w:rPr>
            <w:noProof/>
            <w:webHidden/>
          </w:rPr>
          <w:instrText xml:space="preserve"> PAGEREF _Toc63874287 \h </w:instrText>
        </w:r>
        <w:r w:rsidR="0024247E">
          <w:rPr>
            <w:noProof/>
            <w:webHidden/>
          </w:rPr>
        </w:r>
        <w:r w:rsidR="0024247E">
          <w:rPr>
            <w:noProof/>
            <w:webHidden/>
          </w:rPr>
          <w:fldChar w:fldCharType="separate"/>
        </w:r>
        <w:r w:rsidR="0024247E">
          <w:rPr>
            <w:noProof/>
            <w:webHidden/>
          </w:rPr>
          <w:t>35</w:t>
        </w:r>
        <w:r w:rsidR="0024247E">
          <w:rPr>
            <w:noProof/>
            <w:webHidden/>
          </w:rPr>
          <w:fldChar w:fldCharType="end"/>
        </w:r>
      </w:hyperlink>
    </w:p>
    <w:p w14:paraId="08F81212" w14:textId="77777777" w:rsidR="00E5209C" w:rsidRPr="00E5209C" w:rsidRDefault="00E5209C" w:rsidP="00E5209C"/>
    <w:p w14:paraId="02F2B9EA" w14:textId="77777777" w:rsidR="00E5209C" w:rsidRDefault="00E5209C" w:rsidP="00E5209C">
      <w:pPr>
        <w:sectPr w:rsidR="00E5209C" w:rsidSect="00E5209C">
          <w:headerReference w:type="default" r:id="rId14"/>
          <w:footerReference w:type="default" r:id="rId15"/>
          <w:headerReference w:type="first" r:id="rId16"/>
          <w:pgSz w:w="11906" w:h="16838"/>
          <w:pgMar w:top="1418" w:right="1418" w:bottom="1418" w:left="1418" w:header="567" w:footer="283" w:gutter="0"/>
          <w:pgNumType w:fmt="lowerRoman" w:start="1"/>
          <w:cols w:space="708"/>
          <w:titlePg/>
          <w:docGrid w:linePitch="360"/>
        </w:sectPr>
      </w:pPr>
    </w:p>
    <w:p w14:paraId="6F13BF8B" w14:textId="12ABDA10" w:rsidR="00CD1C22" w:rsidRDefault="00E91D72" w:rsidP="00003E95">
      <w:pPr>
        <w:pStyle w:val="Heading2"/>
      </w:pPr>
      <w:r>
        <w:lastRenderedPageBreak/>
        <w:fldChar w:fldCharType="end"/>
      </w:r>
      <w:bookmarkStart w:id="0" w:name="_Toc63874237"/>
      <w:r w:rsidR="00CD1C22">
        <w:t>Purpose of the document</w:t>
      </w:r>
      <w:bookmarkEnd w:id="0"/>
    </w:p>
    <w:p w14:paraId="63A81DFF" w14:textId="61F860D8" w:rsidR="00CD1C22" w:rsidRDefault="00CD1C22" w:rsidP="00CD1C22">
      <w:r>
        <w:t xml:space="preserve">This </w:t>
      </w:r>
      <w:r w:rsidR="00340612">
        <w:t>d</w:t>
      </w:r>
      <w:r>
        <w:t xml:space="preserve">iscussion </w:t>
      </w:r>
      <w:r w:rsidR="00340612">
        <w:t>p</w:t>
      </w:r>
      <w:r>
        <w:t>aper presents information on scenarios for a national approach to manage non-road diesel engine emissions in Australia. The costs and benefits of these management scenarios will be evaluated in a cost-benefit analysis.</w:t>
      </w:r>
    </w:p>
    <w:p w14:paraId="4393AC0F" w14:textId="0D39E845" w:rsidR="00CD1C22" w:rsidRDefault="00CD1C22" w:rsidP="00CD1C22">
      <w:r>
        <w:t xml:space="preserve">No decision has been made to implement a national approach. Environment </w:t>
      </w:r>
      <w:r w:rsidR="00254159">
        <w:t>m</w:t>
      </w:r>
      <w:r>
        <w:t>inisters from all jurisdictions will review the cost-benefit analysis findings and decide whether to progress formal consideration of any potential regulatory impacts. In a regulatory impact analysis, the design and operation of the management scenarios would be comprehensively developed through public consultation.</w:t>
      </w:r>
    </w:p>
    <w:p w14:paraId="133C8EEC" w14:textId="54355059" w:rsidR="00CD1C22" w:rsidRDefault="00CD1C22" w:rsidP="00CD1C22">
      <w:r>
        <w:t xml:space="preserve">The primary purpose of this </w:t>
      </w:r>
      <w:r w:rsidR="008E12EB">
        <w:t>d</w:t>
      </w:r>
      <w:r>
        <w:t xml:space="preserve">iscussion </w:t>
      </w:r>
      <w:r w:rsidR="008E12EB">
        <w:t>p</w:t>
      </w:r>
      <w:r>
        <w:t xml:space="preserve">aper is to support targeted engagement with business, </w:t>
      </w:r>
      <w:proofErr w:type="gramStart"/>
      <w:r>
        <w:t>industry</w:t>
      </w:r>
      <w:proofErr w:type="gramEnd"/>
      <w:r>
        <w:t xml:space="preserve"> and community representatives to inform the cost-benefit analysis.</w:t>
      </w:r>
    </w:p>
    <w:p w14:paraId="1543B48D" w14:textId="77777777" w:rsidR="00CD1C22" w:rsidRDefault="00CD1C22" w:rsidP="00CD1C22">
      <w:r>
        <w:t>Consultation on the management scenarios will include:</w:t>
      </w:r>
    </w:p>
    <w:p w14:paraId="76A554CF" w14:textId="5BBC6585" w:rsidR="00CD1C22" w:rsidRDefault="00CD1C22" w:rsidP="00510FCE">
      <w:pPr>
        <w:pStyle w:val="ListBullet"/>
      </w:pPr>
      <w:r>
        <w:t>an online meeting on 14 October 2020</w:t>
      </w:r>
      <w:r w:rsidR="003735FA">
        <w:t xml:space="preserve"> – a</w:t>
      </w:r>
      <w:r>
        <w:t xml:space="preserve"> key meeting objective is to gather sufficient information to develop practical management scenarios for the cost-benefit analysis</w:t>
      </w:r>
    </w:p>
    <w:p w14:paraId="3FB373BF" w14:textId="5AA0B163" w:rsidR="00CD1C22" w:rsidRDefault="00CD1C22" w:rsidP="008A24CD">
      <w:pPr>
        <w:pStyle w:val="ListBullet"/>
      </w:pPr>
      <w:r>
        <w:t xml:space="preserve">subsequent consultation on costs and benefits of the management scenarios, once the scenarios are finalised. A timeline for the cost-benefit analysis is provided in </w:t>
      </w:r>
      <w:hyperlink w:anchor="_Consultation_timeline" w:history="1">
        <w:r w:rsidR="00FB36A0" w:rsidRPr="00C566CC">
          <w:rPr>
            <w:rStyle w:val="Hyperlink"/>
          </w:rPr>
          <w:t>s</w:t>
        </w:r>
        <w:r w:rsidRPr="00C566CC">
          <w:rPr>
            <w:rStyle w:val="Hyperlink"/>
          </w:rPr>
          <w:t>ection 2.2</w:t>
        </w:r>
      </w:hyperlink>
      <w:r w:rsidRPr="00C566CC">
        <w:t>.</w:t>
      </w:r>
    </w:p>
    <w:p w14:paraId="626C4B9D" w14:textId="589B3E4C" w:rsidR="00CD1C22" w:rsidRDefault="00CD1C22" w:rsidP="00CD1C22">
      <w:r>
        <w:t xml:space="preserve">This </w:t>
      </w:r>
      <w:r w:rsidR="00596533">
        <w:t>d</w:t>
      </w:r>
      <w:r>
        <w:t xml:space="preserve">iscussion </w:t>
      </w:r>
      <w:r w:rsidR="00596533">
        <w:t>p</w:t>
      </w:r>
      <w:r>
        <w:t>aper includes the following:</w:t>
      </w:r>
    </w:p>
    <w:p w14:paraId="6F9DAF15" w14:textId="74CEA98C" w:rsidR="00CD1C22" w:rsidRDefault="00CD1C22" w:rsidP="00FB36A0">
      <w:pPr>
        <w:pStyle w:val="ListBullet"/>
      </w:pPr>
      <w:r>
        <w:t>a consultation overview and forward process for engagement</w:t>
      </w:r>
    </w:p>
    <w:p w14:paraId="0F52ABCC" w14:textId="612FBD74" w:rsidR="00CD1C22" w:rsidRDefault="00CD1C22" w:rsidP="00FB36A0">
      <w:pPr>
        <w:pStyle w:val="ListBullet"/>
      </w:pPr>
      <w:r>
        <w:t>the background and context for a cost-benefit analysis</w:t>
      </w:r>
    </w:p>
    <w:p w14:paraId="71956BA0" w14:textId="4EF3580C" w:rsidR="00CD1C22" w:rsidRDefault="00CD1C22" w:rsidP="00FB36A0">
      <w:pPr>
        <w:pStyle w:val="ListBullet"/>
      </w:pPr>
      <w:r>
        <w:t>the nature and extent of the problem</w:t>
      </w:r>
    </w:p>
    <w:p w14:paraId="0C4ED403" w14:textId="6C2C3881" w:rsidR="00CD1C22" w:rsidRDefault="00CD1C22" w:rsidP="00FB36A0">
      <w:pPr>
        <w:pStyle w:val="ListBullet"/>
      </w:pPr>
      <w:r>
        <w:t>the objectives of government action and scope</w:t>
      </w:r>
    </w:p>
    <w:p w14:paraId="4728265F" w14:textId="1AB0A2A3" w:rsidR="00CD1C22" w:rsidRDefault="00CD1C22" w:rsidP="00FB36A0">
      <w:pPr>
        <w:pStyle w:val="ListBullet"/>
      </w:pPr>
      <w:r>
        <w:t>the management scenarios being considered for the cost-benefit analysis.</w:t>
      </w:r>
    </w:p>
    <w:p w14:paraId="6A54D596" w14:textId="38B7BCD1" w:rsidR="00CD1C22" w:rsidRDefault="00CD1C22" w:rsidP="00CD1C22">
      <w:r>
        <w:t xml:space="preserve">Out of scope for this </w:t>
      </w:r>
      <w:r w:rsidR="00596533">
        <w:t>d</w:t>
      </w:r>
      <w:r>
        <w:t xml:space="preserve">iscussion </w:t>
      </w:r>
      <w:r w:rsidR="00596533">
        <w:t>p</w:t>
      </w:r>
      <w:r>
        <w:t>aper and the meeting are:</w:t>
      </w:r>
    </w:p>
    <w:p w14:paraId="5392DBD8" w14:textId="3FF21387" w:rsidR="00CD1C22" w:rsidRDefault="00CD1C22" w:rsidP="00FB36A0">
      <w:pPr>
        <w:pStyle w:val="ListBullet"/>
      </w:pPr>
      <w:r>
        <w:t>costs and benefits for the management scenarios. These will be discussed in later engagements</w:t>
      </w:r>
    </w:p>
    <w:p w14:paraId="4408CD14" w14:textId="640B7AF0" w:rsidR="00CD1C22" w:rsidRDefault="00CD1C22" w:rsidP="00FB36A0">
      <w:pPr>
        <w:pStyle w:val="ListBullet"/>
      </w:pPr>
      <w:r>
        <w:t>how a future national approach to manage non-road diesel engine emissions could be designed.</w:t>
      </w:r>
    </w:p>
    <w:p w14:paraId="20B0496A" w14:textId="0193EBB1" w:rsidR="00CD1C22" w:rsidRDefault="00CD1C22" w:rsidP="00CD1C22">
      <w:r>
        <w:t xml:space="preserve">Guidance on providing feedback is in </w:t>
      </w:r>
      <w:hyperlink w:anchor="_How_to_engage" w:history="1">
        <w:r w:rsidR="00FB36A0" w:rsidRPr="00C566CC">
          <w:rPr>
            <w:rStyle w:val="Hyperlink"/>
          </w:rPr>
          <w:t>s</w:t>
        </w:r>
        <w:r w:rsidRPr="00C566CC">
          <w:rPr>
            <w:rStyle w:val="Hyperlink"/>
          </w:rPr>
          <w:t>ection 2.3</w:t>
        </w:r>
      </w:hyperlink>
      <w:r>
        <w:t>.</w:t>
      </w:r>
    </w:p>
    <w:p w14:paraId="194E9CF1" w14:textId="3EDBCBD1" w:rsidR="00CD1C22" w:rsidRDefault="00CD1C22" w:rsidP="00003E95">
      <w:pPr>
        <w:pStyle w:val="Heading2"/>
      </w:pPr>
      <w:bookmarkStart w:id="1" w:name="_Toc63874238"/>
      <w:r>
        <w:lastRenderedPageBreak/>
        <w:t>Consultation overview</w:t>
      </w:r>
      <w:bookmarkEnd w:id="1"/>
    </w:p>
    <w:p w14:paraId="77E77ADA" w14:textId="784A2C94" w:rsidR="00CD1C22" w:rsidRDefault="00CD1C22" w:rsidP="006A5B3C">
      <w:pPr>
        <w:pStyle w:val="Heading3"/>
      </w:pPr>
      <w:bookmarkStart w:id="2" w:name="_Toc63874239"/>
      <w:r>
        <w:t>Consultation objectives</w:t>
      </w:r>
      <w:bookmarkEnd w:id="2"/>
    </w:p>
    <w:p w14:paraId="0660EAF8" w14:textId="64940B0B" w:rsidR="00CD1C22" w:rsidRDefault="00CD1C22" w:rsidP="00CD1C22">
      <w:r>
        <w:t>The Department of Agriculture, Water and the Environment is undertaking consultation on the management options to:</w:t>
      </w:r>
    </w:p>
    <w:p w14:paraId="4F22E39D" w14:textId="1486314A" w:rsidR="00CD1C22" w:rsidRDefault="00CD1C22" w:rsidP="006A5B3C">
      <w:pPr>
        <w:pStyle w:val="ListBullet"/>
      </w:pPr>
      <w:r>
        <w:t>provide stakeholders with up-to-date information about the evaluation</w:t>
      </w:r>
    </w:p>
    <w:p w14:paraId="0882EEBB" w14:textId="3B60DDC8" w:rsidR="00CD1C22" w:rsidRDefault="00CD1C22" w:rsidP="006A5B3C">
      <w:pPr>
        <w:pStyle w:val="ListBullet"/>
      </w:pPr>
      <w:r>
        <w:t xml:space="preserve">listen to stakeholders, understand their </w:t>
      </w:r>
      <w:proofErr w:type="gramStart"/>
      <w:r>
        <w:t>perspectives</w:t>
      </w:r>
      <w:proofErr w:type="gramEnd"/>
      <w:r>
        <w:t xml:space="preserve"> and use this to inform the evaluation and advice to government</w:t>
      </w:r>
    </w:p>
    <w:p w14:paraId="220D369B" w14:textId="58E5B642" w:rsidR="00CD1C22" w:rsidRDefault="00CD1C22" w:rsidP="006A5B3C">
      <w:pPr>
        <w:pStyle w:val="ListBullet"/>
      </w:pPr>
      <w:r>
        <w:t>clearly identify and explain the engagement process, the role of stakeholders in the evaluation, and communicate how their input will inform the evaluation</w:t>
      </w:r>
    </w:p>
    <w:p w14:paraId="6FF49466" w14:textId="012267FF" w:rsidR="00CD1C22" w:rsidRDefault="00CD1C22" w:rsidP="006A5B3C">
      <w:pPr>
        <w:pStyle w:val="ListBullet"/>
      </w:pPr>
      <w:r>
        <w:t>manage stakeholder expectations by increasing transparency around actions and timing</w:t>
      </w:r>
    </w:p>
    <w:p w14:paraId="14EE00D2" w14:textId="2F627F50" w:rsidR="00CD1C22" w:rsidRDefault="00CD1C22" w:rsidP="006A5B3C">
      <w:pPr>
        <w:pStyle w:val="ListBullet"/>
      </w:pPr>
      <w:r>
        <w:t>ensure that any stakeholder views that may impact the development of the cost-benefit analysis are supported with evidence, including the collection of further data where required.</w:t>
      </w:r>
    </w:p>
    <w:p w14:paraId="09A24432" w14:textId="5AF2E8B9" w:rsidR="00CD1C22" w:rsidRDefault="00CD1C22" w:rsidP="00B93E31">
      <w:pPr>
        <w:pStyle w:val="Heading3"/>
      </w:pPr>
      <w:bookmarkStart w:id="3" w:name="_Consultation_timeline"/>
      <w:bookmarkStart w:id="4" w:name="_Toc63874240"/>
      <w:bookmarkEnd w:id="3"/>
      <w:r>
        <w:t>Consultation timeline</w:t>
      </w:r>
      <w:bookmarkEnd w:id="4"/>
    </w:p>
    <w:p w14:paraId="311EE5B7" w14:textId="3913B1EF" w:rsidR="00CD1C22" w:rsidRDefault="00CD1C22" w:rsidP="00CD1C22">
      <w:r>
        <w:t xml:space="preserve">The evaluation includes two main analytical stages: a market analysis completed in 2019 and a cost-benefit analysis which commenced in 2019 (see </w:t>
      </w:r>
      <w:hyperlink w:anchor="_Policy_context" w:history="1">
        <w:r w:rsidR="00B93E31" w:rsidRPr="00501740">
          <w:rPr>
            <w:rStyle w:val="Hyperlink"/>
          </w:rPr>
          <w:t>s</w:t>
        </w:r>
        <w:r w:rsidRPr="00501740">
          <w:rPr>
            <w:rStyle w:val="Hyperlink"/>
          </w:rPr>
          <w:t>ection 3.3</w:t>
        </w:r>
      </w:hyperlink>
      <w:r>
        <w:t>). During the market analysis phase of the evaluation, importers and suppliers of non-road diesel engines and equipment supported the analysis by providing data on equipment and use characteristics. The cost-benefit analysis involves further targeted consultation to:</w:t>
      </w:r>
    </w:p>
    <w:p w14:paraId="095F7620" w14:textId="53D79A42" w:rsidR="00CD1C22" w:rsidRDefault="00CD1C22" w:rsidP="00B93E31">
      <w:pPr>
        <w:pStyle w:val="ListBullet"/>
      </w:pPr>
      <w:r>
        <w:t>inform which management scenarios are to be tested (the online meeting on 14 October 2020)</w:t>
      </w:r>
    </w:p>
    <w:p w14:paraId="2E435888" w14:textId="66AB608D" w:rsidR="00CD1C22" w:rsidRDefault="00CD1C22" w:rsidP="00B93E31">
      <w:pPr>
        <w:pStyle w:val="ListBullet"/>
      </w:pPr>
      <w:r>
        <w:t>collect additional data on costs and benefits of each management scenario (</w:t>
      </w:r>
      <w:r w:rsidR="004A7ACD" w:rsidRPr="0076653B">
        <w:t xml:space="preserve">October </w:t>
      </w:r>
      <w:r w:rsidR="0076653B" w:rsidRPr="0076653B">
        <w:t>2020</w:t>
      </w:r>
      <w:r w:rsidR="008A0520">
        <w:t xml:space="preserve"> meeting</w:t>
      </w:r>
      <w:r w:rsidRPr="0076653B">
        <w:t>)</w:t>
      </w:r>
    </w:p>
    <w:p w14:paraId="32EB5715" w14:textId="57A400AD" w:rsidR="008E69EC" w:rsidRPr="0076653B" w:rsidRDefault="008E69EC" w:rsidP="00B93E31">
      <w:pPr>
        <w:pStyle w:val="ListBullet"/>
      </w:pPr>
      <w:r w:rsidRPr="0076653B">
        <w:t xml:space="preserve">discuss cost-benefit analysis findings with industry </w:t>
      </w:r>
      <w:proofErr w:type="spellStart"/>
      <w:r w:rsidRPr="0076653B">
        <w:t>asociations</w:t>
      </w:r>
      <w:proofErr w:type="spellEnd"/>
      <w:r w:rsidR="001F300F" w:rsidRPr="0076653B">
        <w:t xml:space="preserve"> (2021</w:t>
      </w:r>
      <w:r w:rsidR="00AE2506">
        <w:t>-</w:t>
      </w:r>
      <w:r w:rsidR="00A22E9E">
        <w:t>22</w:t>
      </w:r>
      <w:r w:rsidR="001F300F" w:rsidRPr="0076653B">
        <w:t>).</w:t>
      </w:r>
    </w:p>
    <w:p w14:paraId="441FAD9F" w14:textId="6057725B" w:rsidR="00764D6A" w:rsidRDefault="00CD1C22" w:rsidP="00CD1C22">
      <w:r w:rsidRPr="00233E5C">
        <w:t>Key stakeholder consultation activities are</w:t>
      </w:r>
      <w:r w:rsidR="00DE6299">
        <w:t xml:space="preserve"> </w:t>
      </w:r>
      <w:r w:rsidR="00760794">
        <w:t xml:space="preserve">shown in </w:t>
      </w:r>
      <w:r w:rsidR="002400A8">
        <w:rPr>
          <w:highlight w:val="yellow"/>
        </w:rPr>
        <w:fldChar w:fldCharType="begin"/>
      </w:r>
      <w:r w:rsidR="002400A8">
        <w:instrText xml:space="preserve"> REF _Ref63264249 \h </w:instrText>
      </w:r>
      <w:r w:rsidR="002400A8">
        <w:rPr>
          <w:highlight w:val="yellow"/>
        </w:rPr>
      </w:r>
      <w:r w:rsidR="002400A8">
        <w:rPr>
          <w:highlight w:val="yellow"/>
        </w:rPr>
        <w:fldChar w:fldCharType="separate"/>
      </w:r>
      <w:r w:rsidR="002400A8">
        <w:t xml:space="preserve">Figure </w:t>
      </w:r>
      <w:r w:rsidR="002400A8">
        <w:rPr>
          <w:noProof/>
        </w:rPr>
        <w:t>1</w:t>
      </w:r>
      <w:r w:rsidR="002400A8">
        <w:rPr>
          <w:highlight w:val="yellow"/>
        </w:rPr>
        <w:fldChar w:fldCharType="end"/>
      </w:r>
      <w:r w:rsidR="00760794" w:rsidRPr="0076653B">
        <w:t>.</w:t>
      </w:r>
    </w:p>
    <w:p w14:paraId="67479248" w14:textId="0333FBD0" w:rsidR="00C62D7B" w:rsidRDefault="008667B2" w:rsidP="008667B2">
      <w:pPr>
        <w:pStyle w:val="Caption"/>
      </w:pPr>
      <w:bookmarkStart w:id="5" w:name="_Ref63264249"/>
      <w:bookmarkStart w:id="6" w:name="_Toc63874262"/>
      <w:r>
        <w:t xml:space="preserve">Figure </w:t>
      </w:r>
      <w:r w:rsidR="00126C54">
        <w:rPr>
          <w:noProof/>
        </w:rPr>
        <w:fldChar w:fldCharType="begin"/>
      </w:r>
      <w:r w:rsidR="00126C54">
        <w:rPr>
          <w:noProof/>
        </w:rPr>
        <w:instrText xml:space="preserve"> SEQ Figure \* ARABIC </w:instrText>
      </w:r>
      <w:r w:rsidR="00126C54">
        <w:rPr>
          <w:noProof/>
        </w:rPr>
        <w:fldChar w:fldCharType="separate"/>
      </w:r>
      <w:r w:rsidR="00A418E2">
        <w:rPr>
          <w:noProof/>
        </w:rPr>
        <w:t>1</w:t>
      </w:r>
      <w:r w:rsidR="00126C54">
        <w:rPr>
          <w:noProof/>
        </w:rPr>
        <w:fldChar w:fldCharType="end"/>
      </w:r>
      <w:bookmarkEnd w:id="5"/>
      <w:r w:rsidR="00771E09">
        <w:t xml:space="preserve"> Key consultation activities</w:t>
      </w:r>
      <w:bookmarkEnd w:id="6"/>
    </w:p>
    <w:p w14:paraId="496A9724" w14:textId="55F5BDC9" w:rsidR="00A255F7" w:rsidRDefault="00AE2506" w:rsidP="00A255F7">
      <w:pPr>
        <w:rPr>
          <w:rStyle w:val="Strong"/>
        </w:rPr>
      </w:pPr>
      <w:r>
        <w:rPr>
          <w:rStyle w:val="Strong"/>
          <w:noProof/>
        </w:rPr>
        <w:drawing>
          <wp:inline distT="0" distB="0" distL="0" distR="0" wp14:anchorId="148B1F1A" wp14:editId="3F26FE47">
            <wp:extent cx="5730875" cy="181038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1810385"/>
                    </a:xfrm>
                    <a:prstGeom prst="rect">
                      <a:avLst/>
                    </a:prstGeom>
                    <a:noFill/>
                  </pic:spPr>
                </pic:pic>
              </a:graphicData>
            </a:graphic>
          </wp:inline>
        </w:drawing>
      </w:r>
    </w:p>
    <w:p w14:paraId="2ABC4558" w14:textId="49BAC590" w:rsidR="008A0520" w:rsidRPr="00A22E9E" w:rsidRDefault="008A0520" w:rsidP="00DD5F44">
      <w:r w:rsidRPr="00A22E9E">
        <w:t xml:space="preserve">Figure </w:t>
      </w:r>
      <w:r w:rsidR="00A22E9E">
        <w:t xml:space="preserve">1 was </w:t>
      </w:r>
      <w:r w:rsidRPr="00A22E9E">
        <w:t>updated in January 2021 to reflect changed timeline.</w:t>
      </w:r>
    </w:p>
    <w:p w14:paraId="5C95BC0C" w14:textId="786B8E28" w:rsidR="00EF0E26" w:rsidRDefault="00EF0E26" w:rsidP="003253CF">
      <w:r>
        <w:lastRenderedPageBreak/>
        <w:t>Targeted consultation may also be used to test modelling assumptions and management scenarios parameters.</w:t>
      </w:r>
    </w:p>
    <w:p w14:paraId="775C10C4" w14:textId="14D2932F" w:rsidR="00EF0E26" w:rsidRDefault="00EF0E26" w:rsidP="004B281F">
      <w:pPr>
        <w:pStyle w:val="Heading3"/>
      </w:pPr>
      <w:bookmarkStart w:id="7" w:name="_How_to_engage"/>
      <w:bookmarkStart w:id="8" w:name="_Toc63874241"/>
      <w:bookmarkEnd w:id="7"/>
      <w:r>
        <w:t>How to engage</w:t>
      </w:r>
      <w:bookmarkEnd w:id="8"/>
    </w:p>
    <w:p w14:paraId="21FC2B70" w14:textId="7867114F" w:rsidR="00EF0E26" w:rsidRDefault="00EF0E26" w:rsidP="004B281F">
      <w:pPr>
        <w:pStyle w:val="Heading4"/>
      </w:pPr>
      <w:r>
        <w:t>Consultation questions</w:t>
      </w:r>
    </w:p>
    <w:p w14:paraId="621B2175" w14:textId="4987FE20" w:rsidR="00EF0E26" w:rsidRDefault="00EF0E26" w:rsidP="00EF0E26">
      <w:r>
        <w:t xml:space="preserve">Throughout this </w:t>
      </w:r>
      <w:r w:rsidR="00EA66A3">
        <w:t>d</w:t>
      </w:r>
      <w:r>
        <w:t xml:space="preserve">iscussion </w:t>
      </w:r>
      <w:r w:rsidR="00EA66A3">
        <w:t>p</w:t>
      </w:r>
      <w:r>
        <w:t xml:space="preserve">aper, a series of consultation questions are posed </w:t>
      </w:r>
      <w:r w:rsidR="00C407E1">
        <w:t xml:space="preserve">(for example, see </w:t>
      </w:r>
      <w:hyperlink w:anchor="_The_need_for" w:history="1">
        <w:r w:rsidR="00C407E1" w:rsidRPr="00105BE1">
          <w:rPr>
            <w:rStyle w:val="Hyperlink"/>
          </w:rPr>
          <w:t>section 4.1</w:t>
        </w:r>
      </w:hyperlink>
      <w:r w:rsidR="00C407E1">
        <w:t xml:space="preserve">) </w:t>
      </w:r>
      <w:r>
        <w:t>to encourage stakeholders to respond.</w:t>
      </w:r>
    </w:p>
    <w:p w14:paraId="3E2BDC52" w14:textId="3F144C83" w:rsidR="00EF0E26" w:rsidRDefault="00EF0E26" w:rsidP="00736081">
      <w:pPr>
        <w:pStyle w:val="Heading4"/>
      </w:pPr>
      <w:r>
        <w:t>Providing feedback</w:t>
      </w:r>
    </w:p>
    <w:p w14:paraId="33B01B78" w14:textId="77777777" w:rsidR="00EF0E26" w:rsidRDefault="00EF0E26" w:rsidP="00EF0E26">
      <w:r>
        <w:t>Stakeholders are invited to provide feedback on the management scenarios by:</w:t>
      </w:r>
    </w:p>
    <w:p w14:paraId="061A90BB" w14:textId="7B9E8034" w:rsidR="00EF0E26" w:rsidRPr="006A4A52" w:rsidRDefault="00EF0E26" w:rsidP="006A4A52">
      <w:pPr>
        <w:pStyle w:val="ListBullet"/>
      </w:pPr>
      <w:r w:rsidRPr="006A4A52">
        <w:t>responding to a small number of questions during the meeting using the Mentimeter online tool that we will make available</w:t>
      </w:r>
    </w:p>
    <w:p w14:paraId="442F0A02" w14:textId="225ADC13" w:rsidR="00EF0E26" w:rsidRDefault="00EF0E26" w:rsidP="006A4A52">
      <w:pPr>
        <w:pStyle w:val="ListBullet"/>
      </w:pPr>
      <w:r w:rsidRPr="006A4A52">
        <w:t>responding to a questionnaire</w:t>
      </w:r>
      <w:r>
        <w:t xml:space="preserve"> which includes all questions in this </w:t>
      </w:r>
      <w:r w:rsidR="00A53C03">
        <w:t>d</w:t>
      </w:r>
      <w:r>
        <w:t xml:space="preserve">iscussion </w:t>
      </w:r>
      <w:r w:rsidR="00A53C03">
        <w:t>p</w:t>
      </w:r>
      <w:r>
        <w:t xml:space="preserve">aper. The questions are detailed throughout the document and are also consolidated in </w:t>
      </w:r>
      <w:hyperlink w:anchor="_Appendix_1:_Consultation" w:history="1">
        <w:r w:rsidRPr="00A81E69">
          <w:rPr>
            <w:rStyle w:val="Hyperlink"/>
          </w:rPr>
          <w:t>Appendix 1</w:t>
        </w:r>
      </w:hyperlink>
      <w:r w:rsidRPr="00A81E69">
        <w:t>.</w:t>
      </w:r>
    </w:p>
    <w:p w14:paraId="5B9FD1C8" w14:textId="3CE16FB9" w:rsidR="00EF0E26" w:rsidRDefault="00EF0E26" w:rsidP="00EF0E26">
      <w:r>
        <w:t>Responses can be provided by email. If you would like to provide verbal feedback, please email the Air Quality Policy Section to set up a time.</w:t>
      </w:r>
    </w:p>
    <w:p w14:paraId="1D3FC471" w14:textId="564E6092" w:rsidR="00EF0E26" w:rsidRPr="00EE0560" w:rsidRDefault="00EF0E26" w:rsidP="00EE0560">
      <w:r w:rsidRPr="00EE0560">
        <w:t xml:space="preserve">To provide feedback, contact the Air Quality Policy Section at </w:t>
      </w:r>
      <w:hyperlink r:id="rId18" w:history="1">
        <w:r w:rsidRPr="00EE0560">
          <w:rPr>
            <w:rStyle w:val="Hyperlink"/>
          </w:rPr>
          <w:t>airquality@awe.gov.au</w:t>
        </w:r>
      </w:hyperlink>
      <w:r w:rsidRPr="00EE0560">
        <w:t>.</w:t>
      </w:r>
    </w:p>
    <w:p w14:paraId="5960DE76" w14:textId="27A057DB" w:rsidR="00EF0E26" w:rsidRDefault="00EF0E26" w:rsidP="00565AD3">
      <w:pPr>
        <w:pStyle w:val="Heading2"/>
      </w:pPr>
      <w:bookmarkStart w:id="9" w:name="_Toc63874242"/>
      <w:r>
        <w:lastRenderedPageBreak/>
        <w:t>Background and policy context</w:t>
      </w:r>
      <w:bookmarkEnd w:id="9"/>
    </w:p>
    <w:p w14:paraId="744344BB" w14:textId="0A434F98" w:rsidR="00EF0E26" w:rsidRDefault="00EF0E26" w:rsidP="00565AD3">
      <w:pPr>
        <w:pStyle w:val="Heading3"/>
      </w:pPr>
      <w:bookmarkStart w:id="10" w:name="_Toc63874243"/>
      <w:r>
        <w:t>Non-road diesel engines</w:t>
      </w:r>
      <w:bookmarkEnd w:id="10"/>
    </w:p>
    <w:p w14:paraId="7EE13BEC" w14:textId="00EA3C0E" w:rsidR="00D940CF" w:rsidRDefault="00EF0E26" w:rsidP="00EF0E26">
      <w:r>
        <w:t xml:space="preserve">Diesel engines are installed in a wide range of non-road vehicles and equipment. Specific examples of equipment include tractors, cranes, loaders, excavators, bulldozers, forklifts, pumps, </w:t>
      </w:r>
      <w:proofErr w:type="gramStart"/>
      <w:r>
        <w:t>compressors</w:t>
      </w:r>
      <w:proofErr w:type="gramEnd"/>
      <w:r>
        <w:t xml:space="preserve"> and generators. Non-road diesel engines (NRDE) are used in a wide range of sectors and applications, including </w:t>
      </w:r>
      <w:r w:rsidR="00AC62B6">
        <w:t xml:space="preserve">industrial, </w:t>
      </w:r>
      <w:r>
        <w:t xml:space="preserve">construction, </w:t>
      </w:r>
      <w:r w:rsidR="00785067">
        <w:t xml:space="preserve">power generation, </w:t>
      </w:r>
      <w:r>
        <w:t>mining, agriculture, marine and forestry (</w:t>
      </w:r>
      <w:r w:rsidR="00F53308">
        <w:rPr>
          <w:highlight w:val="yellow"/>
        </w:rPr>
        <w:fldChar w:fldCharType="begin"/>
      </w:r>
      <w:r w:rsidR="00F53308">
        <w:instrText xml:space="preserve"> REF _Ref63264581 \h </w:instrText>
      </w:r>
      <w:r w:rsidR="00F53308">
        <w:rPr>
          <w:highlight w:val="yellow"/>
        </w:rPr>
      </w:r>
      <w:r w:rsidR="00F53308">
        <w:rPr>
          <w:highlight w:val="yellow"/>
        </w:rPr>
        <w:fldChar w:fldCharType="separate"/>
      </w:r>
      <w:r w:rsidR="00F53308">
        <w:t xml:space="preserve">Figure </w:t>
      </w:r>
      <w:r w:rsidR="00F53308">
        <w:rPr>
          <w:noProof/>
        </w:rPr>
        <w:t>2</w:t>
      </w:r>
      <w:r w:rsidR="00F53308">
        <w:rPr>
          <w:highlight w:val="yellow"/>
        </w:rPr>
        <w:fldChar w:fldCharType="end"/>
      </w:r>
      <w:r>
        <w:t>).</w:t>
      </w:r>
    </w:p>
    <w:p w14:paraId="6361486D" w14:textId="7F98052B" w:rsidR="008823DB" w:rsidRDefault="001A0E48" w:rsidP="001A0E48">
      <w:pPr>
        <w:pStyle w:val="Caption"/>
      </w:pPr>
      <w:bookmarkStart w:id="11" w:name="_Ref63264581"/>
      <w:bookmarkStart w:id="12" w:name="_Toc63874263"/>
      <w:r>
        <w:t xml:space="preserve">Figure </w:t>
      </w:r>
      <w:r w:rsidR="00126C54">
        <w:rPr>
          <w:noProof/>
        </w:rPr>
        <w:fldChar w:fldCharType="begin"/>
      </w:r>
      <w:r w:rsidR="00126C54">
        <w:rPr>
          <w:noProof/>
        </w:rPr>
        <w:instrText xml:space="preserve"> SEQ Figure \* ARABIC </w:instrText>
      </w:r>
      <w:r w:rsidR="00126C54">
        <w:rPr>
          <w:noProof/>
        </w:rPr>
        <w:fldChar w:fldCharType="separate"/>
      </w:r>
      <w:r w:rsidR="00A418E2">
        <w:rPr>
          <w:noProof/>
        </w:rPr>
        <w:t>2</w:t>
      </w:r>
      <w:r w:rsidR="00126C54">
        <w:rPr>
          <w:noProof/>
        </w:rPr>
        <w:fldChar w:fldCharType="end"/>
      </w:r>
      <w:bookmarkEnd w:id="11"/>
      <w:r>
        <w:t xml:space="preserve"> Uses of non-road diesel engines</w:t>
      </w:r>
      <w:bookmarkEnd w:id="12"/>
    </w:p>
    <w:p w14:paraId="41EF4638" w14:textId="24E3468B" w:rsidR="00065D0A" w:rsidRPr="00065D0A" w:rsidRDefault="00F837D4" w:rsidP="00065D0A">
      <w:r>
        <w:rPr>
          <w:noProof/>
        </w:rPr>
        <w:drawing>
          <wp:inline distT="0" distB="0" distL="0" distR="0" wp14:anchorId="2283780B" wp14:editId="7E198958">
            <wp:extent cx="5630061" cy="1247949"/>
            <wp:effectExtent l="0" t="0" r="8890" b="952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5630061" cy="1247949"/>
                    </a:xfrm>
                    <a:prstGeom prst="rect">
                      <a:avLst/>
                    </a:prstGeom>
                  </pic:spPr>
                </pic:pic>
              </a:graphicData>
            </a:graphic>
          </wp:inline>
        </w:drawing>
      </w:r>
    </w:p>
    <w:p w14:paraId="38B743DA" w14:textId="61816151" w:rsidR="00F7634B" w:rsidRDefault="00F7634B" w:rsidP="00F7634B">
      <w:pPr>
        <w:pStyle w:val="Heading3"/>
      </w:pPr>
      <w:bookmarkStart w:id="13" w:name="_Toc63874244"/>
      <w:r>
        <w:t>International standards for non-road diesel engines</w:t>
      </w:r>
      <w:bookmarkEnd w:id="13"/>
    </w:p>
    <w:p w14:paraId="69B2DAD5" w14:textId="77777777" w:rsidR="00F7634B" w:rsidRDefault="00F7634B" w:rsidP="00F7634B">
      <w:r>
        <w:t>Diesel engine exhaust contains many different pollutants which can cause harm to human health and the environment. Standards to limit NRDE emissions have been in place in the United States (US) and European Union (EU) since the mid-1990s.</w:t>
      </w:r>
    </w:p>
    <w:p w14:paraId="4374C5C1" w14:textId="0C4C912C" w:rsidR="00F7634B" w:rsidRDefault="00F7634B" w:rsidP="00F7634B">
      <w:r>
        <w:t xml:space="preserve">Over time both the US and EU have developed </w:t>
      </w:r>
      <w:proofErr w:type="gramStart"/>
      <w:r>
        <w:t>a number of</w:t>
      </w:r>
      <w:proofErr w:type="gramEnd"/>
      <w:r>
        <w:t xml:space="preserve"> ‘</w:t>
      </w:r>
      <w:r w:rsidR="000D2AA4">
        <w:t>t</w:t>
      </w:r>
      <w:r>
        <w:t>iers’ or ‘</w:t>
      </w:r>
      <w:r w:rsidR="000D2AA4">
        <w:t>s</w:t>
      </w:r>
      <w:r>
        <w:t>tages’ of emission standards with increasingly stringent pollutant limits (</w:t>
      </w:r>
      <w:r w:rsidRPr="00674C70">
        <w:t xml:space="preserve">see </w:t>
      </w:r>
      <w:r w:rsidR="00674C70">
        <w:rPr>
          <w:highlight w:val="yellow"/>
        </w:rPr>
        <w:fldChar w:fldCharType="begin"/>
      </w:r>
      <w:r w:rsidR="00674C70">
        <w:rPr>
          <w:highlight w:val="yellow"/>
        </w:rPr>
        <w:instrText xml:space="preserve"> REF _Ref63264756 \h </w:instrText>
      </w:r>
      <w:r w:rsidR="00674C70">
        <w:rPr>
          <w:highlight w:val="yellow"/>
        </w:rPr>
      </w:r>
      <w:r w:rsidR="00674C70">
        <w:rPr>
          <w:highlight w:val="yellow"/>
        </w:rPr>
        <w:fldChar w:fldCharType="separate"/>
      </w:r>
      <w:r w:rsidR="00674C70">
        <w:t xml:space="preserve">Figure </w:t>
      </w:r>
      <w:r w:rsidR="00674C70">
        <w:rPr>
          <w:noProof/>
        </w:rPr>
        <w:t>3</w:t>
      </w:r>
      <w:r w:rsidR="00674C70">
        <w:rPr>
          <w:highlight w:val="yellow"/>
        </w:rPr>
        <w:fldChar w:fldCharType="end"/>
      </w:r>
      <w:r>
        <w:t>).</w:t>
      </w:r>
    </w:p>
    <w:p w14:paraId="64F99A21" w14:textId="19C3C378" w:rsidR="005A5BF3" w:rsidRDefault="00674C70" w:rsidP="00674C70">
      <w:pPr>
        <w:pStyle w:val="Caption"/>
      </w:pPr>
      <w:bookmarkStart w:id="14" w:name="_Ref63264756"/>
      <w:bookmarkStart w:id="15" w:name="_Toc63874264"/>
      <w:r>
        <w:t xml:space="preserve">Figure </w:t>
      </w:r>
      <w:r w:rsidR="00126C54">
        <w:rPr>
          <w:noProof/>
        </w:rPr>
        <w:fldChar w:fldCharType="begin"/>
      </w:r>
      <w:r w:rsidR="00126C54">
        <w:rPr>
          <w:noProof/>
        </w:rPr>
        <w:instrText xml:space="preserve"> SEQ Figure \* ARABIC </w:instrText>
      </w:r>
      <w:r w:rsidR="00126C54">
        <w:rPr>
          <w:noProof/>
        </w:rPr>
        <w:fldChar w:fldCharType="separate"/>
      </w:r>
      <w:r w:rsidR="00A418E2">
        <w:rPr>
          <w:noProof/>
        </w:rPr>
        <w:t>3</w:t>
      </w:r>
      <w:r w:rsidR="00126C54">
        <w:rPr>
          <w:noProof/>
        </w:rPr>
        <w:fldChar w:fldCharType="end"/>
      </w:r>
      <w:bookmarkEnd w:id="14"/>
      <w:r>
        <w:t xml:space="preserve"> </w:t>
      </w:r>
      <w:bookmarkStart w:id="16" w:name="_Toc52982672"/>
      <w:r w:rsidRPr="00505838">
        <w:t xml:space="preserve">US and </w:t>
      </w:r>
      <w:r>
        <w:t xml:space="preserve">broadly </w:t>
      </w:r>
      <w:r w:rsidRPr="00505838">
        <w:t>equivalent EU non-road diesel engine standards</w:t>
      </w:r>
      <w:bookmarkEnd w:id="15"/>
      <w:bookmarkEnd w:id="16"/>
    </w:p>
    <w:p w14:paraId="228E7F7E" w14:textId="3A006AD8" w:rsidR="00D64CCC" w:rsidRDefault="00CC68C3" w:rsidP="00F7634B">
      <w:r>
        <w:rPr>
          <w:noProof/>
        </w:rPr>
        <w:drawing>
          <wp:inline distT="0" distB="0" distL="0" distR="0" wp14:anchorId="3D0FA541" wp14:editId="5DDCFE78">
            <wp:extent cx="5020376" cy="1914792"/>
            <wp:effectExtent l="0" t="0" r="8890" b="9525"/>
            <wp:docPr id="7" name="Picture 7" descr="Engines with no emissions standards may be referred to as Tier 0 in the US or pre-Stage 1 in the EU. The least stringent US standards are Tier 1 which are equivalent to EU Stage I. Tiers and Stages with higher numbers have increasingly stringent pollutant limits. The recent standards are US Tier 4 final which are equivalent to EU Stage IV and Stage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ngines with no emissions standards may be referred to as Tier 0 in the US or pre-Stage 1 in the EU. The least stringent US standards are Tier 1 which are equivalent to EU Stage I. Tiers and Stages with higher numbers have increasingly stringent pollutant limits. The recent standards are US Tier 4 final which are equivalent to EU Stage IV and Stage V."/>
                    <pic:cNvPicPr/>
                  </pic:nvPicPr>
                  <pic:blipFill>
                    <a:blip r:embed="rId20">
                      <a:extLst>
                        <a:ext uri="{28A0092B-C50C-407E-A947-70E740481C1C}">
                          <a14:useLocalDpi xmlns:a14="http://schemas.microsoft.com/office/drawing/2010/main" val="0"/>
                        </a:ext>
                      </a:extLst>
                    </a:blip>
                    <a:stretch>
                      <a:fillRect/>
                    </a:stretch>
                  </pic:blipFill>
                  <pic:spPr>
                    <a:xfrm>
                      <a:off x="0" y="0"/>
                      <a:ext cx="5020376" cy="1914792"/>
                    </a:xfrm>
                    <a:prstGeom prst="rect">
                      <a:avLst/>
                    </a:prstGeom>
                  </pic:spPr>
                </pic:pic>
              </a:graphicData>
            </a:graphic>
          </wp:inline>
        </w:drawing>
      </w:r>
    </w:p>
    <w:p w14:paraId="32543ECA" w14:textId="5D0D3189" w:rsidR="005A5BF3" w:rsidRDefault="00D64CCC" w:rsidP="00F7634B">
      <w:r w:rsidRPr="00D64CCC">
        <w:t xml:space="preserve">Each </w:t>
      </w:r>
      <w:r w:rsidR="00B636FD">
        <w:t>t</w:t>
      </w:r>
      <w:r w:rsidR="00CB1C77">
        <w:t>ier</w:t>
      </w:r>
      <w:r w:rsidRPr="00D64CCC">
        <w:t xml:space="preserve"> or </w:t>
      </w:r>
      <w:r w:rsidR="00B636FD">
        <w:t>s</w:t>
      </w:r>
      <w:r w:rsidRPr="00D64CCC">
        <w:t>tage has different emission limits for different pollutants which are defined in relation to rated engine power output (power bands).</w:t>
      </w:r>
    </w:p>
    <w:p w14:paraId="6C61BF6A" w14:textId="77777777" w:rsidR="00A40D6F" w:rsidRPr="00674C70" w:rsidRDefault="00FE3054" w:rsidP="00674C70">
      <w:r w:rsidRPr="00674C70">
        <w:t xml:space="preserve">Engines sold today in the US and EU are required to meet emission limits for key air </w:t>
      </w:r>
      <w:proofErr w:type="spellStart"/>
      <w:r w:rsidRPr="00674C70">
        <w:t>polluntants</w:t>
      </w:r>
      <w:proofErr w:type="spellEnd"/>
      <w:r w:rsidRPr="00674C70">
        <w:t xml:space="preserve"> that are approximately 95% lower than the limits first introduced in the 1990s</w:t>
      </w:r>
      <w:r w:rsidR="008004AC" w:rsidRPr="00674C70">
        <w:t>.</w:t>
      </w:r>
    </w:p>
    <w:p w14:paraId="2617961B" w14:textId="4FCFA7B6" w:rsidR="00CE1851" w:rsidRPr="00674C70" w:rsidRDefault="00CE1851" w:rsidP="00A40D6F">
      <w:r>
        <w:t xml:space="preserve">More information about US and EU NRDE standards are available in </w:t>
      </w:r>
      <w:hyperlink w:anchor="_Appendix_3:_International" w:history="1">
        <w:r w:rsidRPr="00E802B0">
          <w:rPr>
            <w:rStyle w:val="Hyperlink"/>
          </w:rPr>
          <w:t>Appendix 3</w:t>
        </w:r>
      </w:hyperlink>
      <w:r w:rsidRPr="00E802B0">
        <w:t xml:space="preserve">, </w:t>
      </w:r>
      <w:hyperlink w:anchor="_Appendix_4:_US" w:history="1">
        <w:r w:rsidRPr="00E802B0">
          <w:rPr>
            <w:rStyle w:val="Hyperlink"/>
          </w:rPr>
          <w:t>Appendix 4</w:t>
        </w:r>
      </w:hyperlink>
      <w:r w:rsidRPr="00E802B0">
        <w:t xml:space="preserve"> and </w:t>
      </w:r>
      <w:hyperlink w:anchor="_Appendix_5:_EU" w:history="1">
        <w:r w:rsidRPr="00E802B0">
          <w:rPr>
            <w:rStyle w:val="Hyperlink"/>
          </w:rPr>
          <w:t>Appendix 5</w:t>
        </w:r>
      </w:hyperlink>
      <w:r w:rsidRPr="00E802B0">
        <w:t>.</w:t>
      </w:r>
    </w:p>
    <w:p w14:paraId="0339BEF4" w14:textId="1E3FD8FA" w:rsidR="008A2737" w:rsidRDefault="00CE1851" w:rsidP="00CE1851">
      <w:r>
        <w:lastRenderedPageBreak/>
        <w:t xml:space="preserve">Since their introduction in the US and EU, NRDE emission standards have been applied in other countries including Canada, Japan, China, India, Brazil, Hong </w:t>
      </w:r>
      <w:proofErr w:type="gramStart"/>
      <w:r>
        <w:t>Kong</w:t>
      </w:r>
      <w:proofErr w:type="gramEnd"/>
      <w:r>
        <w:t xml:space="preserve"> and Singapore </w:t>
      </w:r>
      <w:r w:rsidRPr="001572C9">
        <w:t>(</w:t>
      </w:r>
      <w:r w:rsidR="00674C70" w:rsidRPr="001572C9">
        <w:t xml:space="preserve">see </w:t>
      </w:r>
      <w:r w:rsidR="001572C9">
        <w:fldChar w:fldCharType="begin"/>
      </w:r>
      <w:r w:rsidR="001572C9">
        <w:instrText xml:space="preserve"> REF _Ref63265055 \h </w:instrText>
      </w:r>
      <w:r w:rsidR="001572C9">
        <w:fldChar w:fldCharType="separate"/>
      </w:r>
      <w:r w:rsidR="001572C9">
        <w:t xml:space="preserve">Figure </w:t>
      </w:r>
      <w:r w:rsidR="001572C9">
        <w:rPr>
          <w:noProof/>
        </w:rPr>
        <w:t>4</w:t>
      </w:r>
      <w:r w:rsidR="001572C9">
        <w:fldChar w:fldCharType="end"/>
      </w:r>
      <w:r>
        <w:t>).</w:t>
      </w:r>
    </w:p>
    <w:p w14:paraId="6E859308" w14:textId="73F0C717" w:rsidR="007A6597" w:rsidRDefault="00674C70" w:rsidP="00674C70">
      <w:pPr>
        <w:pStyle w:val="Caption"/>
      </w:pPr>
      <w:bookmarkStart w:id="17" w:name="_Ref63265055"/>
      <w:bookmarkStart w:id="18" w:name="_Toc63874265"/>
      <w:r>
        <w:t xml:space="preserve">Figure </w:t>
      </w:r>
      <w:r w:rsidR="00126C54">
        <w:rPr>
          <w:noProof/>
        </w:rPr>
        <w:fldChar w:fldCharType="begin"/>
      </w:r>
      <w:r w:rsidR="00126C54">
        <w:rPr>
          <w:noProof/>
        </w:rPr>
        <w:instrText xml:space="preserve"> SEQ Figure \* ARABIC </w:instrText>
      </w:r>
      <w:r w:rsidR="00126C54">
        <w:rPr>
          <w:noProof/>
        </w:rPr>
        <w:fldChar w:fldCharType="separate"/>
      </w:r>
      <w:r w:rsidR="00A418E2">
        <w:rPr>
          <w:noProof/>
        </w:rPr>
        <w:t>4</w:t>
      </w:r>
      <w:r w:rsidR="00126C54">
        <w:rPr>
          <w:noProof/>
        </w:rPr>
        <w:fldChar w:fldCharType="end"/>
      </w:r>
      <w:bookmarkEnd w:id="17"/>
      <w:r w:rsidR="00625CB2">
        <w:t xml:space="preserve"> </w:t>
      </w:r>
      <w:r w:rsidR="00625CB2" w:rsidRPr="007A6597">
        <w:t>Introduction of NRDE emission standards to other countries</w:t>
      </w:r>
      <w:bookmarkEnd w:id="18"/>
    </w:p>
    <w:p w14:paraId="30EF9418" w14:textId="5834DDF6" w:rsidR="00445159" w:rsidRDefault="00445159" w:rsidP="00CE1851">
      <w:r>
        <w:rPr>
          <w:noProof/>
        </w:rPr>
        <w:drawing>
          <wp:inline distT="0" distB="0" distL="0" distR="0" wp14:anchorId="1502F031" wp14:editId="73162776">
            <wp:extent cx="5759450" cy="3236096"/>
            <wp:effectExtent l="0" t="0" r="0" b="0"/>
            <wp:docPr id="18" name="Picture 18" descr="The USA was the first country to introduce NRDE emission standards in 1994, followed by EU in 1997 and Canada in 1999.&#10;Some other countries to introduce standards were India in 2006, China in 2007, Brazil in 2011 and Russia i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USA was the first country to introduce NRDE emission standards in 1994, followed by EU in 1997 and Canada in 1999.&#10;Some other countries to introduce standards were India in 2006, China in 2007, Brazil in 2011 and Russia in 20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3236096"/>
                    </a:xfrm>
                    <a:prstGeom prst="rect">
                      <a:avLst/>
                    </a:prstGeom>
                    <a:noFill/>
                    <a:ln>
                      <a:noFill/>
                    </a:ln>
                  </pic:spPr>
                </pic:pic>
              </a:graphicData>
            </a:graphic>
          </wp:inline>
        </w:drawing>
      </w:r>
    </w:p>
    <w:p w14:paraId="57AB4248" w14:textId="4A631307" w:rsidR="00836FB9" w:rsidRDefault="00836FB9" w:rsidP="00836FB9">
      <w:r>
        <w:t xml:space="preserve">Most countries have implemented NRDE emission standards and use either the </w:t>
      </w:r>
      <w:hyperlink r:id="rId22" w:history="1">
        <w:r w:rsidR="00043AA1">
          <w:rPr>
            <w:rStyle w:val="Hyperlink"/>
          </w:rPr>
          <w:t xml:space="preserve">US NRDE emission standards </w:t>
        </w:r>
      </w:hyperlink>
      <w:r>
        <w:t xml:space="preserve">or </w:t>
      </w:r>
      <w:hyperlink r:id="rId23" w:history="1">
        <w:r w:rsidR="00043AA1">
          <w:rPr>
            <w:rStyle w:val="Hyperlink"/>
          </w:rPr>
          <w:t>EU NRDE emission standards</w:t>
        </w:r>
      </w:hyperlink>
      <w:r>
        <w:t>, or a combination of these standards. Various countries have now adopted either the US ‘</w:t>
      </w:r>
      <w:r w:rsidR="00DC2660">
        <w:t>t</w:t>
      </w:r>
      <w:r>
        <w:t>ier 3’ or EU ‘</w:t>
      </w:r>
      <w:r w:rsidR="00DC2660">
        <w:t>s</w:t>
      </w:r>
      <w:r>
        <w:t>tage IV’ standards. Several countries have implemented (or are phasing in) stricter limits as:</w:t>
      </w:r>
    </w:p>
    <w:p w14:paraId="601AA8B5" w14:textId="4480E645" w:rsidR="00836FB9" w:rsidRDefault="00836FB9" w:rsidP="00DC2660">
      <w:pPr>
        <w:pStyle w:val="ListBullet"/>
      </w:pPr>
      <w:r>
        <w:t>awareness of the impact of diesel emissions grows</w:t>
      </w:r>
    </w:p>
    <w:p w14:paraId="7F33F856" w14:textId="7B7F1FB7" w:rsidR="00836FB9" w:rsidRDefault="00836FB9" w:rsidP="00DC2660">
      <w:pPr>
        <w:pStyle w:val="ListBullet"/>
      </w:pPr>
      <w:r>
        <w:t>advances in emission-control technology allow for a lower level of pollutants in diesel exhaust.</w:t>
      </w:r>
    </w:p>
    <w:p w14:paraId="09AEAB26" w14:textId="5D67FD6F" w:rsidR="00D127BF" w:rsidRDefault="00D127BF" w:rsidP="00D127BF">
      <w:pPr>
        <w:pStyle w:val="Heading3"/>
      </w:pPr>
      <w:bookmarkStart w:id="19" w:name="_Policy_context"/>
      <w:bookmarkStart w:id="20" w:name="_Toc63874245"/>
      <w:bookmarkEnd w:id="19"/>
      <w:r>
        <w:t>Policy context</w:t>
      </w:r>
      <w:bookmarkEnd w:id="20"/>
    </w:p>
    <w:p w14:paraId="0CE879F2" w14:textId="4F873934" w:rsidR="00D127BF" w:rsidRDefault="00D127BF" w:rsidP="00D127BF">
      <w:r>
        <w:t xml:space="preserve">Australia has not adopted standards to limit emissions from NRDE. </w:t>
      </w:r>
      <w:r w:rsidR="009A08B2" w:rsidRPr="009A08B2">
        <w:t>In 2010 it was found that in Australia</w:t>
      </w:r>
      <w:r w:rsidR="00A65143">
        <w:t xml:space="preserve"> (NSW EPA 2010)</w:t>
      </w:r>
      <w:r>
        <w:t>:</w:t>
      </w:r>
    </w:p>
    <w:p w14:paraId="4D9AE1AD" w14:textId="35D91FD6" w:rsidR="00D127BF" w:rsidRDefault="00D127BF" w:rsidP="00D127BF">
      <w:pPr>
        <w:pStyle w:val="ListBullet"/>
      </w:pPr>
      <w:r>
        <w:t>there was low passive uptake of international NRDE emission standards</w:t>
      </w:r>
    </w:p>
    <w:p w14:paraId="49D07C7E" w14:textId="55910B64" w:rsidR="00D127BF" w:rsidRDefault="00D127BF" w:rsidP="00D127BF">
      <w:pPr>
        <w:pStyle w:val="ListBullet"/>
      </w:pPr>
      <w:r>
        <w:t>significant emissions reductions and health benefits may be achieved by introducing national NRDE emission limits based on existing overseas standards.</w:t>
      </w:r>
    </w:p>
    <w:p w14:paraId="5E44D506" w14:textId="05604FAE" w:rsidR="00D127BF" w:rsidRDefault="00D127BF" w:rsidP="00D127BF">
      <w:r>
        <w:t xml:space="preserve">In December 2015, Australia’s </w:t>
      </w:r>
      <w:r w:rsidR="00ED62E2">
        <w:t>e</w:t>
      </w:r>
      <w:r>
        <w:t xml:space="preserve">nvironment </w:t>
      </w:r>
      <w:r w:rsidR="00ED62E2">
        <w:t>m</w:t>
      </w:r>
      <w:r>
        <w:t xml:space="preserve">inisters established the </w:t>
      </w:r>
      <w:hyperlink r:id="rId24" w:history="1">
        <w:r w:rsidRPr="00642D3E">
          <w:rPr>
            <w:rStyle w:val="Hyperlink"/>
          </w:rPr>
          <w:t>National Clean Air Agreement</w:t>
        </w:r>
      </w:hyperlink>
      <w:r>
        <w:t xml:space="preserve"> to identify national priorities and coordinate efforts to reduce air pollution. The Agreement is implemented through biennial work plans.</w:t>
      </w:r>
    </w:p>
    <w:p w14:paraId="11AD2C90" w14:textId="38D2710D" w:rsidR="00D127BF" w:rsidRDefault="00D127BF" w:rsidP="00D127BF">
      <w:r>
        <w:t xml:space="preserve">In 2018 </w:t>
      </w:r>
      <w:r w:rsidR="00ED62E2">
        <w:t>e</w:t>
      </w:r>
      <w:r>
        <w:t xml:space="preserve">nvironment </w:t>
      </w:r>
      <w:r w:rsidR="00ED62E2">
        <w:t>m</w:t>
      </w:r>
      <w:r>
        <w:t>inisters agreed to progress an evaluation of the potential for a national approach to manage non-road diesel engine emissions (the evaluation), as a priority emission reduction measure under the National Clean Air Agreement work plans. The evaluation is being led by the department and the NSW Department of Planning, Industry and Environment.</w:t>
      </w:r>
    </w:p>
    <w:p w14:paraId="56F0BC45" w14:textId="1B12137B" w:rsidR="00C206F9" w:rsidRDefault="00D127BF" w:rsidP="00D127BF">
      <w:r>
        <w:lastRenderedPageBreak/>
        <w:t>The evaluation includes two main analytical stages</w:t>
      </w:r>
      <w:r w:rsidR="00054CAA">
        <w:t xml:space="preserve"> as shown in </w:t>
      </w:r>
      <w:r w:rsidR="00C86FA7">
        <w:fldChar w:fldCharType="begin"/>
      </w:r>
      <w:r w:rsidR="00C86FA7">
        <w:instrText xml:space="preserve"> REF _Ref63265749 \h </w:instrText>
      </w:r>
      <w:r w:rsidR="00C86FA7">
        <w:fldChar w:fldCharType="separate"/>
      </w:r>
      <w:r w:rsidR="00C86FA7">
        <w:t xml:space="preserve">Figure </w:t>
      </w:r>
      <w:r w:rsidR="00C86FA7">
        <w:rPr>
          <w:noProof/>
        </w:rPr>
        <w:t>5</w:t>
      </w:r>
      <w:r w:rsidR="00C86FA7">
        <w:fldChar w:fldCharType="end"/>
      </w:r>
      <w:r w:rsidR="00124668" w:rsidRPr="00C86FA7">
        <w:t>.</w:t>
      </w:r>
    </w:p>
    <w:p w14:paraId="33DCAADD" w14:textId="39FE9CB0" w:rsidR="00461B9B" w:rsidRDefault="00C86FA7" w:rsidP="00C86FA7">
      <w:pPr>
        <w:pStyle w:val="Caption"/>
      </w:pPr>
      <w:bookmarkStart w:id="21" w:name="_Ref63265749"/>
      <w:bookmarkStart w:id="22" w:name="_Toc63874266"/>
      <w:r>
        <w:t xml:space="preserve">Figure </w:t>
      </w:r>
      <w:r w:rsidR="00126C54">
        <w:rPr>
          <w:noProof/>
        </w:rPr>
        <w:fldChar w:fldCharType="begin"/>
      </w:r>
      <w:r w:rsidR="00126C54">
        <w:rPr>
          <w:noProof/>
        </w:rPr>
        <w:instrText xml:space="preserve"> SEQ Figure \* ARABIC </w:instrText>
      </w:r>
      <w:r w:rsidR="00126C54">
        <w:rPr>
          <w:noProof/>
        </w:rPr>
        <w:fldChar w:fldCharType="separate"/>
      </w:r>
      <w:r w:rsidR="00A418E2">
        <w:rPr>
          <w:noProof/>
        </w:rPr>
        <w:t>5</w:t>
      </w:r>
      <w:r w:rsidR="00126C54">
        <w:rPr>
          <w:noProof/>
        </w:rPr>
        <w:fldChar w:fldCharType="end"/>
      </w:r>
      <w:bookmarkEnd w:id="21"/>
      <w:r>
        <w:t xml:space="preserve"> Analytical stages of the evaluation</w:t>
      </w:r>
      <w:bookmarkEnd w:id="22"/>
    </w:p>
    <w:p w14:paraId="154C07B0" w14:textId="77777777" w:rsidR="00F42A84" w:rsidRDefault="00F42A84" w:rsidP="00D127BF">
      <w:r>
        <w:rPr>
          <w:noProof/>
        </w:rPr>
        <w:drawing>
          <wp:inline distT="0" distB="0" distL="0" distR="0" wp14:anchorId="78CA6311" wp14:editId="11DA0B4A">
            <wp:extent cx="5731510" cy="1318895"/>
            <wp:effectExtent l="0" t="0" r="2540" b="0"/>
            <wp:docPr id="3" name="Picture 3" descr="The first stage of the evaluation was a market analysis to understand the nature and emissions profile of the sector in Australia. This was completed in December 2019.&#10;The second stage is a cost-benefit analysis of potential management scenarios to manage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first stage of the evaluation was a market analysis to understand the nature and emissions profile of the sector in Australia. This was completed in December 2019.&#10;The second stage is a cost-benefit analysis of potential management scenarios to manage emissions."/>
                    <pic:cNvPicPr/>
                  </pic:nvPicPr>
                  <pic:blipFill>
                    <a:blip r:embed="rId25">
                      <a:extLst>
                        <a:ext uri="{28A0092B-C50C-407E-A947-70E740481C1C}">
                          <a14:useLocalDpi xmlns:a14="http://schemas.microsoft.com/office/drawing/2010/main" val="0"/>
                        </a:ext>
                      </a:extLst>
                    </a:blip>
                    <a:stretch>
                      <a:fillRect/>
                    </a:stretch>
                  </pic:blipFill>
                  <pic:spPr>
                    <a:xfrm>
                      <a:off x="0" y="0"/>
                      <a:ext cx="5731510" cy="1318895"/>
                    </a:xfrm>
                    <a:prstGeom prst="rect">
                      <a:avLst/>
                    </a:prstGeom>
                  </pic:spPr>
                </pic:pic>
              </a:graphicData>
            </a:graphic>
          </wp:inline>
        </w:drawing>
      </w:r>
    </w:p>
    <w:p w14:paraId="29FEED27" w14:textId="78739847" w:rsidR="00461B9B" w:rsidRDefault="0044284D" w:rsidP="00D127BF">
      <w:r w:rsidRPr="0044284D">
        <w:t>The market analysis identified that NRDE in Australia produce significant emissions and there has been a low uptake of international NRDE emission standards. Further examination was supported and in December 2019 the cost-benefit analysis commenced. It is anticipated it will be completed by late</w:t>
      </w:r>
      <w:r w:rsidR="00D444BF">
        <w:t xml:space="preserve"> </w:t>
      </w:r>
      <w:r w:rsidRPr="0044284D">
        <w:t>2021.</w:t>
      </w:r>
    </w:p>
    <w:p w14:paraId="2488C9B5" w14:textId="7D16B562" w:rsidR="00222A61" w:rsidRDefault="00222A61" w:rsidP="00D127BF">
      <w:r w:rsidRPr="00222A61">
        <w:t xml:space="preserve">The evaluation findings will inform a recommendation to </w:t>
      </w:r>
      <w:r w:rsidR="00BB5D4A">
        <w:t>e</w:t>
      </w:r>
      <w:r w:rsidRPr="00222A61">
        <w:t xml:space="preserve">nvironment </w:t>
      </w:r>
      <w:r w:rsidR="00BB5D4A">
        <w:t>m</w:t>
      </w:r>
      <w:r w:rsidRPr="00222A61">
        <w:t>inisters on whether to progress to formal consideration of the management scenarios (regulation impact analysis). Key steps in the evaluation</w:t>
      </w:r>
      <w:r w:rsidR="007209FA">
        <w:t xml:space="preserve"> are</w:t>
      </w:r>
      <w:r w:rsidR="00384755">
        <w:t xml:space="preserve"> shown in </w:t>
      </w:r>
      <w:r w:rsidR="00DE3178">
        <w:fldChar w:fldCharType="begin"/>
      </w:r>
      <w:r w:rsidR="00DE3178">
        <w:instrText xml:space="preserve"> REF _Ref63266175 \h </w:instrText>
      </w:r>
      <w:r w:rsidR="00DE3178">
        <w:fldChar w:fldCharType="separate"/>
      </w:r>
      <w:r w:rsidR="00DE3178">
        <w:t xml:space="preserve">Figure </w:t>
      </w:r>
      <w:r w:rsidR="00DE3178">
        <w:rPr>
          <w:noProof/>
        </w:rPr>
        <w:t>6</w:t>
      </w:r>
      <w:r w:rsidR="00DE3178">
        <w:fldChar w:fldCharType="end"/>
      </w:r>
      <w:r w:rsidR="00384755">
        <w:t>.</w:t>
      </w:r>
    </w:p>
    <w:p w14:paraId="3E0C6968" w14:textId="1AA4715C" w:rsidR="00392E92" w:rsidRDefault="00D444BF" w:rsidP="002A2EEA">
      <w:pPr>
        <w:pStyle w:val="Caption"/>
      </w:pPr>
      <w:bookmarkStart w:id="23" w:name="_Ref63266175"/>
      <w:bookmarkStart w:id="24" w:name="_Toc63874267"/>
      <w:r>
        <w:t xml:space="preserve">Figure </w:t>
      </w:r>
      <w:r w:rsidR="00126C54">
        <w:rPr>
          <w:noProof/>
        </w:rPr>
        <w:fldChar w:fldCharType="begin"/>
      </w:r>
      <w:r w:rsidR="00126C54">
        <w:rPr>
          <w:noProof/>
        </w:rPr>
        <w:instrText xml:space="preserve"> SEQ Figure \* ARABIC </w:instrText>
      </w:r>
      <w:r w:rsidR="00126C54">
        <w:rPr>
          <w:noProof/>
        </w:rPr>
        <w:fldChar w:fldCharType="separate"/>
      </w:r>
      <w:r w:rsidR="00A418E2">
        <w:rPr>
          <w:noProof/>
        </w:rPr>
        <w:t>6</w:t>
      </w:r>
      <w:r w:rsidR="00126C54">
        <w:rPr>
          <w:noProof/>
        </w:rPr>
        <w:fldChar w:fldCharType="end"/>
      </w:r>
      <w:bookmarkEnd w:id="23"/>
      <w:r>
        <w:t xml:space="preserve"> Key steps in the evaluation</w:t>
      </w:r>
      <w:bookmarkEnd w:id="24"/>
    </w:p>
    <w:p w14:paraId="2AA1ADC7" w14:textId="41CE6033" w:rsidR="002A2EEA" w:rsidRPr="002A2EEA" w:rsidRDefault="002A2EEA" w:rsidP="002A2EEA">
      <w:r>
        <w:rPr>
          <w:b/>
          <w:bCs/>
          <w:noProof/>
        </w:rPr>
        <w:drawing>
          <wp:inline distT="0" distB="0" distL="0" distR="0" wp14:anchorId="254D65C9" wp14:editId="29CC8977">
            <wp:extent cx="5600700" cy="1657350"/>
            <wp:effectExtent l="0" t="0" r="381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3092B5C3" w14:textId="5C6D7549" w:rsidR="00A34254" w:rsidRPr="00A34254" w:rsidRDefault="0003147D" w:rsidP="00A34254">
      <w:r>
        <w:t xml:space="preserve">Figure 6 was updated in </w:t>
      </w:r>
      <w:r w:rsidR="0098556F">
        <w:t>March</w:t>
      </w:r>
      <w:r>
        <w:t xml:space="preserve"> 2021 to reflect changed timeline.</w:t>
      </w:r>
    </w:p>
    <w:p w14:paraId="24C651ED" w14:textId="22445FA0" w:rsidR="004148AA" w:rsidRDefault="008B554A" w:rsidP="003F7566">
      <w:r w:rsidRPr="008B554A">
        <w:t xml:space="preserve">Information on the cost-benefit analysis method is provided in </w:t>
      </w:r>
      <w:hyperlink w:anchor="_Appendix_2:_Analysis" w:history="1">
        <w:r w:rsidRPr="00C34FF1">
          <w:rPr>
            <w:rStyle w:val="Hyperlink"/>
          </w:rPr>
          <w:t>Appendix 2</w:t>
        </w:r>
      </w:hyperlink>
      <w:r w:rsidRPr="008B554A">
        <w:t>.</w:t>
      </w:r>
    </w:p>
    <w:p w14:paraId="367DCF93" w14:textId="5FB23B90" w:rsidR="00F16756" w:rsidRDefault="00F16756" w:rsidP="00F16756">
      <w:pPr>
        <w:pStyle w:val="Heading3"/>
      </w:pPr>
      <w:bookmarkStart w:id="25" w:name="_Toc63874246"/>
      <w:r>
        <w:t>Scope of evaluation</w:t>
      </w:r>
      <w:bookmarkEnd w:id="25"/>
    </w:p>
    <w:p w14:paraId="6E86B146" w14:textId="3A8CA332" w:rsidR="004F66B6" w:rsidRDefault="00F16756" w:rsidP="00F16756">
      <w:r>
        <w:t xml:space="preserve">Diesel engines are installed in a wide range of non-road vehicles and equipment. The scope of NRDE equipment types included in the evaluation are summarised in </w:t>
      </w:r>
      <w:r w:rsidR="00C073B1">
        <w:fldChar w:fldCharType="begin"/>
      </w:r>
      <w:r w:rsidR="00C073B1">
        <w:instrText xml:space="preserve"> REF _Ref63266294 \h </w:instrText>
      </w:r>
      <w:r w:rsidR="00C073B1">
        <w:fldChar w:fldCharType="separate"/>
      </w:r>
      <w:r w:rsidR="00C073B1">
        <w:t xml:space="preserve">Figure </w:t>
      </w:r>
      <w:r w:rsidR="00C073B1">
        <w:rPr>
          <w:noProof/>
        </w:rPr>
        <w:t>7</w:t>
      </w:r>
      <w:r w:rsidR="00C073B1">
        <w:fldChar w:fldCharType="end"/>
      </w:r>
      <w:r w:rsidR="00C073B1">
        <w:t>.</w:t>
      </w:r>
    </w:p>
    <w:p w14:paraId="7153E2A8" w14:textId="3665C71C" w:rsidR="0014545D" w:rsidRDefault="00FB082D" w:rsidP="00FB082D">
      <w:pPr>
        <w:pStyle w:val="Caption"/>
        <w:rPr>
          <w:rFonts w:cs="Arial"/>
        </w:rPr>
      </w:pPr>
      <w:bookmarkStart w:id="26" w:name="_Ref63266294"/>
      <w:bookmarkStart w:id="27" w:name="_Toc63874268"/>
      <w:r>
        <w:lastRenderedPageBreak/>
        <w:t xml:space="preserve">Figure </w:t>
      </w:r>
      <w:r w:rsidR="00126C54">
        <w:rPr>
          <w:noProof/>
        </w:rPr>
        <w:fldChar w:fldCharType="begin"/>
      </w:r>
      <w:r w:rsidR="00126C54">
        <w:rPr>
          <w:noProof/>
        </w:rPr>
        <w:instrText xml:space="preserve"> SEQ Figure \* ARABIC </w:instrText>
      </w:r>
      <w:r w:rsidR="00126C54">
        <w:rPr>
          <w:noProof/>
        </w:rPr>
        <w:fldChar w:fldCharType="separate"/>
      </w:r>
      <w:r w:rsidR="00A418E2">
        <w:rPr>
          <w:noProof/>
        </w:rPr>
        <w:t>7</w:t>
      </w:r>
      <w:r w:rsidR="00126C54">
        <w:rPr>
          <w:noProof/>
        </w:rPr>
        <w:fldChar w:fldCharType="end"/>
      </w:r>
      <w:bookmarkEnd w:id="26"/>
      <w:r w:rsidR="00C073B1">
        <w:t xml:space="preserve"> </w:t>
      </w:r>
      <w:r w:rsidR="00C073B1">
        <w:rPr>
          <w:rFonts w:cs="Arial"/>
        </w:rPr>
        <w:t>NRDE equipment types included in the evaluation</w:t>
      </w:r>
      <w:bookmarkEnd w:id="27"/>
    </w:p>
    <w:p w14:paraId="13F9149C" w14:textId="315A24DC" w:rsidR="00F16756" w:rsidRDefault="002E7CBB" w:rsidP="00F16756">
      <w:r>
        <w:rPr>
          <w:noProof/>
        </w:rPr>
        <w:drawing>
          <wp:inline distT="0" distB="0" distL="0" distR="0" wp14:anchorId="6A44D8F2" wp14:editId="34B4C2E4">
            <wp:extent cx="5210748" cy="5693434"/>
            <wp:effectExtent l="0" t="0" r="9525" b="2540"/>
            <wp:docPr id="17" name="Picture 17" descr="This evaluation includes construction and mining equipment. agricultural equipment, generators and pumps, forestry and logging equipment, marine engines with power ratings below 130 kW and air and sea port ground service equipment.&#10;Out of scope from this evaluation are other non-road diesel equipment including large marine engines, aircraft engines and locomo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evaluation includes construction and mining equipment. agricultural equipment, generators and pumps, forestry and logging equipment, marine engines with power ratings below 130 kW and air and sea port ground service equipment.&#10;Out of scope from this evaluation are other non-road diesel equipment including large marine engines, aircraft engines and locomotives."/>
                    <pic:cNvPicPr/>
                  </pic:nvPicPr>
                  <pic:blipFill>
                    <a:blip r:embed="rId31">
                      <a:extLst>
                        <a:ext uri="{28A0092B-C50C-407E-A947-70E740481C1C}">
                          <a14:useLocalDpi xmlns:a14="http://schemas.microsoft.com/office/drawing/2010/main" val="0"/>
                        </a:ext>
                      </a:extLst>
                    </a:blip>
                    <a:stretch>
                      <a:fillRect/>
                    </a:stretch>
                  </pic:blipFill>
                  <pic:spPr>
                    <a:xfrm>
                      <a:off x="0" y="0"/>
                      <a:ext cx="5210748" cy="5693434"/>
                    </a:xfrm>
                    <a:prstGeom prst="rect">
                      <a:avLst/>
                    </a:prstGeom>
                  </pic:spPr>
                </pic:pic>
              </a:graphicData>
            </a:graphic>
          </wp:inline>
        </w:drawing>
      </w:r>
    </w:p>
    <w:p w14:paraId="5408656D" w14:textId="5CB56F57" w:rsidR="00772B73" w:rsidRDefault="00772B73" w:rsidP="00772B73">
      <w:pPr>
        <w:pStyle w:val="FigureTableNoteSource"/>
      </w:pPr>
      <w:proofErr w:type="spellStart"/>
      <w:r w:rsidRPr="007B7656">
        <w:rPr>
          <w:rStyle w:val="Strong"/>
        </w:rPr>
        <w:t>a</w:t>
      </w:r>
      <w:proofErr w:type="spellEnd"/>
      <w:r>
        <w:t xml:space="preserve"> </w:t>
      </w:r>
      <w:r w:rsidR="00C76770">
        <w:t>This list is not</w:t>
      </w:r>
      <w:r w:rsidR="00863F56">
        <w:t xml:space="preserve"> exhaustive of all NRDE that may be captured under any possible management options. The evaluation captures any diesel-powdered (compression ignition) engine that does not fall under the excluded categories</w:t>
      </w:r>
      <w:r w:rsidR="00810A7B">
        <w:t xml:space="preserve"> </w:t>
      </w:r>
      <w:r w:rsidR="00810A7B" w:rsidRPr="007B7656">
        <w:rPr>
          <w:rStyle w:val="Strong"/>
        </w:rPr>
        <w:t>b</w:t>
      </w:r>
      <w:r w:rsidR="00810A7B">
        <w:t xml:space="preserve"> Large </w:t>
      </w:r>
      <w:r w:rsidR="00356114">
        <w:t>marine diesel engines with a po</w:t>
      </w:r>
      <w:r w:rsidR="00652D9F">
        <w:t>w</w:t>
      </w:r>
      <w:r w:rsidR="00356114">
        <w:t>er</w:t>
      </w:r>
      <w:r w:rsidR="00652D9F">
        <w:t xml:space="preserve"> rating</w:t>
      </w:r>
      <w:r w:rsidR="00356114">
        <w:t xml:space="preserve"> </w:t>
      </w:r>
      <w:r w:rsidR="00652D9F">
        <w:t>o</w:t>
      </w:r>
      <w:r w:rsidR="00356114">
        <w:t>f or above 130 kW are excluded as they are covered by international MARPOL regulations</w:t>
      </w:r>
    </w:p>
    <w:p w14:paraId="723D3938" w14:textId="6C58EB6F" w:rsidR="003659C8" w:rsidRPr="003659C8" w:rsidRDefault="003659C8" w:rsidP="003659C8">
      <w:r>
        <w:t xml:space="preserve">All transport modes are excluded from this evaluation including aircraft engines or railway locomotives. These are not typically included in international NRDE regulations and </w:t>
      </w:r>
      <w:r w:rsidR="009D60EA">
        <w:t>h</w:t>
      </w:r>
      <w:r>
        <w:t>ave economic impacts that are distinct from managing emissions from non-transport NRDE. For example, changing how locomotive emissions are managed may shift some rail freight to on-road and increase road congestion.</w:t>
      </w:r>
    </w:p>
    <w:p w14:paraId="3B4DA123" w14:textId="293B65C0" w:rsidR="00560B70" w:rsidRDefault="00560B70" w:rsidP="00560B70">
      <w:r>
        <w:t xml:space="preserve">This evaluation categorises NRDE consistent with the US tier systems. Other international standards that are equivalent to a US tier also apply. The emission standards for new NRDE are implemented by the USEPA and are published in the </w:t>
      </w:r>
      <w:hyperlink r:id="rId32" w:history="1">
        <w:r w:rsidR="00F978FD">
          <w:rPr>
            <w:rStyle w:val="Hyperlink"/>
          </w:rPr>
          <w:t>US Code of Federal Regulations, Title 40, Part 89</w:t>
        </w:r>
      </w:hyperlink>
      <w:r>
        <w:t>.</w:t>
      </w:r>
    </w:p>
    <w:p w14:paraId="2C2B8718" w14:textId="42117E38" w:rsidR="00560B70" w:rsidRDefault="004460A7" w:rsidP="00560B70">
      <w:hyperlink w:anchor="_Statement_of_options" w:history="1">
        <w:r w:rsidR="00674B58">
          <w:rPr>
            <w:rStyle w:val="Hyperlink"/>
          </w:rPr>
          <w:t>S</w:t>
        </w:r>
        <w:r w:rsidR="00560B70" w:rsidRPr="009A3108">
          <w:rPr>
            <w:rStyle w:val="Hyperlink"/>
          </w:rPr>
          <w:t>ection 6</w:t>
        </w:r>
      </w:hyperlink>
      <w:r w:rsidR="00560B70">
        <w:t xml:space="preserve"> provides information about scope specific to:</w:t>
      </w:r>
    </w:p>
    <w:p w14:paraId="1CEA7338" w14:textId="4025B562" w:rsidR="00560B70" w:rsidRDefault="00560B70" w:rsidP="00EF49FD">
      <w:pPr>
        <w:pStyle w:val="ListBullet"/>
      </w:pPr>
      <w:r>
        <w:t>equipment introduced into Australia for the first time (both new and used)</w:t>
      </w:r>
    </w:p>
    <w:p w14:paraId="1AB2CB2E" w14:textId="62BBD789" w:rsidR="00C66EAD" w:rsidRDefault="00560B70" w:rsidP="00EF49FD">
      <w:pPr>
        <w:pStyle w:val="ListBullet"/>
      </w:pPr>
      <w:r>
        <w:t>loose replacement engines.</w:t>
      </w:r>
    </w:p>
    <w:p w14:paraId="5805DCEC" w14:textId="3590B00C" w:rsidR="00C66EAD" w:rsidRDefault="00C66EAD" w:rsidP="00C66EAD">
      <w:pPr>
        <w:pStyle w:val="Heading2"/>
      </w:pPr>
      <w:bookmarkStart w:id="28" w:name="_Toc63874247"/>
      <w:r>
        <w:lastRenderedPageBreak/>
        <w:t>Nature and extent of the problem</w:t>
      </w:r>
      <w:bookmarkEnd w:id="28"/>
    </w:p>
    <w:p w14:paraId="73F93687" w14:textId="77777777" w:rsidR="00C66EAD" w:rsidRDefault="00C66EAD" w:rsidP="00C66EAD">
      <w:r>
        <w:t>Diesel engine exhaust contains many different pollutants which can cause harm to human health and the environment. Harmful components include particulate matter (PM), carbon monoxide (CO), hydrocarbons (HC), oxides of nitrogen (NO</w:t>
      </w:r>
      <w:r w:rsidRPr="00971C6B">
        <w:rPr>
          <w:vertAlign w:val="subscript"/>
        </w:rPr>
        <w:t>X</w:t>
      </w:r>
      <w:r>
        <w:t>) and oxides of sulfur (SO</w:t>
      </w:r>
      <w:r w:rsidRPr="00971C6B">
        <w:rPr>
          <w:vertAlign w:val="subscript"/>
        </w:rPr>
        <w:t>X</w:t>
      </w:r>
      <w:r>
        <w:t>).</w:t>
      </w:r>
    </w:p>
    <w:p w14:paraId="2825D797" w14:textId="08E9B93E" w:rsidR="00560B70" w:rsidRDefault="00C66EAD" w:rsidP="00C66EAD">
      <w:r>
        <w:t xml:space="preserve">The market analysis identified that in 2018 NRDE in Australia were a significant source of air pollutants and greenhouse gas emissions and had a low uptake of emission control technology (see </w:t>
      </w:r>
      <w:r w:rsidR="00BB30C0">
        <w:fldChar w:fldCharType="begin"/>
      </w:r>
      <w:r w:rsidR="00BB30C0">
        <w:instrText xml:space="preserve"> REF _Ref63267658 \h </w:instrText>
      </w:r>
      <w:r w:rsidR="00BB30C0">
        <w:fldChar w:fldCharType="separate"/>
      </w:r>
      <w:r w:rsidR="00BB30C0">
        <w:t xml:space="preserve">Figure </w:t>
      </w:r>
      <w:r w:rsidR="00BB30C0">
        <w:rPr>
          <w:noProof/>
        </w:rPr>
        <w:t>8</w:t>
      </w:r>
      <w:r w:rsidR="00BB30C0">
        <w:fldChar w:fldCharType="end"/>
      </w:r>
      <w:r>
        <w:t>).</w:t>
      </w:r>
    </w:p>
    <w:p w14:paraId="3998063A" w14:textId="5350748E" w:rsidR="00CC532D" w:rsidRDefault="000D20D3" w:rsidP="000D20D3">
      <w:pPr>
        <w:pStyle w:val="Caption"/>
      </w:pPr>
      <w:bookmarkStart w:id="29" w:name="_Ref63267658"/>
      <w:bookmarkStart w:id="30" w:name="_Toc63874269"/>
      <w:r>
        <w:t xml:space="preserve">Figure </w:t>
      </w:r>
      <w:r w:rsidR="00126C54">
        <w:rPr>
          <w:noProof/>
        </w:rPr>
        <w:fldChar w:fldCharType="begin"/>
      </w:r>
      <w:r w:rsidR="00126C54">
        <w:rPr>
          <w:noProof/>
        </w:rPr>
        <w:instrText xml:space="preserve"> SEQ Figure \* ARABIC </w:instrText>
      </w:r>
      <w:r w:rsidR="00126C54">
        <w:rPr>
          <w:noProof/>
        </w:rPr>
        <w:fldChar w:fldCharType="separate"/>
      </w:r>
      <w:r w:rsidR="00A418E2">
        <w:rPr>
          <w:noProof/>
        </w:rPr>
        <w:t>8</w:t>
      </w:r>
      <w:r w:rsidR="00126C54">
        <w:rPr>
          <w:noProof/>
        </w:rPr>
        <w:fldChar w:fldCharType="end"/>
      </w:r>
      <w:bookmarkEnd w:id="29"/>
      <w:r>
        <w:t xml:space="preserve"> </w:t>
      </w:r>
      <w:r w:rsidRPr="00CC532D">
        <w:t>Key emissions characteristics of Australian NRDE in 2018</w:t>
      </w:r>
      <w:bookmarkEnd w:id="30"/>
    </w:p>
    <w:p w14:paraId="612FE6F4" w14:textId="73677C9A" w:rsidR="00005384" w:rsidRDefault="00005384" w:rsidP="00C66EAD">
      <w:r>
        <w:rPr>
          <w:noProof/>
        </w:rPr>
        <w:drawing>
          <wp:inline distT="0" distB="0" distL="0" distR="0" wp14:anchorId="2190E1E0" wp14:editId="42EFAFF4">
            <wp:extent cx="5759450" cy="6282752"/>
            <wp:effectExtent l="0" t="0" r="0" b="3810"/>
            <wp:docPr id="13" name="Picture 13" descr="In 2018, Australian NRDE emitted more than twice the particulate pollution of the entire on-road fleet as well as NOx equivalent to around 80% of the total on-road fleet. NRDE consumed a comparable volume of diesel to the total on-road sector and accounted for about 5.7% of national greenhouse gas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 2018, Australian NRDE emitted more than twice the particulate pollution of the entire on-road fleet as well as NOx equivalent to around 80% of the total on-road fleet. NRDE consumed a comparable volume of diesel to the total on-road sector and accounted for about 5.7% of national greenhouse gas emission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6282752"/>
                    </a:xfrm>
                    <a:prstGeom prst="rect">
                      <a:avLst/>
                    </a:prstGeom>
                    <a:noFill/>
                    <a:ln>
                      <a:noFill/>
                    </a:ln>
                  </pic:spPr>
                </pic:pic>
              </a:graphicData>
            </a:graphic>
          </wp:inline>
        </w:drawing>
      </w:r>
    </w:p>
    <w:p w14:paraId="642413C8" w14:textId="749FE2D4" w:rsidR="00CD40AF" w:rsidRDefault="00CD40AF" w:rsidP="00C66EAD">
      <w:r w:rsidRPr="00CD40AF">
        <w:lastRenderedPageBreak/>
        <w:t xml:space="preserve">The market analysis found that of 28 equipment types, </w:t>
      </w:r>
      <w:r w:rsidR="007A511B">
        <w:t>6</w:t>
      </w:r>
      <w:r w:rsidRPr="00CD40AF">
        <w:t xml:space="preserve"> emitted more than three quarters of key NRDE noxious emissions (</w:t>
      </w:r>
      <w:r w:rsidR="007A511B">
        <w:t xml:space="preserve">see </w:t>
      </w:r>
      <w:r w:rsidR="00F078AE">
        <w:fldChar w:fldCharType="begin"/>
      </w:r>
      <w:r w:rsidR="00F078AE">
        <w:instrText xml:space="preserve"> REF _Ref63267788 \h </w:instrText>
      </w:r>
      <w:r w:rsidR="00F078AE">
        <w:fldChar w:fldCharType="separate"/>
      </w:r>
      <w:r w:rsidR="00F078AE">
        <w:t xml:space="preserve">Table </w:t>
      </w:r>
      <w:r w:rsidR="00F078AE">
        <w:rPr>
          <w:noProof/>
        </w:rPr>
        <w:t>1</w:t>
      </w:r>
      <w:r w:rsidR="00F078AE">
        <w:fldChar w:fldCharType="end"/>
      </w:r>
      <w:r w:rsidRPr="00CD40AF">
        <w:t>).</w:t>
      </w:r>
    </w:p>
    <w:p w14:paraId="75A54EAD" w14:textId="11446BC9" w:rsidR="002E7615" w:rsidRDefault="007A511B" w:rsidP="007A511B">
      <w:pPr>
        <w:pStyle w:val="Caption"/>
      </w:pPr>
      <w:bookmarkStart w:id="31" w:name="_Ref63267788"/>
      <w:bookmarkStart w:id="32" w:name="_Toc63696008"/>
      <w:r>
        <w:t xml:space="preserve">Table </w:t>
      </w:r>
      <w:r w:rsidR="00126C54">
        <w:rPr>
          <w:noProof/>
        </w:rPr>
        <w:fldChar w:fldCharType="begin"/>
      </w:r>
      <w:r w:rsidR="00126C54">
        <w:rPr>
          <w:noProof/>
        </w:rPr>
        <w:instrText xml:space="preserve"> SEQ Table \* ARABIC </w:instrText>
      </w:r>
      <w:r w:rsidR="00126C54">
        <w:rPr>
          <w:noProof/>
        </w:rPr>
        <w:fldChar w:fldCharType="separate"/>
      </w:r>
      <w:r w:rsidR="00664F36">
        <w:rPr>
          <w:noProof/>
        </w:rPr>
        <w:t>1</w:t>
      </w:r>
      <w:r w:rsidR="00126C54">
        <w:rPr>
          <w:noProof/>
        </w:rPr>
        <w:fldChar w:fldCharType="end"/>
      </w:r>
      <w:bookmarkEnd w:id="31"/>
      <w:r>
        <w:t xml:space="preserve"> </w:t>
      </w:r>
      <w:r w:rsidRPr="002E7615">
        <w:t>NRDE equipment responsible for the majority of noxious emissions</w:t>
      </w:r>
      <w:bookmarkEnd w:id="3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275"/>
        <w:gridCol w:w="1277"/>
        <w:gridCol w:w="4250"/>
      </w:tblGrid>
      <w:tr w:rsidR="007279A8" w14:paraId="1345B193" w14:textId="77777777" w:rsidTr="00F078AE">
        <w:trPr>
          <w:cantSplit/>
          <w:tblHeader/>
        </w:trPr>
        <w:tc>
          <w:tcPr>
            <w:tcW w:w="1250" w:type="pct"/>
            <w:vMerge w:val="restart"/>
          </w:tcPr>
          <w:p w14:paraId="4CD2B71A" w14:textId="2421B98D" w:rsidR="007279A8" w:rsidRPr="00AA4DD7" w:rsidRDefault="00EF746B" w:rsidP="00C609DF">
            <w:pPr>
              <w:pStyle w:val="TableHeading"/>
            </w:pPr>
            <w:r>
              <w:t>Equipment type</w:t>
            </w:r>
          </w:p>
        </w:tc>
        <w:tc>
          <w:tcPr>
            <w:tcW w:w="1407" w:type="pct"/>
            <w:gridSpan w:val="2"/>
          </w:tcPr>
          <w:p w14:paraId="58A94D77" w14:textId="119A8D77" w:rsidR="007279A8" w:rsidRPr="00AA4DD7" w:rsidRDefault="00EF746B" w:rsidP="00496181">
            <w:pPr>
              <w:pStyle w:val="TableHeading"/>
              <w:jc w:val="center"/>
            </w:pPr>
            <w:r>
              <w:t>Percentage of total NRDE</w:t>
            </w:r>
            <w:r w:rsidR="00F57733">
              <w:t xml:space="preserve"> noxious emissions</w:t>
            </w:r>
          </w:p>
        </w:tc>
        <w:tc>
          <w:tcPr>
            <w:tcW w:w="2343" w:type="pct"/>
            <w:vMerge w:val="restart"/>
          </w:tcPr>
          <w:p w14:paraId="720DB781" w14:textId="11AC3B3C" w:rsidR="007279A8" w:rsidRPr="00AA4DD7" w:rsidRDefault="00F57733" w:rsidP="00C609DF">
            <w:pPr>
              <w:pStyle w:val="TableHeading"/>
            </w:pPr>
            <w:r>
              <w:t>Examples of equipment</w:t>
            </w:r>
          </w:p>
        </w:tc>
      </w:tr>
      <w:tr w:rsidR="007279A8" w14:paraId="7850859A" w14:textId="77777777" w:rsidTr="00F078AE">
        <w:trPr>
          <w:cantSplit/>
          <w:tblHeader/>
        </w:trPr>
        <w:tc>
          <w:tcPr>
            <w:tcW w:w="1250" w:type="pct"/>
            <w:vMerge/>
          </w:tcPr>
          <w:p w14:paraId="73BA027B" w14:textId="77777777" w:rsidR="007279A8" w:rsidRPr="00AA4DD7" w:rsidRDefault="007279A8" w:rsidP="00C609DF">
            <w:pPr>
              <w:pStyle w:val="TableHeading"/>
            </w:pPr>
          </w:p>
        </w:tc>
        <w:tc>
          <w:tcPr>
            <w:tcW w:w="703" w:type="pct"/>
          </w:tcPr>
          <w:p w14:paraId="41FE1DB9" w14:textId="6FCE6FB3" w:rsidR="007279A8" w:rsidRPr="00F57733" w:rsidRDefault="00F57733" w:rsidP="00F078AE">
            <w:pPr>
              <w:pStyle w:val="TableHeading"/>
              <w:jc w:val="right"/>
            </w:pPr>
            <w:r>
              <w:t>PM</w:t>
            </w:r>
            <w:r>
              <w:rPr>
                <w:vertAlign w:val="subscript"/>
              </w:rPr>
              <w:t>2.5</w:t>
            </w:r>
            <w:r>
              <w:t xml:space="preserve"> (%)</w:t>
            </w:r>
          </w:p>
        </w:tc>
        <w:tc>
          <w:tcPr>
            <w:tcW w:w="704" w:type="pct"/>
          </w:tcPr>
          <w:p w14:paraId="4CC7118E" w14:textId="3FAA3AA7" w:rsidR="007279A8" w:rsidRPr="00EA18AE" w:rsidRDefault="00F57733" w:rsidP="00F078AE">
            <w:pPr>
              <w:pStyle w:val="TableHeading"/>
              <w:jc w:val="right"/>
            </w:pPr>
            <w:r>
              <w:t>N</w:t>
            </w:r>
            <w:r w:rsidR="00EA18AE">
              <w:t>O</w:t>
            </w:r>
            <w:r w:rsidR="00EA18AE">
              <w:rPr>
                <w:vertAlign w:val="subscript"/>
              </w:rPr>
              <w:t>X</w:t>
            </w:r>
            <w:r w:rsidR="00EA18AE">
              <w:t xml:space="preserve"> (%)</w:t>
            </w:r>
          </w:p>
        </w:tc>
        <w:tc>
          <w:tcPr>
            <w:tcW w:w="2343" w:type="pct"/>
            <w:vMerge/>
          </w:tcPr>
          <w:p w14:paraId="0BF95C24" w14:textId="77777777" w:rsidR="007279A8" w:rsidRPr="00AA4DD7" w:rsidRDefault="007279A8" w:rsidP="00C609DF">
            <w:pPr>
              <w:pStyle w:val="TableHeading"/>
            </w:pPr>
          </w:p>
        </w:tc>
      </w:tr>
      <w:tr w:rsidR="00153E84" w14:paraId="7D605CE5" w14:textId="77777777" w:rsidTr="00F078AE">
        <w:tc>
          <w:tcPr>
            <w:tcW w:w="1250" w:type="pct"/>
          </w:tcPr>
          <w:p w14:paraId="44224B73" w14:textId="49F5533C" w:rsidR="00153E84" w:rsidRDefault="00BE275D" w:rsidP="00C609DF">
            <w:pPr>
              <w:pStyle w:val="TableText"/>
            </w:pPr>
            <w:r>
              <w:t>Agricultural tractors and harvesters</w:t>
            </w:r>
          </w:p>
        </w:tc>
        <w:tc>
          <w:tcPr>
            <w:tcW w:w="703" w:type="pct"/>
          </w:tcPr>
          <w:p w14:paraId="72B540D5" w14:textId="1B8FE9BB" w:rsidR="00153E84" w:rsidRDefault="006A0F95" w:rsidP="00496181">
            <w:pPr>
              <w:pStyle w:val="TableText"/>
              <w:jc w:val="right"/>
            </w:pPr>
            <w:r>
              <w:t>25</w:t>
            </w:r>
          </w:p>
        </w:tc>
        <w:tc>
          <w:tcPr>
            <w:tcW w:w="704" w:type="pct"/>
          </w:tcPr>
          <w:p w14:paraId="2E852537" w14:textId="6BC23328" w:rsidR="00153E84" w:rsidRDefault="00BC6E10" w:rsidP="00496181">
            <w:pPr>
              <w:pStyle w:val="TableText"/>
              <w:jc w:val="right"/>
            </w:pPr>
            <w:r>
              <w:t>19</w:t>
            </w:r>
          </w:p>
        </w:tc>
        <w:tc>
          <w:tcPr>
            <w:tcW w:w="2343" w:type="pct"/>
          </w:tcPr>
          <w:p w14:paraId="44F16FF1" w14:textId="3079F573" w:rsidR="00153E84" w:rsidRDefault="00800F46" w:rsidP="00C609DF">
            <w:pPr>
              <w:pStyle w:val="TableText"/>
            </w:pPr>
            <w:r w:rsidRPr="00800F46">
              <w:t>Tractors, combine harvesters, commercial mowers, headers</w:t>
            </w:r>
          </w:p>
        </w:tc>
      </w:tr>
      <w:tr w:rsidR="00153E84" w14:paraId="66578B91" w14:textId="77777777" w:rsidTr="00F078AE">
        <w:tc>
          <w:tcPr>
            <w:tcW w:w="1250" w:type="pct"/>
          </w:tcPr>
          <w:p w14:paraId="74D8B00E" w14:textId="6FE79215" w:rsidR="00153E84" w:rsidRDefault="00BE275D" w:rsidP="00C609DF">
            <w:pPr>
              <w:pStyle w:val="TableText"/>
            </w:pPr>
            <w:r>
              <w:t xml:space="preserve">Gen sets </w:t>
            </w:r>
            <w:proofErr w:type="spellStart"/>
            <w:r>
              <w:t>standb</w:t>
            </w:r>
            <w:proofErr w:type="spellEnd"/>
          </w:p>
        </w:tc>
        <w:tc>
          <w:tcPr>
            <w:tcW w:w="703" w:type="pct"/>
          </w:tcPr>
          <w:p w14:paraId="37E6F476" w14:textId="6BF76A8F" w:rsidR="00153E84" w:rsidRDefault="006A0F95" w:rsidP="00496181">
            <w:pPr>
              <w:pStyle w:val="TableText"/>
              <w:jc w:val="right"/>
            </w:pPr>
            <w:r>
              <w:t>16</w:t>
            </w:r>
          </w:p>
        </w:tc>
        <w:tc>
          <w:tcPr>
            <w:tcW w:w="704" w:type="pct"/>
          </w:tcPr>
          <w:p w14:paraId="323D1195" w14:textId="598AFC0A" w:rsidR="00153E84" w:rsidRDefault="00BC6E10" w:rsidP="00496181">
            <w:pPr>
              <w:pStyle w:val="TableText"/>
              <w:jc w:val="right"/>
            </w:pPr>
            <w:r>
              <w:t>19</w:t>
            </w:r>
          </w:p>
        </w:tc>
        <w:tc>
          <w:tcPr>
            <w:tcW w:w="2343" w:type="pct"/>
          </w:tcPr>
          <w:p w14:paraId="6BD85C3D" w14:textId="7B9BECE9" w:rsidR="00153E84" w:rsidRDefault="006371C3" w:rsidP="00C609DF">
            <w:pPr>
              <w:pStyle w:val="TableText"/>
            </w:pPr>
            <w:r w:rsidRPr="006371C3">
              <w:t>Standby and auxiliary power generators sold as complete sets</w:t>
            </w:r>
          </w:p>
        </w:tc>
      </w:tr>
      <w:tr w:rsidR="00153E84" w14:paraId="13B70476" w14:textId="77777777" w:rsidTr="00F078AE">
        <w:tc>
          <w:tcPr>
            <w:tcW w:w="1250" w:type="pct"/>
          </w:tcPr>
          <w:p w14:paraId="479219CF" w14:textId="51B17078" w:rsidR="00153E84" w:rsidRDefault="00BE275D" w:rsidP="00C609DF">
            <w:pPr>
              <w:pStyle w:val="TableText"/>
            </w:pPr>
            <w:r>
              <w:t>Industrial construction</w:t>
            </w:r>
          </w:p>
        </w:tc>
        <w:tc>
          <w:tcPr>
            <w:tcW w:w="703" w:type="pct"/>
          </w:tcPr>
          <w:p w14:paraId="4AF4F5C3" w14:textId="13F4A1F4" w:rsidR="00153E84" w:rsidRDefault="006A0F95" w:rsidP="00496181">
            <w:pPr>
              <w:pStyle w:val="TableText"/>
              <w:jc w:val="right"/>
            </w:pPr>
            <w:r>
              <w:t>11</w:t>
            </w:r>
          </w:p>
        </w:tc>
        <w:tc>
          <w:tcPr>
            <w:tcW w:w="704" w:type="pct"/>
          </w:tcPr>
          <w:p w14:paraId="32851255" w14:textId="43F3E519" w:rsidR="00153E84" w:rsidRDefault="00BC6E10" w:rsidP="00496181">
            <w:pPr>
              <w:pStyle w:val="TableText"/>
              <w:jc w:val="right"/>
            </w:pPr>
            <w:r>
              <w:t>9</w:t>
            </w:r>
          </w:p>
        </w:tc>
        <w:tc>
          <w:tcPr>
            <w:tcW w:w="2343" w:type="pct"/>
          </w:tcPr>
          <w:p w14:paraId="361D0E36" w14:textId="2AFDF7EF" w:rsidR="00153E84" w:rsidRDefault="009D5035" w:rsidP="00C609DF">
            <w:pPr>
              <w:pStyle w:val="TableText"/>
            </w:pPr>
            <w:r w:rsidRPr="009D5035">
              <w:t>Backhoes, cranes, dozers, compactors, dumpers, excavators, graders, loaders, pavers, rammers, rollers, trenchers</w:t>
            </w:r>
          </w:p>
        </w:tc>
      </w:tr>
      <w:tr w:rsidR="00153E84" w14:paraId="6C19BDF4" w14:textId="77777777" w:rsidTr="00F078AE">
        <w:tc>
          <w:tcPr>
            <w:tcW w:w="1250" w:type="pct"/>
          </w:tcPr>
          <w:p w14:paraId="6F32EA59" w14:textId="7E3F28B6" w:rsidR="00153E84" w:rsidRDefault="00BE275D" w:rsidP="00C609DF">
            <w:pPr>
              <w:pStyle w:val="TableText"/>
            </w:pPr>
            <w:r>
              <w:t>Industrial pumps</w:t>
            </w:r>
          </w:p>
        </w:tc>
        <w:tc>
          <w:tcPr>
            <w:tcW w:w="703" w:type="pct"/>
          </w:tcPr>
          <w:p w14:paraId="0F553D1D" w14:textId="3420697D" w:rsidR="00153E84" w:rsidRDefault="006A0F95" w:rsidP="00496181">
            <w:pPr>
              <w:pStyle w:val="TableText"/>
              <w:jc w:val="right"/>
            </w:pPr>
            <w:r>
              <w:t>11</w:t>
            </w:r>
          </w:p>
        </w:tc>
        <w:tc>
          <w:tcPr>
            <w:tcW w:w="704" w:type="pct"/>
          </w:tcPr>
          <w:p w14:paraId="541640D9" w14:textId="2BA4FC6D" w:rsidR="00153E84" w:rsidRDefault="00BC6E10" w:rsidP="00496181">
            <w:pPr>
              <w:pStyle w:val="TableText"/>
              <w:jc w:val="right"/>
            </w:pPr>
            <w:r>
              <w:t>12</w:t>
            </w:r>
          </w:p>
        </w:tc>
        <w:tc>
          <w:tcPr>
            <w:tcW w:w="2343" w:type="pct"/>
          </w:tcPr>
          <w:p w14:paraId="74C2B153" w14:textId="1BC7DC5C" w:rsidR="00153E84" w:rsidRDefault="005E3A26" w:rsidP="00C609DF">
            <w:pPr>
              <w:pStyle w:val="TableText"/>
            </w:pPr>
            <w:r w:rsidRPr="005E3A26">
              <w:t>Fire pumps, other types of pump for liquids and slurries</w:t>
            </w:r>
          </w:p>
        </w:tc>
      </w:tr>
      <w:tr w:rsidR="00153E84" w14:paraId="74385525" w14:textId="77777777" w:rsidTr="00F078AE">
        <w:tc>
          <w:tcPr>
            <w:tcW w:w="1250" w:type="pct"/>
          </w:tcPr>
          <w:p w14:paraId="32991CC6" w14:textId="1D773799" w:rsidR="00153E84" w:rsidRDefault="00BE275D" w:rsidP="00C609DF">
            <w:pPr>
              <w:pStyle w:val="TableText"/>
            </w:pPr>
            <w:r>
              <w:t>Gen sets prime power</w:t>
            </w:r>
          </w:p>
        </w:tc>
        <w:tc>
          <w:tcPr>
            <w:tcW w:w="703" w:type="pct"/>
          </w:tcPr>
          <w:p w14:paraId="36F19765" w14:textId="5A7BBAEC" w:rsidR="00153E84" w:rsidRDefault="006A0F95" w:rsidP="00496181">
            <w:pPr>
              <w:pStyle w:val="TableText"/>
              <w:jc w:val="right"/>
            </w:pPr>
            <w:r>
              <w:t>8</w:t>
            </w:r>
          </w:p>
        </w:tc>
        <w:tc>
          <w:tcPr>
            <w:tcW w:w="704" w:type="pct"/>
          </w:tcPr>
          <w:p w14:paraId="6D49D1C2" w14:textId="5E4220A3" w:rsidR="00153E84" w:rsidRDefault="00BC6E10" w:rsidP="00496181">
            <w:pPr>
              <w:pStyle w:val="TableText"/>
              <w:jc w:val="right"/>
            </w:pPr>
            <w:r>
              <w:t>10</w:t>
            </w:r>
          </w:p>
        </w:tc>
        <w:tc>
          <w:tcPr>
            <w:tcW w:w="2343" w:type="pct"/>
          </w:tcPr>
          <w:p w14:paraId="4400F809" w14:textId="77CDEF7F" w:rsidR="00153E84" w:rsidRDefault="00013F88" w:rsidP="00C609DF">
            <w:pPr>
              <w:pStyle w:val="TableText"/>
            </w:pPr>
            <w:r w:rsidRPr="00013F88">
              <w:t>Prime power generators sold as complete sets</w:t>
            </w:r>
          </w:p>
        </w:tc>
      </w:tr>
      <w:tr w:rsidR="00153E84" w14:paraId="5B36D321" w14:textId="77777777" w:rsidTr="00F078AE">
        <w:tc>
          <w:tcPr>
            <w:tcW w:w="1250" w:type="pct"/>
          </w:tcPr>
          <w:p w14:paraId="30277184" w14:textId="26DA3424" w:rsidR="00153E84" w:rsidRDefault="00BE275D" w:rsidP="00C609DF">
            <w:pPr>
              <w:pStyle w:val="TableText"/>
            </w:pPr>
            <w:r>
              <w:t>Industrial surface mining</w:t>
            </w:r>
          </w:p>
        </w:tc>
        <w:tc>
          <w:tcPr>
            <w:tcW w:w="703" w:type="pct"/>
          </w:tcPr>
          <w:p w14:paraId="743A9F34" w14:textId="57BED9C2" w:rsidR="00153E84" w:rsidRDefault="006A0F95" w:rsidP="00496181">
            <w:pPr>
              <w:pStyle w:val="TableText"/>
              <w:jc w:val="right"/>
            </w:pPr>
            <w:r>
              <w:t>6</w:t>
            </w:r>
          </w:p>
        </w:tc>
        <w:tc>
          <w:tcPr>
            <w:tcW w:w="704" w:type="pct"/>
          </w:tcPr>
          <w:p w14:paraId="07FA8E52" w14:textId="29EAF3A5" w:rsidR="00153E84" w:rsidRDefault="00BC6E10" w:rsidP="00496181">
            <w:pPr>
              <w:pStyle w:val="TableText"/>
              <w:jc w:val="right"/>
            </w:pPr>
            <w:r>
              <w:t>7</w:t>
            </w:r>
          </w:p>
        </w:tc>
        <w:tc>
          <w:tcPr>
            <w:tcW w:w="2343" w:type="pct"/>
          </w:tcPr>
          <w:p w14:paraId="3232A027" w14:textId="35E54893" w:rsidR="00153E84" w:rsidRDefault="00E50EF1" w:rsidP="00C609DF">
            <w:pPr>
              <w:pStyle w:val="TableText"/>
            </w:pPr>
            <w:r w:rsidRPr="00E50EF1">
              <w:t>Off road trucks, crushing equipment, dozers, drilling rigs</w:t>
            </w:r>
          </w:p>
        </w:tc>
      </w:tr>
    </w:tbl>
    <w:p w14:paraId="5186CB39" w14:textId="77777777" w:rsidR="006308DA" w:rsidRDefault="006308DA" w:rsidP="00F078AE">
      <w:pPr>
        <w:spacing w:before="120"/>
      </w:pPr>
      <w:r>
        <w:t>These equipment types are generally higher-powered engines or equipment that is used frequently. Apart from tractors and harvesters, a high proportion of these equipment types are used in the mining sector.</w:t>
      </w:r>
    </w:p>
    <w:p w14:paraId="52940D58" w14:textId="4C2F6BAE" w:rsidR="000064B4" w:rsidRDefault="006308DA" w:rsidP="006308DA">
      <w:r>
        <w:t xml:space="preserve">The market analysis findings are further described in </w:t>
      </w:r>
      <w:r w:rsidR="00EC4639">
        <w:fldChar w:fldCharType="begin"/>
      </w:r>
      <w:r w:rsidR="00EC4639">
        <w:instrText xml:space="preserve"> REF _Ref63267979 \h </w:instrText>
      </w:r>
      <w:r w:rsidR="00EC4639">
        <w:fldChar w:fldCharType="separate"/>
      </w:r>
      <w:r w:rsidR="00EC4639">
        <w:t xml:space="preserve">Box </w:t>
      </w:r>
      <w:r w:rsidR="00EC4639">
        <w:rPr>
          <w:noProof/>
        </w:rPr>
        <w:t>1</w:t>
      </w:r>
      <w:r w:rsidR="00EC4639">
        <w:fldChar w:fldCharType="end"/>
      </w:r>
      <w:r w:rsidRPr="00EC4639">
        <w:t>.</w:t>
      </w:r>
    </w:p>
    <w:p w14:paraId="5242C2FC" w14:textId="77777777" w:rsidR="000064B4" w:rsidRDefault="000064B4">
      <w:pPr>
        <w:spacing w:after="0" w:line="240" w:lineRule="auto"/>
      </w:pPr>
      <w:r>
        <w:br w:type="page"/>
      </w:r>
    </w:p>
    <w:p w14:paraId="2ED07A05" w14:textId="5E1F24F5" w:rsidR="00EC4639" w:rsidRDefault="00EC4639" w:rsidP="00EC4639">
      <w:pPr>
        <w:pStyle w:val="Caption"/>
      </w:pPr>
      <w:bookmarkStart w:id="33" w:name="_Ref63267979"/>
      <w:bookmarkStart w:id="34" w:name="_Toc63874279"/>
      <w:r>
        <w:lastRenderedPageBreak/>
        <w:t xml:space="preserve">Box </w:t>
      </w:r>
      <w:r w:rsidR="00126C54">
        <w:rPr>
          <w:noProof/>
        </w:rPr>
        <w:fldChar w:fldCharType="begin"/>
      </w:r>
      <w:r w:rsidR="00126C54">
        <w:rPr>
          <w:noProof/>
        </w:rPr>
        <w:instrText xml:space="preserve"> SEQ Box \* ARABIC </w:instrText>
      </w:r>
      <w:r w:rsidR="00126C54">
        <w:rPr>
          <w:noProof/>
        </w:rPr>
        <w:fldChar w:fldCharType="separate"/>
      </w:r>
      <w:r w:rsidR="005616AA">
        <w:rPr>
          <w:noProof/>
        </w:rPr>
        <w:t>1</w:t>
      </w:r>
      <w:r w:rsidR="00126C54">
        <w:rPr>
          <w:noProof/>
        </w:rPr>
        <w:fldChar w:fldCharType="end"/>
      </w:r>
      <w:bookmarkEnd w:id="33"/>
      <w:r>
        <w:t xml:space="preserve"> </w:t>
      </w:r>
      <w:r w:rsidRPr="00014361">
        <w:t>Non-road diesel engines in Australia</w:t>
      </w:r>
      <w:bookmarkEnd w:id="34"/>
    </w:p>
    <w:p w14:paraId="6D7AAC62" w14:textId="77777777" w:rsidR="00C72F07" w:rsidRDefault="00C72F07" w:rsidP="00C72F07">
      <w:pPr>
        <w:pStyle w:val="BoxText"/>
      </w:pPr>
      <w:r>
        <w:t>NRDE are not manufactured in Australia; they are all imported, either as loose engines or already incorporated into equipment. In 2018 around 70,000 NRDE were imported into Australia with a combined market value of $1.9 billion. Most imported NRDE are new, although some are reconditioned (both loose and incorporated engines). Imported engine numbers have generally been increasing over time.</w:t>
      </w:r>
    </w:p>
    <w:p w14:paraId="16340CB6" w14:textId="77777777" w:rsidR="00C72F07" w:rsidRDefault="00C72F07" w:rsidP="00C72F07">
      <w:pPr>
        <w:pStyle w:val="BoxText"/>
      </w:pPr>
      <w:r>
        <w:t>NRDE are imported into Australia from approximately 25 countries; China (30%), EU countries (26%) and the US (22%) were the major sources in 2018. There are around 40 importers or suppliers of diesel engines and equipment in Australia.</w:t>
      </w:r>
    </w:p>
    <w:p w14:paraId="65D8652D" w14:textId="77777777" w:rsidR="00C72F07" w:rsidRDefault="00C72F07" w:rsidP="00C72F07">
      <w:pPr>
        <w:pStyle w:val="BoxText"/>
      </w:pPr>
      <w:r>
        <w:t>Most loose engines are:</w:t>
      </w:r>
    </w:p>
    <w:p w14:paraId="39AE5EFE" w14:textId="18EF8552" w:rsidR="00C72F07" w:rsidRDefault="00C72F07" w:rsidP="00E118BF">
      <w:pPr>
        <w:pStyle w:val="BoxTextBullet"/>
      </w:pPr>
      <w:r>
        <w:t>sold to various local equipment manufacturers, or</w:t>
      </w:r>
    </w:p>
    <w:p w14:paraId="717F0279" w14:textId="5096EEBB" w:rsidR="00C72F07" w:rsidRDefault="00C72F07" w:rsidP="00E118BF">
      <w:pPr>
        <w:pStyle w:val="BoxTextBullet"/>
      </w:pPr>
      <w:r>
        <w:t>used for replacing engines in existing equipment.</w:t>
      </w:r>
    </w:p>
    <w:p w14:paraId="308ED1BF" w14:textId="77777777" w:rsidR="00C72F07" w:rsidRDefault="00C72F07" w:rsidP="00C72F07">
      <w:pPr>
        <w:pStyle w:val="BoxText"/>
      </w:pPr>
      <w:r>
        <w:t>NRDE differ from all on-road engines in various other ways. For example:</w:t>
      </w:r>
    </w:p>
    <w:p w14:paraId="7211548A" w14:textId="18169D5A" w:rsidR="00C72F07" w:rsidRDefault="00C72F07" w:rsidP="00263B94">
      <w:pPr>
        <w:pStyle w:val="BoxTextBullet"/>
      </w:pPr>
      <w:r>
        <w:t>on-road engine exhaust emissions are regulated by national standards via the Australian Design Rules based on Euro 5 and Euro V standards for light and heavy vehicles respectively</w:t>
      </w:r>
    </w:p>
    <w:p w14:paraId="1DE52F44" w14:textId="5EBB871A" w:rsidR="00C72F07" w:rsidRDefault="00C72F07" w:rsidP="00263B94">
      <w:pPr>
        <w:pStyle w:val="BoxTextBullet"/>
      </w:pPr>
      <w:r>
        <w:t>the equipment in which NRDE are used is extremely diverse, with often the same engine being used in widely varying equipment applications and by many different industry sectors</w:t>
      </w:r>
    </w:p>
    <w:p w14:paraId="7C53045D" w14:textId="61FEE810" w:rsidR="00C72F07" w:rsidRDefault="00C72F07" w:rsidP="00263B94">
      <w:pPr>
        <w:pStyle w:val="BoxTextBullet"/>
      </w:pPr>
      <w:r>
        <w:t>NRDE include broader ranges of engine capacity and rated power (</w:t>
      </w:r>
      <w:r w:rsidR="00642A31">
        <w:t>for example,</w:t>
      </w:r>
      <w:r>
        <w:t xml:space="preserve"> from less than 1 kW (1.3 hp) to more than 2,000 kW (2,680 hp)). On-road vehicles typically range from 80</w:t>
      </w:r>
      <w:r w:rsidR="00376D4F">
        <w:t xml:space="preserve"> to </w:t>
      </w:r>
      <w:r>
        <w:t>160 kW for light vehicles and 330</w:t>
      </w:r>
      <w:r w:rsidR="00376D4F">
        <w:t xml:space="preserve"> to </w:t>
      </w:r>
      <w:r>
        <w:t>450 kW for large trucks</w:t>
      </w:r>
    </w:p>
    <w:p w14:paraId="17DB5AA0" w14:textId="4681FC45" w:rsidR="00C72F07" w:rsidRDefault="00C72F07" w:rsidP="00263B94">
      <w:pPr>
        <w:pStyle w:val="BoxTextBullet"/>
      </w:pPr>
      <w:r>
        <w:t>many NRDE are static and operated under steady-state conditions (</w:t>
      </w:r>
      <w:r w:rsidR="004A32D2">
        <w:t>for example,</w:t>
      </w:r>
      <w:r>
        <w:t xml:space="preserve"> generators and generator sets) at high load factors</w:t>
      </w:r>
      <w:r w:rsidR="007B708D">
        <w:t xml:space="preserve"> (fraction of rated power used during operation)</w:t>
      </w:r>
      <w:r>
        <w:t>, whereas on-road diesel engines are operated under highly transient conditions where engines typically operate at well below their rated power (although some NRDE are also operated under transient conditions)</w:t>
      </w:r>
    </w:p>
    <w:p w14:paraId="553062E6" w14:textId="610EB4F7" w:rsidR="00C72F07" w:rsidRDefault="00C72F07" w:rsidP="00263B94">
      <w:pPr>
        <w:pStyle w:val="BoxTextBullet"/>
      </w:pPr>
      <w:r>
        <w:t>the spatial and temporal patterns of activity for NRDE can be less predictable than those for on-road engines.</w:t>
      </w:r>
    </w:p>
    <w:p w14:paraId="2B4C7745" w14:textId="13BB14F9" w:rsidR="00440AA0" w:rsidRDefault="0016243D" w:rsidP="00E05700">
      <w:pPr>
        <w:pStyle w:val="BoxHeading"/>
      </w:pPr>
      <w:r>
        <w:t>Consultation questions</w:t>
      </w:r>
      <w:r w:rsidR="0085684D">
        <w:t>:</w:t>
      </w:r>
    </w:p>
    <w:p w14:paraId="396481FA" w14:textId="04071219" w:rsidR="00C72F07" w:rsidRDefault="004D7ED1" w:rsidP="00C72F07">
      <w:pPr>
        <w:pStyle w:val="BoxText"/>
      </w:pPr>
      <w:r>
        <w:t xml:space="preserve">1) </w:t>
      </w:r>
      <w:r w:rsidR="00C72F07">
        <w:t>Can you more accurately describe the NRDE market in Australia?</w:t>
      </w:r>
    </w:p>
    <w:p w14:paraId="5FDB3287" w14:textId="7B4FAB05" w:rsidR="00C72F07" w:rsidRDefault="00A161AB" w:rsidP="00C72F07">
      <w:pPr>
        <w:pStyle w:val="BoxText"/>
      </w:pPr>
      <w:r>
        <w:t xml:space="preserve">2) </w:t>
      </w:r>
      <w:r w:rsidR="00C72F07">
        <w:t>What drivers might influence the purchase of cleaner alternatives, even if they cost more? How much more?</w:t>
      </w:r>
    </w:p>
    <w:p w14:paraId="772E55A8" w14:textId="55A56A40" w:rsidR="00C72F07" w:rsidRDefault="00A161AB" w:rsidP="00C72F07">
      <w:pPr>
        <w:pStyle w:val="BoxText"/>
      </w:pPr>
      <w:r>
        <w:t xml:space="preserve">3) </w:t>
      </w:r>
      <w:r w:rsidR="00C72F07">
        <w:t>How does the emissions performance of non-road diesel equipment influence purchasing decisions?</w:t>
      </w:r>
    </w:p>
    <w:p w14:paraId="6B447C15" w14:textId="5137672A" w:rsidR="00F86B46" w:rsidRDefault="00A161AB" w:rsidP="00C72F07">
      <w:pPr>
        <w:pStyle w:val="BoxText"/>
      </w:pPr>
      <w:r>
        <w:t xml:space="preserve">4) </w:t>
      </w:r>
      <w:r w:rsidR="00C72F07">
        <w:t>Have you participated in a voluntary scheme to reduce NRDE emissions? If so, was it effective and why?</w:t>
      </w:r>
    </w:p>
    <w:p w14:paraId="4AE102E4" w14:textId="4F83646E" w:rsidR="00667608" w:rsidRDefault="00A161AB" w:rsidP="00DB2D29">
      <w:pPr>
        <w:pStyle w:val="Heading3"/>
      </w:pPr>
      <w:bookmarkStart w:id="35" w:name="_The_need_for"/>
      <w:bookmarkStart w:id="36" w:name="_Toc63874248"/>
      <w:bookmarkEnd w:id="35"/>
      <w:r>
        <w:t>N</w:t>
      </w:r>
      <w:r w:rsidR="00DB2D29" w:rsidRPr="00DB2D29">
        <w:t>eed for action</w:t>
      </w:r>
      <w:bookmarkEnd w:id="36"/>
    </w:p>
    <w:p w14:paraId="339F087C" w14:textId="4397EB10" w:rsidR="00DB2D29" w:rsidRPr="00C33C12" w:rsidRDefault="00031BD4" w:rsidP="005F00F2">
      <w:pPr>
        <w:rPr>
          <w:rStyle w:val="Strong"/>
        </w:rPr>
      </w:pPr>
      <w:r w:rsidRPr="00C33C12">
        <w:rPr>
          <w:rStyle w:val="Strong"/>
        </w:rPr>
        <w:t>Problem summary</w:t>
      </w:r>
      <w:r w:rsidR="00E03E07" w:rsidRPr="00C33C12">
        <w:rPr>
          <w:rStyle w:val="Strong"/>
        </w:rPr>
        <w:t>:</w:t>
      </w:r>
    </w:p>
    <w:p w14:paraId="0FE6123C" w14:textId="7FD0512F" w:rsidR="00077D58" w:rsidRPr="005F00F2" w:rsidRDefault="00077D58" w:rsidP="00C33C12">
      <w:pPr>
        <w:pStyle w:val="ListBullet"/>
      </w:pPr>
      <w:r w:rsidRPr="005F00F2">
        <w:t>diesel engine emissions can be deadly and have costly health impacts</w:t>
      </w:r>
    </w:p>
    <w:p w14:paraId="08563D1D" w14:textId="7E0DE82D" w:rsidR="00077D58" w:rsidRPr="005F00F2" w:rsidRDefault="00077D58" w:rsidP="00C33C12">
      <w:pPr>
        <w:pStyle w:val="ListBullet"/>
      </w:pPr>
      <w:r w:rsidRPr="005F00F2">
        <w:t>NRDE are a key source of noxious diesel engine emissions in Australia</w:t>
      </w:r>
    </w:p>
    <w:p w14:paraId="6F732AEE" w14:textId="366FCD0E" w:rsidR="00077D58" w:rsidRPr="005F00F2" w:rsidRDefault="00077D58" w:rsidP="00C33C12">
      <w:pPr>
        <w:pStyle w:val="ListBullet"/>
      </w:pPr>
      <w:r w:rsidRPr="005F00F2">
        <w:t>Australia has no standards to limit emissions from NRDE, unlike other countries</w:t>
      </w:r>
    </w:p>
    <w:p w14:paraId="3042E728" w14:textId="60890D57" w:rsidR="00077D58" w:rsidRPr="005F00F2" w:rsidRDefault="00077D58" w:rsidP="00C33C12">
      <w:pPr>
        <w:pStyle w:val="ListBullet"/>
      </w:pPr>
      <w:r w:rsidRPr="005F00F2">
        <w:t>there has been slow uptake of lower emitting technology</w:t>
      </w:r>
    </w:p>
    <w:p w14:paraId="1EB5E110" w14:textId="362192D0" w:rsidR="00031BD4" w:rsidRPr="005F00F2" w:rsidRDefault="00077D58" w:rsidP="00C33C12">
      <w:pPr>
        <w:pStyle w:val="ListBullet"/>
      </w:pPr>
      <w:r w:rsidRPr="005F00F2">
        <w:lastRenderedPageBreak/>
        <w:t>NRDE are likely to remain a key source of noxious emissions in Australia without intervention</w:t>
      </w:r>
      <w:r w:rsidR="00E03E07" w:rsidRPr="005F00F2">
        <w:t>.</w:t>
      </w:r>
    </w:p>
    <w:p w14:paraId="0617B2D7" w14:textId="3B4246E5" w:rsidR="00E61944" w:rsidRDefault="00E61944" w:rsidP="00E61944">
      <w:pPr>
        <w:pStyle w:val="Heading4"/>
      </w:pPr>
      <w:r>
        <w:t>Diesel engine emissions are harmful and costly</w:t>
      </w:r>
    </w:p>
    <w:p w14:paraId="5634A7B6" w14:textId="4FC2C529" w:rsidR="00E61944" w:rsidRDefault="00E61944" w:rsidP="00E61944">
      <w:r>
        <w:t xml:space="preserve">The World Health Organization has declared diesel exhaust to be a </w:t>
      </w:r>
      <w:r w:rsidRPr="00372372">
        <w:t>carcinogen</w:t>
      </w:r>
      <w:r w:rsidR="00372372">
        <w:t xml:space="preserve"> (WHO 2012)</w:t>
      </w:r>
      <w:r>
        <w:t>. It can be inhaled deep into the lungs and enter the bloodstream and can cause cancer, heart disease and respiratory conditions.</w:t>
      </w:r>
    </w:p>
    <w:p w14:paraId="3D12E781" w14:textId="77777777" w:rsidR="00E61944" w:rsidRDefault="00E61944" w:rsidP="00E61944">
      <w:r>
        <w:t>Numerous studies have found that exposure to particulate matter (PM) with an aerodynamic diameter of less than 2.5µm (PM</w:t>
      </w:r>
      <w:r w:rsidRPr="0022493C">
        <w:rPr>
          <w:vertAlign w:val="subscript"/>
        </w:rPr>
        <w:t>2.5</w:t>
      </w:r>
      <w:r>
        <w:t>) is linked to a variety of cardiovascular and respiratory diseases and contributes to premature death. There is no known threshold for PM exposure below which health effects do not occur, meaning any exposure can be harmful.</w:t>
      </w:r>
    </w:p>
    <w:p w14:paraId="19481968" w14:textId="3EE0644E" w:rsidR="00E61944" w:rsidRDefault="00E61944" w:rsidP="00E61944">
      <w:r>
        <w:t xml:space="preserve">Air pollution in Australia is low by world standards, but still an important public health issue. In Australia each year about </w:t>
      </w:r>
      <w:r w:rsidRPr="0049748A">
        <w:t xml:space="preserve">2,500 deaths </w:t>
      </w:r>
      <w:proofErr w:type="gramStart"/>
      <w:r w:rsidRPr="0049748A">
        <w:t>are</w:t>
      </w:r>
      <w:proofErr w:type="gramEnd"/>
      <w:r w:rsidRPr="0049748A">
        <w:t xml:space="preserve"> attributable to urban air pollution</w:t>
      </w:r>
      <w:r w:rsidR="0049748A">
        <w:t xml:space="preserve"> (AIHW 2019)</w:t>
      </w:r>
      <w:r>
        <w:t xml:space="preserve">. This is more than </w:t>
      </w:r>
      <w:r w:rsidRPr="0054398A">
        <w:t>double the number of deaths</w:t>
      </w:r>
      <w:r>
        <w:t xml:space="preserve"> caused by traffic accidents in any year since 2012</w:t>
      </w:r>
      <w:r w:rsidR="0054398A">
        <w:t xml:space="preserve"> (NRSS 2021)</w:t>
      </w:r>
      <w:r>
        <w:t>.</w:t>
      </w:r>
    </w:p>
    <w:p w14:paraId="7E036094" w14:textId="5D295785" w:rsidR="00E61944" w:rsidRDefault="00E61944" w:rsidP="00E61944">
      <w:r w:rsidRPr="00F664A4">
        <w:t>Vehicle exhaust particles</w:t>
      </w:r>
      <w:r>
        <w:t xml:space="preserve"> are particularly damaging to health as they often contain </w:t>
      </w:r>
      <w:r w:rsidRPr="00566BB8">
        <w:t>metals and sulfates</w:t>
      </w:r>
      <w:r w:rsidR="00F664A4">
        <w:t xml:space="preserve"> (Parliament of Australia n.d.)</w:t>
      </w:r>
      <w:r>
        <w:t>. The market analysis identified that in 2018 NRDE emitted more than twice the particulate matter pollution of the entire on-road fleet.</w:t>
      </w:r>
    </w:p>
    <w:p w14:paraId="69DC89A8" w14:textId="37C0313B" w:rsidR="00E61944" w:rsidRDefault="00E61944" w:rsidP="00E61944">
      <w:r>
        <w:t xml:space="preserve">Around 29,000 healthy life years are lost each year due to premature deaths attributable to urban air pollution. Those most affected are the elderly, children, pregnant women, and those with existing health conditions (see </w:t>
      </w:r>
      <w:r w:rsidR="0045734B">
        <w:fldChar w:fldCharType="begin"/>
      </w:r>
      <w:r w:rsidR="0045734B">
        <w:instrText xml:space="preserve"> REF _Ref63320242 \h </w:instrText>
      </w:r>
      <w:r w:rsidR="0045734B">
        <w:fldChar w:fldCharType="separate"/>
      </w:r>
      <w:r w:rsidR="0045734B">
        <w:t xml:space="preserve">Figure </w:t>
      </w:r>
      <w:r w:rsidR="0045734B">
        <w:rPr>
          <w:noProof/>
        </w:rPr>
        <w:t>9</w:t>
      </w:r>
      <w:r w:rsidR="0045734B">
        <w:fldChar w:fldCharType="end"/>
      </w:r>
      <w:r w:rsidRPr="0045734B">
        <w:t>).</w:t>
      </w:r>
    </w:p>
    <w:p w14:paraId="06D9BE09" w14:textId="59DE523B" w:rsidR="007B37BA" w:rsidRDefault="00DF22A9" w:rsidP="00DF22A9">
      <w:pPr>
        <w:pStyle w:val="Caption"/>
      </w:pPr>
      <w:bookmarkStart w:id="37" w:name="_Ref63320242"/>
      <w:bookmarkStart w:id="38" w:name="_Toc63874270"/>
      <w:r>
        <w:t xml:space="preserve">Figure </w:t>
      </w:r>
      <w:r w:rsidR="00126C54">
        <w:rPr>
          <w:noProof/>
        </w:rPr>
        <w:fldChar w:fldCharType="begin"/>
      </w:r>
      <w:r w:rsidR="00126C54">
        <w:rPr>
          <w:noProof/>
        </w:rPr>
        <w:instrText xml:space="preserve"> SEQ Figure \* ARABIC </w:instrText>
      </w:r>
      <w:r w:rsidR="00126C54">
        <w:rPr>
          <w:noProof/>
        </w:rPr>
        <w:fldChar w:fldCharType="separate"/>
      </w:r>
      <w:r w:rsidR="00A418E2">
        <w:rPr>
          <w:noProof/>
        </w:rPr>
        <w:t>9</w:t>
      </w:r>
      <w:r w:rsidR="00126C54">
        <w:rPr>
          <w:noProof/>
        </w:rPr>
        <w:fldChar w:fldCharType="end"/>
      </w:r>
      <w:bookmarkEnd w:id="37"/>
      <w:r w:rsidR="0045734B">
        <w:t xml:space="preserve"> </w:t>
      </w:r>
      <w:r w:rsidR="0045734B" w:rsidRPr="007B37BA">
        <w:t>Those most vulnerable to health impacts from noxious NRDE emissions</w:t>
      </w:r>
      <w:bookmarkEnd w:id="38"/>
    </w:p>
    <w:p w14:paraId="38B7C727" w14:textId="77777777" w:rsidR="009D3F46" w:rsidRDefault="00CF1ACB" w:rsidP="009D3F46">
      <w:pPr>
        <w:spacing w:before="120"/>
      </w:pPr>
      <w:r>
        <w:rPr>
          <w:noProof/>
        </w:rPr>
        <w:drawing>
          <wp:inline distT="0" distB="0" distL="0" distR="0" wp14:anchorId="4CAAB74E" wp14:editId="30289A47">
            <wp:extent cx="5759450" cy="2824706"/>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2824706"/>
                    </a:xfrm>
                    <a:prstGeom prst="rect">
                      <a:avLst/>
                    </a:prstGeom>
                    <a:noFill/>
                    <a:ln>
                      <a:noFill/>
                    </a:ln>
                  </pic:spPr>
                </pic:pic>
              </a:graphicData>
            </a:graphic>
          </wp:inline>
        </w:drawing>
      </w:r>
    </w:p>
    <w:p w14:paraId="2094595D" w14:textId="5A7795B9" w:rsidR="00AF6655" w:rsidRDefault="00AF6655" w:rsidP="009D3F46">
      <w:pPr>
        <w:spacing w:before="120"/>
      </w:pPr>
      <w:r>
        <w:t xml:space="preserve">Air pollution also significantly diminishes the quality of life for people suffering chronic respiratory disease. Approximately 1 in every 9 Australians </w:t>
      </w:r>
      <w:r w:rsidRPr="00BB2FA4">
        <w:t>– around 2.8 million people – suffer from chronic asthma</w:t>
      </w:r>
      <w:r w:rsidR="00602978">
        <w:t xml:space="preserve"> (Asthma Australia n.d.)</w:t>
      </w:r>
      <w:r>
        <w:t>. In 2017-18 around 39,000 Australians were hospitalised due to asthma. Of these almost half (44%) were children (0</w:t>
      </w:r>
      <w:r w:rsidR="00E22F89">
        <w:t xml:space="preserve"> to </w:t>
      </w:r>
      <w:r>
        <w:t>14 years).</w:t>
      </w:r>
    </w:p>
    <w:p w14:paraId="114F3525" w14:textId="0A8E2B32" w:rsidR="00AF6655" w:rsidRDefault="00AF6655" w:rsidP="00AF6655">
      <w:r>
        <w:lastRenderedPageBreak/>
        <w:t>The pollutants emitted directly into the atmosphere in diesel exhaust (termed ‘primary’ pollutants) also contribute to the formation of ‘secondary’ pollutants through chemical reactions (</w:t>
      </w:r>
      <w:r w:rsidR="00E22F89">
        <w:t xml:space="preserve">see </w:t>
      </w:r>
      <w:r w:rsidR="00E22F89">
        <w:fldChar w:fldCharType="begin"/>
      </w:r>
      <w:r w:rsidR="00E22F89">
        <w:instrText xml:space="preserve"> REF _Ref63320395 \h </w:instrText>
      </w:r>
      <w:r w:rsidR="00E22F89">
        <w:fldChar w:fldCharType="separate"/>
      </w:r>
      <w:r w:rsidR="00E22F89">
        <w:t xml:space="preserve">Figure </w:t>
      </w:r>
      <w:r w:rsidR="00E22F89">
        <w:rPr>
          <w:noProof/>
        </w:rPr>
        <w:t>10</w:t>
      </w:r>
      <w:r w:rsidR="00E22F89">
        <w:fldChar w:fldCharType="end"/>
      </w:r>
      <w:r>
        <w:t>). The impacts of these secondary pollutants (such as organic and inorganic aerosols) can be higher in rural areas than urban areas due to the time (and distance) required for their formation.</w:t>
      </w:r>
    </w:p>
    <w:p w14:paraId="4794F0C0" w14:textId="5C9414D0" w:rsidR="00C430B7" w:rsidRDefault="00E22F89" w:rsidP="00E22F89">
      <w:pPr>
        <w:pStyle w:val="Caption"/>
      </w:pPr>
      <w:bookmarkStart w:id="39" w:name="_Ref63320395"/>
      <w:bookmarkStart w:id="40" w:name="_Toc63874271"/>
      <w:r>
        <w:t xml:space="preserve">Figure </w:t>
      </w:r>
      <w:r w:rsidR="00126C54">
        <w:rPr>
          <w:noProof/>
        </w:rPr>
        <w:fldChar w:fldCharType="begin"/>
      </w:r>
      <w:r w:rsidR="00126C54">
        <w:rPr>
          <w:noProof/>
        </w:rPr>
        <w:instrText xml:space="preserve"> SEQ Figure \* ARABIC </w:instrText>
      </w:r>
      <w:r w:rsidR="00126C54">
        <w:rPr>
          <w:noProof/>
        </w:rPr>
        <w:fldChar w:fldCharType="separate"/>
      </w:r>
      <w:r w:rsidR="00A418E2">
        <w:rPr>
          <w:noProof/>
        </w:rPr>
        <w:t>10</w:t>
      </w:r>
      <w:r w:rsidR="00126C54">
        <w:rPr>
          <w:noProof/>
        </w:rPr>
        <w:fldChar w:fldCharType="end"/>
      </w:r>
      <w:bookmarkEnd w:id="39"/>
      <w:r>
        <w:t xml:space="preserve"> </w:t>
      </w:r>
      <w:r w:rsidRPr="00922DDF">
        <w:t>Mechanisms that contribute formation of secondary particles</w:t>
      </w:r>
      <w:bookmarkEnd w:id="40"/>
    </w:p>
    <w:p w14:paraId="4D6CC821" w14:textId="3490D7A9" w:rsidR="00D25256" w:rsidRDefault="00D25256" w:rsidP="00AF6655">
      <w:r>
        <w:rPr>
          <w:noProof/>
        </w:rPr>
        <w:drawing>
          <wp:inline distT="0" distB="0" distL="0" distR="0" wp14:anchorId="216AA545" wp14:editId="1EA726EA">
            <wp:extent cx="5759450" cy="3617475"/>
            <wp:effectExtent l="0" t="0" r="0" b="2540"/>
            <wp:docPr id="14" name="Picture 14" descr="Non-road diesel engine nitrous oxide pollution form secondary particulate matter and ozone pollution. This is caused by chemical reactions within water droplets among three types of emissions: nitrogen oxides (NOx) primarily from vehicles such as NRDE, sulfur dioxide (SO2) commonly from power plants and industrial facilities, and ammonia (NH3) from livestock man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Non-road diesel engine nitrous oxide pollution form secondary particulate matter and ozone pollution. This is caused by chemical reactions within water droplets among three types of emissions: nitrogen oxides (NOx) primarily from vehicles such as NRDE, sulfur dioxide (SO2) commonly from power plants and industrial facilities, and ammonia (NH3) from livestock manure.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3617475"/>
                    </a:xfrm>
                    <a:prstGeom prst="rect">
                      <a:avLst/>
                    </a:prstGeom>
                    <a:noFill/>
                    <a:ln>
                      <a:noFill/>
                    </a:ln>
                  </pic:spPr>
                </pic:pic>
              </a:graphicData>
            </a:graphic>
          </wp:inline>
        </w:drawing>
      </w:r>
    </w:p>
    <w:p w14:paraId="33AE4EC1" w14:textId="2935BFA1" w:rsidR="00033046" w:rsidRDefault="00033046" w:rsidP="00033046">
      <w:pPr>
        <w:pStyle w:val="FigureTableNoteSource"/>
      </w:pPr>
      <w:r>
        <w:t>Source: Sta</w:t>
      </w:r>
      <w:r w:rsidR="00FC65C8">
        <w:t>uffer</w:t>
      </w:r>
      <w:r w:rsidR="006B099C">
        <w:t xml:space="preserve"> </w:t>
      </w:r>
      <w:r w:rsidR="00FC65C8">
        <w:t>2016</w:t>
      </w:r>
    </w:p>
    <w:p w14:paraId="5FABF48F" w14:textId="40D9E6B3" w:rsidR="003260A6" w:rsidRDefault="003260A6" w:rsidP="003260A6">
      <w:r>
        <w:t>Oxides of nitrogen and hydrocarbon emissions also contribute to photochemical smog, and notably the formation of ground-level ozone (O</w:t>
      </w:r>
      <w:r w:rsidRPr="003260A6">
        <w:rPr>
          <w:vertAlign w:val="subscript"/>
        </w:rPr>
        <w:t>3</w:t>
      </w:r>
      <w:r>
        <w:t xml:space="preserve">). </w:t>
      </w:r>
      <w:r w:rsidRPr="000A109E">
        <w:t>Ozone exposures can induce serious respiratory tract responses</w:t>
      </w:r>
      <w:r>
        <w:t xml:space="preserve"> including reduction in lung function, aggravation of pre-existing respiratory diseases (such as asthma), increases in daily hospital admissions, emergency department visits for respiratory causes, and excess mortality</w:t>
      </w:r>
      <w:r w:rsidR="004C444F">
        <w:t xml:space="preserve"> (US EPA n.d.)</w:t>
      </w:r>
      <w:r>
        <w:t>.</w:t>
      </w:r>
    </w:p>
    <w:p w14:paraId="62D1EAAA" w14:textId="77777777" w:rsidR="003260A6" w:rsidRDefault="003260A6" w:rsidP="003260A6">
      <w:r>
        <w:t>Pollutants such as PM can travel long distances from their source both within a state or territory, and between states and territories.</w:t>
      </w:r>
    </w:p>
    <w:p w14:paraId="2A2457FF" w14:textId="77777777" w:rsidR="003260A6" w:rsidRDefault="003260A6" w:rsidP="003260A6">
      <w:r>
        <w:t>At an individual level in Australia, the health burden of exposure to ambient air pollution may be relatively small. However, these individual effects translate to a large public health burden when multiplied by the large number of people exposed.</w:t>
      </w:r>
    </w:p>
    <w:p w14:paraId="4F509C1D" w14:textId="08E5C6BF" w:rsidR="003260A6" w:rsidRDefault="003260A6" w:rsidP="003260A6">
      <w:r>
        <w:t xml:space="preserve">Ambient air pollution translates into large economic costs </w:t>
      </w:r>
      <w:r w:rsidR="00004937">
        <w:t>–</w:t>
      </w:r>
      <w:r>
        <w:t xml:space="preserve"> for the NSW greater metropolitan area alone it has been estimated that the </w:t>
      </w:r>
      <w:r w:rsidRPr="009B1DDE">
        <w:t>health costs of air pollution</w:t>
      </w:r>
      <w:r>
        <w:t xml:space="preserve"> are around $4.7 billion (2003 AUD) annually</w:t>
      </w:r>
      <w:r w:rsidR="005A2DE3">
        <w:t xml:space="preserve"> (NSW DEC 2005)</w:t>
      </w:r>
      <w:r>
        <w:t xml:space="preserve">. This equates to $892 per capita or 1.9% of </w:t>
      </w:r>
      <w:r w:rsidRPr="00B2356D">
        <w:t>gross state product</w:t>
      </w:r>
      <w:r>
        <w:t>.</w:t>
      </w:r>
    </w:p>
    <w:p w14:paraId="6281F381" w14:textId="77777777" w:rsidR="003260A6" w:rsidRDefault="003260A6" w:rsidP="003260A6">
      <w:r>
        <w:t xml:space="preserve">In 2010 a study identified and recommended measures to support the supply and purchase of cleaner NRDE into the Australian market from 2009 to 2030. For compliance with the most </w:t>
      </w:r>
      <w:r>
        <w:lastRenderedPageBreak/>
        <w:t>stringent emission standards at the time, the benefits were estimated to be in the range $2.5 to $4.7 billion (2008 AUD) by 2030.</w:t>
      </w:r>
    </w:p>
    <w:p w14:paraId="1214F700" w14:textId="42797FE5" w:rsidR="003260A6" w:rsidRDefault="003260A6" w:rsidP="003260A6">
      <w:r>
        <w:t xml:space="preserve">More recently, there is a growing body of evidence </w:t>
      </w:r>
      <w:r w:rsidRPr="009C393A">
        <w:t>linking poor air quality to reduced worker productivity</w:t>
      </w:r>
      <w:r>
        <w:t>, even at the levels of pollution below the guidelines recommended by the World Health Organization</w:t>
      </w:r>
      <w:r w:rsidR="009C393A">
        <w:t xml:space="preserve"> (Neidell </w:t>
      </w:r>
      <w:r w:rsidR="00B651A5">
        <w:t>2017)</w:t>
      </w:r>
      <w:r>
        <w:t>.</w:t>
      </w:r>
    </w:p>
    <w:p w14:paraId="1D0F6D3F" w14:textId="0DAED675" w:rsidR="005545F4" w:rsidRDefault="005545F4" w:rsidP="003260A6">
      <w:r w:rsidRPr="005545F4">
        <w:t xml:space="preserve">In addition to health impacts, air pollution may have significant impacts on the environment, either directly or indirectly. </w:t>
      </w:r>
      <w:r w:rsidRPr="007B5F2E">
        <w:t>Impacts</w:t>
      </w:r>
      <w:r w:rsidRPr="005545F4">
        <w:t xml:space="preserve"> may include damage to crops and other vegetation through impaired growth; acidification of soils and freshwater, which depletes essential nutrients that support flora and fauna; eutrophication which depletes oxygen levels and can lead to a change in species diversity; and chronic health problems in wildlife from heavy metals and organic pollutants</w:t>
      </w:r>
      <w:r w:rsidR="007B5F2E">
        <w:t xml:space="preserve"> (</w:t>
      </w:r>
      <w:proofErr w:type="spellStart"/>
      <w:r w:rsidR="00AE7567">
        <w:t>DSEWPaC</w:t>
      </w:r>
      <w:proofErr w:type="spellEnd"/>
      <w:r w:rsidR="00AE7567">
        <w:t xml:space="preserve"> 2011, </w:t>
      </w:r>
      <w:r w:rsidR="007B5F2E">
        <w:t>UNEP 2014</w:t>
      </w:r>
      <w:r w:rsidR="00AE7567">
        <w:t>)</w:t>
      </w:r>
      <w:r w:rsidRPr="005545F4">
        <w:t>.</w:t>
      </w:r>
      <w:r w:rsidR="002A287D">
        <w:t xml:space="preserve"> </w:t>
      </w:r>
      <w:r w:rsidRPr="005545F4">
        <w:t>Additionally, NRDE emit CO</w:t>
      </w:r>
      <w:r w:rsidRPr="00821BD0">
        <w:rPr>
          <w:vertAlign w:val="subscript"/>
        </w:rPr>
        <w:t>2</w:t>
      </w:r>
      <w:r w:rsidRPr="005545F4">
        <w:t>, N</w:t>
      </w:r>
      <w:r w:rsidRPr="00821BD0">
        <w:rPr>
          <w:vertAlign w:val="subscript"/>
        </w:rPr>
        <w:t>2</w:t>
      </w:r>
      <w:r w:rsidRPr="005545F4">
        <w:t>O and methane which are greenhouse gases that contribute to climate change.</w:t>
      </w:r>
    </w:p>
    <w:p w14:paraId="066E2539" w14:textId="17C408DD" w:rsidR="009701AF" w:rsidRDefault="009701AF" w:rsidP="0030331A">
      <w:pPr>
        <w:pStyle w:val="Heading4"/>
      </w:pPr>
      <w:r>
        <w:t>Australia does not regulate emissions from non-road diesel engines</w:t>
      </w:r>
    </w:p>
    <w:p w14:paraId="4A969DE0" w14:textId="77777777" w:rsidR="009701AF" w:rsidRDefault="009701AF" w:rsidP="009701AF">
      <w:r>
        <w:t>Unlike road vehicles there are no standards in place to limit emissions from non-road diesel engines in Australia.</w:t>
      </w:r>
    </w:p>
    <w:p w14:paraId="0F336DA0" w14:textId="77777777" w:rsidR="009701AF" w:rsidRDefault="009701AF" w:rsidP="009701AF">
      <w:r>
        <w:t>NRDE are high polluters relative to their usage. In Australia in 2018 they:</w:t>
      </w:r>
    </w:p>
    <w:p w14:paraId="43013F08" w14:textId="0184B491" w:rsidR="009701AF" w:rsidRDefault="009701AF" w:rsidP="001D2A1D">
      <w:pPr>
        <w:pStyle w:val="ListBullet"/>
      </w:pPr>
      <w:r>
        <w:t>consumed a comparable amount of diesel to the entire on-road diesel fleet</w:t>
      </w:r>
    </w:p>
    <w:p w14:paraId="21DC00AE" w14:textId="078E0466" w:rsidR="009701AF" w:rsidRDefault="009701AF" w:rsidP="001D2A1D">
      <w:pPr>
        <w:pStyle w:val="ListBullet"/>
      </w:pPr>
      <w:r>
        <w:t>emitted more than double the particulate matter of the entire on-road fleet (all fuel types)</w:t>
      </w:r>
    </w:p>
    <w:p w14:paraId="1012E6D6" w14:textId="5F5F809F" w:rsidR="009701AF" w:rsidRDefault="009701AF" w:rsidP="001D2A1D">
      <w:pPr>
        <w:pStyle w:val="ListBullet"/>
      </w:pPr>
      <w:r>
        <w:t>had NO</w:t>
      </w:r>
      <w:r w:rsidRPr="0091446A">
        <w:rPr>
          <w:vertAlign w:val="subscript"/>
        </w:rPr>
        <w:t>x</w:t>
      </w:r>
      <w:r>
        <w:t xml:space="preserve"> emissions that were 80% of the entire on-road fleet.</w:t>
      </w:r>
    </w:p>
    <w:p w14:paraId="7D004A82" w14:textId="6E757528" w:rsidR="004F3F18" w:rsidRDefault="009701AF" w:rsidP="009701AF">
      <w:r>
        <w:t>Australia has benefited from some uptake of NRDE that meet the requirements for the latest international emission standards. These have contributed to reduced emissions from this sector, but they are not widespread as evidenced by the 2018 sales (</w:t>
      </w:r>
      <w:r w:rsidRPr="00A33C20">
        <w:t xml:space="preserve">see </w:t>
      </w:r>
      <w:r w:rsidR="00A33C20">
        <w:fldChar w:fldCharType="begin"/>
      </w:r>
      <w:r w:rsidR="00A33C20">
        <w:instrText xml:space="preserve"> REF _Ref63320997 \h </w:instrText>
      </w:r>
      <w:r w:rsidR="00A33C20">
        <w:fldChar w:fldCharType="separate"/>
      </w:r>
      <w:r w:rsidR="00A33C20">
        <w:t xml:space="preserve">Figure </w:t>
      </w:r>
      <w:r w:rsidR="00A33C20">
        <w:rPr>
          <w:noProof/>
        </w:rPr>
        <w:t>11</w:t>
      </w:r>
      <w:r w:rsidR="00A33C20">
        <w:fldChar w:fldCharType="end"/>
      </w:r>
      <w:r>
        <w:t>).</w:t>
      </w:r>
    </w:p>
    <w:p w14:paraId="3165C91A" w14:textId="395951C4" w:rsidR="00B26FF5" w:rsidRDefault="00A33C20" w:rsidP="00A33C20">
      <w:pPr>
        <w:pStyle w:val="Caption"/>
      </w:pPr>
      <w:bookmarkStart w:id="41" w:name="_Ref63320997"/>
      <w:bookmarkStart w:id="42" w:name="_Toc63874272"/>
      <w:r>
        <w:t xml:space="preserve">Figure </w:t>
      </w:r>
      <w:r w:rsidR="00126C54">
        <w:rPr>
          <w:noProof/>
        </w:rPr>
        <w:fldChar w:fldCharType="begin"/>
      </w:r>
      <w:r w:rsidR="00126C54">
        <w:rPr>
          <w:noProof/>
        </w:rPr>
        <w:instrText xml:space="preserve"> SEQ Figure \* ARABIC </w:instrText>
      </w:r>
      <w:r w:rsidR="00126C54">
        <w:rPr>
          <w:noProof/>
        </w:rPr>
        <w:fldChar w:fldCharType="separate"/>
      </w:r>
      <w:r w:rsidR="00A418E2">
        <w:rPr>
          <w:noProof/>
        </w:rPr>
        <w:t>11</w:t>
      </w:r>
      <w:r w:rsidR="00126C54">
        <w:rPr>
          <w:noProof/>
        </w:rPr>
        <w:fldChar w:fldCharType="end"/>
      </w:r>
      <w:bookmarkEnd w:id="41"/>
      <w:r>
        <w:t xml:space="preserve"> </w:t>
      </w:r>
      <w:r w:rsidRPr="00B26FF5">
        <w:t xml:space="preserve">2018 Australian NRDE sales by </w:t>
      </w:r>
      <w:r>
        <w:t>t</w:t>
      </w:r>
      <w:r w:rsidRPr="00B26FF5">
        <w:t>ier rating</w:t>
      </w:r>
      <w:bookmarkEnd w:id="42"/>
    </w:p>
    <w:p w14:paraId="2999B582" w14:textId="10BA4508" w:rsidR="00334502" w:rsidRDefault="00BB42ED" w:rsidP="009701AF">
      <w:r>
        <w:rPr>
          <w:noProof/>
        </w:rPr>
        <w:drawing>
          <wp:inline distT="0" distB="0" distL="0" distR="0" wp14:anchorId="54F70B50" wp14:editId="5591E9AD">
            <wp:extent cx="5759450" cy="3296544"/>
            <wp:effectExtent l="0" t="0" r="0" b="0"/>
            <wp:docPr id="4" name="Picture 4" descr="In 2018, 16% of Australian NRDE sales met no standards, while 21% met the Tier 4 Final standards. The biggest proportion of NRDE sales was for Tier 3 equipment which was 48% of total 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 2018, 16% of Australian NRDE sales met no standards, while 21% met the Tier 4 Final standards. The biggest proportion of NRDE sales was for Tier 3 equipment which was 48% of total sal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3296544"/>
                    </a:xfrm>
                    <a:prstGeom prst="rect">
                      <a:avLst/>
                    </a:prstGeom>
                    <a:noFill/>
                  </pic:spPr>
                </pic:pic>
              </a:graphicData>
            </a:graphic>
          </wp:inline>
        </w:drawing>
      </w:r>
    </w:p>
    <w:p w14:paraId="16243815" w14:textId="74A0C5F3" w:rsidR="00404BFA" w:rsidRDefault="00404BFA" w:rsidP="00404BFA">
      <w:r>
        <w:lastRenderedPageBreak/>
        <w:t xml:space="preserve">Some states and territories have targeted NRDE emission reduction programs. For example, the NSW government has undertaken </w:t>
      </w:r>
      <w:r w:rsidRPr="006B5822">
        <w:t>diesel retrofit programs</w:t>
      </w:r>
      <w:r>
        <w:t xml:space="preserve"> to raise the profile of </w:t>
      </w:r>
      <w:r w:rsidRPr="00DA7721">
        <w:t>cleaner NRDE</w:t>
      </w:r>
      <w:r w:rsidR="006B5822">
        <w:t xml:space="preserve"> (NSW EPA 2010)</w:t>
      </w:r>
      <w:r>
        <w:t xml:space="preserve">. Individual state or territory-based programs which utilise retrofitting have been shown to </w:t>
      </w:r>
      <w:r w:rsidRPr="002739CF">
        <w:t>provide net benefits</w:t>
      </w:r>
      <w:r>
        <w:t xml:space="preserve">. However, the </w:t>
      </w:r>
      <w:r w:rsidRPr="002739CF">
        <w:t>marginal cost of emissions reductions</w:t>
      </w:r>
      <w:r>
        <w:t xml:space="preserve"> from retrofitting is higher than procuring new low emitting NRDE</w:t>
      </w:r>
      <w:r w:rsidR="002739CF">
        <w:t xml:space="preserve"> (NSW EPA 2014</w:t>
      </w:r>
      <w:r w:rsidR="006F1F2D">
        <w:t>, Pacific Environment 2013)</w:t>
      </w:r>
      <w:r>
        <w:t>.</w:t>
      </w:r>
    </w:p>
    <w:p w14:paraId="06884D5B" w14:textId="62398D1C" w:rsidR="00404BFA" w:rsidRDefault="00404BFA" w:rsidP="00404BFA">
      <w:r>
        <w:t>Individual states or territories cannot effectively limit NRDE emissions by applying emission standards in their individual jurisdictions. Any such policy would result in cross</w:t>
      </w:r>
      <w:r w:rsidR="00044BC6">
        <w:t>-</w:t>
      </w:r>
      <w:r>
        <w:t xml:space="preserve">border movement of non-compliant NRDE as allowed under </w:t>
      </w:r>
      <w:r w:rsidRPr="00187CBB">
        <w:t xml:space="preserve">the </w:t>
      </w:r>
      <w:hyperlink r:id="rId37" w:history="1">
        <w:r w:rsidRPr="00187CBB">
          <w:rPr>
            <w:rStyle w:val="Hyperlink"/>
          </w:rPr>
          <w:t>Mutual Recognition Act 1992</w:t>
        </w:r>
      </w:hyperlink>
      <w:r>
        <w:t>. This act allows goods produced or imported lawfully in any individual state or territory to be sold in another, regardless of any differences in regulatory standards or other sale-related regulatory requirements.</w:t>
      </w:r>
    </w:p>
    <w:p w14:paraId="5C85912C" w14:textId="111C2AF7" w:rsidR="00404BFA" w:rsidRDefault="00404BFA" w:rsidP="00404BFA">
      <w:r>
        <w:t>All states and territories could choose to harmonise NRDE emissions standards through cooperative legislation. Cooperative legislation may result in regulatory inconsistency and different environmental outcomes if compliance and enforcement differ between jurisdictions. NRDE suppliers selling into more than one jurisdiction would also need to deal with more than one regulatory agency, which is likely to have a higher regulatory burden than a national approach to reducing NRDE emissions.</w:t>
      </w:r>
    </w:p>
    <w:p w14:paraId="67F545DF" w14:textId="5A23F923" w:rsidR="00CE76ED" w:rsidRDefault="00CE76ED" w:rsidP="00CE76ED">
      <w:pPr>
        <w:pStyle w:val="Heading4"/>
      </w:pPr>
      <w:r>
        <w:t>NRDE are likely to remain a key source of noxious emissions in Australia without intervention</w:t>
      </w:r>
    </w:p>
    <w:p w14:paraId="00A90EF1" w14:textId="5417137C" w:rsidR="00CE76ED" w:rsidRDefault="00CE76ED" w:rsidP="00CE76ED">
      <w:r>
        <w:t xml:space="preserve">Despite a projected transition towards higher </w:t>
      </w:r>
      <w:r w:rsidR="00666B4D">
        <w:t>t</w:t>
      </w:r>
      <w:r>
        <w:t xml:space="preserve">iered technology, emissions reduction </w:t>
      </w:r>
      <w:proofErr w:type="gramStart"/>
      <w:r>
        <w:t>are</w:t>
      </w:r>
      <w:proofErr w:type="gramEnd"/>
      <w:r>
        <w:t xml:space="preserve"> unlikely to be realised. Projected increases in NRDE use and annual fuel consumption will partially offset the emissions improvements offered by higher </w:t>
      </w:r>
      <w:r w:rsidR="001A74B3">
        <w:t>t</w:t>
      </w:r>
      <w:r>
        <w:t>iered technology.</w:t>
      </w:r>
      <w:r w:rsidR="001A74B3">
        <w:t xml:space="preserve"> </w:t>
      </w:r>
      <w:r w:rsidR="001A74B3" w:rsidRPr="00235A6D">
        <w:t>For example, NRDE fuel use is forecast to rise by 25% at the national level between 2018 and 2028, and an increase of 63% between 2018 and 2043</w:t>
      </w:r>
      <w:r w:rsidR="00C81F8C" w:rsidRPr="00235A6D">
        <w:t>.</w:t>
      </w:r>
      <w:r>
        <w:t xml:space="preserve"> </w:t>
      </w:r>
      <w:r w:rsidR="008C3F10">
        <w:t>M</w:t>
      </w:r>
      <w:r w:rsidR="00C81F8C">
        <w:t>o</w:t>
      </w:r>
      <w:r>
        <w:t xml:space="preserve">dest decreases of some NRDE emissions are projected, </w:t>
      </w:r>
      <w:r w:rsidR="008C3F10">
        <w:t xml:space="preserve">while </w:t>
      </w:r>
      <w:r>
        <w:t>others are projected to increase (</w:t>
      </w:r>
      <w:r w:rsidR="00C81F8C">
        <w:t xml:space="preserve">see </w:t>
      </w:r>
      <w:r w:rsidR="00C81F8C">
        <w:fldChar w:fldCharType="begin"/>
      </w:r>
      <w:r w:rsidR="00C81F8C">
        <w:instrText xml:space="preserve"> REF _Ref63321521 \h </w:instrText>
      </w:r>
      <w:r w:rsidR="00C81F8C">
        <w:fldChar w:fldCharType="separate"/>
      </w:r>
      <w:r w:rsidR="00C81F8C">
        <w:t xml:space="preserve">Figure </w:t>
      </w:r>
      <w:r w:rsidR="00C81F8C">
        <w:rPr>
          <w:noProof/>
        </w:rPr>
        <w:t>12</w:t>
      </w:r>
      <w:r w:rsidR="00C81F8C">
        <w:fldChar w:fldCharType="end"/>
      </w:r>
      <w:r>
        <w:t>).</w:t>
      </w:r>
    </w:p>
    <w:p w14:paraId="5E8FDAE1" w14:textId="5B3A433C" w:rsidR="00B15A03" w:rsidRDefault="00C81F8C" w:rsidP="00C81F8C">
      <w:pPr>
        <w:pStyle w:val="Caption"/>
      </w:pPr>
      <w:bookmarkStart w:id="43" w:name="_Ref63321521"/>
      <w:bookmarkStart w:id="44" w:name="_Toc63874273"/>
      <w:r>
        <w:lastRenderedPageBreak/>
        <w:t xml:space="preserve">Figure </w:t>
      </w:r>
      <w:r w:rsidR="00126C54">
        <w:rPr>
          <w:noProof/>
        </w:rPr>
        <w:fldChar w:fldCharType="begin"/>
      </w:r>
      <w:r w:rsidR="00126C54">
        <w:rPr>
          <w:noProof/>
        </w:rPr>
        <w:instrText xml:space="preserve"> SEQ Figure \* ARABIC </w:instrText>
      </w:r>
      <w:r w:rsidR="00126C54">
        <w:rPr>
          <w:noProof/>
        </w:rPr>
        <w:fldChar w:fldCharType="separate"/>
      </w:r>
      <w:r w:rsidR="00A418E2">
        <w:rPr>
          <w:noProof/>
        </w:rPr>
        <w:t>12</w:t>
      </w:r>
      <w:r w:rsidR="00126C54">
        <w:rPr>
          <w:noProof/>
        </w:rPr>
        <w:fldChar w:fldCharType="end"/>
      </w:r>
      <w:bookmarkEnd w:id="43"/>
      <w:r>
        <w:t xml:space="preserve"> </w:t>
      </w:r>
      <w:r w:rsidRPr="00B15A03">
        <w:t xml:space="preserve">Net changes in </w:t>
      </w:r>
      <w:proofErr w:type="gramStart"/>
      <w:r w:rsidRPr="00B15A03">
        <w:t>business as usual</w:t>
      </w:r>
      <w:proofErr w:type="gramEnd"/>
      <w:r w:rsidRPr="00B15A03">
        <w:t xml:space="preserve"> NRDE emissions forecast between 2018 and 2043</w:t>
      </w:r>
      <w:bookmarkEnd w:id="44"/>
    </w:p>
    <w:p w14:paraId="7DBF807C" w14:textId="2159FCD6" w:rsidR="00036CBA" w:rsidRDefault="00036CBA" w:rsidP="00CE76ED">
      <w:r>
        <w:rPr>
          <w:noProof/>
        </w:rPr>
        <w:drawing>
          <wp:inline distT="0" distB="0" distL="0" distR="0" wp14:anchorId="40FF3BCA" wp14:editId="08284D06">
            <wp:extent cx="5365115" cy="7811812"/>
            <wp:effectExtent l="19050" t="19050" r="26035" b="17780"/>
            <wp:docPr id="15" name="Picture 15" descr="If business as usual continues, PM10, PM2.5 and CO emissions from NRDE are projected to decrease between 2018 and 2043 by around 15%. This reduction would be due to increased uptake of higher Tiered technology that offsets the predicted increase in fuel consumption.  SO2 emissions will continue to increase between 2018 and 2043 as emissions improvements for individual equipment are offset by an increase in fleet fuel consumption. By 2043 SO2 is predicted to be around 50% higher than in 2018. NOx and HC emissions show a slight decrease between 2018 and 2028, before increasing again in 2043 to similar levels found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f business as usual continues, PM10, PM2.5 and CO emissions from NRDE are projected to decrease between 2018 and 2043 by around 15%. This reduction would be due to increased uptake of higher Tiered technology that offsets the predicted increase in fuel consumption.  SO2 emissions will continue to increase between 2018 and 2043 as emissions improvements for individual equipment are offset by an increase in fleet fuel consumption. By 2043 SO2 is predicted to be around 50% higher than in 2018. NOx and HC emissions show a slight decrease between 2018 and 2028, before increasing again in 2043 to similar levels found in 2018."/>
                    <pic:cNvPicPr/>
                  </pic:nvPicPr>
                  <pic:blipFill rotWithShape="1">
                    <a:blip r:embed="rId38"/>
                    <a:srcRect l="2563" t="1202" r="1825" b="1229"/>
                    <a:stretch/>
                  </pic:blipFill>
                  <pic:spPr bwMode="auto">
                    <a:xfrm>
                      <a:off x="0" y="0"/>
                      <a:ext cx="5371925" cy="7821728"/>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92CC31" w14:textId="461DFD25" w:rsidR="00A07CFB" w:rsidRDefault="00A07CFB" w:rsidP="00A07CFB">
      <w:r>
        <w:t xml:space="preserve">The net changes in emissions between 2018, 2028 and 2043 represent a trade-off between an increased national fleet (and hence activity and fuel consumption) and general reduction in </w:t>
      </w:r>
      <w:r>
        <w:lastRenderedPageBreak/>
        <w:t>average unit emissions (average g/kWh) resulting from the transition to better emission standards.</w:t>
      </w:r>
    </w:p>
    <w:p w14:paraId="144556FE" w14:textId="2DBAC9AA" w:rsidR="00A07CFB" w:rsidRDefault="00A07CFB" w:rsidP="00A07CFB">
      <w:r>
        <w:t xml:space="preserve">The accuracy of these forecasts is subject to the market transitioning towards </w:t>
      </w:r>
      <w:r w:rsidR="0060085F">
        <w:t>t</w:t>
      </w:r>
      <w:r>
        <w:t xml:space="preserve">ier 4. The estimated transition may be slowed by cost differentials as </w:t>
      </w:r>
      <w:r w:rsidR="0060085F">
        <w:t>t</w:t>
      </w:r>
      <w:r>
        <w:t>ier 4 engines are more expensive and may be subject to market failure (</w:t>
      </w:r>
      <w:r w:rsidRPr="003854E7">
        <w:t xml:space="preserve">see </w:t>
      </w:r>
      <w:r w:rsidR="00CA0A3B">
        <w:fldChar w:fldCharType="begin"/>
      </w:r>
      <w:r w:rsidR="00CA0A3B">
        <w:instrText xml:space="preserve"> REF _Ref63321691 \h </w:instrText>
      </w:r>
      <w:r w:rsidR="00CA0A3B">
        <w:fldChar w:fldCharType="separate"/>
      </w:r>
      <w:r w:rsidR="00CA0A3B">
        <w:t xml:space="preserve">Box </w:t>
      </w:r>
      <w:r w:rsidR="00CA0A3B">
        <w:rPr>
          <w:noProof/>
        </w:rPr>
        <w:t>2</w:t>
      </w:r>
      <w:r w:rsidR="00CA0A3B">
        <w:fldChar w:fldCharType="end"/>
      </w:r>
      <w:r>
        <w:t>). Un-forecasted increases in NRDE pollution are possible in the absence of intervention or cost effective NRDE alternatives as there will be a continuing domestic market for cheaper and more polluting (or ‘dirtier’) engines.</w:t>
      </w:r>
    </w:p>
    <w:p w14:paraId="2B580182" w14:textId="227E0E8D" w:rsidR="002103C6" w:rsidRDefault="003854E7" w:rsidP="003854E7">
      <w:pPr>
        <w:pStyle w:val="Caption"/>
      </w:pPr>
      <w:bookmarkStart w:id="45" w:name="_Ref63321691"/>
      <w:bookmarkStart w:id="46" w:name="_Toc63874280"/>
      <w:r>
        <w:t xml:space="preserve">Box </w:t>
      </w:r>
      <w:r w:rsidR="00126C54">
        <w:rPr>
          <w:noProof/>
        </w:rPr>
        <w:fldChar w:fldCharType="begin"/>
      </w:r>
      <w:r w:rsidR="00126C54">
        <w:rPr>
          <w:noProof/>
        </w:rPr>
        <w:instrText xml:space="preserve"> SEQ Box \* ARABIC </w:instrText>
      </w:r>
      <w:r w:rsidR="00126C54">
        <w:rPr>
          <w:noProof/>
        </w:rPr>
        <w:fldChar w:fldCharType="separate"/>
      </w:r>
      <w:r w:rsidR="005616AA">
        <w:rPr>
          <w:noProof/>
        </w:rPr>
        <w:t>2</w:t>
      </w:r>
      <w:r w:rsidR="00126C54">
        <w:rPr>
          <w:noProof/>
        </w:rPr>
        <w:fldChar w:fldCharType="end"/>
      </w:r>
      <w:bookmarkEnd w:id="45"/>
      <w:r>
        <w:t xml:space="preserve"> </w:t>
      </w:r>
      <w:r w:rsidRPr="001C77B8">
        <w:t>Future market conditions in the absence of intervention</w:t>
      </w:r>
      <w:bookmarkEnd w:id="46"/>
    </w:p>
    <w:p w14:paraId="337A0C9F" w14:textId="30DBC22B" w:rsidR="00292EDE" w:rsidRDefault="00292EDE" w:rsidP="00292EDE">
      <w:pPr>
        <w:pStyle w:val="BoxText"/>
      </w:pPr>
      <w:r>
        <w:t xml:space="preserve">Technologies on the horizon for the non-road diesel sector are mainly electrification (hybrid, plug-in </w:t>
      </w:r>
      <w:proofErr w:type="gramStart"/>
      <w:r>
        <w:t>hybrid</w:t>
      </w:r>
      <w:proofErr w:type="gramEnd"/>
      <w:r>
        <w:t xml:space="preserve"> and battery electric vehicles) and hydrogen fuel cell technology. But such changes are not considered to be imminent. This slower transition to horizon technology will be primarily due to the high load factors of NRDE which require much larger energy sources than on-road applications to operate for the same </w:t>
      </w:r>
      <w:proofErr w:type="gramStart"/>
      <w:r>
        <w:t>time period</w:t>
      </w:r>
      <w:proofErr w:type="gramEnd"/>
      <w:r>
        <w:t>.</w:t>
      </w:r>
    </w:p>
    <w:p w14:paraId="6C42EF73" w14:textId="71D75CF1" w:rsidR="00292EDE" w:rsidRDefault="00292EDE" w:rsidP="00292EDE">
      <w:pPr>
        <w:pStyle w:val="BoxText"/>
      </w:pPr>
      <w:r>
        <w:t xml:space="preserve">Further, increasingly strict international NRDE emission standards are likely to increase the cost differential between cleaner engines which align with international best practice and cheaper dirtier engines which do not. This cost differential is expected to impede the future uptake of cleaner engines in Australia. As international standards tighten it is likely that the market for lower </w:t>
      </w:r>
      <w:r w:rsidR="00DA1238">
        <w:t>t</w:t>
      </w:r>
      <w:r>
        <w:t xml:space="preserve">iered products will contract while supply does not. Such a situation risks increased competition between these lower </w:t>
      </w:r>
      <w:r w:rsidR="003C5EE4">
        <w:t>t</w:t>
      </w:r>
      <w:r>
        <w:t xml:space="preserve">iered products and potentially dumping of the dirty engines in Australia at below cost. The presence of discounted lower </w:t>
      </w:r>
      <w:r w:rsidR="003C5EE4">
        <w:t>t</w:t>
      </w:r>
      <w:r>
        <w:t>ier engines would further increase the cost differential and lessen the predicted uptake of clean engines which align with international best practice.</w:t>
      </w:r>
    </w:p>
    <w:p w14:paraId="6E156FC0" w14:textId="79E74589" w:rsidR="00CA0A3B" w:rsidRDefault="00CA0A3B" w:rsidP="00CA0A3B">
      <w:pPr>
        <w:pStyle w:val="BoxHeading"/>
      </w:pPr>
      <w:r>
        <w:t>Consultation questions:</w:t>
      </w:r>
    </w:p>
    <w:p w14:paraId="5EE8F7C0" w14:textId="5BD8FF9F" w:rsidR="00292EDE" w:rsidRDefault="00662E62" w:rsidP="00292EDE">
      <w:pPr>
        <w:pStyle w:val="BoxText"/>
      </w:pPr>
      <w:r>
        <w:t xml:space="preserve">5) </w:t>
      </w:r>
      <w:r w:rsidR="00292EDE">
        <w:t>Can you suggest or provide evidence for alternative assumptions about transitioning to alternative energy for NRDE applications?</w:t>
      </w:r>
    </w:p>
    <w:p w14:paraId="5086A437" w14:textId="774790F2" w:rsidR="001C77B8" w:rsidRDefault="00662E62" w:rsidP="00292EDE">
      <w:pPr>
        <w:pStyle w:val="BoxText"/>
      </w:pPr>
      <w:r>
        <w:t xml:space="preserve">6) </w:t>
      </w:r>
      <w:r w:rsidR="00292EDE">
        <w:t>Are you able to demonstrate more reasonable assumptions about future market conditions in the absence of intervention?</w:t>
      </w:r>
    </w:p>
    <w:p w14:paraId="65FA272C" w14:textId="77777777" w:rsidR="00954853" w:rsidRDefault="00954853" w:rsidP="00954853">
      <w:r>
        <w:t>The scale of air pollution from these sources and the current and forecast low uptake of low emissions technology supports an examination of possible national options to manage emissions from this source as:</w:t>
      </w:r>
    </w:p>
    <w:p w14:paraId="48BDB15B" w14:textId="1A9A5E5B" w:rsidR="00954853" w:rsidRDefault="00954853" w:rsidP="00954853">
      <w:pPr>
        <w:pStyle w:val="ListBullet"/>
      </w:pPr>
      <w:r>
        <w:t>there is no threshold below which adverse health effects are avoided for some pollutants emitted from NRDE. Even a small reduction in emissions may result in substantial health and economic benefits (through reducing the incidence of health impacts and reducing health costs)</w:t>
      </w:r>
    </w:p>
    <w:p w14:paraId="40921DB5" w14:textId="664D41AD" w:rsidR="00DC1FC1" w:rsidRDefault="00954853" w:rsidP="00954853">
      <w:pPr>
        <w:pStyle w:val="ListBullet"/>
      </w:pPr>
      <w:r>
        <w:t>in the absence of intervention there may be a potential risk of higher-than-forecast sales of cheaper and more polluting engines and hence higher emissions.</w:t>
      </w:r>
    </w:p>
    <w:p w14:paraId="7F3FC882" w14:textId="782E7978" w:rsidR="006100F0" w:rsidRDefault="006100F0" w:rsidP="006100F0">
      <w:pPr>
        <w:pStyle w:val="Heading2"/>
      </w:pPr>
      <w:bookmarkStart w:id="47" w:name="_Toc63874249"/>
      <w:r>
        <w:lastRenderedPageBreak/>
        <w:t xml:space="preserve">Objectives of </w:t>
      </w:r>
      <w:r w:rsidR="00312B27">
        <w:t>g</w:t>
      </w:r>
      <w:r>
        <w:t>overnment action</w:t>
      </w:r>
      <w:bookmarkEnd w:id="47"/>
    </w:p>
    <w:p w14:paraId="4CFC2C45" w14:textId="7C029580" w:rsidR="006100F0" w:rsidRDefault="006100F0" w:rsidP="006100F0">
      <w:r>
        <w:t xml:space="preserve">The </w:t>
      </w:r>
      <w:r w:rsidR="00354992">
        <w:t>g</w:t>
      </w:r>
      <w:r>
        <w:t xml:space="preserve">overnment is undertaking this evaluation to understand the nature and emissions profile of the NRDE sector and if there is an opportunity to reduce emissions. If an opportunity exists, then the </w:t>
      </w:r>
      <w:r w:rsidR="00354992">
        <w:t>g</w:t>
      </w:r>
      <w:r>
        <w:t>overnment may analyse options to manage emissions.</w:t>
      </w:r>
    </w:p>
    <w:p w14:paraId="6344ED37" w14:textId="7B47A384" w:rsidR="00954853" w:rsidRDefault="006100F0" w:rsidP="006100F0">
      <w:r>
        <w:t>The market analysis identified that NRDE in Australia produce significant emissions and that Australia has a low uptake of international NRDE emission standards.</w:t>
      </w:r>
    </w:p>
    <w:p w14:paraId="4ED49443" w14:textId="77777777" w:rsidR="001004E3" w:rsidRPr="0090238E" w:rsidRDefault="001004E3" w:rsidP="0090238E">
      <w:r w:rsidRPr="0090238E">
        <w:t>The overarching objectives of the evaluation are:</w:t>
      </w:r>
    </w:p>
    <w:p w14:paraId="4C48A734" w14:textId="6F6912BA" w:rsidR="001004E3" w:rsidRPr="0090238E" w:rsidRDefault="001004E3" w:rsidP="0090238E">
      <w:pPr>
        <w:pStyle w:val="ListBullet"/>
      </w:pPr>
      <w:r w:rsidRPr="0090238E">
        <w:t>to reduce the adverse impacts of non-road diesel engine emissions on the environment and human health</w:t>
      </w:r>
    </w:p>
    <w:p w14:paraId="0658FD5C" w14:textId="2981A7A6" w:rsidR="001004E3" w:rsidRPr="0090238E" w:rsidRDefault="001004E3" w:rsidP="0090238E">
      <w:pPr>
        <w:pStyle w:val="ListBullet"/>
      </w:pPr>
      <w:r w:rsidRPr="0090238E">
        <w:t>to ensure nationally consistent, cost-effective management of non-road diesel engine emissions comparable with international approaches.</w:t>
      </w:r>
    </w:p>
    <w:p w14:paraId="62A7512C" w14:textId="77777777" w:rsidR="002542DF" w:rsidRDefault="002542DF" w:rsidP="002542DF">
      <w:r>
        <w:t xml:space="preserve">These objectives are aligned with the principles of </w:t>
      </w:r>
      <w:r w:rsidRPr="00C55837">
        <w:t>emissions reduction measures</w:t>
      </w:r>
      <w:r>
        <w:t xml:space="preserve"> under the National Clean Air Agreement. These measures:</w:t>
      </w:r>
    </w:p>
    <w:p w14:paraId="47E1F0E2" w14:textId="517F3C21" w:rsidR="002542DF" w:rsidRDefault="002542DF" w:rsidP="002542DF">
      <w:pPr>
        <w:pStyle w:val="ListBullet"/>
      </w:pPr>
      <w:r>
        <w:t>are targeted towards reducing air pollution and/or population exposure to air pollution, with associated health outcomes</w:t>
      </w:r>
    </w:p>
    <w:p w14:paraId="41E2D728" w14:textId="7E050B91" w:rsidR="002542DF" w:rsidRDefault="002542DF" w:rsidP="002542DF">
      <w:pPr>
        <w:pStyle w:val="ListBullet"/>
      </w:pPr>
      <w:r>
        <w:t>require options to manage emissions to include costs and benefits as appropriate</w:t>
      </w:r>
    </w:p>
    <w:p w14:paraId="6E09442C" w14:textId="66D1C518" w:rsidR="00551132" w:rsidRDefault="002542DF" w:rsidP="002542DF">
      <w:pPr>
        <w:pStyle w:val="ListBullet"/>
      </w:pPr>
      <w:r>
        <w:t xml:space="preserve">have an objective to develop practical, </w:t>
      </w:r>
      <w:proofErr w:type="gramStart"/>
      <w:r>
        <w:t>cost-effective</w:t>
      </w:r>
      <w:proofErr w:type="gramEnd"/>
      <w:r>
        <w:t xml:space="preserve"> and outcome-focused solutions.</w:t>
      </w:r>
    </w:p>
    <w:p w14:paraId="243E5806" w14:textId="10F0B3E8" w:rsidR="00551132" w:rsidRDefault="00551132" w:rsidP="00551132">
      <w:pPr>
        <w:pStyle w:val="Heading2"/>
      </w:pPr>
      <w:bookmarkStart w:id="48" w:name="_Statement_of_options"/>
      <w:bookmarkStart w:id="49" w:name="_Toc63874250"/>
      <w:bookmarkEnd w:id="48"/>
      <w:r>
        <w:lastRenderedPageBreak/>
        <w:t>Statement of options</w:t>
      </w:r>
      <w:bookmarkEnd w:id="49"/>
    </w:p>
    <w:p w14:paraId="06C3A358" w14:textId="747FCF28" w:rsidR="00551132" w:rsidRDefault="00551132" w:rsidP="00551132">
      <w:pPr>
        <w:pStyle w:val="Heading3"/>
      </w:pPr>
      <w:bookmarkStart w:id="50" w:name="_Toc63874251"/>
      <w:r>
        <w:t>The options for action</w:t>
      </w:r>
      <w:bookmarkEnd w:id="50"/>
    </w:p>
    <w:p w14:paraId="1A5E0D2F" w14:textId="0EC48A90" w:rsidR="00551132" w:rsidRDefault="00551132" w:rsidP="00551132">
      <w:r>
        <w:t xml:space="preserve">The cost-benefit analysis will examine </w:t>
      </w:r>
      <w:r w:rsidR="00950440">
        <w:t>4</w:t>
      </w:r>
      <w:r>
        <w:t xml:space="preserve"> management scenarios (</w:t>
      </w:r>
      <w:r w:rsidR="00950440">
        <w:t xml:space="preserve">see </w:t>
      </w:r>
      <w:r w:rsidR="00456F04">
        <w:fldChar w:fldCharType="begin"/>
      </w:r>
      <w:r w:rsidR="00456F04">
        <w:instrText xml:space="preserve"> REF _Ref63322717 \h </w:instrText>
      </w:r>
      <w:r w:rsidR="00456F04">
        <w:fldChar w:fldCharType="separate"/>
      </w:r>
      <w:r w:rsidR="00456F04">
        <w:t xml:space="preserve">Table </w:t>
      </w:r>
      <w:r w:rsidR="00456F04">
        <w:rPr>
          <w:noProof/>
        </w:rPr>
        <w:t>2</w:t>
      </w:r>
      <w:r w:rsidR="00456F04">
        <w:fldChar w:fldCharType="end"/>
      </w:r>
      <w:r>
        <w:t>)</w:t>
      </w:r>
      <w:r w:rsidR="00950440">
        <w:t>.</w:t>
      </w:r>
      <w:r>
        <w:t xml:space="preserve"> Three scenarios involve a change in management and all these scenarios:</w:t>
      </w:r>
    </w:p>
    <w:p w14:paraId="252C8FFB" w14:textId="5A2B5C5B" w:rsidR="00551132" w:rsidRDefault="00551132" w:rsidP="004E1685">
      <w:pPr>
        <w:pStyle w:val="ListBullet"/>
      </w:pPr>
      <w:r>
        <w:t xml:space="preserve">draw on international NRDE emission standards </w:t>
      </w:r>
      <w:r w:rsidR="00C96A27">
        <w:t>(r</w:t>
      </w:r>
      <w:r w:rsidR="00C96A27" w:rsidRPr="004E1685">
        <w:t xml:space="preserve">eferences to standards are for US EPA tiers. However, other international standards that are equivalent to a US </w:t>
      </w:r>
      <w:r w:rsidR="00C96A27">
        <w:t>t</w:t>
      </w:r>
      <w:r w:rsidR="00C96A27" w:rsidRPr="004E1685">
        <w:t>ier apply</w:t>
      </w:r>
      <w:r w:rsidR="00C96A27">
        <w:t>)</w:t>
      </w:r>
    </w:p>
    <w:p w14:paraId="399C43BC" w14:textId="1EC24196" w:rsidR="00551132" w:rsidRDefault="00551132" w:rsidP="004E1685">
      <w:pPr>
        <w:pStyle w:val="ListBullet"/>
      </w:pPr>
      <w:r>
        <w:t>apply to all within-scope NRDE equipment introduced into Australia for the first time. This means all new NRDE, whether manufactured in Australia or overseas, and imported second hand NRDE</w:t>
      </w:r>
    </w:p>
    <w:p w14:paraId="46CFC8B7" w14:textId="3DBB46B6" w:rsidR="00D83A32" w:rsidRDefault="00551132" w:rsidP="0029189F">
      <w:pPr>
        <w:pStyle w:val="ListBullet"/>
      </w:pPr>
      <w:r>
        <w:t xml:space="preserve">loose replacement engines in NRDE equipment must match or exceed the emission standard that applied to the equipment when it was built </w:t>
      </w:r>
      <w:r w:rsidR="00C96A27">
        <w:t>(</w:t>
      </w:r>
      <w:r w:rsidR="005705E5">
        <w:t>i</w:t>
      </w:r>
      <w:r w:rsidR="00C96A27" w:rsidRPr="00D83A32">
        <w:t xml:space="preserve">nternationally, NRDE emission regulations typically apply to new equipment only. Some jurisdictions do require replacement engines are of a higher emission standard than applied to the equipment when it was built. Such requirements are not common and highly varied. For example, this requirement often only applies to a certain power band, </w:t>
      </w:r>
      <w:r w:rsidR="00C96A27">
        <w:t>t</w:t>
      </w:r>
      <w:r w:rsidR="00C96A27" w:rsidRPr="00D83A32">
        <w:t>ier/</w:t>
      </w:r>
      <w:r w:rsidR="00C96A27">
        <w:t>s</w:t>
      </w:r>
      <w:r w:rsidR="00C96A27" w:rsidRPr="00D83A32">
        <w:t xml:space="preserve">tage, </w:t>
      </w:r>
      <w:r w:rsidR="00C96A27">
        <w:t xml:space="preserve">and </w:t>
      </w:r>
      <w:r w:rsidR="00C96A27" w:rsidRPr="00D83A32">
        <w:t>end use.</w:t>
      </w:r>
      <w:r w:rsidR="00C96A27">
        <w:t>)</w:t>
      </w:r>
      <w:r w:rsidR="00456F04">
        <w:t>.</w:t>
      </w:r>
    </w:p>
    <w:p w14:paraId="195A7FD0" w14:textId="3C676A4A" w:rsidR="004A16EE" w:rsidRDefault="00456F04" w:rsidP="00456F04">
      <w:pPr>
        <w:pStyle w:val="Caption"/>
      </w:pPr>
      <w:bookmarkStart w:id="51" w:name="_Ref63322717"/>
      <w:bookmarkStart w:id="52" w:name="_Toc63696009"/>
      <w:r>
        <w:t xml:space="preserve">Table </w:t>
      </w:r>
      <w:r w:rsidR="00126C54">
        <w:rPr>
          <w:noProof/>
        </w:rPr>
        <w:fldChar w:fldCharType="begin"/>
      </w:r>
      <w:r w:rsidR="00126C54">
        <w:rPr>
          <w:noProof/>
        </w:rPr>
        <w:instrText xml:space="preserve"> SEQ Table \* ARABIC </w:instrText>
      </w:r>
      <w:r w:rsidR="00126C54">
        <w:rPr>
          <w:noProof/>
        </w:rPr>
        <w:fldChar w:fldCharType="separate"/>
      </w:r>
      <w:r w:rsidR="00664F36">
        <w:rPr>
          <w:noProof/>
        </w:rPr>
        <w:t>2</w:t>
      </w:r>
      <w:r w:rsidR="00126C54">
        <w:rPr>
          <w:noProof/>
        </w:rPr>
        <w:fldChar w:fldCharType="end"/>
      </w:r>
      <w:bookmarkEnd w:id="51"/>
      <w:r>
        <w:t xml:space="preserve"> </w:t>
      </w:r>
      <w:r w:rsidRPr="00456F04">
        <w:t>Summary of NRDE management scenarios</w:t>
      </w:r>
      <w:bookmarkEnd w:id="5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2550"/>
        <w:gridCol w:w="4818"/>
      </w:tblGrid>
      <w:tr w:rsidR="00B87CF8" w:rsidRPr="00FF3F2F" w14:paraId="79CB7773" w14:textId="77777777" w:rsidTr="00927678">
        <w:trPr>
          <w:cantSplit/>
          <w:tblHeader/>
        </w:trPr>
        <w:tc>
          <w:tcPr>
            <w:tcW w:w="938" w:type="pct"/>
            <w:tcBorders>
              <w:top w:val="single" w:sz="4" w:space="0" w:color="auto"/>
              <w:bottom w:val="nil"/>
            </w:tcBorders>
          </w:tcPr>
          <w:p w14:paraId="13070DC7" w14:textId="5EADE218" w:rsidR="00B87CF8" w:rsidRPr="00FF3F2F" w:rsidRDefault="00537665" w:rsidP="00927678">
            <w:pPr>
              <w:pStyle w:val="TableHeading"/>
            </w:pPr>
            <w:r>
              <w:t>Regulation type</w:t>
            </w:r>
          </w:p>
        </w:tc>
        <w:tc>
          <w:tcPr>
            <w:tcW w:w="1406" w:type="pct"/>
            <w:tcBorders>
              <w:top w:val="single" w:sz="4" w:space="0" w:color="auto"/>
              <w:bottom w:val="nil"/>
            </w:tcBorders>
          </w:tcPr>
          <w:p w14:paraId="10A835EE" w14:textId="50585AFA" w:rsidR="00B87CF8" w:rsidRPr="00FF3F2F" w:rsidRDefault="00844355" w:rsidP="00927678">
            <w:pPr>
              <w:pStyle w:val="TableHeading"/>
            </w:pPr>
            <w:r>
              <w:t>Scenario</w:t>
            </w:r>
          </w:p>
        </w:tc>
        <w:tc>
          <w:tcPr>
            <w:tcW w:w="2655" w:type="pct"/>
            <w:tcBorders>
              <w:top w:val="single" w:sz="4" w:space="0" w:color="auto"/>
              <w:bottom w:val="nil"/>
            </w:tcBorders>
          </w:tcPr>
          <w:p w14:paraId="2029AC80" w14:textId="1BDA09F1" w:rsidR="00B87CF8" w:rsidRPr="00FF3F2F" w:rsidRDefault="00927678" w:rsidP="00927678">
            <w:pPr>
              <w:pStyle w:val="TableHeading"/>
            </w:pPr>
            <w:r>
              <w:t>Description</w:t>
            </w:r>
          </w:p>
        </w:tc>
      </w:tr>
      <w:tr w:rsidR="00B84294" w:rsidRPr="00FF3F2F" w14:paraId="7B862BA5" w14:textId="77777777" w:rsidTr="00A773EF">
        <w:tc>
          <w:tcPr>
            <w:tcW w:w="938" w:type="pct"/>
            <w:vMerge w:val="restart"/>
            <w:tcBorders>
              <w:top w:val="single" w:sz="4" w:space="0" w:color="auto"/>
              <w:bottom w:val="nil"/>
            </w:tcBorders>
          </w:tcPr>
          <w:p w14:paraId="3E95A236" w14:textId="77777777" w:rsidR="00B84294" w:rsidRPr="00FF3F2F" w:rsidRDefault="00B84294" w:rsidP="00B84294">
            <w:pPr>
              <w:pStyle w:val="TableText"/>
            </w:pPr>
            <w:r w:rsidRPr="00FF3F2F">
              <w:t>Non-regulatory</w:t>
            </w:r>
          </w:p>
        </w:tc>
        <w:tc>
          <w:tcPr>
            <w:tcW w:w="1406" w:type="pct"/>
            <w:tcBorders>
              <w:top w:val="single" w:sz="4" w:space="0" w:color="auto"/>
              <w:bottom w:val="nil"/>
            </w:tcBorders>
          </w:tcPr>
          <w:p w14:paraId="0D7CB4E8" w14:textId="43A65B74" w:rsidR="00B84294" w:rsidRPr="00FF3F2F" w:rsidRDefault="00B84294" w:rsidP="00B84294">
            <w:pPr>
              <w:pStyle w:val="TableText"/>
            </w:pPr>
            <w:r w:rsidRPr="00FF3F2F">
              <w:t xml:space="preserve">Base Case - </w:t>
            </w:r>
            <w:r w:rsidR="009C2D08">
              <w:t>N</w:t>
            </w:r>
            <w:r w:rsidRPr="00FF3F2F">
              <w:t>o action</w:t>
            </w:r>
          </w:p>
        </w:tc>
        <w:tc>
          <w:tcPr>
            <w:tcW w:w="2655" w:type="pct"/>
            <w:tcBorders>
              <w:top w:val="single" w:sz="4" w:space="0" w:color="auto"/>
              <w:bottom w:val="nil"/>
            </w:tcBorders>
          </w:tcPr>
          <w:p w14:paraId="0434E01B" w14:textId="77777777" w:rsidR="00B84294" w:rsidRPr="00FF3F2F" w:rsidRDefault="00B84294" w:rsidP="00B84294">
            <w:pPr>
              <w:pStyle w:val="TableText"/>
            </w:pPr>
            <w:r w:rsidRPr="00FF3F2F">
              <w:t>Business as usual</w:t>
            </w:r>
          </w:p>
        </w:tc>
      </w:tr>
      <w:tr w:rsidR="00B84294" w:rsidRPr="00FF3F2F" w14:paraId="08FB7213" w14:textId="77777777" w:rsidTr="00A773EF">
        <w:tc>
          <w:tcPr>
            <w:tcW w:w="938" w:type="pct"/>
            <w:vMerge/>
            <w:tcBorders>
              <w:top w:val="nil"/>
              <w:bottom w:val="single" w:sz="4" w:space="0" w:color="auto"/>
            </w:tcBorders>
          </w:tcPr>
          <w:p w14:paraId="65454FDA" w14:textId="77777777" w:rsidR="00B84294" w:rsidRPr="00FF3F2F" w:rsidRDefault="00B84294" w:rsidP="00B84294">
            <w:pPr>
              <w:pStyle w:val="TableText"/>
            </w:pPr>
          </w:p>
        </w:tc>
        <w:tc>
          <w:tcPr>
            <w:tcW w:w="1406" w:type="pct"/>
            <w:tcBorders>
              <w:top w:val="nil"/>
              <w:bottom w:val="single" w:sz="4" w:space="0" w:color="auto"/>
            </w:tcBorders>
          </w:tcPr>
          <w:p w14:paraId="2F15423A" w14:textId="135273FB" w:rsidR="00B84294" w:rsidRPr="00FF3F2F" w:rsidRDefault="00B84294" w:rsidP="00FE3C27">
            <w:pPr>
              <w:pStyle w:val="Tablenumberedlist"/>
            </w:pPr>
            <w:r w:rsidRPr="00FF3F2F">
              <w:t>Industry standards</w:t>
            </w:r>
          </w:p>
        </w:tc>
        <w:tc>
          <w:tcPr>
            <w:tcW w:w="2655" w:type="pct"/>
            <w:tcBorders>
              <w:top w:val="nil"/>
              <w:bottom w:val="single" w:sz="4" w:space="0" w:color="auto"/>
            </w:tcBorders>
          </w:tcPr>
          <w:p w14:paraId="5D9A715A" w14:textId="183B9287" w:rsidR="00B84294" w:rsidRPr="00FF3F2F" w:rsidRDefault="00B84294" w:rsidP="00B84294">
            <w:pPr>
              <w:pStyle w:val="TableText"/>
            </w:pPr>
            <w:r w:rsidRPr="00FF3F2F">
              <w:t xml:space="preserve">Industry-led standards to meet targets aligning with international best practice (currently </w:t>
            </w:r>
            <w:r w:rsidR="00A773EF">
              <w:t>t</w:t>
            </w:r>
            <w:r w:rsidRPr="00FF3F2F">
              <w:t>ier 4 final)</w:t>
            </w:r>
          </w:p>
        </w:tc>
      </w:tr>
      <w:tr w:rsidR="00B84294" w:rsidRPr="00FF3F2F" w14:paraId="2E1FE648" w14:textId="77777777" w:rsidTr="00A773EF">
        <w:tc>
          <w:tcPr>
            <w:tcW w:w="938" w:type="pct"/>
            <w:vMerge w:val="restart"/>
            <w:tcBorders>
              <w:top w:val="single" w:sz="4" w:space="0" w:color="auto"/>
            </w:tcBorders>
          </w:tcPr>
          <w:p w14:paraId="3153F75A" w14:textId="3A5CF596" w:rsidR="00B84294" w:rsidRPr="00FF3F2F" w:rsidRDefault="00B84294" w:rsidP="00B84294">
            <w:pPr>
              <w:pStyle w:val="TableText"/>
            </w:pPr>
            <w:r w:rsidRPr="00FF3F2F">
              <w:t xml:space="preserve">Commonwealth </w:t>
            </w:r>
            <w:r w:rsidR="00FE3C27">
              <w:t>r</w:t>
            </w:r>
            <w:r w:rsidRPr="00FF3F2F">
              <w:t>egulation</w:t>
            </w:r>
          </w:p>
        </w:tc>
        <w:tc>
          <w:tcPr>
            <w:tcW w:w="1406" w:type="pct"/>
            <w:tcBorders>
              <w:top w:val="single" w:sz="4" w:space="0" w:color="auto"/>
            </w:tcBorders>
          </w:tcPr>
          <w:p w14:paraId="7D45173A" w14:textId="12A70819" w:rsidR="00B84294" w:rsidRPr="00FF3F2F" w:rsidRDefault="00B84294" w:rsidP="00457215">
            <w:pPr>
              <w:pStyle w:val="Tablenumberedlist"/>
            </w:pPr>
            <w:r w:rsidRPr="00FF3F2F">
              <w:t>Phased introduction of standards</w:t>
            </w:r>
          </w:p>
        </w:tc>
        <w:tc>
          <w:tcPr>
            <w:tcW w:w="2655" w:type="pct"/>
            <w:tcBorders>
              <w:top w:val="single" w:sz="4" w:space="0" w:color="auto"/>
            </w:tcBorders>
          </w:tcPr>
          <w:p w14:paraId="5E98FC9C" w14:textId="4BA23EB6" w:rsidR="00B84294" w:rsidRPr="00FF3F2F" w:rsidRDefault="00B84294" w:rsidP="00B84294">
            <w:pPr>
              <w:pStyle w:val="TableText"/>
            </w:pPr>
            <w:r w:rsidRPr="00FF3F2F">
              <w:t>Introducing lower emission standards as soon as practicable (</w:t>
            </w:r>
            <w:r w:rsidR="00A773EF">
              <w:t>t</w:t>
            </w:r>
            <w:r w:rsidRPr="00FF3F2F">
              <w:t xml:space="preserve">ier 3) and moving to standards aligning with international best practice over time (currently </w:t>
            </w:r>
            <w:r w:rsidR="00A773EF">
              <w:t>t</w:t>
            </w:r>
            <w:r w:rsidRPr="00FF3F2F">
              <w:t>ier 4 final)</w:t>
            </w:r>
          </w:p>
        </w:tc>
      </w:tr>
      <w:tr w:rsidR="00B84294" w14:paraId="6568C919" w14:textId="77777777" w:rsidTr="00A773EF">
        <w:tc>
          <w:tcPr>
            <w:tcW w:w="938" w:type="pct"/>
            <w:vMerge/>
          </w:tcPr>
          <w:p w14:paraId="18D22A6E" w14:textId="77777777" w:rsidR="00B84294" w:rsidRPr="00FF3F2F" w:rsidRDefault="00B84294" w:rsidP="00B84294">
            <w:pPr>
              <w:pStyle w:val="TableText"/>
            </w:pPr>
          </w:p>
        </w:tc>
        <w:tc>
          <w:tcPr>
            <w:tcW w:w="1406" w:type="pct"/>
          </w:tcPr>
          <w:p w14:paraId="51B2825F" w14:textId="6114A9D4" w:rsidR="00B84294" w:rsidRPr="00FF3F2F" w:rsidRDefault="00B84294" w:rsidP="00457215">
            <w:pPr>
              <w:pStyle w:val="Tablenumberedlist"/>
            </w:pPr>
            <w:r w:rsidRPr="00FF3F2F">
              <w:t>Best practice standards as soon as practicable</w:t>
            </w:r>
          </w:p>
        </w:tc>
        <w:tc>
          <w:tcPr>
            <w:tcW w:w="2655" w:type="pct"/>
          </w:tcPr>
          <w:p w14:paraId="48404A22" w14:textId="13664F4F" w:rsidR="00B84294" w:rsidRDefault="00B84294" w:rsidP="00B84294">
            <w:pPr>
              <w:pStyle w:val="TableText"/>
            </w:pPr>
            <w:r w:rsidRPr="00FF3F2F">
              <w:t xml:space="preserve">Introducing standards aligning with international best practice as soon as practicable (currently </w:t>
            </w:r>
            <w:r w:rsidR="00A773EF">
              <w:t>t</w:t>
            </w:r>
            <w:r w:rsidRPr="00FF3F2F">
              <w:t>ier 4 final)</w:t>
            </w:r>
          </w:p>
        </w:tc>
      </w:tr>
    </w:tbl>
    <w:p w14:paraId="1927BB64" w14:textId="77777777" w:rsidR="00BE4DE6" w:rsidRDefault="00BE4DE6" w:rsidP="00110938">
      <w:pPr>
        <w:spacing w:before="120"/>
      </w:pPr>
      <w:r>
        <w:t>These options:</w:t>
      </w:r>
    </w:p>
    <w:p w14:paraId="244CA806" w14:textId="226C4038" w:rsidR="00BE4DE6" w:rsidRDefault="00BE4DE6" w:rsidP="00497825">
      <w:pPr>
        <w:pStyle w:val="ListBullet"/>
      </w:pPr>
      <w:r>
        <w:t xml:space="preserve">use international emission standards, as other countries have found them to be a </w:t>
      </w:r>
      <w:r w:rsidRPr="00E234B1">
        <w:t>cost-effective measure</w:t>
      </w:r>
      <w:r>
        <w:t xml:space="preserve"> for reducing urban air pollution</w:t>
      </w:r>
      <w:r w:rsidR="00F8624B">
        <w:t xml:space="preserve"> (DIRD 2016)</w:t>
      </w:r>
    </w:p>
    <w:p w14:paraId="2BD6A69A" w14:textId="31EC5F07" w:rsidR="00BE4DE6" w:rsidRDefault="00BE4DE6" w:rsidP="00497825">
      <w:pPr>
        <w:pStyle w:val="ListBullet"/>
      </w:pPr>
      <w:r>
        <w:t>directly follow the Australian Government principle to adopt or align with accepted international standards to reduce the regulatory burden for business and remove barriers to trade</w:t>
      </w:r>
    </w:p>
    <w:p w14:paraId="64C2332A" w14:textId="118D6981" w:rsidR="00BE4DE6" w:rsidRDefault="00BE4DE6" w:rsidP="00497825">
      <w:pPr>
        <w:pStyle w:val="ListBullet"/>
      </w:pPr>
      <w:r>
        <w:t xml:space="preserve">assume there are no technical barriers for non-road diesel engine emissions technology such as fuel quality (see </w:t>
      </w:r>
      <w:hyperlink w:anchor="_Appendix_6:_Australian" w:history="1">
        <w:r w:rsidRPr="00CC3BCE">
          <w:rPr>
            <w:rStyle w:val="Hyperlink"/>
          </w:rPr>
          <w:t>Appendix 6</w:t>
        </w:r>
      </w:hyperlink>
      <w:r>
        <w:t>).</w:t>
      </w:r>
    </w:p>
    <w:p w14:paraId="5DE800CD" w14:textId="54D83835" w:rsidR="00BE4DE6" w:rsidRDefault="00BE4DE6" w:rsidP="00BE4DE6">
      <w:r>
        <w:t xml:space="preserve">All government cost-benefit analysis requires at least one option that is non-regulatory. For this cost-benefit analysis this is </w:t>
      </w:r>
      <w:r w:rsidR="008A4C6E">
        <w:t>S</w:t>
      </w:r>
      <w:r>
        <w:t xml:space="preserve">cenario </w:t>
      </w:r>
      <w:r w:rsidR="008046CD">
        <w:t xml:space="preserve">1 – </w:t>
      </w:r>
      <w:r>
        <w:t xml:space="preserve">industry standards. </w:t>
      </w:r>
      <w:r w:rsidR="00746A02">
        <w:t>E</w:t>
      </w:r>
      <w:r>
        <w:t xml:space="preserve">very management scenario considered should be practical and implementable, </w:t>
      </w:r>
      <w:r w:rsidR="001D154F">
        <w:t xml:space="preserve">and </w:t>
      </w:r>
      <w:r>
        <w:t>options should not be discounted just because they haven’t been considered before or there are risks associated with them.</w:t>
      </w:r>
      <w:r w:rsidR="00783669">
        <w:t xml:space="preserve"> </w:t>
      </w:r>
      <w:r w:rsidR="00F96E7C">
        <w:t>C</w:t>
      </w:r>
      <w:r w:rsidR="000171B0">
        <w:t xml:space="preserve">onsultation questions </w:t>
      </w:r>
      <w:r w:rsidR="00F96E7C">
        <w:t xml:space="preserve">about the overarching assumptions of the management scenarios </w:t>
      </w:r>
      <w:r w:rsidR="00A829D2">
        <w:t xml:space="preserve">are listed in </w:t>
      </w:r>
      <w:r w:rsidR="00200C1A">
        <w:fldChar w:fldCharType="begin"/>
      </w:r>
      <w:r w:rsidR="00200C1A">
        <w:instrText xml:space="preserve"> REF _Ref63323197 \h </w:instrText>
      </w:r>
      <w:r w:rsidR="00200C1A">
        <w:fldChar w:fldCharType="separate"/>
      </w:r>
      <w:r w:rsidR="00200C1A">
        <w:t xml:space="preserve">Box </w:t>
      </w:r>
      <w:r w:rsidR="00200C1A">
        <w:rPr>
          <w:noProof/>
        </w:rPr>
        <w:t>3</w:t>
      </w:r>
      <w:r w:rsidR="00200C1A">
        <w:fldChar w:fldCharType="end"/>
      </w:r>
      <w:r w:rsidR="00A829D2">
        <w:t>.</w:t>
      </w:r>
    </w:p>
    <w:p w14:paraId="3B7138FE" w14:textId="4111CB20" w:rsidR="00200C1A" w:rsidRDefault="00200C1A" w:rsidP="00200C1A">
      <w:pPr>
        <w:pStyle w:val="Caption"/>
      </w:pPr>
      <w:bookmarkStart w:id="53" w:name="_Ref63323197"/>
      <w:bookmarkStart w:id="54" w:name="_Toc63874281"/>
      <w:r>
        <w:lastRenderedPageBreak/>
        <w:t xml:space="preserve">Box </w:t>
      </w:r>
      <w:r w:rsidR="00126C54">
        <w:rPr>
          <w:noProof/>
        </w:rPr>
        <w:fldChar w:fldCharType="begin"/>
      </w:r>
      <w:r w:rsidR="00126C54">
        <w:rPr>
          <w:noProof/>
        </w:rPr>
        <w:instrText xml:space="preserve"> SEQ Box \* ARABIC </w:instrText>
      </w:r>
      <w:r w:rsidR="00126C54">
        <w:rPr>
          <w:noProof/>
        </w:rPr>
        <w:fldChar w:fldCharType="separate"/>
      </w:r>
      <w:r w:rsidR="005616AA">
        <w:rPr>
          <w:noProof/>
        </w:rPr>
        <w:t>3</w:t>
      </w:r>
      <w:r w:rsidR="00126C54">
        <w:rPr>
          <w:noProof/>
        </w:rPr>
        <w:fldChar w:fldCharType="end"/>
      </w:r>
      <w:bookmarkEnd w:id="53"/>
      <w:r>
        <w:t xml:space="preserve"> </w:t>
      </w:r>
      <w:r w:rsidRPr="009B039D">
        <w:t>Questions regarding the management scenario overarching assumptions</w:t>
      </w:r>
      <w:bookmarkEnd w:id="54"/>
    </w:p>
    <w:p w14:paraId="17A44AE0" w14:textId="7F1824D9" w:rsidR="00C7196D" w:rsidRDefault="00C7196D" w:rsidP="00C7196D">
      <w:pPr>
        <w:pStyle w:val="BoxText"/>
      </w:pPr>
      <w:r>
        <w:t>These questions relate to the overarching assumptions that inform the options for action, or management scenarios. Each management scenario is further described in the following sections, each with questions that relate to the specific scenario.</w:t>
      </w:r>
    </w:p>
    <w:p w14:paraId="5C4A8F5E" w14:textId="76D2C75F" w:rsidR="006225EC" w:rsidRPr="006225EC" w:rsidRDefault="006225EC" w:rsidP="00C7196D">
      <w:pPr>
        <w:pStyle w:val="BoxText"/>
        <w:rPr>
          <w:rStyle w:val="Strong"/>
        </w:rPr>
      </w:pPr>
      <w:r w:rsidRPr="006225EC">
        <w:rPr>
          <w:rStyle w:val="Strong"/>
        </w:rPr>
        <w:t>Consultation questions:</w:t>
      </w:r>
    </w:p>
    <w:p w14:paraId="14D92116" w14:textId="6B2BB685" w:rsidR="00C7196D" w:rsidRDefault="006225EC" w:rsidP="00C7196D">
      <w:pPr>
        <w:pStyle w:val="BoxText"/>
      </w:pPr>
      <w:r>
        <w:t xml:space="preserve">7) </w:t>
      </w:r>
      <w:r w:rsidR="00C7196D">
        <w:t>Do you have any insights or concerns regarding how the management scenarios address</w:t>
      </w:r>
      <w:r w:rsidR="00AC740A">
        <w:t>:</w:t>
      </w:r>
    </w:p>
    <w:p w14:paraId="68D6F4D3" w14:textId="256FD6BA" w:rsidR="00C7196D" w:rsidRDefault="00C7196D" w:rsidP="00487E5F">
      <w:pPr>
        <w:pStyle w:val="BoxTextBullet"/>
      </w:pPr>
      <w:r>
        <w:t>NRDE equipment introduced into Australia for the first time; or</w:t>
      </w:r>
    </w:p>
    <w:p w14:paraId="197B2676" w14:textId="1F5F600A" w:rsidR="00C7196D" w:rsidRDefault="00C7196D" w:rsidP="00487E5F">
      <w:pPr>
        <w:pStyle w:val="BoxTextBullet"/>
      </w:pPr>
      <w:r>
        <w:t>loose replacement engines in NRDE equipment?</w:t>
      </w:r>
    </w:p>
    <w:p w14:paraId="247F2E3F" w14:textId="0705FF7C" w:rsidR="00C7196D" w:rsidRDefault="006225EC" w:rsidP="00C7196D">
      <w:pPr>
        <w:pStyle w:val="BoxText"/>
      </w:pPr>
      <w:r>
        <w:t xml:space="preserve">8) </w:t>
      </w:r>
      <w:r w:rsidR="00C7196D">
        <w:t>Do you have any insights or concerns regarding the overarching assumption regarding technical barriers associated with management scenarios? If so, please provide as much information as possible such as</w:t>
      </w:r>
      <w:r w:rsidR="00AC740A">
        <w:t>:</w:t>
      </w:r>
    </w:p>
    <w:p w14:paraId="3E1DF543" w14:textId="5968579B" w:rsidR="00C7196D" w:rsidRDefault="00FE3EC4" w:rsidP="00487E5F">
      <w:pPr>
        <w:pStyle w:val="BoxTextBullet"/>
      </w:pPr>
      <w:r>
        <w:t>e</w:t>
      </w:r>
      <w:r w:rsidR="00C7196D">
        <w:t>quipment types</w:t>
      </w:r>
    </w:p>
    <w:p w14:paraId="1E56E508" w14:textId="2731CFF9" w:rsidR="00C7196D" w:rsidRDefault="00FE3EC4" w:rsidP="00487E5F">
      <w:pPr>
        <w:pStyle w:val="BoxTextBullet"/>
      </w:pPr>
      <w:r>
        <w:t>p</w:t>
      </w:r>
      <w:r w:rsidR="00C7196D">
        <w:t>ower bands</w:t>
      </w:r>
    </w:p>
    <w:p w14:paraId="336EC640" w14:textId="676B6D18" w:rsidR="00C7196D" w:rsidRDefault="00FE3EC4" w:rsidP="00487E5F">
      <w:pPr>
        <w:pStyle w:val="BoxTextBullet"/>
      </w:pPr>
      <w:r>
        <w:t>u</w:t>
      </w:r>
      <w:r w:rsidR="00C7196D">
        <w:t>se, such as geographic considerations.</w:t>
      </w:r>
    </w:p>
    <w:p w14:paraId="6FB7B34E" w14:textId="559417A6" w:rsidR="0010014D" w:rsidRDefault="0010014D" w:rsidP="0010014D">
      <w:pPr>
        <w:pStyle w:val="Heading4"/>
      </w:pPr>
      <w:r>
        <w:t xml:space="preserve">Base case – </w:t>
      </w:r>
      <w:r w:rsidR="009C2D08">
        <w:t>N</w:t>
      </w:r>
      <w:r>
        <w:t>o action</w:t>
      </w:r>
    </w:p>
    <w:p w14:paraId="75669BE3" w14:textId="77777777" w:rsidR="0010014D" w:rsidRDefault="0010014D" w:rsidP="0010014D">
      <w:r>
        <w:t>This is the base case against which the incremental costs and benefits of scenarios 1 to 3 are determined. The no action scenario is business as usual.</w:t>
      </w:r>
    </w:p>
    <w:p w14:paraId="7C774AAC" w14:textId="77777777" w:rsidR="0010014D" w:rsidRDefault="0010014D" w:rsidP="0010014D">
      <w:r>
        <w:t>The base case was developed during the market analysis stage of this evaluation. The base case is currently under review following targeted feedback from the supply industry and consumers. This feedback is not incorporated into this discussion paper.</w:t>
      </w:r>
    </w:p>
    <w:p w14:paraId="5F2B1BF5" w14:textId="13844A57" w:rsidR="00BA3AF2" w:rsidRDefault="0010014D" w:rsidP="0010014D">
      <w:r>
        <w:t xml:space="preserve">The base case had a baseline year of 2018 where the national stock (equipment in use) was quantified and characterised. The baseline was derived using a combination of bottom up and </w:t>
      </w:r>
      <w:proofErr w:type="gramStart"/>
      <w:r>
        <w:t>top down</w:t>
      </w:r>
      <w:proofErr w:type="gramEnd"/>
      <w:r>
        <w:t xml:space="preserve"> methods:</w:t>
      </w:r>
    </w:p>
    <w:p w14:paraId="0769B5A5" w14:textId="493D26B6" w:rsidR="00305946" w:rsidRDefault="00FE3EC4" w:rsidP="0085427E">
      <w:pPr>
        <w:pStyle w:val="ListBullet"/>
      </w:pPr>
      <w:proofErr w:type="gramStart"/>
      <w:r>
        <w:t>b</w:t>
      </w:r>
      <w:r w:rsidR="00305946">
        <w:t>ottom up</w:t>
      </w:r>
      <w:proofErr w:type="gramEnd"/>
      <w:r w:rsidR="00305946">
        <w:t xml:space="preserve"> estimates were based on</w:t>
      </w:r>
    </w:p>
    <w:p w14:paraId="7D6A3310" w14:textId="5C4659E9" w:rsidR="00305946" w:rsidRDefault="00305946" w:rsidP="0085427E">
      <w:pPr>
        <w:pStyle w:val="ListBullet2"/>
      </w:pPr>
      <w:r>
        <w:t>Australian Border Force (Customs) data on annual imports (and re-exports)</w:t>
      </w:r>
    </w:p>
    <w:p w14:paraId="6E35DF84" w14:textId="6D3EC3DF" w:rsidR="00305946" w:rsidRDefault="00FE3EC4" w:rsidP="0085427E">
      <w:pPr>
        <w:pStyle w:val="ListBullet2"/>
      </w:pPr>
      <w:r>
        <w:t>i</w:t>
      </w:r>
      <w:r w:rsidR="00305946">
        <w:t>ndustry sales data and asset emissions, service lifetime and use provided by the NRDE supply sector.</w:t>
      </w:r>
    </w:p>
    <w:p w14:paraId="552495DD" w14:textId="7700F5EF" w:rsidR="00305946" w:rsidRDefault="00FE3EC4" w:rsidP="0085427E">
      <w:pPr>
        <w:pStyle w:val="ListBullet"/>
      </w:pPr>
      <w:r>
        <w:t>t</w:t>
      </w:r>
      <w:r w:rsidR="00305946">
        <w:t xml:space="preserve">his was then adjusted using a </w:t>
      </w:r>
      <w:proofErr w:type="gramStart"/>
      <w:r w:rsidR="00305946">
        <w:t>top down</w:t>
      </w:r>
      <w:proofErr w:type="gramEnd"/>
      <w:r w:rsidR="00305946">
        <w:t xml:space="preserve"> approach using diesel use as recorded for Australian industry sectors in Australian energy statistics and in ABS fuel-use data. Equipment allocations from the </w:t>
      </w:r>
      <w:proofErr w:type="gramStart"/>
      <w:r w:rsidR="00305946">
        <w:t>bottom up</w:t>
      </w:r>
      <w:proofErr w:type="gramEnd"/>
      <w:r w:rsidR="00305946">
        <w:t xml:space="preserve"> estimate were adjusted to each industry sector and state or territory.</w:t>
      </w:r>
    </w:p>
    <w:p w14:paraId="17DD65AA" w14:textId="77777777" w:rsidR="00B4437E" w:rsidRDefault="00B4437E" w:rsidP="00B4437E">
      <w:r>
        <w:t>The baseline model also includes projections for 2028 and 2043, with interpolation for the intervening years. Projections were developed for each equipment type, power band, industry sector and state or territory based on the following assumptions:</w:t>
      </w:r>
    </w:p>
    <w:p w14:paraId="2391E73A" w14:textId="3B6CE7C4" w:rsidR="00B4437E" w:rsidRDefault="00B4437E" w:rsidP="00344310">
      <w:pPr>
        <w:pStyle w:val="ListBullet"/>
      </w:pPr>
      <w:r>
        <w:t xml:space="preserve">take-up </w:t>
      </w:r>
      <w:r w:rsidR="0085204E">
        <w:t>(</w:t>
      </w:r>
      <w:r w:rsidR="0085204E" w:rsidRPr="00672B0B">
        <w:t xml:space="preserve">expressed as a proportion of new </w:t>
      </w:r>
      <w:proofErr w:type="gramStart"/>
      <w:r w:rsidR="0085204E" w:rsidRPr="00672B0B">
        <w:t>sales</w:t>
      </w:r>
      <w:r w:rsidR="0085204E">
        <w:t xml:space="preserve"> )</w:t>
      </w:r>
      <w:proofErr w:type="gramEnd"/>
      <w:r w:rsidR="0085204E">
        <w:t xml:space="preserve"> </w:t>
      </w:r>
      <w:r>
        <w:t xml:space="preserve">of </w:t>
      </w:r>
      <w:r w:rsidR="00344310">
        <w:t>t</w:t>
      </w:r>
      <w:r>
        <w:t xml:space="preserve">ier 4 for each equipment category and power band continues to grow at the same rate it did between 2015 </w:t>
      </w:r>
      <w:r w:rsidR="006F3DE8">
        <w:t>(</w:t>
      </w:r>
      <w:r w:rsidR="006F3DE8" w:rsidRPr="00914CAB">
        <w:t xml:space="preserve">when </w:t>
      </w:r>
      <w:r w:rsidR="006F3DE8">
        <w:t>t</w:t>
      </w:r>
      <w:r w:rsidR="006F3DE8" w:rsidRPr="00914CAB">
        <w:t>ier 4 emission standards had been fully phased-in in the United States</w:t>
      </w:r>
      <w:r w:rsidR="006F3DE8">
        <w:t xml:space="preserve">) </w:t>
      </w:r>
      <w:r>
        <w:t>and 2018</w:t>
      </w:r>
    </w:p>
    <w:p w14:paraId="2F6065F3" w14:textId="4EE256F4" w:rsidR="00B4437E" w:rsidRDefault="00344310" w:rsidP="00344310">
      <w:pPr>
        <w:pStyle w:val="ListBullet"/>
      </w:pPr>
      <w:r>
        <w:lastRenderedPageBreak/>
        <w:t>t</w:t>
      </w:r>
      <w:r w:rsidR="00B4437E">
        <w:t xml:space="preserve">here is no uptake of alternative technology such as electrification (hybrid, plug-in </w:t>
      </w:r>
      <w:proofErr w:type="gramStart"/>
      <w:r w:rsidR="00B4437E">
        <w:t>hybrid</w:t>
      </w:r>
      <w:proofErr w:type="gramEnd"/>
      <w:r w:rsidR="00B4437E">
        <w:t xml:space="preserve"> and battery electric vehicles) and hydrogen fuel cell technology</w:t>
      </w:r>
    </w:p>
    <w:p w14:paraId="2033F8DD" w14:textId="43C18A95" w:rsidR="00B4437E" w:rsidRDefault="00B4437E" w:rsidP="00344310">
      <w:pPr>
        <w:pStyle w:val="ListBullet"/>
      </w:pPr>
      <w:r>
        <w:t>changes in the numbers and composition of stocks over time were derived from overlaying these predictions with assumed equipment life span</w:t>
      </w:r>
    </w:p>
    <w:p w14:paraId="04DF0B1C" w14:textId="756739BE" w:rsidR="00B4437E" w:rsidRDefault="00B4437E" w:rsidP="00344310">
      <w:pPr>
        <w:pStyle w:val="ListBullet"/>
      </w:pPr>
      <w:r>
        <w:t>that fuel use continues to grow based on historical trends (about 2.0% per year nationally).</w:t>
      </w:r>
    </w:p>
    <w:p w14:paraId="6A3DC333" w14:textId="09A15CF8" w:rsidR="00B4437E" w:rsidRDefault="00B4437E" w:rsidP="00B4437E">
      <w:r>
        <w:t xml:space="preserve">Combining these assumptions has the effect of slowly transitioning the fleet towards higher </w:t>
      </w:r>
      <w:r w:rsidR="00DC127A">
        <w:t>t</w:t>
      </w:r>
      <w:r>
        <w:t xml:space="preserve">iered technology as legacy engines are retired. </w:t>
      </w:r>
      <w:r w:rsidR="006F3DE8">
        <w:fldChar w:fldCharType="begin"/>
      </w:r>
      <w:r w:rsidR="006F3DE8">
        <w:instrText xml:space="preserve"> REF _Ref63323697 \h </w:instrText>
      </w:r>
      <w:r w:rsidR="006F3DE8">
        <w:fldChar w:fldCharType="separate"/>
      </w:r>
      <w:r w:rsidR="006F3DE8">
        <w:t xml:space="preserve">Figure </w:t>
      </w:r>
      <w:r w:rsidR="006F3DE8">
        <w:rPr>
          <w:noProof/>
        </w:rPr>
        <w:t>13</w:t>
      </w:r>
      <w:r w:rsidR="006F3DE8">
        <w:fldChar w:fldCharType="end"/>
      </w:r>
      <w:r>
        <w:t xml:space="preserve"> shows this transition by representing alignment with </w:t>
      </w:r>
      <w:r w:rsidR="00492062">
        <w:t>t</w:t>
      </w:r>
      <w:r>
        <w:t>iering as a proportion of the national NRDE stock (fleet). The national NRDE stock includes all types of equipment and engine sizes.</w:t>
      </w:r>
    </w:p>
    <w:p w14:paraId="176B5D42" w14:textId="0872EBC6" w:rsidR="00B0756C" w:rsidRDefault="006F3DE8" w:rsidP="006F3DE8">
      <w:pPr>
        <w:pStyle w:val="Caption"/>
      </w:pPr>
      <w:bookmarkStart w:id="55" w:name="_Ref63323697"/>
      <w:bookmarkStart w:id="56" w:name="_Toc63874274"/>
      <w:r>
        <w:t xml:space="preserve">Figure </w:t>
      </w:r>
      <w:r w:rsidR="00126C54">
        <w:rPr>
          <w:noProof/>
        </w:rPr>
        <w:fldChar w:fldCharType="begin"/>
      </w:r>
      <w:r w:rsidR="00126C54">
        <w:rPr>
          <w:noProof/>
        </w:rPr>
        <w:instrText xml:space="preserve"> SEQ Figure \* ARABIC </w:instrText>
      </w:r>
      <w:r w:rsidR="00126C54">
        <w:rPr>
          <w:noProof/>
        </w:rPr>
        <w:fldChar w:fldCharType="separate"/>
      </w:r>
      <w:r w:rsidR="00A418E2">
        <w:rPr>
          <w:noProof/>
        </w:rPr>
        <w:t>13</w:t>
      </w:r>
      <w:r w:rsidR="00126C54">
        <w:rPr>
          <w:noProof/>
        </w:rPr>
        <w:fldChar w:fldCharType="end"/>
      </w:r>
      <w:bookmarkEnd w:id="55"/>
      <w:r>
        <w:t xml:space="preserve"> </w:t>
      </w:r>
      <w:r w:rsidRPr="00B0756C">
        <w:t xml:space="preserve">Predicted </w:t>
      </w:r>
      <w:r>
        <w:t>t</w:t>
      </w:r>
      <w:r w:rsidRPr="00B0756C">
        <w:t>iering as a proportion of the national NRDE stock (fleet)</w:t>
      </w:r>
      <w:bookmarkEnd w:id="56"/>
    </w:p>
    <w:p w14:paraId="7E00051F" w14:textId="567AD02A" w:rsidR="00B0756C" w:rsidRDefault="0052167B" w:rsidP="00B4437E">
      <w:r w:rsidRPr="00BA1BC7">
        <w:rPr>
          <w:noProof/>
        </w:rPr>
        <w:drawing>
          <wp:inline distT="0" distB="0" distL="0" distR="0" wp14:anchorId="3C732C75" wp14:editId="3F9F0A3D">
            <wp:extent cx="5759450" cy="3126058"/>
            <wp:effectExtent l="0" t="0" r="0" b="0"/>
            <wp:docPr id="19" name="Picture 4">
              <a:extLst xmlns:a="http://schemas.openxmlformats.org/drawingml/2006/main">
                <a:ext uri="{FF2B5EF4-FFF2-40B4-BE49-F238E27FC236}">
                  <a16:creationId xmlns:a16="http://schemas.microsoft.com/office/drawing/2014/main" id="{AA35E4E5-00E1-4A95-839E-D7D8000B927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a:extLst>
                        <a:ext uri="{FF2B5EF4-FFF2-40B4-BE49-F238E27FC236}">
                          <a16:creationId xmlns:a16="http://schemas.microsoft.com/office/drawing/2014/main" id="{AA35E4E5-00E1-4A95-839E-D7D8000B927A}"/>
                        </a:ext>
                        <a:ext uri="{C183D7F6-B498-43B3-948B-1728B52AA6E4}">
                          <adec:decorative xmlns:adec="http://schemas.microsoft.com/office/drawing/2017/decorative" val="1"/>
                        </a:ext>
                      </a:extLst>
                    </pic:cNvPr>
                    <pic:cNvPicPr>
                      <a:picLocks noChangeAspect="1"/>
                    </pic:cNvPicPr>
                  </pic:nvPicPr>
                  <pic:blipFill rotWithShape="1">
                    <a:blip r:embed="rId39"/>
                    <a:srcRect b="4416"/>
                    <a:stretch/>
                  </pic:blipFill>
                  <pic:spPr bwMode="auto">
                    <a:xfrm>
                      <a:off x="0" y="0"/>
                      <a:ext cx="5759450" cy="3126058"/>
                    </a:xfrm>
                    <a:prstGeom prst="rect">
                      <a:avLst/>
                    </a:prstGeom>
                    <a:ln>
                      <a:noFill/>
                    </a:ln>
                    <a:extLst>
                      <a:ext uri="{53640926-AAD7-44D8-BBD7-CCE9431645EC}">
                        <a14:shadowObscured xmlns:a14="http://schemas.microsoft.com/office/drawing/2010/main"/>
                      </a:ext>
                    </a:extLst>
                  </pic:spPr>
                </pic:pic>
              </a:graphicData>
            </a:graphic>
          </wp:inline>
        </w:drawing>
      </w:r>
    </w:p>
    <w:p w14:paraId="51CFF27D" w14:textId="77777777" w:rsidR="00A2259A" w:rsidRDefault="00A2259A" w:rsidP="00A2259A">
      <w:r>
        <w:t>Key findings of the projections were:</w:t>
      </w:r>
    </w:p>
    <w:p w14:paraId="319678F5" w14:textId="1A9605B5" w:rsidR="00A2259A" w:rsidRDefault="00A2259A" w:rsidP="007F1119">
      <w:pPr>
        <w:pStyle w:val="ListBullet"/>
      </w:pPr>
      <w:r>
        <w:t>annual sales will continue to increase over the next decade to up from 72,000 in 2018 to 84,000 units by 2028 and 107,000 by 2043</w:t>
      </w:r>
    </w:p>
    <w:p w14:paraId="74AB16C8" w14:textId="4A5DB47E" w:rsidR="00A2259A" w:rsidRDefault="00A2259A" w:rsidP="007F1119">
      <w:pPr>
        <w:pStyle w:val="ListBullet"/>
      </w:pPr>
      <w:r>
        <w:t>the stock of NRDE in 2018 was estimated to be around 637,000. That number is projected to increase to around 736,000 by 2028 and 929,000 in 2043</w:t>
      </w:r>
    </w:p>
    <w:p w14:paraId="6295F74E" w14:textId="0B284196" w:rsidR="00A2259A" w:rsidRDefault="00A2259A" w:rsidP="007F1119">
      <w:pPr>
        <w:pStyle w:val="ListBullet"/>
      </w:pPr>
      <w:r>
        <w:t>in all three model years agricultural equipment represented the largest aggregated equipment type in the stock, reflecting the large annual sales in the agricultural sector and the long lifetime of many engines</w:t>
      </w:r>
    </w:p>
    <w:p w14:paraId="4090C0C9" w14:textId="627F3526" w:rsidR="0052167B" w:rsidRDefault="00A2259A" w:rsidP="007F1119">
      <w:pPr>
        <w:pStyle w:val="ListBullet"/>
      </w:pPr>
      <w:r>
        <w:t>the largest growth between 2018 and 2043 was projected for generator sets, agriculture and forestry, industry, and G-drive (a loose engine for a generator set).</w:t>
      </w:r>
    </w:p>
    <w:p w14:paraId="4526EE36" w14:textId="1ADEE297" w:rsidR="006378F3" w:rsidRDefault="005A14AD" w:rsidP="006378F3">
      <w:proofErr w:type="spellStart"/>
      <w:r w:rsidRPr="005A14AD">
        <w:t>A</w:t>
      </w:r>
      <w:r w:rsidR="00A025AF">
        <w:t>noverview</w:t>
      </w:r>
      <w:proofErr w:type="spellEnd"/>
      <w:r w:rsidR="00A025AF">
        <w:t xml:space="preserve"> </w:t>
      </w:r>
      <w:r w:rsidRPr="005A14AD">
        <w:t>of the base case</w:t>
      </w:r>
      <w:r w:rsidR="00A025AF">
        <w:t xml:space="preserve"> review process</w:t>
      </w:r>
      <w:r w:rsidRPr="005A14AD">
        <w:t xml:space="preserve"> is provided in </w:t>
      </w:r>
      <w:r w:rsidR="006D116D">
        <w:fldChar w:fldCharType="begin"/>
      </w:r>
      <w:r w:rsidR="006D116D">
        <w:instrText xml:space="preserve"> REF _Ref63673452 \h </w:instrText>
      </w:r>
      <w:r w:rsidR="006D116D">
        <w:fldChar w:fldCharType="separate"/>
      </w:r>
      <w:r w:rsidR="006D116D">
        <w:t xml:space="preserve">Box </w:t>
      </w:r>
      <w:r w:rsidR="006D116D">
        <w:rPr>
          <w:noProof/>
        </w:rPr>
        <w:t>4</w:t>
      </w:r>
      <w:r w:rsidR="006D116D">
        <w:fldChar w:fldCharType="end"/>
      </w:r>
      <w:r w:rsidR="00A17161" w:rsidRPr="005A14AD">
        <w:t xml:space="preserve"> </w:t>
      </w:r>
      <w:r>
        <w:t>below.</w:t>
      </w:r>
    </w:p>
    <w:p w14:paraId="236FACCC" w14:textId="628D6C52" w:rsidR="00A17161" w:rsidRDefault="00A17161" w:rsidP="00A17161">
      <w:pPr>
        <w:pStyle w:val="Caption"/>
      </w:pPr>
      <w:bookmarkStart w:id="57" w:name="_Ref63673452"/>
      <w:bookmarkStart w:id="58" w:name="_Toc63874282"/>
      <w:r>
        <w:lastRenderedPageBreak/>
        <w:t xml:space="preserve">Box </w:t>
      </w:r>
      <w:r w:rsidR="00126C54">
        <w:rPr>
          <w:noProof/>
        </w:rPr>
        <w:fldChar w:fldCharType="begin"/>
      </w:r>
      <w:r w:rsidR="00126C54">
        <w:rPr>
          <w:noProof/>
        </w:rPr>
        <w:instrText xml:space="preserve"> SEQ Box \* ARABIC </w:instrText>
      </w:r>
      <w:r w:rsidR="00126C54">
        <w:rPr>
          <w:noProof/>
        </w:rPr>
        <w:fldChar w:fldCharType="separate"/>
      </w:r>
      <w:r w:rsidR="005616AA">
        <w:rPr>
          <w:noProof/>
        </w:rPr>
        <w:t>4</w:t>
      </w:r>
      <w:r w:rsidR="00126C54">
        <w:rPr>
          <w:noProof/>
        </w:rPr>
        <w:fldChar w:fldCharType="end"/>
      </w:r>
      <w:bookmarkEnd w:id="57"/>
      <w:r>
        <w:t xml:space="preserve"> </w:t>
      </w:r>
      <w:r w:rsidRPr="00877261">
        <w:t>Base case</w:t>
      </w:r>
      <w:bookmarkEnd w:id="58"/>
    </w:p>
    <w:p w14:paraId="545940BE" w14:textId="77777777" w:rsidR="00DB509B" w:rsidRDefault="00DB509B" w:rsidP="00DB509B">
      <w:pPr>
        <w:pStyle w:val="BoxText"/>
      </w:pPr>
      <w:r>
        <w:t>The information above is a simplification of a very diverse market and is not intended to fully represent the base case. How business as usual is defined in a cost-benefit analysis can be as influential as the scenarios modelled. For that reason, it is important to spend time on making the right assumptions/predications on the best possible data available at the time.</w:t>
      </w:r>
    </w:p>
    <w:p w14:paraId="7F15AAE9" w14:textId="1E9A5B30" w:rsidR="00DB509B" w:rsidRDefault="00DB509B" w:rsidP="00A17161">
      <w:pPr>
        <w:pStyle w:val="BoxText"/>
      </w:pPr>
      <w:r>
        <w:t>The base case is currently under review by the cost-benefit analysis consultant following targeted feedback from the NRDE supply industry and consumers</w:t>
      </w:r>
      <w:r w:rsidR="00A17161">
        <w:t>:</w:t>
      </w:r>
    </w:p>
    <w:p w14:paraId="7D4AB071" w14:textId="4A3A004C" w:rsidR="00DB509B" w:rsidRPr="00A17161" w:rsidRDefault="00DA3C2E" w:rsidP="00A17161">
      <w:pPr>
        <w:pStyle w:val="BoxTextBullet"/>
      </w:pPr>
      <w:r w:rsidRPr="00A17161">
        <w:t>t</w:t>
      </w:r>
      <w:r w:rsidR="00DB509B" w:rsidRPr="00A17161">
        <w:t>his process was initiated in early 2020, with the last submissions made 30 September 2020</w:t>
      </w:r>
    </w:p>
    <w:p w14:paraId="355FCC5F" w14:textId="234B100F" w:rsidR="00DB509B" w:rsidRPr="00A17161" w:rsidRDefault="00DA3C2E" w:rsidP="00A17161">
      <w:pPr>
        <w:pStyle w:val="BoxTextBullet"/>
      </w:pPr>
      <w:r w:rsidRPr="00A17161">
        <w:t>b</w:t>
      </w:r>
      <w:r w:rsidR="00DB509B" w:rsidRPr="00A17161">
        <w:t>y the end of October 2020, the cost-benefit analysis consultant will have reviewed feedback on the base case and made appropriate changes.</w:t>
      </w:r>
    </w:p>
    <w:p w14:paraId="78E16834" w14:textId="5FEEE9B3" w:rsidR="00DB509B" w:rsidRDefault="00DB509B" w:rsidP="00083C52">
      <w:pPr>
        <w:pStyle w:val="BoxText"/>
      </w:pPr>
      <w:r>
        <w:t xml:space="preserve">If you have not had an opportunity to review the base case and would like to do so, email the department </w:t>
      </w:r>
      <w:r w:rsidRPr="000C41F1">
        <w:t xml:space="preserve">at </w:t>
      </w:r>
      <w:hyperlink r:id="rId40" w:history="1">
        <w:r w:rsidRPr="00083C52">
          <w:rPr>
            <w:rStyle w:val="Hyperlink"/>
          </w:rPr>
          <w:t>airquality@awe.gov.au</w:t>
        </w:r>
      </w:hyperlink>
      <w:r w:rsidRPr="000C41F1">
        <w:t>.</w:t>
      </w:r>
    </w:p>
    <w:p w14:paraId="4357131B" w14:textId="4411DDF4" w:rsidR="00337DE6" w:rsidRDefault="00337DE6" w:rsidP="00337DE6">
      <w:pPr>
        <w:pStyle w:val="Heading4"/>
      </w:pPr>
      <w:r w:rsidRPr="00337DE6">
        <w:t xml:space="preserve">Scenario 1 – </w:t>
      </w:r>
      <w:r w:rsidR="009C2D08">
        <w:t>I</w:t>
      </w:r>
      <w:r w:rsidRPr="00337DE6">
        <w:t>ndustry standards</w:t>
      </w:r>
    </w:p>
    <w:p w14:paraId="41EC1D44" w14:textId="12AC459C" w:rsidR="00337DE6" w:rsidRPr="00D106D2" w:rsidRDefault="001C60B7" w:rsidP="00D106D2">
      <w:r w:rsidRPr="00D106D2">
        <w:t>Industry develops standards in cooperation with governments to meet targets for sales of new non-road diesel engines which align with international best practice for emissions.</w:t>
      </w:r>
    </w:p>
    <w:p w14:paraId="2C50885B" w14:textId="77777777" w:rsidR="002C0191" w:rsidRDefault="002C0191" w:rsidP="002C0191">
      <w:r>
        <w:t>This scenario seeks to reduce the impacts of non-road diesel emissions without regulation through industry standards that increase the proportion of sales for NRDE which align with international best practice emission standards. By utilising existing international standards and using non-regulatory oversight this scenario could potentially provide the most cost-effective emissions reductions and manage potential drawbacks of regulation.</w:t>
      </w:r>
    </w:p>
    <w:p w14:paraId="288BCFFF" w14:textId="77777777" w:rsidR="002C0191" w:rsidRDefault="002C0191" w:rsidP="002C0191">
      <w:r>
        <w:t>This scenario:</w:t>
      </w:r>
    </w:p>
    <w:p w14:paraId="16B72150" w14:textId="1C5EAE53" w:rsidR="002C0191" w:rsidRDefault="002C0191" w:rsidP="005C0FDD">
      <w:pPr>
        <w:pStyle w:val="ListBullet"/>
      </w:pPr>
      <w:r>
        <w:t>may avoid regulation in the future</w:t>
      </w:r>
    </w:p>
    <w:p w14:paraId="0A85ABF8" w14:textId="51483D73" w:rsidR="002C0191" w:rsidRDefault="002C0191" w:rsidP="005C0FDD">
      <w:pPr>
        <w:pStyle w:val="ListBullet"/>
      </w:pPr>
      <w:r>
        <w:t>may offer competitive advantage to participating industries. Participating industries have opportunity to enhance their reputation and promote their activities. Increased public or consumer recognition could increase market shares or provide advantage in segments of the market (</w:t>
      </w:r>
      <w:r w:rsidR="00B96202">
        <w:t>for example,</w:t>
      </w:r>
      <w:r>
        <w:t xml:space="preserve"> procurement policies that preference cleaner engines)</w:t>
      </w:r>
    </w:p>
    <w:p w14:paraId="4522FB85" w14:textId="3E301BEF" w:rsidR="002C0191" w:rsidRDefault="002C0191" w:rsidP="005C0FDD">
      <w:pPr>
        <w:pStyle w:val="ListBullet"/>
      </w:pPr>
      <w:r>
        <w:t xml:space="preserve">aims to balance NRDE emissions reductions in populated areas while continuing the supply of higher emitting technology to some applications where </w:t>
      </w:r>
      <w:r w:rsidR="00AA50D2">
        <w:t>t</w:t>
      </w:r>
      <w:r>
        <w:t xml:space="preserve">ier 4 </w:t>
      </w:r>
      <w:r w:rsidR="00C56CB3">
        <w:t>f</w:t>
      </w:r>
      <w:r>
        <w:t>inal may not be practical</w:t>
      </w:r>
    </w:p>
    <w:p w14:paraId="6A180085" w14:textId="1F693C3B" w:rsidR="002C0191" w:rsidRDefault="00057B10" w:rsidP="00C0756F">
      <w:pPr>
        <w:pStyle w:val="ListBullet2"/>
      </w:pPr>
      <w:r>
        <w:t>s</w:t>
      </w:r>
      <w:r w:rsidR="002C0191">
        <w:t xml:space="preserve">ome stakeholders have indicated there may be practical challenges with moving to </w:t>
      </w:r>
      <w:r w:rsidR="00C56CB3">
        <w:t>t</w:t>
      </w:r>
      <w:r w:rsidR="002C0191">
        <w:t>ier 4 final for certain applications and would prefer these applications to be exempt from standards. Those identified at this stage are standby generators, standby fire pumps and agricultural pumps</w:t>
      </w:r>
    </w:p>
    <w:p w14:paraId="35D8DB0A" w14:textId="43E694C1" w:rsidR="002C0191" w:rsidRDefault="00057B10" w:rsidP="00C0756F">
      <w:pPr>
        <w:pStyle w:val="ListBullet2"/>
      </w:pPr>
      <w:r>
        <w:t>t</w:t>
      </w:r>
      <w:r w:rsidR="002C0191">
        <w:t xml:space="preserve">he practical challenges relate mainly to </w:t>
      </w:r>
      <w:r w:rsidR="00C56CB3">
        <w:t>t</w:t>
      </w:r>
      <w:r w:rsidR="002C0191">
        <w:t>ier 4 equipment requiring maintenance and repairs to be undertaken by a registered technician using proprietary software. This would be particularly difficult for Australia’s remote and regional areas</w:t>
      </w:r>
    </w:p>
    <w:p w14:paraId="5B57D79D" w14:textId="26096EDF" w:rsidR="002C0191" w:rsidRDefault="00057B10" w:rsidP="00C0756F">
      <w:pPr>
        <w:pStyle w:val="ListBullet2"/>
      </w:pPr>
      <w:r>
        <w:t>t</w:t>
      </w:r>
      <w:r w:rsidR="002C0191">
        <w:t xml:space="preserve">he market analysis indicated these applications were around 20% of new sales and that the highest proportions of </w:t>
      </w:r>
      <w:r w:rsidR="00C56CB3">
        <w:t>a</w:t>
      </w:r>
      <w:r w:rsidR="002C0191">
        <w:t>gricultural type equipment were less than 37KW.</w:t>
      </w:r>
    </w:p>
    <w:p w14:paraId="75F72FC9" w14:textId="0B094AC9" w:rsidR="002C0191" w:rsidRDefault="002C0191" w:rsidP="002C0191">
      <w:r>
        <w:t xml:space="preserve">Through non-regulatory oversight this scenario also meets the objectives of the Australian </w:t>
      </w:r>
      <w:r w:rsidR="00CF3D2B">
        <w:t>G</w:t>
      </w:r>
      <w:r>
        <w:t>overnment’s regulation reform agenda.</w:t>
      </w:r>
    </w:p>
    <w:p w14:paraId="3EF23BF5" w14:textId="0487A8F0" w:rsidR="008616CC" w:rsidRDefault="008616CC" w:rsidP="00021DAD">
      <w:pPr>
        <w:pStyle w:val="Heading5"/>
      </w:pPr>
      <w:r>
        <w:lastRenderedPageBreak/>
        <w:t>Features</w:t>
      </w:r>
    </w:p>
    <w:p w14:paraId="6DF2EDB5" w14:textId="37DFAA19" w:rsidR="008616CC" w:rsidRDefault="008616CC" w:rsidP="008616CC">
      <w:r>
        <w:t xml:space="preserve">Under </w:t>
      </w:r>
      <w:r w:rsidR="00D441B2">
        <w:t>s</w:t>
      </w:r>
      <w:r>
        <w:t>cenario 1, standards would be adopted by industry in cooperation with governments. Implementation and compliance with the standards would be driven by industry and not underpinned by a Commonwealth regulatory framework. The standards would be non-binding. Industry would agree to report on levels of compliance with the standards.</w:t>
      </w:r>
    </w:p>
    <w:p w14:paraId="7979F38D" w14:textId="479B07EB" w:rsidR="00504914" w:rsidRDefault="008616CC" w:rsidP="008616CC">
      <w:r>
        <w:t>This scenario could utilise labelling of NRDE products that align with industry emission standards. Labelling could enable consumers to choose between a lower emission, labelled product and a higher emission, non-labelled product.</w:t>
      </w:r>
      <w:r w:rsidR="00B913A8">
        <w:t xml:space="preserve"> </w:t>
      </w:r>
      <w:r>
        <w:t xml:space="preserve">Scenario 1 features and options for industry consideration are shown in </w:t>
      </w:r>
      <w:r w:rsidR="00B913A8">
        <w:fldChar w:fldCharType="begin"/>
      </w:r>
      <w:r w:rsidR="00B913A8">
        <w:instrText xml:space="preserve"> REF _Ref63324716 \h </w:instrText>
      </w:r>
      <w:r w:rsidR="00B913A8">
        <w:fldChar w:fldCharType="separate"/>
      </w:r>
      <w:r w:rsidR="00B913A8">
        <w:t xml:space="preserve">Box </w:t>
      </w:r>
      <w:r w:rsidR="00B913A8">
        <w:rPr>
          <w:noProof/>
        </w:rPr>
        <w:t>5</w:t>
      </w:r>
      <w:r w:rsidR="00B913A8">
        <w:fldChar w:fldCharType="end"/>
      </w:r>
      <w:r w:rsidR="00DA3C2E">
        <w:t>.</w:t>
      </w:r>
    </w:p>
    <w:p w14:paraId="218B8F06" w14:textId="77777777" w:rsidR="00504914" w:rsidRDefault="00504914">
      <w:pPr>
        <w:spacing w:after="0" w:line="240" w:lineRule="auto"/>
      </w:pPr>
      <w:r>
        <w:br w:type="page"/>
      </w:r>
    </w:p>
    <w:p w14:paraId="6D6839EC" w14:textId="091325CE" w:rsidR="00B913A8" w:rsidRDefault="00B913A8" w:rsidP="00B913A8">
      <w:pPr>
        <w:pStyle w:val="Caption"/>
      </w:pPr>
      <w:bookmarkStart w:id="59" w:name="_Ref63324716"/>
      <w:bookmarkStart w:id="60" w:name="_Toc63874283"/>
      <w:r>
        <w:lastRenderedPageBreak/>
        <w:t xml:space="preserve">Box </w:t>
      </w:r>
      <w:r w:rsidR="00126C54">
        <w:rPr>
          <w:noProof/>
        </w:rPr>
        <w:fldChar w:fldCharType="begin"/>
      </w:r>
      <w:r w:rsidR="00126C54">
        <w:rPr>
          <w:noProof/>
        </w:rPr>
        <w:instrText xml:space="preserve"> SEQ Box \* ARABIC </w:instrText>
      </w:r>
      <w:r w:rsidR="00126C54">
        <w:rPr>
          <w:noProof/>
        </w:rPr>
        <w:fldChar w:fldCharType="separate"/>
      </w:r>
      <w:r w:rsidR="005616AA">
        <w:rPr>
          <w:noProof/>
        </w:rPr>
        <w:t>5</w:t>
      </w:r>
      <w:r w:rsidR="00126C54">
        <w:rPr>
          <w:noProof/>
        </w:rPr>
        <w:fldChar w:fldCharType="end"/>
      </w:r>
      <w:bookmarkEnd w:id="59"/>
      <w:r>
        <w:t xml:space="preserve"> </w:t>
      </w:r>
      <w:r w:rsidRPr="00B913A8">
        <w:t>Scenario 1</w:t>
      </w:r>
      <w:r w:rsidRPr="000D7E13">
        <w:t xml:space="preserve"> features and options for industry consideration</w:t>
      </w:r>
      <w:bookmarkEnd w:id="60"/>
    </w:p>
    <w:p w14:paraId="1C467C9D" w14:textId="77777777" w:rsidR="00D433D8" w:rsidRDefault="00D433D8" w:rsidP="00D433D8">
      <w:pPr>
        <w:pStyle w:val="BoxText"/>
      </w:pPr>
      <w:r>
        <w:t>Industry agrees to move its fleet to meet international standards or alternative technology and report on compliance. This would be achieved by an Industry Agreement involving members of peak industry bodies who represent the majority of the Australian NRDE supply and consumer industries.</w:t>
      </w:r>
    </w:p>
    <w:p w14:paraId="57275C8A" w14:textId="77777777" w:rsidR="00D433D8" w:rsidRDefault="00D433D8" w:rsidP="00D433D8">
      <w:pPr>
        <w:pStyle w:val="BoxText"/>
      </w:pPr>
      <w:r>
        <w:t>We are seeking industry input into this scenario. Below are two options for industry consideration that may meet the objectives of reducing the adverse impacts of NRDE emissions on the environment and human health. Neither option includes 100% coverage:</w:t>
      </w:r>
    </w:p>
    <w:p w14:paraId="1C15FB3E" w14:textId="6BE3017A" w:rsidR="00D433D8" w:rsidRDefault="00D433D8" w:rsidP="00D433D8">
      <w:pPr>
        <w:pStyle w:val="BoxTextBullet"/>
      </w:pPr>
      <w:r>
        <w:t xml:space="preserve">to allow for continued supply of higher emitting technology to some applications where </w:t>
      </w:r>
      <w:r w:rsidR="00FF2DF4">
        <w:t>t</w:t>
      </w:r>
      <w:r>
        <w:t xml:space="preserve">ier 4 </w:t>
      </w:r>
      <w:r w:rsidR="00B913A8">
        <w:t>f</w:t>
      </w:r>
      <w:r>
        <w:t>inal may not be practical, while promoting NRDE emissions reductions in populated areas</w:t>
      </w:r>
    </w:p>
    <w:p w14:paraId="12543C96" w14:textId="1A403240" w:rsidR="00D433D8" w:rsidRDefault="00D433D8" w:rsidP="00D433D8">
      <w:pPr>
        <w:pStyle w:val="BoxTextBullet"/>
      </w:pPr>
      <w:r>
        <w:t>because this is not practical for a voluntary scenario in a diverse market</w:t>
      </w:r>
      <w:r w:rsidR="00F04DF8">
        <w:t>.</w:t>
      </w:r>
    </w:p>
    <w:p w14:paraId="0DAD6252" w14:textId="6C7DFFED" w:rsidR="000D7E13" w:rsidRDefault="00D433D8" w:rsidP="00D433D8">
      <w:pPr>
        <w:pStyle w:val="BoxText"/>
      </w:pPr>
      <w:r>
        <w:t>We welcome feedback on the following options, including alternate options that reduce NRDE emissions nationally without regulation.</w:t>
      </w:r>
    </w:p>
    <w:p w14:paraId="16F4262F" w14:textId="77777777" w:rsidR="00FD2C2B" w:rsidRPr="00B913A8" w:rsidRDefault="00FD2C2B" w:rsidP="00B913A8">
      <w:pPr>
        <w:pStyle w:val="BoxHeading"/>
      </w:pPr>
      <w:r w:rsidRPr="00B913A8">
        <w:t>Option A</w:t>
      </w:r>
    </w:p>
    <w:p w14:paraId="2F6996F7" w14:textId="04128A83" w:rsidR="00FD2C2B" w:rsidRDefault="00FD2C2B" w:rsidP="00FD2C2B">
      <w:pPr>
        <w:pStyle w:val="BoxText"/>
      </w:pPr>
      <w:r>
        <w:t>Within 2 years after any hypothetical decision to introduce this management option, 50% of NRDE type equipment introduced into Australia for the first time by each industry group:</w:t>
      </w:r>
    </w:p>
    <w:p w14:paraId="00D15CEC" w14:textId="3F47DC41" w:rsidR="00FD2C2B" w:rsidRDefault="00FD2C2B" w:rsidP="006032AE">
      <w:pPr>
        <w:pStyle w:val="BoxTextBullet"/>
      </w:pPr>
      <w:r>
        <w:t xml:space="preserve">align with international best practice for NRDE emissions (at least </w:t>
      </w:r>
      <w:r w:rsidR="00710BD8">
        <w:t>t</w:t>
      </w:r>
      <w:r>
        <w:t>ier 4 final or equivalent), or</w:t>
      </w:r>
    </w:p>
    <w:p w14:paraId="7AE67F61" w14:textId="33EC9848" w:rsidR="00FD2C2B" w:rsidRPr="00C24F4A" w:rsidRDefault="00FD2C2B" w:rsidP="006032AE">
      <w:pPr>
        <w:pStyle w:val="BoxTextBullet"/>
      </w:pPr>
      <w:r>
        <w:t xml:space="preserve">are an alternative technology that can be substituted for a NRDE </w:t>
      </w:r>
      <w:r w:rsidRPr="00C24F4A">
        <w:t>product</w:t>
      </w:r>
      <w:r w:rsidR="00C24F4A" w:rsidRPr="00C24F4A">
        <w:t xml:space="preserve"> (hybrid, plug-in hybrid, battery electric or hydrogen fuel </w:t>
      </w:r>
      <w:proofErr w:type="gramStart"/>
      <w:r w:rsidR="00C24F4A" w:rsidRPr="00C24F4A">
        <w:t>cell technology)</w:t>
      </w:r>
      <w:r w:rsidRPr="00C24F4A">
        <w:t>.</w:t>
      </w:r>
      <w:proofErr w:type="gramEnd"/>
    </w:p>
    <w:p w14:paraId="77B1AE89" w14:textId="77777777" w:rsidR="00FD2C2B" w:rsidRDefault="00FD2C2B" w:rsidP="00FD2C2B">
      <w:pPr>
        <w:pStyle w:val="BoxText"/>
      </w:pPr>
      <w:r>
        <w:t>Industry groups are:</w:t>
      </w:r>
    </w:p>
    <w:p w14:paraId="7681C4B6" w14:textId="4AE4B7F8" w:rsidR="00FD2C2B" w:rsidRDefault="006032AE" w:rsidP="006032AE">
      <w:pPr>
        <w:pStyle w:val="BoxTextBullet"/>
      </w:pPr>
      <w:r>
        <w:t>m</w:t>
      </w:r>
      <w:r w:rsidR="00FD2C2B">
        <w:t>ining</w:t>
      </w:r>
    </w:p>
    <w:p w14:paraId="6B647F90" w14:textId="1BCF993D" w:rsidR="00FD2C2B" w:rsidRDefault="006032AE" w:rsidP="006032AE">
      <w:pPr>
        <w:pStyle w:val="BoxTextBullet"/>
      </w:pPr>
      <w:r>
        <w:t>a</w:t>
      </w:r>
      <w:r w:rsidR="00FD2C2B">
        <w:t>griculture</w:t>
      </w:r>
    </w:p>
    <w:p w14:paraId="7C382853" w14:textId="1077C2B9" w:rsidR="00710BD8" w:rsidRDefault="00710BD8" w:rsidP="006032AE">
      <w:pPr>
        <w:pStyle w:val="BoxTextBullet"/>
      </w:pPr>
      <w:r>
        <w:t>f</w:t>
      </w:r>
      <w:r w:rsidR="00FD2C2B">
        <w:t>orestry</w:t>
      </w:r>
    </w:p>
    <w:p w14:paraId="5A78F58C" w14:textId="0DEC0716" w:rsidR="00FD2C2B" w:rsidRDefault="00710BD8" w:rsidP="006032AE">
      <w:pPr>
        <w:pStyle w:val="BoxTextBullet"/>
      </w:pPr>
      <w:r>
        <w:t>c</w:t>
      </w:r>
      <w:r w:rsidR="00FD2C2B">
        <w:t>onstruction and commercial</w:t>
      </w:r>
    </w:p>
    <w:p w14:paraId="6D70E727" w14:textId="3B0AEF53" w:rsidR="00FD2C2B" w:rsidRDefault="00710BD8" w:rsidP="006032AE">
      <w:pPr>
        <w:pStyle w:val="BoxTextBullet"/>
      </w:pPr>
      <w:r>
        <w:t>m</w:t>
      </w:r>
      <w:r w:rsidR="00FD2C2B">
        <w:t>anufacturing</w:t>
      </w:r>
    </w:p>
    <w:p w14:paraId="1F60C792" w14:textId="64DD33EE" w:rsidR="00FD2C2B" w:rsidRDefault="00710BD8" w:rsidP="006032AE">
      <w:pPr>
        <w:pStyle w:val="BoxTextBullet"/>
      </w:pPr>
      <w:r>
        <w:t>m</w:t>
      </w:r>
      <w:r w:rsidR="00FD2C2B">
        <w:t>arine</w:t>
      </w:r>
      <w:r>
        <w:t xml:space="preserve"> </w:t>
      </w:r>
      <w:r w:rsidR="00FD2C2B">
        <w:t>(&lt;130kW only)</w:t>
      </w:r>
      <w:r>
        <w:t>.</w:t>
      </w:r>
    </w:p>
    <w:p w14:paraId="38D01FA8" w14:textId="2DC570C7" w:rsidR="00422D36" w:rsidRDefault="00FD2C2B" w:rsidP="00FD2C2B">
      <w:pPr>
        <w:pStyle w:val="BoxText"/>
      </w:pPr>
      <w:r>
        <w:t>Ensuring emissions improvements occur in all industry groups should minimise the likelihood of perverse outcomes where higher emissions intensities are concentrated in one industry.</w:t>
      </w:r>
    </w:p>
    <w:p w14:paraId="43AB6B37" w14:textId="77777777" w:rsidR="00666997" w:rsidRPr="00C525C3" w:rsidRDefault="00666997" w:rsidP="00C525C3">
      <w:pPr>
        <w:pStyle w:val="BoxHeading"/>
      </w:pPr>
      <w:r w:rsidRPr="00C525C3">
        <w:t>Option B</w:t>
      </w:r>
    </w:p>
    <w:p w14:paraId="223CFF24" w14:textId="558A4394" w:rsidR="00666997" w:rsidRDefault="00666997" w:rsidP="00666997">
      <w:pPr>
        <w:pStyle w:val="BoxText"/>
      </w:pPr>
      <w:r>
        <w:t>Within 2 years after any hypothetical decision to introduce this management option, NRDE type equipment introduced into Australia for the first time align with international practice for NRDE emissions as follows</w:t>
      </w:r>
      <w:r w:rsidR="00FA7591">
        <w:t>:</w:t>
      </w:r>
    </w:p>
    <w:p w14:paraId="575EE435" w14:textId="19229369" w:rsidR="00666997" w:rsidRDefault="00666997" w:rsidP="00666997">
      <w:pPr>
        <w:pStyle w:val="BoxTextBullet"/>
      </w:pPr>
      <w:r>
        <w:t>For &gt;/= 37KW, 50% of equipment are</w:t>
      </w:r>
      <w:r w:rsidR="00987CDA">
        <w:t xml:space="preserve"> </w:t>
      </w:r>
      <w:r w:rsidRPr="00987CDA">
        <w:t xml:space="preserve">at least </w:t>
      </w:r>
      <w:r w:rsidR="00FA7591" w:rsidRPr="00987CDA">
        <w:t>t</w:t>
      </w:r>
      <w:r w:rsidRPr="00987CDA">
        <w:t>ier 4 final (or equivalent), or</w:t>
      </w:r>
      <w:r w:rsidR="00987CDA" w:rsidRPr="00987CDA">
        <w:t xml:space="preserve"> </w:t>
      </w:r>
      <w:r w:rsidRPr="00987CDA">
        <w:t>an alternative technology that can be substituted for a NRDE product</w:t>
      </w:r>
    </w:p>
    <w:p w14:paraId="0A843C84" w14:textId="02C4A912" w:rsidR="00666997" w:rsidRPr="00987CDA" w:rsidRDefault="00666997" w:rsidP="00666997">
      <w:pPr>
        <w:pStyle w:val="BoxTextBullet"/>
      </w:pPr>
      <w:r>
        <w:t>For &lt; 37KW, 50% of equipment are</w:t>
      </w:r>
      <w:r w:rsidR="00987CDA">
        <w:t xml:space="preserve"> </w:t>
      </w:r>
      <w:r w:rsidRPr="00987CDA">
        <w:t xml:space="preserve">at least </w:t>
      </w:r>
      <w:r w:rsidR="00FA7591" w:rsidRPr="00987CDA">
        <w:t>t</w:t>
      </w:r>
      <w:r w:rsidRPr="00987CDA">
        <w:t>ier 3 (or equivalent), or</w:t>
      </w:r>
      <w:r w:rsidR="00987CDA" w:rsidRPr="00987CDA">
        <w:t xml:space="preserve"> </w:t>
      </w:r>
      <w:r w:rsidRPr="00987CDA">
        <w:t>an alternative technology that can be substituted for a NRDE product</w:t>
      </w:r>
      <w:r w:rsidR="00FA7591" w:rsidRPr="00987CDA">
        <w:t>.</w:t>
      </w:r>
    </w:p>
    <w:p w14:paraId="517193B3" w14:textId="77777777" w:rsidR="007547E7" w:rsidRDefault="007547E7">
      <w:pPr>
        <w:spacing w:after="0" w:line="240" w:lineRule="auto"/>
        <w:rPr>
          <w:rFonts w:ascii="Calibri" w:hAnsi="Calibri"/>
          <w:b/>
        </w:rPr>
      </w:pPr>
      <w:r>
        <w:br w:type="page"/>
      </w:r>
    </w:p>
    <w:p w14:paraId="2B3C2BEF" w14:textId="00EE4FA1" w:rsidR="006375F2" w:rsidRDefault="006375F2" w:rsidP="006375F2">
      <w:pPr>
        <w:pStyle w:val="Heading5"/>
      </w:pPr>
      <w:r w:rsidRPr="006375F2">
        <w:lastRenderedPageBreak/>
        <w:t xml:space="preserve">Stakeholder </w:t>
      </w:r>
      <w:r>
        <w:t>r</w:t>
      </w:r>
      <w:r w:rsidRPr="006375F2">
        <w:t xml:space="preserve">oles for </w:t>
      </w:r>
      <w:r>
        <w:t>s</w:t>
      </w:r>
      <w:r w:rsidRPr="006375F2">
        <w:t>cenario 1</w:t>
      </w:r>
    </w:p>
    <w:p w14:paraId="117EB907" w14:textId="010ED153" w:rsidR="006375F2" w:rsidRDefault="00631FD8" w:rsidP="006375F2">
      <w:r w:rsidRPr="00631FD8">
        <w:t xml:space="preserve">For </w:t>
      </w:r>
      <w:r>
        <w:t>s</w:t>
      </w:r>
      <w:r w:rsidRPr="00631FD8">
        <w:t xml:space="preserve">cenario 1, </w:t>
      </w:r>
      <w:r w:rsidR="00987CDA">
        <w:fldChar w:fldCharType="begin"/>
      </w:r>
      <w:r w:rsidR="00987CDA">
        <w:instrText xml:space="preserve"> REF _Ref63325080 \h </w:instrText>
      </w:r>
      <w:r w:rsidR="00987CDA">
        <w:fldChar w:fldCharType="separate"/>
      </w:r>
      <w:r w:rsidR="00987CDA">
        <w:t xml:space="preserve">Table </w:t>
      </w:r>
      <w:r w:rsidR="00987CDA">
        <w:rPr>
          <w:noProof/>
        </w:rPr>
        <w:t>3</w:t>
      </w:r>
      <w:r w:rsidR="00987CDA">
        <w:fldChar w:fldCharType="end"/>
      </w:r>
      <w:r w:rsidRPr="00987CDA">
        <w:t xml:space="preserve"> lists</w:t>
      </w:r>
      <w:r w:rsidRPr="00631FD8">
        <w:t xml:space="preserve"> the roles for suppliers and consumers of NRDE and </w:t>
      </w:r>
      <w:r>
        <w:t>g</w:t>
      </w:r>
      <w:r w:rsidRPr="00631FD8">
        <w:t>overnment.</w:t>
      </w:r>
    </w:p>
    <w:p w14:paraId="02066A4C" w14:textId="28CF970F" w:rsidR="002B5598" w:rsidRDefault="00987CDA" w:rsidP="00987CDA">
      <w:pPr>
        <w:pStyle w:val="Caption"/>
      </w:pPr>
      <w:bookmarkStart w:id="61" w:name="_Ref63325080"/>
      <w:bookmarkStart w:id="62" w:name="_Toc63696010"/>
      <w:r>
        <w:t xml:space="preserve">Table </w:t>
      </w:r>
      <w:r w:rsidR="00126C54">
        <w:rPr>
          <w:noProof/>
        </w:rPr>
        <w:fldChar w:fldCharType="begin"/>
      </w:r>
      <w:r w:rsidR="00126C54">
        <w:rPr>
          <w:noProof/>
        </w:rPr>
        <w:instrText xml:space="preserve"> SEQ Table \* ARABIC </w:instrText>
      </w:r>
      <w:r w:rsidR="00126C54">
        <w:rPr>
          <w:noProof/>
        </w:rPr>
        <w:fldChar w:fldCharType="separate"/>
      </w:r>
      <w:r w:rsidR="00664F36">
        <w:rPr>
          <w:noProof/>
        </w:rPr>
        <w:t>3</w:t>
      </w:r>
      <w:r w:rsidR="00126C54">
        <w:rPr>
          <w:noProof/>
        </w:rPr>
        <w:fldChar w:fldCharType="end"/>
      </w:r>
      <w:bookmarkEnd w:id="61"/>
      <w:r>
        <w:t xml:space="preserve"> S</w:t>
      </w:r>
      <w:r w:rsidRPr="002B5598">
        <w:t xml:space="preserve">cenario 1 roles for suppliers and consumers of NRDE and </w:t>
      </w:r>
      <w:r>
        <w:t>g</w:t>
      </w:r>
      <w:r w:rsidRPr="002B5598">
        <w:t>overnment</w:t>
      </w:r>
      <w:bookmarkEnd w:id="6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4"/>
        <w:gridCol w:w="6946"/>
      </w:tblGrid>
      <w:tr w:rsidR="00FC0F0D" w14:paraId="600D5643" w14:textId="77777777" w:rsidTr="00D0523D">
        <w:trPr>
          <w:cantSplit/>
          <w:tblHeader/>
        </w:trPr>
        <w:tc>
          <w:tcPr>
            <w:tcW w:w="1171" w:type="pct"/>
          </w:tcPr>
          <w:p w14:paraId="1B8AF493" w14:textId="58987004" w:rsidR="00FC0F0D" w:rsidRDefault="0030277F" w:rsidP="00A303DD">
            <w:pPr>
              <w:pStyle w:val="TableHeading"/>
            </w:pPr>
            <w:r>
              <w:t>Participant</w:t>
            </w:r>
          </w:p>
        </w:tc>
        <w:tc>
          <w:tcPr>
            <w:tcW w:w="3829" w:type="pct"/>
          </w:tcPr>
          <w:p w14:paraId="3CD55AE8" w14:textId="71A1B1F6" w:rsidR="00FC0F0D" w:rsidRDefault="0030277F" w:rsidP="00A303DD">
            <w:pPr>
              <w:pStyle w:val="TableHeading"/>
            </w:pPr>
            <w:r>
              <w:t>Role</w:t>
            </w:r>
          </w:p>
        </w:tc>
      </w:tr>
      <w:tr w:rsidR="00FC0F0D" w14:paraId="2906B4E9" w14:textId="77777777" w:rsidTr="00C6516C">
        <w:tc>
          <w:tcPr>
            <w:tcW w:w="1171" w:type="pct"/>
          </w:tcPr>
          <w:p w14:paraId="7AB33C53" w14:textId="1CBE0336" w:rsidR="00FC0F0D" w:rsidRDefault="00493B44" w:rsidP="00A303DD">
            <w:pPr>
              <w:pStyle w:val="TableText"/>
            </w:pPr>
            <w:r>
              <w:t>Government</w:t>
            </w:r>
          </w:p>
        </w:tc>
        <w:tc>
          <w:tcPr>
            <w:tcW w:w="3829" w:type="pct"/>
          </w:tcPr>
          <w:p w14:paraId="491E433F" w14:textId="198C7FDA" w:rsidR="00FC0F0D" w:rsidRDefault="008323F9" w:rsidP="00A303DD">
            <w:pPr>
              <w:pStyle w:val="TableText"/>
            </w:pPr>
            <w:r w:rsidRPr="008323F9">
              <w:t>Support industry in development of industry standard</w:t>
            </w:r>
          </w:p>
        </w:tc>
      </w:tr>
      <w:tr w:rsidR="00FC0F0D" w14:paraId="2245E825" w14:textId="77777777" w:rsidTr="00C6516C">
        <w:tc>
          <w:tcPr>
            <w:tcW w:w="1171" w:type="pct"/>
          </w:tcPr>
          <w:p w14:paraId="01570D24" w14:textId="4C379EE4" w:rsidR="00FC0F0D" w:rsidRDefault="00493B44" w:rsidP="00A303DD">
            <w:pPr>
              <w:pStyle w:val="TableText"/>
            </w:pPr>
            <w:r>
              <w:t>Supply sectors</w:t>
            </w:r>
          </w:p>
        </w:tc>
        <w:tc>
          <w:tcPr>
            <w:tcW w:w="3829" w:type="pct"/>
          </w:tcPr>
          <w:p w14:paraId="40A94CC3" w14:textId="77777777" w:rsidR="00AB68D8" w:rsidRDefault="00AB68D8" w:rsidP="00A303DD">
            <w:pPr>
              <w:pStyle w:val="TableText"/>
            </w:pPr>
            <w:r>
              <w:t>Participate in the development of industry standards</w:t>
            </w:r>
          </w:p>
          <w:p w14:paraId="39F2B2CD" w14:textId="77777777" w:rsidR="00AB68D8" w:rsidRDefault="00AB68D8" w:rsidP="00A303DD">
            <w:pPr>
              <w:pStyle w:val="TableText"/>
            </w:pPr>
            <w:r>
              <w:t>Undertake education to understand their obligations under the industry standards</w:t>
            </w:r>
          </w:p>
          <w:p w14:paraId="2EC233C5" w14:textId="77777777" w:rsidR="00AB68D8" w:rsidRDefault="00AB68D8" w:rsidP="00A303DD">
            <w:pPr>
              <w:pStyle w:val="TableText"/>
            </w:pPr>
            <w:r>
              <w:t>Import/manufacture/supply equipment that complies with the relevant stage of the management option</w:t>
            </w:r>
          </w:p>
          <w:p w14:paraId="6B48E97A" w14:textId="77777777" w:rsidR="00AB68D8" w:rsidRDefault="00AB68D8" w:rsidP="00A303DD">
            <w:pPr>
              <w:pStyle w:val="TableText"/>
            </w:pPr>
            <w:r>
              <w:t>Ensure NRDE are labelled in accordance with the industry standard where required</w:t>
            </w:r>
          </w:p>
          <w:p w14:paraId="6731D026" w14:textId="77777777" w:rsidR="00AB68D8" w:rsidRDefault="00AB68D8" w:rsidP="00A303DD">
            <w:pPr>
              <w:pStyle w:val="TableText"/>
            </w:pPr>
            <w:r>
              <w:t>Manage sales to meet targets for international best practice emission standards or alternative technology</w:t>
            </w:r>
          </w:p>
          <w:p w14:paraId="7D0B321E" w14:textId="77777777" w:rsidR="00AB68D8" w:rsidRDefault="00AB68D8" w:rsidP="00A303DD">
            <w:pPr>
              <w:pStyle w:val="TableText"/>
            </w:pPr>
            <w:r>
              <w:t>Track and independently audit adherence to the industry standard</w:t>
            </w:r>
          </w:p>
          <w:p w14:paraId="039FBDED" w14:textId="318EB3D1" w:rsidR="00FC0F0D" w:rsidRDefault="00AB68D8" w:rsidP="00A303DD">
            <w:pPr>
              <w:pStyle w:val="TableText"/>
            </w:pPr>
            <w:r>
              <w:t>Publicly report on compliance</w:t>
            </w:r>
          </w:p>
        </w:tc>
      </w:tr>
      <w:tr w:rsidR="00FC0F0D" w14:paraId="7B95A89C" w14:textId="77777777" w:rsidTr="00C6516C">
        <w:tc>
          <w:tcPr>
            <w:tcW w:w="1171" w:type="pct"/>
          </w:tcPr>
          <w:p w14:paraId="6EE79782" w14:textId="1E354CE1" w:rsidR="00FC0F0D" w:rsidRDefault="00493B44" w:rsidP="00A303DD">
            <w:pPr>
              <w:pStyle w:val="TableText"/>
            </w:pPr>
            <w:r>
              <w:t>Consumers</w:t>
            </w:r>
          </w:p>
        </w:tc>
        <w:tc>
          <w:tcPr>
            <w:tcW w:w="3829" w:type="pct"/>
          </w:tcPr>
          <w:p w14:paraId="7514D8A8" w14:textId="77777777" w:rsidR="00A303DD" w:rsidRDefault="00A303DD" w:rsidP="00A303DD">
            <w:pPr>
              <w:pStyle w:val="TableText"/>
            </w:pPr>
            <w:r>
              <w:t>Participate in the development of industry standard (if lead by consumers, not suppliers)</w:t>
            </w:r>
          </w:p>
          <w:p w14:paraId="45AC3C64" w14:textId="3BC8904B" w:rsidR="00FC0F0D" w:rsidRDefault="00A303DD" w:rsidP="00A303DD">
            <w:pPr>
              <w:pStyle w:val="TableText"/>
            </w:pPr>
            <w:r>
              <w:t>Work with supply sector to achieve compliance (if lead by consumers, not suppliers)</w:t>
            </w:r>
          </w:p>
        </w:tc>
      </w:tr>
    </w:tbl>
    <w:p w14:paraId="55FB27C6" w14:textId="547AB39F" w:rsidR="000D09CF" w:rsidRDefault="000D09CF" w:rsidP="000B2BF0">
      <w:pPr>
        <w:pStyle w:val="Heading5"/>
        <w:spacing w:before="120"/>
      </w:pPr>
      <w:r>
        <w:t>Benefits and drawbacks</w:t>
      </w:r>
    </w:p>
    <w:p w14:paraId="1F31CC58" w14:textId="4444D0BD" w:rsidR="000D09CF" w:rsidRDefault="000D09CF" w:rsidP="000D09CF">
      <w:r>
        <w:t>Partnership opportunities include industry codes of practice developed with government involvement, guidance notes, and accreditation schemes. These are known as quasi-regulation. This approach would have the following potential benefits and drawbacks</w:t>
      </w:r>
      <w:r w:rsidR="00994D30">
        <w:t>:</w:t>
      </w:r>
    </w:p>
    <w:p w14:paraId="547917A5" w14:textId="5C6408FA" w:rsidR="000D09CF" w:rsidRDefault="000D09CF" w:rsidP="001C6516">
      <w:pPr>
        <w:pStyle w:val="ListBullet"/>
      </w:pPr>
      <w:r>
        <w:t>Potential benefits</w:t>
      </w:r>
    </w:p>
    <w:p w14:paraId="448D0050" w14:textId="553D4956" w:rsidR="000D09CF" w:rsidRDefault="000D09CF" w:rsidP="001C6516">
      <w:pPr>
        <w:pStyle w:val="ListBullet2"/>
      </w:pPr>
      <w:r>
        <w:t>offers industry greater flexibility and adaptability</w:t>
      </w:r>
    </w:p>
    <w:p w14:paraId="7051E210" w14:textId="6897B001" w:rsidR="000D09CF" w:rsidRDefault="000D09CF" w:rsidP="001C6516">
      <w:pPr>
        <w:pStyle w:val="ListBullet2"/>
      </w:pPr>
      <w:r>
        <w:t>potentially lower compliance and administrative costs</w:t>
      </w:r>
    </w:p>
    <w:p w14:paraId="105A7A53" w14:textId="4E18100A" w:rsidR="000D09CF" w:rsidRDefault="000D09CF" w:rsidP="001C6516">
      <w:pPr>
        <w:pStyle w:val="ListBullet2"/>
      </w:pPr>
      <w:r>
        <w:t>ability to harness industry knowledge and expertise to address industry-specific and consumer issues directly</w:t>
      </w:r>
    </w:p>
    <w:p w14:paraId="7A137507" w14:textId="139C2B83" w:rsidR="000D09CF" w:rsidRDefault="000D09CF" w:rsidP="001C6516">
      <w:pPr>
        <w:pStyle w:val="ListBullet2"/>
      </w:pPr>
      <w:r>
        <w:t>offers participating industries competitive advantage, such as access to certain segments of the market</w:t>
      </w:r>
    </w:p>
    <w:p w14:paraId="577D7432" w14:textId="0CA5D55D" w:rsidR="000D09CF" w:rsidRDefault="000D09CF" w:rsidP="001C6516">
      <w:pPr>
        <w:pStyle w:val="ListBullet2"/>
      </w:pPr>
      <w:r>
        <w:t>encourages the uptake of alternative technology that can be substituted for a NRDE product</w:t>
      </w:r>
    </w:p>
    <w:p w14:paraId="02DF7650" w14:textId="2F9F0DAF" w:rsidR="000D09CF" w:rsidRDefault="000D09CF" w:rsidP="001C6516">
      <w:pPr>
        <w:pStyle w:val="ListBullet2"/>
      </w:pPr>
      <w:r>
        <w:t>uptake of cleaner engines resulting in reduced emissions and greater health benefits.</w:t>
      </w:r>
    </w:p>
    <w:p w14:paraId="51CA8DDD" w14:textId="48EB4C8F" w:rsidR="000D09CF" w:rsidRDefault="000D09CF" w:rsidP="001C6516">
      <w:pPr>
        <w:pStyle w:val="ListBullet"/>
      </w:pPr>
      <w:r>
        <w:t>Potential drawbacks</w:t>
      </w:r>
    </w:p>
    <w:p w14:paraId="62B136F8" w14:textId="38E6CF59" w:rsidR="000D09CF" w:rsidRDefault="000D09CF" w:rsidP="001C6516">
      <w:pPr>
        <w:pStyle w:val="ListBullet2"/>
      </w:pPr>
      <w:r>
        <w:t>the possibility of raising barriers to entry within an industry</w:t>
      </w:r>
    </w:p>
    <w:p w14:paraId="4396B736" w14:textId="5C1E5C84" w:rsidR="000D09CF" w:rsidRDefault="000D09CF" w:rsidP="001C6516">
      <w:pPr>
        <w:pStyle w:val="ListBullet2"/>
      </w:pPr>
      <w:r>
        <w:t>unintended monopoly power gained by participants that could restrict competition</w:t>
      </w:r>
    </w:p>
    <w:p w14:paraId="66C0C6CC" w14:textId="4744A3EC" w:rsidR="000D09CF" w:rsidRDefault="000D09CF" w:rsidP="001C6516">
      <w:pPr>
        <w:pStyle w:val="ListBullet2"/>
      </w:pPr>
      <w:r>
        <w:t>danger of regulatory capture where rather than acting in the interests of reducing the impacts of NRDE emissions the scenario has the potential to act in the interests of some or all NRDE suppliers or consumers.</w:t>
      </w:r>
    </w:p>
    <w:p w14:paraId="2F516C8D" w14:textId="15A0FDE4" w:rsidR="00DA655A" w:rsidRDefault="00DA655A" w:rsidP="00DA655A">
      <w:pPr>
        <w:pStyle w:val="Heading5"/>
      </w:pPr>
      <w:r w:rsidRPr="00DA655A">
        <w:t>Consultation questions</w:t>
      </w:r>
    </w:p>
    <w:p w14:paraId="5C38DB16" w14:textId="5A52C4B9" w:rsidR="000E018C" w:rsidRDefault="003247F9" w:rsidP="000E018C">
      <w:r>
        <w:fldChar w:fldCharType="begin"/>
      </w:r>
      <w:r>
        <w:instrText xml:space="preserve"> REF _Ref63873333 \h </w:instrText>
      </w:r>
      <w:r>
        <w:fldChar w:fldCharType="separate"/>
      </w:r>
      <w:r>
        <w:t xml:space="preserve">Box </w:t>
      </w:r>
      <w:r>
        <w:rPr>
          <w:noProof/>
        </w:rPr>
        <w:t>6</w:t>
      </w:r>
      <w:r>
        <w:fldChar w:fldCharType="end"/>
      </w:r>
      <w:r w:rsidR="00891446">
        <w:t xml:space="preserve"> shows </w:t>
      </w:r>
      <w:r w:rsidR="00891446" w:rsidRPr="009872FC">
        <w:t>questions</w:t>
      </w:r>
      <w:r w:rsidR="00891446" w:rsidRPr="00C23AEF">
        <w:t xml:space="preserve"> regarding </w:t>
      </w:r>
      <w:r w:rsidR="00891446">
        <w:t>s</w:t>
      </w:r>
      <w:r w:rsidR="00891446" w:rsidRPr="00C23AEF">
        <w:t>cenario 1</w:t>
      </w:r>
      <w:r w:rsidR="00891446">
        <w:t>.</w:t>
      </w:r>
    </w:p>
    <w:p w14:paraId="75725B7C" w14:textId="77777777" w:rsidR="003247F9" w:rsidRDefault="003247F9">
      <w:pPr>
        <w:spacing w:after="0" w:line="240" w:lineRule="auto"/>
        <w:rPr>
          <w:rFonts w:ascii="Calibri" w:hAnsi="Calibri"/>
          <w:b/>
          <w:bCs/>
          <w:sz w:val="24"/>
          <w:szCs w:val="18"/>
        </w:rPr>
      </w:pPr>
      <w:bookmarkStart w:id="63" w:name="_Ref63326185"/>
      <w:r>
        <w:br w:type="page"/>
      </w:r>
    </w:p>
    <w:p w14:paraId="20E6279C" w14:textId="093C9D7C" w:rsidR="00C81473" w:rsidRPr="000E018C" w:rsidRDefault="00C81473" w:rsidP="00C81473">
      <w:pPr>
        <w:pStyle w:val="Caption"/>
      </w:pPr>
      <w:bookmarkStart w:id="64" w:name="_Ref63873333"/>
      <w:bookmarkStart w:id="65" w:name="_Toc63874284"/>
      <w:r>
        <w:lastRenderedPageBreak/>
        <w:t xml:space="preserve">Box </w:t>
      </w:r>
      <w:r w:rsidR="00126C54">
        <w:rPr>
          <w:noProof/>
        </w:rPr>
        <w:fldChar w:fldCharType="begin"/>
      </w:r>
      <w:r w:rsidR="00126C54">
        <w:rPr>
          <w:noProof/>
        </w:rPr>
        <w:instrText xml:space="preserve"> SEQ Box \* ARABIC </w:instrText>
      </w:r>
      <w:r w:rsidR="00126C54">
        <w:rPr>
          <w:noProof/>
        </w:rPr>
        <w:fldChar w:fldCharType="separate"/>
      </w:r>
      <w:r w:rsidR="005616AA">
        <w:rPr>
          <w:noProof/>
        </w:rPr>
        <w:t>6</w:t>
      </w:r>
      <w:r w:rsidR="00126C54">
        <w:rPr>
          <w:noProof/>
        </w:rPr>
        <w:fldChar w:fldCharType="end"/>
      </w:r>
      <w:bookmarkEnd w:id="63"/>
      <w:bookmarkEnd w:id="64"/>
      <w:r>
        <w:t xml:space="preserve"> </w:t>
      </w:r>
      <w:r w:rsidRPr="00C81473">
        <w:t xml:space="preserve">Questions </w:t>
      </w:r>
      <w:r w:rsidRPr="00C23AEF">
        <w:t xml:space="preserve">regarding </w:t>
      </w:r>
      <w:r>
        <w:t>s</w:t>
      </w:r>
      <w:r w:rsidRPr="00C23AEF">
        <w:t>cenario 1</w:t>
      </w:r>
      <w:bookmarkEnd w:id="65"/>
    </w:p>
    <w:p w14:paraId="07432901" w14:textId="707D5F3C" w:rsidR="00F906D8" w:rsidRPr="00420511" w:rsidRDefault="00F906D8" w:rsidP="00420511">
      <w:pPr>
        <w:pStyle w:val="BoxHeading"/>
        <w:rPr>
          <w:rStyle w:val="Strong"/>
          <w:b/>
          <w:bCs w:val="0"/>
        </w:rPr>
      </w:pPr>
      <w:r w:rsidRPr="00420511">
        <w:rPr>
          <w:rStyle w:val="Strong"/>
          <w:b/>
          <w:bCs w:val="0"/>
        </w:rPr>
        <w:t>General questions</w:t>
      </w:r>
    </w:p>
    <w:p w14:paraId="3688D2EC" w14:textId="24C0EE06" w:rsidR="00F906D8" w:rsidRDefault="00420511" w:rsidP="00F906D8">
      <w:pPr>
        <w:pStyle w:val="BoxText"/>
      </w:pPr>
      <w:r>
        <w:t xml:space="preserve">9) </w:t>
      </w:r>
      <w:r w:rsidR="00F906D8">
        <w:t xml:space="preserve">Do you prefer </w:t>
      </w:r>
      <w:r w:rsidR="001A1AD9">
        <w:t>o</w:t>
      </w:r>
      <w:r w:rsidR="00F906D8">
        <w:t xml:space="preserve">ption A or </w:t>
      </w:r>
      <w:r w:rsidR="001A1AD9">
        <w:t>o</w:t>
      </w:r>
      <w:r w:rsidR="00F906D8">
        <w:t>ption B and why?</w:t>
      </w:r>
    </w:p>
    <w:p w14:paraId="3A106D1E" w14:textId="313F2CFF" w:rsidR="00F906D8" w:rsidRDefault="00420511" w:rsidP="00F906D8">
      <w:pPr>
        <w:pStyle w:val="BoxText"/>
      </w:pPr>
      <w:r>
        <w:t xml:space="preserve">10) </w:t>
      </w:r>
      <w:r w:rsidR="00F906D8">
        <w:t>Do you think labelling would be an important feature for any voluntary approach? If so why?</w:t>
      </w:r>
    </w:p>
    <w:p w14:paraId="2336F962" w14:textId="3817C3EE" w:rsidR="00F906D8" w:rsidRDefault="00420511" w:rsidP="00F906D8">
      <w:pPr>
        <w:pStyle w:val="BoxText"/>
      </w:pPr>
      <w:r>
        <w:t xml:space="preserve">11) </w:t>
      </w:r>
      <w:r w:rsidR="00F906D8">
        <w:t xml:space="preserve">Can you suggest a better way for industry to manage NRDE emission rather than those suggested in </w:t>
      </w:r>
      <w:r w:rsidR="0067409F">
        <w:t>o</w:t>
      </w:r>
      <w:r w:rsidR="00F906D8">
        <w:t xml:space="preserve">ption A and B? If so, please provide as much detail as possible about scope, timing and roles for </w:t>
      </w:r>
      <w:r w:rsidR="0067409F">
        <w:t>g</w:t>
      </w:r>
      <w:r w:rsidR="00F906D8">
        <w:t xml:space="preserve">overnment, </w:t>
      </w:r>
      <w:proofErr w:type="gramStart"/>
      <w:r w:rsidR="00F906D8">
        <w:t>suppliers</w:t>
      </w:r>
      <w:proofErr w:type="gramEnd"/>
      <w:r w:rsidR="00F906D8">
        <w:t xml:space="preserve"> and consumers.</w:t>
      </w:r>
    </w:p>
    <w:p w14:paraId="0F09E425" w14:textId="77777777" w:rsidR="00F906D8" w:rsidRPr="00E51D78" w:rsidRDefault="00F906D8" w:rsidP="00E51D78">
      <w:pPr>
        <w:pStyle w:val="BoxHeading"/>
      </w:pPr>
      <w:r w:rsidRPr="00E51D78">
        <w:t>Option A</w:t>
      </w:r>
    </w:p>
    <w:p w14:paraId="0982141F" w14:textId="5A8AB339" w:rsidR="00F906D8" w:rsidRDefault="00E51D78" w:rsidP="00F906D8">
      <w:pPr>
        <w:pStyle w:val="BoxText"/>
      </w:pPr>
      <w:r>
        <w:t xml:space="preserve">12) </w:t>
      </w:r>
      <w:r w:rsidR="00F906D8">
        <w:t>We have suggested a 50% target. Is this percentage a reasonable balance between emission reductions and flexibility? If no, what percentage offers that balance and why?</w:t>
      </w:r>
    </w:p>
    <w:p w14:paraId="5E4A90F9" w14:textId="257119B6" w:rsidR="00F906D8" w:rsidRDefault="00E51D78" w:rsidP="00F906D8">
      <w:pPr>
        <w:pStyle w:val="BoxText"/>
      </w:pPr>
      <w:r>
        <w:t xml:space="preserve">13) </w:t>
      </w:r>
      <w:r w:rsidR="00F906D8">
        <w:t>Is there another way to ensure that emissions reductions are occurring in populated areas other than the industry grouping approach?</w:t>
      </w:r>
    </w:p>
    <w:p w14:paraId="6DA884A2" w14:textId="27928C7F" w:rsidR="00F906D8" w:rsidRDefault="00E51D78" w:rsidP="00F906D8">
      <w:pPr>
        <w:pStyle w:val="BoxText"/>
      </w:pPr>
      <w:r>
        <w:t xml:space="preserve">14) </w:t>
      </w:r>
      <w:r w:rsidR="00F906D8">
        <w:t>Is it practical to commence this scenario within two (2) years after any hypothetical decision to introduce this management option? If no what is an appropriate date to commence this scenario and why?</w:t>
      </w:r>
    </w:p>
    <w:p w14:paraId="74F5356E" w14:textId="0A56A9FC" w:rsidR="00F906D8" w:rsidRDefault="00E51D78" w:rsidP="00F906D8">
      <w:pPr>
        <w:pStyle w:val="BoxText"/>
      </w:pPr>
      <w:r>
        <w:t xml:space="preserve">15) </w:t>
      </w:r>
      <w:r w:rsidR="00F906D8">
        <w:t>Are there other possible benefits or drawbacks?</w:t>
      </w:r>
    </w:p>
    <w:p w14:paraId="7E0FC374" w14:textId="77777777" w:rsidR="00F906D8" w:rsidRPr="00E51D78" w:rsidRDefault="00F906D8" w:rsidP="00E51D78">
      <w:pPr>
        <w:pStyle w:val="BoxHeading"/>
      </w:pPr>
      <w:r w:rsidRPr="00E51D78">
        <w:t>Option B</w:t>
      </w:r>
    </w:p>
    <w:p w14:paraId="3DCA3B24" w14:textId="66D235BE" w:rsidR="00F906D8" w:rsidRDefault="00E51D78" w:rsidP="00F906D8">
      <w:pPr>
        <w:pStyle w:val="BoxText"/>
      </w:pPr>
      <w:r>
        <w:t xml:space="preserve">16) </w:t>
      </w:r>
      <w:r w:rsidR="00F906D8">
        <w:t>We have suggested a 50% target. Is this percentage a reasonable balance between emission reductions and flexibility? If no, what percentage offers that balance and why?</w:t>
      </w:r>
    </w:p>
    <w:p w14:paraId="124BB39D" w14:textId="758535F9" w:rsidR="00F906D8" w:rsidRDefault="00E51D78" w:rsidP="00F906D8">
      <w:pPr>
        <w:pStyle w:val="BoxText"/>
      </w:pPr>
      <w:r>
        <w:t xml:space="preserve">17) </w:t>
      </w:r>
      <w:r w:rsidR="00F906D8">
        <w:t xml:space="preserve">Is there a better power threshold to use (than 37KW) to move from </w:t>
      </w:r>
      <w:r w:rsidR="0067409F">
        <w:t>t</w:t>
      </w:r>
      <w:r w:rsidR="00F906D8">
        <w:t xml:space="preserve">ier 3 to </w:t>
      </w:r>
      <w:r w:rsidR="0067409F">
        <w:t>t</w:t>
      </w:r>
      <w:r w:rsidR="00F906D8">
        <w:t>ier 4f technology which ensures that emissions reductions are occurring in populated areas? If yes, please provide an alternative power threshold and why?</w:t>
      </w:r>
    </w:p>
    <w:p w14:paraId="7D365836" w14:textId="402DF03C" w:rsidR="00F906D8" w:rsidRDefault="00E51D78" w:rsidP="00F906D8">
      <w:pPr>
        <w:pStyle w:val="BoxText"/>
      </w:pPr>
      <w:r>
        <w:t xml:space="preserve">18) </w:t>
      </w:r>
      <w:r w:rsidR="00F906D8">
        <w:t>Is it practical to commence this scenario within 2 years after any hypothetical decision to introduce this management option? If no what is an appropriate date to commence this scenario and why?</w:t>
      </w:r>
    </w:p>
    <w:p w14:paraId="78CE5C1F" w14:textId="4DBED345" w:rsidR="00C23AEF" w:rsidRDefault="00E51D78" w:rsidP="00F906D8">
      <w:pPr>
        <w:pStyle w:val="BoxText"/>
        <w:rPr>
          <w:rStyle w:val="Strong"/>
        </w:rPr>
      </w:pPr>
      <w:r>
        <w:t xml:space="preserve">19) </w:t>
      </w:r>
      <w:r w:rsidR="00F906D8">
        <w:t>Are there other possible benefits or drawbacks?</w:t>
      </w:r>
    </w:p>
    <w:p w14:paraId="7020B349" w14:textId="5BE1331A" w:rsidR="00BE3FD0" w:rsidRDefault="00BE3FD0" w:rsidP="00BE3FD0">
      <w:pPr>
        <w:pStyle w:val="Heading4"/>
      </w:pPr>
      <w:r w:rsidRPr="00BE3FD0">
        <w:t xml:space="preserve">Scenario 2 – </w:t>
      </w:r>
      <w:r>
        <w:t>p</w:t>
      </w:r>
      <w:r w:rsidRPr="00BE3FD0">
        <w:t>hased introduction of standards</w:t>
      </w:r>
    </w:p>
    <w:p w14:paraId="697265FA" w14:textId="1DCCD66C" w:rsidR="00235299" w:rsidRPr="00E51D78" w:rsidRDefault="00235299" w:rsidP="00E51D78">
      <w:r w:rsidRPr="00E51D78">
        <w:t xml:space="preserve">Non-road diesel engines introduced into Australia are required to meet emission standards. Commonwealth regulation would require imported and manufactured NRDE to align with lower emission standards (equivalent to </w:t>
      </w:r>
      <w:r w:rsidR="008E29E7" w:rsidRPr="00E51D78">
        <w:t>t</w:t>
      </w:r>
      <w:r w:rsidRPr="00E51D78">
        <w:t>ier 3) as soon as practicable, followed by a required transition to international best practice standards.</w:t>
      </w:r>
    </w:p>
    <w:p w14:paraId="6EF78F44" w14:textId="40244F49" w:rsidR="008E29E7" w:rsidRDefault="008E29E7" w:rsidP="008E29E7">
      <w:r>
        <w:t xml:space="preserve">This scenario examines a management option that fits between scenarios </w:t>
      </w:r>
      <w:r w:rsidR="00D0384C">
        <w:t>1</w:t>
      </w:r>
      <w:r>
        <w:t xml:space="preserve"> and </w:t>
      </w:r>
      <w:r w:rsidR="00D0384C">
        <w:t>3</w:t>
      </w:r>
      <w:r>
        <w:t xml:space="preserve"> in terms of both emissions’ reduction and probable costs. This scenario aims to:</w:t>
      </w:r>
    </w:p>
    <w:p w14:paraId="2A401692" w14:textId="28CB8103" w:rsidR="008E29E7" w:rsidRDefault="008E29E7" w:rsidP="008E29E7">
      <w:pPr>
        <w:pStyle w:val="ListBullet"/>
      </w:pPr>
      <w:r>
        <w:t xml:space="preserve">introduce a minimum emission standard to imported and manufactured NRDE products as soon as practical using technology that cost less than </w:t>
      </w:r>
      <w:r w:rsidR="00AF0218">
        <w:t>t</w:t>
      </w:r>
      <w:r>
        <w:t>ier 4</w:t>
      </w:r>
    </w:p>
    <w:p w14:paraId="77AEA40C" w14:textId="16746543" w:rsidR="008E29E7" w:rsidRDefault="008E29E7" w:rsidP="008E29E7">
      <w:pPr>
        <w:pStyle w:val="ListBullet"/>
      </w:pPr>
      <w:r>
        <w:t xml:space="preserve">provide a transition period where consumers can purchase imported and manufactured NRDE products that can be maintained or repaired without specialist personnel or software that is required for </w:t>
      </w:r>
      <w:r w:rsidR="00CF3A09">
        <w:t>t</w:t>
      </w:r>
      <w:r>
        <w:t>ier 4 equipment</w:t>
      </w:r>
    </w:p>
    <w:p w14:paraId="161057A0" w14:textId="644AFE35" w:rsidR="008E29E7" w:rsidRDefault="008E29E7" w:rsidP="008E29E7">
      <w:pPr>
        <w:pStyle w:val="ListBullet"/>
      </w:pPr>
      <w:r>
        <w:t>phase to international best practice NRDE emission standards after an adjustment period.</w:t>
      </w:r>
    </w:p>
    <w:p w14:paraId="3997F52E" w14:textId="06EE9D40" w:rsidR="00AA5D56" w:rsidRDefault="00AA5D56" w:rsidP="00242BB0">
      <w:pPr>
        <w:pStyle w:val="Heading5"/>
      </w:pPr>
      <w:r>
        <w:lastRenderedPageBreak/>
        <w:t>Features</w:t>
      </w:r>
    </w:p>
    <w:p w14:paraId="15A5C027" w14:textId="7D3B325D" w:rsidR="00AA5D56" w:rsidRDefault="00AA5D56" w:rsidP="00AA5D56">
      <w:r>
        <w:t xml:space="preserve">Under </w:t>
      </w:r>
      <w:r w:rsidR="00242BB0">
        <w:t>s</w:t>
      </w:r>
      <w:r>
        <w:t>cenario 2, the introduction of NRDE emission standards would be regulated by the Commonwealth. All within-scope NRDE first introduced into Australia would be required to meet the standards specified in the regulation.</w:t>
      </w:r>
    </w:p>
    <w:p w14:paraId="12C954DD" w14:textId="3076549F" w:rsidR="00AA5D56" w:rsidRDefault="00AA5D56" w:rsidP="007C4D96">
      <w:pPr>
        <w:pStyle w:val="ListBullet"/>
      </w:pPr>
      <w:r>
        <w:t xml:space="preserve">Phase </w:t>
      </w:r>
      <w:r w:rsidR="00C96340">
        <w:t>1</w:t>
      </w:r>
      <w:r>
        <w:t xml:space="preserve"> would see an introduction of less stringent standards followed </w:t>
      </w:r>
      <w:r w:rsidR="00C96340">
        <w:t>3</w:t>
      </w:r>
      <w:r>
        <w:t xml:space="preserve"> years later by phase </w:t>
      </w:r>
      <w:r w:rsidR="00C96340">
        <w:t>2</w:t>
      </w:r>
      <w:r>
        <w:t xml:space="preserve"> applying best practice international standards</w:t>
      </w:r>
      <w:r w:rsidR="002C0D16">
        <w:t>:</w:t>
      </w:r>
    </w:p>
    <w:p w14:paraId="50C95AB5" w14:textId="5044F200" w:rsidR="00AA5D56" w:rsidRDefault="00AA5D56" w:rsidP="007C4D96">
      <w:pPr>
        <w:pStyle w:val="ListBullet2"/>
      </w:pPr>
      <w:r>
        <w:t>Phase 1 implementation would commence 2 years after any hypothetical decision to introduce this management option</w:t>
      </w:r>
    </w:p>
    <w:p w14:paraId="57A9A2FA" w14:textId="1B0FAE9F" w:rsidR="00AA5D56" w:rsidRDefault="00AA5D56" w:rsidP="007C4D96">
      <w:pPr>
        <w:pStyle w:val="ListBullet2"/>
      </w:pPr>
      <w:r>
        <w:t>Phase 2 implementation would commence 5 years after any hypothetical decision to introduce this management option.</w:t>
      </w:r>
    </w:p>
    <w:p w14:paraId="21DE26C4" w14:textId="08A35967" w:rsidR="00AA5D56" w:rsidRDefault="00AA5D56" w:rsidP="007C4D96">
      <w:pPr>
        <w:pStyle w:val="ListBullet"/>
      </w:pPr>
      <w:r>
        <w:t xml:space="preserve">For both phases, the standards apply to import and manufacture first. Then </w:t>
      </w:r>
      <w:r w:rsidR="00C96340">
        <w:t>1</w:t>
      </w:r>
      <w:r>
        <w:t xml:space="preserve"> year after the import and manufacture restrictions, supply restrictions would apply.</w:t>
      </w:r>
    </w:p>
    <w:p w14:paraId="2C071B49" w14:textId="7BFBB929" w:rsidR="00AA5D56" w:rsidRDefault="00AA5D56" w:rsidP="00AA5D56">
      <w:r>
        <w:t xml:space="preserve">Scenario 2 features for industry consideration are shown in </w:t>
      </w:r>
      <w:r w:rsidR="00DA4A5C">
        <w:fldChar w:fldCharType="begin"/>
      </w:r>
      <w:r w:rsidR="00DA4A5C">
        <w:instrText xml:space="preserve"> REF _Ref63326747 \h </w:instrText>
      </w:r>
      <w:r w:rsidR="00DA4A5C">
        <w:fldChar w:fldCharType="separate"/>
      </w:r>
      <w:r w:rsidR="00DA4A5C">
        <w:t xml:space="preserve">Table </w:t>
      </w:r>
      <w:r w:rsidR="00DA4A5C">
        <w:rPr>
          <w:noProof/>
        </w:rPr>
        <w:t>4</w:t>
      </w:r>
      <w:r w:rsidR="00DA4A5C">
        <w:fldChar w:fldCharType="end"/>
      </w:r>
      <w:r>
        <w:t>.</w:t>
      </w:r>
    </w:p>
    <w:p w14:paraId="5D806B0D" w14:textId="39438A81" w:rsidR="00C87DD3" w:rsidRDefault="00DA4A5C" w:rsidP="00DA4A5C">
      <w:pPr>
        <w:pStyle w:val="Caption"/>
      </w:pPr>
      <w:bookmarkStart w:id="66" w:name="_Ref63326747"/>
      <w:bookmarkStart w:id="67" w:name="_Toc63696011"/>
      <w:r>
        <w:t xml:space="preserve">Table </w:t>
      </w:r>
      <w:r w:rsidR="00126C54">
        <w:rPr>
          <w:noProof/>
        </w:rPr>
        <w:fldChar w:fldCharType="begin"/>
      </w:r>
      <w:r w:rsidR="00126C54">
        <w:rPr>
          <w:noProof/>
        </w:rPr>
        <w:instrText xml:space="preserve"> SEQ Table \* ARABIC </w:instrText>
      </w:r>
      <w:r w:rsidR="00126C54">
        <w:rPr>
          <w:noProof/>
        </w:rPr>
        <w:fldChar w:fldCharType="separate"/>
      </w:r>
      <w:r w:rsidR="00664F36">
        <w:rPr>
          <w:noProof/>
        </w:rPr>
        <w:t>4</w:t>
      </w:r>
      <w:r w:rsidR="00126C54">
        <w:rPr>
          <w:noProof/>
        </w:rPr>
        <w:fldChar w:fldCharType="end"/>
      </w:r>
      <w:bookmarkEnd w:id="66"/>
      <w:r>
        <w:t xml:space="preserve"> </w:t>
      </w:r>
      <w:r w:rsidRPr="00DA4A5C">
        <w:t>Scenario 2</w:t>
      </w:r>
      <w:r w:rsidRPr="00C87DD3">
        <w:t xml:space="preserve"> features and options for industry consideration</w:t>
      </w:r>
      <w:bookmarkEnd w:id="67"/>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8"/>
        <w:gridCol w:w="3401"/>
        <w:gridCol w:w="3541"/>
      </w:tblGrid>
      <w:tr w:rsidR="0042501E" w14:paraId="01CFAEA0" w14:textId="77777777" w:rsidTr="0066596A">
        <w:trPr>
          <w:cantSplit/>
          <w:tblHeader/>
        </w:trPr>
        <w:tc>
          <w:tcPr>
            <w:tcW w:w="1173" w:type="pct"/>
          </w:tcPr>
          <w:p w14:paraId="4D60D8E0" w14:textId="4D768677" w:rsidR="0042501E" w:rsidRDefault="00896B85" w:rsidP="001F06BD">
            <w:pPr>
              <w:pStyle w:val="TableHeading"/>
            </w:pPr>
            <w:r>
              <w:t>Restriction type</w:t>
            </w:r>
          </w:p>
        </w:tc>
        <w:tc>
          <w:tcPr>
            <w:tcW w:w="1875" w:type="pct"/>
          </w:tcPr>
          <w:p w14:paraId="176CE850" w14:textId="73643FB3" w:rsidR="0042501E" w:rsidRDefault="00B038E4" w:rsidP="001F06BD">
            <w:pPr>
              <w:pStyle w:val="TableHeading"/>
            </w:pPr>
            <w:r>
              <w:t>Phase</w:t>
            </w:r>
            <w:r w:rsidR="00DA4A5C">
              <w:t xml:space="preserve"> </w:t>
            </w:r>
            <w:r>
              <w:t>1</w:t>
            </w:r>
          </w:p>
        </w:tc>
        <w:tc>
          <w:tcPr>
            <w:tcW w:w="1952" w:type="pct"/>
          </w:tcPr>
          <w:p w14:paraId="4818FDDC" w14:textId="7F850243" w:rsidR="0042501E" w:rsidRDefault="00B038E4" w:rsidP="001F06BD">
            <w:pPr>
              <w:pStyle w:val="TableHeading"/>
            </w:pPr>
            <w:r>
              <w:t>Phase</w:t>
            </w:r>
            <w:r w:rsidR="00DA4A5C">
              <w:t xml:space="preserve"> </w:t>
            </w:r>
            <w:r>
              <w:t>2</w:t>
            </w:r>
          </w:p>
        </w:tc>
      </w:tr>
      <w:tr w:rsidR="0042501E" w14:paraId="029A6B7F" w14:textId="77777777" w:rsidTr="0066596A">
        <w:tc>
          <w:tcPr>
            <w:tcW w:w="1173" w:type="pct"/>
          </w:tcPr>
          <w:p w14:paraId="176AF177" w14:textId="19F02B29" w:rsidR="0042501E" w:rsidRPr="0023434A" w:rsidRDefault="00AD1738" w:rsidP="001F06BD">
            <w:pPr>
              <w:pStyle w:val="TableText"/>
              <w:rPr>
                <w:rStyle w:val="Strong"/>
              </w:rPr>
            </w:pPr>
            <w:r w:rsidRPr="0023434A">
              <w:rPr>
                <w:rStyle w:val="Strong"/>
              </w:rPr>
              <w:t>Import and manufacture restrictions</w:t>
            </w:r>
          </w:p>
        </w:tc>
        <w:tc>
          <w:tcPr>
            <w:tcW w:w="1875" w:type="pct"/>
          </w:tcPr>
          <w:p w14:paraId="7CBE24B1" w14:textId="49BFD58B" w:rsidR="0042501E" w:rsidRDefault="003907F1" w:rsidP="001F06BD">
            <w:pPr>
              <w:pStyle w:val="TableText"/>
            </w:pPr>
            <w:r w:rsidRPr="00333DFE">
              <w:t xml:space="preserve">Decision + 2 years – </w:t>
            </w:r>
            <w:r w:rsidR="00E9021F" w:rsidRPr="00333DFE">
              <w:t>t</w:t>
            </w:r>
            <w:r w:rsidRPr="00333DFE">
              <w:t>ier 3</w:t>
            </w:r>
            <w:r w:rsidR="001B0ED9" w:rsidRPr="00333DFE">
              <w:t xml:space="preserve"> </w:t>
            </w:r>
            <w:r w:rsidR="001B0ED9" w:rsidRPr="00D60AA0">
              <w:rPr>
                <w:rStyle w:val="Strong"/>
              </w:rPr>
              <w:t>a</w:t>
            </w:r>
            <w:r w:rsidRPr="00333DFE">
              <w:t xml:space="preserve"> </w:t>
            </w:r>
            <w:proofErr w:type="gramStart"/>
            <w:r w:rsidRPr="00333DFE">
              <w:t>standards</w:t>
            </w:r>
            <w:r w:rsidRPr="0023434A">
              <w:rPr>
                <w:rStyle w:val="Strong"/>
              </w:rPr>
              <w:t xml:space="preserve"> </w:t>
            </w:r>
            <w:r w:rsidRPr="003907F1">
              <w:t>(or equivalent)</w:t>
            </w:r>
            <w:proofErr w:type="gramEnd"/>
            <w:r w:rsidRPr="003907F1">
              <w:t xml:space="preserve"> apply to the import or manufacture of NRDE introduced into Australia for the first time</w:t>
            </w:r>
          </w:p>
        </w:tc>
        <w:tc>
          <w:tcPr>
            <w:tcW w:w="1952" w:type="pct"/>
          </w:tcPr>
          <w:p w14:paraId="25928F91" w14:textId="5EC0246D" w:rsidR="0042501E" w:rsidRDefault="00477296" w:rsidP="001F06BD">
            <w:pPr>
              <w:pStyle w:val="TableText"/>
            </w:pPr>
            <w:r w:rsidRPr="00333DFE">
              <w:t xml:space="preserve">Decision + 5 years – </w:t>
            </w:r>
            <w:r w:rsidR="003448CE" w:rsidRPr="00333DFE">
              <w:t>c</w:t>
            </w:r>
            <w:r w:rsidRPr="00333DFE">
              <w:t>urrent international standards (</w:t>
            </w:r>
            <w:r w:rsidR="003448CE">
              <w:t>t</w:t>
            </w:r>
            <w:r w:rsidRPr="00477296">
              <w:t>ier 4 final) apply to the import or manufacture of NRDE introduced into Australia for the first time</w:t>
            </w:r>
          </w:p>
        </w:tc>
      </w:tr>
      <w:tr w:rsidR="0042501E" w14:paraId="53FAE1C1" w14:textId="77777777" w:rsidTr="0066596A">
        <w:tc>
          <w:tcPr>
            <w:tcW w:w="1173" w:type="pct"/>
          </w:tcPr>
          <w:p w14:paraId="791A94FD" w14:textId="032B2A5F" w:rsidR="0042501E" w:rsidRPr="0023434A" w:rsidRDefault="00615577" w:rsidP="001F06BD">
            <w:pPr>
              <w:pStyle w:val="TableText"/>
              <w:rPr>
                <w:rStyle w:val="Strong"/>
              </w:rPr>
            </w:pPr>
            <w:r w:rsidRPr="0023434A">
              <w:rPr>
                <w:rStyle w:val="Strong"/>
              </w:rPr>
              <w:t>Supply restrictions</w:t>
            </w:r>
          </w:p>
        </w:tc>
        <w:tc>
          <w:tcPr>
            <w:tcW w:w="1875" w:type="pct"/>
          </w:tcPr>
          <w:p w14:paraId="0BD2B46A" w14:textId="4836B398" w:rsidR="0042501E" w:rsidRDefault="00596029" w:rsidP="001F06BD">
            <w:pPr>
              <w:pStyle w:val="TableText"/>
            </w:pPr>
            <w:r w:rsidRPr="00333DFE">
              <w:t xml:space="preserve">Decision + 3 years – </w:t>
            </w:r>
            <w:r w:rsidR="00434FA9" w:rsidRPr="00333DFE">
              <w:t>t</w:t>
            </w:r>
            <w:r w:rsidRPr="00333DFE">
              <w:t>ier 3</w:t>
            </w:r>
            <w:r w:rsidR="001B0ED9" w:rsidRPr="00333DFE">
              <w:t xml:space="preserve"> a</w:t>
            </w:r>
            <w:r w:rsidRPr="00333DFE">
              <w:t xml:space="preserve"> </w:t>
            </w:r>
            <w:proofErr w:type="gramStart"/>
            <w:r w:rsidRPr="00333DFE">
              <w:t>standards</w:t>
            </w:r>
            <w:proofErr w:type="gramEnd"/>
            <w:r w:rsidRPr="00596029">
              <w:t xml:space="preserve"> apply to the sale of NRDE introduced into Australia for the first time</w:t>
            </w:r>
          </w:p>
        </w:tc>
        <w:tc>
          <w:tcPr>
            <w:tcW w:w="1952" w:type="pct"/>
          </w:tcPr>
          <w:p w14:paraId="2D5FEC59" w14:textId="2A2BBC96" w:rsidR="0042501E" w:rsidRDefault="00A71FB8" w:rsidP="001F06BD">
            <w:pPr>
              <w:pStyle w:val="TableText"/>
            </w:pPr>
            <w:r w:rsidRPr="00333DFE">
              <w:t xml:space="preserve">Decision + 6 years – </w:t>
            </w:r>
            <w:r w:rsidR="003448CE" w:rsidRPr="00333DFE">
              <w:t>c</w:t>
            </w:r>
            <w:r w:rsidRPr="00333DFE">
              <w:t>urrent international standards</w:t>
            </w:r>
            <w:r w:rsidRPr="00A71FB8">
              <w:t xml:space="preserve"> (</w:t>
            </w:r>
            <w:r w:rsidR="003448CE">
              <w:t>t</w:t>
            </w:r>
            <w:r w:rsidRPr="00A71FB8">
              <w:t>ier 4 final) apply to the sale of NRDE introduced into Australia for the first time</w:t>
            </w:r>
          </w:p>
        </w:tc>
      </w:tr>
    </w:tbl>
    <w:p w14:paraId="254A83BB" w14:textId="5A22278B" w:rsidR="00C87DD3" w:rsidRDefault="001B0ED9" w:rsidP="001B0ED9">
      <w:pPr>
        <w:pStyle w:val="FigureTableNoteSource"/>
      </w:pPr>
      <w:proofErr w:type="spellStart"/>
      <w:r w:rsidRPr="001B0ED9">
        <w:rPr>
          <w:rStyle w:val="Strong"/>
        </w:rPr>
        <w:t>a</w:t>
      </w:r>
      <w:proofErr w:type="spellEnd"/>
      <w:r w:rsidR="001F06BD" w:rsidRPr="001F06BD">
        <w:t xml:space="preserve"> </w:t>
      </w:r>
      <w:r w:rsidR="00E82529">
        <w:t>w</w:t>
      </w:r>
      <w:r w:rsidR="001F06BD" w:rsidRPr="001F06BD">
        <w:t xml:space="preserve">here a power band has no </w:t>
      </w:r>
      <w:r w:rsidR="00A527A3">
        <w:t>t</w:t>
      </w:r>
      <w:r w:rsidR="001F06BD" w:rsidRPr="001F06BD">
        <w:t>ier 3 standard the next best available standard applies.</w:t>
      </w:r>
      <w:r w:rsidR="00A67F55">
        <w:t xml:space="preserve"> For example, </w:t>
      </w:r>
      <w:r w:rsidR="001F06BD" w:rsidRPr="001F06BD">
        <w:t xml:space="preserve">US </w:t>
      </w:r>
      <w:r w:rsidR="00A67F55">
        <w:t>t</w:t>
      </w:r>
      <w:r w:rsidR="001F06BD" w:rsidRPr="001F06BD">
        <w:t>ier 2 applies to &lt; 37 kw (&lt; 50) and ≥ 560 kw (hp ≥ 750)</w:t>
      </w:r>
    </w:p>
    <w:p w14:paraId="2D29160D" w14:textId="46668165" w:rsidR="004A031A" w:rsidRDefault="004A031A" w:rsidP="004A031A">
      <w:pPr>
        <w:pStyle w:val="Heading5"/>
      </w:pPr>
      <w:r>
        <w:t xml:space="preserve">Stakeholder </w:t>
      </w:r>
      <w:r w:rsidR="00F9082F">
        <w:t>r</w:t>
      </w:r>
      <w:r>
        <w:t xml:space="preserve">oles for </w:t>
      </w:r>
      <w:r w:rsidR="005A0070">
        <w:t>s</w:t>
      </w:r>
      <w:r>
        <w:t>cenario 2</w:t>
      </w:r>
    </w:p>
    <w:p w14:paraId="1CD06A6C" w14:textId="1C5BB06A" w:rsidR="004A031A" w:rsidRDefault="004A031A" w:rsidP="004A031A">
      <w:r>
        <w:t xml:space="preserve">For scenario 2, </w:t>
      </w:r>
      <w:r w:rsidR="007C60F7">
        <w:fldChar w:fldCharType="begin"/>
      </w:r>
      <w:r w:rsidR="007C60F7">
        <w:instrText xml:space="preserve"> REF _Ref63326930 \h </w:instrText>
      </w:r>
      <w:r w:rsidR="007C60F7">
        <w:fldChar w:fldCharType="separate"/>
      </w:r>
      <w:r w:rsidR="007C60F7">
        <w:t xml:space="preserve">Table </w:t>
      </w:r>
      <w:r w:rsidR="007C60F7">
        <w:rPr>
          <w:noProof/>
        </w:rPr>
        <w:t>5</w:t>
      </w:r>
      <w:r w:rsidR="007C60F7">
        <w:fldChar w:fldCharType="end"/>
      </w:r>
      <w:r>
        <w:t xml:space="preserve"> lists the roles for suppliers and consumers of NRDE and </w:t>
      </w:r>
      <w:r w:rsidR="00394026">
        <w:t>g</w:t>
      </w:r>
      <w:r>
        <w:t>overnment.</w:t>
      </w:r>
    </w:p>
    <w:p w14:paraId="705F550B" w14:textId="2B7B3909" w:rsidR="00FA7BF0" w:rsidRDefault="007C60F7" w:rsidP="007C60F7">
      <w:pPr>
        <w:pStyle w:val="Caption"/>
      </w:pPr>
      <w:bookmarkStart w:id="68" w:name="_Ref63326930"/>
      <w:bookmarkStart w:id="69" w:name="_Toc63696012"/>
      <w:r>
        <w:t xml:space="preserve">Table </w:t>
      </w:r>
      <w:r w:rsidR="00126C54">
        <w:rPr>
          <w:noProof/>
        </w:rPr>
        <w:fldChar w:fldCharType="begin"/>
      </w:r>
      <w:r w:rsidR="00126C54">
        <w:rPr>
          <w:noProof/>
        </w:rPr>
        <w:instrText xml:space="preserve"> SEQ Table \* ARABIC </w:instrText>
      </w:r>
      <w:r w:rsidR="00126C54">
        <w:rPr>
          <w:noProof/>
        </w:rPr>
        <w:fldChar w:fldCharType="separate"/>
      </w:r>
      <w:r w:rsidR="00664F36">
        <w:rPr>
          <w:noProof/>
        </w:rPr>
        <w:t>5</w:t>
      </w:r>
      <w:r w:rsidR="00126C54">
        <w:rPr>
          <w:noProof/>
        </w:rPr>
        <w:fldChar w:fldCharType="end"/>
      </w:r>
      <w:bookmarkEnd w:id="68"/>
      <w:r>
        <w:t xml:space="preserve"> </w:t>
      </w:r>
      <w:r w:rsidRPr="00FA7BF0">
        <w:t>Scenario 2 roles for suppliers and consumers of NRDE and Government</w:t>
      </w:r>
      <w:bookmarkEnd w:id="69"/>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4"/>
        <w:gridCol w:w="6946"/>
      </w:tblGrid>
      <w:tr w:rsidR="00511706" w14:paraId="5B12DE1B" w14:textId="77777777" w:rsidTr="00E2788A">
        <w:trPr>
          <w:cantSplit/>
          <w:tblHeader/>
        </w:trPr>
        <w:tc>
          <w:tcPr>
            <w:tcW w:w="1171" w:type="pct"/>
          </w:tcPr>
          <w:p w14:paraId="248CFC0A" w14:textId="77777777" w:rsidR="00511706" w:rsidRDefault="00511706" w:rsidP="00E2788A">
            <w:pPr>
              <w:pStyle w:val="TableHeading"/>
            </w:pPr>
            <w:r>
              <w:t>Participant</w:t>
            </w:r>
          </w:p>
        </w:tc>
        <w:tc>
          <w:tcPr>
            <w:tcW w:w="3829" w:type="pct"/>
          </w:tcPr>
          <w:p w14:paraId="4FADD6B6" w14:textId="77777777" w:rsidR="00511706" w:rsidRDefault="00511706" w:rsidP="00E2788A">
            <w:pPr>
              <w:pStyle w:val="TableHeading"/>
            </w:pPr>
            <w:r>
              <w:t>Role</w:t>
            </w:r>
          </w:p>
        </w:tc>
      </w:tr>
      <w:tr w:rsidR="00511706" w14:paraId="4E7A99DD" w14:textId="77777777" w:rsidTr="00E2788A">
        <w:tc>
          <w:tcPr>
            <w:tcW w:w="1171" w:type="pct"/>
          </w:tcPr>
          <w:p w14:paraId="7DDF916A" w14:textId="77777777" w:rsidR="00511706" w:rsidRDefault="00511706" w:rsidP="00E2788A">
            <w:pPr>
              <w:pStyle w:val="TableText"/>
            </w:pPr>
            <w:r>
              <w:t>Government</w:t>
            </w:r>
          </w:p>
        </w:tc>
        <w:tc>
          <w:tcPr>
            <w:tcW w:w="3829" w:type="pct"/>
          </w:tcPr>
          <w:p w14:paraId="79D4501D" w14:textId="77777777" w:rsidR="000215C8" w:rsidRDefault="000215C8" w:rsidP="000215C8">
            <w:pPr>
              <w:pStyle w:val="TableText"/>
            </w:pPr>
            <w:r>
              <w:t>Administer the NRDE emission standards including the import restrictions for each phase as implemented by the Australian Border Force (Customs) and undertake compliance activities</w:t>
            </w:r>
          </w:p>
          <w:p w14:paraId="61125E9F" w14:textId="77777777" w:rsidR="000215C8" w:rsidRDefault="000215C8" w:rsidP="000215C8">
            <w:pPr>
              <w:pStyle w:val="TableText"/>
            </w:pPr>
            <w:r>
              <w:t>Support the regulated community to understand their obligations under the emission standards</w:t>
            </w:r>
          </w:p>
          <w:p w14:paraId="04DA8706" w14:textId="18C4DDCB" w:rsidR="00511706" w:rsidRDefault="000215C8" w:rsidP="000215C8">
            <w:pPr>
              <w:pStyle w:val="TableText"/>
            </w:pPr>
            <w:r>
              <w:t>Process applications (such as for Australian certification), collect fees and levies, and undertake activities to ensure compliance with the standards</w:t>
            </w:r>
          </w:p>
        </w:tc>
      </w:tr>
      <w:tr w:rsidR="00511706" w14:paraId="1438808C" w14:textId="77777777" w:rsidTr="00E2788A">
        <w:tc>
          <w:tcPr>
            <w:tcW w:w="1171" w:type="pct"/>
          </w:tcPr>
          <w:p w14:paraId="506DA553" w14:textId="77777777" w:rsidR="00511706" w:rsidRDefault="00511706" w:rsidP="00E2788A">
            <w:pPr>
              <w:pStyle w:val="TableText"/>
            </w:pPr>
            <w:r>
              <w:t>Supply sectors</w:t>
            </w:r>
          </w:p>
        </w:tc>
        <w:tc>
          <w:tcPr>
            <w:tcW w:w="3829" w:type="pct"/>
          </w:tcPr>
          <w:p w14:paraId="25B8DD8C" w14:textId="77777777" w:rsidR="00537FC5" w:rsidRDefault="00537FC5" w:rsidP="00537FC5">
            <w:pPr>
              <w:pStyle w:val="TableText"/>
            </w:pPr>
            <w:r>
              <w:t>Undertake education to understand their obligations under the emission standards</w:t>
            </w:r>
          </w:p>
          <w:p w14:paraId="401811C9" w14:textId="77777777" w:rsidR="00537FC5" w:rsidRDefault="00537FC5" w:rsidP="00537FC5">
            <w:pPr>
              <w:pStyle w:val="TableText"/>
            </w:pPr>
            <w:r>
              <w:t>Import/manufacture/supply equipment that complies with the relevant stage of the management option</w:t>
            </w:r>
          </w:p>
          <w:p w14:paraId="766F2242" w14:textId="77777777" w:rsidR="00537FC5" w:rsidRDefault="00537FC5" w:rsidP="00537FC5">
            <w:pPr>
              <w:pStyle w:val="TableText"/>
            </w:pPr>
            <w:r>
              <w:t>Ensure NRDE are labelled in accordance with the emission standard where required</w:t>
            </w:r>
          </w:p>
          <w:p w14:paraId="208240CE" w14:textId="6A761D64" w:rsidR="00537FC5" w:rsidRDefault="00537FC5" w:rsidP="00537FC5">
            <w:pPr>
              <w:pStyle w:val="TableText"/>
            </w:pPr>
            <w:r>
              <w:t xml:space="preserve">Keep the appropriate records and report to </w:t>
            </w:r>
            <w:r w:rsidR="00EF605E">
              <w:t>g</w:t>
            </w:r>
            <w:r>
              <w:t>overnment each financial year</w:t>
            </w:r>
          </w:p>
          <w:p w14:paraId="6B53EFA9" w14:textId="77777777" w:rsidR="00511706" w:rsidRDefault="00537FC5" w:rsidP="00537FC5">
            <w:pPr>
              <w:pStyle w:val="TableText"/>
            </w:pPr>
            <w:r>
              <w:t xml:space="preserve">Pay the </w:t>
            </w:r>
            <w:r w:rsidR="00EF605E">
              <w:t>g</w:t>
            </w:r>
            <w:r>
              <w:t>overnment potential charges imposed on NRDE products to fund the regulatory scheme</w:t>
            </w:r>
          </w:p>
          <w:p w14:paraId="75E442DF" w14:textId="77777777" w:rsidR="00EC065A" w:rsidRDefault="00EC065A" w:rsidP="00537FC5">
            <w:pPr>
              <w:pStyle w:val="TableText"/>
            </w:pPr>
          </w:p>
          <w:p w14:paraId="02D082D9" w14:textId="5E4E1E10" w:rsidR="00EC065A" w:rsidRDefault="00EC065A" w:rsidP="00537FC5">
            <w:pPr>
              <w:pStyle w:val="TableText"/>
            </w:pPr>
          </w:p>
        </w:tc>
      </w:tr>
      <w:tr w:rsidR="00511706" w14:paraId="5B983EBC" w14:textId="77777777" w:rsidTr="00E2788A">
        <w:tc>
          <w:tcPr>
            <w:tcW w:w="1171" w:type="pct"/>
          </w:tcPr>
          <w:p w14:paraId="56A839CD" w14:textId="77777777" w:rsidR="00511706" w:rsidRDefault="00511706" w:rsidP="00E2788A">
            <w:pPr>
              <w:pStyle w:val="TableText"/>
            </w:pPr>
            <w:r>
              <w:lastRenderedPageBreak/>
              <w:t>Consumers</w:t>
            </w:r>
          </w:p>
        </w:tc>
        <w:tc>
          <w:tcPr>
            <w:tcW w:w="3829" w:type="pct"/>
          </w:tcPr>
          <w:p w14:paraId="02881A9F" w14:textId="77777777" w:rsidR="00C570A2" w:rsidRDefault="00C570A2" w:rsidP="00C570A2">
            <w:pPr>
              <w:pStyle w:val="TableText"/>
            </w:pPr>
            <w:r>
              <w:t>Continue to use NRDE you already own. It will not need to be retrofitted to meet the standards and can continue to be used. Replacement engines in NRDE equipment do not need to be to a higher emission standard than applied to the equipment when it was built</w:t>
            </w:r>
          </w:p>
          <w:p w14:paraId="3A71ECE0" w14:textId="77777777" w:rsidR="00C570A2" w:rsidRDefault="00C570A2" w:rsidP="00C570A2">
            <w:pPr>
              <w:pStyle w:val="TableText"/>
            </w:pPr>
            <w:r>
              <w:t xml:space="preserve">Continue to sell, buy, </w:t>
            </w:r>
            <w:proofErr w:type="gramStart"/>
            <w:r>
              <w:t>swap</w:t>
            </w:r>
            <w:proofErr w:type="gramEnd"/>
            <w:r>
              <w:t xml:space="preserve"> or give away used products (providing the used NRDE is not being imported into Australia at a lower emission standard than required by this management option)</w:t>
            </w:r>
          </w:p>
          <w:p w14:paraId="3F99202C" w14:textId="77777777" w:rsidR="00C570A2" w:rsidRDefault="00C570A2" w:rsidP="00C570A2">
            <w:pPr>
              <w:pStyle w:val="TableText"/>
            </w:pPr>
            <w:r>
              <w:t>Before purchasing NRDE equipment that is new to Australia, you can ask the retailer if the product meets the emission standards and ask to see the appropriate emissions label that is required to be fixed to the engine</w:t>
            </w:r>
          </w:p>
          <w:p w14:paraId="35C82DF7" w14:textId="4F8B39D6" w:rsidR="00511706" w:rsidRDefault="00C570A2" w:rsidP="00C570A2">
            <w:pPr>
              <w:pStyle w:val="TableText"/>
            </w:pPr>
            <w:r>
              <w:t xml:space="preserve">Report non-compliance to </w:t>
            </w:r>
            <w:r w:rsidR="00EF605E">
              <w:t>g</w:t>
            </w:r>
            <w:r>
              <w:t>overnment</w:t>
            </w:r>
          </w:p>
        </w:tc>
      </w:tr>
    </w:tbl>
    <w:p w14:paraId="24142C27" w14:textId="02082780" w:rsidR="00AE7AEA" w:rsidRDefault="00AE7AEA" w:rsidP="00FB17BE">
      <w:pPr>
        <w:pStyle w:val="Heading5"/>
        <w:spacing w:before="120"/>
      </w:pPr>
      <w:r>
        <w:t>Benefits and drawbacks</w:t>
      </w:r>
    </w:p>
    <w:p w14:paraId="34EE9714" w14:textId="77777777" w:rsidR="00AE7AEA" w:rsidRDefault="00AE7AEA" w:rsidP="00AE7AEA">
      <w:r>
        <w:t>This approach would have the following potential benefits and drawbacks:</w:t>
      </w:r>
    </w:p>
    <w:p w14:paraId="4026BBF9" w14:textId="296BC379" w:rsidR="00AE7AEA" w:rsidRDefault="00AE7AEA" w:rsidP="005A0070">
      <w:pPr>
        <w:pStyle w:val="ListBullet"/>
      </w:pPr>
      <w:r>
        <w:t>Potential benefits</w:t>
      </w:r>
    </w:p>
    <w:p w14:paraId="290613E7" w14:textId="2F1AAE52" w:rsidR="00AE7AEA" w:rsidRDefault="004F2005" w:rsidP="005A0070">
      <w:pPr>
        <w:pStyle w:val="ListBullet2"/>
      </w:pPr>
      <w:r>
        <w:t>a</w:t>
      </w:r>
      <w:r w:rsidR="00AE7AEA">
        <w:t xml:space="preserve"> phased introduction allows for new solutions to be developed for applications where higher </w:t>
      </w:r>
      <w:r>
        <w:t>t</w:t>
      </w:r>
      <w:r w:rsidR="00AE7AEA">
        <w:t>ier technology is less practical</w:t>
      </w:r>
    </w:p>
    <w:p w14:paraId="69365397" w14:textId="34CBB360" w:rsidR="00AE7AEA" w:rsidRDefault="004F2005" w:rsidP="005A0070">
      <w:pPr>
        <w:pStyle w:val="ListBullet2"/>
      </w:pPr>
      <w:r>
        <w:t>s</w:t>
      </w:r>
      <w:r w:rsidR="00AE7AEA">
        <w:t>taggering the introduction of standards for import and supply at each phase (sales restrictions a year after import restrictions) avoids stockpiles of non-compliant stock in Australia</w:t>
      </w:r>
    </w:p>
    <w:p w14:paraId="6431BD6B" w14:textId="307D7934" w:rsidR="00AE7AEA" w:rsidRDefault="004F2005" w:rsidP="005A0070">
      <w:pPr>
        <w:pStyle w:val="ListBullet2"/>
      </w:pPr>
      <w:r>
        <w:t>e</w:t>
      </w:r>
      <w:r w:rsidR="00AE7AEA">
        <w:t>nsures public health outcomes are improved due to some form of emissions controls applied to all NRDE introduced into Australia for the first time</w:t>
      </w:r>
    </w:p>
    <w:p w14:paraId="633C8B7C" w14:textId="7A6F93EB" w:rsidR="00AE7AEA" w:rsidRDefault="004F2005" w:rsidP="005A0070">
      <w:pPr>
        <w:pStyle w:val="ListBullet2"/>
      </w:pPr>
      <w:r>
        <w:t>t</w:t>
      </w:r>
      <w:r w:rsidR="00AE7AEA">
        <w:t>he NRDE supply sector no longer needs to have distinct manufacturing and training processes required when producing equipment with multiple emissions technologies</w:t>
      </w:r>
    </w:p>
    <w:p w14:paraId="24BFF72E" w14:textId="4FE716B0" w:rsidR="00AE7AEA" w:rsidRDefault="004F2005" w:rsidP="005A0070">
      <w:pPr>
        <w:pStyle w:val="ListBullet2"/>
      </w:pPr>
      <w:r>
        <w:t>h</w:t>
      </w:r>
      <w:r w:rsidR="00AE7AEA">
        <w:t xml:space="preserve">igher emissions reductions are possible during </w:t>
      </w:r>
      <w:r>
        <w:t>p</w:t>
      </w:r>
      <w:r w:rsidR="00AE7AEA">
        <w:t xml:space="preserve">hase 1 if consumers choose to purchase </w:t>
      </w:r>
      <w:r>
        <w:t>t</w:t>
      </w:r>
      <w:r w:rsidR="00AE7AEA">
        <w:t>ier 4 technology</w:t>
      </w:r>
    </w:p>
    <w:p w14:paraId="737A5F19" w14:textId="0AF39176" w:rsidR="00AE7AEA" w:rsidRDefault="004F2005" w:rsidP="005A0070">
      <w:pPr>
        <w:pStyle w:val="ListBullet2"/>
      </w:pPr>
      <w:r>
        <w:t>p</w:t>
      </w:r>
      <w:r w:rsidR="00AE7AEA">
        <w:t>ublic health impacts from NRDE can be more accurately predicted</w:t>
      </w:r>
    </w:p>
    <w:p w14:paraId="389F358C" w14:textId="13FEDD5D" w:rsidR="00AE7AEA" w:rsidRDefault="004F2005" w:rsidP="005A0070">
      <w:pPr>
        <w:pStyle w:val="ListBullet2"/>
      </w:pPr>
      <w:r>
        <w:t>u</w:t>
      </w:r>
      <w:r w:rsidR="00AE7AEA">
        <w:t>ptake of cleaner engines resulting in reduced emissions and greater health benefits.</w:t>
      </w:r>
    </w:p>
    <w:p w14:paraId="4ED61240" w14:textId="2636C3E3" w:rsidR="00AE7AEA" w:rsidRDefault="00AE7AEA" w:rsidP="004F2005">
      <w:pPr>
        <w:pStyle w:val="ListBullet"/>
      </w:pPr>
      <w:r>
        <w:t>Potential drawbacks</w:t>
      </w:r>
    </w:p>
    <w:p w14:paraId="05870BA7" w14:textId="2D05D4A2" w:rsidR="00AE7AEA" w:rsidRDefault="00AE7AEA" w:rsidP="004F2005">
      <w:pPr>
        <w:pStyle w:val="ListBullet2"/>
      </w:pPr>
      <w:r>
        <w:t>costs for implementing the standards are borne by suppliers and/or consumers</w:t>
      </w:r>
    </w:p>
    <w:p w14:paraId="28D6B673" w14:textId="25667397" w:rsidR="00AE7AEA" w:rsidRDefault="004F2005" w:rsidP="004F2005">
      <w:pPr>
        <w:pStyle w:val="ListBullet2"/>
      </w:pPr>
      <w:r>
        <w:t>c</w:t>
      </w:r>
      <w:r w:rsidR="00AE7AEA">
        <w:t>onsumers may delay purchasing new equipment due to higher costs or other disbenefits, extending high emissions from old equipment and reducing sales for suppliers</w:t>
      </w:r>
    </w:p>
    <w:p w14:paraId="502216C5" w14:textId="07EE61CE" w:rsidR="00AE7AEA" w:rsidRDefault="004F2005" w:rsidP="004F2005">
      <w:pPr>
        <w:pStyle w:val="ListBullet2"/>
      </w:pPr>
      <w:r>
        <w:t>c</w:t>
      </w:r>
      <w:r w:rsidR="00AE7AEA">
        <w:t>ould restrict market entry for a small market like Australia, reducing competition or creating monopolies for certain NRDE applications and/or power bands</w:t>
      </w:r>
    </w:p>
    <w:p w14:paraId="5C895229" w14:textId="24D04A7B" w:rsidR="00AE7AEA" w:rsidRDefault="004F2005" w:rsidP="004F2005">
      <w:pPr>
        <w:pStyle w:val="ListBullet2"/>
      </w:pPr>
      <w:r>
        <w:t>m</w:t>
      </w:r>
      <w:r w:rsidR="00AE7AEA">
        <w:t>ay suppress or prevent innovation by imposing technical barriers.</w:t>
      </w:r>
    </w:p>
    <w:p w14:paraId="65C6055B" w14:textId="66021FCB" w:rsidR="0048279C" w:rsidRDefault="0048279C" w:rsidP="0048279C">
      <w:pPr>
        <w:pStyle w:val="Heading5"/>
      </w:pPr>
      <w:r w:rsidRPr="0048279C">
        <w:t>Consultation questions</w:t>
      </w:r>
    </w:p>
    <w:p w14:paraId="7A8AA3C8" w14:textId="09E800FE" w:rsidR="00DC2BC6" w:rsidRDefault="00C41D16" w:rsidP="00DC2BC6">
      <w:r>
        <w:fldChar w:fldCharType="begin"/>
      </w:r>
      <w:r>
        <w:instrText xml:space="preserve"> REF _Ref63327192 \h </w:instrText>
      </w:r>
      <w:r>
        <w:fldChar w:fldCharType="separate"/>
      </w:r>
      <w:r>
        <w:t xml:space="preserve">Box </w:t>
      </w:r>
      <w:r>
        <w:rPr>
          <w:noProof/>
        </w:rPr>
        <w:t>7</w:t>
      </w:r>
      <w:r>
        <w:fldChar w:fldCharType="end"/>
      </w:r>
      <w:r>
        <w:t xml:space="preserve"> shows </w:t>
      </w:r>
      <w:r w:rsidRPr="009872FC">
        <w:t>questions</w:t>
      </w:r>
      <w:r w:rsidRPr="00C23AEF">
        <w:t xml:space="preserve"> regarding </w:t>
      </w:r>
      <w:r>
        <w:t>s</w:t>
      </w:r>
      <w:r w:rsidRPr="00C23AEF">
        <w:t xml:space="preserve">cenario </w:t>
      </w:r>
      <w:r>
        <w:t>2.</w:t>
      </w:r>
    </w:p>
    <w:p w14:paraId="01A4808B" w14:textId="398DE2F7" w:rsidR="00C41D16" w:rsidRPr="00DC2BC6" w:rsidRDefault="00C41D16" w:rsidP="00C41D16">
      <w:pPr>
        <w:pStyle w:val="Caption"/>
      </w:pPr>
      <w:bookmarkStart w:id="70" w:name="_Ref63327192"/>
      <w:bookmarkStart w:id="71" w:name="_Toc63874285"/>
      <w:r>
        <w:t xml:space="preserve">Box </w:t>
      </w:r>
      <w:r w:rsidR="00126C54">
        <w:rPr>
          <w:noProof/>
        </w:rPr>
        <w:fldChar w:fldCharType="begin"/>
      </w:r>
      <w:r w:rsidR="00126C54">
        <w:rPr>
          <w:noProof/>
        </w:rPr>
        <w:instrText xml:space="preserve"> SEQ Box \* ARABIC </w:instrText>
      </w:r>
      <w:r w:rsidR="00126C54">
        <w:rPr>
          <w:noProof/>
        </w:rPr>
        <w:fldChar w:fldCharType="separate"/>
      </w:r>
      <w:r w:rsidR="005616AA">
        <w:rPr>
          <w:noProof/>
        </w:rPr>
        <w:t>7</w:t>
      </w:r>
      <w:r w:rsidR="00126C54">
        <w:rPr>
          <w:noProof/>
        </w:rPr>
        <w:fldChar w:fldCharType="end"/>
      </w:r>
      <w:bookmarkEnd w:id="70"/>
      <w:r w:rsidRPr="00C41D16">
        <w:t xml:space="preserve"> </w:t>
      </w:r>
      <w:r w:rsidRPr="00F9370D">
        <w:t xml:space="preserve">Questions regarding </w:t>
      </w:r>
      <w:r>
        <w:t>s</w:t>
      </w:r>
      <w:r w:rsidRPr="00F9370D">
        <w:t>cenario 2</w:t>
      </w:r>
      <w:bookmarkEnd w:id="71"/>
    </w:p>
    <w:p w14:paraId="077329A3" w14:textId="5F365066" w:rsidR="0002256C" w:rsidRDefault="00C41D16" w:rsidP="0002256C">
      <w:pPr>
        <w:pStyle w:val="BoxText"/>
      </w:pPr>
      <w:r>
        <w:t xml:space="preserve">20) </w:t>
      </w:r>
      <w:r w:rsidR="0002256C">
        <w:t>Are these appropriate dates to initiate each phase of this scenario after any hypothetical decision to introduce this management option? If no, what dates are appropriate and why?</w:t>
      </w:r>
    </w:p>
    <w:p w14:paraId="30211CC9" w14:textId="5D65C8F7" w:rsidR="0002256C" w:rsidRDefault="00C41D16" w:rsidP="0002256C">
      <w:pPr>
        <w:pStyle w:val="BoxText"/>
        <w:rPr>
          <w:rStyle w:val="Strong"/>
        </w:rPr>
      </w:pPr>
      <w:r>
        <w:t xml:space="preserve">21) </w:t>
      </w:r>
      <w:r w:rsidR="0002256C">
        <w:t>Are there other possible benefits or drawbacks?</w:t>
      </w:r>
    </w:p>
    <w:p w14:paraId="58C97610" w14:textId="65FFEE75" w:rsidR="00103B48" w:rsidRDefault="005E24E7" w:rsidP="000036EE">
      <w:pPr>
        <w:pStyle w:val="Heading4"/>
      </w:pPr>
      <w:r w:rsidRPr="005E24E7">
        <w:lastRenderedPageBreak/>
        <w:t xml:space="preserve">Scenario 3 – </w:t>
      </w:r>
      <w:r w:rsidR="003D7B7B">
        <w:t>B</w:t>
      </w:r>
      <w:r w:rsidRPr="005E24E7">
        <w:t>est practice standards as soon as practicable</w:t>
      </w:r>
    </w:p>
    <w:p w14:paraId="6A1BFE24" w14:textId="275CB1FB" w:rsidR="000036EE" w:rsidRPr="00D62A03" w:rsidRDefault="00254E9C" w:rsidP="00D62A03">
      <w:r w:rsidRPr="00D62A03">
        <w:t>Non-road diesel engines introduced into Australia are required to meet emission standards. Commonwealth regulation would require that imported and manufactured NRDE align with international best practice standards as soon as practicable.</w:t>
      </w:r>
    </w:p>
    <w:p w14:paraId="2A24C18D" w14:textId="1BF68785" w:rsidR="00254E9C" w:rsidRDefault="00794283" w:rsidP="000036EE">
      <w:r w:rsidRPr="00794283">
        <w:t>This scenario examines a management option that is likely to provide the greatest health benefits of the three potential management scenarios presented.</w:t>
      </w:r>
    </w:p>
    <w:p w14:paraId="2C45F4F9" w14:textId="03F0F7EA" w:rsidR="003A0226" w:rsidRDefault="003A0226" w:rsidP="003A0226">
      <w:pPr>
        <w:pStyle w:val="Heading5"/>
      </w:pPr>
      <w:r>
        <w:t>Features</w:t>
      </w:r>
    </w:p>
    <w:p w14:paraId="12D3C95B" w14:textId="5A4C87A6" w:rsidR="003A0226" w:rsidRDefault="003A0226" w:rsidP="003A0226">
      <w:r>
        <w:t>Under scenario 3, the introduction of NRDE emission standards would be regulated by the Commonwealth. All NRDE introduced into Australia would be required to meet the standards specified in the regulation.</w:t>
      </w:r>
    </w:p>
    <w:p w14:paraId="61E053D1" w14:textId="02D1104B" w:rsidR="003A0226" w:rsidRDefault="003A0226" w:rsidP="00B27EE9">
      <w:pPr>
        <w:pStyle w:val="ListBullet"/>
      </w:pPr>
      <w:r>
        <w:t xml:space="preserve">The implementation of </w:t>
      </w:r>
      <w:r w:rsidR="00717F43">
        <w:t>i</w:t>
      </w:r>
      <w:r>
        <w:t>nternational best practice standards would commence 2 years after any hypothetical decision to introduce this management option</w:t>
      </w:r>
    </w:p>
    <w:p w14:paraId="75FC55C2" w14:textId="009E1D4E" w:rsidR="003A0226" w:rsidRDefault="003A0226" w:rsidP="00B27EE9">
      <w:pPr>
        <w:pStyle w:val="ListBullet"/>
      </w:pPr>
      <w:r>
        <w:t xml:space="preserve">The standards apply to import and manufacture first. Then </w:t>
      </w:r>
      <w:r w:rsidR="00791043">
        <w:t>1</w:t>
      </w:r>
      <w:r>
        <w:t xml:space="preserve"> year after the import and manufacture restrictions, supply restrictions would apply.</w:t>
      </w:r>
    </w:p>
    <w:p w14:paraId="5BB9A7FF" w14:textId="38F2A004" w:rsidR="003A0226" w:rsidRDefault="003A0226" w:rsidP="003A0226">
      <w:r>
        <w:t xml:space="preserve">Scenario 3 features and options for industry consideration are shown </w:t>
      </w:r>
      <w:r w:rsidRPr="00601981">
        <w:t xml:space="preserve">in </w:t>
      </w:r>
      <w:r w:rsidR="00601981">
        <w:fldChar w:fldCharType="begin"/>
      </w:r>
      <w:r w:rsidR="00601981">
        <w:instrText xml:space="preserve"> REF _Ref63327357 \h </w:instrText>
      </w:r>
      <w:r w:rsidR="00601981">
        <w:fldChar w:fldCharType="separate"/>
      </w:r>
      <w:r w:rsidR="00601981">
        <w:t xml:space="preserve">Table </w:t>
      </w:r>
      <w:r w:rsidR="00601981">
        <w:rPr>
          <w:noProof/>
        </w:rPr>
        <w:t>6</w:t>
      </w:r>
      <w:r w:rsidR="00601981">
        <w:fldChar w:fldCharType="end"/>
      </w:r>
      <w:r w:rsidR="009F30B1">
        <w:t>.</w:t>
      </w:r>
    </w:p>
    <w:p w14:paraId="317CDA79" w14:textId="3EB1BEDB" w:rsidR="005F7D5C" w:rsidRDefault="00601981" w:rsidP="00601981">
      <w:pPr>
        <w:pStyle w:val="Caption"/>
      </w:pPr>
      <w:bookmarkStart w:id="72" w:name="_Ref63327357"/>
      <w:bookmarkStart w:id="73" w:name="_Toc63696013"/>
      <w:r>
        <w:t xml:space="preserve">Table </w:t>
      </w:r>
      <w:r w:rsidR="00126C54">
        <w:rPr>
          <w:noProof/>
        </w:rPr>
        <w:fldChar w:fldCharType="begin"/>
      </w:r>
      <w:r w:rsidR="00126C54">
        <w:rPr>
          <w:noProof/>
        </w:rPr>
        <w:instrText xml:space="preserve"> SEQ Table \* ARABIC </w:instrText>
      </w:r>
      <w:r w:rsidR="00126C54">
        <w:rPr>
          <w:noProof/>
        </w:rPr>
        <w:fldChar w:fldCharType="separate"/>
      </w:r>
      <w:r w:rsidR="00664F36">
        <w:rPr>
          <w:noProof/>
        </w:rPr>
        <w:t>6</w:t>
      </w:r>
      <w:r w:rsidR="00126C54">
        <w:rPr>
          <w:noProof/>
        </w:rPr>
        <w:fldChar w:fldCharType="end"/>
      </w:r>
      <w:bookmarkEnd w:id="72"/>
      <w:r>
        <w:t xml:space="preserve"> </w:t>
      </w:r>
      <w:r w:rsidRPr="00601981">
        <w:t>Scenario</w:t>
      </w:r>
      <w:r w:rsidRPr="005F7D5C">
        <w:t xml:space="preserve"> 3 features and options for industry consideration</w:t>
      </w:r>
      <w:bookmarkEnd w:id="7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6663"/>
      </w:tblGrid>
      <w:tr w:rsidR="00601981" w:rsidRPr="0023063F" w14:paraId="7CD9584D" w14:textId="77777777" w:rsidTr="0023063F">
        <w:trPr>
          <w:cantSplit/>
          <w:tblHeader/>
        </w:trPr>
        <w:tc>
          <w:tcPr>
            <w:tcW w:w="1327" w:type="pct"/>
          </w:tcPr>
          <w:p w14:paraId="345C7837" w14:textId="41A13EDA" w:rsidR="00601981" w:rsidRPr="0023063F" w:rsidRDefault="003E1FE1" w:rsidP="0023063F">
            <w:pPr>
              <w:pStyle w:val="TableHeading"/>
            </w:pPr>
            <w:r>
              <w:t>Restriction type</w:t>
            </w:r>
          </w:p>
        </w:tc>
        <w:tc>
          <w:tcPr>
            <w:tcW w:w="3673" w:type="pct"/>
          </w:tcPr>
          <w:p w14:paraId="5A7CB284" w14:textId="30B32A7C" w:rsidR="00601981" w:rsidRPr="0023063F" w:rsidRDefault="0023063F" w:rsidP="0023063F">
            <w:pPr>
              <w:pStyle w:val="TableHeading"/>
            </w:pPr>
            <w:r w:rsidRPr="0023063F">
              <w:t>Restrictions</w:t>
            </w:r>
          </w:p>
        </w:tc>
      </w:tr>
      <w:tr w:rsidR="002A3147" w14:paraId="77FA484E" w14:textId="77777777" w:rsidTr="009D56AC">
        <w:tc>
          <w:tcPr>
            <w:tcW w:w="1327" w:type="pct"/>
          </w:tcPr>
          <w:p w14:paraId="56F44387" w14:textId="51B67CD8" w:rsidR="002A3147" w:rsidRPr="0023063F" w:rsidRDefault="00812160" w:rsidP="0023063F">
            <w:pPr>
              <w:pStyle w:val="TableText"/>
            </w:pPr>
            <w:r w:rsidRPr="0023063F">
              <w:t>Import restrictions</w:t>
            </w:r>
          </w:p>
        </w:tc>
        <w:tc>
          <w:tcPr>
            <w:tcW w:w="3673" w:type="pct"/>
          </w:tcPr>
          <w:p w14:paraId="73CF6FA0" w14:textId="77F63858" w:rsidR="002A3147" w:rsidRDefault="007742C2" w:rsidP="009D56AC">
            <w:pPr>
              <w:pStyle w:val="TableText"/>
            </w:pPr>
            <w:r w:rsidRPr="00601981">
              <w:t>Decision + 2 years – Current international standards</w:t>
            </w:r>
            <w:r w:rsidRPr="007742C2">
              <w:t xml:space="preserve"> (</w:t>
            </w:r>
            <w:r w:rsidR="00574A1C">
              <w:t>t</w:t>
            </w:r>
            <w:r w:rsidRPr="007742C2">
              <w:t>ier 4 final) apply to the import or manufacture of NRDE introduced into Australia for the first time</w:t>
            </w:r>
          </w:p>
        </w:tc>
      </w:tr>
      <w:tr w:rsidR="002A3147" w14:paraId="09C04088" w14:textId="77777777" w:rsidTr="009D56AC">
        <w:tc>
          <w:tcPr>
            <w:tcW w:w="1327" w:type="pct"/>
          </w:tcPr>
          <w:p w14:paraId="57B4C9DA" w14:textId="76EB58D4" w:rsidR="002A3147" w:rsidRPr="0023063F" w:rsidRDefault="00FD4E13" w:rsidP="0023063F">
            <w:pPr>
              <w:pStyle w:val="TableText"/>
            </w:pPr>
            <w:r w:rsidRPr="0023063F">
              <w:t>Supply restrictions</w:t>
            </w:r>
          </w:p>
        </w:tc>
        <w:tc>
          <w:tcPr>
            <w:tcW w:w="3673" w:type="pct"/>
          </w:tcPr>
          <w:p w14:paraId="4DB0913A" w14:textId="15022183" w:rsidR="002A3147" w:rsidRDefault="006438C3" w:rsidP="009D56AC">
            <w:pPr>
              <w:pStyle w:val="TableText"/>
            </w:pPr>
            <w:r w:rsidRPr="00601981">
              <w:t>Decision + 3 years – Current international standards</w:t>
            </w:r>
            <w:r w:rsidRPr="006438C3">
              <w:t xml:space="preserve"> (</w:t>
            </w:r>
            <w:r w:rsidR="00574A1C">
              <w:t>t</w:t>
            </w:r>
            <w:r w:rsidRPr="006438C3">
              <w:t>ier 4 final) apply to the sale of NRDE introduced into Australia for the first time</w:t>
            </w:r>
          </w:p>
        </w:tc>
      </w:tr>
    </w:tbl>
    <w:p w14:paraId="0A1F0CE9" w14:textId="6F46C102" w:rsidR="00AF14A7" w:rsidRDefault="00AF14A7" w:rsidP="00707D22">
      <w:pPr>
        <w:pStyle w:val="Heading5"/>
        <w:spacing w:before="120"/>
      </w:pPr>
      <w:r>
        <w:t xml:space="preserve">Stakeholder </w:t>
      </w:r>
      <w:r w:rsidR="00CB67A6">
        <w:t>r</w:t>
      </w:r>
      <w:r>
        <w:t>oles for scenario 3</w:t>
      </w:r>
    </w:p>
    <w:p w14:paraId="5CAEE234" w14:textId="493837B6" w:rsidR="00AF14A7" w:rsidRDefault="00AF14A7" w:rsidP="00AF14A7">
      <w:r>
        <w:t xml:space="preserve">For scenario 3, the roles for suppliers and consumers of NRDE and government are the same as scenario 2 (phased introduction of emission standards). These are reproduced below in </w:t>
      </w:r>
      <w:r w:rsidR="00707D22">
        <w:fldChar w:fldCharType="begin"/>
      </w:r>
      <w:r w:rsidR="00707D22">
        <w:instrText xml:space="preserve"> REF _Ref63327495 \h </w:instrText>
      </w:r>
      <w:r w:rsidR="00707D22">
        <w:fldChar w:fldCharType="separate"/>
      </w:r>
      <w:r w:rsidR="00707D22">
        <w:t xml:space="preserve">Table </w:t>
      </w:r>
      <w:r w:rsidR="00707D22">
        <w:rPr>
          <w:noProof/>
        </w:rPr>
        <w:t>7</w:t>
      </w:r>
      <w:r w:rsidR="00707D22">
        <w:fldChar w:fldCharType="end"/>
      </w:r>
      <w:r>
        <w:t>.</w:t>
      </w:r>
    </w:p>
    <w:p w14:paraId="7AB4FBA2" w14:textId="5608EEC7" w:rsidR="002052CB" w:rsidRDefault="00707D22" w:rsidP="00707D22">
      <w:pPr>
        <w:pStyle w:val="Caption"/>
      </w:pPr>
      <w:bookmarkStart w:id="74" w:name="_Ref63327495"/>
      <w:bookmarkStart w:id="75" w:name="_Toc63696014"/>
      <w:r>
        <w:t xml:space="preserve">Table </w:t>
      </w:r>
      <w:r w:rsidR="00126C54">
        <w:rPr>
          <w:noProof/>
        </w:rPr>
        <w:fldChar w:fldCharType="begin"/>
      </w:r>
      <w:r w:rsidR="00126C54">
        <w:rPr>
          <w:noProof/>
        </w:rPr>
        <w:instrText xml:space="preserve"> SEQ Table \* ARABIC </w:instrText>
      </w:r>
      <w:r w:rsidR="00126C54">
        <w:rPr>
          <w:noProof/>
        </w:rPr>
        <w:fldChar w:fldCharType="separate"/>
      </w:r>
      <w:r w:rsidR="00664F36">
        <w:rPr>
          <w:noProof/>
        </w:rPr>
        <w:t>7</w:t>
      </w:r>
      <w:r w:rsidR="00126C54">
        <w:rPr>
          <w:noProof/>
        </w:rPr>
        <w:fldChar w:fldCharType="end"/>
      </w:r>
      <w:bookmarkEnd w:id="74"/>
      <w:r>
        <w:t xml:space="preserve"> </w:t>
      </w:r>
      <w:r w:rsidRPr="00707D22">
        <w:t>Scenario 3</w:t>
      </w:r>
      <w:r w:rsidRPr="002052CB">
        <w:t xml:space="preserve"> roles for suppliers and consumers of NRDE and </w:t>
      </w:r>
      <w:r>
        <w:t>g</w:t>
      </w:r>
      <w:r w:rsidRPr="002052CB">
        <w:t>overnment</w:t>
      </w:r>
      <w:bookmarkEnd w:id="75"/>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4"/>
        <w:gridCol w:w="6946"/>
      </w:tblGrid>
      <w:tr w:rsidR="004C434B" w14:paraId="7B340541" w14:textId="77777777" w:rsidTr="00E2788A">
        <w:trPr>
          <w:cantSplit/>
          <w:tblHeader/>
        </w:trPr>
        <w:tc>
          <w:tcPr>
            <w:tcW w:w="1171" w:type="pct"/>
          </w:tcPr>
          <w:p w14:paraId="72B81290" w14:textId="77777777" w:rsidR="004C434B" w:rsidRDefault="004C434B" w:rsidP="00E2788A">
            <w:pPr>
              <w:pStyle w:val="TableHeading"/>
            </w:pPr>
            <w:r>
              <w:t>Participant</w:t>
            </w:r>
          </w:p>
        </w:tc>
        <w:tc>
          <w:tcPr>
            <w:tcW w:w="3829" w:type="pct"/>
          </w:tcPr>
          <w:p w14:paraId="1AAD08B7" w14:textId="77777777" w:rsidR="004C434B" w:rsidRDefault="004C434B" w:rsidP="00E2788A">
            <w:pPr>
              <w:pStyle w:val="TableHeading"/>
            </w:pPr>
            <w:r>
              <w:t>Role</w:t>
            </w:r>
          </w:p>
        </w:tc>
      </w:tr>
      <w:tr w:rsidR="004C434B" w14:paraId="181C76AC" w14:textId="77777777" w:rsidTr="00E2788A">
        <w:tc>
          <w:tcPr>
            <w:tcW w:w="1171" w:type="pct"/>
          </w:tcPr>
          <w:p w14:paraId="15BA9856" w14:textId="77777777" w:rsidR="004C434B" w:rsidRDefault="004C434B" w:rsidP="00E2788A">
            <w:pPr>
              <w:pStyle w:val="TableText"/>
            </w:pPr>
            <w:r>
              <w:t>Government</w:t>
            </w:r>
          </w:p>
        </w:tc>
        <w:tc>
          <w:tcPr>
            <w:tcW w:w="3829" w:type="pct"/>
          </w:tcPr>
          <w:p w14:paraId="6A07404B" w14:textId="77777777" w:rsidR="003F318F" w:rsidRDefault="003F318F" w:rsidP="003F318F">
            <w:pPr>
              <w:pStyle w:val="TableText"/>
            </w:pPr>
            <w:r>
              <w:t>Administer the NRDE emission standards including the import restrictions for each phase as implemented by the Australian Border Force (Customs) and undertake compliance activities</w:t>
            </w:r>
          </w:p>
          <w:p w14:paraId="333A694B" w14:textId="77777777" w:rsidR="003F318F" w:rsidRDefault="003F318F" w:rsidP="003F318F">
            <w:pPr>
              <w:pStyle w:val="TableText"/>
            </w:pPr>
            <w:r>
              <w:t>Support the regulated community to understand their obligations under the emission standards</w:t>
            </w:r>
          </w:p>
          <w:p w14:paraId="0410EB38" w14:textId="62E6393C" w:rsidR="004C434B" w:rsidRDefault="003F318F" w:rsidP="003F318F">
            <w:pPr>
              <w:pStyle w:val="TableText"/>
            </w:pPr>
            <w:r>
              <w:t>Process applications (such as for Australian certification), collect fees and levies, and undertake activities to ensure compliance with the standards</w:t>
            </w:r>
          </w:p>
        </w:tc>
      </w:tr>
      <w:tr w:rsidR="004C434B" w14:paraId="11D160CA" w14:textId="77777777" w:rsidTr="00E2788A">
        <w:tc>
          <w:tcPr>
            <w:tcW w:w="1171" w:type="pct"/>
          </w:tcPr>
          <w:p w14:paraId="17016839" w14:textId="77777777" w:rsidR="004C434B" w:rsidRDefault="004C434B" w:rsidP="00E2788A">
            <w:pPr>
              <w:pStyle w:val="TableText"/>
            </w:pPr>
            <w:r>
              <w:t>Supply sectors</w:t>
            </w:r>
          </w:p>
        </w:tc>
        <w:tc>
          <w:tcPr>
            <w:tcW w:w="3829" w:type="pct"/>
          </w:tcPr>
          <w:p w14:paraId="189AECF0" w14:textId="77777777" w:rsidR="0030347F" w:rsidRDefault="0030347F" w:rsidP="0030347F">
            <w:pPr>
              <w:pStyle w:val="TableText"/>
            </w:pPr>
            <w:r>
              <w:t>Undertake education to understand their obligations under the emission standards</w:t>
            </w:r>
          </w:p>
          <w:p w14:paraId="0A80750E" w14:textId="77777777" w:rsidR="0030347F" w:rsidRDefault="0030347F" w:rsidP="0030347F">
            <w:pPr>
              <w:pStyle w:val="TableText"/>
            </w:pPr>
            <w:r>
              <w:t>Import/manufacture/supply equipment that complies with the relevant stage of the management option</w:t>
            </w:r>
          </w:p>
          <w:p w14:paraId="7D174098" w14:textId="77777777" w:rsidR="0030347F" w:rsidRDefault="0030347F" w:rsidP="0030347F">
            <w:pPr>
              <w:pStyle w:val="TableText"/>
            </w:pPr>
            <w:r>
              <w:t>Ensure NRDE are labelled in accordance with the emission standard where required</w:t>
            </w:r>
          </w:p>
          <w:p w14:paraId="0016155D" w14:textId="5DD2A9D6" w:rsidR="0030347F" w:rsidRDefault="0030347F" w:rsidP="0030347F">
            <w:pPr>
              <w:pStyle w:val="TableText"/>
            </w:pPr>
            <w:r>
              <w:t xml:space="preserve">Keep the appropriate records and report to </w:t>
            </w:r>
            <w:r w:rsidR="00BC31CF">
              <w:t>g</w:t>
            </w:r>
            <w:r>
              <w:t>overnment each financial year</w:t>
            </w:r>
          </w:p>
          <w:p w14:paraId="2FA0B95B" w14:textId="77777777" w:rsidR="004C434B" w:rsidRDefault="0030347F" w:rsidP="0030347F">
            <w:pPr>
              <w:pStyle w:val="TableText"/>
            </w:pPr>
            <w:r>
              <w:t xml:space="preserve">Pay the </w:t>
            </w:r>
            <w:r w:rsidR="00BC31CF">
              <w:t>g</w:t>
            </w:r>
            <w:r>
              <w:t>overnment potential charges imposed on NRDE products to fund the regulatory scheme</w:t>
            </w:r>
          </w:p>
          <w:p w14:paraId="742556F1" w14:textId="77777777" w:rsidR="00EC065A" w:rsidRDefault="00EC065A" w:rsidP="0030347F">
            <w:pPr>
              <w:pStyle w:val="TableText"/>
            </w:pPr>
          </w:p>
          <w:p w14:paraId="331221CB" w14:textId="77777777" w:rsidR="00EC065A" w:rsidRDefault="00EC065A" w:rsidP="0030347F">
            <w:pPr>
              <w:pStyle w:val="TableText"/>
            </w:pPr>
          </w:p>
          <w:p w14:paraId="4415C272" w14:textId="5785621F" w:rsidR="00EC065A" w:rsidRDefault="00EC065A" w:rsidP="0030347F">
            <w:pPr>
              <w:pStyle w:val="TableText"/>
            </w:pPr>
          </w:p>
        </w:tc>
      </w:tr>
      <w:tr w:rsidR="004C434B" w14:paraId="35674E24" w14:textId="77777777" w:rsidTr="00E2788A">
        <w:tc>
          <w:tcPr>
            <w:tcW w:w="1171" w:type="pct"/>
          </w:tcPr>
          <w:p w14:paraId="287AE2E7" w14:textId="77777777" w:rsidR="004C434B" w:rsidRDefault="004C434B" w:rsidP="00E2788A">
            <w:pPr>
              <w:pStyle w:val="TableText"/>
            </w:pPr>
            <w:r>
              <w:lastRenderedPageBreak/>
              <w:t>Consumers</w:t>
            </w:r>
          </w:p>
        </w:tc>
        <w:tc>
          <w:tcPr>
            <w:tcW w:w="3829" w:type="pct"/>
          </w:tcPr>
          <w:p w14:paraId="2B61398C" w14:textId="77777777" w:rsidR="0008203B" w:rsidRDefault="0008203B" w:rsidP="0008203B">
            <w:pPr>
              <w:pStyle w:val="TableText"/>
            </w:pPr>
            <w:r>
              <w:t>Continue to use NRDE you already own. It will not need to be retrofitted to meet the standards and can continue to be used. Replacement engines in NRDE equipment do not need to be to a higher emission standard than applied to the equipment when it was built</w:t>
            </w:r>
          </w:p>
          <w:p w14:paraId="4BE9679B" w14:textId="77777777" w:rsidR="0008203B" w:rsidRDefault="0008203B" w:rsidP="0008203B">
            <w:pPr>
              <w:pStyle w:val="TableText"/>
            </w:pPr>
            <w:r>
              <w:t xml:space="preserve">Continue to sell, buy, </w:t>
            </w:r>
            <w:proofErr w:type="gramStart"/>
            <w:r>
              <w:t>swap</w:t>
            </w:r>
            <w:proofErr w:type="gramEnd"/>
            <w:r>
              <w:t xml:space="preserve"> or give away used products (providing the used NRDE is not being imported into Australia at a lower emission standard than required by this management option)</w:t>
            </w:r>
          </w:p>
          <w:p w14:paraId="5438848B" w14:textId="77777777" w:rsidR="0008203B" w:rsidRDefault="0008203B" w:rsidP="0008203B">
            <w:pPr>
              <w:pStyle w:val="TableText"/>
            </w:pPr>
            <w:r>
              <w:t>Before purchasing NRDE equipment that is new to Australia, you can ask the retailer if the product meets the emission standards and ask to see the appropriate emissions label that is required to be fixed to the engine</w:t>
            </w:r>
          </w:p>
          <w:p w14:paraId="3B9099C1" w14:textId="580B86DB" w:rsidR="004C434B" w:rsidRDefault="0008203B" w:rsidP="0008203B">
            <w:pPr>
              <w:pStyle w:val="TableText"/>
            </w:pPr>
            <w:r>
              <w:t xml:space="preserve">Report non-compliance to </w:t>
            </w:r>
            <w:r w:rsidR="00BC31CF">
              <w:t>g</w:t>
            </w:r>
            <w:r>
              <w:t>overnment</w:t>
            </w:r>
          </w:p>
        </w:tc>
      </w:tr>
    </w:tbl>
    <w:p w14:paraId="46A49438" w14:textId="476BAA28" w:rsidR="00C9512E" w:rsidRDefault="00C9512E" w:rsidP="00017837">
      <w:pPr>
        <w:pStyle w:val="Heading5"/>
        <w:spacing w:before="120"/>
      </w:pPr>
      <w:r>
        <w:t>Benefits and drawbacks</w:t>
      </w:r>
    </w:p>
    <w:p w14:paraId="32D70FE5" w14:textId="77777777" w:rsidR="00C9512E" w:rsidRDefault="00C9512E" w:rsidP="00C9512E">
      <w:r>
        <w:t>This approach would have the following potential benefits and drawbacks:</w:t>
      </w:r>
    </w:p>
    <w:p w14:paraId="7F899F13" w14:textId="29D99F72" w:rsidR="00C9512E" w:rsidRDefault="00C9512E" w:rsidP="00121D4D">
      <w:pPr>
        <w:pStyle w:val="ListBullet"/>
      </w:pPr>
      <w:r>
        <w:t>Potential benefits</w:t>
      </w:r>
    </w:p>
    <w:p w14:paraId="5DA8A8C4" w14:textId="2AA47FA7" w:rsidR="00C9512E" w:rsidRDefault="00E3601D" w:rsidP="00E3601D">
      <w:pPr>
        <w:pStyle w:val="ListBullet2"/>
      </w:pPr>
      <w:r>
        <w:t>s</w:t>
      </w:r>
      <w:r w:rsidR="00C9512E">
        <w:t>taggering the introduction of standards for import and supply (sales restrictions a year after import restrictions) avoids stockpiles of non-compliant stock in Australia</w:t>
      </w:r>
    </w:p>
    <w:p w14:paraId="2A5F53A0" w14:textId="2138881F" w:rsidR="00C9512E" w:rsidRDefault="00E3601D" w:rsidP="00E3601D">
      <w:pPr>
        <w:pStyle w:val="ListBullet2"/>
      </w:pPr>
      <w:r>
        <w:t>e</w:t>
      </w:r>
      <w:r w:rsidR="00C9512E">
        <w:t>nsures NRDE introduced into Australia provides the highest possible public health outcomes</w:t>
      </w:r>
    </w:p>
    <w:p w14:paraId="2617F499" w14:textId="52AC06A5" w:rsidR="00C9512E" w:rsidRDefault="00E3601D" w:rsidP="00E3601D">
      <w:pPr>
        <w:pStyle w:val="ListBullet2"/>
      </w:pPr>
      <w:r>
        <w:t>t</w:t>
      </w:r>
      <w:r w:rsidR="00C9512E">
        <w:t>ier 4 final equipment is proven technology having been available for many years for most applications and power bands as it is already available overseas</w:t>
      </w:r>
    </w:p>
    <w:p w14:paraId="000F5266" w14:textId="6DAF1802" w:rsidR="00C9512E" w:rsidRDefault="00E3601D" w:rsidP="00E3601D">
      <w:pPr>
        <w:pStyle w:val="ListBullet2"/>
      </w:pPr>
      <w:r>
        <w:t>t</w:t>
      </w:r>
      <w:r w:rsidR="00C9512E">
        <w:t>he NRDE supply sector no longer needs to have distinct manufacturing and training processes required when producing equipment with multiple emissions technologies</w:t>
      </w:r>
    </w:p>
    <w:p w14:paraId="66D8CB19" w14:textId="329BDA5A" w:rsidR="00C9512E" w:rsidRDefault="00E3601D" w:rsidP="00E3601D">
      <w:pPr>
        <w:pStyle w:val="ListBullet2"/>
      </w:pPr>
      <w:r>
        <w:t>p</w:t>
      </w:r>
      <w:r w:rsidR="00C9512E">
        <w:t>ublic health impacts from NRDE can be more accurately predicted</w:t>
      </w:r>
    </w:p>
    <w:p w14:paraId="25F47931" w14:textId="6FB2ECE9" w:rsidR="00C9512E" w:rsidRDefault="00E3601D" w:rsidP="00E3601D">
      <w:pPr>
        <w:pStyle w:val="ListBullet2"/>
      </w:pPr>
      <w:r>
        <w:t>h</w:t>
      </w:r>
      <w:r w:rsidR="00C9512E">
        <w:t xml:space="preserve">igher costs for </w:t>
      </w:r>
      <w:r>
        <w:t>t</w:t>
      </w:r>
      <w:r w:rsidR="00C9512E">
        <w:t>ier 4 equipment may encourage innovation in non-diesel technology or accelerate a transition from diesel</w:t>
      </w:r>
    </w:p>
    <w:p w14:paraId="2EDA1EA0" w14:textId="0245F7F0" w:rsidR="00C9512E" w:rsidRDefault="00E3601D" w:rsidP="00E3601D">
      <w:pPr>
        <w:pStyle w:val="ListBullet2"/>
      </w:pPr>
      <w:r>
        <w:t>u</w:t>
      </w:r>
      <w:r w:rsidR="00C9512E">
        <w:t>ptake of cleaner engines resulting in reduced emissions and greater health benefits.</w:t>
      </w:r>
    </w:p>
    <w:p w14:paraId="00D5A118" w14:textId="3EA68953" w:rsidR="00C9512E" w:rsidRDefault="00C9512E" w:rsidP="00E3601D">
      <w:pPr>
        <w:pStyle w:val="ListBullet"/>
      </w:pPr>
      <w:r>
        <w:t>Potential drawbacks</w:t>
      </w:r>
    </w:p>
    <w:p w14:paraId="1E91B557" w14:textId="0D368349" w:rsidR="00C9512E" w:rsidRDefault="00E3601D" w:rsidP="00E3601D">
      <w:pPr>
        <w:pStyle w:val="ListBullet2"/>
      </w:pPr>
      <w:r>
        <w:t>c</w:t>
      </w:r>
      <w:r w:rsidR="00C9512E">
        <w:t xml:space="preserve">onsumers will have less lower cost options as only </w:t>
      </w:r>
      <w:r>
        <w:t>t</w:t>
      </w:r>
      <w:r w:rsidR="00C9512E">
        <w:t>ier 4 equipment can be introduced into Australia</w:t>
      </w:r>
    </w:p>
    <w:p w14:paraId="56E6971B" w14:textId="0C32DEB7" w:rsidR="00C9512E" w:rsidRDefault="00E3601D" w:rsidP="00E3601D">
      <w:pPr>
        <w:pStyle w:val="ListBullet2"/>
      </w:pPr>
      <w:r>
        <w:t>c</w:t>
      </w:r>
      <w:r w:rsidR="00C9512E">
        <w:t xml:space="preserve">onsumers in remote or rural areas may not be able to practically use </w:t>
      </w:r>
      <w:r w:rsidR="00844A88">
        <w:t>t</w:t>
      </w:r>
      <w:r w:rsidR="00C9512E">
        <w:t>ier 4 equipment</w:t>
      </w:r>
    </w:p>
    <w:p w14:paraId="673FDD9B" w14:textId="15A2225E" w:rsidR="00C9512E" w:rsidRDefault="00C9512E" w:rsidP="00E3601D">
      <w:pPr>
        <w:pStyle w:val="ListBullet2"/>
      </w:pPr>
      <w:r>
        <w:t>costs for implementing the standards are borne by suppliers and/or consumers</w:t>
      </w:r>
    </w:p>
    <w:p w14:paraId="18256FF5" w14:textId="14642F49" w:rsidR="00C9512E" w:rsidRDefault="00E3601D" w:rsidP="00E3601D">
      <w:pPr>
        <w:pStyle w:val="ListBullet2"/>
      </w:pPr>
      <w:r>
        <w:t>c</w:t>
      </w:r>
      <w:r w:rsidR="00C9512E">
        <w:t>onsumers may delay purchasing new equipment due to higher costs or other disbenefits, increasing emissions from old equipment and reducing sales for suppliers</w:t>
      </w:r>
    </w:p>
    <w:p w14:paraId="6F44CC03" w14:textId="7E79D043" w:rsidR="00C9512E" w:rsidRDefault="00E3601D" w:rsidP="00E3601D">
      <w:pPr>
        <w:pStyle w:val="ListBullet2"/>
      </w:pPr>
      <w:r>
        <w:t>c</w:t>
      </w:r>
      <w:r w:rsidR="00C9512E">
        <w:t>ould restrict market entry for a small market like Australia, reducing competition or creating monopolies for certain NRDE applications and/or power bands</w:t>
      </w:r>
    </w:p>
    <w:p w14:paraId="13B79B7C" w14:textId="06DAB37E" w:rsidR="00C9512E" w:rsidRDefault="00E3601D" w:rsidP="00E3601D">
      <w:pPr>
        <w:pStyle w:val="ListBullet2"/>
      </w:pPr>
      <w:r>
        <w:t>m</w:t>
      </w:r>
      <w:r w:rsidR="00C9512E">
        <w:t>ay suppress or prevent innovation by imposing technical barriers.</w:t>
      </w:r>
    </w:p>
    <w:p w14:paraId="0F24A073" w14:textId="09704473" w:rsidR="002009BD" w:rsidRDefault="002009BD" w:rsidP="002009BD">
      <w:pPr>
        <w:pStyle w:val="Heading5"/>
      </w:pPr>
      <w:r w:rsidRPr="002009BD">
        <w:t>Consultation questions</w:t>
      </w:r>
    </w:p>
    <w:p w14:paraId="32FEA5CD" w14:textId="0BDE173A" w:rsidR="004672CB" w:rsidRDefault="004672CB" w:rsidP="004672CB">
      <w:r>
        <w:fldChar w:fldCharType="begin"/>
      </w:r>
      <w:r>
        <w:instrText xml:space="preserve"> REF _Ref63327655 \h </w:instrText>
      </w:r>
      <w:r>
        <w:fldChar w:fldCharType="separate"/>
      </w:r>
      <w:r>
        <w:t xml:space="preserve">Box </w:t>
      </w:r>
      <w:r>
        <w:rPr>
          <w:noProof/>
        </w:rPr>
        <w:t>8</w:t>
      </w:r>
      <w:r>
        <w:fldChar w:fldCharType="end"/>
      </w:r>
      <w:r>
        <w:t xml:space="preserve"> shows </w:t>
      </w:r>
      <w:r w:rsidRPr="009872FC">
        <w:t>questions</w:t>
      </w:r>
      <w:r w:rsidRPr="00C23AEF">
        <w:t xml:space="preserve"> regarding </w:t>
      </w:r>
      <w:r>
        <w:t>s</w:t>
      </w:r>
      <w:r w:rsidRPr="00C23AEF">
        <w:t xml:space="preserve">cenario </w:t>
      </w:r>
      <w:r>
        <w:t>3.</w:t>
      </w:r>
    </w:p>
    <w:p w14:paraId="4BF776CB" w14:textId="59F834FE" w:rsidR="004672CB" w:rsidRPr="004672CB" w:rsidRDefault="004672CB" w:rsidP="004672CB">
      <w:pPr>
        <w:pStyle w:val="Caption"/>
      </w:pPr>
      <w:bookmarkStart w:id="76" w:name="_Ref63327655"/>
      <w:bookmarkStart w:id="77" w:name="_Toc63874286"/>
      <w:r>
        <w:t xml:space="preserve">Box </w:t>
      </w:r>
      <w:r w:rsidR="00126C54">
        <w:rPr>
          <w:noProof/>
        </w:rPr>
        <w:fldChar w:fldCharType="begin"/>
      </w:r>
      <w:r w:rsidR="00126C54">
        <w:rPr>
          <w:noProof/>
        </w:rPr>
        <w:instrText xml:space="preserve"> SEQ Box \* ARABIC </w:instrText>
      </w:r>
      <w:r w:rsidR="00126C54">
        <w:rPr>
          <w:noProof/>
        </w:rPr>
        <w:fldChar w:fldCharType="separate"/>
      </w:r>
      <w:r w:rsidR="005616AA">
        <w:rPr>
          <w:noProof/>
        </w:rPr>
        <w:t>8</w:t>
      </w:r>
      <w:r w:rsidR="00126C54">
        <w:rPr>
          <w:noProof/>
        </w:rPr>
        <w:fldChar w:fldCharType="end"/>
      </w:r>
      <w:bookmarkEnd w:id="76"/>
      <w:r>
        <w:t xml:space="preserve"> </w:t>
      </w:r>
      <w:r w:rsidRPr="004672CB">
        <w:t>Questions regarding</w:t>
      </w:r>
      <w:r w:rsidRPr="00BC3938">
        <w:t xml:space="preserve"> </w:t>
      </w:r>
      <w:r>
        <w:t>s</w:t>
      </w:r>
      <w:r w:rsidRPr="00BC3938">
        <w:t>cenario 3</w:t>
      </w:r>
      <w:bookmarkEnd w:id="77"/>
    </w:p>
    <w:p w14:paraId="672DD7DA" w14:textId="7F30A95A" w:rsidR="004315EE" w:rsidRDefault="0088070B" w:rsidP="004315EE">
      <w:pPr>
        <w:pStyle w:val="BoxText"/>
      </w:pPr>
      <w:r>
        <w:t xml:space="preserve">22) </w:t>
      </w:r>
      <w:r w:rsidR="004315EE">
        <w:t>What is an appropriate date to initiate each phase of this scenario?</w:t>
      </w:r>
    </w:p>
    <w:p w14:paraId="517CC964" w14:textId="6E89BA96" w:rsidR="00BC3938" w:rsidRDefault="0088070B" w:rsidP="004315EE">
      <w:pPr>
        <w:pStyle w:val="BoxText"/>
        <w:rPr>
          <w:rStyle w:val="Strong"/>
        </w:rPr>
      </w:pPr>
      <w:r>
        <w:t xml:space="preserve">23) </w:t>
      </w:r>
      <w:r w:rsidR="004315EE">
        <w:t>Are there other possible benefits or drawbacks?</w:t>
      </w:r>
    </w:p>
    <w:p w14:paraId="4AA36F35" w14:textId="3B12D1A1" w:rsidR="00BC6FA7" w:rsidRDefault="00BC6FA7" w:rsidP="00A32EE7">
      <w:pPr>
        <w:pStyle w:val="Heading2"/>
        <w:numPr>
          <w:ilvl w:val="0"/>
          <w:numId w:val="0"/>
        </w:numPr>
        <w:ind w:left="720" w:hanging="720"/>
      </w:pPr>
      <w:bookmarkStart w:id="78" w:name="_Appendix_1:_Consultation"/>
      <w:bookmarkStart w:id="79" w:name="_Toc63874252"/>
      <w:bookmarkEnd w:id="78"/>
      <w:r w:rsidRPr="00B65031">
        <w:lastRenderedPageBreak/>
        <w:t xml:space="preserve">Appendix </w:t>
      </w:r>
      <w:r w:rsidR="00886DA5">
        <w:t xml:space="preserve">1: </w:t>
      </w:r>
      <w:r>
        <w:t>Consultation questions</w:t>
      </w:r>
      <w:bookmarkEnd w:id="79"/>
    </w:p>
    <w:p w14:paraId="7AEE2D00" w14:textId="5DB94A56" w:rsidR="00BC6FA7" w:rsidRDefault="00BC6FA7" w:rsidP="00BC6FA7">
      <w:r>
        <w:t>Throughout this discussion paper, a series of consultation questions are posed to encourage stakeholders to respond.</w:t>
      </w:r>
      <w:r w:rsidR="00D40301">
        <w:t xml:space="preserve"> These have been consolidated in </w:t>
      </w:r>
      <w:r w:rsidR="005616AA">
        <w:fldChar w:fldCharType="begin"/>
      </w:r>
      <w:r w:rsidR="005616AA">
        <w:instrText xml:space="preserve"> REF _Ref63328178 \h </w:instrText>
      </w:r>
      <w:r w:rsidR="005616AA">
        <w:fldChar w:fldCharType="separate"/>
      </w:r>
      <w:r w:rsidR="005616AA">
        <w:t xml:space="preserve">Box </w:t>
      </w:r>
      <w:r w:rsidR="005616AA">
        <w:rPr>
          <w:noProof/>
        </w:rPr>
        <w:t>9</w:t>
      </w:r>
      <w:r w:rsidR="005616AA">
        <w:fldChar w:fldCharType="end"/>
      </w:r>
      <w:r w:rsidR="005616AA">
        <w:t>.</w:t>
      </w:r>
    </w:p>
    <w:p w14:paraId="4BA63609" w14:textId="114D8317" w:rsidR="00BC6FA7" w:rsidRDefault="00BC6FA7" w:rsidP="00235A6D">
      <w:r>
        <w:t>A separate questionnaire has been sent with this document</w:t>
      </w:r>
      <w:r w:rsidR="003E1FE1">
        <w:t>:</w:t>
      </w:r>
    </w:p>
    <w:p w14:paraId="4273CA4A" w14:textId="3820BC36" w:rsidR="00BC6FA7" w:rsidRDefault="00F33DC6" w:rsidP="00235A6D">
      <w:pPr>
        <w:pStyle w:val="ListBullet"/>
      </w:pPr>
      <w:r>
        <w:t>i</w:t>
      </w:r>
      <w:r w:rsidR="00BC6FA7">
        <w:t xml:space="preserve">t includes all questions in this </w:t>
      </w:r>
      <w:r>
        <w:t>d</w:t>
      </w:r>
      <w:r w:rsidR="00BC6FA7">
        <w:t xml:space="preserve">iscussion </w:t>
      </w:r>
      <w:r>
        <w:t>p</w:t>
      </w:r>
      <w:r w:rsidR="00BC6FA7">
        <w:t>aper as a form</w:t>
      </w:r>
    </w:p>
    <w:p w14:paraId="6F245C9C" w14:textId="4DB05FD3" w:rsidR="00BC6FA7" w:rsidRDefault="00F33DC6" w:rsidP="00235A6D">
      <w:pPr>
        <w:pStyle w:val="ListBullet"/>
      </w:pPr>
      <w:r>
        <w:t>p</w:t>
      </w:r>
      <w:r w:rsidR="00BC6FA7">
        <w:t>lease provide feedback by answering those questions which interest you</w:t>
      </w:r>
    </w:p>
    <w:p w14:paraId="6101C3CE" w14:textId="2CABEBD1" w:rsidR="00BC6FA7" w:rsidRDefault="00F33DC6" w:rsidP="00235A6D">
      <w:pPr>
        <w:pStyle w:val="ListBullet"/>
      </w:pPr>
      <w:r>
        <w:t>r</w:t>
      </w:r>
      <w:r w:rsidR="00BC6FA7">
        <w:t xml:space="preserve">esponses are welcome until </w:t>
      </w:r>
      <w:r w:rsidR="00BC6FA7" w:rsidRPr="007D7308">
        <w:rPr>
          <w:rStyle w:val="Strong"/>
        </w:rPr>
        <w:t>COB Friday 23 October 2020.</w:t>
      </w:r>
    </w:p>
    <w:p w14:paraId="706FB555" w14:textId="1046B20B" w:rsidR="00BC6FA7" w:rsidRPr="0030792B" w:rsidRDefault="00BC6FA7" w:rsidP="00BC6FA7">
      <w:r>
        <w:t xml:space="preserve">Responses can be provided by email. If you would like to provide verbal feedback, </w:t>
      </w:r>
      <w:r w:rsidRPr="0030792B">
        <w:t>email the Air Quality Policy Section to set up a time.</w:t>
      </w:r>
    </w:p>
    <w:p w14:paraId="03F72ED8" w14:textId="478A82B7" w:rsidR="00F942F1" w:rsidRDefault="00863AC8" w:rsidP="00BC6FA7">
      <w:r w:rsidRPr="0030792B">
        <w:t xml:space="preserve">To provide feedback, please contact the Air Quality Policy Section at </w:t>
      </w:r>
      <w:hyperlink r:id="rId41" w:history="1">
        <w:r w:rsidR="0084674E" w:rsidRPr="0030792B">
          <w:rPr>
            <w:rStyle w:val="Hyperlink"/>
          </w:rPr>
          <w:t>airquality@awe.gov.au</w:t>
        </w:r>
      </w:hyperlink>
      <w:r w:rsidRPr="0030792B">
        <w:t>.</w:t>
      </w:r>
    </w:p>
    <w:p w14:paraId="705A4D02" w14:textId="2C0834A2" w:rsidR="005616AA" w:rsidRDefault="005616AA" w:rsidP="005616AA">
      <w:pPr>
        <w:pStyle w:val="Caption"/>
      </w:pPr>
      <w:bookmarkStart w:id="80" w:name="_Ref63328178"/>
      <w:bookmarkStart w:id="81" w:name="_Toc63874287"/>
      <w:r>
        <w:t xml:space="preserve">Box </w:t>
      </w:r>
      <w:r w:rsidR="00126C54">
        <w:rPr>
          <w:noProof/>
        </w:rPr>
        <w:fldChar w:fldCharType="begin"/>
      </w:r>
      <w:r w:rsidR="00126C54">
        <w:rPr>
          <w:noProof/>
        </w:rPr>
        <w:instrText xml:space="preserve"> SEQ Box \* ARABIC </w:instrText>
      </w:r>
      <w:r w:rsidR="00126C54">
        <w:rPr>
          <w:noProof/>
        </w:rPr>
        <w:fldChar w:fldCharType="separate"/>
      </w:r>
      <w:r>
        <w:rPr>
          <w:noProof/>
        </w:rPr>
        <w:t>9</w:t>
      </w:r>
      <w:r w:rsidR="00126C54">
        <w:rPr>
          <w:noProof/>
        </w:rPr>
        <w:fldChar w:fldCharType="end"/>
      </w:r>
      <w:bookmarkEnd w:id="80"/>
      <w:r>
        <w:t xml:space="preserve"> </w:t>
      </w:r>
      <w:r w:rsidRPr="0084674E">
        <w:t>Consolidated consultation questions</w:t>
      </w:r>
      <w:bookmarkEnd w:id="81"/>
    </w:p>
    <w:p w14:paraId="4B0DF5BA" w14:textId="7269601D" w:rsidR="009143E5" w:rsidRPr="00B05A32" w:rsidRDefault="009143E5" w:rsidP="00B05A32">
      <w:pPr>
        <w:pStyle w:val="BoxHeading"/>
      </w:pPr>
      <w:r w:rsidRPr="00B05A32">
        <w:t>Topic - Non-road diesel engines in Australia (</w:t>
      </w:r>
      <w:r w:rsidR="00E70CBA">
        <w:fldChar w:fldCharType="begin"/>
      </w:r>
      <w:r w:rsidR="00E70CBA">
        <w:instrText xml:space="preserve"> REF _Ref63267979 \h </w:instrText>
      </w:r>
      <w:r w:rsidR="00E70CBA">
        <w:fldChar w:fldCharType="separate"/>
      </w:r>
      <w:r w:rsidR="00E70CBA">
        <w:t xml:space="preserve">Box </w:t>
      </w:r>
      <w:r w:rsidR="00E70CBA">
        <w:rPr>
          <w:noProof/>
        </w:rPr>
        <w:t>1</w:t>
      </w:r>
      <w:r w:rsidR="00E70CBA">
        <w:fldChar w:fldCharType="end"/>
      </w:r>
      <w:r w:rsidRPr="00B05A32">
        <w:t>)</w:t>
      </w:r>
    </w:p>
    <w:p w14:paraId="7198ADBE" w14:textId="48A7502C" w:rsidR="009143E5" w:rsidRDefault="00B05A32" w:rsidP="009143E5">
      <w:pPr>
        <w:pStyle w:val="BoxText"/>
      </w:pPr>
      <w:r>
        <w:t xml:space="preserve">1) </w:t>
      </w:r>
      <w:r w:rsidR="009143E5">
        <w:t>Can you more accurately describe the NRDE market in Australia?</w:t>
      </w:r>
    </w:p>
    <w:p w14:paraId="094E55AD" w14:textId="11668BF2" w:rsidR="009143E5" w:rsidRDefault="00DA705B" w:rsidP="009143E5">
      <w:pPr>
        <w:pStyle w:val="BoxText"/>
      </w:pPr>
      <w:r>
        <w:t xml:space="preserve">2) </w:t>
      </w:r>
      <w:r w:rsidR="009143E5">
        <w:t>What drivers might influence the purchase of cleaner alternatives, even if they cost more? How much more?</w:t>
      </w:r>
    </w:p>
    <w:p w14:paraId="1D3986DF" w14:textId="2684383B" w:rsidR="009143E5" w:rsidRDefault="00DA705B" w:rsidP="009143E5">
      <w:pPr>
        <w:pStyle w:val="BoxText"/>
      </w:pPr>
      <w:r>
        <w:t xml:space="preserve">3) </w:t>
      </w:r>
      <w:r w:rsidR="009143E5">
        <w:t>How does the emissions performance of non-road diesel equipment influence purchasing decisions?</w:t>
      </w:r>
    </w:p>
    <w:p w14:paraId="42F7D541" w14:textId="5E227BEB" w:rsidR="009143E5" w:rsidRDefault="00DA705B" w:rsidP="009143E5">
      <w:pPr>
        <w:pStyle w:val="BoxText"/>
      </w:pPr>
      <w:r>
        <w:t xml:space="preserve">4) </w:t>
      </w:r>
      <w:r w:rsidR="009143E5">
        <w:t>Have you participated in a voluntary scheme to reduce NRDE emissions? If so, was it effective and why?</w:t>
      </w:r>
    </w:p>
    <w:p w14:paraId="38BCF9F4" w14:textId="5B581B8E" w:rsidR="009143E5" w:rsidRPr="00E70CBA" w:rsidRDefault="009143E5" w:rsidP="00E70CBA">
      <w:pPr>
        <w:pStyle w:val="BoxHeading"/>
      </w:pPr>
      <w:r w:rsidRPr="00E70CBA">
        <w:t>Topic - Future market conditions in the absence of intervention (</w:t>
      </w:r>
      <w:r w:rsidR="00E70CBA">
        <w:fldChar w:fldCharType="begin"/>
      </w:r>
      <w:r w:rsidR="00E70CBA">
        <w:instrText xml:space="preserve"> REF _Ref63321691 \h </w:instrText>
      </w:r>
      <w:r w:rsidR="00E70CBA">
        <w:fldChar w:fldCharType="separate"/>
      </w:r>
      <w:r w:rsidR="00E70CBA">
        <w:t xml:space="preserve">Box </w:t>
      </w:r>
      <w:r w:rsidR="00E70CBA">
        <w:rPr>
          <w:noProof/>
        </w:rPr>
        <w:t>2</w:t>
      </w:r>
      <w:r w:rsidR="00E70CBA">
        <w:fldChar w:fldCharType="end"/>
      </w:r>
      <w:r w:rsidRPr="00E70CBA">
        <w:t>)</w:t>
      </w:r>
    </w:p>
    <w:p w14:paraId="44CDC93A" w14:textId="1ACA410E" w:rsidR="009143E5" w:rsidRDefault="00883816" w:rsidP="009143E5">
      <w:pPr>
        <w:pStyle w:val="BoxText"/>
      </w:pPr>
      <w:r>
        <w:t xml:space="preserve">5) </w:t>
      </w:r>
      <w:r w:rsidR="009143E5">
        <w:t>Can you suggest or provide evidence for alternative assumptions about transitioning to alternative energy for NRDE applications?</w:t>
      </w:r>
    </w:p>
    <w:p w14:paraId="25AD89C4" w14:textId="4B7780D1" w:rsidR="009143E5" w:rsidRDefault="00883816" w:rsidP="009143E5">
      <w:pPr>
        <w:pStyle w:val="BoxText"/>
      </w:pPr>
      <w:r>
        <w:t xml:space="preserve">6) </w:t>
      </w:r>
      <w:r w:rsidR="009143E5">
        <w:t>Are you able to demonstrate more reasonable assumptions about future market conditions in the absence of intervention?</w:t>
      </w:r>
    </w:p>
    <w:p w14:paraId="0D8AF9ED" w14:textId="5409BA9C" w:rsidR="009143E5" w:rsidRPr="00883816" w:rsidRDefault="009143E5" w:rsidP="00883816">
      <w:pPr>
        <w:pStyle w:val="BoxHeading"/>
      </w:pPr>
      <w:r w:rsidRPr="00883816">
        <w:t>Topic - Management scenario overarching assumptions (</w:t>
      </w:r>
      <w:r w:rsidR="00883816">
        <w:fldChar w:fldCharType="begin"/>
      </w:r>
      <w:r w:rsidR="00883816">
        <w:instrText xml:space="preserve"> REF _Ref63323197 \h </w:instrText>
      </w:r>
      <w:r w:rsidR="00883816">
        <w:fldChar w:fldCharType="separate"/>
      </w:r>
      <w:r w:rsidR="00883816">
        <w:t xml:space="preserve">Box </w:t>
      </w:r>
      <w:r w:rsidR="00883816">
        <w:rPr>
          <w:noProof/>
        </w:rPr>
        <w:t>3</w:t>
      </w:r>
      <w:r w:rsidR="00883816">
        <w:fldChar w:fldCharType="end"/>
      </w:r>
      <w:r w:rsidRPr="00883816">
        <w:t>)</w:t>
      </w:r>
    </w:p>
    <w:p w14:paraId="27A2A4C8" w14:textId="7C628F79" w:rsidR="009143E5" w:rsidRDefault="00883816" w:rsidP="009143E5">
      <w:pPr>
        <w:pStyle w:val="BoxText"/>
      </w:pPr>
      <w:r>
        <w:t xml:space="preserve">7) </w:t>
      </w:r>
      <w:r w:rsidR="009143E5">
        <w:t>Do you have any insights or concerns regarding how the management scenarios address:</w:t>
      </w:r>
    </w:p>
    <w:p w14:paraId="25986287" w14:textId="1F1362E3" w:rsidR="009143E5" w:rsidRDefault="009143E5" w:rsidP="00172404">
      <w:pPr>
        <w:pStyle w:val="BoxTextBullet"/>
      </w:pPr>
      <w:r>
        <w:t>NRDE equipment introduced into Australia for the first time; or</w:t>
      </w:r>
    </w:p>
    <w:p w14:paraId="62088EA9" w14:textId="42CAA3D6" w:rsidR="009143E5" w:rsidRDefault="009143E5" w:rsidP="00172404">
      <w:pPr>
        <w:pStyle w:val="BoxTextBullet"/>
      </w:pPr>
      <w:r>
        <w:t>loose replacement engines in NRDE equipment?</w:t>
      </w:r>
    </w:p>
    <w:p w14:paraId="7D55DD61" w14:textId="55ACEFA8" w:rsidR="009143E5" w:rsidRDefault="00883816" w:rsidP="009143E5">
      <w:pPr>
        <w:pStyle w:val="BoxText"/>
      </w:pPr>
      <w:r>
        <w:t xml:space="preserve">8) </w:t>
      </w:r>
      <w:r w:rsidR="009143E5">
        <w:t>Do you have any insights or concerns regarding the overarching assumption regarding technical barriers associated with management scenarios? If so, please provide as much information as possible such as:</w:t>
      </w:r>
    </w:p>
    <w:p w14:paraId="621AD955" w14:textId="6672E209" w:rsidR="009143E5" w:rsidRDefault="00881FD7" w:rsidP="00172404">
      <w:pPr>
        <w:pStyle w:val="BoxTextBullet"/>
      </w:pPr>
      <w:r>
        <w:t>e</w:t>
      </w:r>
      <w:r w:rsidR="009143E5">
        <w:t>quipment types</w:t>
      </w:r>
    </w:p>
    <w:p w14:paraId="3B107EE6" w14:textId="10771AA4" w:rsidR="009143E5" w:rsidRDefault="00881FD7" w:rsidP="00172404">
      <w:pPr>
        <w:pStyle w:val="BoxTextBullet"/>
      </w:pPr>
      <w:r>
        <w:t>p</w:t>
      </w:r>
      <w:r w:rsidR="009143E5">
        <w:t>ower bands</w:t>
      </w:r>
    </w:p>
    <w:p w14:paraId="02E1226A" w14:textId="41B6B850" w:rsidR="009143E5" w:rsidRDefault="00881FD7" w:rsidP="00172404">
      <w:pPr>
        <w:pStyle w:val="BoxTextBullet"/>
      </w:pPr>
      <w:r>
        <w:t>u</w:t>
      </w:r>
      <w:r w:rsidR="009143E5">
        <w:t>se, such as geographic considerations.</w:t>
      </w:r>
    </w:p>
    <w:p w14:paraId="4679AB13" w14:textId="77777777" w:rsidR="00924548" w:rsidRDefault="00924548" w:rsidP="00AC5A62">
      <w:pPr>
        <w:pStyle w:val="BoxHeading"/>
      </w:pPr>
    </w:p>
    <w:p w14:paraId="01825E09" w14:textId="4FE76497" w:rsidR="00924548" w:rsidRDefault="00924548" w:rsidP="00AC5A62">
      <w:pPr>
        <w:pStyle w:val="BoxHeading"/>
      </w:pPr>
    </w:p>
    <w:p w14:paraId="7B0AD91C" w14:textId="77777777" w:rsidR="00FC0B3C" w:rsidRDefault="00FC0B3C" w:rsidP="00AC5A62">
      <w:pPr>
        <w:pStyle w:val="BoxHeading"/>
      </w:pPr>
    </w:p>
    <w:p w14:paraId="11F1DC5B" w14:textId="44A4CE12" w:rsidR="009143E5" w:rsidRPr="00AC5A62" w:rsidRDefault="009143E5" w:rsidP="00AC5A62">
      <w:pPr>
        <w:pStyle w:val="BoxHeading"/>
      </w:pPr>
      <w:r w:rsidRPr="00AC5A62">
        <w:lastRenderedPageBreak/>
        <w:t xml:space="preserve">Topic - Scenario 1, </w:t>
      </w:r>
      <w:r w:rsidR="00881FD7" w:rsidRPr="00AC5A62">
        <w:t>i</w:t>
      </w:r>
      <w:r w:rsidRPr="00AC5A62">
        <w:t>ndustry standards (</w:t>
      </w:r>
      <w:r w:rsidR="002E0899">
        <w:fldChar w:fldCharType="begin"/>
      </w:r>
      <w:r w:rsidR="002E0899">
        <w:instrText xml:space="preserve"> REF _Ref63326185 \h </w:instrText>
      </w:r>
      <w:r w:rsidR="002E0899">
        <w:fldChar w:fldCharType="separate"/>
      </w:r>
      <w:r w:rsidR="002E0899">
        <w:t xml:space="preserve">Box </w:t>
      </w:r>
      <w:r w:rsidR="002E0899">
        <w:rPr>
          <w:noProof/>
        </w:rPr>
        <w:t>6</w:t>
      </w:r>
      <w:r w:rsidR="002E0899">
        <w:fldChar w:fldCharType="end"/>
      </w:r>
      <w:r w:rsidRPr="00AC5A62">
        <w:t>)</w:t>
      </w:r>
    </w:p>
    <w:p w14:paraId="069F4A1C" w14:textId="1497125C" w:rsidR="009143E5" w:rsidRDefault="00875166" w:rsidP="009143E5">
      <w:pPr>
        <w:pStyle w:val="BoxText"/>
      </w:pPr>
      <w:r>
        <w:t xml:space="preserve">9) </w:t>
      </w:r>
      <w:r w:rsidR="009143E5">
        <w:t xml:space="preserve">Do you prefer </w:t>
      </w:r>
      <w:r w:rsidR="00881FD7">
        <w:t>o</w:t>
      </w:r>
      <w:r w:rsidR="009143E5">
        <w:t xml:space="preserve">ption A or </w:t>
      </w:r>
      <w:r w:rsidR="00881FD7">
        <w:t>o</w:t>
      </w:r>
      <w:r w:rsidR="009143E5">
        <w:t>ption B and why?</w:t>
      </w:r>
    </w:p>
    <w:p w14:paraId="27EABD62" w14:textId="7ECFCB27" w:rsidR="009143E5" w:rsidRDefault="00875166" w:rsidP="009143E5">
      <w:pPr>
        <w:pStyle w:val="BoxText"/>
      </w:pPr>
      <w:r>
        <w:t xml:space="preserve">10) </w:t>
      </w:r>
      <w:r w:rsidR="009143E5">
        <w:t>Do you think labelling would be an important feature for any voluntary approach? If so why?</w:t>
      </w:r>
    </w:p>
    <w:p w14:paraId="73702EB1" w14:textId="3F6EBCB3" w:rsidR="009143E5" w:rsidRDefault="00875166" w:rsidP="009143E5">
      <w:pPr>
        <w:pStyle w:val="BoxText"/>
      </w:pPr>
      <w:r>
        <w:t xml:space="preserve">11) </w:t>
      </w:r>
      <w:r w:rsidR="009143E5">
        <w:t xml:space="preserve">Can you suggest a better way for industry to manage NRDE emission rather than those suggested in </w:t>
      </w:r>
      <w:r w:rsidR="00881FD7">
        <w:t>o</w:t>
      </w:r>
      <w:r w:rsidR="009143E5">
        <w:t xml:space="preserve">ption A and B? If so, please provide as much detail as possible about scope, timing and roles for </w:t>
      </w:r>
      <w:r w:rsidR="00881FD7">
        <w:t>g</w:t>
      </w:r>
      <w:r w:rsidR="009143E5">
        <w:t xml:space="preserve">overnment, </w:t>
      </w:r>
      <w:proofErr w:type="gramStart"/>
      <w:r w:rsidR="009143E5">
        <w:t>suppliers</w:t>
      </w:r>
      <w:proofErr w:type="gramEnd"/>
      <w:r w:rsidR="009143E5">
        <w:t xml:space="preserve"> and consumers.</w:t>
      </w:r>
    </w:p>
    <w:p w14:paraId="31BC3131" w14:textId="0B3DCC10" w:rsidR="009143E5" w:rsidRPr="00875166" w:rsidRDefault="009143E5" w:rsidP="00875166">
      <w:pPr>
        <w:pStyle w:val="BoxHeading"/>
      </w:pPr>
      <w:r w:rsidRPr="00875166">
        <w:t xml:space="preserve">Questions related to </w:t>
      </w:r>
      <w:r w:rsidR="00F26822" w:rsidRPr="00875166">
        <w:t>s</w:t>
      </w:r>
      <w:r w:rsidRPr="00875166">
        <w:t xml:space="preserve">cenario 1 </w:t>
      </w:r>
      <w:r w:rsidR="00F26822" w:rsidRPr="00875166">
        <w:t>o</w:t>
      </w:r>
      <w:r w:rsidRPr="00875166">
        <w:t xml:space="preserve">ption A – </w:t>
      </w:r>
      <w:r w:rsidR="00F26822" w:rsidRPr="00875166">
        <w:t>c</w:t>
      </w:r>
      <w:r w:rsidRPr="00875166">
        <w:t>onsistent targets for industry groups</w:t>
      </w:r>
    </w:p>
    <w:p w14:paraId="1BB7E611" w14:textId="4D7EE2BB" w:rsidR="009143E5" w:rsidRDefault="00875166" w:rsidP="009143E5">
      <w:pPr>
        <w:pStyle w:val="BoxText"/>
      </w:pPr>
      <w:r>
        <w:t xml:space="preserve">12) </w:t>
      </w:r>
      <w:r w:rsidR="009143E5">
        <w:t>We have suggested a 50% target. Is this percentage a reasonable balance between emission reductions and flexibility? If no, what percentage offers that balance and why?</w:t>
      </w:r>
    </w:p>
    <w:p w14:paraId="7901D5AA" w14:textId="17CD089C" w:rsidR="009143E5" w:rsidRDefault="00875166" w:rsidP="009143E5">
      <w:pPr>
        <w:pStyle w:val="BoxText"/>
      </w:pPr>
      <w:r>
        <w:t xml:space="preserve">13) </w:t>
      </w:r>
      <w:r w:rsidR="009143E5">
        <w:t>Is there another way to ensure that emissions reductions are occurring in populated areas other than the industry grouping approach?</w:t>
      </w:r>
    </w:p>
    <w:p w14:paraId="566EE380" w14:textId="23DD5113" w:rsidR="009143E5" w:rsidRDefault="00875166" w:rsidP="009143E5">
      <w:pPr>
        <w:pStyle w:val="BoxText"/>
      </w:pPr>
      <w:r>
        <w:t xml:space="preserve">14) </w:t>
      </w:r>
      <w:r w:rsidR="009143E5">
        <w:t>Is it practical to commence this scenario within 2 years after any hypothetical decision to introduce this management option? If no what is an appropriate date to commence this scenario and why?</w:t>
      </w:r>
    </w:p>
    <w:p w14:paraId="771A925E" w14:textId="2E2C3CC6" w:rsidR="009143E5" w:rsidRDefault="00875166" w:rsidP="009143E5">
      <w:pPr>
        <w:pStyle w:val="BoxText"/>
      </w:pPr>
      <w:r>
        <w:t xml:space="preserve">15) </w:t>
      </w:r>
      <w:r w:rsidR="009143E5">
        <w:t>Are there other possible benefits or drawbacks?</w:t>
      </w:r>
    </w:p>
    <w:p w14:paraId="516E1D6E" w14:textId="4674D132" w:rsidR="009143E5" w:rsidRPr="00875166" w:rsidRDefault="009143E5" w:rsidP="00875166">
      <w:pPr>
        <w:pStyle w:val="BoxHeading"/>
      </w:pPr>
      <w:r w:rsidRPr="00875166">
        <w:t xml:space="preserve">Questions related to </w:t>
      </w:r>
      <w:r w:rsidR="00991D16" w:rsidRPr="00875166">
        <w:t>s</w:t>
      </w:r>
      <w:r w:rsidRPr="00875166">
        <w:t xml:space="preserve">cenario 1 </w:t>
      </w:r>
      <w:r w:rsidR="00991D16" w:rsidRPr="00875166">
        <w:t>o</w:t>
      </w:r>
      <w:r w:rsidRPr="00875166">
        <w:t xml:space="preserve">ption B – </w:t>
      </w:r>
      <w:r w:rsidR="00991D16" w:rsidRPr="00875166">
        <w:t>p</w:t>
      </w:r>
      <w:r w:rsidRPr="00875166">
        <w:t>ower band targets</w:t>
      </w:r>
    </w:p>
    <w:p w14:paraId="086BD36A" w14:textId="7FBD9F66" w:rsidR="009143E5" w:rsidRDefault="00875166" w:rsidP="009143E5">
      <w:pPr>
        <w:pStyle w:val="BoxText"/>
      </w:pPr>
      <w:r>
        <w:t xml:space="preserve">16) </w:t>
      </w:r>
      <w:r w:rsidR="009143E5">
        <w:t>We have suggested a 50% target. Is this percentage a reasonable balance between emission reductions and flexibility? If no, what percentage offers that balance and why?</w:t>
      </w:r>
    </w:p>
    <w:p w14:paraId="2B9A43CE" w14:textId="6763F761" w:rsidR="009143E5" w:rsidRDefault="00875166" w:rsidP="009143E5">
      <w:pPr>
        <w:pStyle w:val="BoxText"/>
      </w:pPr>
      <w:r>
        <w:t xml:space="preserve">17) </w:t>
      </w:r>
      <w:r w:rsidR="009143E5">
        <w:t xml:space="preserve">Is there a better power threshold to use (than 37KW) to move from </w:t>
      </w:r>
      <w:r w:rsidR="00391500">
        <w:t>t</w:t>
      </w:r>
      <w:r w:rsidR="009143E5">
        <w:t xml:space="preserve">ier 3 to </w:t>
      </w:r>
      <w:r w:rsidR="00391500">
        <w:t>t</w:t>
      </w:r>
      <w:r w:rsidR="009143E5">
        <w:t>ier 4f technology which ensures that emissions reductions are occurring in populated areas? If yes, please provide an alternative power threshold and why?</w:t>
      </w:r>
    </w:p>
    <w:p w14:paraId="5827F573" w14:textId="49022BAB" w:rsidR="009143E5" w:rsidRDefault="00875166" w:rsidP="009143E5">
      <w:pPr>
        <w:pStyle w:val="BoxText"/>
      </w:pPr>
      <w:r>
        <w:t xml:space="preserve">18) </w:t>
      </w:r>
      <w:r w:rsidR="009143E5">
        <w:t>Is it practical to commence this scenario within 2 years after any hypothetical decision to introduce this management option? If no what is an appropriate date to commence this scenario and why?</w:t>
      </w:r>
    </w:p>
    <w:p w14:paraId="10001EC9" w14:textId="28492E0C" w:rsidR="009143E5" w:rsidRDefault="00875166" w:rsidP="009143E5">
      <w:pPr>
        <w:pStyle w:val="BoxText"/>
      </w:pPr>
      <w:r>
        <w:t xml:space="preserve">19) </w:t>
      </w:r>
      <w:r w:rsidR="009143E5">
        <w:t>Are there other possible benefits or drawbacks?</w:t>
      </w:r>
    </w:p>
    <w:p w14:paraId="6FA9CEF9" w14:textId="519CE425" w:rsidR="009143E5" w:rsidRPr="00875166" w:rsidRDefault="009143E5" w:rsidP="00875166">
      <w:pPr>
        <w:pStyle w:val="BoxHeading"/>
      </w:pPr>
      <w:r w:rsidRPr="00875166">
        <w:t xml:space="preserve">Topic - Scenario 2, </w:t>
      </w:r>
      <w:r w:rsidR="007A2262" w:rsidRPr="00875166">
        <w:t>p</w:t>
      </w:r>
      <w:r w:rsidRPr="00875166">
        <w:t>hased introduction of standards (</w:t>
      </w:r>
      <w:r w:rsidR="004619F7">
        <w:fldChar w:fldCharType="begin"/>
      </w:r>
      <w:r w:rsidR="004619F7">
        <w:instrText xml:space="preserve"> REF _Ref63327192 \h </w:instrText>
      </w:r>
      <w:r w:rsidR="004619F7">
        <w:fldChar w:fldCharType="separate"/>
      </w:r>
      <w:r w:rsidR="004619F7">
        <w:t xml:space="preserve">Box </w:t>
      </w:r>
      <w:r w:rsidR="004619F7">
        <w:rPr>
          <w:noProof/>
        </w:rPr>
        <w:t>7</w:t>
      </w:r>
      <w:r w:rsidR="004619F7">
        <w:fldChar w:fldCharType="end"/>
      </w:r>
      <w:r w:rsidRPr="00875166">
        <w:t>)</w:t>
      </w:r>
    </w:p>
    <w:p w14:paraId="60760B02" w14:textId="429D2DCF" w:rsidR="009143E5" w:rsidRDefault="004619F7" w:rsidP="009143E5">
      <w:pPr>
        <w:pStyle w:val="BoxText"/>
      </w:pPr>
      <w:r>
        <w:t xml:space="preserve">20) </w:t>
      </w:r>
      <w:r w:rsidR="009143E5">
        <w:t>Are these appropriate dates to initiate each phase of this scenario after any hypothetical decision to introduce this management option? If no, what dates are appropriate and why?</w:t>
      </w:r>
    </w:p>
    <w:p w14:paraId="2B9142F0" w14:textId="364B5463" w:rsidR="009143E5" w:rsidRDefault="004619F7" w:rsidP="009143E5">
      <w:pPr>
        <w:pStyle w:val="BoxText"/>
      </w:pPr>
      <w:r>
        <w:t xml:space="preserve">21) </w:t>
      </w:r>
      <w:r w:rsidR="009143E5">
        <w:t>Are there other possible benefits or drawbacks?</w:t>
      </w:r>
    </w:p>
    <w:p w14:paraId="7EC1CAA6" w14:textId="1CEF85FD" w:rsidR="009143E5" w:rsidRPr="004619F7" w:rsidRDefault="009143E5" w:rsidP="004619F7">
      <w:pPr>
        <w:pStyle w:val="BoxHeading"/>
      </w:pPr>
      <w:r w:rsidRPr="004619F7">
        <w:t xml:space="preserve">Topic - Scenario 3, </w:t>
      </w:r>
      <w:r w:rsidR="00E47111" w:rsidRPr="004619F7">
        <w:t>b</w:t>
      </w:r>
      <w:r w:rsidRPr="004619F7">
        <w:t>est practice standards as soon as practicable (</w:t>
      </w:r>
      <w:r w:rsidR="0012703C">
        <w:fldChar w:fldCharType="begin"/>
      </w:r>
      <w:r w:rsidR="0012703C">
        <w:instrText xml:space="preserve"> REF _Ref63327655 \h </w:instrText>
      </w:r>
      <w:r w:rsidR="0012703C">
        <w:fldChar w:fldCharType="separate"/>
      </w:r>
      <w:r w:rsidR="0012703C">
        <w:t xml:space="preserve">Box </w:t>
      </w:r>
      <w:r w:rsidR="0012703C">
        <w:rPr>
          <w:noProof/>
        </w:rPr>
        <w:t>8</w:t>
      </w:r>
      <w:r w:rsidR="0012703C">
        <w:fldChar w:fldCharType="end"/>
      </w:r>
      <w:r w:rsidRPr="004619F7">
        <w:t>)</w:t>
      </w:r>
    </w:p>
    <w:p w14:paraId="6B883DDC" w14:textId="136BDA14" w:rsidR="009143E5" w:rsidRDefault="0012703C" w:rsidP="009143E5">
      <w:pPr>
        <w:pStyle w:val="BoxText"/>
      </w:pPr>
      <w:r>
        <w:t xml:space="preserve">22) </w:t>
      </w:r>
      <w:r w:rsidR="009143E5">
        <w:t>What is an appropriate date to initiate each phase of this scenario?</w:t>
      </w:r>
    </w:p>
    <w:p w14:paraId="655CD657" w14:textId="5E293B9B" w:rsidR="00DD070E" w:rsidRDefault="0012703C" w:rsidP="009143E5">
      <w:pPr>
        <w:pStyle w:val="BoxText"/>
        <w:rPr>
          <w:rStyle w:val="Strong"/>
        </w:rPr>
      </w:pPr>
      <w:r>
        <w:t xml:space="preserve">23) </w:t>
      </w:r>
      <w:r w:rsidR="009143E5">
        <w:t>Are there other possible benefits or drawbacks?</w:t>
      </w:r>
    </w:p>
    <w:p w14:paraId="56077EF5" w14:textId="6739DE89" w:rsidR="00BE2734" w:rsidRDefault="00BE2734" w:rsidP="00A32EE7">
      <w:pPr>
        <w:pStyle w:val="Heading2"/>
        <w:numPr>
          <w:ilvl w:val="0"/>
          <w:numId w:val="0"/>
        </w:numPr>
        <w:ind w:left="720" w:hanging="720"/>
      </w:pPr>
      <w:bookmarkStart w:id="82" w:name="_Appendix_2:_Analysis"/>
      <w:bookmarkStart w:id="83" w:name="_Toc63874253"/>
      <w:bookmarkEnd w:id="82"/>
      <w:r w:rsidRPr="00DC1B71">
        <w:lastRenderedPageBreak/>
        <w:t xml:space="preserve">Appendix </w:t>
      </w:r>
      <w:r w:rsidR="00A32EE7" w:rsidRPr="00DC1B71">
        <w:t xml:space="preserve">2: </w:t>
      </w:r>
      <w:r w:rsidRPr="00DC1B71">
        <w:t>Analysis</w:t>
      </w:r>
      <w:r>
        <w:t xml:space="preserve"> method</w:t>
      </w:r>
      <w:bookmarkEnd w:id="83"/>
    </w:p>
    <w:p w14:paraId="789E60CE" w14:textId="77777777" w:rsidR="00BE2734" w:rsidRDefault="00BE2734" w:rsidP="00BE2734">
      <w:r>
        <w:t xml:space="preserve">The department has commissioned EMM Consulting, supported by RPS Consulting, </w:t>
      </w:r>
      <w:proofErr w:type="gramStart"/>
      <w:r>
        <w:t>CSIRO</w:t>
      </w:r>
      <w:proofErr w:type="gramEnd"/>
      <w:r>
        <w:t xml:space="preserve"> and the University of Sydney to undertake a cost-benefit analysis of scenarios to manage NRDE emissions in Australia. The cost-benefit analysis will be presented using a combination of:</w:t>
      </w:r>
    </w:p>
    <w:p w14:paraId="6EF4BCF0" w14:textId="1CE341B7" w:rsidR="00BE2734" w:rsidRDefault="00BE2734" w:rsidP="00BE2734">
      <w:pPr>
        <w:pStyle w:val="ListBullet"/>
      </w:pPr>
      <w:r>
        <w:t>placing a financial value upon costs</w:t>
      </w:r>
      <w:r w:rsidR="005B0179">
        <w:t xml:space="preserve"> and </w:t>
      </w:r>
      <w:r>
        <w:t>benefits (monetising cost</w:t>
      </w:r>
      <w:r w:rsidR="005B0179">
        <w:t xml:space="preserve">s and </w:t>
      </w:r>
      <w:r>
        <w:t>benefits)</w:t>
      </w:r>
    </w:p>
    <w:p w14:paraId="3E013800" w14:textId="5F0E6C55" w:rsidR="00BE2734" w:rsidRDefault="00BE2734" w:rsidP="00BE2734">
      <w:pPr>
        <w:pStyle w:val="ListBullet"/>
      </w:pPr>
      <w:r>
        <w:t>quantified but not monetised costs</w:t>
      </w:r>
      <w:r w:rsidR="005B0179">
        <w:t xml:space="preserve"> and </w:t>
      </w:r>
      <w:r>
        <w:t>benefits</w:t>
      </w:r>
    </w:p>
    <w:p w14:paraId="4FCE38BB" w14:textId="531D2AFB" w:rsidR="00BE2734" w:rsidRDefault="00BE2734" w:rsidP="00BE2734">
      <w:pPr>
        <w:pStyle w:val="ListBullet"/>
      </w:pPr>
      <w:r>
        <w:t>qualitative but not quantified or monetised costs</w:t>
      </w:r>
      <w:r w:rsidR="00FA5053">
        <w:t xml:space="preserve"> and </w:t>
      </w:r>
      <w:r>
        <w:t>benefits.</w:t>
      </w:r>
    </w:p>
    <w:p w14:paraId="35634AE1" w14:textId="1AE0AEA5" w:rsidR="00BE2734" w:rsidRDefault="00BE2734" w:rsidP="00BE2734">
      <w:r>
        <w:t>This combination will enable decision</w:t>
      </w:r>
      <w:r w:rsidR="00500DC2">
        <w:rPr>
          <w:rStyle w:val="CommentReference"/>
        </w:rPr>
        <w:t>-</w:t>
      </w:r>
      <w:r>
        <w:t>makers to consider the best available information.</w:t>
      </w:r>
    </w:p>
    <w:p w14:paraId="3D3C77A0" w14:textId="6BA33819" w:rsidR="00BE2734" w:rsidRDefault="00BE2734" w:rsidP="00BE2734">
      <w:r>
        <w:t>Quantitative modelling:</w:t>
      </w:r>
    </w:p>
    <w:p w14:paraId="53C5FF74" w14:textId="5E30A702" w:rsidR="00BE2734" w:rsidRDefault="00BE2734" w:rsidP="00BE2734">
      <w:pPr>
        <w:pStyle w:val="ListBullet"/>
      </w:pPr>
      <w:r>
        <w:t xml:space="preserve">will build on the market analysis and model population exposure to NRDE emissions for each management scenario and associated health impacts </w:t>
      </w:r>
      <w:r w:rsidR="009651F8">
        <w:t>(t</w:t>
      </w:r>
      <w:r w:rsidR="009651F8" w:rsidRPr="001521C1">
        <w:t>he impacts of air pollution on health cannot be directly counted (</w:t>
      </w:r>
      <w:r w:rsidR="009651F8">
        <w:t>for example</w:t>
      </w:r>
      <w:r w:rsidR="009651F8" w:rsidRPr="001521C1">
        <w:t xml:space="preserve"> as per traffic accidents) and must be evaluated from estimates of health risk based on scientific research</w:t>
      </w:r>
      <w:r w:rsidR="009651F8">
        <w:t>)</w:t>
      </w:r>
    </w:p>
    <w:p w14:paraId="63D2C8D8" w14:textId="62698AB0" w:rsidR="00BE2734" w:rsidRDefault="00BE2734" w:rsidP="00BE2734">
      <w:pPr>
        <w:pStyle w:val="ListBullet"/>
      </w:pPr>
      <w:r>
        <w:t>is designed to allow the modelled output for each management scenario to be manipulated after the cost-benefit analysis. This would allow a possible future regulatory impact analysis to formulate alternate management scenarios, such as different start dates, and quantify the subsequent effects on costs and benefits.</w:t>
      </w:r>
    </w:p>
    <w:p w14:paraId="6DBAD3EC" w14:textId="77777777" w:rsidR="009E2DBC" w:rsidRPr="004C400D" w:rsidRDefault="009E2DBC" w:rsidP="00EC0C26">
      <w:pPr>
        <w:pStyle w:val="Heading3"/>
        <w:numPr>
          <w:ilvl w:val="0"/>
          <w:numId w:val="0"/>
        </w:numPr>
        <w:ind w:left="964" w:hanging="964"/>
      </w:pPr>
      <w:bookmarkStart w:id="84" w:name="_Toc63874254"/>
      <w:r w:rsidRPr="004C400D">
        <w:t>Quantitative modelling</w:t>
      </w:r>
      <w:bookmarkEnd w:id="84"/>
    </w:p>
    <w:p w14:paraId="3360E8C4" w14:textId="77777777" w:rsidR="009E2DBC" w:rsidRPr="004C400D" w:rsidRDefault="009E2DBC" w:rsidP="00EC0C26">
      <w:pPr>
        <w:pStyle w:val="Heading4"/>
        <w:numPr>
          <w:ilvl w:val="0"/>
          <w:numId w:val="0"/>
        </w:numPr>
        <w:ind w:left="964" w:hanging="964"/>
      </w:pPr>
      <w:r w:rsidRPr="004C400D">
        <w:t>Process</w:t>
      </w:r>
    </w:p>
    <w:p w14:paraId="27CE6D90" w14:textId="77777777" w:rsidR="009E2DBC" w:rsidRDefault="009E2DBC" w:rsidP="009E2DBC">
      <w:r>
        <w:t>Cost-benefit analysis modelling involves five steps:</w:t>
      </w:r>
    </w:p>
    <w:p w14:paraId="354DF64B" w14:textId="2AD52592" w:rsidR="009E2DBC" w:rsidRDefault="009E2DBC" w:rsidP="000A335E">
      <w:pPr>
        <w:pStyle w:val="ListNumber"/>
      </w:pPr>
      <w:r>
        <w:t>Industry model</w:t>
      </w:r>
    </w:p>
    <w:p w14:paraId="0AEE71F1" w14:textId="5D74BE20" w:rsidR="009E2DBC" w:rsidRDefault="009E2DBC" w:rsidP="000A335E">
      <w:pPr>
        <w:pStyle w:val="ListNumber"/>
      </w:pPr>
      <w:r>
        <w:t>Emissions model</w:t>
      </w:r>
    </w:p>
    <w:p w14:paraId="7895E418" w14:textId="58C7D63C" w:rsidR="009E2DBC" w:rsidRDefault="009E2DBC" w:rsidP="000A335E">
      <w:pPr>
        <w:pStyle w:val="ListNumber"/>
      </w:pPr>
      <w:r>
        <w:t>Exposure model</w:t>
      </w:r>
    </w:p>
    <w:p w14:paraId="295C59BE" w14:textId="5396816B" w:rsidR="009E2DBC" w:rsidRDefault="009E2DBC" w:rsidP="000A335E">
      <w:pPr>
        <w:pStyle w:val="ListNumber"/>
      </w:pPr>
      <w:r>
        <w:t>Health effects model</w:t>
      </w:r>
    </w:p>
    <w:p w14:paraId="56EB8C96" w14:textId="6147F68B" w:rsidR="009E2DBC" w:rsidRDefault="009E2DBC" w:rsidP="000A335E">
      <w:pPr>
        <w:pStyle w:val="ListNumber"/>
      </w:pPr>
      <w:r>
        <w:t>Economic model</w:t>
      </w:r>
    </w:p>
    <w:p w14:paraId="257D4A09" w14:textId="77777777" w:rsidR="009E2DBC" w:rsidRDefault="009E2DBC" w:rsidP="009E2DBC">
      <w:r>
        <w:t>These steps are replicated for each management scenario and are described below.</w:t>
      </w:r>
    </w:p>
    <w:p w14:paraId="05357EA0" w14:textId="25BE6667" w:rsidR="009E2DBC" w:rsidRDefault="009E2DBC" w:rsidP="00EE4CDB">
      <w:pPr>
        <w:pStyle w:val="ListNumber"/>
        <w:numPr>
          <w:ilvl w:val="0"/>
          <w:numId w:val="33"/>
        </w:numPr>
      </w:pPr>
      <w:r w:rsidRPr="00A24DC6">
        <w:rPr>
          <w:rStyle w:val="Strong"/>
        </w:rPr>
        <w:t>Industry model</w:t>
      </w:r>
      <w:r w:rsidR="00EE4CDB">
        <w:t xml:space="preserve"> </w:t>
      </w:r>
      <w:r w:rsidR="00A24DC6">
        <w:t xml:space="preserve">– </w:t>
      </w:r>
      <w:r>
        <w:t>How each management scenario modifies the sales and stock of NRDE (and subsequent emissions) and the associated costs and benefits. Sectoral calculations may include such matters as marginal costs for replacement with lower emissions equipment and changes in running costs that may be associated with changes in fuel efficiency.</w:t>
      </w:r>
    </w:p>
    <w:p w14:paraId="0312B558" w14:textId="77777777" w:rsidR="001574DE" w:rsidRDefault="001574DE" w:rsidP="00A24DC6">
      <w:pPr>
        <w:pStyle w:val="ListNumber"/>
        <w:numPr>
          <w:ilvl w:val="0"/>
          <w:numId w:val="33"/>
        </w:numPr>
        <w:rPr>
          <w:rStyle w:val="Strong"/>
        </w:rPr>
        <w:sectPr w:rsidR="001574DE" w:rsidSect="00F9112B">
          <w:footerReference w:type="first" r:id="rId42"/>
          <w:pgSz w:w="11906" w:h="16838"/>
          <w:pgMar w:top="1418" w:right="1418" w:bottom="1418" w:left="1418" w:header="567" w:footer="283" w:gutter="0"/>
          <w:pgNumType w:start="1"/>
          <w:cols w:space="708"/>
          <w:docGrid w:linePitch="360"/>
        </w:sectPr>
      </w:pPr>
    </w:p>
    <w:p w14:paraId="7356B89A" w14:textId="3220E001" w:rsidR="002C709D" w:rsidRDefault="002F402D" w:rsidP="00DD511A">
      <w:pPr>
        <w:pStyle w:val="ListNumber"/>
        <w:numPr>
          <w:ilvl w:val="0"/>
          <w:numId w:val="33"/>
        </w:numPr>
      </w:pPr>
      <w:r w:rsidRPr="00051523">
        <w:rPr>
          <w:rStyle w:val="Strong"/>
        </w:rPr>
        <w:lastRenderedPageBreak/>
        <w:t>Emissions model</w:t>
      </w:r>
      <w:r w:rsidR="00A24DC6">
        <w:t xml:space="preserve"> – </w:t>
      </w:r>
      <w:r w:rsidRPr="002F402D">
        <w:t xml:space="preserve">Spatial modelling of NRDE </w:t>
      </w:r>
      <w:proofErr w:type="gramStart"/>
      <w:r w:rsidRPr="002F402D">
        <w:t xml:space="preserve">emissions </w:t>
      </w:r>
      <w:r w:rsidR="001574DE">
        <w:t xml:space="preserve"> is</w:t>
      </w:r>
      <w:proofErr w:type="gramEnd"/>
      <w:r w:rsidR="001574DE">
        <w:t xml:space="preserve"> </w:t>
      </w:r>
      <w:r w:rsidR="00B513F2">
        <w:t xml:space="preserve">illustrated </w:t>
      </w:r>
      <w:r w:rsidR="001574DE">
        <w:t xml:space="preserve">in </w:t>
      </w:r>
      <w:r w:rsidR="002E3C7B">
        <w:fldChar w:fldCharType="begin"/>
      </w:r>
      <w:r w:rsidR="002E3C7B">
        <w:instrText xml:space="preserve"> REF _Ref63676472 \h </w:instrText>
      </w:r>
      <w:r w:rsidR="002E3C7B">
        <w:fldChar w:fldCharType="separate"/>
      </w:r>
      <w:r w:rsidR="002E3C7B">
        <w:t xml:space="preserve">Figure </w:t>
      </w:r>
      <w:r w:rsidR="002E3C7B">
        <w:rPr>
          <w:noProof/>
        </w:rPr>
        <w:t>14</w:t>
      </w:r>
      <w:r w:rsidR="002E3C7B">
        <w:fldChar w:fldCharType="end"/>
      </w:r>
      <w:r w:rsidR="00B10A9C">
        <w:t>.</w:t>
      </w:r>
    </w:p>
    <w:p w14:paraId="44BFC621" w14:textId="7A0EAD0C" w:rsidR="00452E54" w:rsidRDefault="005C6797" w:rsidP="005C6797">
      <w:pPr>
        <w:pStyle w:val="Caption"/>
      </w:pPr>
      <w:bookmarkStart w:id="85" w:name="_Ref63676472"/>
      <w:bookmarkStart w:id="86" w:name="_Toc63874275"/>
      <w:r>
        <w:t xml:space="preserve">Figure </w:t>
      </w:r>
      <w:r w:rsidR="00126C54">
        <w:rPr>
          <w:noProof/>
        </w:rPr>
        <w:fldChar w:fldCharType="begin"/>
      </w:r>
      <w:r w:rsidR="00126C54">
        <w:rPr>
          <w:noProof/>
        </w:rPr>
        <w:instrText xml:space="preserve"> SEQ Figure \* ARABIC </w:instrText>
      </w:r>
      <w:r w:rsidR="00126C54">
        <w:rPr>
          <w:noProof/>
        </w:rPr>
        <w:fldChar w:fldCharType="separate"/>
      </w:r>
      <w:r w:rsidR="00A418E2">
        <w:rPr>
          <w:noProof/>
        </w:rPr>
        <w:t>14</w:t>
      </w:r>
      <w:r w:rsidR="00126C54">
        <w:rPr>
          <w:noProof/>
        </w:rPr>
        <w:fldChar w:fldCharType="end"/>
      </w:r>
      <w:bookmarkEnd w:id="85"/>
      <w:r w:rsidR="00C4092B">
        <w:t xml:space="preserve"> Emission</w:t>
      </w:r>
      <w:r w:rsidR="00A40489">
        <w:t>s</w:t>
      </w:r>
      <w:r w:rsidR="00C4092B">
        <w:t xml:space="preserve"> model</w:t>
      </w:r>
      <w:bookmarkEnd w:id="86"/>
    </w:p>
    <w:p w14:paraId="0B9461DA" w14:textId="307CF495" w:rsidR="005C6797" w:rsidRDefault="00452E54" w:rsidP="00B513F2">
      <w:pPr>
        <w:pStyle w:val="Caption"/>
        <w:jc w:val="center"/>
      </w:pPr>
      <w:r w:rsidRPr="00EF00A5">
        <w:rPr>
          <w:noProof/>
        </w:rPr>
        <w:drawing>
          <wp:inline distT="0" distB="0" distL="0" distR="0" wp14:anchorId="0B6B382B" wp14:editId="7F16DBAF">
            <wp:extent cx="8106671" cy="5207003"/>
            <wp:effectExtent l="0" t="0" r="8890" b="0"/>
            <wp:docPr id="11" name="Picture 11" descr="NRDE emissions will be spatially modelled for business as usual and each of the three management scenarios. This will incorporate the emissions outcome from different purchasing decisions that would happen under each scenario. This information comes from the industry model. BAU fuel used data will also be adjusted using the industry model. The gridded emissions model will be combined with other air pollution data from anthropogenic and natural sources to model secondary pollution as an input into the chemical transpor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RDE emissions will be spatially modelled for business as usual and each of the three management scenarios. This will incorporate the emissions outcome from different purchasing decisions that would happen under each scenario. This information comes from the industry model. BAU fuel used data will also be adjusted using the industry model. The gridded emissions model will be combined with other air pollution data from anthropogenic and natural sources to model secondary pollution as an input into the chemical transport model."/>
                    <pic:cNvPicPr/>
                  </pic:nvPicPr>
                  <pic:blipFill>
                    <a:blip r:embed="rId43">
                      <a:extLst>
                        <a:ext uri="{28A0092B-C50C-407E-A947-70E740481C1C}">
                          <a14:useLocalDpi xmlns:a14="http://schemas.microsoft.com/office/drawing/2010/main" val="0"/>
                        </a:ext>
                      </a:extLst>
                    </a:blip>
                    <a:stretch>
                      <a:fillRect/>
                    </a:stretch>
                  </pic:blipFill>
                  <pic:spPr>
                    <a:xfrm>
                      <a:off x="0" y="0"/>
                      <a:ext cx="8128435" cy="5220982"/>
                    </a:xfrm>
                    <a:prstGeom prst="rect">
                      <a:avLst/>
                    </a:prstGeom>
                  </pic:spPr>
                </pic:pic>
              </a:graphicData>
            </a:graphic>
          </wp:inline>
        </w:drawing>
      </w:r>
    </w:p>
    <w:p w14:paraId="26F30B46" w14:textId="77777777" w:rsidR="00B13573" w:rsidRDefault="00B13573" w:rsidP="00685857">
      <w:pPr>
        <w:pStyle w:val="ListNumber"/>
        <w:numPr>
          <w:ilvl w:val="0"/>
          <w:numId w:val="0"/>
        </w:numPr>
        <w:tabs>
          <w:tab w:val="left" w:pos="11928"/>
        </w:tabs>
        <w:rPr>
          <w:rStyle w:val="Strong"/>
          <w:b w:val="0"/>
          <w:bCs w:val="0"/>
        </w:rPr>
        <w:sectPr w:rsidR="00B13573" w:rsidSect="0007664B">
          <w:pgSz w:w="16838" w:h="11906" w:orient="landscape"/>
          <w:pgMar w:top="1418" w:right="1418" w:bottom="1418" w:left="1418" w:header="567" w:footer="283" w:gutter="0"/>
          <w:cols w:space="708"/>
          <w:docGrid w:linePitch="360"/>
        </w:sectPr>
      </w:pPr>
    </w:p>
    <w:p w14:paraId="4B8C1EA9" w14:textId="0C51B8CD" w:rsidR="00452E54" w:rsidRPr="00452E54" w:rsidRDefault="00685857" w:rsidP="00DD511A">
      <w:pPr>
        <w:pStyle w:val="ListNumber"/>
        <w:numPr>
          <w:ilvl w:val="0"/>
          <w:numId w:val="0"/>
        </w:numPr>
        <w:tabs>
          <w:tab w:val="left" w:pos="11928"/>
        </w:tabs>
        <w:rPr>
          <w:rStyle w:val="Strong"/>
          <w:b w:val="0"/>
          <w:bCs w:val="0"/>
        </w:rPr>
      </w:pPr>
      <w:r>
        <w:rPr>
          <w:rStyle w:val="Strong"/>
          <w:b w:val="0"/>
          <w:bCs w:val="0"/>
        </w:rPr>
        <w:lastRenderedPageBreak/>
        <w:t>E</w:t>
      </w:r>
      <w:r w:rsidR="00452E54" w:rsidRPr="00452E54">
        <w:rPr>
          <w:rStyle w:val="Strong"/>
          <w:b w:val="0"/>
          <w:bCs w:val="0"/>
        </w:rPr>
        <w:t xml:space="preserve">missions of concern for health modelling are PM2.5 and NOx (which includes NO2 and NO). Ultrafine particles (UFPs) are particles with a diameter of less than 0.1 μm. There is some evidence that particles in this size range are associated with adverse health effects, however it is not currently practical to incorporate them into this cost-benefit analysis. The World Health Organization Regional Office for Europe (2013) stated a health impact assessment for ultrafine particles is not recommended. </w:t>
      </w:r>
      <w:proofErr w:type="gramStart"/>
      <w:r w:rsidR="00452E54" w:rsidRPr="00452E54">
        <w:rPr>
          <w:rStyle w:val="Strong"/>
          <w:b w:val="0"/>
          <w:bCs w:val="0"/>
        </w:rPr>
        <w:t>For the purpose of</w:t>
      </w:r>
      <w:proofErr w:type="gramEnd"/>
      <w:r w:rsidR="00452E54" w:rsidRPr="00452E54">
        <w:rPr>
          <w:rStyle w:val="Strong"/>
          <w:b w:val="0"/>
          <w:bCs w:val="0"/>
        </w:rPr>
        <w:t xml:space="preserve"> the project assessment, it has therefore been assumed that the effects of UFPs on health are adequately represented by those of PM2.5</w:t>
      </w:r>
    </w:p>
    <w:p w14:paraId="06B3B967" w14:textId="2B3DB810" w:rsidR="00452E54" w:rsidRPr="00DD511A" w:rsidRDefault="00452E54" w:rsidP="00DD511A">
      <w:pPr>
        <w:pStyle w:val="ListNumber"/>
        <w:numPr>
          <w:ilvl w:val="0"/>
          <w:numId w:val="0"/>
        </w:numPr>
        <w:tabs>
          <w:tab w:val="left" w:pos="11928"/>
        </w:tabs>
        <w:ind w:left="425" w:hanging="425"/>
        <w:rPr>
          <w:rStyle w:val="Strong"/>
          <w:b w:val="0"/>
          <w:bCs w:val="0"/>
        </w:rPr>
      </w:pPr>
      <w:r w:rsidRPr="00452E54">
        <w:rPr>
          <w:rStyle w:val="Strong"/>
          <w:b w:val="0"/>
          <w:bCs w:val="0"/>
        </w:rPr>
        <w:t>Also modelled will be other NRDE emissions that impact health and climate change</w:t>
      </w:r>
      <w:r w:rsidR="00DD511A">
        <w:rPr>
          <w:rStyle w:val="Strong"/>
          <w:b w:val="0"/>
          <w:bCs w:val="0"/>
        </w:rPr>
        <w:t>.</w:t>
      </w:r>
    </w:p>
    <w:p w14:paraId="526781FD" w14:textId="6D6A2598" w:rsidR="00DB1738" w:rsidRDefault="00511870" w:rsidP="00075367">
      <w:pPr>
        <w:pStyle w:val="ListNumber"/>
        <w:numPr>
          <w:ilvl w:val="0"/>
          <w:numId w:val="33"/>
        </w:numPr>
        <w:tabs>
          <w:tab w:val="left" w:pos="11928"/>
        </w:tabs>
      </w:pPr>
      <w:r w:rsidRPr="00470FB3">
        <w:rPr>
          <w:rStyle w:val="Strong"/>
        </w:rPr>
        <w:t>Exposure model</w:t>
      </w:r>
      <w:r w:rsidR="00470FB3">
        <w:t xml:space="preserve"> – </w:t>
      </w:r>
      <w:r w:rsidRPr="00511870">
        <w:t xml:space="preserve">National atmospheric modelling will be undertaken on a supercomputer </w:t>
      </w:r>
      <w:r w:rsidR="00C538CF">
        <w:t xml:space="preserve">for BAU and each management scenario </w:t>
      </w:r>
      <w:r w:rsidRPr="00511870">
        <w:t xml:space="preserve">to accurately model the airborne dispersion and chemical transformation of NRDE emissions. The predicted concentrations </w:t>
      </w:r>
      <w:r w:rsidR="00C538CF">
        <w:t xml:space="preserve">of ground level pollutants </w:t>
      </w:r>
      <w:r w:rsidRPr="00511870">
        <w:t>will be overlayed with gridded age specific population data to determine population exposure. Anthropogenic and natural emissions other than NRDE emissions will be included in the model to account for chemical transformation. The modelling will estimate the impacts of both primary and secondary pollution resulting from NRDE emissions.</w:t>
      </w:r>
    </w:p>
    <w:p w14:paraId="44900FA5" w14:textId="0F532B69" w:rsidR="00F01D32" w:rsidRDefault="0091454C" w:rsidP="00DB1738">
      <w:pPr>
        <w:tabs>
          <w:tab w:val="left" w:pos="11928"/>
        </w:tabs>
      </w:pPr>
      <w:r w:rsidRPr="0091454C">
        <w:t xml:space="preserve">Natural emissions sources include sea salt, biogenic, regional </w:t>
      </w:r>
      <w:proofErr w:type="gramStart"/>
      <w:r w:rsidRPr="0091454C">
        <w:t>dust</w:t>
      </w:r>
      <w:proofErr w:type="gramEnd"/>
      <w:r w:rsidRPr="0091454C">
        <w:t xml:space="preserve"> and landscape fires. This data will be derived from jurisdictional air emissions inventories. Secondary NRDE pollution are formed </w:t>
      </w:r>
      <w:proofErr w:type="gramStart"/>
      <w:r w:rsidRPr="0091454C">
        <w:t>as a result of</w:t>
      </w:r>
      <w:proofErr w:type="gramEnd"/>
      <w:r w:rsidRPr="0091454C">
        <w:t xml:space="preserve"> chemical reactions between pollutants in the atmosphere.</w:t>
      </w:r>
    </w:p>
    <w:p w14:paraId="2F696DAB" w14:textId="77777777" w:rsidR="00C538CF" w:rsidRDefault="00C538CF" w:rsidP="00C538CF">
      <w:pPr>
        <w:tabs>
          <w:tab w:val="left" w:pos="13272"/>
        </w:tabs>
      </w:pPr>
      <w:r>
        <w:t>The national atmospheric modelling will use 9-12 km grid spacing on the national scale, and a 1-3 km grid spacing at the city scale for the larger Australian capital cities. The finer-scale modelling will aim to capture more than 90% of the national population exposure. Population data is at 1km grid spacing.</w:t>
      </w:r>
    </w:p>
    <w:p w14:paraId="1CEB063D" w14:textId="068738BC" w:rsidR="00B13573" w:rsidRDefault="00330A4E" w:rsidP="00DB1738">
      <w:pPr>
        <w:tabs>
          <w:tab w:val="left" w:pos="11928"/>
        </w:tabs>
        <w:sectPr w:rsidR="00B13573" w:rsidSect="00DD511A">
          <w:pgSz w:w="11906" w:h="16838"/>
          <w:pgMar w:top="1418" w:right="1418" w:bottom="1418" w:left="1418" w:header="567" w:footer="283" w:gutter="0"/>
          <w:cols w:space="708"/>
          <w:docGrid w:linePitch="360"/>
        </w:sectPr>
      </w:pPr>
      <w:r>
        <w:fldChar w:fldCharType="begin"/>
      </w:r>
      <w:r>
        <w:instrText xml:space="preserve"> REF _Ref63679688 \h </w:instrText>
      </w:r>
      <w:r>
        <w:fldChar w:fldCharType="separate"/>
      </w:r>
      <w:r>
        <w:t xml:space="preserve">Figure </w:t>
      </w:r>
      <w:r>
        <w:rPr>
          <w:noProof/>
        </w:rPr>
        <w:t>15</w:t>
      </w:r>
      <w:r>
        <w:fldChar w:fldCharType="end"/>
      </w:r>
      <w:r w:rsidR="005F597A">
        <w:t xml:space="preserve"> </w:t>
      </w:r>
      <w:r w:rsidR="00A418E2" w:rsidRPr="00A418E2">
        <w:t xml:space="preserve">below </w:t>
      </w:r>
      <w:proofErr w:type="spellStart"/>
      <w:r w:rsidR="00B13573">
        <w:t>illistrates</w:t>
      </w:r>
      <w:proofErr w:type="spellEnd"/>
      <w:r w:rsidR="00B13573">
        <w:t xml:space="preserve"> </w:t>
      </w:r>
      <w:r w:rsidR="00A418E2" w:rsidRPr="00A418E2">
        <w:t xml:space="preserve">the </w:t>
      </w:r>
      <w:r w:rsidR="005F597A">
        <w:t>exposure</w:t>
      </w:r>
      <w:r w:rsidR="00A418E2" w:rsidRPr="00A418E2">
        <w:t xml:space="preserve"> model for NRDE</w:t>
      </w:r>
      <w:r w:rsidR="00A418E2">
        <w:t>.</w:t>
      </w:r>
    </w:p>
    <w:p w14:paraId="76CB6A4F" w14:textId="4AF34A7D" w:rsidR="00A418E2" w:rsidRDefault="00A418E2" w:rsidP="00A418E2">
      <w:pPr>
        <w:pStyle w:val="Caption"/>
      </w:pPr>
      <w:bookmarkStart w:id="87" w:name="_Ref63679688"/>
      <w:bookmarkStart w:id="88" w:name="_Toc63874276"/>
      <w:r>
        <w:lastRenderedPageBreak/>
        <w:t xml:space="preserve">Figure </w:t>
      </w:r>
      <w:r w:rsidR="00126C54">
        <w:rPr>
          <w:noProof/>
        </w:rPr>
        <w:fldChar w:fldCharType="begin"/>
      </w:r>
      <w:r w:rsidR="00126C54">
        <w:rPr>
          <w:noProof/>
        </w:rPr>
        <w:instrText xml:space="preserve"> SEQ Figure \* ARABIC </w:instrText>
      </w:r>
      <w:r w:rsidR="00126C54">
        <w:rPr>
          <w:noProof/>
        </w:rPr>
        <w:fldChar w:fldCharType="separate"/>
      </w:r>
      <w:r>
        <w:rPr>
          <w:noProof/>
        </w:rPr>
        <w:t>15</w:t>
      </w:r>
      <w:r w:rsidR="00126C54">
        <w:rPr>
          <w:noProof/>
        </w:rPr>
        <w:fldChar w:fldCharType="end"/>
      </w:r>
      <w:bookmarkEnd w:id="87"/>
      <w:r w:rsidR="005F597A">
        <w:t xml:space="preserve"> Exposure model</w:t>
      </w:r>
      <w:bookmarkEnd w:id="88"/>
    </w:p>
    <w:p w14:paraId="47835191" w14:textId="51E89158" w:rsidR="00F01D32" w:rsidRDefault="002E6927" w:rsidP="00EC699B">
      <w:pPr>
        <w:tabs>
          <w:tab w:val="left" w:pos="11928"/>
        </w:tabs>
        <w:jc w:val="center"/>
      </w:pPr>
      <w:r w:rsidRPr="00EF00A5">
        <w:rPr>
          <w:noProof/>
        </w:rPr>
        <w:drawing>
          <wp:inline distT="0" distB="0" distL="0" distR="0" wp14:anchorId="621CC23C" wp14:editId="46D05A66">
            <wp:extent cx="8534400" cy="5456664"/>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8560492" cy="5473346"/>
                    </a:xfrm>
                    <a:prstGeom prst="rect">
                      <a:avLst/>
                    </a:prstGeom>
                  </pic:spPr>
                </pic:pic>
              </a:graphicData>
            </a:graphic>
          </wp:inline>
        </w:drawing>
      </w:r>
    </w:p>
    <w:p w14:paraId="6508D1B0" w14:textId="77777777" w:rsidR="00C3762F" w:rsidRDefault="00C3762F" w:rsidP="00C3762F">
      <w:pPr>
        <w:tabs>
          <w:tab w:val="left" w:pos="13272"/>
        </w:tabs>
        <w:sectPr w:rsidR="00C3762F" w:rsidSect="0007664B">
          <w:pgSz w:w="16838" w:h="11906" w:orient="landscape"/>
          <w:pgMar w:top="1418" w:right="1418" w:bottom="1418" w:left="1418" w:header="567" w:footer="283" w:gutter="0"/>
          <w:cols w:space="708"/>
          <w:docGrid w:linePitch="360"/>
        </w:sectPr>
      </w:pPr>
    </w:p>
    <w:p w14:paraId="7E0A42A9" w14:textId="29991AD1" w:rsidR="007F5B79" w:rsidRDefault="002216C8" w:rsidP="00DD1A63">
      <w:pPr>
        <w:pStyle w:val="ListNumber"/>
        <w:numPr>
          <w:ilvl w:val="0"/>
          <w:numId w:val="33"/>
        </w:numPr>
        <w:tabs>
          <w:tab w:val="left" w:pos="13272"/>
        </w:tabs>
      </w:pPr>
      <w:r w:rsidRPr="00EF00A5">
        <w:rPr>
          <w:noProof/>
        </w:rPr>
        <w:lastRenderedPageBreak/>
        <w:drawing>
          <wp:anchor distT="0" distB="0" distL="114300" distR="114300" simplePos="0" relativeHeight="251665408" behindDoc="1" locked="0" layoutInCell="1" allowOverlap="1" wp14:anchorId="215C0D72" wp14:editId="496EEDC5">
            <wp:simplePos x="0" y="0"/>
            <wp:positionH relativeFrom="column">
              <wp:posOffset>-589915</wp:posOffset>
            </wp:positionH>
            <wp:positionV relativeFrom="paragraph">
              <wp:posOffset>-7482840</wp:posOffset>
            </wp:positionV>
            <wp:extent cx="8050530" cy="5147310"/>
            <wp:effectExtent l="0" t="0" r="7620" b="0"/>
            <wp:wrapNone/>
            <wp:docPr id="22" name="Picture 22" descr="The outputs from NRDE emission model, chemical transport model and land-use regression model are used to calculate total concentrations. This is then used as an input to the health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outputs from NRDE emission model, chemical transport model and land-use regression model are used to calculate total concentrations. This is then used as an input to the health model."/>
                    <pic:cNvPicPr/>
                  </pic:nvPicPr>
                  <pic:blipFill>
                    <a:blip r:embed="rId44">
                      <a:extLst>
                        <a:ext uri="{28A0092B-C50C-407E-A947-70E740481C1C}">
                          <a14:useLocalDpi xmlns:a14="http://schemas.microsoft.com/office/drawing/2010/main" val="0"/>
                        </a:ext>
                      </a:extLst>
                    </a:blip>
                    <a:stretch>
                      <a:fillRect/>
                    </a:stretch>
                  </pic:blipFill>
                  <pic:spPr>
                    <a:xfrm>
                      <a:off x="0" y="0"/>
                      <a:ext cx="8050530" cy="5147310"/>
                    </a:xfrm>
                    <a:prstGeom prst="rect">
                      <a:avLst/>
                    </a:prstGeom>
                  </pic:spPr>
                </pic:pic>
              </a:graphicData>
            </a:graphic>
            <wp14:sizeRelH relativeFrom="margin">
              <wp14:pctWidth>0</wp14:pctWidth>
            </wp14:sizeRelH>
            <wp14:sizeRelV relativeFrom="margin">
              <wp14:pctHeight>0</wp14:pctHeight>
            </wp14:sizeRelV>
          </wp:anchor>
        </w:drawing>
      </w:r>
      <w:r w:rsidR="007F5B79" w:rsidRPr="00DD1A63">
        <w:rPr>
          <w:rStyle w:val="Strong"/>
        </w:rPr>
        <w:t>Health effects model</w:t>
      </w:r>
      <w:r w:rsidR="00DD1A63">
        <w:t xml:space="preserve"> – </w:t>
      </w:r>
      <w:r w:rsidR="007F5B79">
        <w:t>This model will assess the health effect of population exposure to NRDE emissions, but not micro-environments such as workplace exposure. It will use concentration response functions (CRFs) available from a variety of readily available sources, such as the World Health Organization and include a national health impact assessment (HIA). The HIA will use measured impacts of health in Australia (such as mortality data).</w:t>
      </w:r>
    </w:p>
    <w:p w14:paraId="01557DFC" w14:textId="37178F06" w:rsidR="00A32A54" w:rsidRDefault="00A32A54" w:rsidP="00A32A54">
      <w:pPr>
        <w:tabs>
          <w:tab w:val="left" w:pos="13272"/>
        </w:tabs>
      </w:pPr>
      <w:r>
        <w:t>A reduction in workplace exposure to NRDE-related pollutants will be included as an ‘unquantifiable benefit’. Health data to quantify workplace exposure is not available and exposure is at too fine a resolution to be quantified in the evaluation’s modelling resolution of 1 km (spatial) and 1 hour (temporal):</w:t>
      </w:r>
    </w:p>
    <w:p w14:paraId="47CED3CF" w14:textId="083405E7" w:rsidR="00A32A54" w:rsidRDefault="0065110B" w:rsidP="0065110B">
      <w:pPr>
        <w:pStyle w:val="ListBullet"/>
      </w:pPr>
      <w:r>
        <w:t>t</w:t>
      </w:r>
      <w:r w:rsidR="00A32A54">
        <w:t>he concentration-response functions are based on epidemiological data (</w:t>
      </w:r>
      <w:r w:rsidR="00123EB0">
        <w:t>for example,</w:t>
      </w:r>
      <w:r w:rsidR="00A32A54">
        <w:t xml:space="preserve"> ambient concentrations and bulk health statistics)</w:t>
      </w:r>
    </w:p>
    <w:p w14:paraId="64A08CEE" w14:textId="1DD6B8CA" w:rsidR="00A32A54" w:rsidRDefault="0065110B" w:rsidP="0065110B">
      <w:pPr>
        <w:pStyle w:val="ListBullet"/>
      </w:pPr>
      <w:r>
        <w:t>w</w:t>
      </w:r>
      <w:r w:rsidR="00A32A54">
        <w:t xml:space="preserve">orkplace </w:t>
      </w:r>
      <w:r>
        <w:t>e</w:t>
      </w:r>
      <w:r w:rsidR="00A32A54">
        <w:t xml:space="preserve">xposure </w:t>
      </w:r>
      <w:r>
        <w:t>s</w:t>
      </w:r>
      <w:r w:rsidR="00A32A54">
        <w:t>tandards include 15-minute short-term exposure limits (STELs).</w:t>
      </w:r>
    </w:p>
    <w:p w14:paraId="314F06E1" w14:textId="77777777" w:rsidR="00A32A54" w:rsidRDefault="00A32A54" w:rsidP="00A32A54">
      <w:pPr>
        <w:tabs>
          <w:tab w:val="left" w:pos="13272"/>
        </w:tabs>
      </w:pPr>
      <w:r>
        <w:t>Similarly, the evaluation will not distinguish between other different ‘micro-environments’, such as:</w:t>
      </w:r>
    </w:p>
    <w:p w14:paraId="3FC7C5DF" w14:textId="29AF0C2C" w:rsidR="00A32A54" w:rsidRDefault="000B2183" w:rsidP="000B2183">
      <w:pPr>
        <w:pStyle w:val="ListBullet"/>
      </w:pPr>
      <w:r>
        <w:t>i</w:t>
      </w:r>
      <w:r w:rsidR="00A32A54">
        <w:t>ndoor vs outdoor exposure</w:t>
      </w:r>
    </w:p>
    <w:p w14:paraId="6DFED792" w14:textId="24E9D9EC" w:rsidR="00A32A54" w:rsidRDefault="000B2183" w:rsidP="000B2183">
      <w:pPr>
        <w:pStyle w:val="ListBullet"/>
      </w:pPr>
      <w:r>
        <w:t>d</w:t>
      </w:r>
      <w:r w:rsidR="00A32A54">
        <w:t>ifferent types of location (</w:t>
      </w:r>
      <w:r w:rsidR="000B159F">
        <w:t xml:space="preserve">for example, </w:t>
      </w:r>
      <w:r w:rsidR="00A32A54">
        <w:t>residence, industrial workplace, commercial property)</w:t>
      </w:r>
    </w:p>
    <w:p w14:paraId="21DA3EB4" w14:textId="0199DB70" w:rsidR="0073025D" w:rsidRDefault="000B2183" w:rsidP="000B2183">
      <w:pPr>
        <w:pStyle w:val="ListBullet"/>
      </w:pPr>
      <w:r>
        <w:t>p</w:t>
      </w:r>
      <w:r w:rsidR="00A32A54">
        <w:t>eople living near NRDE emissions sources</w:t>
      </w:r>
      <w:r w:rsidR="0017312B">
        <w:t>.</w:t>
      </w:r>
    </w:p>
    <w:p w14:paraId="6AAC3DDC" w14:textId="490112F5" w:rsidR="007F5B79" w:rsidRDefault="007F5B79" w:rsidP="0017312B">
      <w:pPr>
        <w:pStyle w:val="ListNumber"/>
        <w:numPr>
          <w:ilvl w:val="0"/>
          <w:numId w:val="33"/>
        </w:numPr>
        <w:tabs>
          <w:tab w:val="left" w:pos="13272"/>
        </w:tabs>
      </w:pPr>
      <w:r w:rsidRPr="0017312B">
        <w:rPr>
          <w:rStyle w:val="Strong"/>
        </w:rPr>
        <w:t>Economic model</w:t>
      </w:r>
      <w:r w:rsidR="0017312B">
        <w:t xml:space="preserve"> – </w:t>
      </w:r>
      <w:r>
        <w:t>The last stage of the cost-benefit analysis is financial, covering monetisation of health burden, any climate change impacts and benefits and cost of any proposed changes to NRDE emission limits. Economic impacts examined include:</w:t>
      </w:r>
    </w:p>
    <w:p w14:paraId="6CCE137C" w14:textId="28B55918" w:rsidR="007F5B79" w:rsidRDefault="007F5B79" w:rsidP="00F569E2">
      <w:pPr>
        <w:pStyle w:val="ListBullet"/>
      </w:pPr>
      <w:r>
        <w:t>costs for complying with management scenario</w:t>
      </w:r>
    </w:p>
    <w:p w14:paraId="38CE71D6" w14:textId="4F069916" w:rsidR="007F5B79" w:rsidRDefault="007F5B79" w:rsidP="00F569E2">
      <w:pPr>
        <w:pStyle w:val="ListBullet"/>
      </w:pPr>
      <w:r>
        <w:t>social discount rate</w:t>
      </w:r>
    </w:p>
    <w:p w14:paraId="62F1E6E5" w14:textId="4B2BB9A2" w:rsidR="007F5B79" w:rsidRDefault="007F5B79" w:rsidP="00F569E2">
      <w:pPr>
        <w:pStyle w:val="ListBullet"/>
      </w:pPr>
      <w:r>
        <w:t>Value of a Statistical Life (VSL)</w:t>
      </w:r>
    </w:p>
    <w:p w14:paraId="7533DC52" w14:textId="677D511E" w:rsidR="007F5B79" w:rsidRDefault="007F5B79" w:rsidP="00F569E2">
      <w:pPr>
        <w:pStyle w:val="ListBullet"/>
      </w:pPr>
      <w:r>
        <w:t>economic costs of morbidity impacts (</w:t>
      </w:r>
      <w:r w:rsidR="00F569E2">
        <w:t>for example</w:t>
      </w:r>
      <w:r w:rsidR="0001323D">
        <w:t>,</w:t>
      </w:r>
      <w:r>
        <w:t xml:space="preserve"> health system costs)</w:t>
      </w:r>
    </w:p>
    <w:p w14:paraId="61981CAA" w14:textId="4D9DE0DC" w:rsidR="007F5B79" w:rsidRDefault="007F5B79" w:rsidP="00F569E2">
      <w:pPr>
        <w:pStyle w:val="ListBullet"/>
      </w:pPr>
      <w:r>
        <w:t>value of non-health impacts from air pollution exposure (</w:t>
      </w:r>
      <w:r w:rsidR="0001323D">
        <w:t xml:space="preserve">for example, </w:t>
      </w:r>
      <w:r>
        <w:t>materials damage, ecological impacts)</w:t>
      </w:r>
    </w:p>
    <w:p w14:paraId="23908EBC" w14:textId="59B36D1C" w:rsidR="007F5B79" w:rsidRDefault="007F5B79" w:rsidP="00F569E2">
      <w:pPr>
        <w:pStyle w:val="ListBullet"/>
      </w:pPr>
      <w:proofErr w:type="spellStart"/>
      <w:r>
        <w:t>ouplift</w:t>
      </w:r>
      <w:proofErr w:type="spellEnd"/>
      <w:r>
        <w:t xml:space="preserve"> factor (reflecting expected increases in the willingness to pay (WTP) to avoid health risk over time)</w:t>
      </w:r>
    </w:p>
    <w:p w14:paraId="127FE290" w14:textId="69AACFE3" w:rsidR="00C3762F" w:rsidRDefault="007F5B79" w:rsidP="00F569E2">
      <w:pPr>
        <w:pStyle w:val="ListBullet"/>
      </w:pPr>
      <w:r>
        <w:t>potential productivity impacts from air pollution exposure.</w:t>
      </w:r>
    </w:p>
    <w:p w14:paraId="3C5B48F0" w14:textId="77777777" w:rsidR="00304707" w:rsidRPr="00910727" w:rsidRDefault="00304707" w:rsidP="001A3FED">
      <w:pPr>
        <w:pStyle w:val="Heading4"/>
        <w:numPr>
          <w:ilvl w:val="0"/>
          <w:numId w:val="0"/>
        </w:numPr>
        <w:ind w:left="964" w:hanging="964"/>
      </w:pPr>
      <w:r w:rsidRPr="00910727">
        <w:t>International emission standards</w:t>
      </w:r>
    </w:p>
    <w:p w14:paraId="1509E6E6" w14:textId="77777777" w:rsidR="00304707" w:rsidRDefault="00304707" w:rsidP="00304707">
      <w:r>
        <w:t>The emissions modelling is only considering management scenarios that can practically be modelled:</w:t>
      </w:r>
    </w:p>
    <w:p w14:paraId="37EBB283" w14:textId="556E95A9" w:rsidR="00304707" w:rsidRDefault="00605CC7" w:rsidP="00605CC7">
      <w:pPr>
        <w:pStyle w:val="ListBullet"/>
      </w:pPr>
      <w:r>
        <w:t>m</w:t>
      </w:r>
      <w:r w:rsidR="00304707">
        <w:t xml:space="preserve">odelling will distinguish between </w:t>
      </w:r>
      <w:r w:rsidR="004B6C3E">
        <w:t>t</w:t>
      </w:r>
      <w:r w:rsidR="00304707">
        <w:t xml:space="preserve">ier 4i and </w:t>
      </w:r>
      <w:r w:rsidR="004B6C3E">
        <w:t>t</w:t>
      </w:r>
      <w:r w:rsidR="00304707">
        <w:t>ier 4f</w:t>
      </w:r>
    </w:p>
    <w:p w14:paraId="682C24D4" w14:textId="04930FB0" w:rsidR="00304707" w:rsidRDefault="00605CC7" w:rsidP="00605CC7">
      <w:pPr>
        <w:pStyle w:val="ListBullet"/>
      </w:pPr>
      <w:proofErr w:type="spellStart"/>
      <w:r>
        <w:t>e</w:t>
      </w:r>
      <w:r w:rsidR="00304707">
        <w:t>uropean</w:t>
      </w:r>
      <w:proofErr w:type="spellEnd"/>
      <w:r w:rsidR="00304707">
        <w:t xml:space="preserve"> </w:t>
      </w:r>
      <w:r w:rsidR="004B6C3E">
        <w:t>s</w:t>
      </w:r>
      <w:r w:rsidR="00304707">
        <w:t>tage V is out of scope as it is was being phased in during the commencement of the project and not incorporated into the emissions model used by the project</w:t>
      </w:r>
    </w:p>
    <w:p w14:paraId="008DBFAC" w14:textId="0185B1BD" w:rsidR="00304707" w:rsidRDefault="00605CC7" w:rsidP="00605CC7">
      <w:pPr>
        <w:pStyle w:val="ListBullet2"/>
      </w:pPr>
      <w:r>
        <w:lastRenderedPageBreak/>
        <w:t>s</w:t>
      </w:r>
      <w:r w:rsidR="00304707">
        <w:t>tage V departs from the international harmonisation of NRDE standards and introduces a particle number emission limit for NRDE engines between 19 and 560 kW which will require adoption of diesel particulate filters</w:t>
      </w:r>
    </w:p>
    <w:p w14:paraId="58F626BC" w14:textId="4DB96DCF" w:rsidR="00304707" w:rsidRDefault="00605CC7" w:rsidP="00605CC7">
      <w:pPr>
        <w:pStyle w:val="ListBullet2"/>
      </w:pPr>
      <w:r>
        <w:t>i</w:t>
      </w:r>
      <w:r w:rsidR="00304707">
        <w:t xml:space="preserve">f in practice any </w:t>
      </w:r>
      <w:r w:rsidR="003E0C07">
        <w:t>s</w:t>
      </w:r>
      <w:r w:rsidR="00304707">
        <w:t>tage V equipment is imported, then both health benefits and costs may be underestimated for this equipment.</w:t>
      </w:r>
    </w:p>
    <w:p w14:paraId="487E67FF" w14:textId="77777777" w:rsidR="003075CC" w:rsidRPr="001A3FED" w:rsidRDefault="003075CC" w:rsidP="001A3FED">
      <w:pPr>
        <w:pStyle w:val="Heading4"/>
        <w:numPr>
          <w:ilvl w:val="0"/>
          <w:numId w:val="0"/>
        </w:numPr>
        <w:ind w:left="964" w:hanging="964"/>
      </w:pPr>
      <w:r w:rsidRPr="001A3FED">
        <w:t>Time steps</w:t>
      </w:r>
    </w:p>
    <w:p w14:paraId="34686E84" w14:textId="77777777" w:rsidR="003075CC" w:rsidRDefault="003075CC" w:rsidP="003075CC">
      <w:r>
        <w:t>Modelling is by calendar year:</w:t>
      </w:r>
    </w:p>
    <w:p w14:paraId="25647F5E" w14:textId="363B2592" w:rsidR="003075CC" w:rsidRDefault="000E4111" w:rsidP="003075CC">
      <w:pPr>
        <w:pStyle w:val="ListBullet"/>
      </w:pPr>
      <w:r>
        <w:t>t</w:t>
      </w:r>
      <w:r w:rsidR="003075CC">
        <w:t>he dispersion modelling will be conducted for one (representative) year</w:t>
      </w:r>
    </w:p>
    <w:p w14:paraId="1B770295" w14:textId="7831C805" w:rsidR="003075CC" w:rsidRDefault="000E4111" w:rsidP="003075CC">
      <w:pPr>
        <w:pStyle w:val="ListBullet"/>
      </w:pPr>
      <w:r>
        <w:t>e</w:t>
      </w:r>
      <w:r w:rsidR="003075CC">
        <w:t>mission modelling will be conducted for the three years of the market analysis (2018, 2028, 2043)</w:t>
      </w:r>
    </w:p>
    <w:p w14:paraId="3FAAC1E8" w14:textId="4F5ECF9A" w:rsidR="003075CC" w:rsidRDefault="000E4111" w:rsidP="003075CC">
      <w:pPr>
        <w:pStyle w:val="ListBullet2"/>
      </w:pPr>
      <w:r>
        <w:t>e</w:t>
      </w:r>
      <w:r w:rsidR="003075CC">
        <w:t>ach emissions modelling year will use the same dispersion model and all non-NRDE pollutants will remain unchanged</w:t>
      </w:r>
    </w:p>
    <w:p w14:paraId="14DDA877" w14:textId="402B5E9E" w:rsidR="003075CC" w:rsidRDefault="000E4111" w:rsidP="003075CC">
      <w:pPr>
        <w:pStyle w:val="ListBullet2"/>
      </w:pPr>
      <w:r>
        <w:t>i</w:t>
      </w:r>
      <w:r w:rsidR="003075CC">
        <w:t>ntervening years will be interpolated</w:t>
      </w:r>
    </w:p>
    <w:p w14:paraId="5DB68320" w14:textId="058E53A4" w:rsidR="003075CC" w:rsidRDefault="000E4111" w:rsidP="003075CC">
      <w:pPr>
        <w:pStyle w:val="ListBullet"/>
      </w:pPr>
      <w:r>
        <w:t>t</w:t>
      </w:r>
      <w:r w:rsidR="003075CC">
        <w:t>he health analysis and the economic analysis will cover the period of the cost-benefit analysis.</w:t>
      </w:r>
    </w:p>
    <w:p w14:paraId="2D4EF526" w14:textId="77777777" w:rsidR="00FE0E8D" w:rsidRPr="001A3FED" w:rsidRDefault="00FE0E8D" w:rsidP="001A3FED">
      <w:pPr>
        <w:pStyle w:val="Heading4"/>
        <w:numPr>
          <w:ilvl w:val="0"/>
          <w:numId w:val="0"/>
        </w:numPr>
        <w:ind w:left="964" w:hanging="964"/>
      </w:pPr>
      <w:r w:rsidRPr="001A3FED">
        <w:t>Sensitivity analysis</w:t>
      </w:r>
    </w:p>
    <w:p w14:paraId="491F6BE6" w14:textId="77777777" w:rsidR="00FE0E8D" w:rsidRDefault="00FE0E8D" w:rsidP="00FE0E8D">
      <w:r>
        <w:t xml:space="preserve">Sensitivity </w:t>
      </w:r>
      <w:proofErr w:type="gramStart"/>
      <w:r>
        <w:t>analysis</w:t>
      </w:r>
      <w:proofErr w:type="gramEnd"/>
      <w:r>
        <w:t xml:space="preserve"> test a range of parameters which will develop during the study, but they are likely to include, for example:</w:t>
      </w:r>
    </w:p>
    <w:p w14:paraId="557B4021" w14:textId="0986B369" w:rsidR="00FE0E8D" w:rsidRDefault="00FE0E8D" w:rsidP="00FE0E8D">
      <w:pPr>
        <w:pStyle w:val="ListBullet"/>
      </w:pPr>
      <w:r>
        <w:t xml:space="preserve">high and low estimates for </w:t>
      </w:r>
      <w:proofErr w:type="gramStart"/>
      <w:r>
        <w:t>business as usual</w:t>
      </w:r>
      <w:proofErr w:type="gramEnd"/>
      <w:r>
        <w:t xml:space="preserve"> emissions, based on low-compliance (high-emissions) and high-compliance (low-emissions) assumptions</w:t>
      </w:r>
    </w:p>
    <w:p w14:paraId="74580934" w14:textId="0F9D6E62" w:rsidR="00FE0E8D" w:rsidRDefault="00FE0E8D" w:rsidP="00FE0E8D">
      <w:pPr>
        <w:pStyle w:val="ListBullet"/>
      </w:pPr>
      <w:r>
        <w:t>sensitivity discount rates of 3% and 10% (real)</w:t>
      </w:r>
    </w:p>
    <w:p w14:paraId="7065FA36" w14:textId="772F4E66" w:rsidR="00FE0E8D" w:rsidRDefault="00FE0E8D" w:rsidP="00FE0E8D">
      <w:pPr>
        <w:pStyle w:val="ListBullet"/>
      </w:pPr>
      <w:r>
        <w:t>a high and low estimate for incremental costs</w:t>
      </w:r>
    </w:p>
    <w:p w14:paraId="0C8B5C64" w14:textId="2598138C" w:rsidR="00AA2D36" w:rsidRDefault="00FE0E8D" w:rsidP="00FE0E8D">
      <w:pPr>
        <w:pStyle w:val="ListBullet"/>
      </w:pPr>
      <w:r>
        <w:t>a high and low estimate for damage costs.</w:t>
      </w:r>
    </w:p>
    <w:p w14:paraId="60D50FC2" w14:textId="19BFBE5D" w:rsidR="00E333FE" w:rsidRDefault="00E333FE" w:rsidP="007B545D">
      <w:pPr>
        <w:pStyle w:val="Heading2"/>
        <w:numPr>
          <w:ilvl w:val="0"/>
          <w:numId w:val="0"/>
        </w:numPr>
      </w:pPr>
      <w:bookmarkStart w:id="89" w:name="_Appendix_3:_International"/>
      <w:bookmarkStart w:id="90" w:name="_Toc63874255"/>
      <w:bookmarkEnd w:id="89"/>
      <w:r w:rsidRPr="000E4111">
        <w:lastRenderedPageBreak/>
        <w:t>Appendix 3</w:t>
      </w:r>
      <w:r w:rsidR="007156C3" w:rsidRPr="000E4111">
        <w:t xml:space="preserve">: </w:t>
      </w:r>
      <w:r w:rsidRPr="000E4111">
        <w:t>International emission</w:t>
      </w:r>
      <w:r w:rsidR="007156C3" w:rsidRPr="000E4111">
        <w:t xml:space="preserve"> </w:t>
      </w:r>
      <w:r w:rsidRPr="000E4111">
        <w:t>standards</w:t>
      </w:r>
      <w:bookmarkEnd w:id="90"/>
    </w:p>
    <w:p w14:paraId="68CA77F7" w14:textId="77777777" w:rsidR="00E333FE" w:rsidRDefault="00E333FE" w:rsidP="00E333FE">
      <w:r>
        <w:t>The US and EU regulations have evolved over time to cover a wider range of engine power ratings, to define increasingly stringent standards, and to (generally) improve harmonisation between countries.</w:t>
      </w:r>
    </w:p>
    <w:p w14:paraId="3A692D8D" w14:textId="77777777" w:rsidR="00E333FE" w:rsidRDefault="00E333FE" w:rsidP="00E333FE">
      <w:r>
        <w:t>For most power bands the USEPA standards are practically equivalent to European Union non-road diesel engine standards as follows:</w:t>
      </w:r>
    </w:p>
    <w:p w14:paraId="7005467F" w14:textId="0FCF2278" w:rsidR="00E333FE" w:rsidRDefault="00E333FE" w:rsidP="00E333FE">
      <w:pPr>
        <w:pStyle w:val="ListBullet"/>
      </w:pPr>
      <w:r>
        <w:t>US Tier 1 = EU Stage I</w:t>
      </w:r>
    </w:p>
    <w:p w14:paraId="156E72E5" w14:textId="3A999ECB" w:rsidR="00E333FE" w:rsidRDefault="00E333FE" w:rsidP="00E333FE">
      <w:pPr>
        <w:pStyle w:val="ListBullet"/>
      </w:pPr>
      <w:r>
        <w:t>US Tier 2 = EU Stage II</w:t>
      </w:r>
    </w:p>
    <w:p w14:paraId="493A7F4D" w14:textId="32F23B76" w:rsidR="00E333FE" w:rsidRDefault="00E333FE" w:rsidP="00E333FE">
      <w:pPr>
        <w:pStyle w:val="ListBullet"/>
      </w:pPr>
      <w:r>
        <w:t>US Tier 3 = EU Stage IIIA</w:t>
      </w:r>
    </w:p>
    <w:p w14:paraId="64328B15" w14:textId="55714BFB" w:rsidR="00E333FE" w:rsidRDefault="00E333FE" w:rsidP="00E333FE">
      <w:pPr>
        <w:pStyle w:val="ListBullet"/>
      </w:pPr>
      <w:r>
        <w:t>US Tier 4 intermediate = EU Stage IIIB</w:t>
      </w:r>
    </w:p>
    <w:p w14:paraId="020E83DE" w14:textId="2A8508A9" w:rsidR="00E333FE" w:rsidRDefault="00E333FE" w:rsidP="00E333FE">
      <w:pPr>
        <w:pStyle w:val="ListBullet"/>
      </w:pPr>
      <w:r>
        <w:t>US Tier 4 final = EU Stage IV and EU Stage V</w:t>
      </w:r>
    </w:p>
    <w:p w14:paraId="280010FA" w14:textId="60ABFE91" w:rsidR="00FE0E8D" w:rsidRDefault="00E333FE" w:rsidP="00E333FE">
      <w:r>
        <w:t>Both US and EU standards allocate non-road diesel engines to categories of rated engine power, named power bands</w:t>
      </w:r>
      <w:r w:rsidR="007E5A28">
        <w:t xml:space="preserve"> (see </w:t>
      </w:r>
      <w:r w:rsidR="007E5A28">
        <w:fldChar w:fldCharType="begin"/>
      </w:r>
      <w:r w:rsidR="007E5A28">
        <w:instrText xml:space="preserve"> REF _Ref63695409 \h </w:instrText>
      </w:r>
      <w:r w:rsidR="007E5A28">
        <w:fldChar w:fldCharType="separate"/>
      </w:r>
      <w:r w:rsidR="007E5A28">
        <w:t xml:space="preserve">Table </w:t>
      </w:r>
      <w:r w:rsidR="007E5A28">
        <w:rPr>
          <w:noProof/>
        </w:rPr>
        <w:t>8</w:t>
      </w:r>
      <w:r w:rsidR="007E5A28">
        <w:fldChar w:fldCharType="end"/>
      </w:r>
      <w:r w:rsidR="007E5A28">
        <w:t>).</w:t>
      </w:r>
    </w:p>
    <w:p w14:paraId="09D2FF98" w14:textId="06E54BAC" w:rsidR="00664F36" w:rsidRDefault="00664F36" w:rsidP="00664F36">
      <w:pPr>
        <w:pStyle w:val="Caption"/>
      </w:pPr>
      <w:bookmarkStart w:id="91" w:name="_Ref63695409"/>
      <w:bookmarkStart w:id="92" w:name="_Toc63696015"/>
      <w:r>
        <w:t xml:space="preserve">Table </w:t>
      </w:r>
      <w:r w:rsidR="00126C54">
        <w:rPr>
          <w:noProof/>
        </w:rPr>
        <w:fldChar w:fldCharType="begin"/>
      </w:r>
      <w:r w:rsidR="00126C54">
        <w:rPr>
          <w:noProof/>
        </w:rPr>
        <w:instrText xml:space="preserve"> SEQ Table \* ARABIC </w:instrText>
      </w:r>
      <w:r w:rsidR="00126C54">
        <w:rPr>
          <w:noProof/>
        </w:rPr>
        <w:fldChar w:fldCharType="separate"/>
      </w:r>
      <w:r>
        <w:rPr>
          <w:noProof/>
        </w:rPr>
        <w:t>8</w:t>
      </w:r>
      <w:r w:rsidR="00126C54">
        <w:rPr>
          <w:noProof/>
        </w:rPr>
        <w:fldChar w:fldCharType="end"/>
      </w:r>
      <w:bookmarkEnd w:id="91"/>
      <w:r w:rsidR="00320BD5">
        <w:t xml:space="preserve"> </w:t>
      </w:r>
      <w:r w:rsidR="00886A5F">
        <w:t>US and EU</w:t>
      </w:r>
      <w:r w:rsidR="00292FAD">
        <w:t xml:space="preserve"> standards for </w:t>
      </w:r>
      <w:r w:rsidR="00827DAC">
        <w:t>different</w:t>
      </w:r>
      <w:r w:rsidR="00451DD2">
        <w:t xml:space="preserve"> engine power</w:t>
      </w:r>
      <w:bookmarkEnd w:id="92"/>
    </w:p>
    <w:tbl>
      <w:tblPr>
        <w:tblStyle w:val="TableGrid"/>
        <w:tblW w:w="1797" w:type="pct"/>
        <w:tblLook w:val="04A0" w:firstRow="1" w:lastRow="0" w:firstColumn="1" w:lastColumn="0" w:noHBand="0" w:noVBand="1"/>
      </w:tblPr>
      <w:tblGrid>
        <w:gridCol w:w="1628"/>
        <w:gridCol w:w="1628"/>
      </w:tblGrid>
      <w:tr w:rsidR="00D53232" w14:paraId="3FDC2D8E" w14:textId="77777777" w:rsidTr="00320BD5">
        <w:trPr>
          <w:cantSplit/>
          <w:tblHeader/>
        </w:trPr>
        <w:tc>
          <w:tcPr>
            <w:tcW w:w="2500" w:type="pct"/>
          </w:tcPr>
          <w:p w14:paraId="04914305" w14:textId="51189434" w:rsidR="00D53232" w:rsidRDefault="00A4727A" w:rsidP="00320BD5">
            <w:pPr>
              <w:pStyle w:val="TableHeading"/>
              <w:jc w:val="right"/>
            </w:pPr>
            <w:r>
              <w:t>US</w:t>
            </w:r>
            <w:r w:rsidR="0097431F">
              <w:t xml:space="preserve"> (kW)</w:t>
            </w:r>
          </w:p>
        </w:tc>
        <w:tc>
          <w:tcPr>
            <w:tcW w:w="2500" w:type="pct"/>
          </w:tcPr>
          <w:p w14:paraId="53C4CC3D" w14:textId="2DF48A40" w:rsidR="00D53232" w:rsidRDefault="00A4727A" w:rsidP="00320BD5">
            <w:pPr>
              <w:pStyle w:val="TableHeading"/>
              <w:jc w:val="right"/>
            </w:pPr>
            <w:r>
              <w:t>EU</w:t>
            </w:r>
            <w:r w:rsidR="0097431F">
              <w:t xml:space="preserve"> (kW)</w:t>
            </w:r>
          </w:p>
        </w:tc>
      </w:tr>
      <w:tr w:rsidR="00D53232" w14:paraId="549782AC" w14:textId="77777777" w:rsidTr="007876A0">
        <w:tc>
          <w:tcPr>
            <w:tcW w:w="2500" w:type="pct"/>
          </w:tcPr>
          <w:p w14:paraId="7CCC81EA" w14:textId="5FFF6147" w:rsidR="00D53232" w:rsidRDefault="000A7DBE" w:rsidP="001E240E">
            <w:pPr>
              <w:pStyle w:val="TableText"/>
              <w:jc w:val="right"/>
            </w:pPr>
            <w:r w:rsidRPr="000A7DBE">
              <w:t>&lt; 8</w:t>
            </w:r>
          </w:p>
        </w:tc>
        <w:tc>
          <w:tcPr>
            <w:tcW w:w="2500" w:type="pct"/>
          </w:tcPr>
          <w:p w14:paraId="4CA0EC56" w14:textId="79C49B34" w:rsidR="00D53232" w:rsidRDefault="005A78BC" w:rsidP="001E240E">
            <w:pPr>
              <w:pStyle w:val="TableText"/>
              <w:jc w:val="right"/>
            </w:pPr>
            <w:r w:rsidRPr="005A78BC">
              <w:t>&lt; 8</w:t>
            </w:r>
          </w:p>
        </w:tc>
      </w:tr>
      <w:tr w:rsidR="00D53232" w14:paraId="42321AF7" w14:textId="77777777" w:rsidTr="007876A0">
        <w:tc>
          <w:tcPr>
            <w:tcW w:w="2500" w:type="pct"/>
          </w:tcPr>
          <w:p w14:paraId="537CDBBF" w14:textId="5EF47EA3" w:rsidR="00D53232" w:rsidRDefault="00F45214" w:rsidP="001E240E">
            <w:pPr>
              <w:pStyle w:val="TableText"/>
              <w:jc w:val="right"/>
            </w:pPr>
            <w:r w:rsidRPr="00F45214">
              <w:t>8–19</w:t>
            </w:r>
          </w:p>
        </w:tc>
        <w:tc>
          <w:tcPr>
            <w:tcW w:w="2500" w:type="pct"/>
          </w:tcPr>
          <w:p w14:paraId="7807115D" w14:textId="192EAEB9" w:rsidR="00D53232" w:rsidRDefault="0001187F" w:rsidP="001E240E">
            <w:pPr>
              <w:pStyle w:val="TableText"/>
              <w:jc w:val="right"/>
            </w:pPr>
            <w:r w:rsidRPr="0001187F">
              <w:t>8–19</w:t>
            </w:r>
          </w:p>
        </w:tc>
      </w:tr>
      <w:tr w:rsidR="00D53232" w14:paraId="2F47FF11" w14:textId="77777777" w:rsidTr="007876A0">
        <w:tc>
          <w:tcPr>
            <w:tcW w:w="2500" w:type="pct"/>
          </w:tcPr>
          <w:p w14:paraId="17414B14" w14:textId="090A6E0E" w:rsidR="00D53232" w:rsidRDefault="00F330C5" w:rsidP="001E240E">
            <w:pPr>
              <w:pStyle w:val="TableText"/>
              <w:jc w:val="right"/>
            </w:pPr>
            <w:r w:rsidRPr="00F330C5">
              <w:t>19–37</w:t>
            </w:r>
          </w:p>
        </w:tc>
        <w:tc>
          <w:tcPr>
            <w:tcW w:w="2500" w:type="pct"/>
          </w:tcPr>
          <w:p w14:paraId="3EE9ED79" w14:textId="4267EA36" w:rsidR="00D53232" w:rsidRDefault="00C94481" w:rsidP="001E240E">
            <w:pPr>
              <w:pStyle w:val="TableText"/>
              <w:jc w:val="right"/>
            </w:pPr>
            <w:r w:rsidRPr="00C94481">
              <w:t>19–37</w:t>
            </w:r>
          </w:p>
        </w:tc>
      </w:tr>
      <w:tr w:rsidR="00D53232" w14:paraId="0A8628DC" w14:textId="77777777" w:rsidTr="007876A0">
        <w:tc>
          <w:tcPr>
            <w:tcW w:w="2500" w:type="pct"/>
          </w:tcPr>
          <w:p w14:paraId="78110D48" w14:textId="3E4CE974" w:rsidR="00D53232" w:rsidRDefault="00CA2503" w:rsidP="001E240E">
            <w:pPr>
              <w:pStyle w:val="TableText"/>
              <w:jc w:val="right"/>
            </w:pPr>
            <w:r w:rsidRPr="00CA2503">
              <w:t>37–56</w:t>
            </w:r>
          </w:p>
        </w:tc>
        <w:tc>
          <w:tcPr>
            <w:tcW w:w="2500" w:type="pct"/>
          </w:tcPr>
          <w:p w14:paraId="413788C1" w14:textId="371231EB" w:rsidR="00D53232" w:rsidRDefault="00B061CA" w:rsidP="001E240E">
            <w:pPr>
              <w:pStyle w:val="TableText"/>
              <w:jc w:val="right"/>
            </w:pPr>
            <w:r w:rsidRPr="00B061CA">
              <w:t>37–56</w:t>
            </w:r>
          </w:p>
        </w:tc>
      </w:tr>
      <w:tr w:rsidR="00D53232" w14:paraId="4E897394" w14:textId="77777777" w:rsidTr="007876A0">
        <w:tc>
          <w:tcPr>
            <w:tcW w:w="2500" w:type="pct"/>
          </w:tcPr>
          <w:p w14:paraId="57DA441B" w14:textId="011887DB" w:rsidR="00D53232" w:rsidRDefault="004C04C0" w:rsidP="001E240E">
            <w:pPr>
              <w:pStyle w:val="TableText"/>
              <w:jc w:val="right"/>
            </w:pPr>
            <w:r w:rsidRPr="004C04C0">
              <w:t>56–75</w:t>
            </w:r>
          </w:p>
        </w:tc>
        <w:tc>
          <w:tcPr>
            <w:tcW w:w="2500" w:type="pct"/>
          </w:tcPr>
          <w:p w14:paraId="6B73A4E2" w14:textId="6BE6F5A8" w:rsidR="00D53232" w:rsidRDefault="00C0395A" w:rsidP="001E240E">
            <w:pPr>
              <w:pStyle w:val="TableText"/>
              <w:jc w:val="right"/>
            </w:pPr>
            <w:r w:rsidRPr="00C0395A">
              <w:t>56–75</w:t>
            </w:r>
          </w:p>
        </w:tc>
      </w:tr>
      <w:tr w:rsidR="00D53232" w14:paraId="5684BA92" w14:textId="77777777" w:rsidTr="007876A0">
        <w:tc>
          <w:tcPr>
            <w:tcW w:w="2500" w:type="pct"/>
          </w:tcPr>
          <w:p w14:paraId="0A23C9D0" w14:textId="58F1D185" w:rsidR="00D53232" w:rsidRDefault="00AD590A" w:rsidP="001E240E">
            <w:pPr>
              <w:pStyle w:val="TableText"/>
              <w:jc w:val="right"/>
            </w:pPr>
            <w:r w:rsidRPr="00AD590A">
              <w:t>75–130</w:t>
            </w:r>
          </w:p>
        </w:tc>
        <w:tc>
          <w:tcPr>
            <w:tcW w:w="2500" w:type="pct"/>
          </w:tcPr>
          <w:p w14:paraId="1A01EA43" w14:textId="67AA9AD1" w:rsidR="00D53232" w:rsidRDefault="004B1E58" w:rsidP="001E240E">
            <w:pPr>
              <w:pStyle w:val="TableText"/>
              <w:jc w:val="right"/>
            </w:pPr>
            <w:r w:rsidRPr="004B1E58">
              <w:t>75–130</w:t>
            </w:r>
          </w:p>
        </w:tc>
      </w:tr>
      <w:tr w:rsidR="001E240E" w14:paraId="3B05547D" w14:textId="77777777" w:rsidTr="007876A0">
        <w:tc>
          <w:tcPr>
            <w:tcW w:w="2500" w:type="pct"/>
          </w:tcPr>
          <w:p w14:paraId="3CF64FA7" w14:textId="2386160B" w:rsidR="001E240E" w:rsidRDefault="001E240E" w:rsidP="001E240E">
            <w:pPr>
              <w:pStyle w:val="TableText"/>
              <w:jc w:val="right"/>
            </w:pPr>
            <w:r w:rsidRPr="00241C5B">
              <w:t>130–225</w:t>
            </w:r>
          </w:p>
        </w:tc>
        <w:tc>
          <w:tcPr>
            <w:tcW w:w="2500" w:type="pct"/>
            <w:vMerge w:val="restart"/>
            <w:vAlign w:val="center"/>
          </w:tcPr>
          <w:p w14:paraId="505A80A0" w14:textId="455F32D5" w:rsidR="001E240E" w:rsidRDefault="001E240E" w:rsidP="001E240E">
            <w:pPr>
              <w:pStyle w:val="TableText"/>
              <w:jc w:val="right"/>
            </w:pPr>
            <w:r w:rsidRPr="00585798">
              <w:rPr>
                <w:bCs/>
              </w:rPr>
              <w:t>130–560</w:t>
            </w:r>
          </w:p>
        </w:tc>
      </w:tr>
      <w:tr w:rsidR="001E240E" w14:paraId="068C08D9" w14:textId="77777777" w:rsidTr="007876A0">
        <w:tc>
          <w:tcPr>
            <w:tcW w:w="2500" w:type="pct"/>
          </w:tcPr>
          <w:p w14:paraId="56871B7F" w14:textId="50331DC5" w:rsidR="001E240E" w:rsidRDefault="001E240E" w:rsidP="001E240E">
            <w:pPr>
              <w:pStyle w:val="TableText"/>
              <w:jc w:val="right"/>
            </w:pPr>
            <w:r w:rsidRPr="000815BB">
              <w:t>225–450</w:t>
            </w:r>
          </w:p>
        </w:tc>
        <w:tc>
          <w:tcPr>
            <w:tcW w:w="2500" w:type="pct"/>
            <w:vMerge/>
          </w:tcPr>
          <w:p w14:paraId="1836BA0B" w14:textId="77777777" w:rsidR="001E240E" w:rsidRDefault="001E240E" w:rsidP="001E240E">
            <w:pPr>
              <w:pStyle w:val="TableText"/>
              <w:jc w:val="right"/>
            </w:pPr>
          </w:p>
        </w:tc>
      </w:tr>
      <w:tr w:rsidR="001E240E" w14:paraId="14752C73" w14:textId="77777777" w:rsidTr="007876A0">
        <w:tc>
          <w:tcPr>
            <w:tcW w:w="2500" w:type="pct"/>
          </w:tcPr>
          <w:p w14:paraId="453C1FEF" w14:textId="73A1FEC5" w:rsidR="001E240E" w:rsidRDefault="001E240E" w:rsidP="001E240E">
            <w:pPr>
              <w:pStyle w:val="TableText"/>
              <w:jc w:val="right"/>
            </w:pPr>
            <w:r w:rsidRPr="00441B58">
              <w:t>450–560</w:t>
            </w:r>
          </w:p>
        </w:tc>
        <w:tc>
          <w:tcPr>
            <w:tcW w:w="2500" w:type="pct"/>
            <w:vMerge/>
          </w:tcPr>
          <w:p w14:paraId="2EA1E905" w14:textId="77777777" w:rsidR="001E240E" w:rsidRDefault="001E240E" w:rsidP="001E240E">
            <w:pPr>
              <w:pStyle w:val="TableText"/>
              <w:jc w:val="right"/>
            </w:pPr>
          </w:p>
        </w:tc>
      </w:tr>
      <w:tr w:rsidR="00D53232" w14:paraId="387293C3" w14:textId="77777777" w:rsidTr="007876A0">
        <w:tc>
          <w:tcPr>
            <w:tcW w:w="2500" w:type="pct"/>
          </w:tcPr>
          <w:p w14:paraId="6E370420" w14:textId="5D8D987D" w:rsidR="00D53232" w:rsidRDefault="00777413" w:rsidP="001E240E">
            <w:pPr>
              <w:pStyle w:val="TableText"/>
              <w:jc w:val="right"/>
            </w:pPr>
            <w:r w:rsidRPr="00777413">
              <w:t>560+</w:t>
            </w:r>
          </w:p>
        </w:tc>
        <w:tc>
          <w:tcPr>
            <w:tcW w:w="2500" w:type="pct"/>
          </w:tcPr>
          <w:p w14:paraId="4FA64359" w14:textId="11E891F1" w:rsidR="00D53232" w:rsidRDefault="001E240E" w:rsidP="001E240E">
            <w:pPr>
              <w:pStyle w:val="TableText"/>
              <w:jc w:val="right"/>
            </w:pPr>
            <w:r w:rsidRPr="001E240E">
              <w:t>560+</w:t>
            </w:r>
          </w:p>
        </w:tc>
      </w:tr>
    </w:tbl>
    <w:p w14:paraId="43E9AAE1" w14:textId="0065B0F3" w:rsidR="00C41A84" w:rsidRDefault="004460A7" w:rsidP="00827DAC">
      <w:pPr>
        <w:spacing w:before="120"/>
      </w:pPr>
      <w:hyperlink w:anchor="_Appendix_4:_US" w:history="1">
        <w:r w:rsidR="00C41A84" w:rsidRPr="00D46F6D">
          <w:rPr>
            <w:rStyle w:val="Hyperlink"/>
          </w:rPr>
          <w:t>Appendix 4</w:t>
        </w:r>
      </w:hyperlink>
      <w:r w:rsidR="00C41A84" w:rsidRPr="00D46F6D">
        <w:t xml:space="preserve"> and </w:t>
      </w:r>
      <w:hyperlink w:anchor="_Appendix_5:_EU" w:history="1">
        <w:r w:rsidR="00C41A84" w:rsidRPr="00D46F6D">
          <w:rPr>
            <w:rStyle w:val="Hyperlink"/>
          </w:rPr>
          <w:t>Appendix 5</w:t>
        </w:r>
      </w:hyperlink>
      <w:r w:rsidR="00C41A84" w:rsidRPr="00C41A84">
        <w:t xml:space="preserve"> summarise US and EU NRDE emission standards for all levels and power bands.</w:t>
      </w:r>
    </w:p>
    <w:p w14:paraId="3C7FB9BA" w14:textId="39C7E1F6" w:rsidR="00C41A84" w:rsidRDefault="005623BF" w:rsidP="007B545D">
      <w:pPr>
        <w:pStyle w:val="Heading2"/>
        <w:numPr>
          <w:ilvl w:val="0"/>
          <w:numId w:val="0"/>
        </w:numPr>
      </w:pPr>
      <w:bookmarkStart w:id="93" w:name="_Appendix_4:_US"/>
      <w:bookmarkStart w:id="94" w:name="_Toc63874256"/>
      <w:bookmarkEnd w:id="93"/>
      <w:r w:rsidRPr="00D46F6D">
        <w:lastRenderedPageBreak/>
        <w:t xml:space="preserve">Appendix </w:t>
      </w:r>
      <w:r w:rsidR="007B545D" w:rsidRPr="00D46F6D">
        <w:t xml:space="preserve">4: </w:t>
      </w:r>
      <w:r w:rsidRPr="00D46F6D">
        <w:t>US e</w:t>
      </w:r>
      <w:r w:rsidRPr="005623BF">
        <w:t>mission standards for non-road diesel engines</w:t>
      </w:r>
      <w:bookmarkEnd w:id="94"/>
    </w:p>
    <w:p w14:paraId="443478ED" w14:textId="280B137B" w:rsidR="004B2F6E" w:rsidRDefault="00B04D4F" w:rsidP="004B2F6E">
      <w:pPr>
        <w:rPr>
          <w:lang w:eastAsia="ja-JP"/>
        </w:rPr>
      </w:pPr>
      <w:r>
        <w:rPr>
          <w:lang w:eastAsia="ja-JP"/>
        </w:rPr>
        <w:fldChar w:fldCharType="begin"/>
      </w:r>
      <w:r>
        <w:rPr>
          <w:lang w:eastAsia="ja-JP"/>
        </w:rPr>
        <w:instrText xml:space="preserve"> REF _Ref63694158 \h </w:instrText>
      </w:r>
      <w:r>
        <w:rPr>
          <w:lang w:eastAsia="ja-JP"/>
        </w:rPr>
      </w:r>
      <w:r>
        <w:rPr>
          <w:lang w:eastAsia="ja-JP"/>
        </w:rPr>
        <w:fldChar w:fldCharType="separate"/>
      </w:r>
      <w:r>
        <w:t xml:space="preserve">Table </w:t>
      </w:r>
      <w:r w:rsidR="004B6A24">
        <w:rPr>
          <w:noProof/>
        </w:rPr>
        <w:t>9</w:t>
      </w:r>
      <w:r>
        <w:rPr>
          <w:lang w:eastAsia="ja-JP"/>
        </w:rPr>
        <w:fldChar w:fldCharType="end"/>
      </w:r>
      <w:r>
        <w:rPr>
          <w:lang w:eastAsia="ja-JP"/>
        </w:rPr>
        <w:t xml:space="preserve"> below shows the US emission standards for NRDE.</w:t>
      </w:r>
    </w:p>
    <w:p w14:paraId="00A6E2FF" w14:textId="728E63F9" w:rsidR="00C74859" w:rsidRPr="004B2F6E" w:rsidRDefault="00C74859" w:rsidP="00C74859">
      <w:pPr>
        <w:pStyle w:val="Caption"/>
        <w:rPr>
          <w:lang w:eastAsia="ja-JP"/>
        </w:rPr>
      </w:pPr>
      <w:bookmarkStart w:id="95" w:name="_Ref63694158"/>
      <w:bookmarkStart w:id="96" w:name="_Toc63696016"/>
      <w:r>
        <w:t xml:space="preserve">Table </w:t>
      </w:r>
      <w:r w:rsidR="00126C54">
        <w:rPr>
          <w:noProof/>
        </w:rPr>
        <w:fldChar w:fldCharType="begin"/>
      </w:r>
      <w:r w:rsidR="00126C54">
        <w:rPr>
          <w:noProof/>
        </w:rPr>
        <w:instrText xml:space="preserve"> SEQ Table \* ARABIC </w:instrText>
      </w:r>
      <w:r w:rsidR="00126C54">
        <w:rPr>
          <w:noProof/>
        </w:rPr>
        <w:fldChar w:fldCharType="separate"/>
      </w:r>
      <w:r w:rsidR="00664F36">
        <w:rPr>
          <w:noProof/>
        </w:rPr>
        <w:t>9</w:t>
      </w:r>
      <w:r w:rsidR="00126C54">
        <w:rPr>
          <w:noProof/>
        </w:rPr>
        <w:fldChar w:fldCharType="end"/>
      </w:r>
      <w:bookmarkEnd w:id="95"/>
      <w:r>
        <w:t xml:space="preserve"> US emission standards</w:t>
      </w:r>
      <w:bookmarkEnd w:id="96"/>
    </w:p>
    <w:tbl>
      <w:tblPr>
        <w:tblStyle w:val="TableGrid"/>
        <w:tblW w:w="4994"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5"/>
        <w:gridCol w:w="1343"/>
        <w:gridCol w:w="1136"/>
        <w:gridCol w:w="850"/>
        <w:gridCol w:w="993"/>
        <w:gridCol w:w="1279"/>
        <w:gridCol w:w="995"/>
        <w:gridCol w:w="1118"/>
      </w:tblGrid>
      <w:tr w:rsidR="0075520B" w:rsidRPr="00E2788A" w14:paraId="186990B1" w14:textId="77777777" w:rsidTr="00415C12">
        <w:trPr>
          <w:cantSplit/>
          <w:tblHeader/>
        </w:trPr>
        <w:tc>
          <w:tcPr>
            <w:tcW w:w="742" w:type="pct"/>
            <w:vMerge w:val="restart"/>
          </w:tcPr>
          <w:p w14:paraId="27539469" w14:textId="77777777" w:rsidR="0075520B" w:rsidRPr="00E2788A" w:rsidRDefault="0075520B" w:rsidP="0070796E">
            <w:pPr>
              <w:pStyle w:val="TableHeading"/>
            </w:pPr>
            <w:r w:rsidRPr="00E2788A">
              <w:t>Power</w:t>
            </w:r>
          </w:p>
        </w:tc>
        <w:tc>
          <w:tcPr>
            <w:tcW w:w="741" w:type="pct"/>
            <w:vMerge w:val="restart"/>
          </w:tcPr>
          <w:p w14:paraId="4C7150B1" w14:textId="77777777" w:rsidR="0075520B" w:rsidRPr="00E2788A" w:rsidRDefault="0075520B" w:rsidP="0070796E">
            <w:pPr>
              <w:pStyle w:val="TableHeading"/>
            </w:pPr>
            <w:r w:rsidRPr="00E2788A">
              <w:t>Tier</w:t>
            </w:r>
          </w:p>
        </w:tc>
        <w:tc>
          <w:tcPr>
            <w:tcW w:w="627" w:type="pct"/>
            <w:vMerge w:val="restart"/>
          </w:tcPr>
          <w:p w14:paraId="32317A42" w14:textId="77777777" w:rsidR="0075520B" w:rsidRPr="00E2788A" w:rsidRDefault="0075520B" w:rsidP="0070796E">
            <w:pPr>
              <w:pStyle w:val="TableHeading"/>
            </w:pPr>
            <w:r w:rsidRPr="00E2788A">
              <w:t>Year</w:t>
            </w:r>
          </w:p>
        </w:tc>
        <w:tc>
          <w:tcPr>
            <w:tcW w:w="2889" w:type="pct"/>
            <w:gridSpan w:val="5"/>
            <w:tcBorders>
              <w:bottom w:val="nil"/>
            </w:tcBorders>
          </w:tcPr>
          <w:p w14:paraId="2DE07EB4" w14:textId="499DFA46" w:rsidR="0075520B" w:rsidRPr="00E2788A" w:rsidRDefault="0075520B" w:rsidP="00A77A1E">
            <w:pPr>
              <w:pStyle w:val="TableHeading"/>
              <w:jc w:val="center"/>
            </w:pPr>
            <w:r w:rsidRPr="00E2788A">
              <w:t>Emission standard (g/kWh)</w:t>
            </w:r>
          </w:p>
        </w:tc>
      </w:tr>
      <w:tr w:rsidR="0075520B" w:rsidRPr="00E2788A" w14:paraId="79912049" w14:textId="77777777" w:rsidTr="0075520B">
        <w:trPr>
          <w:cantSplit/>
          <w:tblHeader/>
        </w:trPr>
        <w:tc>
          <w:tcPr>
            <w:tcW w:w="742" w:type="pct"/>
            <w:vMerge/>
            <w:tcBorders>
              <w:bottom w:val="single" w:sz="4" w:space="0" w:color="auto"/>
            </w:tcBorders>
          </w:tcPr>
          <w:p w14:paraId="24E08CDA" w14:textId="77777777" w:rsidR="0075520B" w:rsidRPr="00E2788A" w:rsidRDefault="0075520B" w:rsidP="00515E8B">
            <w:pPr>
              <w:pStyle w:val="TableHeading"/>
            </w:pPr>
          </w:p>
        </w:tc>
        <w:tc>
          <w:tcPr>
            <w:tcW w:w="741" w:type="pct"/>
            <w:vMerge/>
            <w:tcBorders>
              <w:bottom w:val="single" w:sz="4" w:space="0" w:color="auto"/>
            </w:tcBorders>
          </w:tcPr>
          <w:p w14:paraId="558843A9" w14:textId="77777777" w:rsidR="0075520B" w:rsidRPr="00E2788A" w:rsidRDefault="0075520B" w:rsidP="00515E8B">
            <w:pPr>
              <w:pStyle w:val="TableHeading"/>
            </w:pPr>
          </w:p>
        </w:tc>
        <w:tc>
          <w:tcPr>
            <w:tcW w:w="627" w:type="pct"/>
            <w:vMerge/>
            <w:tcBorders>
              <w:bottom w:val="single" w:sz="4" w:space="0" w:color="auto"/>
            </w:tcBorders>
          </w:tcPr>
          <w:p w14:paraId="67989AA3" w14:textId="77777777" w:rsidR="0075520B" w:rsidRPr="00E2788A" w:rsidRDefault="0075520B" w:rsidP="00515E8B">
            <w:pPr>
              <w:pStyle w:val="TableHeading"/>
            </w:pPr>
          </w:p>
        </w:tc>
        <w:tc>
          <w:tcPr>
            <w:tcW w:w="469" w:type="pct"/>
            <w:tcBorders>
              <w:top w:val="nil"/>
              <w:bottom w:val="single" w:sz="4" w:space="0" w:color="auto"/>
            </w:tcBorders>
          </w:tcPr>
          <w:p w14:paraId="64713CCC" w14:textId="77777777" w:rsidR="0075520B" w:rsidRPr="00E2788A" w:rsidRDefault="0075520B" w:rsidP="0070796E">
            <w:pPr>
              <w:pStyle w:val="TableHeading"/>
              <w:jc w:val="right"/>
            </w:pPr>
            <w:r w:rsidRPr="00E2788A">
              <w:t>CO</w:t>
            </w:r>
          </w:p>
        </w:tc>
        <w:tc>
          <w:tcPr>
            <w:tcW w:w="548" w:type="pct"/>
            <w:tcBorders>
              <w:top w:val="nil"/>
              <w:bottom w:val="single" w:sz="4" w:space="0" w:color="auto"/>
            </w:tcBorders>
          </w:tcPr>
          <w:p w14:paraId="6736594A" w14:textId="77777777" w:rsidR="0075520B" w:rsidRPr="00E2788A" w:rsidRDefault="0075520B" w:rsidP="0070796E">
            <w:pPr>
              <w:pStyle w:val="TableHeading"/>
              <w:jc w:val="right"/>
            </w:pPr>
            <w:r w:rsidRPr="00E2788A">
              <w:t>NMHC</w:t>
            </w:r>
          </w:p>
        </w:tc>
        <w:tc>
          <w:tcPr>
            <w:tcW w:w="706" w:type="pct"/>
            <w:tcBorders>
              <w:top w:val="nil"/>
              <w:bottom w:val="single" w:sz="4" w:space="0" w:color="auto"/>
            </w:tcBorders>
          </w:tcPr>
          <w:p w14:paraId="2B0C5D67" w14:textId="77777777" w:rsidR="0075520B" w:rsidRPr="00E2788A" w:rsidRDefault="0075520B" w:rsidP="0070796E">
            <w:pPr>
              <w:pStyle w:val="TableHeading"/>
              <w:jc w:val="right"/>
            </w:pPr>
            <w:r w:rsidRPr="00E2788A">
              <w:t>NMHC+NO</w:t>
            </w:r>
            <w:r w:rsidRPr="00F82CA0">
              <w:rPr>
                <w:vertAlign w:val="subscript"/>
              </w:rPr>
              <w:t>X</w:t>
            </w:r>
          </w:p>
        </w:tc>
        <w:tc>
          <w:tcPr>
            <w:tcW w:w="549" w:type="pct"/>
            <w:tcBorders>
              <w:top w:val="nil"/>
              <w:bottom w:val="single" w:sz="4" w:space="0" w:color="auto"/>
            </w:tcBorders>
          </w:tcPr>
          <w:p w14:paraId="1467F304" w14:textId="77777777" w:rsidR="0075520B" w:rsidRPr="00E2788A" w:rsidRDefault="0075520B" w:rsidP="0070796E">
            <w:pPr>
              <w:pStyle w:val="TableHeading"/>
              <w:jc w:val="right"/>
            </w:pPr>
            <w:r w:rsidRPr="00E2788A">
              <w:t>NO</w:t>
            </w:r>
            <w:r w:rsidRPr="00F82CA0">
              <w:rPr>
                <w:vertAlign w:val="subscript"/>
              </w:rPr>
              <w:t>X</w:t>
            </w:r>
          </w:p>
        </w:tc>
        <w:tc>
          <w:tcPr>
            <w:tcW w:w="617" w:type="pct"/>
            <w:tcBorders>
              <w:top w:val="nil"/>
              <w:bottom w:val="single" w:sz="4" w:space="0" w:color="auto"/>
            </w:tcBorders>
          </w:tcPr>
          <w:p w14:paraId="72E29593" w14:textId="77777777" w:rsidR="0075520B" w:rsidRPr="00E2788A" w:rsidRDefault="0075520B" w:rsidP="0070796E">
            <w:pPr>
              <w:pStyle w:val="TableHeading"/>
              <w:jc w:val="right"/>
            </w:pPr>
            <w:r w:rsidRPr="00E2788A">
              <w:t>PM</w:t>
            </w:r>
          </w:p>
        </w:tc>
      </w:tr>
      <w:tr w:rsidR="0051010A" w:rsidRPr="00E2788A" w14:paraId="463391B2" w14:textId="77777777" w:rsidTr="0075520B">
        <w:tc>
          <w:tcPr>
            <w:tcW w:w="742" w:type="pct"/>
            <w:vMerge w:val="restart"/>
            <w:tcBorders>
              <w:top w:val="single" w:sz="4" w:space="0" w:color="auto"/>
            </w:tcBorders>
          </w:tcPr>
          <w:p w14:paraId="4F908256" w14:textId="77777777" w:rsidR="0051010A" w:rsidRPr="00E2788A" w:rsidRDefault="0051010A" w:rsidP="00743627">
            <w:pPr>
              <w:pStyle w:val="TableText"/>
            </w:pPr>
            <w:r w:rsidRPr="00E2788A">
              <w:t>&lt; 8 kW</w:t>
            </w:r>
          </w:p>
        </w:tc>
        <w:tc>
          <w:tcPr>
            <w:tcW w:w="741" w:type="pct"/>
            <w:tcBorders>
              <w:top w:val="single" w:sz="4" w:space="0" w:color="auto"/>
            </w:tcBorders>
          </w:tcPr>
          <w:p w14:paraId="75E4F3C8" w14:textId="77777777" w:rsidR="0051010A" w:rsidRPr="00E2788A" w:rsidRDefault="0051010A" w:rsidP="00743627">
            <w:pPr>
              <w:pStyle w:val="TableText"/>
            </w:pPr>
            <w:r w:rsidRPr="00E2788A">
              <w:t>Tier 1</w:t>
            </w:r>
          </w:p>
        </w:tc>
        <w:tc>
          <w:tcPr>
            <w:tcW w:w="627" w:type="pct"/>
            <w:tcBorders>
              <w:top w:val="single" w:sz="4" w:space="0" w:color="auto"/>
            </w:tcBorders>
          </w:tcPr>
          <w:p w14:paraId="6B6937FD" w14:textId="77777777" w:rsidR="0051010A" w:rsidRPr="00E2788A" w:rsidRDefault="0051010A" w:rsidP="00743627">
            <w:pPr>
              <w:pStyle w:val="TableText"/>
            </w:pPr>
            <w:r w:rsidRPr="00E2788A">
              <w:t>2000</w:t>
            </w:r>
          </w:p>
        </w:tc>
        <w:tc>
          <w:tcPr>
            <w:tcW w:w="469" w:type="pct"/>
            <w:tcBorders>
              <w:top w:val="single" w:sz="4" w:space="0" w:color="auto"/>
            </w:tcBorders>
          </w:tcPr>
          <w:p w14:paraId="3E95DA53" w14:textId="77777777" w:rsidR="0051010A" w:rsidRPr="00E2788A" w:rsidRDefault="0051010A" w:rsidP="00F82CA0">
            <w:pPr>
              <w:pStyle w:val="TableText"/>
              <w:jc w:val="right"/>
            </w:pPr>
            <w:r w:rsidRPr="00E2788A">
              <w:t>8.0</w:t>
            </w:r>
          </w:p>
        </w:tc>
        <w:tc>
          <w:tcPr>
            <w:tcW w:w="548" w:type="pct"/>
            <w:tcBorders>
              <w:top w:val="single" w:sz="4" w:space="0" w:color="auto"/>
            </w:tcBorders>
          </w:tcPr>
          <w:p w14:paraId="15E56DE8" w14:textId="315F3B33" w:rsidR="0051010A" w:rsidRPr="00E2788A" w:rsidRDefault="00111161" w:rsidP="00F82CA0">
            <w:pPr>
              <w:pStyle w:val="TableText"/>
              <w:jc w:val="right"/>
            </w:pPr>
            <w:r>
              <w:t>–</w:t>
            </w:r>
          </w:p>
        </w:tc>
        <w:tc>
          <w:tcPr>
            <w:tcW w:w="706" w:type="pct"/>
            <w:tcBorders>
              <w:top w:val="single" w:sz="4" w:space="0" w:color="auto"/>
            </w:tcBorders>
          </w:tcPr>
          <w:p w14:paraId="1DB62943" w14:textId="77777777" w:rsidR="0051010A" w:rsidRPr="00E2788A" w:rsidRDefault="0051010A" w:rsidP="00F82CA0">
            <w:pPr>
              <w:pStyle w:val="TableText"/>
              <w:jc w:val="right"/>
            </w:pPr>
            <w:r w:rsidRPr="00E2788A">
              <w:t>10.5</w:t>
            </w:r>
          </w:p>
        </w:tc>
        <w:tc>
          <w:tcPr>
            <w:tcW w:w="549" w:type="pct"/>
            <w:tcBorders>
              <w:top w:val="single" w:sz="4" w:space="0" w:color="auto"/>
            </w:tcBorders>
          </w:tcPr>
          <w:p w14:paraId="7059A9DB" w14:textId="5FD83DBE" w:rsidR="0051010A" w:rsidRPr="00E2788A" w:rsidRDefault="00111161" w:rsidP="00F82CA0">
            <w:pPr>
              <w:pStyle w:val="TableText"/>
              <w:jc w:val="right"/>
            </w:pPr>
            <w:r>
              <w:t>–</w:t>
            </w:r>
          </w:p>
        </w:tc>
        <w:tc>
          <w:tcPr>
            <w:tcW w:w="617" w:type="pct"/>
            <w:tcBorders>
              <w:top w:val="single" w:sz="4" w:space="0" w:color="auto"/>
            </w:tcBorders>
          </w:tcPr>
          <w:p w14:paraId="3AD63171" w14:textId="77777777" w:rsidR="0051010A" w:rsidRPr="00E2788A" w:rsidRDefault="0051010A" w:rsidP="00F82CA0">
            <w:pPr>
              <w:pStyle w:val="TableText"/>
              <w:jc w:val="right"/>
            </w:pPr>
            <w:r w:rsidRPr="00E2788A">
              <w:t>1.0</w:t>
            </w:r>
          </w:p>
        </w:tc>
      </w:tr>
      <w:tr w:rsidR="0051010A" w:rsidRPr="00E2788A" w14:paraId="5E052A61" w14:textId="77777777" w:rsidTr="0075520B">
        <w:tc>
          <w:tcPr>
            <w:tcW w:w="742" w:type="pct"/>
            <w:vMerge/>
          </w:tcPr>
          <w:p w14:paraId="436924BE" w14:textId="77777777" w:rsidR="0051010A" w:rsidRPr="00E2788A" w:rsidRDefault="0051010A" w:rsidP="00743627">
            <w:pPr>
              <w:pStyle w:val="TableText"/>
            </w:pPr>
          </w:p>
        </w:tc>
        <w:tc>
          <w:tcPr>
            <w:tcW w:w="741" w:type="pct"/>
          </w:tcPr>
          <w:p w14:paraId="33B36703" w14:textId="77777777" w:rsidR="0051010A" w:rsidRPr="00E2788A" w:rsidRDefault="0051010A" w:rsidP="00743627">
            <w:pPr>
              <w:pStyle w:val="TableText"/>
            </w:pPr>
            <w:r w:rsidRPr="00E2788A">
              <w:t>Tier 2</w:t>
            </w:r>
          </w:p>
        </w:tc>
        <w:tc>
          <w:tcPr>
            <w:tcW w:w="627" w:type="pct"/>
          </w:tcPr>
          <w:p w14:paraId="0483BDB4" w14:textId="77777777" w:rsidR="0051010A" w:rsidRPr="00E2788A" w:rsidRDefault="0051010A" w:rsidP="00743627">
            <w:pPr>
              <w:pStyle w:val="TableText"/>
            </w:pPr>
            <w:r w:rsidRPr="00E2788A">
              <w:t>2005</w:t>
            </w:r>
          </w:p>
        </w:tc>
        <w:tc>
          <w:tcPr>
            <w:tcW w:w="469" w:type="pct"/>
          </w:tcPr>
          <w:p w14:paraId="4D114D2D" w14:textId="77777777" w:rsidR="0051010A" w:rsidRPr="00E2788A" w:rsidRDefault="0051010A" w:rsidP="00F82CA0">
            <w:pPr>
              <w:pStyle w:val="TableText"/>
              <w:jc w:val="right"/>
            </w:pPr>
            <w:r w:rsidRPr="00E2788A">
              <w:t>8.0</w:t>
            </w:r>
          </w:p>
        </w:tc>
        <w:tc>
          <w:tcPr>
            <w:tcW w:w="548" w:type="pct"/>
          </w:tcPr>
          <w:p w14:paraId="2BCA8653" w14:textId="10000A14" w:rsidR="0051010A" w:rsidRPr="00E2788A" w:rsidRDefault="00111161" w:rsidP="00F82CA0">
            <w:pPr>
              <w:pStyle w:val="TableText"/>
              <w:jc w:val="right"/>
            </w:pPr>
            <w:r>
              <w:t>–</w:t>
            </w:r>
          </w:p>
        </w:tc>
        <w:tc>
          <w:tcPr>
            <w:tcW w:w="706" w:type="pct"/>
          </w:tcPr>
          <w:p w14:paraId="138FE2DD" w14:textId="77777777" w:rsidR="0051010A" w:rsidRPr="00E2788A" w:rsidRDefault="0051010A" w:rsidP="00F82CA0">
            <w:pPr>
              <w:pStyle w:val="TableText"/>
              <w:jc w:val="right"/>
            </w:pPr>
            <w:r w:rsidRPr="00E2788A">
              <w:t>7.5</w:t>
            </w:r>
          </w:p>
        </w:tc>
        <w:tc>
          <w:tcPr>
            <w:tcW w:w="549" w:type="pct"/>
          </w:tcPr>
          <w:p w14:paraId="11FF016B" w14:textId="070D7DDA" w:rsidR="0051010A" w:rsidRPr="00E2788A" w:rsidRDefault="00111161" w:rsidP="00F82CA0">
            <w:pPr>
              <w:pStyle w:val="TableText"/>
              <w:jc w:val="right"/>
            </w:pPr>
            <w:r>
              <w:t>–</w:t>
            </w:r>
          </w:p>
        </w:tc>
        <w:tc>
          <w:tcPr>
            <w:tcW w:w="617" w:type="pct"/>
          </w:tcPr>
          <w:p w14:paraId="7EE62422" w14:textId="77777777" w:rsidR="0051010A" w:rsidRPr="00E2788A" w:rsidRDefault="0051010A" w:rsidP="00F82CA0">
            <w:pPr>
              <w:pStyle w:val="TableText"/>
              <w:jc w:val="right"/>
            </w:pPr>
            <w:r w:rsidRPr="00E2788A">
              <w:t>0.8</w:t>
            </w:r>
          </w:p>
        </w:tc>
      </w:tr>
      <w:tr w:rsidR="0051010A" w:rsidRPr="00E2788A" w14:paraId="04ED4ABB" w14:textId="77777777" w:rsidTr="0075520B">
        <w:tc>
          <w:tcPr>
            <w:tcW w:w="742" w:type="pct"/>
            <w:vMerge/>
          </w:tcPr>
          <w:p w14:paraId="0737B929" w14:textId="77777777" w:rsidR="0051010A" w:rsidRPr="00E2788A" w:rsidRDefault="0051010A" w:rsidP="00743627">
            <w:pPr>
              <w:pStyle w:val="TableText"/>
            </w:pPr>
          </w:p>
        </w:tc>
        <w:tc>
          <w:tcPr>
            <w:tcW w:w="741" w:type="pct"/>
            <w:tcBorders>
              <w:bottom w:val="nil"/>
            </w:tcBorders>
          </w:tcPr>
          <w:p w14:paraId="7FC71F46" w14:textId="77777777" w:rsidR="0051010A" w:rsidRPr="0075520B" w:rsidRDefault="0051010A" w:rsidP="00743627">
            <w:pPr>
              <w:pStyle w:val="TableText"/>
            </w:pPr>
            <w:r w:rsidRPr="0075520B">
              <w:t>Tier 3</w:t>
            </w:r>
          </w:p>
        </w:tc>
        <w:tc>
          <w:tcPr>
            <w:tcW w:w="627" w:type="pct"/>
            <w:tcBorders>
              <w:bottom w:val="nil"/>
            </w:tcBorders>
          </w:tcPr>
          <w:p w14:paraId="1507C847" w14:textId="5CF3CB3F" w:rsidR="0051010A" w:rsidRPr="0075520B" w:rsidRDefault="00111161" w:rsidP="00743627">
            <w:pPr>
              <w:pStyle w:val="TableText"/>
            </w:pPr>
            <w:r>
              <w:t>–</w:t>
            </w:r>
          </w:p>
        </w:tc>
        <w:tc>
          <w:tcPr>
            <w:tcW w:w="469" w:type="pct"/>
            <w:tcBorders>
              <w:bottom w:val="nil"/>
            </w:tcBorders>
          </w:tcPr>
          <w:p w14:paraId="669B0B68" w14:textId="28D05917" w:rsidR="0051010A" w:rsidRPr="00E2788A" w:rsidRDefault="0075520B" w:rsidP="00F82CA0">
            <w:pPr>
              <w:pStyle w:val="TableText"/>
              <w:jc w:val="right"/>
            </w:pPr>
            <w:r>
              <w:t>–</w:t>
            </w:r>
          </w:p>
        </w:tc>
        <w:tc>
          <w:tcPr>
            <w:tcW w:w="548" w:type="pct"/>
            <w:tcBorders>
              <w:bottom w:val="nil"/>
            </w:tcBorders>
          </w:tcPr>
          <w:p w14:paraId="651176C9" w14:textId="741B6E94" w:rsidR="0051010A" w:rsidRPr="00E2788A" w:rsidRDefault="00111161" w:rsidP="00F82CA0">
            <w:pPr>
              <w:pStyle w:val="TableText"/>
              <w:jc w:val="right"/>
            </w:pPr>
            <w:r>
              <w:t>–</w:t>
            </w:r>
          </w:p>
        </w:tc>
        <w:tc>
          <w:tcPr>
            <w:tcW w:w="706" w:type="pct"/>
            <w:tcBorders>
              <w:bottom w:val="nil"/>
            </w:tcBorders>
          </w:tcPr>
          <w:p w14:paraId="6A06ED56" w14:textId="5B6E1235" w:rsidR="0051010A" w:rsidRPr="00E2788A" w:rsidRDefault="00111161" w:rsidP="00F82CA0">
            <w:pPr>
              <w:pStyle w:val="TableText"/>
              <w:jc w:val="right"/>
            </w:pPr>
            <w:r>
              <w:t>–</w:t>
            </w:r>
          </w:p>
        </w:tc>
        <w:tc>
          <w:tcPr>
            <w:tcW w:w="549" w:type="pct"/>
            <w:tcBorders>
              <w:bottom w:val="nil"/>
            </w:tcBorders>
          </w:tcPr>
          <w:p w14:paraId="26CBE0CC" w14:textId="28BD7191" w:rsidR="0051010A" w:rsidRPr="00E2788A" w:rsidRDefault="00111161" w:rsidP="00F82CA0">
            <w:pPr>
              <w:pStyle w:val="TableText"/>
              <w:jc w:val="right"/>
            </w:pPr>
            <w:r>
              <w:t>–</w:t>
            </w:r>
          </w:p>
        </w:tc>
        <w:tc>
          <w:tcPr>
            <w:tcW w:w="617" w:type="pct"/>
            <w:tcBorders>
              <w:bottom w:val="nil"/>
            </w:tcBorders>
          </w:tcPr>
          <w:p w14:paraId="767BC2CE" w14:textId="06BA9A40" w:rsidR="0051010A" w:rsidRPr="00E2788A" w:rsidRDefault="00111161" w:rsidP="00F82CA0">
            <w:pPr>
              <w:pStyle w:val="TableText"/>
              <w:jc w:val="right"/>
            </w:pPr>
            <w:r>
              <w:t>–</w:t>
            </w:r>
          </w:p>
        </w:tc>
      </w:tr>
      <w:tr w:rsidR="0051010A" w:rsidRPr="00E2788A" w14:paraId="16D12FC2" w14:textId="77777777" w:rsidTr="0075520B">
        <w:tc>
          <w:tcPr>
            <w:tcW w:w="742" w:type="pct"/>
            <w:vMerge/>
            <w:tcBorders>
              <w:bottom w:val="single" w:sz="4" w:space="0" w:color="auto"/>
            </w:tcBorders>
          </w:tcPr>
          <w:p w14:paraId="1E589F02" w14:textId="77777777" w:rsidR="0051010A" w:rsidRPr="00E2788A" w:rsidRDefault="0051010A" w:rsidP="00743627">
            <w:pPr>
              <w:pStyle w:val="TableText"/>
            </w:pPr>
          </w:p>
        </w:tc>
        <w:tc>
          <w:tcPr>
            <w:tcW w:w="741" w:type="pct"/>
            <w:tcBorders>
              <w:top w:val="nil"/>
              <w:bottom w:val="single" w:sz="4" w:space="0" w:color="auto"/>
            </w:tcBorders>
          </w:tcPr>
          <w:p w14:paraId="48D8D69C" w14:textId="77777777" w:rsidR="0051010A" w:rsidRPr="00E2788A" w:rsidRDefault="0051010A" w:rsidP="00743627">
            <w:pPr>
              <w:pStyle w:val="TableText"/>
            </w:pPr>
            <w:r w:rsidRPr="00E2788A">
              <w:t>Tier 4</w:t>
            </w:r>
          </w:p>
        </w:tc>
        <w:tc>
          <w:tcPr>
            <w:tcW w:w="627" w:type="pct"/>
            <w:tcBorders>
              <w:top w:val="nil"/>
              <w:bottom w:val="single" w:sz="4" w:space="0" w:color="auto"/>
            </w:tcBorders>
          </w:tcPr>
          <w:p w14:paraId="41ADF211" w14:textId="77777777" w:rsidR="0051010A" w:rsidRPr="00E2788A" w:rsidRDefault="0051010A" w:rsidP="00743627">
            <w:pPr>
              <w:pStyle w:val="TableText"/>
            </w:pPr>
            <w:r w:rsidRPr="00E2788A">
              <w:t>2008</w:t>
            </w:r>
          </w:p>
        </w:tc>
        <w:tc>
          <w:tcPr>
            <w:tcW w:w="469" w:type="pct"/>
            <w:tcBorders>
              <w:top w:val="nil"/>
              <w:bottom w:val="single" w:sz="4" w:space="0" w:color="auto"/>
            </w:tcBorders>
          </w:tcPr>
          <w:p w14:paraId="492C5662" w14:textId="77777777" w:rsidR="0051010A" w:rsidRPr="00E2788A" w:rsidRDefault="0051010A" w:rsidP="00F82CA0">
            <w:pPr>
              <w:pStyle w:val="TableText"/>
              <w:jc w:val="right"/>
            </w:pPr>
            <w:r w:rsidRPr="00E2788A">
              <w:t>8.0</w:t>
            </w:r>
          </w:p>
        </w:tc>
        <w:tc>
          <w:tcPr>
            <w:tcW w:w="548" w:type="pct"/>
            <w:tcBorders>
              <w:top w:val="nil"/>
              <w:bottom w:val="single" w:sz="4" w:space="0" w:color="auto"/>
            </w:tcBorders>
          </w:tcPr>
          <w:p w14:paraId="44FAD022" w14:textId="532B5DC1" w:rsidR="0051010A" w:rsidRPr="00E2788A" w:rsidRDefault="00111161" w:rsidP="00F82CA0">
            <w:pPr>
              <w:pStyle w:val="TableText"/>
              <w:jc w:val="right"/>
            </w:pPr>
            <w:r>
              <w:t>–</w:t>
            </w:r>
          </w:p>
        </w:tc>
        <w:tc>
          <w:tcPr>
            <w:tcW w:w="706" w:type="pct"/>
            <w:tcBorders>
              <w:top w:val="nil"/>
              <w:bottom w:val="single" w:sz="4" w:space="0" w:color="auto"/>
            </w:tcBorders>
          </w:tcPr>
          <w:p w14:paraId="650F7CB8" w14:textId="77777777" w:rsidR="0051010A" w:rsidRPr="00E2788A" w:rsidRDefault="0051010A" w:rsidP="00F82CA0">
            <w:pPr>
              <w:pStyle w:val="TableText"/>
              <w:jc w:val="right"/>
            </w:pPr>
            <w:r w:rsidRPr="00E2788A">
              <w:t>7.5</w:t>
            </w:r>
          </w:p>
        </w:tc>
        <w:tc>
          <w:tcPr>
            <w:tcW w:w="549" w:type="pct"/>
            <w:tcBorders>
              <w:top w:val="nil"/>
              <w:bottom w:val="single" w:sz="4" w:space="0" w:color="auto"/>
            </w:tcBorders>
          </w:tcPr>
          <w:p w14:paraId="1E308CEA" w14:textId="7B4482D2" w:rsidR="0051010A" w:rsidRPr="00E2788A" w:rsidRDefault="00111161" w:rsidP="00F82CA0">
            <w:pPr>
              <w:pStyle w:val="TableText"/>
              <w:jc w:val="right"/>
            </w:pPr>
            <w:r>
              <w:t>–</w:t>
            </w:r>
          </w:p>
        </w:tc>
        <w:tc>
          <w:tcPr>
            <w:tcW w:w="617" w:type="pct"/>
            <w:tcBorders>
              <w:top w:val="nil"/>
              <w:bottom w:val="single" w:sz="4" w:space="0" w:color="auto"/>
            </w:tcBorders>
          </w:tcPr>
          <w:p w14:paraId="479AC054" w14:textId="77777777" w:rsidR="0051010A" w:rsidRPr="00E2788A" w:rsidRDefault="0051010A" w:rsidP="00F82CA0">
            <w:pPr>
              <w:pStyle w:val="TableText"/>
              <w:jc w:val="right"/>
            </w:pPr>
            <w:r w:rsidRPr="00E2788A">
              <w:t>0.4</w:t>
            </w:r>
          </w:p>
        </w:tc>
      </w:tr>
      <w:tr w:rsidR="0051010A" w:rsidRPr="00E2788A" w14:paraId="01A4A5AB" w14:textId="77777777" w:rsidTr="0075520B">
        <w:tc>
          <w:tcPr>
            <w:tcW w:w="742" w:type="pct"/>
            <w:vMerge w:val="restart"/>
            <w:tcBorders>
              <w:top w:val="single" w:sz="4" w:space="0" w:color="auto"/>
            </w:tcBorders>
          </w:tcPr>
          <w:p w14:paraId="7221E5C3" w14:textId="77777777" w:rsidR="0051010A" w:rsidRPr="00E2788A" w:rsidRDefault="0051010A" w:rsidP="00743627">
            <w:pPr>
              <w:pStyle w:val="TableText"/>
            </w:pPr>
            <w:r w:rsidRPr="00E2788A">
              <w:t>8 ≤ kW &lt; 19</w:t>
            </w:r>
          </w:p>
        </w:tc>
        <w:tc>
          <w:tcPr>
            <w:tcW w:w="741" w:type="pct"/>
            <w:tcBorders>
              <w:top w:val="single" w:sz="4" w:space="0" w:color="auto"/>
            </w:tcBorders>
          </w:tcPr>
          <w:p w14:paraId="19786433" w14:textId="77777777" w:rsidR="0051010A" w:rsidRPr="00E2788A" w:rsidRDefault="0051010A" w:rsidP="00743627">
            <w:pPr>
              <w:pStyle w:val="TableText"/>
            </w:pPr>
            <w:r w:rsidRPr="00E2788A">
              <w:t>Tier 1</w:t>
            </w:r>
          </w:p>
        </w:tc>
        <w:tc>
          <w:tcPr>
            <w:tcW w:w="627" w:type="pct"/>
            <w:tcBorders>
              <w:top w:val="single" w:sz="4" w:space="0" w:color="auto"/>
            </w:tcBorders>
          </w:tcPr>
          <w:p w14:paraId="3AA8C3D5" w14:textId="77777777" w:rsidR="0051010A" w:rsidRPr="00E2788A" w:rsidRDefault="0051010A" w:rsidP="00743627">
            <w:pPr>
              <w:pStyle w:val="TableText"/>
            </w:pPr>
            <w:r w:rsidRPr="00E2788A">
              <w:t>2000</w:t>
            </w:r>
          </w:p>
        </w:tc>
        <w:tc>
          <w:tcPr>
            <w:tcW w:w="469" w:type="pct"/>
            <w:tcBorders>
              <w:top w:val="single" w:sz="4" w:space="0" w:color="auto"/>
            </w:tcBorders>
          </w:tcPr>
          <w:p w14:paraId="776D8AE8" w14:textId="77777777" w:rsidR="0051010A" w:rsidRPr="00E2788A" w:rsidRDefault="0051010A" w:rsidP="00F82CA0">
            <w:pPr>
              <w:pStyle w:val="TableText"/>
              <w:jc w:val="right"/>
            </w:pPr>
            <w:r w:rsidRPr="00E2788A">
              <w:t>6.6</w:t>
            </w:r>
          </w:p>
        </w:tc>
        <w:tc>
          <w:tcPr>
            <w:tcW w:w="548" w:type="pct"/>
            <w:tcBorders>
              <w:top w:val="single" w:sz="4" w:space="0" w:color="auto"/>
            </w:tcBorders>
          </w:tcPr>
          <w:p w14:paraId="4076DFE4" w14:textId="4809BB63" w:rsidR="0051010A" w:rsidRPr="00E2788A" w:rsidRDefault="00F66742" w:rsidP="00F82CA0">
            <w:pPr>
              <w:pStyle w:val="TableText"/>
              <w:jc w:val="right"/>
            </w:pPr>
            <w:r>
              <w:t>–</w:t>
            </w:r>
          </w:p>
        </w:tc>
        <w:tc>
          <w:tcPr>
            <w:tcW w:w="706" w:type="pct"/>
            <w:tcBorders>
              <w:top w:val="single" w:sz="4" w:space="0" w:color="auto"/>
            </w:tcBorders>
          </w:tcPr>
          <w:p w14:paraId="2B78002D" w14:textId="77777777" w:rsidR="0051010A" w:rsidRPr="00E2788A" w:rsidRDefault="0051010A" w:rsidP="00F82CA0">
            <w:pPr>
              <w:pStyle w:val="TableText"/>
              <w:jc w:val="right"/>
            </w:pPr>
            <w:r w:rsidRPr="00E2788A">
              <w:t>9.5</w:t>
            </w:r>
          </w:p>
        </w:tc>
        <w:tc>
          <w:tcPr>
            <w:tcW w:w="549" w:type="pct"/>
            <w:tcBorders>
              <w:top w:val="single" w:sz="4" w:space="0" w:color="auto"/>
            </w:tcBorders>
          </w:tcPr>
          <w:p w14:paraId="35AB89BA" w14:textId="5471104D" w:rsidR="0051010A" w:rsidRPr="00E2788A" w:rsidRDefault="00F66742" w:rsidP="00F82CA0">
            <w:pPr>
              <w:pStyle w:val="TableText"/>
              <w:jc w:val="right"/>
            </w:pPr>
            <w:r>
              <w:t>–</w:t>
            </w:r>
          </w:p>
        </w:tc>
        <w:tc>
          <w:tcPr>
            <w:tcW w:w="617" w:type="pct"/>
            <w:tcBorders>
              <w:top w:val="single" w:sz="4" w:space="0" w:color="auto"/>
            </w:tcBorders>
          </w:tcPr>
          <w:p w14:paraId="10CF7413" w14:textId="77777777" w:rsidR="0051010A" w:rsidRPr="00E2788A" w:rsidRDefault="0051010A" w:rsidP="00F82CA0">
            <w:pPr>
              <w:pStyle w:val="TableText"/>
              <w:jc w:val="right"/>
            </w:pPr>
            <w:r w:rsidRPr="00E2788A">
              <w:t>0.8</w:t>
            </w:r>
          </w:p>
        </w:tc>
      </w:tr>
      <w:tr w:rsidR="0051010A" w:rsidRPr="00E2788A" w14:paraId="40FD33DE" w14:textId="77777777" w:rsidTr="0075520B">
        <w:tc>
          <w:tcPr>
            <w:tcW w:w="742" w:type="pct"/>
            <w:vMerge/>
          </w:tcPr>
          <w:p w14:paraId="24743D68" w14:textId="77777777" w:rsidR="0051010A" w:rsidRPr="00E2788A" w:rsidRDefault="0051010A" w:rsidP="00743627">
            <w:pPr>
              <w:pStyle w:val="TableText"/>
            </w:pPr>
          </w:p>
        </w:tc>
        <w:tc>
          <w:tcPr>
            <w:tcW w:w="741" w:type="pct"/>
          </w:tcPr>
          <w:p w14:paraId="1A647FAC" w14:textId="77777777" w:rsidR="0051010A" w:rsidRPr="00E2788A" w:rsidRDefault="0051010A" w:rsidP="00743627">
            <w:pPr>
              <w:pStyle w:val="TableText"/>
            </w:pPr>
            <w:r w:rsidRPr="00E2788A">
              <w:t>Tier 2</w:t>
            </w:r>
          </w:p>
        </w:tc>
        <w:tc>
          <w:tcPr>
            <w:tcW w:w="627" w:type="pct"/>
          </w:tcPr>
          <w:p w14:paraId="1C82B401" w14:textId="77777777" w:rsidR="0051010A" w:rsidRPr="00E2788A" w:rsidRDefault="0051010A" w:rsidP="00743627">
            <w:pPr>
              <w:pStyle w:val="TableText"/>
            </w:pPr>
            <w:r w:rsidRPr="00E2788A">
              <w:t>2005</w:t>
            </w:r>
          </w:p>
        </w:tc>
        <w:tc>
          <w:tcPr>
            <w:tcW w:w="469" w:type="pct"/>
          </w:tcPr>
          <w:p w14:paraId="5D404345" w14:textId="77777777" w:rsidR="0051010A" w:rsidRPr="00E2788A" w:rsidRDefault="0051010A" w:rsidP="00F82CA0">
            <w:pPr>
              <w:pStyle w:val="TableText"/>
              <w:jc w:val="right"/>
            </w:pPr>
            <w:r w:rsidRPr="00E2788A">
              <w:t>6.6</w:t>
            </w:r>
          </w:p>
        </w:tc>
        <w:tc>
          <w:tcPr>
            <w:tcW w:w="548" w:type="pct"/>
          </w:tcPr>
          <w:p w14:paraId="05619968" w14:textId="46584F5B" w:rsidR="0051010A" w:rsidRPr="00E2788A" w:rsidRDefault="00F66742" w:rsidP="00F82CA0">
            <w:pPr>
              <w:pStyle w:val="TableText"/>
              <w:jc w:val="right"/>
            </w:pPr>
            <w:r>
              <w:t>–</w:t>
            </w:r>
          </w:p>
        </w:tc>
        <w:tc>
          <w:tcPr>
            <w:tcW w:w="706" w:type="pct"/>
          </w:tcPr>
          <w:p w14:paraId="0C46D2CC" w14:textId="77777777" w:rsidR="0051010A" w:rsidRPr="00E2788A" w:rsidRDefault="0051010A" w:rsidP="00F82CA0">
            <w:pPr>
              <w:pStyle w:val="TableText"/>
              <w:jc w:val="right"/>
            </w:pPr>
            <w:r w:rsidRPr="00E2788A">
              <w:t>7.5</w:t>
            </w:r>
          </w:p>
        </w:tc>
        <w:tc>
          <w:tcPr>
            <w:tcW w:w="549" w:type="pct"/>
          </w:tcPr>
          <w:p w14:paraId="14118F70" w14:textId="422CCD3A" w:rsidR="0051010A" w:rsidRPr="00E2788A" w:rsidRDefault="00F66742" w:rsidP="00F82CA0">
            <w:pPr>
              <w:pStyle w:val="TableText"/>
              <w:jc w:val="right"/>
            </w:pPr>
            <w:r>
              <w:t>–</w:t>
            </w:r>
          </w:p>
        </w:tc>
        <w:tc>
          <w:tcPr>
            <w:tcW w:w="617" w:type="pct"/>
          </w:tcPr>
          <w:p w14:paraId="00B87F6D" w14:textId="77777777" w:rsidR="0051010A" w:rsidRPr="00E2788A" w:rsidRDefault="0051010A" w:rsidP="00F82CA0">
            <w:pPr>
              <w:pStyle w:val="TableText"/>
              <w:jc w:val="right"/>
            </w:pPr>
            <w:r w:rsidRPr="00E2788A">
              <w:t>0.8</w:t>
            </w:r>
          </w:p>
        </w:tc>
      </w:tr>
      <w:tr w:rsidR="0051010A" w:rsidRPr="00E2788A" w14:paraId="5AEEDCD5" w14:textId="77777777" w:rsidTr="0075520B">
        <w:tc>
          <w:tcPr>
            <w:tcW w:w="742" w:type="pct"/>
            <w:vMerge/>
          </w:tcPr>
          <w:p w14:paraId="4CBB9920" w14:textId="77777777" w:rsidR="0051010A" w:rsidRPr="00E2788A" w:rsidRDefault="0051010A" w:rsidP="00743627">
            <w:pPr>
              <w:pStyle w:val="TableText"/>
            </w:pPr>
          </w:p>
        </w:tc>
        <w:tc>
          <w:tcPr>
            <w:tcW w:w="741" w:type="pct"/>
            <w:tcBorders>
              <w:bottom w:val="nil"/>
            </w:tcBorders>
          </w:tcPr>
          <w:p w14:paraId="53EE3EE2" w14:textId="77777777" w:rsidR="0051010A" w:rsidRPr="00C45DAA" w:rsidRDefault="0051010A" w:rsidP="00743627">
            <w:pPr>
              <w:pStyle w:val="TableText"/>
              <w:rPr>
                <w:highlight w:val="yellow"/>
              </w:rPr>
            </w:pPr>
            <w:r w:rsidRPr="00F66742">
              <w:t>Tier 3</w:t>
            </w:r>
          </w:p>
        </w:tc>
        <w:tc>
          <w:tcPr>
            <w:tcW w:w="627" w:type="pct"/>
            <w:tcBorders>
              <w:bottom w:val="nil"/>
            </w:tcBorders>
          </w:tcPr>
          <w:p w14:paraId="75EF5145" w14:textId="17346771" w:rsidR="0051010A" w:rsidRPr="00E2788A" w:rsidRDefault="00111161" w:rsidP="00743627">
            <w:pPr>
              <w:pStyle w:val="TableText"/>
            </w:pPr>
            <w:r>
              <w:t>–</w:t>
            </w:r>
          </w:p>
        </w:tc>
        <w:tc>
          <w:tcPr>
            <w:tcW w:w="469" w:type="pct"/>
            <w:tcBorders>
              <w:bottom w:val="nil"/>
            </w:tcBorders>
          </w:tcPr>
          <w:p w14:paraId="790DB6DA" w14:textId="31E3951D" w:rsidR="0051010A" w:rsidRPr="00E2788A" w:rsidRDefault="00F66742" w:rsidP="00F82CA0">
            <w:pPr>
              <w:pStyle w:val="TableText"/>
              <w:jc w:val="right"/>
            </w:pPr>
            <w:r>
              <w:t>–</w:t>
            </w:r>
          </w:p>
        </w:tc>
        <w:tc>
          <w:tcPr>
            <w:tcW w:w="548" w:type="pct"/>
            <w:tcBorders>
              <w:bottom w:val="nil"/>
            </w:tcBorders>
          </w:tcPr>
          <w:p w14:paraId="1E2CD3E4" w14:textId="02DC3BC7" w:rsidR="0051010A" w:rsidRPr="00E2788A" w:rsidRDefault="00F66742" w:rsidP="00F82CA0">
            <w:pPr>
              <w:pStyle w:val="TableText"/>
              <w:jc w:val="right"/>
            </w:pPr>
            <w:r>
              <w:t>–</w:t>
            </w:r>
          </w:p>
        </w:tc>
        <w:tc>
          <w:tcPr>
            <w:tcW w:w="706" w:type="pct"/>
            <w:tcBorders>
              <w:bottom w:val="nil"/>
            </w:tcBorders>
          </w:tcPr>
          <w:p w14:paraId="38C98DB2" w14:textId="55EDE449" w:rsidR="0051010A" w:rsidRPr="00E2788A" w:rsidRDefault="00F66742" w:rsidP="00F82CA0">
            <w:pPr>
              <w:pStyle w:val="TableText"/>
              <w:jc w:val="right"/>
            </w:pPr>
            <w:r>
              <w:t>–</w:t>
            </w:r>
          </w:p>
        </w:tc>
        <w:tc>
          <w:tcPr>
            <w:tcW w:w="549" w:type="pct"/>
            <w:tcBorders>
              <w:bottom w:val="nil"/>
            </w:tcBorders>
          </w:tcPr>
          <w:p w14:paraId="274DC486" w14:textId="225B97B2" w:rsidR="0051010A" w:rsidRPr="00E2788A" w:rsidRDefault="00F66742" w:rsidP="00F82CA0">
            <w:pPr>
              <w:pStyle w:val="TableText"/>
              <w:jc w:val="right"/>
            </w:pPr>
            <w:r>
              <w:t>–</w:t>
            </w:r>
          </w:p>
        </w:tc>
        <w:tc>
          <w:tcPr>
            <w:tcW w:w="617" w:type="pct"/>
            <w:tcBorders>
              <w:bottom w:val="nil"/>
            </w:tcBorders>
          </w:tcPr>
          <w:p w14:paraId="6D7920DE" w14:textId="2ED7439C" w:rsidR="0051010A" w:rsidRPr="00E2788A" w:rsidRDefault="00F66742" w:rsidP="00F82CA0">
            <w:pPr>
              <w:pStyle w:val="TableText"/>
              <w:jc w:val="right"/>
            </w:pPr>
            <w:r>
              <w:t>–</w:t>
            </w:r>
          </w:p>
        </w:tc>
      </w:tr>
      <w:tr w:rsidR="0051010A" w:rsidRPr="00E2788A" w14:paraId="72A50C40" w14:textId="77777777" w:rsidTr="0075520B">
        <w:tc>
          <w:tcPr>
            <w:tcW w:w="742" w:type="pct"/>
            <w:vMerge/>
            <w:tcBorders>
              <w:bottom w:val="single" w:sz="4" w:space="0" w:color="auto"/>
            </w:tcBorders>
          </w:tcPr>
          <w:p w14:paraId="189ABEB5" w14:textId="77777777" w:rsidR="0051010A" w:rsidRPr="00E2788A" w:rsidRDefault="0051010A" w:rsidP="00743627">
            <w:pPr>
              <w:pStyle w:val="TableText"/>
            </w:pPr>
          </w:p>
        </w:tc>
        <w:tc>
          <w:tcPr>
            <w:tcW w:w="741" w:type="pct"/>
            <w:tcBorders>
              <w:top w:val="nil"/>
              <w:bottom w:val="single" w:sz="4" w:space="0" w:color="auto"/>
            </w:tcBorders>
          </w:tcPr>
          <w:p w14:paraId="0392EBBE" w14:textId="77777777" w:rsidR="0051010A" w:rsidRPr="00E2788A" w:rsidRDefault="0051010A" w:rsidP="00743627">
            <w:pPr>
              <w:pStyle w:val="TableText"/>
            </w:pPr>
            <w:r w:rsidRPr="00E2788A">
              <w:t>Tier 4</w:t>
            </w:r>
          </w:p>
        </w:tc>
        <w:tc>
          <w:tcPr>
            <w:tcW w:w="627" w:type="pct"/>
            <w:tcBorders>
              <w:top w:val="nil"/>
              <w:bottom w:val="single" w:sz="4" w:space="0" w:color="auto"/>
            </w:tcBorders>
          </w:tcPr>
          <w:p w14:paraId="366A7E2A" w14:textId="77777777" w:rsidR="0051010A" w:rsidRPr="00E2788A" w:rsidRDefault="0051010A" w:rsidP="00743627">
            <w:pPr>
              <w:pStyle w:val="TableText"/>
            </w:pPr>
            <w:r w:rsidRPr="00E2788A">
              <w:t>2008</w:t>
            </w:r>
          </w:p>
        </w:tc>
        <w:tc>
          <w:tcPr>
            <w:tcW w:w="469" w:type="pct"/>
            <w:tcBorders>
              <w:top w:val="nil"/>
              <w:bottom w:val="single" w:sz="4" w:space="0" w:color="auto"/>
            </w:tcBorders>
          </w:tcPr>
          <w:p w14:paraId="2E76D631" w14:textId="77777777" w:rsidR="0051010A" w:rsidRPr="00E2788A" w:rsidRDefault="0051010A" w:rsidP="00F82CA0">
            <w:pPr>
              <w:pStyle w:val="TableText"/>
              <w:jc w:val="right"/>
            </w:pPr>
            <w:r w:rsidRPr="00E2788A">
              <w:t>6.6</w:t>
            </w:r>
          </w:p>
        </w:tc>
        <w:tc>
          <w:tcPr>
            <w:tcW w:w="548" w:type="pct"/>
            <w:tcBorders>
              <w:top w:val="nil"/>
              <w:bottom w:val="single" w:sz="4" w:space="0" w:color="auto"/>
            </w:tcBorders>
          </w:tcPr>
          <w:p w14:paraId="2003F3D7" w14:textId="1D4D329E" w:rsidR="0051010A" w:rsidRPr="00E2788A" w:rsidRDefault="00F66742" w:rsidP="00F82CA0">
            <w:pPr>
              <w:pStyle w:val="TableText"/>
              <w:jc w:val="right"/>
            </w:pPr>
            <w:r>
              <w:t>–</w:t>
            </w:r>
          </w:p>
        </w:tc>
        <w:tc>
          <w:tcPr>
            <w:tcW w:w="706" w:type="pct"/>
            <w:tcBorders>
              <w:top w:val="nil"/>
              <w:bottom w:val="single" w:sz="4" w:space="0" w:color="auto"/>
            </w:tcBorders>
          </w:tcPr>
          <w:p w14:paraId="52AE3102" w14:textId="77777777" w:rsidR="0051010A" w:rsidRPr="00E2788A" w:rsidRDefault="0051010A" w:rsidP="00F82CA0">
            <w:pPr>
              <w:pStyle w:val="TableText"/>
              <w:jc w:val="right"/>
            </w:pPr>
            <w:r w:rsidRPr="00E2788A">
              <w:t>7.5</w:t>
            </w:r>
          </w:p>
        </w:tc>
        <w:tc>
          <w:tcPr>
            <w:tcW w:w="549" w:type="pct"/>
            <w:tcBorders>
              <w:top w:val="nil"/>
              <w:bottom w:val="single" w:sz="4" w:space="0" w:color="auto"/>
            </w:tcBorders>
          </w:tcPr>
          <w:p w14:paraId="7F9AF283" w14:textId="2B148615" w:rsidR="0051010A" w:rsidRPr="00E2788A" w:rsidRDefault="00F66742" w:rsidP="00F82CA0">
            <w:pPr>
              <w:pStyle w:val="TableText"/>
              <w:jc w:val="right"/>
            </w:pPr>
            <w:r>
              <w:t>–</w:t>
            </w:r>
          </w:p>
        </w:tc>
        <w:tc>
          <w:tcPr>
            <w:tcW w:w="617" w:type="pct"/>
            <w:tcBorders>
              <w:top w:val="nil"/>
              <w:bottom w:val="single" w:sz="4" w:space="0" w:color="auto"/>
            </w:tcBorders>
          </w:tcPr>
          <w:p w14:paraId="76569528" w14:textId="77777777" w:rsidR="0051010A" w:rsidRPr="00E2788A" w:rsidRDefault="0051010A" w:rsidP="00F82CA0">
            <w:pPr>
              <w:pStyle w:val="TableText"/>
              <w:jc w:val="right"/>
            </w:pPr>
            <w:r w:rsidRPr="00E2788A">
              <w:t>0.4</w:t>
            </w:r>
          </w:p>
        </w:tc>
      </w:tr>
      <w:tr w:rsidR="0051010A" w:rsidRPr="00E2788A" w14:paraId="31DB5A97" w14:textId="77777777" w:rsidTr="0075520B">
        <w:tc>
          <w:tcPr>
            <w:tcW w:w="742" w:type="pct"/>
            <w:vMerge w:val="restart"/>
            <w:tcBorders>
              <w:top w:val="single" w:sz="4" w:space="0" w:color="auto"/>
            </w:tcBorders>
          </w:tcPr>
          <w:p w14:paraId="40D3E2AB" w14:textId="77777777" w:rsidR="0051010A" w:rsidRPr="00E2788A" w:rsidRDefault="0051010A" w:rsidP="00743627">
            <w:pPr>
              <w:pStyle w:val="TableText"/>
            </w:pPr>
            <w:r w:rsidRPr="00E2788A">
              <w:t>19≤ kW &lt; 37</w:t>
            </w:r>
          </w:p>
        </w:tc>
        <w:tc>
          <w:tcPr>
            <w:tcW w:w="741" w:type="pct"/>
            <w:tcBorders>
              <w:top w:val="single" w:sz="4" w:space="0" w:color="auto"/>
            </w:tcBorders>
          </w:tcPr>
          <w:p w14:paraId="1BAB97DC" w14:textId="77777777" w:rsidR="0051010A" w:rsidRPr="00E2788A" w:rsidRDefault="0051010A" w:rsidP="00743627">
            <w:pPr>
              <w:pStyle w:val="TableText"/>
            </w:pPr>
            <w:r w:rsidRPr="00E2788A">
              <w:t>Tier 1</w:t>
            </w:r>
          </w:p>
        </w:tc>
        <w:tc>
          <w:tcPr>
            <w:tcW w:w="627" w:type="pct"/>
            <w:tcBorders>
              <w:top w:val="single" w:sz="4" w:space="0" w:color="auto"/>
            </w:tcBorders>
          </w:tcPr>
          <w:p w14:paraId="20ED8F51" w14:textId="77777777" w:rsidR="0051010A" w:rsidRPr="00E2788A" w:rsidRDefault="0051010A" w:rsidP="00743627">
            <w:pPr>
              <w:pStyle w:val="TableText"/>
            </w:pPr>
            <w:r w:rsidRPr="00E2788A">
              <w:t>1999</w:t>
            </w:r>
          </w:p>
        </w:tc>
        <w:tc>
          <w:tcPr>
            <w:tcW w:w="469" w:type="pct"/>
            <w:tcBorders>
              <w:top w:val="single" w:sz="4" w:space="0" w:color="auto"/>
            </w:tcBorders>
          </w:tcPr>
          <w:p w14:paraId="549FD956" w14:textId="77777777" w:rsidR="0051010A" w:rsidRPr="00E2788A" w:rsidRDefault="0051010A" w:rsidP="00F82CA0">
            <w:pPr>
              <w:pStyle w:val="TableText"/>
              <w:jc w:val="right"/>
            </w:pPr>
            <w:r w:rsidRPr="00E2788A">
              <w:t>5.5</w:t>
            </w:r>
          </w:p>
        </w:tc>
        <w:tc>
          <w:tcPr>
            <w:tcW w:w="548" w:type="pct"/>
            <w:tcBorders>
              <w:top w:val="single" w:sz="4" w:space="0" w:color="auto"/>
            </w:tcBorders>
          </w:tcPr>
          <w:p w14:paraId="136199F4" w14:textId="42F3705A" w:rsidR="0051010A" w:rsidRPr="00E2788A" w:rsidRDefault="00F66742" w:rsidP="00F82CA0">
            <w:pPr>
              <w:pStyle w:val="TableText"/>
              <w:jc w:val="right"/>
            </w:pPr>
            <w:r>
              <w:t>–</w:t>
            </w:r>
          </w:p>
        </w:tc>
        <w:tc>
          <w:tcPr>
            <w:tcW w:w="706" w:type="pct"/>
            <w:tcBorders>
              <w:top w:val="single" w:sz="4" w:space="0" w:color="auto"/>
            </w:tcBorders>
          </w:tcPr>
          <w:p w14:paraId="225BD3B9" w14:textId="77777777" w:rsidR="0051010A" w:rsidRPr="00E2788A" w:rsidRDefault="0051010A" w:rsidP="00F82CA0">
            <w:pPr>
              <w:pStyle w:val="TableText"/>
              <w:jc w:val="right"/>
            </w:pPr>
            <w:r w:rsidRPr="00E2788A">
              <w:t>9.5</w:t>
            </w:r>
          </w:p>
        </w:tc>
        <w:tc>
          <w:tcPr>
            <w:tcW w:w="549" w:type="pct"/>
            <w:tcBorders>
              <w:top w:val="single" w:sz="4" w:space="0" w:color="auto"/>
            </w:tcBorders>
          </w:tcPr>
          <w:p w14:paraId="37D62EE2" w14:textId="3965EF21" w:rsidR="0051010A" w:rsidRPr="00E2788A" w:rsidRDefault="00F66742" w:rsidP="00F82CA0">
            <w:pPr>
              <w:pStyle w:val="TableText"/>
              <w:jc w:val="right"/>
            </w:pPr>
            <w:r>
              <w:t>–</w:t>
            </w:r>
          </w:p>
        </w:tc>
        <w:tc>
          <w:tcPr>
            <w:tcW w:w="617" w:type="pct"/>
            <w:tcBorders>
              <w:top w:val="single" w:sz="4" w:space="0" w:color="auto"/>
            </w:tcBorders>
          </w:tcPr>
          <w:p w14:paraId="2ED1634D" w14:textId="77777777" w:rsidR="0051010A" w:rsidRPr="00E2788A" w:rsidRDefault="0051010A" w:rsidP="00F82CA0">
            <w:pPr>
              <w:pStyle w:val="TableText"/>
              <w:jc w:val="right"/>
            </w:pPr>
            <w:r w:rsidRPr="00E2788A">
              <w:t>0.8</w:t>
            </w:r>
          </w:p>
        </w:tc>
      </w:tr>
      <w:tr w:rsidR="0051010A" w:rsidRPr="00E2788A" w14:paraId="73E809CA" w14:textId="77777777" w:rsidTr="0075520B">
        <w:tc>
          <w:tcPr>
            <w:tcW w:w="742" w:type="pct"/>
            <w:vMerge/>
          </w:tcPr>
          <w:p w14:paraId="472F0F9F" w14:textId="77777777" w:rsidR="0051010A" w:rsidRPr="00E2788A" w:rsidRDefault="0051010A" w:rsidP="00743627">
            <w:pPr>
              <w:pStyle w:val="TableText"/>
            </w:pPr>
          </w:p>
        </w:tc>
        <w:tc>
          <w:tcPr>
            <w:tcW w:w="741" w:type="pct"/>
          </w:tcPr>
          <w:p w14:paraId="73772C83" w14:textId="77777777" w:rsidR="0051010A" w:rsidRPr="00E2788A" w:rsidRDefault="0051010A" w:rsidP="00743627">
            <w:pPr>
              <w:pStyle w:val="TableText"/>
            </w:pPr>
            <w:r w:rsidRPr="00E2788A">
              <w:t>Tier 2</w:t>
            </w:r>
          </w:p>
        </w:tc>
        <w:tc>
          <w:tcPr>
            <w:tcW w:w="627" w:type="pct"/>
          </w:tcPr>
          <w:p w14:paraId="3DF3910E" w14:textId="77777777" w:rsidR="0051010A" w:rsidRPr="00E2788A" w:rsidRDefault="0051010A" w:rsidP="00743627">
            <w:pPr>
              <w:pStyle w:val="TableText"/>
            </w:pPr>
            <w:r w:rsidRPr="00E2788A">
              <w:t>2004</w:t>
            </w:r>
          </w:p>
        </w:tc>
        <w:tc>
          <w:tcPr>
            <w:tcW w:w="469" w:type="pct"/>
          </w:tcPr>
          <w:p w14:paraId="44109C7A" w14:textId="77777777" w:rsidR="0051010A" w:rsidRPr="00E2788A" w:rsidRDefault="0051010A" w:rsidP="00F82CA0">
            <w:pPr>
              <w:pStyle w:val="TableText"/>
              <w:jc w:val="right"/>
            </w:pPr>
            <w:r w:rsidRPr="00E2788A">
              <w:t>5.5</w:t>
            </w:r>
          </w:p>
        </w:tc>
        <w:tc>
          <w:tcPr>
            <w:tcW w:w="548" w:type="pct"/>
          </w:tcPr>
          <w:p w14:paraId="4C4FDEB8" w14:textId="37104A66" w:rsidR="0051010A" w:rsidRPr="00E2788A" w:rsidRDefault="00F66742" w:rsidP="00F82CA0">
            <w:pPr>
              <w:pStyle w:val="TableText"/>
              <w:jc w:val="right"/>
            </w:pPr>
            <w:r>
              <w:t>–</w:t>
            </w:r>
          </w:p>
        </w:tc>
        <w:tc>
          <w:tcPr>
            <w:tcW w:w="706" w:type="pct"/>
          </w:tcPr>
          <w:p w14:paraId="2F200FFD" w14:textId="77777777" w:rsidR="0051010A" w:rsidRPr="00E2788A" w:rsidRDefault="0051010A" w:rsidP="00F82CA0">
            <w:pPr>
              <w:pStyle w:val="TableText"/>
              <w:jc w:val="right"/>
            </w:pPr>
            <w:r w:rsidRPr="00E2788A">
              <w:t>7.5</w:t>
            </w:r>
          </w:p>
        </w:tc>
        <w:tc>
          <w:tcPr>
            <w:tcW w:w="549" w:type="pct"/>
          </w:tcPr>
          <w:p w14:paraId="7C1219E6" w14:textId="1647C040" w:rsidR="0051010A" w:rsidRPr="00E2788A" w:rsidRDefault="00F66742" w:rsidP="00F82CA0">
            <w:pPr>
              <w:pStyle w:val="TableText"/>
              <w:jc w:val="right"/>
            </w:pPr>
            <w:r>
              <w:t>–</w:t>
            </w:r>
          </w:p>
        </w:tc>
        <w:tc>
          <w:tcPr>
            <w:tcW w:w="617" w:type="pct"/>
          </w:tcPr>
          <w:p w14:paraId="5D788736" w14:textId="77777777" w:rsidR="0051010A" w:rsidRPr="00E2788A" w:rsidRDefault="0051010A" w:rsidP="00F82CA0">
            <w:pPr>
              <w:pStyle w:val="TableText"/>
              <w:jc w:val="right"/>
            </w:pPr>
            <w:r w:rsidRPr="00E2788A">
              <w:t>0.6</w:t>
            </w:r>
          </w:p>
        </w:tc>
      </w:tr>
      <w:tr w:rsidR="0051010A" w:rsidRPr="00E2788A" w14:paraId="484A64A5" w14:textId="77777777" w:rsidTr="0075520B">
        <w:tc>
          <w:tcPr>
            <w:tcW w:w="742" w:type="pct"/>
            <w:vMerge/>
          </w:tcPr>
          <w:p w14:paraId="27CC8F28" w14:textId="77777777" w:rsidR="0051010A" w:rsidRPr="00E2788A" w:rsidRDefault="0051010A" w:rsidP="00743627">
            <w:pPr>
              <w:pStyle w:val="TableText"/>
            </w:pPr>
          </w:p>
        </w:tc>
        <w:tc>
          <w:tcPr>
            <w:tcW w:w="741" w:type="pct"/>
            <w:tcBorders>
              <w:bottom w:val="nil"/>
            </w:tcBorders>
          </w:tcPr>
          <w:p w14:paraId="6D9CC646" w14:textId="77777777" w:rsidR="0051010A" w:rsidRPr="00C45DAA" w:rsidRDefault="0051010A" w:rsidP="00743627">
            <w:pPr>
              <w:pStyle w:val="TableText"/>
              <w:rPr>
                <w:highlight w:val="yellow"/>
              </w:rPr>
            </w:pPr>
            <w:r w:rsidRPr="00F66742">
              <w:t>Tier 3</w:t>
            </w:r>
          </w:p>
        </w:tc>
        <w:tc>
          <w:tcPr>
            <w:tcW w:w="627" w:type="pct"/>
            <w:tcBorders>
              <w:bottom w:val="nil"/>
            </w:tcBorders>
          </w:tcPr>
          <w:p w14:paraId="326F55FB" w14:textId="13497724" w:rsidR="0051010A" w:rsidRPr="00E2788A" w:rsidRDefault="00F66742" w:rsidP="00743627">
            <w:pPr>
              <w:pStyle w:val="TableText"/>
            </w:pPr>
            <w:r>
              <w:t>–</w:t>
            </w:r>
          </w:p>
        </w:tc>
        <w:tc>
          <w:tcPr>
            <w:tcW w:w="469" w:type="pct"/>
            <w:tcBorders>
              <w:bottom w:val="nil"/>
            </w:tcBorders>
          </w:tcPr>
          <w:p w14:paraId="74423D0C" w14:textId="046C4DCA" w:rsidR="0051010A" w:rsidRPr="00E2788A" w:rsidRDefault="00F66742" w:rsidP="00F82CA0">
            <w:pPr>
              <w:pStyle w:val="TableText"/>
              <w:jc w:val="right"/>
            </w:pPr>
            <w:r>
              <w:t>–</w:t>
            </w:r>
          </w:p>
        </w:tc>
        <w:tc>
          <w:tcPr>
            <w:tcW w:w="548" w:type="pct"/>
            <w:tcBorders>
              <w:bottom w:val="nil"/>
            </w:tcBorders>
          </w:tcPr>
          <w:p w14:paraId="2C2CDE69" w14:textId="49F0EA37" w:rsidR="0051010A" w:rsidRPr="00E2788A" w:rsidRDefault="00F66742" w:rsidP="00F82CA0">
            <w:pPr>
              <w:pStyle w:val="TableText"/>
              <w:jc w:val="right"/>
            </w:pPr>
            <w:r>
              <w:t>–</w:t>
            </w:r>
          </w:p>
        </w:tc>
        <w:tc>
          <w:tcPr>
            <w:tcW w:w="706" w:type="pct"/>
            <w:tcBorders>
              <w:bottom w:val="nil"/>
            </w:tcBorders>
          </w:tcPr>
          <w:p w14:paraId="505D2F18" w14:textId="3A5623C9" w:rsidR="0051010A" w:rsidRPr="00E2788A" w:rsidRDefault="00F66742" w:rsidP="00F82CA0">
            <w:pPr>
              <w:pStyle w:val="TableText"/>
              <w:jc w:val="right"/>
            </w:pPr>
            <w:r>
              <w:t>–</w:t>
            </w:r>
          </w:p>
        </w:tc>
        <w:tc>
          <w:tcPr>
            <w:tcW w:w="549" w:type="pct"/>
            <w:tcBorders>
              <w:bottom w:val="nil"/>
            </w:tcBorders>
          </w:tcPr>
          <w:p w14:paraId="21E49A77" w14:textId="15A7ADC3" w:rsidR="0051010A" w:rsidRPr="00E2788A" w:rsidRDefault="00F66742" w:rsidP="00F82CA0">
            <w:pPr>
              <w:pStyle w:val="TableText"/>
              <w:jc w:val="right"/>
            </w:pPr>
            <w:r>
              <w:t>–</w:t>
            </w:r>
          </w:p>
        </w:tc>
        <w:tc>
          <w:tcPr>
            <w:tcW w:w="617" w:type="pct"/>
            <w:tcBorders>
              <w:bottom w:val="nil"/>
            </w:tcBorders>
          </w:tcPr>
          <w:p w14:paraId="5A068C8A" w14:textId="5CC1E037" w:rsidR="0051010A" w:rsidRPr="00E2788A" w:rsidRDefault="00F66742" w:rsidP="00F82CA0">
            <w:pPr>
              <w:pStyle w:val="TableText"/>
              <w:jc w:val="right"/>
            </w:pPr>
            <w:r>
              <w:t>–</w:t>
            </w:r>
          </w:p>
        </w:tc>
      </w:tr>
      <w:tr w:rsidR="0051010A" w:rsidRPr="00E2788A" w14:paraId="1FFA2D8A" w14:textId="77777777" w:rsidTr="0075520B">
        <w:tc>
          <w:tcPr>
            <w:tcW w:w="742" w:type="pct"/>
            <w:vMerge/>
            <w:tcBorders>
              <w:bottom w:val="single" w:sz="4" w:space="0" w:color="auto"/>
            </w:tcBorders>
          </w:tcPr>
          <w:p w14:paraId="6903F7F6" w14:textId="77777777" w:rsidR="0051010A" w:rsidRPr="00E2788A" w:rsidRDefault="0051010A" w:rsidP="00743627">
            <w:pPr>
              <w:pStyle w:val="TableText"/>
            </w:pPr>
          </w:p>
        </w:tc>
        <w:tc>
          <w:tcPr>
            <w:tcW w:w="741" w:type="pct"/>
            <w:tcBorders>
              <w:top w:val="nil"/>
              <w:bottom w:val="single" w:sz="4" w:space="0" w:color="auto"/>
            </w:tcBorders>
          </w:tcPr>
          <w:p w14:paraId="584C9964" w14:textId="77777777" w:rsidR="0051010A" w:rsidRPr="00E2788A" w:rsidRDefault="0051010A" w:rsidP="00743627">
            <w:pPr>
              <w:pStyle w:val="TableText"/>
            </w:pPr>
            <w:r w:rsidRPr="00E2788A">
              <w:t>Tier 4i/Tier 4f</w:t>
            </w:r>
          </w:p>
        </w:tc>
        <w:tc>
          <w:tcPr>
            <w:tcW w:w="627" w:type="pct"/>
            <w:tcBorders>
              <w:top w:val="nil"/>
              <w:bottom w:val="single" w:sz="4" w:space="0" w:color="auto"/>
            </w:tcBorders>
          </w:tcPr>
          <w:p w14:paraId="0DA5894B" w14:textId="77777777" w:rsidR="0051010A" w:rsidRPr="00E2788A" w:rsidRDefault="0051010A" w:rsidP="00743627">
            <w:pPr>
              <w:pStyle w:val="TableText"/>
            </w:pPr>
            <w:r w:rsidRPr="00E2788A">
              <w:t>2008/2013</w:t>
            </w:r>
          </w:p>
        </w:tc>
        <w:tc>
          <w:tcPr>
            <w:tcW w:w="469" w:type="pct"/>
            <w:tcBorders>
              <w:top w:val="nil"/>
              <w:bottom w:val="single" w:sz="4" w:space="0" w:color="auto"/>
            </w:tcBorders>
          </w:tcPr>
          <w:p w14:paraId="2290AE4E" w14:textId="77777777" w:rsidR="0051010A" w:rsidRPr="00E2788A" w:rsidRDefault="0051010A" w:rsidP="00F82CA0">
            <w:pPr>
              <w:pStyle w:val="TableText"/>
              <w:jc w:val="right"/>
            </w:pPr>
            <w:r w:rsidRPr="00E2788A">
              <w:t>5.5/5.5</w:t>
            </w:r>
          </w:p>
        </w:tc>
        <w:tc>
          <w:tcPr>
            <w:tcW w:w="548" w:type="pct"/>
            <w:tcBorders>
              <w:top w:val="nil"/>
              <w:bottom w:val="single" w:sz="4" w:space="0" w:color="auto"/>
            </w:tcBorders>
          </w:tcPr>
          <w:p w14:paraId="237BB8AF" w14:textId="7A69FB2F" w:rsidR="0051010A" w:rsidRPr="00E2788A" w:rsidRDefault="00F66742" w:rsidP="00F82CA0">
            <w:pPr>
              <w:pStyle w:val="TableText"/>
              <w:jc w:val="right"/>
            </w:pPr>
            <w:r>
              <w:t>–</w:t>
            </w:r>
          </w:p>
        </w:tc>
        <w:tc>
          <w:tcPr>
            <w:tcW w:w="706" w:type="pct"/>
            <w:tcBorders>
              <w:top w:val="nil"/>
              <w:bottom w:val="single" w:sz="4" w:space="0" w:color="auto"/>
            </w:tcBorders>
          </w:tcPr>
          <w:p w14:paraId="5C68DCF3" w14:textId="77777777" w:rsidR="0051010A" w:rsidRPr="00E2788A" w:rsidRDefault="0051010A" w:rsidP="00F82CA0">
            <w:pPr>
              <w:pStyle w:val="TableText"/>
              <w:jc w:val="right"/>
            </w:pPr>
            <w:r w:rsidRPr="00E2788A">
              <w:t>7.5/4.7</w:t>
            </w:r>
          </w:p>
        </w:tc>
        <w:tc>
          <w:tcPr>
            <w:tcW w:w="549" w:type="pct"/>
            <w:tcBorders>
              <w:top w:val="nil"/>
              <w:bottom w:val="single" w:sz="4" w:space="0" w:color="auto"/>
            </w:tcBorders>
          </w:tcPr>
          <w:p w14:paraId="3DF14C24" w14:textId="0B920707" w:rsidR="0051010A" w:rsidRPr="00E2788A" w:rsidRDefault="00F66742" w:rsidP="00F82CA0">
            <w:pPr>
              <w:pStyle w:val="TableText"/>
              <w:jc w:val="right"/>
            </w:pPr>
            <w:r>
              <w:t>–</w:t>
            </w:r>
          </w:p>
        </w:tc>
        <w:tc>
          <w:tcPr>
            <w:tcW w:w="617" w:type="pct"/>
            <w:tcBorders>
              <w:top w:val="nil"/>
              <w:bottom w:val="single" w:sz="4" w:space="0" w:color="auto"/>
            </w:tcBorders>
          </w:tcPr>
          <w:p w14:paraId="6D02D033" w14:textId="77777777" w:rsidR="0051010A" w:rsidRPr="00E2788A" w:rsidRDefault="0051010A" w:rsidP="00F82CA0">
            <w:pPr>
              <w:pStyle w:val="TableText"/>
              <w:jc w:val="right"/>
            </w:pPr>
            <w:r w:rsidRPr="00E2788A">
              <w:t>0.3/0.03</w:t>
            </w:r>
          </w:p>
        </w:tc>
      </w:tr>
      <w:tr w:rsidR="0051010A" w:rsidRPr="00E2788A" w14:paraId="73D25424" w14:textId="77777777" w:rsidTr="0075520B">
        <w:tc>
          <w:tcPr>
            <w:tcW w:w="742" w:type="pct"/>
            <w:vMerge w:val="restart"/>
            <w:tcBorders>
              <w:top w:val="single" w:sz="4" w:space="0" w:color="auto"/>
            </w:tcBorders>
          </w:tcPr>
          <w:p w14:paraId="5BB1C818" w14:textId="77777777" w:rsidR="0051010A" w:rsidRPr="00E2788A" w:rsidRDefault="0051010A" w:rsidP="00743627">
            <w:pPr>
              <w:pStyle w:val="TableText"/>
            </w:pPr>
            <w:r w:rsidRPr="00E2788A">
              <w:t>37 ≤ kW &lt; 56</w:t>
            </w:r>
          </w:p>
        </w:tc>
        <w:tc>
          <w:tcPr>
            <w:tcW w:w="741" w:type="pct"/>
            <w:tcBorders>
              <w:top w:val="single" w:sz="4" w:space="0" w:color="auto"/>
            </w:tcBorders>
          </w:tcPr>
          <w:p w14:paraId="4E562D11" w14:textId="77777777" w:rsidR="0051010A" w:rsidRPr="00E2788A" w:rsidRDefault="0051010A" w:rsidP="00743627">
            <w:pPr>
              <w:pStyle w:val="TableText"/>
            </w:pPr>
            <w:r w:rsidRPr="00E2788A">
              <w:t>Tier 1</w:t>
            </w:r>
          </w:p>
        </w:tc>
        <w:tc>
          <w:tcPr>
            <w:tcW w:w="627" w:type="pct"/>
            <w:tcBorders>
              <w:top w:val="single" w:sz="4" w:space="0" w:color="auto"/>
            </w:tcBorders>
          </w:tcPr>
          <w:p w14:paraId="5B0BB1AD" w14:textId="77777777" w:rsidR="0051010A" w:rsidRPr="00E2788A" w:rsidRDefault="0051010A" w:rsidP="00743627">
            <w:pPr>
              <w:pStyle w:val="TableText"/>
            </w:pPr>
            <w:r w:rsidRPr="00E2788A">
              <w:t>1998</w:t>
            </w:r>
          </w:p>
        </w:tc>
        <w:tc>
          <w:tcPr>
            <w:tcW w:w="469" w:type="pct"/>
            <w:tcBorders>
              <w:top w:val="single" w:sz="4" w:space="0" w:color="auto"/>
            </w:tcBorders>
          </w:tcPr>
          <w:p w14:paraId="6AAC2525" w14:textId="15E081B1" w:rsidR="0051010A" w:rsidRPr="00E2788A" w:rsidRDefault="00F66742" w:rsidP="00F82CA0">
            <w:pPr>
              <w:pStyle w:val="TableText"/>
              <w:jc w:val="right"/>
            </w:pPr>
            <w:r>
              <w:t>–</w:t>
            </w:r>
          </w:p>
        </w:tc>
        <w:tc>
          <w:tcPr>
            <w:tcW w:w="548" w:type="pct"/>
            <w:tcBorders>
              <w:top w:val="single" w:sz="4" w:space="0" w:color="auto"/>
            </w:tcBorders>
          </w:tcPr>
          <w:p w14:paraId="6919DA79" w14:textId="77FACF99" w:rsidR="0051010A" w:rsidRPr="00E2788A" w:rsidRDefault="00F66742" w:rsidP="00F82CA0">
            <w:pPr>
              <w:pStyle w:val="TableText"/>
              <w:jc w:val="right"/>
            </w:pPr>
            <w:r>
              <w:t>–</w:t>
            </w:r>
          </w:p>
        </w:tc>
        <w:tc>
          <w:tcPr>
            <w:tcW w:w="706" w:type="pct"/>
            <w:tcBorders>
              <w:top w:val="single" w:sz="4" w:space="0" w:color="auto"/>
            </w:tcBorders>
          </w:tcPr>
          <w:p w14:paraId="1FDF5297" w14:textId="1A9EA25B" w:rsidR="0051010A" w:rsidRPr="00E2788A" w:rsidRDefault="00F66742" w:rsidP="00F82CA0">
            <w:pPr>
              <w:pStyle w:val="TableText"/>
              <w:jc w:val="right"/>
            </w:pPr>
            <w:r>
              <w:t>–</w:t>
            </w:r>
          </w:p>
        </w:tc>
        <w:tc>
          <w:tcPr>
            <w:tcW w:w="549" w:type="pct"/>
            <w:tcBorders>
              <w:top w:val="single" w:sz="4" w:space="0" w:color="auto"/>
            </w:tcBorders>
          </w:tcPr>
          <w:p w14:paraId="55701D48" w14:textId="77777777" w:rsidR="0051010A" w:rsidRPr="00E2788A" w:rsidRDefault="0051010A" w:rsidP="00F82CA0">
            <w:pPr>
              <w:pStyle w:val="TableText"/>
              <w:jc w:val="right"/>
            </w:pPr>
            <w:r w:rsidRPr="00E2788A">
              <w:t>9.2</w:t>
            </w:r>
          </w:p>
        </w:tc>
        <w:tc>
          <w:tcPr>
            <w:tcW w:w="617" w:type="pct"/>
            <w:tcBorders>
              <w:top w:val="single" w:sz="4" w:space="0" w:color="auto"/>
            </w:tcBorders>
          </w:tcPr>
          <w:p w14:paraId="4920365C" w14:textId="431B95B6" w:rsidR="0051010A" w:rsidRPr="00E2788A" w:rsidRDefault="00F66742" w:rsidP="00F82CA0">
            <w:pPr>
              <w:pStyle w:val="TableText"/>
              <w:jc w:val="right"/>
            </w:pPr>
            <w:r>
              <w:t>–</w:t>
            </w:r>
          </w:p>
        </w:tc>
      </w:tr>
      <w:tr w:rsidR="006349FB" w:rsidRPr="00E2788A" w14:paraId="20259C0B" w14:textId="77777777" w:rsidTr="0075520B">
        <w:tc>
          <w:tcPr>
            <w:tcW w:w="742" w:type="pct"/>
            <w:vMerge/>
          </w:tcPr>
          <w:p w14:paraId="66F2D86B" w14:textId="77777777" w:rsidR="006349FB" w:rsidRPr="00E2788A" w:rsidRDefault="006349FB" w:rsidP="006349FB">
            <w:pPr>
              <w:pStyle w:val="TableText"/>
            </w:pPr>
          </w:p>
        </w:tc>
        <w:tc>
          <w:tcPr>
            <w:tcW w:w="741" w:type="pct"/>
          </w:tcPr>
          <w:p w14:paraId="0D657E14" w14:textId="77777777" w:rsidR="006349FB" w:rsidRPr="00E2788A" w:rsidRDefault="006349FB" w:rsidP="006349FB">
            <w:pPr>
              <w:pStyle w:val="TableText"/>
            </w:pPr>
            <w:r w:rsidRPr="00E2788A">
              <w:t>Tier 2</w:t>
            </w:r>
          </w:p>
        </w:tc>
        <w:tc>
          <w:tcPr>
            <w:tcW w:w="627" w:type="pct"/>
          </w:tcPr>
          <w:p w14:paraId="09A28CC0" w14:textId="77777777" w:rsidR="006349FB" w:rsidRPr="00E2788A" w:rsidRDefault="006349FB" w:rsidP="006349FB">
            <w:pPr>
              <w:pStyle w:val="TableText"/>
            </w:pPr>
            <w:r w:rsidRPr="00E2788A">
              <w:t>2004</w:t>
            </w:r>
          </w:p>
        </w:tc>
        <w:tc>
          <w:tcPr>
            <w:tcW w:w="469" w:type="pct"/>
          </w:tcPr>
          <w:p w14:paraId="3BFE602A" w14:textId="77777777" w:rsidR="006349FB" w:rsidRPr="00E2788A" w:rsidRDefault="006349FB" w:rsidP="006349FB">
            <w:pPr>
              <w:pStyle w:val="TableText"/>
              <w:jc w:val="right"/>
            </w:pPr>
            <w:r w:rsidRPr="00E2788A">
              <w:t>5.0</w:t>
            </w:r>
          </w:p>
        </w:tc>
        <w:tc>
          <w:tcPr>
            <w:tcW w:w="548" w:type="pct"/>
          </w:tcPr>
          <w:p w14:paraId="28BC10DD" w14:textId="26248762" w:rsidR="006349FB" w:rsidRPr="00E2788A" w:rsidRDefault="00F66742" w:rsidP="006349FB">
            <w:pPr>
              <w:pStyle w:val="TableText"/>
              <w:jc w:val="right"/>
            </w:pPr>
            <w:r>
              <w:t>–</w:t>
            </w:r>
          </w:p>
        </w:tc>
        <w:tc>
          <w:tcPr>
            <w:tcW w:w="706" w:type="pct"/>
          </w:tcPr>
          <w:p w14:paraId="51DFAD73" w14:textId="77777777" w:rsidR="006349FB" w:rsidRPr="00E2788A" w:rsidRDefault="006349FB" w:rsidP="006349FB">
            <w:pPr>
              <w:pStyle w:val="TableText"/>
              <w:jc w:val="right"/>
            </w:pPr>
            <w:r w:rsidRPr="00E2788A">
              <w:t>7.5</w:t>
            </w:r>
          </w:p>
        </w:tc>
        <w:tc>
          <w:tcPr>
            <w:tcW w:w="549" w:type="pct"/>
          </w:tcPr>
          <w:p w14:paraId="0D0DF357" w14:textId="2D4F0A6A" w:rsidR="006349FB" w:rsidRPr="00E2788A" w:rsidRDefault="00F66742" w:rsidP="006349FB">
            <w:pPr>
              <w:pStyle w:val="TableText"/>
              <w:jc w:val="right"/>
            </w:pPr>
            <w:r>
              <w:t>–</w:t>
            </w:r>
          </w:p>
        </w:tc>
        <w:tc>
          <w:tcPr>
            <w:tcW w:w="617" w:type="pct"/>
          </w:tcPr>
          <w:p w14:paraId="6B3D0CEC" w14:textId="77777777" w:rsidR="006349FB" w:rsidRPr="00E2788A" w:rsidRDefault="006349FB" w:rsidP="006349FB">
            <w:pPr>
              <w:pStyle w:val="TableText"/>
              <w:jc w:val="right"/>
            </w:pPr>
            <w:r w:rsidRPr="00E2788A">
              <w:t>0.4</w:t>
            </w:r>
          </w:p>
        </w:tc>
      </w:tr>
      <w:tr w:rsidR="006349FB" w:rsidRPr="00E2788A" w14:paraId="0D133016" w14:textId="77777777" w:rsidTr="0075520B">
        <w:tc>
          <w:tcPr>
            <w:tcW w:w="742" w:type="pct"/>
            <w:vMerge/>
          </w:tcPr>
          <w:p w14:paraId="5DE01175" w14:textId="77777777" w:rsidR="006349FB" w:rsidRPr="00E2788A" w:rsidRDefault="006349FB" w:rsidP="006349FB">
            <w:pPr>
              <w:pStyle w:val="TableText"/>
            </w:pPr>
          </w:p>
        </w:tc>
        <w:tc>
          <w:tcPr>
            <w:tcW w:w="741" w:type="pct"/>
            <w:tcBorders>
              <w:bottom w:val="nil"/>
            </w:tcBorders>
          </w:tcPr>
          <w:p w14:paraId="780AAFEF" w14:textId="77777777" w:rsidR="006349FB" w:rsidRPr="00E2788A" w:rsidRDefault="006349FB" w:rsidP="006349FB">
            <w:pPr>
              <w:pStyle w:val="TableText"/>
            </w:pPr>
            <w:r w:rsidRPr="00E2788A">
              <w:t>Tier 3</w:t>
            </w:r>
          </w:p>
        </w:tc>
        <w:tc>
          <w:tcPr>
            <w:tcW w:w="627" w:type="pct"/>
            <w:tcBorders>
              <w:bottom w:val="nil"/>
            </w:tcBorders>
          </w:tcPr>
          <w:p w14:paraId="4D0C5C62" w14:textId="77777777" w:rsidR="006349FB" w:rsidRPr="00E2788A" w:rsidRDefault="006349FB" w:rsidP="006349FB">
            <w:pPr>
              <w:pStyle w:val="TableText"/>
            </w:pPr>
            <w:r w:rsidRPr="00E2788A">
              <w:t>2008</w:t>
            </w:r>
          </w:p>
        </w:tc>
        <w:tc>
          <w:tcPr>
            <w:tcW w:w="469" w:type="pct"/>
            <w:tcBorders>
              <w:bottom w:val="nil"/>
            </w:tcBorders>
          </w:tcPr>
          <w:p w14:paraId="6E40FF7A" w14:textId="77777777" w:rsidR="006349FB" w:rsidRPr="00E2788A" w:rsidRDefault="006349FB" w:rsidP="006349FB">
            <w:pPr>
              <w:pStyle w:val="TableText"/>
              <w:jc w:val="right"/>
            </w:pPr>
            <w:r w:rsidRPr="00E2788A">
              <w:t>5.0</w:t>
            </w:r>
          </w:p>
        </w:tc>
        <w:tc>
          <w:tcPr>
            <w:tcW w:w="548" w:type="pct"/>
            <w:tcBorders>
              <w:bottom w:val="nil"/>
            </w:tcBorders>
          </w:tcPr>
          <w:p w14:paraId="4E95F064" w14:textId="1A3FA0E3" w:rsidR="006349FB" w:rsidRPr="00E2788A" w:rsidRDefault="00F66742" w:rsidP="006349FB">
            <w:pPr>
              <w:pStyle w:val="TableText"/>
              <w:jc w:val="right"/>
            </w:pPr>
            <w:r>
              <w:t>–</w:t>
            </w:r>
          </w:p>
        </w:tc>
        <w:tc>
          <w:tcPr>
            <w:tcW w:w="706" w:type="pct"/>
            <w:tcBorders>
              <w:bottom w:val="nil"/>
            </w:tcBorders>
          </w:tcPr>
          <w:p w14:paraId="69341CF1" w14:textId="77777777" w:rsidR="006349FB" w:rsidRPr="00E2788A" w:rsidRDefault="006349FB" w:rsidP="006349FB">
            <w:pPr>
              <w:pStyle w:val="TableText"/>
              <w:jc w:val="right"/>
            </w:pPr>
            <w:r w:rsidRPr="00E2788A">
              <w:t>4.7</w:t>
            </w:r>
          </w:p>
        </w:tc>
        <w:tc>
          <w:tcPr>
            <w:tcW w:w="549" w:type="pct"/>
            <w:tcBorders>
              <w:bottom w:val="nil"/>
            </w:tcBorders>
          </w:tcPr>
          <w:p w14:paraId="0F4749FB" w14:textId="6344DDBC" w:rsidR="006349FB" w:rsidRPr="00E2788A" w:rsidRDefault="00F66742" w:rsidP="006349FB">
            <w:pPr>
              <w:pStyle w:val="TableText"/>
              <w:jc w:val="right"/>
            </w:pPr>
            <w:r>
              <w:t>–</w:t>
            </w:r>
          </w:p>
        </w:tc>
        <w:tc>
          <w:tcPr>
            <w:tcW w:w="617" w:type="pct"/>
            <w:tcBorders>
              <w:bottom w:val="nil"/>
            </w:tcBorders>
          </w:tcPr>
          <w:p w14:paraId="3CEDE266" w14:textId="49A2C581" w:rsidR="006349FB" w:rsidRPr="006349FB" w:rsidRDefault="006349FB" w:rsidP="006349FB">
            <w:pPr>
              <w:pStyle w:val="TableText"/>
              <w:jc w:val="right"/>
              <w:rPr>
                <w:rStyle w:val="Strong"/>
              </w:rPr>
            </w:pPr>
            <w:r w:rsidRPr="006349FB">
              <w:rPr>
                <w:rStyle w:val="Strong"/>
              </w:rPr>
              <w:t>a</w:t>
            </w:r>
          </w:p>
        </w:tc>
      </w:tr>
      <w:tr w:rsidR="006349FB" w:rsidRPr="00E2788A" w14:paraId="4F735311" w14:textId="77777777" w:rsidTr="0075520B">
        <w:tc>
          <w:tcPr>
            <w:tcW w:w="742" w:type="pct"/>
            <w:vMerge/>
            <w:tcBorders>
              <w:bottom w:val="single" w:sz="4" w:space="0" w:color="auto"/>
            </w:tcBorders>
          </w:tcPr>
          <w:p w14:paraId="342864FB" w14:textId="77777777" w:rsidR="006349FB" w:rsidRPr="00E2788A" w:rsidRDefault="006349FB" w:rsidP="006349FB">
            <w:pPr>
              <w:pStyle w:val="TableText"/>
            </w:pPr>
          </w:p>
        </w:tc>
        <w:tc>
          <w:tcPr>
            <w:tcW w:w="741" w:type="pct"/>
            <w:tcBorders>
              <w:top w:val="nil"/>
              <w:bottom w:val="single" w:sz="4" w:space="0" w:color="auto"/>
            </w:tcBorders>
          </w:tcPr>
          <w:p w14:paraId="0CB6B260" w14:textId="77777777" w:rsidR="006349FB" w:rsidRPr="00E2788A" w:rsidRDefault="006349FB" w:rsidP="006349FB">
            <w:pPr>
              <w:pStyle w:val="TableText"/>
            </w:pPr>
            <w:r w:rsidRPr="00E2788A">
              <w:t>Tier 4i/Tier 4f</w:t>
            </w:r>
          </w:p>
        </w:tc>
        <w:tc>
          <w:tcPr>
            <w:tcW w:w="627" w:type="pct"/>
            <w:tcBorders>
              <w:top w:val="nil"/>
              <w:bottom w:val="single" w:sz="4" w:space="0" w:color="auto"/>
            </w:tcBorders>
          </w:tcPr>
          <w:p w14:paraId="57E5C166" w14:textId="77777777" w:rsidR="006349FB" w:rsidRPr="00E2788A" w:rsidRDefault="006349FB" w:rsidP="006349FB">
            <w:pPr>
              <w:pStyle w:val="TableText"/>
            </w:pPr>
            <w:r w:rsidRPr="00E2788A">
              <w:t>2008/2013</w:t>
            </w:r>
          </w:p>
        </w:tc>
        <w:tc>
          <w:tcPr>
            <w:tcW w:w="469" w:type="pct"/>
            <w:tcBorders>
              <w:top w:val="nil"/>
              <w:bottom w:val="single" w:sz="4" w:space="0" w:color="auto"/>
            </w:tcBorders>
          </w:tcPr>
          <w:p w14:paraId="24394C8F" w14:textId="77777777" w:rsidR="006349FB" w:rsidRPr="00E2788A" w:rsidRDefault="006349FB" w:rsidP="006349FB">
            <w:pPr>
              <w:pStyle w:val="TableText"/>
              <w:jc w:val="right"/>
            </w:pPr>
            <w:r w:rsidRPr="00E2788A">
              <w:t>5.0/5.0</w:t>
            </w:r>
          </w:p>
        </w:tc>
        <w:tc>
          <w:tcPr>
            <w:tcW w:w="548" w:type="pct"/>
            <w:tcBorders>
              <w:top w:val="nil"/>
              <w:bottom w:val="single" w:sz="4" w:space="0" w:color="auto"/>
            </w:tcBorders>
          </w:tcPr>
          <w:p w14:paraId="453AD002" w14:textId="3B4B810F" w:rsidR="006349FB" w:rsidRPr="00E2788A" w:rsidRDefault="00F66742" w:rsidP="006349FB">
            <w:pPr>
              <w:pStyle w:val="TableText"/>
              <w:jc w:val="right"/>
            </w:pPr>
            <w:r>
              <w:t>–</w:t>
            </w:r>
          </w:p>
        </w:tc>
        <w:tc>
          <w:tcPr>
            <w:tcW w:w="706" w:type="pct"/>
            <w:tcBorders>
              <w:top w:val="nil"/>
              <w:bottom w:val="single" w:sz="4" w:space="0" w:color="auto"/>
            </w:tcBorders>
          </w:tcPr>
          <w:p w14:paraId="7C4AB031" w14:textId="77777777" w:rsidR="006349FB" w:rsidRPr="00E2788A" w:rsidRDefault="006349FB" w:rsidP="006349FB">
            <w:pPr>
              <w:pStyle w:val="TableText"/>
              <w:jc w:val="right"/>
            </w:pPr>
            <w:r w:rsidRPr="00E2788A">
              <w:t>4.7/4.7</w:t>
            </w:r>
          </w:p>
        </w:tc>
        <w:tc>
          <w:tcPr>
            <w:tcW w:w="549" w:type="pct"/>
            <w:tcBorders>
              <w:top w:val="nil"/>
              <w:bottom w:val="single" w:sz="4" w:space="0" w:color="auto"/>
            </w:tcBorders>
          </w:tcPr>
          <w:p w14:paraId="58565557" w14:textId="391FC2EF" w:rsidR="006349FB" w:rsidRPr="00E2788A" w:rsidRDefault="00F66742" w:rsidP="006349FB">
            <w:pPr>
              <w:pStyle w:val="TableText"/>
              <w:jc w:val="right"/>
            </w:pPr>
            <w:r>
              <w:t>–</w:t>
            </w:r>
          </w:p>
        </w:tc>
        <w:tc>
          <w:tcPr>
            <w:tcW w:w="617" w:type="pct"/>
            <w:tcBorders>
              <w:top w:val="nil"/>
              <w:bottom w:val="single" w:sz="4" w:space="0" w:color="auto"/>
            </w:tcBorders>
          </w:tcPr>
          <w:p w14:paraId="0314C918" w14:textId="77777777" w:rsidR="006349FB" w:rsidRPr="00E2788A" w:rsidRDefault="006349FB" w:rsidP="006349FB">
            <w:pPr>
              <w:pStyle w:val="TableText"/>
              <w:jc w:val="right"/>
            </w:pPr>
            <w:r w:rsidRPr="00E2788A">
              <w:t>0.3/0.03</w:t>
            </w:r>
          </w:p>
        </w:tc>
      </w:tr>
      <w:tr w:rsidR="0051010A" w:rsidRPr="00E2788A" w14:paraId="7DFE79A9" w14:textId="77777777" w:rsidTr="0075520B">
        <w:tc>
          <w:tcPr>
            <w:tcW w:w="742" w:type="pct"/>
            <w:vMerge w:val="restart"/>
            <w:tcBorders>
              <w:top w:val="single" w:sz="4" w:space="0" w:color="auto"/>
            </w:tcBorders>
          </w:tcPr>
          <w:p w14:paraId="1646999C" w14:textId="77777777" w:rsidR="0051010A" w:rsidRPr="00E2788A" w:rsidRDefault="0051010A" w:rsidP="00743627">
            <w:pPr>
              <w:pStyle w:val="TableText"/>
            </w:pPr>
            <w:r w:rsidRPr="00E2788A">
              <w:t>56 ≤ kW &lt; 75</w:t>
            </w:r>
          </w:p>
        </w:tc>
        <w:tc>
          <w:tcPr>
            <w:tcW w:w="741" w:type="pct"/>
            <w:tcBorders>
              <w:top w:val="single" w:sz="4" w:space="0" w:color="auto"/>
            </w:tcBorders>
          </w:tcPr>
          <w:p w14:paraId="2D7FA567" w14:textId="77777777" w:rsidR="0051010A" w:rsidRPr="00E2788A" w:rsidRDefault="0051010A" w:rsidP="00743627">
            <w:pPr>
              <w:pStyle w:val="TableText"/>
            </w:pPr>
            <w:r w:rsidRPr="00E2788A">
              <w:t>Tier 1</w:t>
            </w:r>
          </w:p>
        </w:tc>
        <w:tc>
          <w:tcPr>
            <w:tcW w:w="627" w:type="pct"/>
            <w:tcBorders>
              <w:top w:val="single" w:sz="4" w:space="0" w:color="auto"/>
            </w:tcBorders>
          </w:tcPr>
          <w:p w14:paraId="14F92EF2" w14:textId="77777777" w:rsidR="0051010A" w:rsidRPr="00E2788A" w:rsidRDefault="0051010A" w:rsidP="00743627">
            <w:pPr>
              <w:pStyle w:val="TableText"/>
            </w:pPr>
            <w:r w:rsidRPr="00E2788A">
              <w:t>1998</w:t>
            </w:r>
          </w:p>
        </w:tc>
        <w:tc>
          <w:tcPr>
            <w:tcW w:w="469" w:type="pct"/>
            <w:tcBorders>
              <w:top w:val="single" w:sz="4" w:space="0" w:color="auto"/>
            </w:tcBorders>
          </w:tcPr>
          <w:p w14:paraId="368ABB2D" w14:textId="3F1CA0B9" w:rsidR="0051010A" w:rsidRPr="00E2788A" w:rsidRDefault="00F66742" w:rsidP="00F82CA0">
            <w:pPr>
              <w:pStyle w:val="TableText"/>
              <w:jc w:val="right"/>
            </w:pPr>
            <w:r>
              <w:t>–</w:t>
            </w:r>
          </w:p>
        </w:tc>
        <w:tc>
          <w:tcPr>
            <w:tcW w:w="548" w:type="pct"/>
            <w:tcBorders>
              <w:top w:val="single" w:sz="4" w:space="0" w:color="auto"/>
            </w:tcBorders>
          </w:tcPr>
          <w:p w14:paraId="033B8F35" w14:textId="0E93A0E5" w:rsidR="0051010A" w:rsidRPr="00E2788A" w:rsidRDefault="00F66742" w:rsidP="00F82CA0">
            <w:pPr>
              <w:pStyle w:val="TableText"/>
              <w:jc w:val="right"/>
            </w:pPr>
            <w:r>
              <w:t>–</w:t>
            </w:r>
          </w:p>
        </w:tc>
        <w:tc>
          <w:tcPr>
            <w:tcW w:w="706" w:type="pct"/>
            <w:tcBorders>
              <w:top w:val="single" w:sz="4" w:space="0" w:color="auto"/>
            </w:tcBorders>
          </w:tcPr>
          <w:p w14:paraId="1EF1A046" w14:textId="48062153" w:rsidR="0051010A" w:rsidRPr="00E2788A" w:rsidRDefault="00F66742" w:rsidP="00F82CA0">
            <w:pPr>
              <w:pStyle w:val="TableText"/>
              <w:jc w:val="right"/>
            </w:pPr>
            <w:r>
              <w:t>–</w:t>
            </w:r>
          </w:p>
        </w:tc>
        <w:tc>
          <w:tcPr>
            <w:tcW w:w="549" w:type="pct"/>
            <w:tcBorders>
              <w:top w:val="single" w:sz="4" w:space="0" w:color="auto"/>
            </w:tcBorders>
          </w:tcPr>
          <w:p w14:paraId="369E63DE" w14:textId="77777777" w:rsidR="0051010A" w:rsidRPr="00E2788A" w:rsidRDefault="0051010A" w:rsidP="00F82CA0">
            <w:pPr>
              <w:pStyle w:val="TableText"/>
              <w:jc w:val="right"/>
            </w:pPr>
            <w:r w:rsidRPr="00E2788A">
              <w:t>9.2</w:t>
            </w:r>
          </w:p>
        </w:tc>
        <w:tc>
          <w:tcPr>
            <w:tcW w:w="617" w:type="pct"/>
            <w:tcBorders>
              <w:top w:val="single" w:sz="4" w:space="0" w:color="auto"/>
            </w:tcBorders>
          </w:tcPr>
          <w:p w14:paraId="7569FC3C" w14:textId="64A4E41E" w:rsidR="0051010A" w:rsidRPr="00E2788A" w:rsidRDefault="00F66742" w:rsidP="00F82CA0">
            <w:pPr>
              <w:pStyle w:val="TableText"/>
              <w:jc w:val="right"/>
            </w:pPr>
            <w:r>
              <w:t>–</w:t>
            </w:r>
          </w:p>
        </w:tc>
      </w:tr>
      <w:tr w:rsidR="0051010A" w:rsidRPr="00E2788A" w14:paraId="243689E8" w14:textId="77777777" w:rsidTr="0075520B">
        <w:tc>
          <w:tcPr>
            <w:tcW w:w="742" w:type="pct"/>
            <w:vMerge/>
          </w:tcPr>
          <w:p w14:paraId="268E4FF1" w14:textId="77777777" w:rsidR="0051010A" w:rsidRPr="00E2788A" w:rsidRDefault="0051010A" w:rsidP="00743627">
            <w:pPr>
              <w:pStyle w:val="TableText"/>
            </w:pPr>
          </w:p>
        </w:tc>
        <w:tc>
          <w:tcPr>
            <w:tcW w:w="741" w:type="pct"/>
          </w:tcPr>
          <w:p w14:paraId="3C9D9AA8" w14:textId="77777777" w:rsidR="0051010A" w:rsidRPr="00E2788A" w:rsidRDefault="0051010A" w:rsidP="00743627">
            <w:pPr>
              <w:pStyle w:val="TableText"/>
            </w:pPr>
            <w:r w:rsidRPr="00E2788A">
              <w:t>Tier 2</w:t>
            </w:r>
          </w:p>
        </w:tc>
        <w:tc>
          <w:tcPr>
            <w:tcW w:w="627" w:type="pct"/>
          </w:tcPr>
          <w:p w14:paraId="0542EB2A" w14:textId="77777777" w:rsidR="0051010A" w:rsidRPr="00E2788A" w:rsidRDefault="0051010A" w:rsidP="00743627">
            <w:pPr>
              <w:pStyle w:val="TableText"/>
            </w:pPr>
            <w:r w:rsidRPr="00E2788A">
              <w:t>2004</w:t>
            </w:r>
          </w:p>
        </w:tc>
        <w:tc>
          <w:tcPr>
            <w:tcW w:w="469" w:type="pct"/>
          </w:tcPr>
          <w:p w14:paraId="73444C59" w14:textId="77777777" w:rsidR="0051010A" w:rsidRPr="00E2788A" w:rsidRDefault="0051010A" w:rsidP="00F82CA0">
            <w:pPr>
              <w:pStyle w:val="TableText"/>
              <w:jc w:val="right"/>
            </w:pPr>
            <w:r w:rsidRPr="00E2788A">
              <w:t>5.0</w:t>
            </w:r>
          </w:p>
        </w:tc>
        <w:tc>
          <w:tcPr>
            <w:tcW w:w="548" w:type="pct"/>
          </w:tcPr>
          <w:p w14:paraId="1E31E4FA" w14:textId="659B2EED" w:rsidR="0051010A" w:rsidRPr="00E2788A" w:rsidRDefault="00F66742" w:rsidP="00F82CA0">
            <w:pPr>
              <w:pStyle w:val="TableText"/>
              <w:jc w:val="right"/>
            </w:pPr>
            <w:r>
              <w:t>–</w:t>
            </w:r>
          </w:p>
        </w:tc>
        <w:tc>
          <w:tcPr>
            <w:tcW w:w="706" w:type="pct"/>
          </w:tcPr>
          <w:p w14:paraId="7B29FAFF" w14:textId="77777777" w:rsidR="0051010A" w:rsidRPr="00E2788A" w:rsidRDefault="0051010A" w:rsidP="00F82CA0">
            <w:pPr>
              <w:pStyle w:val="TableText"/>
              <w:jc w:val="right"/>
            </w:pPr>
            <w:r w:rsidRPr="00E2788A">
              <w:t>7.5</w:t>
            </w:r>
          </w:p>
        </w:tc>
        <w:tc>
          <w:tcPr>
            <w:tcW w:w="549" w:type="pct"/>
          </w:tcPr>
          <w:p w14:paraId="148F00F9" w14:textId="58D870BF" w:rsidR="0051010A" w:rsidRPr="00E2788A" w:rsidRDefault="00F66742" w:rsidP="00F82CA0">
            <w:pPr>
              <w:pStyle w:val="TableText"/>
              <w:jc w:val="right"/>
            </w:pPr>
            <w:r>
              <w:t>–</w:t>
            </w:r>
          </w:p>
        </w:tc>
        <w:tc>
          <w:tcPr>
            <w:tcW w:w="617" w:type="pct"/>
          </w:tcPr>
          <w:p w14:paraId="4D251F82" w14:textId="77777777" w:rsidR="0051010A" w:rsidRPr="00E2788A" w:rsidRDefault="0051010A" w:rsidP="00F82CA0">
            <w:pPr>
              <w:pStyle w:val="TableText"/>
              <w:jc w:val="right"/>
            </w:pPr>
            <w:r w:rsidRPr="00E2788A">
              <w:t>0.4</w:t>
            </w:r>
          </w:p>
        </w:tc>
      </w:tr>
      <w:tr w:rsidR="0051010A" w:rsidRPr="00E2788A" w14:paraId="74ABFA07" w14:textId="77777777" w:rsidTr="0075520B">
        <w:tc>
          <w:tcPr>
            <w:tcW w:w="742" w:type="pct"/>
            <w:vMerge/>
          </w:tcPr>
          <w:p w14:paraId="5B554E4A" w14:textId="77777777" w:rsidR="0051010A" w:rsidRPr="00E2788A" w:rsidRDefault="0051010A" w:rsidP="00743627">
            <w:pPr>
              <w:pStyle w:val="TableText"/>
            </w:pPr>
          </w:p>
        </w:tc>
        <w:tc>
          <w:tcPr>
            <w:tcW w:w="741" w:type="pct"/>
            <w:tcBorders>
              <w:bottom w:val="nil"/>
            </w:tcBorders>
          </w:tcPr>
          <w:p w14:paraId="72A951E2" w14:textId="77777777" w:rsidR="0051010A" w:rsidRPr="00E2788A" w:rsidRDefault="0051010A" w:rsidP="00743627">
            <w:pPr>
              <w:pStyle w:val="TableText"/>
            </w:pPr>
            <w:r w:rsidRPr="00E2788A">
              <w:t>Tier 3</w:t>
            </w:r>
          </w:p>
        </w:tc>
        <w:tc>
          <w:tcPr>
            <w:tcW w:w="627" w:type="pct"/>
            <w:tcBorders>
              <w:bottom w:val="nil"/>
            </w:tcBorders>
          </w:tcPr>
          <w:p w14:paraId="64B7459B" w14:textId="77777777" w:rsidR="0051010A" w:rsidRPr="00E2788A" w:rsidRDefault="0051010A" w:rsidP="00743627">
            <w:pPr>
              <w:pStyle w:val="TableText"/>
            </w:pPr>
            <w:r w:rsidRPr="00E2788A">
              <w:t>2008</w:t>
            </w:r>
          </w:p>
        </w:tc>
        <w:tc>
          <w:tcPr>
            <w:tcW w:w="469" w:type="pct"/>
            <w:tcBorders>
              <w:bottom w:val="nil"/>
            </w:tcBorders>
          </w:tcPr>
          <w:p w14:paraId="65F64AE9" w14:textId="77777777" w:rsidR="0051010A" w:rsidRPr="00E2788A" w:rsidRDefault="0051010A" w:rsidP="00F82CA0">
            <w:pPr>
              <w:pStyle w:val="TableText"/>
              <w:jc w:val="right"/>
            </w:pPr>
            <w:r w:rsidRPr="00E2788A">
              <w:t>5.0</w:t>
            </w:r>
          </w:p>
        </w:tc>
        <w:tc>
          <w:tcPr>
            <w:tcW w:w="548" w:type="pct"/>
            <w:tcBorders>
              <w:bottom w:val="nil"/>
            </w:tcBorders>
          </w:tcPr>
          <w:p w14:paraId="34A4B34C" w14:textId="40FE023D" w:rsidR="0051010A" w:rsidRPr="00E2788A" w:rsidRDefault="00F66742" w:rsidP="00F82CA0">
            <w:pPr>
              <w:pStyle w:val="TableText"/>
              <w:jc w:val="right"/>
            </w:pPr>
            <w:r>
              <w:t>–</w:t>
            </w:r>
          </w:p>
        </w:tc>
        <w:tc>
          <w:tcPr>
            <w:tcW w:w="706" w:type="pct"/>
            <w:tcBorders>
              <w:bottom w:val="nil"/>
            </w:tcBorders>
          </w:tcPr>
          <w:p w14:paraId="2D7F3E9B" w14:textId="77777777" w:rsidR="0051010A" w:rsidRPr="00E2788A" w:rsidRDefault="0051010A" w:rsidP="00F82CA0">
            <w:pPr>
              <w:pStyle w:val="TableText"/>
              <w:jc w:val="right"/>
            </w:pPr>
            <w:r w:rsidRPr="00E2788A">
              <w:t>4.7</w:t>
            </w:r>
          </w:p>
        </w:tc>
        <w:tc>
          <w:tcPr>
            <w:tcW w:w="549" w:type="pct"/>
            <w:tcBorders>
              <w:bottom w:val="nil"/>
            </w:tcBorders>
          </w:tcPr>
          <w:p w14:paraId="05918B8A" w14:textId="41B64B8A" w:rsidR="0051010A" w:rsidRPr="00E2788A" w:rsidRDefault="00F66742" w:rsidP="00F82CA0">
            <w:pPr>
              <w:pStyle w:val="TableText"/>
              <w:jc w:val="right"/>
            </w:pPr>
            <w:r>
              <w:t>–</w:t>
            </w:r>
          </w:p>
        </w:tc>
        <w:tc>
          <w:tcPr>
            <w:tcW w:w="617" w:type="pct"/>
            <w:tcBorders>
              <w:bottom w:val="nil"/>
            </w:tcBorders>
          </w:tcPr>
          <w:p w14:paraId="3BA2EEB2" w14:textId="32E499D5" w:rsidR="0051010A" w:rsidRPr="006349FB" w:rsidRDefault="006349FB" w:rsidP="00F82CA0">
            <w:pPr>
              <w:pStyle w:val="TableText"/>
              <w:jc w:val="right"/>
              <w:rPr>
                <w:rStyle w:val="Strong"/>
              </w:rPr>
            </w:pPr>
            <w:r w:rsidRPr="006349FB">
              <w:rPr>
                <w:rStyle w:val="Strong"/>
              </w:rPr>
              <w:t>a</w:t>
            </w:r>
          </w:p>
        </w:tc>
      </w:tr>
      <w:tr w:rsidR="0051010A" w:rsidRPr="00E2788A" w14:paraId="630A88E6" w14:textId="77777777" w:rsidTr="0075520B">
        <w:tc>
          <w:tcPr>
            <w:tcW w:w="742" w:type="pct"/>
            <w:vMerge/>
            <w:tcBorders>
              <w:bottom w:val="single" w:sz="4" w:space="0" w:color="auto"/>
            </w:tcBorders>
          </w:tcPr>
          <w:p w14:paraId="04A3D6CF" w14:textId="77777777" w:rsidR="0051010A" w:rsidRPr="00E2788A" w:rsidRDefault="0051010A" w:rsidP="00743627">
            <w:pPr>
              <w:pStyle w:val="TableText"/>
            </w:pPr>
          </w:p>
        </w:tc>
        <w:tc>
          <w:tcPr>
            <w:tcW w:w="741" w:type="pct"/>
            <w:tcBorders>
              <w:top w:val="nil"/>
              <w:bottom w:val="single" w:sz="4" w:space="0" w:color="auto"/>
            </w:tcBorders>
          </w:tcPr>
          <w:p w14:paraId="1C7464D8" w14:textId="77777777" w:rsidR="0051010A" w:rsidRPr="00E2788A" w:rsidRDefault="0051010A" w:rsidP="00743627">
            <w:pPr>
              <w:pStyle w:val="TableText"/>
            </w:pPr>
            <w:r w:rsidRPr="00E2788A">
              <w:t>Tier 4i/Tier 4f</w:t>
            </w:r>
          </w:p>
        </w:tc>
        <w:tc>
          <w:tcPr>
            <w:tcW w:w="627" w:type="pct"/>
            <w:tcBorders>
              <w:top w:val="nil"/>
              <w:bottom w:val="single" w:sz="4" w:space="0" w:color="auto"/>
            </w:tcBorders>
          </w:tcPr>
          <w:p w14:paraId="384D7B4D" w14:textId="77777777" w:rsidR="0051010A" w:rsidRPr="00E2788A" w:rsidRDefault="0051010A" w:rsidP="00743627">
            <w:pPr>
              <w:pStyle w:val="TableText"/>
            </w:pPr>
            <w:r w:rsidRPr="00E2788A">
              <w:t>2012/2014</w:t>
            </w:r>
          </w:p>
        </w:tc>
        <w:tc>
          <w:tcPr>
            <w:tcW w:w="469" w:type="pct"/>
            <w:tcBorders>
              <w:top w:val="nil"/>
              <w:bottom w:val="single" w:sz="4" w:space="0" w:color="auto"/>
            </w:tcBorders>
          </w:tcPr>
          <w:p w14:paraId="0F8001BB" w14:textId="77777777" w:rsidR="0051010A" w:rsidRPr="00E2788A" w:rsidRDefault="0051010A" w:rsidP="00F82CA0">
            <w:pPr>
              <w:pStyle w:val="TableText"/>
              <w:jc w:val="right"/>
            </w:pPr>
            <w:r w:rsidRPr="00E2788A">
              <w:t>5.0/5.0</w:t>
            </w:r>
          </w:p>
        </w:tc>
        <w:tc>
          <w:tcPr>
            <w:tcW w:w="548" w:type="pct"/>
            <w:tcBorders>
              <w:top w:val="nil"/>
              <w:bottom w:val="single" w:sz="4" w:space="0" w:color="auto"/>
            </w:tcBorders>
          </w:tcPr>
          <w:p w14:paraId="3CCF24B9" w14:textId="77777777" w:rsidR="0051010A" w:rsidRPr="00E2788A" w:rsidRDefault="0051010A" w:rsidP="00F82CA0">
            <w:pPr>
              <w:pStyle w:val="TableText"/>
              <w:jc w:val="right"/>
            </w:pPr>
            <w:r w:rsidRPr="00E2788A">
              <w:t>0.19/0.19</w:t>
            </w:r>
          </w:p>
        </w:tc>
        <w:tc>
          <w:tcPr>
            <w:tcW w:w="706" w:type="pct"/>
            <w:tcBorders>
              <w:top w:val="nil"/>
              <w:bottom w:val="single" w:sz="4" w:space="0" w:color="auto"/>
            </w:tcBorders>
          </w:tcPr>
          <w:p w14:paraId="71C0931D" w14:textId="11A25EE0" w:rsidR="0051010A" w:rsidRPr="00E2788A" w:rsidRDefault="00F66742" w:rsidP="00F82CA0">
            <w:pPr>
              <w:pStyle w:val="TableText"/>
              <w:jc w:val="right"/>
            </w:pPr>
            <w:r>
              <w:t>–</w:t>
            </w:r>
          </w:p>
        </w:tc>
        <w:tc>
          <w:tcPr>
            <w:tcW w:w="549" w:type="pct"/>
            <w:tcBorders>
              <w:top w:val="nil"/>
              <w:bottom w:val="single" w:sz="4" w:space="0" w:color="auto"/>
            </w:tcBorders>
          </w:tcPr>
          <w:p w14:paraId="03D8AB70" w14:textId="168B941B" w:rsidR="0051010A" w:rsidRPr="00E2788A" w:rsidRDefault="0051010A" w:rsidP="00F82CA0">
            <w:pPr>
              <w:pStyle w:val="TableText"/>
              <w:jc w:val="right"/>
            </w:pPr>
            <w:r w:rsidRPr="00E2788A">
              <w:t>2.3</w:t>
            </w:r>
            <w:r w:rsidR="00F00AED" w:rsidRPr="00F00AED">
              <w:rPr>
                <w:rStyle w:val="Strong"/>
              </w:rPr>
              <w:t>b</w:t>
            </w:r>
            <w:r w:rsidRPr="00E2788A">
              <w:t>/0.40</w:t>
            </w:r>
          </w:p>
        </w:tc>
        <w:tc>
          <w:tcPr>
            <w:tcW w:w="617" w:type="pct"/>
            <w:tcBorders>
              <w:top w:val="nil"/>
              <w:bottom w:val="single" w:sz="4" w:space="0" w:color="auto"/>
            </w:tcBorders>
          </w:tcPr>
          <w:p w14:paraId="2A358A62" w14:textId="77777777" w:rsidR="0051010A" w:rsidRPr="00E2788A" w:rsidRDefault="0051010A" w:rsidP="00F82CA0">
            <w:pPr>
              <w:pStyle w:val="TableText"/>
              <w:jc w:val="right"/>
            </w:pPr>
            <w:r w:rsidRPr="00E2788A">
              <w:t>0.02/0.02</w:t>
            </w:r>
          </w:p>
        </w:tc>
      </w:tr>
      <w:tr w:rsidR="00327C50" w:rsidRPr="00E2788A" w14:paraId="5BD2F1B6" w14:textId="77777777" w:rsidTr="0075520B">
        <w:tc>
          <w:tcPr>
            <w:tcW w:w="742" w:type="pct"/>
            <w:vMerge w:val="restart"/>
            <w:tcBorders>
              <w:top w:val="single" w:sz="4" w:space="0" w:color="auto"/>
            </w:tcBorders>
          </w:tcPr>
          <w:p w14:paraId="2632BB58" w14:textId="77777777" w:rsidR="00327C50" w:rsidRPr="00E2788A" w:rsidRDefault="00327C50" w:rsidP="00327C50">
            <w:pPr>
              <w:pStyle w:val="TableText"/>
            </w:pPr>
            <w:r w:rsidRPr="00E2788A">
              <w:t>75 ≤ kW &lt; 130</w:t>
            </w:r>
          </w:p>
        </w:tc>
        <w:tc>
          <w:tcPr>
            <w:tcW w:w="741" w:type="pct"/>
            <w:tcBorders>
              <w:top w:val="single" w:sz="4" w:space="0" w:color="auto"/>
            </w:tcBorders>
          </w:tcPr>
          <w:p w14:paraId="0349E601" w14:textId="77777777" w:rsidR="00327C50" w:rsidRPr="00E2788A" w:rsidRDefault="00327C50" w:rsidP="00327C50">
            <w:pPr>
              <w:pStyle w:val="TableText"/>
            </w:pPr>
            <w:r w:rsidRPr="00E2788A">
              <w:t>Tier 1</w:t>
            </w:r>
          </w:p>
        </w:tc>
        <w:tc>
          <w:tcPr>
            <w:tcW w:w="627" w:type="pct"/>
            <w:tcBorders>
              <w:top w:val="single" w:sz="4" w:space="0" w:color="auto"/>
            </w:tcBorders>
          </w:tcPr>
          <w:p w14:paraId="45096F55" w14:textId="77777777" w:rsidR="00327C50" w:rsidRPr="00E2788A" w:rsidRDefault="00327C50" w:rsidP="00327C50">
            <w:pPr>
              <w:pStyle w:val="TableText"/>
            </w:pPr>
            <w:r w:rsidRPr="00E2788A">
              <w:t>1997</w:t>
            </w:r>
          </w:p>
        </w:tc>
        <w:tc>
          <w:tcPr>
            <w:tcW w:w="469" w:type="pct"/>
            <w:tcBorders>
              <w:top w:val="single" w:sz="4" w:space="0" w:color="auto"/>
            </w:tcBorders>
          </w:tcPr>
          <w:p w14:paraId="1600E7DA" w14:textId="344EEF59" w:rsidR="00327C50" w:rsidRPr="00E2788A" w:rsidRDefault="00F66742" w:rsidP="00327C50">
            <w:pPr>
              <w:pStyle w:val="TableText"/>
              <w:jc w:val="right"/>
            </w:pPr>
            <w:r>
              <w:t>–</w:t>
            </w:r>
          </w:p>
        </w:tc>
        <w:tc>
          <w:tcPr>
            <w:tcW w:w="548" w:type="pct"/>
            <w:tcBorders>
              <w:top w:val="single" w:sz="4" w:space="0" w:color="auto"/>
            </w:tcBorders>
          </w:tcPr>
          <w:p w14:paraId="3BCB43C1" w14:textId="00B33A32" w:rsidR="00327C50" w:rsidRPr="00E2788A" w:rsidRDefault="00F66742" w:rsidP="00327C50">
            <w:pPr>
              <w:pStyle w:val="TableText"/>
              <w:jc w:val="right"/>
            </w:pPr>
            <w:r>
              <w:t>–</w:t>
            </w:r>
          </w:p>
        </w:tc>
        <w:tc>
          <w:tcPr>
            <w:tcW w:w="706" w:type="pct"/>
            <w:tcBorders>
              <w:top w:val="single" w:sz="4" w:space="0" w:color="auto"/>
            </w:tcBorders>
          </w:tcPr>
          <w:p w14:paraId="7FF3075F" w14:textId="1318559A" w:rsidR="00327C50" w:rsidRPr="00E2788A" w:rsidRDefault="00F66742" w:rsidP="00327C50">
            <w:pPr>
              <w:pStyle w:val="TableText"/>
              <w:jc w:val="right"/>
            </w:pPr>
            <w:r>
              <w:t>–</w:t>
            </w:r>
          </w:p>
        </w:tc>
        <w:tc>
          <w:tcPr>
            <w:tcW w:w="549" w:type="pct"/>
            <w:tcBorders>
              <w:top w:val="single" w:sz="4" w:space="0" w:color="auto"/>
            </w:tcBorders>
          </w:tcPr>
          <w:p w14:paraId="296EB38F" w14:textId="77777777" w:rsidR="00327C50" w:rsidRPr="00E2788A" w:rsidRDefault="00327C50" w:rsidP="00327C50">
            <w:pPr>
              <w:pStyle w:val="TableText"/>
              <w:jc w:val="right"/>
            </w:pPr>
            <w:r w:rsidRPr="00E2788A">
              <w:t>9.2</w:t>
            </w:r>
          </w:p>
        </w:tc>
        <w:tc>
          <w:tcPr>
            <w:tcW w:w="617" w:type="pct"/>
            <w:tcBorders>
              <w:top w:val="single" w:sz="4" w:space="0" w:color="auto"/>
            </w:tcBorders>
          </w:tcPr>
          <w:p w14:paraId="16EB4C18" w14:textId="287BF226" w:rsidR="00327C50" w:rsidRPr="00E2788A" w:rsidRDefault="00F66742" w:rsidP="00327C50">
            <w:pPr>
              <w:pStyle w:val="TableText"/>
              <w:jc w:val="right"/>
            </w:pPr>
            <w:r>
              <w:t>–</w:t>
            </w:r>
          </w:p>
        </w:tc>
      </w:tr>
      <w:tr w:rsidR="00327C50" w:rsidRPr="00E2788A" w14:paraId="49A7D577" w14:textId="77777777" w:rsidTr="0075520B">
        <w:tc>
          <w:tcPr>
            <w:tcW w:w="742" w:type="pct"/>
            <w:vMerge/>
          </w:tcPr>
          <w:p w14:paraId="468FA769" w14:textId="77777777" w:rsidR="00327C50" w:rsidRPr="00E2788A" w:rsidRDefault="00327C50" w:rsidP="00327C50">
            <w:pPr>
              <w:pStyle w:val="TableText"/>
            </w:pPr>
          </w:p>
        </w:tc>
        <w:tc>
          <w:tcPr>
            <w:tcW w:w="741" w:type="pct"/>
          </w:tcPr>
          <w:p w14:paraId="10164E40" w14:textId="77777777" w:rsidR="00327C50" w:rsidRPr="00E2788A" w:rsidRDefault="00327C50" w:rsidP="00327C50">
            <w:pPr>
              <w:pStyle w:val="TableText"/>
            </w:pPr>
            <w:r w:rsidRPr="00E2788A">
              <w:t>Tier 2</w:t>
            </w:r>
          </w:p>
        </w:tc>
        <w:tc>
          <w:tcPr>
            <w:tcW w:w="627" w:type="pct"/>
          </w:tcPr>
          <w:p w14:paraId="42C49E54" w14:textId="77777777" w:rsidR="00327C50" w:rsidRPr="00E2788A" w:rsidRDefault="00327C50" w:rsidP="00327C50">
            <w:pPr>
              <w:pStyle w:val="TableText"/>
            </w:pPr>
            <w:r w:rsidRPr="00E2788A">
              <w:t>2003</w:t>
            </w:r>
          </w:p>
        </w:tc>
        <w:tc>
          <w:tcPr>
            <w:tcW w:w="469" w:type="pct"/>
          </w:tcPr>
          <w:p w14:paraId="0BFAD562" w14:textId="77777777" w:rsidR="00327C50" w:rsidRPr="00E2788A" w:rsidRDefault="00327C50" w:rsidP="00327C50">
            <w:pPr>
              <w:pStyle w:val="TableText"/>
              <w:jc w:val="right"/>
            </w:pPr>
            <w:r w:rsidRPr="00E2788A">
              <w:t>5.0</w:t>
            </w:r>
          </w:p>
        </w:tc>
        <w:tc>
          <w:tcPr>
            <w:tcW w:w="548" w:type="pct"/>
          </w:tcPr>
          <w:p w14:paraId="30D8D46A" w14:textId="05380966" w:rsidR="00327C50" w:rsidRPr="00E2788A" w:rsidRDefault="00F66742" w:rsidP="00327C50">
            <w:pPr>
              <w:pStyle w:val="TableText"/>
              <w:jc w:val="right"/>
            </w:pPr>
            <w:r>
              <w:t>–</w:t>
            </w:r>
          </w:p>
        </w:tc>
        <w:tc>
          <w:tcPr>
            <w:tcW w:w="706" w:type="pct"/>
          </w:tcPr>
          <w:p w14:paraId="0959A8C0" w14:textId="77777777" w:rsidR="00327C50" w:rsidRPr="00E2788A" w:rsidRDefault="00327C50" w:rsidP="00327C50">
            <w:pPr>
              <w:pStyle w:val="TableText"/>
              <w:jc w:val="right"/>
            </w:pPr>
            <w:r w:rsidRPr="00E2788A">
              <w:t>6.6</w:t>
            </w:r>
          </w:p>
        </w:tc>
        <w:tc>
          <w:tcPr>
            <w:tcW w:w="549" w:type="pct"/>
          </w:tcPr>
          <w:p w14:paraId="4FAB70BE" w14:textId="4D153086" w:rsidR="00327C50" w:rsidRPr="00E2788A" w:rsidRDefault="00F66742" w:rsidP="00327C50">
            <w:pPr>
              <w:pStyle w:val="TableText"/>
              <w:jc w:val="right"/>
            </w:pPr>
            <w:r>
              <w:t>–</w:t>
            </w:r>
          </w:p>
        </w:tc>
        <w:tc>
          <w:tcPr>
            <w:tcW w:w="617" w:type="pct"/>
          </w:tcPr>
          <w:p w14:paraId="7F10FC31" w14:textId="77777777" w:rsidR="00327C50" w:rsidRPr="00E2788A" w:rsidRDefault="00327C50" w:rsidP="00327C50">
            <w:pPr>
              <w:pStyle w:val="TableText"/>
              <w:jc w:val="right"/>
            </w:pPr>
            <w:r w:rsidRPr="00E2788A">
              <w:t>0.3</w:t>
            </w:r>
          </w:p>
        </w:tc>
      </w:tr>
      <w:tr w:rsidR="00327C50" w:rsidRPr="00E2788A" w14:paraId="461032E2" w14:textId="77777777" w:rsidTr="0075520B">
        <w:tc>
          <w:tcPr>
            <w:tcW w:w="742" w:type="pct"/>
            <w:vMerge/>
          </w:tcPr>
          <w:p w14:paraId="46B52533" w14:textId="77777777" w:rsidR="00327C50" w:rsidRPr="00E2788A" w:rsidRDefault="00327C50" w:rsidP="00327C50">
            <w:pPr>
              <w:pStyle w:val="TableText"/>
            </w:pPr>
          </w:p>
        </w:tc>
        <w:tc>
          <w:tcPr>
            <w:tcW w:w="741" w:type="pct"/>
            <w:tcBorders>
              <w:bottom w:val="nil"/>
            </w:tcBorders>
          </w:tcPr>
          <w:p w14:paraId="2E60EFBE" w14:textId="77777777" w:rsidR="00327C50" w:rsidRPr="00E2788A" w:rsidRDefault="00327C50" w:rsidP="00327C50">
            <w:pPr>
              <w:pStyle w:val="TableText"/>
            </w:pPr>
            <w:r w:rsidRPr="00E2788A">
              <w:t>Tier 3</w:t>
            </w:r>
          </w:p>
        </w:tc>
        <w:tc>
          <w:tcPr>
            <w:tcW w:w="627" w:type="pct"/>
            <w:tcBorders>
              <w:bottom w:val="nil"/>
            </w:tcBorders>
          </w:tcPr>
          <w:p w14:paraId="57DA1A2C" w14:textId="77777777" w:rsidR="00327C50" w:rsidRPr="00E2788A" w:rsidRDefault="00327C50" w:rsidP="00327C50">
            <w:pPr>
              <w:pStyle w:val="TableText"/>
            </w:pPr>
            <w:r w:rsidRPr="00E2788A">
              <w:t>2007</w:t>
            </w:r>
          </w:p>
        </w:tc>
        <w:tc>
          <w:tcPr>
            <w:tcW w:w="469" w:type="pct"/>
            <w:tcBorders>
              <w:bottom w:val="nil"/>
            </w:tcBorders>
          </w:tcPr>
          <w:p w14:paraId="652AF521" w14:textId="77777777" w:rsidR="00327C50" w:rsidRPr="00E2788A" w:rsidRDefault="00327C50" w:rsidP="00327C50">
            <w:pPr>
              <w:pStyle w:val="TableText"/>
              <w:jc w:val="right"/>
            </w:pPr>
            <w:r w:rsidRPr="00E2788A">
              <w:t>5.0</w:t>
            </w:r>
          </w:p>
        </w:tc>
        <w:tc>
          <w:tcPr>
            <w:tcW w:w="548" w:type="pct"/>
            <w:tcBorders>
              <w:bottom w:val="nil"/>
            </w:tcBorders>
          </w:tcPr>
          <w:p w14:paraId="3C0AE973" w14:textId="523634BB" w:rsidR="00327C50" w:rsidRPr="00E2788A" w:rsidRDefault="00F66742" w:rsidP="00327C50">
            <w:pPr>
              <w:pStyle w:val="TableText"/>
              <w:jc w:val="right"/>
            </w:pPr>
            <w:r>
              <w:t>–</w:t>
            </w:r>
          </w:p>
        </w:tc>
        <w:tc>
          <w:tcPr>
            <w:tcW w:w="706" w:type="pct"/>
            <w:tcBorders>
              <w:bottom w:val="nil"/>
            </w:tcBorders>
          </w:tcPr>
          <w:p w14:paraId="09AAC14A" w14:textId="77777777" w:rsidR="00327C50" w:rsidRPr="00E2788A" w:rsidRDefault="00327C50" w:rsidP="00327C50">
            <w:pPr>
              <w:pStyle w:val="TableText"/>
              <w:jc w:val="right"/>
            </w:pPr>
            <w:r w:rsidRPr="00E2788A">
              <w:t>4.0</w:t>
            </w:r>
          </w:p>
        </w:tc>
        <w:tc>
          <w:tcPr>
            <w:tcW w:w="549" w:type="pct"/>
            <w:tcBorders>
              <w:bottom w:val="nil"/>
            </w:tcBorders>
          </w:tcPr>
          <w:p w14:paraId="76C5E58F" w14:textId="68694515" w:rsidR="00327C50" w:rsidRPr="00E2788A" w:rsidRDefault="00F66742" w:rsidP="00327C50">
            <w:pPr>
              <w:pStyle w:val="TableText"/>
              <w:jc w:val="right"/>
            </w:pPr>
            <w:r>
              <w:t>–</w:t>
            </w:r>
          </w:p>
        </w:tc>
        <w:tc>
          <w:tcPr>
            <w:tcW w:w="617" w:type="pct"/>
            <w:tcBorders>
              <w:bottom w:val="nil"/>
            </w:tcBorders>
          </w:tcPr>
          <w:p w14:paraId="21048933" w14:textId="3E4405EC" w:rsidR="00327C50" w:rsidRPr="00327C50" w:rsidRDefault="00327C50" w:rsidP="00327C50">
            <w:pPr>
              <w:pStyle w:val="TableText"/>
              <w:jc w:val="right"/>
              <w:rPr>
                <w:rStyle w:val="Strong"/>
              </w:rPr>
            </w:pPr>
            <w:r w:rsidRPr="00327C50">
              <w:rPr>
                <w:rStyle w:val="Strong"/>
              </w:rPr>
              <w:t>a</w:t>
            </w:r>
          </w:p>
        </w:tc>
      </w:tr>
      <w:tr w:rsidR="0051010A" w:rsidRPr="00E2788A" w14:paraId="044E3F64" w14:textId="77777777" w:rsidTr="0075520B">
        <w:tc>
          <w:tcPr>
            <w:tcW w:w="742" w:type="pct"/>
            <w:vMerge/>
            <w:tcBorders>
              <w:bottom w:val="single" w:sz="4" w:space="0" w:color="auto"/>
            </w:tcBorders>
          </w:tcPr>
          <w:p w14:paraId="767CDB45" w14:textId="77777777" w:rsidR="0051010A" w:rsidRPr="00E2788A" w:rsidRDefault="0051010A" w:rsidP="00743627">
            <w:pPr>
              <w:pStyle w:val="TableText"/>
            </w:pPr>
          </w:p>
        </w:tc>
        <w:tc>
          <w:tcPr>
            <w:tcW w:w="741" w:type="pct"/>
            <w:tcBorders>
              <w:top w:val="nil"/>
              <w:bottom w:val="single" w:sz="4" w:space="0" w:color="auto"/>
            </w:tcBorders>
          </w:tcPr>
          <w:p w14:paraId="2EF4D7BC" w14:textId="77777777" w:rsidR="0051010A" w:rsidRPr="00E2788A" w:rsidRDefault="0051010A" w:rsidP="00743627">
            <w:pPr>
              <w:pStyle w:val="TableText"/>
            </w:pPr>
            <w:r w:rsidRPr="00E2788A">
              <w:t>Tier 4i/Tier 4f</w:t>
            </w:r>
          </w:p>
        </w:tc>
        <w:tc>
          <w:tcPr>
            <w:tcW w:w="627" w:type="pct"/>
            <w:tcBorders>
              <w:top w:val="nil"/>
              <w:bottom w:val="single" w:sz="4" w:space="0" w:color="auto"/>
            </w:tcBorders>
          </w:tcPr>
          <w:p w14:paraId="02050FE8" w14:textId="77777777" w:rsidR="0051010A" w:rsidRPr="00E2788A" w:rsidRDefault="0051010A" w:rsidP="00743627">
            <w:pPr>
              <w:pStyle w:val="TableText"/>
            </w:pPr>
            <w:r w:rsidRPr="00E2788A">
              <w:t>2012/2014</w:t>
            </w:r>
          </w:p>
        </w:tc>
        <w:tc>
          <w:tcPr>
            <w:tcW w:w="469" w:type="pct"/>
            <w:tcBorders>
              <w:top w:val="nil"/>
              <w:bottom w:val="single" w:sz="4" w:space="0" w:color="auto"/>
            </w:tcBorders>
          </w:tcPr>
          <w:p w14:paraId="173FEB22" w14:textId="77777777" w:rsidR="0051010A" w:rsidRPr="00E2788A" w:rsidRDefault="0051010A" w:rsidP="00F82CA0">
            <w:pPr>
              <w:pStyle w:val="TableText"/>
              <w:jc w:val="right"/>
            </w:pPr>
            <w:r w:rsidRPr="00E2788A">
              <w:t>5.0/5.0</w:t>
            </w:r>
          </w:p>
        </w:tc>
        <w:tc>
          <w:tcPr>
            <w:tcW w:w="548" w:type="pct"/>
            <w:tcBorders>
              <w:top w:val="nil"/>
              <w:bottom w:val="single" w:sz="4" w:space="0" w:color="auto"/>
            </w:tcBorders>
          </w:tcPr>
          <w:p w14:paraId="0A2C4582" w14:textId="77777777" w:rsidR="0051010A" w:rsidRPr="00E2788A" w:rsidRDefault="0051010A" w:rsidP="00F82CA0">
            <w:pPr>
              <w:pStyle w:val="TableText"/>
              <w:jc w:val="right"/>
            </w:pPr>
            <w:r w:rsidRPr="00E2788A">
              <w:t>0.19/0.19</w:t>
            </w:r>
          </w:p>
        </w:tc>
        <w:tc>
          <w:tcPr>
            <w:tcW w:w="706" w:type="pct"/>
            <w:tcBorders>
              <w:top w:val="nil"/>
              <w:bottom w:val="single" w:sz="4" w:space="0" w:color="auto"/>
            </w:tcBorders>
          </w:tcPr>
          <w:p w14:paraId="5F7341A6" w14:textId="7DF056CC" w:rsidR="0051010A" w:rsidRPr="00E2788A" w:rsidRDefault="00F66742" w:rsidP="00F82CA0">
            <w:pPr>
              <w:pStyle w:val="TableText"/>
              <w:jc w:val="right"/>
            </w:pPr>
            <w:r>
              <w:t>–</w:t>
            </w:r>
          </w:p>
        </w:tc>
        <w:tc>
          <w:tcPr>
            <w:tcW w:w="549" w:type="pct"/>
            <w:tcBorders>
              <w:top w:val="nil"/>
              <w:bottom w:val="single" w:sz="4" w:space="0" w:color="auto"/>
            </w:tcBorders>
          </w:tcPr>
          <w:p w14:paraId="63AA6AB3" w14:textId="0BC6DF3F" w:rsidR="0051010A" w:rsidRPr="00E2788A" w:rsidRDefault="0051010A" w:rsidP="00F82CA0">
            <w:pPr>
              <w:pStyle w:val="TableText"/>
              <w:jc w:val="right"/>
            </w:pPr>
            <w:r w:rsidRPr="00E2788A">
              <w:t>2.3</w:t>
            </w:r>
            <w:r w:rsidR="00F00AED" w:rsidRPr="00F00AED">
              <w:rPr>
                <w:rStyle w:val="Strong"/>
              </w:rPr>
              <w:t>b</w:t>
            </w:r>
            <w:r w:rsidRPr="00E2788A">
              <w:t>/0.40</w:t>
            </w:r>
          </w:p>
        </w:tc>
        <w:tc>
          <w:tcPr>
            <w:tcW w:w="617" w:type="pct"/>
            <w:tcBorders>
              <w:top w:val="nil"/>
              <w:bottom w:val="single" w:sz="4" w:space="0" w:color="auto"/>
            </w:tcBorders>
          </w:tcPr>
          <w:p w14:paraId="1BCC365D" w14:textId="77777777" w:rsidR="0051010A" w:rsidRPr="00E2788A" w:rsidRDefault="0051010A" w:rsidP="00F82CA0">
            <w:pPr>
              <w:pStyle w:val="TableText"/>
              <w:jc w:val="right"/>
            </w:pPr>
            <w:r w:rsidRPr="00E2788A">
              <w:t>0.02/0.02</w:t>
            </w:r>
          </w:p>
        </w:tc>
      </w:tr>
      <w:tr w:rsidR="0051010A" w:rsidRPr="00E2788A" w14:paraId="69C0E260" w14:textId="77777777" w:rsidTr="0075520B">
        <w:tc>
          <w:tcPr>
            <w:tcW w:w="742" w:type="pct"/>
            <w:vMerge w:val="restart"/>
            <w:tcBorders>
              <w:top w:val="single" w:sz="4" w:space="0" w:color="auto"/>
            </w:tcBorders>
          </w:tcPr>
          <w:p w14:paraId="48E29C3F" w14:textId="77777777" w:rsidR="0051010A" w:rsidRPr="00E2788A" w:rsidRDefault="0051010A" w:rsidP="00743627">
            <w:pPr>
              <w:pStyle w:val="TableText"/>
            </w:pPr>
            <w:r w:rsidRPr="00E2788A">
              <w:t>130 ≤ kW &lt; 225</w:t>
            </w:r>
          </w:p>
        </w:tc>
        <w:tc>
          <w:tcPr>
            <w:tcW w:w="741" w:type="pct"/>
            <w:tcBorders>
              <w:top w:val="single" w:sz="4" w:space="0" w:color="auto"/>
            </w:tcBorders>
          </w:tcPr>
          <w:p w14:paraId="3890EA37" w14:textId="77777777" w:rsidR="0051010A" w:rsidRPr="00E2788A" w:rsidRDefault="0051010A" w:rsidP="00743627">
            <w:pPr>
              <w:pStyle w:val="TableText"/>
            </w:pPr>
            <w:r w:rsidRPr="00E2788A">
              <w:t>Tier 1</w:t>
            </w:r>
          </w:p>
        </w:tc>
        <w:tc>
          <w:tcPr>
            <w:tcW w:w="627" w:type="pct"/>
            <w:tcBorders>
              <w:top w:val="single" w:sz="4" w:space="0" w:color="auto"/>
            </w:tcBorders>
          </w:tcPr>
          <w:p w14:paraId="2A7604D7" w14:textId="77777777" w:rsidR="0051010A" w:rsidRPr="00E2788A" w:rsidRDefault="0051010A" w:rsidP="00743627">
            <w:pPr>
              <w:pStyle w:val="TableText"/>
            </w:pPr>
            <w:r w:rsidRPr="00E2788A">
              <w:t>1996</w:t>
            </w:r>
          </w:p>
        </w:tc>
        <w:tc>
          <w:tcPr>
            <w:tcW w:w="469" w:type="pct"/>
            <w:tcBorders>
              <w:top w:val="single" w:sz="4" w:space="0" w:color="auto"/>
            </w:tcBorders>
          </w:tcPr>
          <w:p w14:paraId="0CA4832D" w14:textId="77777777" w:rsidR="0051010A" w:rsidRPr="00E2788A" w:rsidRDefault="0051010A" w:rsidP="00F82CA0">
            <w:pPr>
              <w:pStyle w:val="TableText"/>
              <w:jc w:val="right"/>
            </w:pPr>
            <w:r w:rsidRPr="00E2788A">
              <w:t>11.4</w:t>
            </w:r>
          </w:p>
        </w:tc>
        <w:tc>
          <w:tcPr>
            <w:tcW w:w="548" w:type="pct"/>
            <w:tcBorders>
              <w:top w:val="single" w:sz="4" w:space="0" w:color="auto"/>
            </w:tcBorders>
          </w:tcPr>
          <w:p w14:paraId="1E490B60" w14:textId="77777777" w:rsidR="0051010A" w:rsidRPr="00E2788A" w:rsidRDefault="0051010A" w:rsidP="00F82CA0">
            <w:pPr>
              <w:pStyle w:val="TableText"/>
              <w:jc w:val="right"/>
            </w:pPr>
            <w:r w:rsidRPr="00E2788A">
              <w:t>1.3</w:t>
            </w:r>
          </w:p>
        </w:tc>
        <w:tc>
          <w:tcPr>
            <w:tcW w:w="706" w:type="pct"/>
            <w:tcBorders>
              <w:top w:val="single" w:sz="4" w:space="0" w:color="auto"/>
            </w:tcBorders>
          </w:tcPr>
          <w:p w14:paraId="734613ED" w14:textId="6A96F828" w:rsidR="0051010A" w:rsidRPr="00E2788A" w:rsidRDefault="00F66742" w:rsidP="00F82CA0">
            <w:pPr>
              <w:pStyle w:val="TableText"/>
              <w:jc w:val="right"/>
            </w:pPr>
            <w:r>
              <w:t>–</w:t>
            </w:r>
          </w:p>
        </w:tc>
        <w:tc>
          <w:tcPr>
            <w:tcW w:w="549" w:type="pct"/>
            <w:tcBorders>
              <w:top w:val="single" w:sz="4" w:space="0" w:color="auto"/>
            </w:tcBorders>
          </w:tcPr>
          <w:p w14:paraId="627751D3" w14:textId="77777777" w:rsidR="0051010A" w:rsidRPr="00E2788A" w:rsidRDefault="0051010A" w:rsidP="00F82CA0">
            <w:pPr>
              <w:pStyle w:val="TableText"/>
              <w:jc w:val="right"/>
            </w:pPr>
            <w:r w:rsidRPr="00E2788A">
              <w:t>9.2</w:t>
            </w:r>
          </w:p>
        </w:tc>
        <w:tc>
          <w:tcPr>
            <w:tcW w:w="617" w:type="pct"/>
            <w:tcBorders>
              <w:top w:val="single" w:sz="4" w:space="0" w:color="auto"/>
            </w:tcBorders>
          </w:tcPr>
          <w:p w14:paraId="168AE6B1" w14:textId="77777777" w:rsidR="0051010A" w:rsidRPr="00E2788A" w:rsidRDefault="0051010A" w:rsidP="00F82CA0">
            <w:pPr>
              <w:pStyle w:val="TableText"/>
              <w:jc w:val="right"/>
            </w:pPr>
            <w:r w:rsidRPr="00E2788A">
              <w:t>0.54</w:t>
            </w:r>
          </w:p>
        </w:tc>
      </w:tr>
      <w:tr w:rsidR="0051010A" w:rsidRPr="00E2788A" w14:paraId="3B77959D" w14:textId="77777777" w:rsidTr="0075520B">
        <w:tc>
          <w:tcPr>
            <w:tcW w:w="742" w:type="pct"/>
            <w:vMerge/>
          </w:tcPr>
          <w:p w14:paraId="27B9610E" w14:textId="77777777" w:rsidR="0051010A" w:rsidRPr="00E2788A" w:rsidRDefault="0051010A" w:rsidP="00743627">
            <w:pPr>
              <w:pStyle w:val="TableText"/>
            </w:pPr>
          </w:p>
        </w:tc>
        <w:tc>
          <w:tcPr>
            <w:tcW w:w="741" w:type="pct"/>
          </w:tcPr>
          <w:p w14:paraId="0DCD2A4F" w14:textId="77777777" w:rsidR="0051010A" w:rsidRPr="00E2788A" w:rsidRDefault="0051010A" w:rsidP="00743627">
            <w:pPr>
              <w:pStyle w:val="TableText"/>
            </w:pPr>
            <w:r w:rsidRPr="00E2788A">
              <w:t>Tier 2</w:t>
            </w:r>
          </w:p>
        </w:tc>
        <w:tc>
          <w:tcPr>
            <w:tcW w:w="627" w:type="pct"/>
          </w:tcPr>
          <w:p w14:paraId="12DCD279" w14:textId="77777777" w:rsidR="0051010A" w:rsidRPr="00E2788A" w:rsidRDefault="0051010A" w:rsidP="00743627">
            <w:pPr>
              <w:pStyle w:val="TableText"/>
            </w:pPr>
            <w:r w:rsidRPr="00E2788A">
              <w:t>2003</w:t>
            </w:r>
          </w:p>
        </w:tc>
        <w:tc>
          <w:tcPr>
            <w:tcW w:w="469" w:type="pct"/>
          </w:tcPr>
          <w:p w14:paraId="3C832128" w14:textId="77777777" w:rsidR="0051010A" w:rsidRPr="00E2788A" w:rsidRDefault="0051010A" w:rsidP="00F82CA0">
            <w:pPr>
              <w:pStyle w:val="TableText"/>
              <w:jc w:val="right"/>
            </w:pPr>
            <w:r w:rsidRPr="00E2788A">
              <w:t>3.5</w:t>
            </w:r>
          </w:p>
        </w:tc>
        <w:tc>
          <w:tcPr>
            <w:tcW w:w="548" w:type="pct"/>
          </w:tcPr>
          <w:p w14:paraId="0D9BD406" w14:textId="6BEECF4F" w:rsidR="0051010A" w:rsidRPr="00E2788A" w:rsidRDefault="00F66742" w:rsidP="00F82CA0">
            <w:pPr>
              <w:pStyle w:val="TableText"/>
              <w:jc w:val="right"/>
            </w:pPr>
            <w:r>
              <w:t>–</w:t>
            </w:r>
          </w:p>
        </w:tc>
        <w:tc>
          <w:tcPr>
            <w:tcW w:w="706" w:type="pct"/>
          </w:tcPr>
          <w:p w14:paraId="2E21B183" w14:textId="77777777" w:rsidR="0051010A" w:rsidRPr="00E2788A" w:rsidRDefault="0051010A" w:rsidP="00F82CA0">
            <w:pPr>
              <w:pStyle w:val="TableText"/>
              <w:jc w:val="right"/>
            </w:pPr>
            <w:r w:rsidRPr="00E2788A">
              <w:t>6.6</w:t>
            </w:r>
          </w:p>
        </w:tc>
        <w:tc>
          <w:tcPr>
            <w:tcW w:w="549" w:type="pct"/>
          </w:tcPr>
          <w:p w14:paraId="5DA3C56E" w14:textId="1F332CC7" w:rsidR="0051010A" w:rsidRPr="00E2788A" w:rsidRDefault="00F66742" w:rsidP="00F82CA0">
            <w:pPr>
              <w:pStyle w:val="TableText"/>
              <w:jc w:val="right"/>
            </w:pPr>
            <w:r>
              <w:t>–</w:t>
            </w:r>
          </w:p>
        </w:tc>
        <w:tc>
          <w:tcPr>
            <w:tcW w:w="617" w:type="pct"/>
          </w:tcPr>
          <w:p w14:paraId="6ED9FACE" w14:textId="77777777" w:rsidR="0051010A" w:rsidRPr="00E2788A" w:rsidRDefault="0051010A" w:rsidP="00F82CA0">
            <w:pPr>
              <w:pStyle w:val="TableText"/>
              <w:jc w:val="right"/>
            </w:pPr>
            <w:r w:rsidRPr="00E2788A">
              <w:t>0.2</w:t>
            </w:r>
          </w:p>
        </w:tc>
      </w:tr>
      <w:tr w:rsidR="0051010A" w:rsidRPr="00E2788A" w14:paraId="3D0696A2" w14:textId="77777777" w:rsidTr="0075520B">
        <w:tc>
          <w:tcPr>
            <w:tcW w:w="742" w:type="pct"/>
            <w:vMerge/>
          </w:tcPr>
          <w:p w14:paraId="75B38DB6" w14:textId="77777777" w:rsidR="0051010A" w:rsidRPr="00E2788A" w:rsidRDefault="0051010A" w:rsidP="00743627">
            <w:pPr>
              <w:pStyle w:val="TableText"/>
            </w:pPr>
          </w:p>
        </w:tc>
        <w:tc>
          <w:tcPr>
            <w:tcW w:w="741" w:type="pct"/>
            <w:tcBorders>
              <w:bottom w:val="nil"/>
            </w:tcBorders>
          </w:tcPr>
          <w:p w14:paraId="04506B9E" w14:textId="77777777" w:rsidR="0051010A" w:rsidRPr="00E2788A" w:rsidRDefault="0051010A" w:rsidP="00743627">
            <w:pPr>
              <w:pStyle w:val="TableText"/>
            </w:pPr>
            <w:r w:rsidRPr="00E2788A">
              <w:t>Tier 3</w:t>
            </w:r>
          </w:p>
        </w:tc>
        <w:tc>
          <w:tcPr>
            <w:tcW w:w="627" w:type="pct"/>
            <w:tcBorders>
              <w:bottom w:val="nil"/>
            </w:tcBorders>
          </w:tcPr>
          <w:p w14:paraId="1C3D407A" w14:textId="77777777" w:rsidR="0051010A" w:rsidRPr="00E2788A" w:rsidRDefault="0051010A" w:rsidP="00743627">
            <w:pPr>
              <w:pStyle w:val="TableText"/>
            </w:pPr>
            <w:r w:rsidRPr="00E2788A">
              <w:t>2006</w:t>
            </w:r>
          </w:p>
        </w:tc>
        <w:tc>
          <w:tcPr>
            <w:tcW w:w="469" w:type="pct"/>
            <w:tcBorders>
              <w:bottom w:val="nil"/>
            </w:tcBorders>
          </w:tcPr>
          <w:p w14:paraId="74DF4502" w14:textId="77777777" w:rsidR="0051010A" w:rsidRPr="00E2788A" w:rsidRDefault="0051010A" w:rsidP="00F82CA0">
            <w:pPr>
              <w:pStyle w:val="TableText"/>
              <w:jc w:val="right"/>
            </w:pPr>
            <w:r w:rsidRPr="00E2788A">
              <w:t>3.5</w:t>
            </w:r>
          </w:p>
        </w:tc>
        <w:tc>
          <w:tcPr>
            <w:tcW w:w="548" w:type="pct"/>
            <w:tcBorders>
              <w:bottom w:val="nil"/>
            </w:tcBorders>
          </w:tcPr>
          <w:p w14:paraId="346762E0" w14:textId="64744F31" w:rsidR="0051010A" w:rsidRPr="00E2788A" w:rsidRDefault="00F66742" w:rsidP="00F82CA0">
            <w:pPr>
              <w:pStyle w:val="TableText"/>
              <w:jc w:val="right"/>
            </w:pPr>
            <w:r>
              <w:t>–</w:t>
            </w:r>
          </w:p>
        </w:tc>
        <w:tc>
          <w:tcPr>
            <w:tcW w:w="706" w:type="pct"/>
            <w:tcBorders>
              <w:bottom w:val="nil"/>
            </w:tcBorders>
          </w:tcPr>
          <w:p w14:paraId="7D48FCAB" w14:textId="77777777" w:rsidR="0051010A" w:rsidRPr="00E2788A" w:rsidRDefault="0051010A" w:rsidP="00F82CA0">
            <w:pPr>
              <w:pStyle w:val="TableText"/>
              <w:jc w:val="right"/>
            </w:pPr>
            <w:r w:rsidRPr="00E2788A">
              <w:t>4.0</w:t>
            </w:r>
          </w:p>
        </w:tc>
        <w:tc>
          <w:tcPr>
            <w:tcW w:w="549" w:type="pct"/>
            <w:tcBorders>
              <w:bottom w:val="nil"/>
            </w:tcBorders>
          </w:tcPr>
          <w:p w14:paraId="74122F65" w14:textId="23FDE45C" w:rsidR="0051010A" w:rsidRPr="00E2788A" w:rsidRDefault="00F66742" w:rsidP="00F82CA0">
            <w:pPr>
              <w:pStyle w:val="TableText"/>
              <w:jc w:val="right"/>
            </w:pPr>
            <w:r>
              <w:t>–</w:t>
            </w:r>
          </w:p>
        </w:tc>
        <w:tc>
          <w:tcPr>
            <w:tcW w:w="617" w:type="pct"/>
            <w:tcBorders>
              <w:bottom w:val="nil"/>
            </w:tcBorders>
          </w:tcPr>
          <w:p w14:paraId="78B11885" w14:textId="4E1CC85E" w:rsidR="0051010A" w:rsidRPr="00327C50" w:rsidRDefault="00327C50" w:rsidP="00F82CA0">
            <w:pPr>
              <w:pStyle w:val="TableText"/>
              <w:jc w:val="right"/>
              <w:rPr>
                <w:rStyle w:val="Strong"/>
              </w:rPr>
            </w:pPr>
            <w:r w:rsidRPr="00327C50">
              <w:rPr>
                <w:rStyle w:val="Strong"/>
              </w:rPr>
              <w:t>a</w:t>
            </w:r>
          </w:p>
        </w:tc>
      </w:tr>
      <w:tr w:rsidR="0051010A" w:rsidRPr="00E2788A" w14:paraId="7C0B2CA0" w14:textId="77777777" w:rsidTr="0075520B">
        <w:tc>
          <w:tcPr>
            <w:tcW w:w="742" w:type="pct"/>
            <w:vMerge/>
            <w:tcBorders>
              <w:bottom w:val="single" w:sz="4" w:space="0" w:color="auto"/>
            </w:tcBorders>
          </w:tcPr>
          <w:p w14:paraId="40CDA97B" w14:textId="77777777" w:rsidR="0051010A" w:rsidRPr="00E2788A" w:rsidRDefault="0051010A" w:rsidP="00743627">
            <w:pPr>
              <w:pStyle w:val="TableText"/>
            </w:pPr>
          </w:p>
        </w:tc>
        <w:tc>
          <w:tcPr>
            <w:tcW w:w="741" w:type="pct"/>
            <w:tcBorders>
              <w:top w:val="nil"/>
              <w:bottom w:val="single" w:sz="4" w:space="0" w:color="auto"/>
            </w:tcBorders>
          </w:tcPr>
          <w:p w14:paraId="2CEBAB5A" w14:textId="77777777" w:rsidR="0051010A" w:rsidRPr="00E2788A" w:rsidRDefault="0051010A" w:rsidP="00743627">
            <w:pPr>
              <w:pStyle w:val="TableText"/>
            </w:pPr>
            <w:r w:rsidRPr="00E2788A">
              <w:t>Tier 4i/Tier 4f</w:t>
            </w:r>
          </w:p>
        </w:tc>
        <w:tc>
          <w:tcPr>
            <w:tcW w:w="627" w:type="pct"/>
            <w:tcBorders>
              <w:top w:val="nil"/>
              <w:bottom w:val="single" w:sz="4" w:space="0" w:color="auto"/>
            </w:tcBorders>
          </w:tcPr>
          <w:p w14:paraId="6819631A" w14:textId="77777777" w:rsidR="0051010A" w:rsidRPr="00E2788A" w:rsidRDefault="0051010A" w:rsidP="00743627">
            <w:pPr>
              <w:pStyle w:val="TableText"/>
            </w:pPr>
            <w:r w:rsidRPr="00E2788A">
              <w:t>2011/2014</w:t>
            </w:r>
          </w:p>
        </w:tc>
        <w:tc>
          <w:tcPr>
            <w:tcW w:w="469" w:type="pct"/>
            <w:tcBorders>
              <w:top w:val="nil"/>
              <w:bottom w:val="single" w:sz="4" w:space="0" w:color="auto"/>
            </w:tcBorders>
          </w:tcPr>
          <w:p w14:paraId="30FBBA42" w14:textId="77777777" w:rsidR="0051010A" w:rsidRPr="00E2788A" w:rsidRDefault="0051010A" w:rsidP="00F82CA0">
            <w:pPr>
              <w:pStyle w:val="TableText"/>
              <w:jc w:val="right"/>
            </w:pPr>
            <w:r w:rsidRPr="00E2788A">
              <w:t>3.5</w:t>
            </w:r>
          </w:p>
        </w:tc>
        <w:tc>
          <w:tcPr>
            <w:tcW w:w="548" w:type="pct"/>
            <w:tcBorders>
              <w:top w:val="nil"/>
              <w:bottom w:val="single" w:sz="4" w:space="0" w:color="auto"/>
            </w:tcBorders>
          </w:tcPr>
          <w:p w14:paraId="44253956" w14:textId="77777777" w:rsidR="0051010A" w:rsidRPr="00E2788A" w:rsidRDefault="0051010A" w:rsidP="00F82CA0">
            <w:pPr>
              <w:pStyle w:val="TableText"/>
              <w:jc w:val="right"/>
            </w:pPr>
            <w:r w:rsidRPr="00E2788A">
              <w:t>0.19</w:t>
            </w:r>
          </w:p>
        </w:tc>
        <w:tc>
          <w:tcPr>
            <w:tcW w:w="706" w:type="pct"/>
            <w:tcBorders>
              <w:top w:val="nil"/>
              <w:bottom w:val="single" w:sz="4" w:space="0" w:color="auto"/>
            </w:tcBorders>
          </w:tcPr>
          <w:p w14:paraId="63157D65" w14:textId="322FF5BC" w:rsidR="0051010A" w:rsidRPr="00E2788A" w:rsidRDefault="00F66742" w:rsidP="00F82CA0">
            <w:pPr>
              <w:pStyle w:val="TableText"/>
              <w:jc w:val="right"/>
            </w:pPr>
            <w:r>
              <w:t>–</w:t>
            </w:r>
          </w:p>
        </w:tc>
        <w:tc>
          <w:tcPr>
            <w:tcW w:w="549" w:type="pct"/>
            <w:tcBorders>
              <w:top w:val="nil"/>
              <w:bottom w:val="single" w:sz="4" w:space="0" w:color="auto"/>
            </w:tcBorders>
          </w:tcPr>
          <w:p w14:paraId="4A786DC6" w14:textId="2CD03D45" w:rsidR="0051010A" w:rsidRPr="00E2788A" w:rsidRDefault="0051010A" w:rsidP="00F82CA0">
            <w:pPr>
              <w:pStyle w:val="TableText"/>
              <w:jc w:val="right"/>
            </w:pPr>
            <w:r w:rsidRPr="00E2788A">
              <w:t>2.0</w:t>
            </w:r>
            <w:r w:rsidR="00F00AED" w:rsidRPr="00F00AED">
              <w:rPr>
                <w:rStyle w:val="Strong"/>
              </w:rPr>
              <w:t>b</w:t>
            </w:r>
            <w:r w:rsidRPr="00E2788A">
              <w:t>/0.40</w:t>
            </w:r>
          </w:p>
        </w:tc>
        <w:tc>
          <w:tcPr>
            <w:tcW w:w="617" w:type="pct"/>
            <w:tcBorders>
              <w:top w:val="nil"/>
              <w:bottom w:val="single" w:sz="4" w:space="0" w:color="auto"/>
            </w:tcBorders>
          </w:tcPr>
          <w:p w14:paraId="091815DB" w14:textId="77777777" w:rsidR="0051010A" w:rsidRPr="00E2788A" w:rsidRDefault="0051010A" w:rsidP="00F82CA0">
            <w:pPr>
              <w:pStyle w:val="TableText"/>
              <w:jc w:val="right"/>
            </w:pPr>
            <w:r w:rsidRPr="00E2788A">
              <w:t>0.02/0.02</w:t>
            </w:r>
          </w:p>
        </w:tc>
      </w:tr>
      <w:tr w:rsidR="0051010A" w:rsidRPr="00E2788A" w14:paraId="710BB253" w14:textId="77777777" w:rsidTr="0075520B">
        <w:tc>
          <w:tcPr>
            <w:tcW w:w="742" w:type="pct"/>
            <w:vMerge w:val="restart"/>
            <w:tcBorders>
              <w:top w:val="single" w:sz="4" w:space="0" w:color="auto"/>
            </w:tcBorders>
          </w:tcPr>
          <w:p w14:paraId="53BBED8F" w14:textId="77777777" w:rsidR="0051010A" w:rsidRPr="00E2788A" w:rsidRDefault="0051010A" w:rsidP="00743627">
            <w:pPr>
              <w:pStyle w:val="TableText"/>
            </w:pPr>
            <w:r w:rsidRPr="00E2788A">
              <w:t>225 ≤ kW &lt; 450</w:t>
            </w:r>
          </w:p>
        </w:tc>
        <w:tc>
          <w:tcPr>
            <w:tcW w:w="741" w:type="pct"/>
            <w:tcBorders>
              <w:top w:val="single" w:sz="4" w:space="0" w:color="auto"/>
            </w:tcBorders>
          </w:tcPr>
          <w:p w14:paraId="6B957577" w14:textId="77777777" w:rsidR="0051010A" w:rsidRPr="00E2788A" w:rsidRDefault="0051010A" w:rsidP="00743627">
            <w:pPr>
              <w:pStyle w:val="TableText"/>
            </w:pPr>
            <w:r w:rsidRPr="00E2788A">
              <w:t>Tier 1</w:t>
            </w:r>
          </w:p>
        </w:tc>
        <w:tc>
          <w:tcPr>
            <w:tcW w:w="627" w:type="pct"/>
            <w:tcBorders>
              <w:top w:val="single" w:sz="4" w:space="0" w:color="auto"/>
            </w:tcBorders>
          </w:tcPr>
          <w:p w14:paraId="5FC8535C" w14:textId="77777777" w:rsidR="0051010A" w:rsidRPr="00E2788A" w:rsidRDefault="0051010A" w:rsidP="00743627">
            <w:pPr>
              <w:pStyle w:val="TableText"/>
            </w:pPr>
            <w:r w:rsidRPr="00E2788A">
              <w:t>1996</w:t>
            </w:r>
          </w:p>
        </w:tc>
        <w:tc>
          <w:tcPr>
            <w:tcW w:w="469" w:type="pct"/>
            <w:tcBorders>
              <w:top w:val="single" w:sz="4" w:space="0" w:color="auto"/>
            </w:tcBorders>
          </w:tcPr>
          <w:p w14:paraId="2332D773" w14:textId="77777777" w:rsidR="0051010A" w:rsidRPr="00E2788A" w:rsidRDefault="0051010A" w:rsidP="00F82CA0">
            <w:pPr>
              <w:pStyle w:val="TableText"/>
              <w:jc w:val="right"/>
            </w:pPr>
            <w:r w:rsidRPr="00E2788A">
              <w:t>11.4</w:t>
            </w:r>
          </w:p>
        </w:tc>
        <w:tc>
          <w:tcPr>
            <w:tcW w:w="548" w:type="pct"/>
            <w:tcBorders>
              <w:top w:val="single" w:sz="4" w:space="0" w:color="auto"/>
            </w:tcBorders>
          </w:tcPr>
          <w:p w14:paraId="7080273F" w14:textId="77777777" w:rsidR="0051010A" w:rsidRPr="00E2788A" w:rsidRDefault="0051010A" w:rsidP="00F82CA0">
            <w:pPr>
              <w:pStyle w:val="TableText"/>
              <w:jc w:val="right"/>
            </w:pPr>
            <w:r w:rsidRPr="00E2788A">
              <w:t>1.3</w:t>
            </w:r>
          </w:p>
        </w:tc>
        <w:tc>
          <w:tcPr>
            <w:tcW w:w="706" w:type="pct"/>
            <w:tcBorders>
              <w:top w:val="single" w:sz="4" w:space="0" w:color="auto"/>
            </w:tcBorders>
          </w:tcPr>
          <w:p w14:paraId="7F6E9F3C" w14:textId="2AE6F592" w:rsidR="0051010A" w:rsidRPr="00E2788A" w:rsidRDefault="00F66742" w:rsidP="00F82CA0">
            <w:pPr>
              <w:pStyle w:val="TableText"/>
              <w:jc w:val="right"/>
            </w:pPr>
            <w:r>
              <w:t>–</w:t>
            </w:r>
          </w:p>
        </w:tc>
        <w:tc>
          <w:tcPr>
            <w:tcW w:w="549" w:type="pct"/>
            <w:tcBorders>
              <w:top w:val="single" w:sz="4" w:space="0" w:color="auto"/>
            </w:tcBorders>
          </w:tcPr>
          <w:p w14:paraId="51DFAAAB" w14:textId="77777777" w:rsidR="0051010A" w:rsidRPr="00E2788A" w:rsidRDefault="0051010A" w:rsidP="00F82CA0">
            <w:pPr>
              <w:pStyle w:val="TableText"/>
              <w:jc w:val="right"/>
            </w:pPr>
            <w:r w:rsidRPr="00E2788A">
              <w:t>9.2</w:t>
            </w:r>
          </w:p>
        </w:tc>
        <w:tc>
          <w:tcPr>
            <w:tcW w:w="617" w:type="pct"/>
            <w:tcBorders>
              <w:top w:val="single" w:sz="4" w:space="0" w:color="auto"/>
            </w:tcBorders>
          </w:tcPr>
          <w:p w14:paraId="0CA3554A" w14:textId="77777777" w:rsidR="0051010A" w:rsidRPr="00E2788A" w:rsidRDefault="0051010A" w:rsidP="00F82CA0">
            <w:pPr>
              <w:pStyle w:val="TableText"/>
              <w:jc w:val="right"/>
            </w:pPr>
            <w:r w:rsidRPr="00E2788A">
              <w:t>0.54</w:t>
            </w:r>
          </w:p>
        </w:tc>
      </w:tr>
      <w:tr w:rsidR="0051010A" w:rsidRPr="00E2788A" w14:paraId="7E6C95BB" w14:textId="77777777" w:rsidTr="0075520B">
        <w:tc>
          <w:tcPr>
            <w:tcW w:w="742" w:type="pct"/>
            <w:vMerge/>
          </w:tcPr>
          <w:p w14:paraId="68C50E10" w14:textId="77777777" w:rsidR="0051010A" w:rsidRPr="00E2788A" w:rsidRDefault="0051010A" w:rsidP="00743627">
            <w:pPr>
              <w:pStyle w:val="TableText"/>
            </w:pPr>
          </w:p>
        </w:tc>
        <w:tc>
          <w:tcPr>
            <w:tcW w:w="741" w:type="pct"/>
          </w:tcPr>
          <w:p w14:paraId="6AB97C03" w14:textId="77777777" w:rsidR="0051010A" w:rsidRPr="00E2788A" w:rsidRDefault="0051010A" w:rsidP="00743627">
            <w:pPr>
              <w:pStyle w:val="TableText"/>
            </w:pPr>
            <w:r w:rsidRPr="00E2788A">
              <w:t>Tier 2</w:t>
            </w:r>
          </w:p>
        </w:tc>
        <w:tc>
          <w:tcPr>
            <w:tcW w:w="627" w:type="pct"/>
          </w:tcPr>
          <w:p w14:paraId="68D7771F" w14:textId="77777777" w:rsidR="0051010A" w:rsidRPr="00E2788A" w:rsidRDefault="0051010A" w:rsidP="00743627">
            <w:pPr>
              <w:pStyle w:val="TableText"/>
            </w:pPr>
            <w:r w:rsidRPr="00E2788A">
              <w:t>2001</w:t>
            </w:r>
          </w:p>
        </w:tc>
        <w:tc>
          <w:tcPr>
            <w:tcW w:w="469" w:type="pct"/>
          </w:tcPr>
          <w:p w14:paraId="2D01E004" w14:textId="77777777" w:rsidR="0051010A" w:rsidRPr="00E2788A" w:rsidRDefault="0051010A" w:rsidP="00F82CA0">
            <w:pPr>
              <w:pStyle w:val="TableText"/>
              <w:jc w:val="right"/>
            </w:pPr>
            <w:r w:rsidRPr="00E2788A">
              <w:t>3.5</w:t>
            </w:r>
          </w:p>
        </w:tc>
        <w:tc>
          <w:tcPr>
            <w:tcW w:w="548" w:type="pct"/>
          </w:tcPr>
          <w:p w14:paraId="3BFBC7AE" w14:textId="16C5B048" w:rsidR="0051010A" w:rsidRPr="00E2788A" w:rsidRDefault="00F66742" w:rsidP="00F82CA0">
            <w:pPr>
              <w:pStyle w:val="TableText"/>
              <w:jc w:val="right"/>
            </w:pPr>
            <w:r>
              <w:t>–</w:t>
            </w:r>
          </w:p>
        </w:tc>
        <w:tc>
          <w:tcPr>
            <w:tcW w:w="706" w:type="pct"/>
          </w:tcPr>
          <w:p w14:paraId="452829F7" w14:textId="77777777" w:rsidR="0051010A" w:rsidRPr="00E2788A" w:rsidRDefault="0051010A" w:rsidP="00F82CA0">
            <w:pPr>
              <w:pStyle w:val="TableText"/>
              <w:jc w:val="right"/>
            </w:pPr>
            <w:r w:rsidRPr="00E2788A">
              <w:t>6.4</w:t>
            </w:r>
          </w:p>
        </w:tc>
        <w:tc>
          <w:tcPr>
            <w:tcW w:w="549" w:type="pct"/>
          </w:tcPr>
          <w:p w14:paraId="30DEB4B6" w14:textId="15AD1725" w:rsidR="0051010A" w:rsidRPr="00E2788A" w:rsidRDefault="00F66742" w:rsidP="00F82CA0">
            <w:pPr>
              <w:pStyle w:val="TableText"/>
              <w:jc w:val="right"/>
            </w:pPr>
            <w:r>
              <w:t>–</w:t>
            </w:r>
          </w:p>
        </w:tc>
        <w:tc>
          <w:tcPr>
            <w:tcW w:w="617" w:type="pct"/>
          </w:tcPr>
          <w:p w14:paraId="6AC764A2" w14:textId="77777777" w:rsidR="0051010A" w:rsidRPr="00E2788A" w:rsidRDefault="0051010A" w:rsidP="00F82CA0">
            <w:pPr>
              <w:pStyle w:val="TableText"/>
              <w:jc w:val="right"/>
            </w:pPr>
            <w:r w:rsidRPr="00E2788A">
              <w:t>0.2</w:t>
            </w:r>
          </w:p>
        </w:tc>
      </w:tr>
      <w:tr w:rsidR="0051010A" w:rsidRPr="00E2788A" w14:paraId="506A51C1" w14:textId="77777777" w:rsidTr="0075520B">
        <w:tc>
          <w:tcPr>
            <w:tcW w:w="742" w:type="pct"/>
            <w:vMerge/>
          </w:tcPr>
          <w:p w14:paraId="26B922F1" w14:textId="77777777" w:rsidR="0051010A" w:rsidRPr="00E2788A" w:rsidRDefault="0051010A" w:rsidP="00743627">
            <w:pPr>
              <w:pStyle w:val="TableText"/>
            </w:pPr>
          </w:p>
        </w:tc>
        <w:tc>
          <w:tcPr>
            <w:tcW w:w="741" w:type="pct"/>
            <w:tcBorders>
              <w:bottom w:val="nil"/>
            </w:tcBorders>
          </w:tcPr>
          <w:p w14:paraId="277E42B5" w14:textId="77777777" w:rsidR="0051010A" w:rsidRPr="00E2788A" w:rsidRDefault="0051010A" w:rsidP="00743627">
            <w:pPr>
              <w:pStyle w:val="TableText"/>
            </w:pPr>
            <w:r w:rsidRPr="00E2788A">
              <w:t>Tier 3</w:t>
            </w:r>
          </w:p>
        </w:tc>
        <w:tc>
          <w:tcPr>
            <w:tcW w:w="627" w:type="pct"/>
            <w:tcBorders>
              <w:bottom w:val="nil"/>
            </w:tcBorders>
          </w:tcPr>
          <w:p w14:paraId="31D1D459" w14:textId="77777777" w:rsidR="0051010A" w:rsidRPr="00E2788A" w:rsidRDefault="0051010A" w:rsidP="00743627">
            <w:pPr>
              <w:pStyle w:val="TableText"/>
            </w:pPr>
            <w:r w:rsidRPr="00E2788A">
              <w:t>2006</w:t>
            </w:r>
          </w:p>
        </w:tc>
        <w:tc>
          <w:tcPr>
            <w:tcW w:w="469" w:type="pct"/>
            <w:tcBorders>
              <w:bottom w:val="nil"/>
            </w:tcBorders>
          </w:tcPr>
          <w:p w14:paraId="59CC35D1" w14:textId="77777777" w:rsidR="0051010A" w:rsidRPr="00E2788A" w:rsidRDefault="0051010A" w:rsidP="00F82CA0">
            <w:pPr>
              <w:pStyle w:val="TableText"/>
              <w:jc w:val="right"/>
            </w:pPr>
            <w:r w:rsidRPr="00E2788A">
              <w:t>3.5</w:t>
            </w:r>
          </w:p>
        </w:tc>
        <w:tc>
          <w:tcPr>
            <w:tcW w:w="548" w:type="pct"/>
            <w:tcBorders>
              <w:bottom w:val="nil"/>
            </w:tcBorders>
          </w:tcPr>
          <w:p w14:paraId="0A398AD1" w14:textId="1E53D922" w:rsidR="0051010A" w:rsidRPr="00E2788A" w:rsidRDefault="00F66742" w:rsidP="00F82CA0">
            <w:pPr>
              <w:pStyle w:val="TableText"/>
              <w:jc w:val="right"/>
            </w:pPr>
            <w:r>
              <w:t>–</w:t>
            </w:r>
          </w:p>
        </w:tc>
        <w:tc>
          <w:tcPr>
            <w:tcW w:w="706" w:type="pct"/>
            <w:tcBorders>
              <w:bottom w:val="nil"/>
            </w:tcBorders>
          </w:tcPr>
          <w:p w14:paraId="5C8F1904" w14:textId="77777777" w:rsidR="0051010A" w:rsidRPr="00E2788A" w:rsidRDefault="0051010A" w:rsidP="00F82CA0">
            <w:pPr>
              <w:pStyle w:val="TableText"/>
              <w:jc w:val="right"/>
            </w:pPr>
            <w:r w:rsidRPr="00E2788A">
              <w:t>4.0</w:t>
            </w:r>
          </w:p>
        </w:tc>
        <w:tc>
          <w:tcPr>
            <w:tcW w:w="549" w:type="pct"/>
            <w:tcBorders>
              <w:bottom w:val="nil"/>
            </w:tcBorders>
          </w:tcPr>
          <w:p w14:paraId="78BF84EB" w14:textId="3245BCE5" w:rsidR="0051010A" w:rsidRPr="00E2788A" w:rsidRDefault="00F66742" w:rsidP="00F82CA0">
            <w:pPr>
              <w:pStyle w:val="TableText"/>
              <w:jc w:val="right"/>
            </w:pPr>
            <w:r>
              <w:t>–</w:t>
            </w:r>
          </w:p>
        </w:tc>
        <w:tc>
          <w:tcPr>
            <w:tcW w:w="617" w:type="pct"/>
            <w:tcBorders>
              <w:bottom w:val="nil"/>
            </w:tcBorders>
          </w:tcPr>
          <w:p w14:paraId="665B1CBC" w14:textId="51E798DF" w:rsidR="0051010A" w:rsidRPr="00E2788A" w:rsidRDefault="00C45DAA" w:rsidP="00F82CA0">
            <w:pPr>
              <w:pStyle w:val="TableText"/>
              <w:jc w:val="right"/>
            </w:pPr>
            <w:r w:rsidRPr="00327C50">
              <w:rPr>
                <w:rStyle w:val="Strong"/>
              </w:rPr>
              <w:t>a</w:t>
            </w:r>
          </w:p>
        </w:tc>
      </w:tr>
      <w:tr w:rsidR="0051010A" w:rsidRPr="00E2788A" w14:paraId="28D1A864" w14:textId="77777777" w:rsidTr="0075520B">
        <w:tc>
          <w:tcPr>
            <w:tcW w:w="742" w:type="pct"/>
            <w:vMerge/>
            <w:tcBorders>
              <w:bottom w:val="single" w:sz="4" w:space="0" w:color="auto"/>
            </w:tcBorders>
          </w:tcPr>
          <w:p w14:paraId="19CF43D0" w14:textId="77777777" w:rsidR="0051010A" w:rsidRPr="00E2788A" w:rsidRDefault="0051010A" w:rsidP="00743627">
            <w:pPr>
              <w:pStyle w:val="TableText"/>
            </w:pPr>
          </w:p>
        </w:tc>
        <w:tc>
          <w:tcPr>
            <w:tcW w:w="741" w:type="pct"/>
            <w:tcBorders>
              <w:top w:val="nil"/>
              <w:bottom w:val="single" w:sz="4" w:space="0" w:color="auto"/>
            </w:tcBorders>
          </w:tcPr>
          <w:p w14:paraId="3F694F37" w14:textId="77777777" w:rsidR="0051010A" w:rsidRPr="00E2788A" w:rsidRDefault="0051010A" w:rsidP="00743627">
            <w:pPr>
              <w:pStyle w:val="TableText"/>
            </w:pPr>
            <w:r w:rsidRPr="00E2788A">
              <w:t>Tier 4i/Tier 4f</w:t>
            </w:r>
          </w:p>
        </w:tc>
        <w:tc>
          <w:tcPr>
            <w:tcW w:w="627" w:type="pct"/>
            <w:tcBorders>
              <w:top w:val="nil"/>
              <w:bottom w:val="single" w:sz="4" w:space="0" w:color="auto"/>
            </w:tcBorders>
          </w:tcPr>
          <w:p w14:paraId="4610C3DA" w14:textId="77777777" w:rsidR="0051010A" w:rsidRPr="00E2788A" w:rsidRDefault="0051010A" w:rsidP="00743627">
            <w:pPr>
              <w:pStyle w:val="TableText"/>
            </w:pPr>
            <w:r w:rsidRPr="00E2788A">
              <w:t>2011/2014</w:t>
            </w:r>
          </w:p>
        </w:tc>
        <w:tc>
          <w:tcPr>
            <w:tcW w:w="469" w:type="pct"/>
            <w:tcBorders>
              <w:top w:val="nil"/>
              <w:bottom w:val="single" w:sz="4" w:space="0" w:color="auto"/>
            </w:tcBorders>
          </w:tcPr>
          <w:p w14:paraId="0C3657FE" w14:textId="77777777" w:rsidR="0051010A" w:rsidRPr="00E2788A" w:rsidRDefault="0051010A" w:rsidP="00F82CA0">
            <w:pPr>
              <w:pStyle w:val="TableText"/>
              <w:jc w:val="right"/>
            </w:pPr>
            <w:r w:rsidRPr="00E2788A">
              <w:t>3.5</w:t>
            </w:r>
          </w:p>
        </w:tc>
        <w:tc>
          <w:tcPr>
            <w:tcW w:w="548" w:type="pct"/>
            <w:tcBorders>
              <w:top w:val="nil"/>
              <w:bottom w:val="single" w:sz="4" w:space="0" w:color="auto"/>
            </w:tcBorders>
          </w:tcPr>
          <w:p w14:paraId="1BDA5DED" w14:textId="77777777" w:rsidR="0051010A" w:rsidRPr="00E2788A" w:rsidRDefault="0051010A" w:rsidP="00F82CA0">
            <w:pPr>
              <w:pStyle w:val="TableText"/>
              <w:jc w:val="right"/>
            </w:pPr>
            <w:r w:rsidRPr="00E2788A">
              <w:t>0.19</w:t>
            </w:r>
          </w:p>
        </w:tc>
        <w:tc>
          <w:tcPr>
            <w:tcW w:w="706" w:type="pct"/>
            <w:tcBorders>
              <w:top w:val="nil"/>
              <w:bottom w:val="single" w:sz="4" w:space="0" w:color="auto"/>
            </w:tcBorders>
          </w:tcPr>
          <w:p w14:paraId="23521ED9" w14:textId="34F3F602" w:rsidR="0051010A" w:rsidRPr="00E2788A" w:rsidRDefault="00F66742" w:rsidP="00F82CA0">
            <w:pPr>
              <w:pStyle w:val="TableText"/>
              <w:jc w:val="right"/>
            </w:pPr>
            <w:r>
              <w:t>–</w:t>
            </w:r>
          </w:p>
        </w:tc>
        <w:tc>
          <w:tcPr>
            <w:tcW w:w="549" w:type="pct"/>
            <w:tcBorders>
              <w:top w:val="nil"/>
              <w:bottom w:val="single" w:sz="4" w:space="0" w:color="auto"/>
            </w:tcBorders>
          </w:tcPr>
          <w:p w14:paraId="207624D4" w14:textId="5A73B844" w:rsidR="0051010A" w:rsidRPr="00E2788A" w:rsidRDefault="0051010A" w:rsidP="00F82CA0">
            <w:pPr>
              <w:pStyle w:val="TableText"/>
              <w:jc w:val="right"/>
            </w:pPr>
            <w:r w:rsidRPr="00E2788A">
              <w:t>2.0</w:t>
            </w:r>
            <w:r w:rsidR="00F00AED" w:rsidRPr="00F00AED">
              <w:rPr>
                <w:rStyle w:val="Strong"/>
              </w:rPr>
              <w:t>b</w:t>
            </w:r>
            <w:r w:rsidRPr="00E2788A">
              <w:t>/0.40</w:t>
            </w:r>
          </w:p>
        </w:tc>
        <w:tc>
          <w:tcPr>
            <w:tcW w:w="617" w:type="pct"/>
            <w:tcBorders>
              <w:top w:val="nil"/>
              <w:bottom w:val="single" w:sz="4" w:space="0" w:color="auto"/>
            </w:tcBorders>
          </w:tcPr>
          <w:p w14:paraId="6F6FA31E" w14:textId="77777777" w:rsidR="0051010A" w:rsidRPr="00E2788A" w:rsidRDefault="0051010A" w:rsidP="00F82CA0">
            <w:pPr>
              <w:pStyle w:val="TableText"/>
              <w:jc w:val="right"/>
            </w:pPr>
            <w:r w:rsidRPr="00E2788A">
              <w:t>0.02/0.02</w:t>
            </w:r>
          </w:p>
        </w:tc>
      </w:tr>
      <w:tr w:rsidR="0051010A" w:rsidRPr="00E2788A" w14:paraId="2F22845F" w14:textId="77777777" w:rsidTr="0075520B">
        <w:tc>
          <w:tcPr>
            <w:tcW w:w="742" w:type="pct"/>
            <w:vMerge w:val="restart"/>
            <w:tcBorders>
              <w:top w:val="single" w:sz="4" w:space="0" w:color="auto"/>
            </w:tcBorders>
          </w:tcPr>
          <w:p w14:paraId="0E35CCCA" w14:textId="77777777" w:rsidR="0051010A" w:rsidRPr="00E2788A" w:rsidRDefault="0051010A" w:rsidP="00743627">
            <w:pPr>
              <w:pStyle w:val="TableText"/>
            </w:pPr>
            <w:r w:rsidRPr="00E2788A">
              <w:lastRenderedPageBreak/>
              <w:t>450 ≤ kW &lt; 560</w:t>
            </w:r>
          </w:p>
        </w:tc>
        <w:tc>
          <w:tcPr>
            <w:tcW w:w="741" w:type="pct"/>
            <w:tcBorders>
              <w:top w:val="single" w:sz="4" w:space="0" w:color="auto"/>
            </w:tcBorders>
          </w:tcPr>
          <w:p w14:paraId="40FE074C" w14:textId="77777777" w:rsidR="0051010A" w:rsidRPr="00E2788A" w:rsidRDefault="0051010A" w:rsidP="00743627">
            <w:pPr>
              <w:pStyle w:val="TableText"/>
            </w:pPr>
            <w:r w:rsidRPr="00E2788A">
              <w:t>Tier 1</w:t>
            </w:r>
          </w:p>
        </w:tc>
        <w:tc>
          <w:tcPr>
            <w:tcW w:w="627" w:type="pct"/>
            <w:tcBorders>
              <w:top w:val="single" w:sz="4" w:space="0" w:color="auto"/>
            </w:tcBorders>
          </w:tcPr>
          <w:p w14:paraId="6C6AC500" w14:textId="77777777" w:rsidR="0051010A" w:rsidRPr="00E2788A" w:rsidRDefault="0051010A" w:rsidP="00743627">
            <w:pPr>
              <w:pStyle w:val="TableText"/>
            </w:pPr>
            <w:r w:rsidRPr="00E2788A">
              <w:t>1996</w:t>
            </w:r>
          </w:p>
        </w:tc>
        <w:tc>
          <w:tcPr>
            <w:tcW w:w="469" w:type="pct"/>
            <w:tcBorders>
              <w:top w:val="single" w:sz="4" w:space="0" w:color="auto"/>
            </w:tcBorders>
          </w:tcPr>
          <w:p w14:paraId="57147B66" w14:textId="77777777" w:rsidR="0051010A" w:rsidRPr="00E2788A" w:rsidRDefault="0051010A" w:rsidP="00F82CA0">
            <w:pPr>
              <w:pStyle w:val="TableText"/>
              <w:jc w:val="right"/>
            </w:pPr>
            <w:r w:rsidRPr="00E2788A">
              <w:t>11.4</w:t>
            </w:r>
          </w:p>
        </w:tc>
        <w:tc>
          <w:tcPr>
            <w:tcW w:w="548" w:type="pct"/>
            <w:tcBorders>
              <w:top w:val="single" w:sz="4" w:space="0" w:color="auto"/>
            </w:tcBorders>
          </w:tcPr>
          <w:p w14:paraId="47CECF32" w14:textId="77777777" w:rsidR="0051010A" w:rsidRPr="00E2788A" w:rsidRDefault="0051010A" w:rsidP="00F82CA0">
            <w:pPr>
              <w:pStyle w:val="TableText"/>
              <w:jc w:val="right"/>
            </w:pPr>
            <w:r w:rsidRPr="00E2788A">
              <w:t>1.3</w:t>
            </w:r>
          </w:p>
        </w:tc>
        <w:tc>
          <w:tcPr>
            <w:tcW w:w="706" w:type="pct"/>
            <w:tcBorders>
              <w:top w:val="single" w:sz="4" w:space="0" w:color="auto"/>
            </w:tcBorders>
          </w:tcPr>
          <w:p w14:paraId="63EF9484" w14:textId="1CF0FDC3" w:rsidR="0051010A" w:rsidRPr="00E2788A" w:rsidRDefault="00F66742" w:rsidP="00F82CA0">
            <w:pPr>
              <w:pStyle w:val="TableText"/>
              <w:jc w:val="right"/>
            </w:pPr>
            <w:r>
              <w:t>–</w:t>
            </w:r>
          </w:p>
        </w:tc>
        <w:tc>
          <w:tcPr>
            <w:tcW w:w="549" w:type="pct"/>
            <w:tcBorders>
              <w:top w:val="single" w:sz="4" w:space="0" w:color="auto"/>
            </w:tcBorders>
          </w:tcPr>
          <w:p w14:paraId="7921869C" w14:textId="77777777" w:rsidR="0051010A" w:rsidRPr="00E2788A" w:rsidRDefault="0051010A" w:rsidP="00F82CA0">
            <w:pPr>
              <w:pStyle w:val="TableText"/>
              <w:jc w:val="right"/>
            </w:pPr>
            <w:r w:rsidRPr="00E2788A">
              <w:t>9.2</w:t>
            </w:r>
          </w:p>
        </w:tc>
        <w:tc>
          <w:tcPr>
            <w:tcW w:w="617" w:type="pct"/>
            <w:tcBorders>
              <w:top w:val="single" w:sz="4" w:space="0" w:color="auto"/>
            </w:tcBorders>
          </w:tcPr>
          <w:p w14:paraId="1635F5C7" w14:textId="77777777" w:rsidR="0051010A" w:rsidRPr="00E2788A" w:rsidRDefault="0051010A" w:rsidP="00F82CA0">
            <w:pPr>
              <w:pStyle w:val="TableText"/>
              <w:jc w:val="right"/>
            </w:pPr>
            <w:r w:rsidRPr="00E2788A">
              <w:t>0.54</w:t>
            </w:r>
          </w:p>
        </w:tc>
      </w:tr>
      <w:tr w:rsidR="0051010A" w:rsidRPr="00E2788A" w14:paraId="6005D57D" w14:textId="77777777" w:rsidTr="0075520B">
        <w:tc>
          <w:tcPr>
            <w:tcW w:w="742" w:type="pct"/>
            <w:vMerge/>
          </w:tcPr>
          <w:p w14:paraId="5A3D0960" w14:textId="77777777" w:rsidR="0051010A" w:rsidRPr="00E2788A" w:rsidRDefault="0051010A" w:rsidP="00743627">
            <w:pPr>
              <w:pStyle w:val="TableText"/>
            </w:pPr>
          </w:p>
        </w:tc>
        <w:tc>
          <w:tcPr>
            <w:tcW w:w="741" w:type="pct"/>
          </w:tcPr>
          <w:p w14:paraId="729D920C" w14:textId="77777777" w:rsidR="0051010A" w:rsidRPr="00E2788A" w:rsidRDefault="0051010A" w:rsidP="00743627">
            <w:pPr>
              <w:pStyle w:val="TableText"/>
            </w:pPr>
            <w:r w:rsidRPr="00E2788A">
              <w:t>Tier 2</w:t>
            </w:r>
          </w:p>
        </w:tc>
        <w:tc>
          <w:tcPr>
            <w:tcW w:w="627" w:type="pct"/>
          </w:tcPr>
          <w:p w14:paraId="21F8BEF6" w14:textId="77777777" w:rsidR="0051010A" w:rsidRPr="00E2788A" w:rsidRDefault="0051010A" w:rsidP="00743627">
            <w:pPr>
              <w:pStyle w:val="TableText"/>
            </w:pPr>
            <w:r w:rsidRPr="00E2788A">
              <w:t>2002</w:t>
            </w:r>
          </w:p>
        </w:tc>
        <w:tc>
          <w:tcPr>
            <w:tcW w:w="469" w:type="pct"/>
          </w:tcPr>
          <w:p w14:paraId="5EC2ACB8" w14:textId="77777777" w:rsidR="0051010A" w:rsidRPr="00E2788A" w:rsidRDefault="0051010A" w:rsidP="00F82CA0">
            <w:pPr>
              <w:pStyle w:val="TableText"/>
              <w:jc w:val="right"/>
            </w:pPr>
            <w:r w:rsidRPr="00E2788A">
              <w:t>3.5</w:t>
            </w:r>
          </w:p>
        </w:tc>
        <w:tc>
          <w:tcPr>
            <w:tcW w:w="548" w:type="pct"/>
          </w:tcPr>
          <w:p w14:paraId="6D690860" w14:textId="1E2F5E7D" w:rsidR="0051010A" w:rsidRPr="00E2788A" w:rsidRDefault="00F66742" w:rsidP="00F82CA0">
            <w:pPr>
              <w:pStyle w:val="TableText"/>
              <w:jc w:val="right"/>
            </w:pPr>
            <w:r>
              <w:t>–</w:t>
            </w:r>
          </w:p>
        </w:tc>
        <w:tc>
          <w:tcPr>
            <w:tcW w:w="706" w:type="pct"/>
          </w:tcPr>
          <w:p w14:paraId="71733C8A" w14:textId="77777777" w:rsidR="0051010A" w:rsidRPr="00E2788A" w:rsidRDefault="0051010A" w:rsidP="00F82CA0">
            <w:pPr>
              <w:pStyle w:val="TableText"/>
              <w:jc w:val="right"/>
            </w:pPr>
            <w:r w:rsidRPr="00E2788A">
              <w:t>6.4</w:t>
            </w:r>
          </w:p>
        </w:tc>
        <w:tc>
          <w:tcPr>
            <w:tcW w:w="549" w:type="pct"/>
          </w:tcPr>
          <w:p w14:paraId="6CE66919" w14:textId="7219655E" w:rsidR="0051010A" w:rsidRPr="00E2788A" w:rsidRDefault="00F66742" w:rsidP="00F82CA0">
            <w:pPr>
              <w:pStyle w:val="TableText"/>
              <w:jc w:val="right"/>
            </w:pPr>
            <w:r>
              <w:t>–</w:t>
            </w:r>
          </w:p>
        </w:tc>
        <w:tc>
          <w:tcPr>
            <w:tcW w:w="617" w:type="pct"/>
          </w:tcPr>
          <w:p w14:paraId="5E5AE4BB" w14:textId="77777777" w:rsidR="0051010A" w:rsidRPr="00E2788A" w:rsidRDefault="0051010A" w:rsidP="00F82CA0">
            <w:pPr>
              <w:pStyle w:val="TableText"/>
              <w:jc w:val="right"/>
            </w:pPr>
            <w:r w:rsidRPr="00E2788A">
              <w:t>0.2</w:t>
            </w:r>
          </w:p>
        </w:tc>
      </w:tr>
      <w:tr w:rsidR="0051010A" w:rsidRPr="00E2788A" w14:paraId="26A4F1D0" w14:textId="77777777" w:rsidTr="0075520B">
        <w:tc>
          <w:tcPr>
            <w:tcW w:w="742" w:type="pct"/>
            <w:vMerge/>
          </w:tcPr>
          <w:p w14:paraId="5ADC0A67" w14:textId="77777777" w:rsidR="0051010A" w:rsidRPr="00E2788A" w:rsidRDefault="0051010A" w:rsidP="00743627">
            <w:pPr>
              <w:pStyle w:val="TableText"/>
            </w:pPr>
          </w:p>
        </w:tc>
        <w:tc>
          <w:tcPr>
            <w:tcW w:w="741" w:type="pct"/>
            <w:tcBorders>
              <w:bottom w:val="nil"/>
            </w:tcBorders>
          </w:tcPr>
          <w:p w14:paraId="46880422" w14:textId="77777777" w:rsidR="0051010A" w:rsidRPr="00E2788A" w:rsidRDefault="0051010A" w:rsidP="00743627">
            <w:pPr>
              <w:pStyle w:val="TableText"/>
            </w:pPr>
            <w:r w:rsidRPr="00E2788A">
              <w:t>Tier 3</w:t>
            </w:r>
          </w:p>
        </w:tc>
        <w:tc>
          <w:tcPr>
            <w:tcW w:w="627" w:type="pct"/>
            <w:tcBorders>
              <w:bottom w:val="nil"/>
            </w:tcBorders>
          </w:tcPr>
          <w:p w14:paraId="6B1369B6" w14:textId="77777777" w:rsidR="0051010A" w:rsidRPr="00E2788A" w:rsidRDefault="0051010A" w:rsidP="00743627">
            <w:pPr>
              <w:pStyle w:val="TableText"/>
            </w:pPr>
            <w:r w:rsidRPr="00E2788A">
              <w:t>2006</w:t>
            </w:r>
          </w:p>
        </w:tc>
        <w:tc>
          <w:tcPr>
            <w:tcW w:w="469" w:type="pct"/>
            <w:tcBorders>
              <w:bottom w:val="nil"/>
            </w:tcBorders>
          </w:tcPr>
          <w:p w14:paraId="62CB5164" w14:textId="77777777" w:rsidR="0051010A" w:rsidRPr="00E2788A" w:rsidRDefault="0051010A" w:rsidP="00F82CA0">
            <w:pPr>
              <w:pStyle w:val="TableText"/>
              <w:jc w:val="right"/>
            </w:pPr>
            <w:r w:rsidRPr="00E2788A">
              <w:t>3.5</w:t>
            </w:r>
          </w:p>
        </w:tc>
        <w:tc>
          <w:tcPr>
            <w:tcW w:w="548" w:type="pct"/>
            <w:tcBorders>
              <w:bottom w:val="nil"/>
            </w:tcBorders>
          </w:tcPr>
          <w:p w14:paraId="2CFE6749" w14:textId="2AA24ED7" w:rsidR="0051010A" w:rsidRPr="00E2788A" w:rsidRDefault="00F66742" w:rsidP="00F82CA0">
            <w:pPr>
              <w:pStyle w:val="TableText"/>
              <w:jc w:val="right"/>
            </w:pPr>
            <w:r>
              <w:t>–</w:t>
            </w:r>
          </w:p>
        </w:tc>
        <w:tc>
          <w:tcPr>
            <w:tcW w:w="706" w:type="pct"/>
            <w:tcBorders>
              <w:bottom w:val="nil"/>
            </w:tcBorders>
          </w:tcPr>
          <w:p w14:paraId="36CD1BF5" w14:textId="77777777" w:rsidR="0051010A" w:rsidRPr="00E2788A" w:rsidRDefault="0051010A" w:rsidP="00F82CA0">
            <w:pPr>
              <w:pStyle w:val="TableText"/>
              <w:jc w:val="right"/>
            </w:pPr>
            <w:r w:rsidRPr="00E2788A">
              <w:t>4.0</w:t>
            </w:r>
          </w:p>
        </w:tc>
        <w:tc>
          <w:tcPr>
            <w:tcW w:w="549" w:type="pct"/>
            <w:tcBorders>
              <w:bottom w:val="nil"/>
            </w:tcBorders>
          </w:tcPr>
          <w:p w14:paraId="75B667EF" w14:textId="266F8AE1" w:rsidR="0051010A" w:rsidRPr="00E2788A" w:rsidRDefault="00F66742" w:rsidP="00F82CA0">
            <w:pPr>
              <w:pStyle w:val="TableText"/>
              <w:jc w:val="right"/>
            </w:pPr>
            <w:r>
              <w:t>–</w:t>
            </w:r>
          </w:p>
        </w:tc>
        <w:tc>
          <w:tcPr>
            <w:tcW w:w="617" w:type="pct"/>
            <w:tcBorders>
              <w:bottom w:val="nil"/>
            </w:tcBorders>
          </w:tcPr>
          <w:p w14:paraId="71BE252C" w14:textId="64E4EF48" w:rsidR="0051010A" w:rsidRPr="00F00AED" w:rsidRDefault="00F00AED" w:rsidP="00F82CA0">
            <w:pPr>
              <w:pStyle w:val="TableText"/>
              <w:jc w:val="right"/>
              <w:rPr>
                <w:rStyle w:val="Strong"/>
              </w:rPr>
            </w:pPr>
            <w:r w:rsidRPr="00F00AED">
              <w:rPr>
                <w:rStyle w:val="Strong"/>
              </w:rPr>
              <w:t>a</w:t>
            </w:r>
          </w:p>
        </w:tc>
      </w:tr>
      <w:tr w:rsidR="0051010A" w:rsidRPr="00E2788A" w14:paraId="67B40295" w14:textId="77777777" w:rsidTr="0075520B">
        <w:tc>
          <w:tcPr>
            <w:tcW w:w="742" w:type="pct"/>
            <w:vMerge/>
            <w:tcBorders>
              <w:bottom w:val="single" w:sz="4" w:space="0" w:color="auto"/>
            </w:tcBorders>
          </w:tcPr>
          <w:p w14:paraId="20DD7089" w14:textId="77777777" w:rsidR="0051010A" w:rsidRPr="00E2788A" w:rsidRDefault="0051010A" w:rsidP="00743627">
            <w:pPr>
              <w:pStyle w:val="TableText"/>
            </w:pPr>
          </w:p>
        </w:tc>
        <w:tc>
          <w:tcPr>
            <w:tcW w:w="741" w:type="pct"/>
            <w:tcBorders>
              <w:top w:val="nil"/>
              <w:bottom w:val="single" w:sz="4" w:space="0" w:color="auto"/>
            </w:tcBorders>
          </w:tcPr>
          <w:p w14:paraId="6A33058B" w14:textId="77777777" w:rsidR="0051010A" w:rsidRPr="00E2788A" w:rsidRDefault="0051010A" w:rsidP="00743627">
            <w:pPr>
              <w:pStyle w:val="TableText"/>
            </w:pPr>
            <w:r w:rsidRPr="00E2788A">
              <w:t>Tier 4i/Tier 4f</w:t>
            </w:r>
          </w:p>
        </w:tc>
        <w:tc>
          <w:tcPr>
            <w:tcW w:w="627" w:type="pct"/>
            <w:tcBorders>
              <w:top w:val="nil"/>
              <w:bottom w:val="single" w:sz="4" w:space="0" w:color="auto"/>
            </w:tcBorders>
          </w:tcPr>
          <w:p w14:paraId="4268942A" w14:textId="77777777" w:rsidR="0051010A" w:rsidRPr="00E2788A" w:rsidRDefault="0051010A" w:rsidP="00743627">
            <w:pPr>
              <w:pStyle w:val="TableText"/>
            </w:pPr>
            <w:r w:rsidRPr="00E2788A">
              <w:t>2011/2014</w:t>
            </w:r>
          </w:p>
        </w:tc>
        <w:tc>
          <w:tcPr>
            <w:tcW w:w="469" w:type="pct"/>
            <w:tcBorders>
              <w:top w:val="nil"/>
              <w:bottom w:val="single" w:sz="4" w:space="0" w:color="auto"/>
            </w:tcBorders>
          </w:tcPr>
          <w:p w14:paraId="4108F3F6" w14:textId="77777777" w:rsidR="0051010A" w:rsidRPr="00E2788A" w:rsidRDefault="0051010A" w:rsidP="00F82CA0">
            <w:pPr>
              <w:pStyle w:val="TableText"/>
              <w:jc w:val="right"/>
            </w:pPr>
            <w:r w:rsidRPr="00E2788A">
              <w:t>3.5</w:t>
            </w:r>
          </w:p>
        </w:tc>
        <w:tc>
          <w:tcPr>
            <w:tcW w:w="548" w:type="pct"/>
            <w:tcBorders>
              <w:top w:val="nil"/>
              <w:bottom w:val="single" w:sz="4" w:space="0" w:color="auto"/>
            </w:tcBorders>
          </w:tcPr>
          <w:p w14:paraId="0F840301" w14:textId="77777777" w:rsidR="0051010A" w:rsidRPr="00E2788A" w:rsidRDefault="0051010A" w:rsidP="00F82CA0">
            <w:pPr>
              <w:pStyle w:val="TableText"/>
              <w:jc w:val="right"/>
            </w:pPr>
            <w:r w:rsidRPr="00E2788A">
              <w:t>0.19</w:t>
            </w:r>
          </w:p>
        </w:tc>
        <w:tc>
          <w:tcPr>
            <w:tcW w:w="706" w:type="pct"/>
            <w:tcBorders>
              <w:top w:val="nil"/>
              <w:bottom w:val="single" w:sz="4" w:space="0" w:color="auto"/>
            </w:tcBorders>
          </w:tcPr>
          <w:p w14:paraId="567400A6" w14:textId="5BF2E105" w:rsidR="0051010A" w:rsidRPr="00E2788A" w:rsidRDefault="00F66742" w:rsidP="00F82CA0">
            <w:pPr>
              <w:pStyle w:val="TableText"/>
              <w:jc w:val="right"/>
            </w:pPr>
            <w:r>
              <w:t>–</w:t>
            </w:r>
          </w:p>
        </w:tc>
        <w:tc>
          <w:tcPr>
            <w:tcW w:w="549" w:type="pct"/>
            <w:tcBorders>
              <w:top w:val="nil"/>
              <w:bottom w:val="single" w:sz="4" w:space="0" w:color="auto"/>
            </w:tcBorders>
          </w:tcPr>
          <w:p w14:paraId="3B49BE7D" w14:textId="18BE4B09" w:rsidR="0051010A" w:rsidRPr="00E2788A" w:rsidRDefault="0051010A" w:rsidP="00F82CA0">
            <w:pPr>
              <w:pStyle w:val="TableText"/>
              <w:jc w:val="right"/>
            </w:pPr>
            <w:r w:rsidRPr="00E2788A">
              <w:t>2.0</w:t>
            </w:r>
            <w:r w:rsidR="00F00AED" w:rsidRPr="00F00AED">
              <w:rPr>
                <w:rStyle w:val="Strong"/>
              </w:rPr>
              <w:t>b</w:t>
            </w:r>
            <w:r w:rsidRPr="00E2788A">
              <w:t>/0.40</w:t>
            </w:r>
          </w:p>
        </w:tc>
        <w:tc>
          <w:tcPr>
            <w:tcW w:w="617" w:type="pct"/>
            <w:tcBorders>
              <w:top w:val="nil"/>
              <w:bottom w:val="single" w:sz="4" w:space="0" w:color="auto"/>
            </w:tcBorders>
          </w:tcPr>
          <w:p w14:paraId="171DA79D" w14:textId="77777777" w:rsidR="0051010A" w:rsidRPr="00E2788A" w:rsidRDefault="0051010A" w:rsidP="00F82CA0">
            <w:pPr>
              <w:pStyle w:val="TableText"/>
              <w:jc w:val="right"/>
            </w:pPr>
            <w:r w:rsidRPr="00E2788A">
              <w:t>0.02/0.02</w:t>
            </w:r>
          </w:p>
        </w:tc>
      </w:tr>
      <w:tr w:rsidR="0051010A" w:rsidRPr="00E2788A" w14:paraId="15738DB7" w14:textId="77777777" w:rsidTr="0075520B">
        <w:tc>
          <w:tcPr>
            <w:tcW w:w="742" w:type="pct"/>
            <w:vMerge w:val="restart"/>
            <w:tcBorders>
              <w:top w:val="single" w:sz="4" w:space="0" w:color="auto"/>
            </w:tcBorders>
          </w:tcPr>
          <w:p w14:paraId="7FD3F214" w14:textId="77777777" w:rsidR="0051010A" w:rsidRPr="00E2788A" w:rsidRDefault="0051010A" w:rsidP="00743627">
            <w:pPr>
              <w:pStyle w:val="TableText"/>
            </w:pPr>
            <w:r w:rsidRPr="00E2788A">
              <w:t>kW ≥ 560</w:t>
            </w:r>
          </w:p>
        </w:tc>
        <w:tc>
          <w:tcPr>
            <w:tcW w:w="741" w:type="pct"/>
            <w:tcBorders>
              <w:top w:val="single" w:sz="4" w:space="0" w:color="auto"/>
            </w:tcBorders>
          </w:tcPr>
          <w:p w14:paraId="00FAF550" w14:textId="77777777" w:rsidR="0051010A" w:rsidRPr="00E2788A" w:rsidRDefault="0051010A" w:rsidP="00743627">
            <w:pPr>
              <w:pStyle w:val="TableText"/>
            </w:pPr>
            <w:r w:rsidRPr="00E2788A">
              <w:t>Tier 1</w:t>
            </w:r>
          </w:p>
        </w:tc>
        <w:tc>
          <w:tcPr>
            <w:tcW w:w="627" w:type="pct"/>
            <w:tcBorders>
              <w:top w:val="single" w:sz="4" w:space="0" w:color="auto"/>
            </w:tcBorders>
          </w:tcPr>
          <w:p w14:paraId="36A19DE8" w14:textId="77777777" w:rsidR="0051010A" w:rsidRPr="00E2788A" w:rsidRDefault="0051010A" w:rsidP="00743627">
            <w:pPr>
              <w:pStyle w:val="TableText"/>
            </w:pPr>
            <w:r w:rsidRPr="00E2788A">
              <w:t>2000</w:t>
            </w:r>
          </w:p>
        </w:tc>
        <w:tc>
          <w:tcPr>
            <w:tcW w:w="469" w:type="pct"/>
            <w:tcBorders>
              <w:top w:val="single" w:sz="4" w:space="0" w:color="auto"/>
            </w:tcBorders>
          </w:tcPr>
          <w:p w14:paraId="7133AEB0" w14:textId="77777777" w:rsidR="0051010A" w:rsidRPr="00E2788A" w:rsidRDefault="0051010A" w:rsidP="00F82CA0">
            <w:pPr>
              <w:pStyle w:val="TableText"/>
              <w:jc w:val="right"/>
            </w:pPr>
            <w:r w:rsidRPr="00E2788A">
              <w:t>11.4</w:t>
            </w:r>
          </w:p>
        </w:tc>
        <w:tc>
          <w:tcPr>
            <w:tcW w:w="548" w:type="pct"/>
            <w:tcBorders>
              <w:top w:val="single" w:sz="4" w:space="0" w:color="auto"/>
            </w:tcBorders>
          </w:tcPr>
          <w:p w14:paraId="66C18055" w14:textId="77777777" w:rsidR="0051010A" w:rsidRPr="00E2788A" w:rsidRDefault="0051010A" w:rsidP="00F82CA0">
            <w:pPr>
              <w:pStyle w:val="TableText"/>
              <w:jc w:val="right"/>
            </w:pPr>
            <w:r w:rsidRPr="00E2788A">
              <w:t>1.3</w:t>
            </w:r>
          </w:p>
        </w:tc>
        <w:tc>
          <w:tcPr>
            <w:tcW w:w="706" w:type="pct"/>
            <w:tcBorders>
              <w:top w:val="single" w:sz="4" w:space="0" w:color="auto"/>
            </w:tcBorders>
          </w:tcPr>
          <w:p w14:paraId="28653A63" w14:textId="585971A3" w:rsidR="0051010A" w:rsidRPr="00E2788A" w:rsidRDefault="00F66742" w:rsidP="00F82CA0">
            <w:pPr>
              <w:pStyle w:val="TableText"/>
              <w:jc w:val="right"/>
            </w:pPr>
            <w:r>
              <w:t>–</w:t>
            </w:r>
          </w:p>
        </w:tc>
        <w:tc>
          <w:tcPr>
            <w:tcW w:w="549" w:type="pct"/>
            <w:tcBorders>
              <w:top w:val="single" w:sz="4" w:space="0" w:color="auto"/>
            </w:tcBorders>
          </w:tcPr>
          <w:p w14:paraId="4E7DA4F5" w14:textId="77777777" w:rsidR="0051010A" w:rsidRPr="00E2788A" w:rsidRDefault="0051010A" w:rsidP="00F82CA0">
            <w:pPr>
              <w:pStyle w:val="TableText"/>
              <w:jc w:val="right"/>
            </w:pPr>
            <w:r w:rsidRPr="00E2788A">
              <w:t>9.2</w:t>
            </w:r>
          </w:p>
        </w:tc>
        <w:tc>
          <w:tcPr>
            <w:tcW w:w="617" w:type="pct"/>
            <w:tcBorders>
              <w:top w:val="single" w:sz="4" w:space="0" w:color="auto"/>
            </w:tcBorders>
          </w:tcPr>
          <w:p w14:paraId="452E1F4C" w14:textId="77777777" w:rsidR="0051010A" w:rsidRPr="00E2788A" w:rsidRDefault="0051010A" w:rsidP="00F82CA0">
            <w:pPr>
              <w:pStyle w:val="TableText"/>
              <w:jc w:val="right"/>
            </w:pPr>
            <w:r w:rsidRPr="00E2788A">
              <w:t>0.54</w:t>
            </w:r>
          </w:p>
        </w:tc>
      </w:tr>
      <w:tr w:rsidR="0051010A" w:rsidRPr="00E2788A" w14:paraId="7CF1B4F9" w14:textId="77777777" w:rsidTr="0075520B">
        <w:tc>
          <w:tcPr>
            <w:tcW w:w="742" w:type="pct"/>
            <w:vMerge/>
          </w:tcPr>
          <w:p w14:paraId="0D105690" w14:textId="77777777" w:rsidR="0051010A" w:rsidRPr="00E2788A" w:rsidRDefault="0051010A" w:rsidP="00743627">
            <w:pPr>
              <w:pStyle w:val="TableText"/>
            </w:pPr>
          </w:p>
        </w:tc>
        <w:tc>
          <w:tcPr>
            <w:tcW w:w="741" w:type="pct"/>
          </w:tcPr>
          <w:p w14:paraId="46D584D0" w14:textId="77777777" w:rsidR="0051010A" w:rsidRPr="00E2788A" w:rsidRDefault="0051010A" w:rsidP="00743627">
            <w:pPr>
              <w:pStyle w:val="TableText"/>
            </w:pPr>
            <w:r w:rsidRPr="00E2788A">
              <w:t>Tier 2</w:t>
            </w:r>
          </w:p>
        </w:tc>
        <w:tc>
          <w:tcPr>
            <w:tcW w:w="627" w:type="pct"/>
          </w:tcPr>
          <w:p w14:paraId="085509BD" w14:textId="77777777" w:rsidR="0051010A" w:rsidRPr="00E2788A" w:rsidRDefault="0051010A" w:rsidP="00743627">
            <w:pPr>
              <w:pStyle w:val="TableText"/>
            </w:pPr>
            <w:r w:rsidRPr="00E2788A">
              <w:t>2006</w:t>
            </w:r>
          </w:p>
        </w:tc>
        <w:tc>
          <w:tcPr>
            <w:tcW w:w="469" w:type="pct"/>
          </w:tcPr>
          <w:p w14:paraId="416359E6" w14:textId="77777777" w:rsidR="0051010A" w:rsidRPr="00E2788A" w:rsidRDefault="0051010A" w:rsidP="00F82CA0">
            <w:pPr>
              <w:pStyle w:val="TableText"/>
              <w:jc w:val="right"/>
            </w:pPr>
            <w:r w:rsidRPr="00E2788A">
              <w:t>3.5</w:t>
            </w:r>
          </w:p>
        </w:tc>
        <w:tc>
          <w:tcPr>
            <w:tcW w:w="548" w:type="pct"/>
          </w:tcPr>
          <w:p w14:paraId="1B7C95E9" w14:textId="37098067" w:rsidR="0051010A" w:rsidRPr="00E2788A" w:rsidRDefault="00F66742" w:rsidP="00F82CA0">
            <w:pPr>
              <w:pStyle w:val="TableText"/>
              <w:jc w:val="right"/>
            </w:pPr>
            <w:r>
              <w:t>–</w:t>
            </w:r>
          </w:p>
        </w:tc>
        <w:tc>
          <w:tcPr>
            <w:tcW w:w="706" w:type="pct"/>
          </w:tcPr>
          <w:p w14:paraId="158FDED1" w14:textId="77777777" w:rsidR="0051010A" w:rsidRPr="00E2788A" w:rsidRDefault="0051010A" w:rsidP="00F82CA0">
            <w:pPr>
              <w:pStyle w:val="TableText"/>
              <w:jc w:val="right"/>
            </w:pPr>
            <w:r w:rsidRPr="00E2788A">
              <w:t>6.4</w:t>
            </w:r>
          </w:p>
        </w:tc>
        <w:tc>
          <w:tcPr>
            <w:tcW w:w="549" w:type="pct"/>
          </w:tcPr>
          <w:p w14:paraId="4B63C33A" w14:textId="618A7640" w:rsidR="0051010A" w:rsidRPr="00E2788A" w:rsidRDefault="00F66742" w:rsidP="00F82CA0">
            <w:pPr>
              <w:pStyle w:val="TableText"/>
              <w:jc w:val="right"/>
            </w:pPr>
            <w:r>
              <w:t>–</w:t>
            </w:r>
          </w:p>
        </w:tc>
        <w:tc>
          <w:tcPr>
            <w:tcW w:w="617" w:type="pct"/>
          </w:tcPr>
          <w:p w14:paraId="4D4576F7" w14:textId="77777777" w:rsidR="0051010A" w:rsidRPr="00E2788A" w:rsidRDefault="0051010A" w:rsidP="00F82CA0">
            <w:pPr>
              <w:pStyle w:val="TableText"/>
              <w:jc w:val="right"/>
            </w:pPr>
            <w:r w:rsidRPr="00E2788A">
              <w:t>0.2</w:t>
            </w:r>
          </w:p>
        </w:tc>
      </w:tr>
      <w:tr w:rsidR="0051010A" w:rsidRPr="00E2788A" w14:paraId="3F7D8258" w14:textId="77777777" w:rsidTr="0075520B">
        <w:tc>
          <w:tcPr>
            <w:tcW w:w="742" w:type="pct"/>
            <w:vMerge/>
          </w:tcPr>
          <w:p w14:paraId="5FB8AD17" w14:textId="77777777" w:rsidR="0051010A" w:rsidRPr="00E2788A" w:rsidRDefault="0051010A" w:rsidP="00743627">
            <w:pPr>
              <w:pStyle w:val="TableText"/>
            </w:pPr>
          </w:p>
        </w:tc>
        <w:tc>
          <w:tcPr>
            <w:tcW w:w="741" w:type="pct"/>
          </w:tcPr>
          <w:p w14:paraId="4AD53647" w14:textId="77777777" w:rsidR="0051010A" w:rsidRPr="00C45DAA" w:rsidRDefault="0051010A" w:rsidP="00743627">
            <w:pPr>
              <w:pStyle w:val="TableText"/>
              <w:rPr>
                <w:highlight w:val="yellow"/>
              </w:rPr>
            </w:pPr>
            <w:r w:rsidRPr="00F66742">
              <w:t>Tier 3</w:t>
            </w:r>
          </w:p>
        </w:tc>
        <w:tc>
          <w:tcPr>
            <w:tcW w:w="627" w:type="pct"/>
          </w:tcPr>
          <w:p w14:paraId="70902359" w14:textId="14C377AC" w:rsidR="0051010A" w:rsidRPr="00E2788A" w:rsidRDefault="00F66742" w:rsidP="00743627">
            <w:pPr>
              <w:pStyle w:val="TableText"/>
            </w:pPr>
            <w:r>
              <w:t>–</w:t>
            </w:r>
          </w:p>
        </w:tc>
        <w:tc>
          <w:tcPr>
            <w:tcW w:w="469" w:type="pct"/>
          </w:tcPr>
          <w:p w14:paraId="64A8FA33" w14:textId="29D2C539" w:rsidR="0051010A" w:rsidRPr="00E2788A" w:rsidRDefault="00F66742" w:rsidP="00F82CA0">
            <w:pPr>
              <w:pStyle w:val="TableText"/>
              <w:jc w:val="right"/>
            </w:pPr>
            <w:r>
              <w:t>–</w:t>
            </w:r>
          </w:p>
        </w:tc>
        <w:tc>
          <w:tcPr>
            <w:tcW w:w="548" w:type="pct"/>
          </w:tcPr>
          <w:p w14:paraId="419373E2" w14:textId="15E4D6FA" w:rsidR="0051010A" w:rsidRPr="00E2788A" w:rsidRDefault="00F66742" w:rsidP="00F82CA0">
            <w:pPr>
              <w:pStyle w:val="TableText"/>
              <w:jc w:val="right"/>
            </w:pPr>
            <w:r>
              <w:t>–</w:t>
            </w:r>
          </w:p>
        </w:tc>
        <w:tc>
          <w:tcPr>
            <w:tcW w:w="706" w:type="pct"/>
          </w:tcPr>
          <w:p w14:paraId="50D17A85" w14:textId="0718024D" w:rsidR="0051010A" w:rsidRPr="00E2788A" w:rsidRDefault="00F66742" w:rsidP="00F82CA0">
            <w:pPr>
              <w:pStyle w:val="TableText"/>
              <w:jc w:val="right"/>
            </w:pPr>
            <w:r>
              <w:t>–</w:t>
            </w:r>
          </w:p>
        </w:tc>
        <w:tc>
          <w:tcPr>
            <w:tcW w:w="549" w:type="pct"/>
          </w:tcPr>
          <w:p w14:paraId="0F561CDB" w14:textId="3F1CF068" w:rsidR="0051010A" w:rsidRPr="00E2788A" w:rsidRDefault="00F66742" w:rsidP="00F82CA0">
            <w:pPr>
              <w:pStyle w:val="TableText"/>
              <w:jc w:val="right"/>
            </w:pPr>
            <w:r>
              <w:t>–</w:t>
            </w:r>
          </w:p>
        </w:tc>
        <w:tc>
          <w:tcPr>
            <w:tcW w:w="617" w:type="pct"/>
          </w:tcPr>
          <w:p w14:paraId="759DBD8B" w14:textId="543F949B" w:rsidR="0051010A" w:rsidRPr="00E2788A" w:rsidRDefault="00F66742" w:rsidP="00F82CA0">
            <w:pPr>
              <w:pStyle w:val="TableText"/>
              <w:jc w:val="right"/>
            </w:pPr>
            <w:r>
              <w:t>–</w:t>
            </w:r>
          </w:p>
        </w:tc>
      </w:tr>
      <w:tr w:rsidR="0051010A" w:rsidRPr="00E2788A" w14:paraId="00906881" w14:textId="77777777" w:rsidTr="0075520B">
        <w:tc>
          <w:tcPr>
            <w:tcW w:w="742" w:type="pct"/>
            <w:vMerge/>
          </w:tcPr>
          <w:p w14:paraId="4CFE45C1" w14:textId="77777777" w:rsidR="0051010A" w:rsidRPr="00E2788A" w:rsidRDefault="0051010A" w:rsidP="00743627">
            <w:pPr>
              <w:pStyle w:val="TableText"/>
            </w:pPr>
          </w:p>
        </w:tc>
        <w:tc>
          <w:tcPr>
            <w:tcW w:w="741" w:type="pct"/>
          </w:tcPr>
          <w:p w14:paraId="51C6EA82" w14:textId="77777777" w:rsidR="0051010A" w:rsidRPr="00E2788A" w:rsidRDefault="0051010A" w:rsidP="00743627">
            <w:pPr>
              <w:pStyle w:val="TableText"/>
            </w:pPr>
            <w:r w:rsidRPr="00E2788A">
              <w:t>Tier 4i/Tier 4f</w:t>
            </w:r>
          </w:p>
        </w:tc>
        <w:tc>
          <w:tcPr>
            <w:tcW w:w="627" w:type="pct"/>
          </w:tcPr>
          <w:p w14:paraId="571F5E8F" w14:textId="77777777" w:rsidR="0051010A" w:rsidRPr="00E2788A" w:rsidRDefault="0051010A" w:rsidP="00743627">
            <w:pPr>
              <w:pStyle w:val="TableText"/>
            </w:pPr>
            <w:r w:rsidRPr="00E2788A">
              <w:t>2011/2015</w:t>
            </w:r>
          </w:p>
        </w:tc>
        <w:tc>
          <w:tcPr>
            <w:tcW w:w="469" w:type="pct"/>
          </w:tcPr>
          <w:p w14:paraId="697B6BEA" w14:textId="77777777" w:rsidR="0051010A" w:rsidRPr="00E2788A" w:rsidRDefault="0051010A" w:rsidP="00F82CA0">
            <w:pPr>
              <w:pStyle w:val="TableText"/>
              <w:jc w:val="right"/>
            </w:pPr>
            <w:r w:rsidRPr="00E2788A">
              <w:t>3.5/3.5</w:t>
            </w:r>
          </w:p>
        </w:tc>
        <w:tc>
          <w:tcPr>
            <w:tcW w:w="548" w:type="pct"/>
          </w:tcPr>
          <w:p w14:paraId="3EE7D34A" w14:textId="77777777" w:rsidR="0051010A" w:rsidRPr="00E2788A" w:rsidRDefault="0051010A" w:rsidP="00F82CA0">
            <w:pPr>
              <w:pStyle w:val="TableText"/>
              <w:jc w:val="right"/>
            </w:pPr>
            <w:r w:rsidRPr="00E2788A">
              <w:t>0.4/0.19</w:t>
            </w:r>
          </w:p>
        </w:tc>
        <w:tc>
          <w:tcPr>
            <w:tcW w:w="706" w:type="pct"/>
          </w:tcPr>
          <w:p w14:paraId="5EA18B35" w14:textId="21C077CA" w:rsidR="0051010A" w:rsidRPr="00E2788A" w:rsidRDefault="00F66742" w:rsidP="00F82CA0">
            <w:pPr>
              <w:pStyle w:val="TableText"/>
              <w:jc w:val="right"/>
            </w:pPr>
            <w:r>
              <w:t>–</w:t>
            </w:r>
          </w:p>
        </w:tc>
        <w:tc>
          <w:tcPr>
            <w:tcW w:w="549" w:type="pct"/>
          </w:tcPr>
          <w:p w14:paraId="76665B79" w14:textId="046583CB" w:rsidR="0051010A" w:rsidRPr="00E2788A" w:rsidRDefault="0051010A" w:rsidP="00F82CA0">
            <w:pPr>
              <w:pStyle w:val="TableText"/>
              <w:jc w:val="right"/>
            </w:pPr>
            <w:r w:rsidRPr="00E2788A">
              <w:t>3.5</w:t>
            </w:r>
            <w:r w:rsidR="00F00AED" w:rsidRPr="00F00AED">
              <w:rPr>
                <w:rStyle w:val="Strong"/>
              </w:rPr>
              <w:t>c</w:t>
            </w:r>
            <w:r w:rsidRPr="00E2788A">
              <w:t>/3.5</w:t>
            </w:r>
            <w:r w:rsidR="00F00AED" w:rsidRPr="00F00AED">
              <w:rPr>
                <w:rStyle w:val="Strong"/>
              </w:rPr>
              <w:t>d</w:t>
            </w:r>
          </w:p>
        </w:tc>
        <w:tc>
          <w:tcPr>
            <w:tcW w:w="617" w:type="pct"/>
          </w:tcPr>
          <w:p w14:paraId="4FD02E63" w14:textId="041D6ADD" w:rsidR="0051010A" w:rsidRPr="00E2788A" w:rsidRDefault="0051010A" w:rsidP="00F82CA0">
            <w:pPr>
              <w:pStyle w:val="TableText"/>
              <w:jc w:val="right"/>
            </w:pPr>
            <w:r w:rsidRPr="00E2788A">
              <w:t>0.1/0.04</w:t>
            </w:r>
            <w:r w:rsidR="00F00AED" w:rsidRPr="00F00AED">
              <w:rPr>
                <w:rStyle w:val="Strong"/>
              </w:rPr>
              <w:t>e</w:t>
            </w:r>
          </w:p>
        </w:tc>
      </w:tr>
    </w:tbl>
    <w:p w14:paraId="0627CE49" w14:textId="6A6C5640" w:rsidR="00050115" w:rsidRDefault="00107EAF" w:rsidP="00050115">
      <w:pPr>
        <w:pStyle w:val="FigureTableNoteSource"/>
      </w:pPr>
      <w:bookmarkStart w:id="97" w:name="_Toc430782151"/>
      <w:r w:rsidRPr="00E647C8">
        <w:rPr>
          <w:rStyle w:val="Strong"/>
        </w:rPr>
        <w:t>a</w:t>
      </w:r>
      <w:r>
        <w:t xml:space="preserve"> t</w:t>
      </w:r>
      <w:r w:rsidR="00583FF0">
        <w:t xml:space="preserve">ier 3 not adopted for PM; engines must meet the </w:t>
      </w:r>
      <w:r>
        <w:t>t</w:t>
      </w:r>
      <w:r w:rsidR="00583FF0">
        <w:t>ier 2 PM standard</w:t>
      </w:r>
      <w:r>
        <w:t xml:space="preserve"> </w:t>
      </w:r>
      <w:r w:rsidR="002C37E9" w:rsidRPr="00E647C8">
        <w:rPr>
          <w:rStyle w:val="Strong"/>
        </w:rPr>
        <w:t>b</w:t>
      </w:r>
      <w:r w:rsidR="002C37E9">
        <w:t xml:space="preserve"> v</w:t>
      </w:r>
      <w:r w:rsidR="00583FF0">
        <w:t>alue taken from Dallman &amp; Menon (2016)</w:t>
      </w:r>
      <w:r w:rsidR="00C1578C">
        <w:t xml:space="preserve"> </w:t>
      </w:r>
      <w:r w:rsidR="00C1578C" w:rsidRPr="00E647C8">
        <w:rPr>
          <w:rStyle w:val="Strong"/>
        </w:rPr>
        <w:t>c</w:t>
      </w:r>
      <w:r w:rsidR="00C1578C">
        <w:t xml:space="preserve"> t</w:t>
      </w:r>
      <w:r w:rsidR="00583FF0">
        <w:t>ier 4i NO</w:t>
      </w:r>
      <w:r w:rsidR="00583FF0" w:rsidRPr="00C1578C">
        <w:rPr>
          <w:vertAlign w:val="subscript"/>
        </w:rPr>
        <w:t>X</w:t>
      </w:r>
      <w:r w:rsidR="00583FF0">
        <w:t xml:space="preserve"> standard for generator sets &gt;900 kW is 0.67 g/kWh</w:t>
      </w:r>
      <w:r w:rsidR="00C1578C">
        <w:t xml:space="preserve"> </w:t>
      </w:r>
      <w:r w:rsidR="00C1578C" w:rsidRPr="00E647C8">
        <w:rPr>
          <w:rStyle w:val="Strong"/>
        </w:rPr>
        <w:t>d</w:t>
      </w:r>
      <w:r w:rsidR="00C1578C">
        <w:t xml:space="preserve"> t</w:t>
      </w:r>
      <w:r w:rsidR="00583FF0">
        <w:t>ier 4f NO</w:t>
      </w:r>
      <w:r w:rsidR="00583FF0" w:rsidRPr="00C1578C">
        <w:rPr>
          <w:vertAlign w:val="subscript"/>
        </w:rPr>
        <w:t>X</w:t>
      </w:r>
      <w:r w:rsidR="00583FF0">
        <w:t xml:space="preserve"> standard for generator sets ≥560 kW is 0.67 g/kWh</w:t>
      </w:r>
      <w:r w:rsidR="00E647C8">
        <w:t xml:space="preserve"> </w:t>
      </w:r>
      <w:r w:rsidR="00E647C8" w:rsidRPr="00E647C8">
        <w:rPr>
          <w:rStyle w:val="Strong"/>
        </w:rPr>
        <w:t>e</w:t>
      </w:r>
      <w:r w:rsidR="00E647C8">
        <w:t xml:space="preserve"> t</w:t>
      </w:r>
      <w:r w:rsidR="00583FF0">
        <w:t>ier 4f PM standard for generator sets ≥560 kW is 0.03 g/kWh</w:t>
      </w:r>
    </w:p>
    <w:p w14:paraId="3CCF1011" w14:textId="2A95E11A" w:rsidR="003D41F7" w:rsidRDefault="00050115" w:rsidP="00050115">
      <w:pPr>
        <w:pStyle w:val="FigureTableNoteSource"/>
      </w:pPr>
      <w:r>
        <w:t xml:space="preserve">Sources: </w:t>
      </w:r>
      <w:r w:rsidR="0038506E">
        <w:t xml:space="preserve">Dallman &amp; Menon 2016, </w:t>
      </w:r>
      <w:r>
        <w:t>DieselNet</w:t>
      </w:r>
      <w:r w:rsidR="00F74D50">
        <w:t xml:space="preserve"> 2017</w:t>
      </w:r>
    </w:p>
    <w:p w14:paraId="5050EED0" w14:textId="527C53D0" w:rsidR="00B554FA" w:rsidRDefault="00B554FA" w:rsidP="007B545D">
      <w:pPr>
        <w:pStyle w:val="Heading2"/>
        <w:numPr>
          <w:ilvl w:val="0"/>
          <w:numId w:val="0"/>
        </w:numPr>
      </w:pPr>
      <w:bookmarkStart w:id="98" w:name="_Appendix_5:_EU"/>
      <w:bookmarkStart w:id="99" w:name="_Toc63874257"/>
      <w:bookmarkEnd w:id="98"/>
      <w:r w:rsidRPr="005062D0">
        <w:lastRenderedPageBreak/>
        <w:t>Appendix 5</w:t>
      </w:r>
      <w:r w:rsidR="007B545D" w:rsidRPr="005062D0">
        <w:t xml:space="preserve">: </w:t>
      </w:r>
      <w:r w:rsidRPr="005062D0">
        <w:t>EU emission standards for non-road diesel engines</w:t>
      </w:r>
      <w:bookmarkEnd w:id="99"/>
    </w:p>
    <w:p w14:paraId="4BE69421" w14:textId="77777777" w:rsidR="00B554FA" w:rsidRDefault="00B554FA" w:rsidP="00B554FA">
      <w:r>
        <w:t>For most power bands the USEPA standards are practically equivalent to European Union non-road diesel engine standards as follows:</w:t>
      </w:r>
    </w:p>
    <w:p w14:paraId="67CD8569" w14:textId="3814BEB8" w:rsidR="00B554FA" w:rsidRDefault="00B554FA" w:rsidP="007C0929">
      <w:pPr>
        <w:pStyle w:val="ListBullet"/>
      </w:pPr>
      <w:r>
        <w:t>US Tier 1 = EU Stage I</w:t>
      </w:r>
    </w:p>
    <w:p w14:paraId="5283FBAA" w14:textId="0C55740E" w:rsidR="00B554FA" w:rsidRDefault="00B554FA" w:rsidP="007C0929">
      <w:pPr>
        <w:pStyle w:val="ListBullet"/>
      </w:pPr>
      <w:r>
        <w:t>US Tier 2 = EU Stage II</w:t>
      </w:r>
    </w:p>
    <w:p w14:paraId="2C5A7F87" w14:textId="75B71CC3" w:rsidR="00B554FA" w:rsidRDefault="00B554FA" w:rsidP="007C0929">
      <w:pPr>
        <w:pStyle w:val="ListBullet"/>
      </w:pPr>
      <w:r>
        <w:t>US Tier 3 = EU Stage IIIA</w:t>
      </w:r>
    </w:p>
    <w:p w14:paraId="26DB1E8F" w14:textId="3E8885F4" w:rsidR="00B554FA" w:rsidRDefault="00B554FA" w:rsidP="007C0929">
      <w:pPr>
        <w:pStyle w:val="ListBullet"/>
      </w:pPr>
      <w:r>
        <w:t>US Tier 4 intermediate = EU Stage IIIB</w:t>
      </w:r>
    </w:p>
    <w:p w14:paraId="21146FB4" w14:textId="56A87D48" w:rsidR="00583FF0" w:rsidRDefault="00B554FA" w:rsidP="007C0929">
      <w:pPr>
        <w:pStyle w:val="ListBullet"/>
      </w:pPr>
      <w:r>
        <w:t>US Tier 4 final = EU Stage IV and EU Stage V</w:t>
      </w:r>
    </w:p>
    <w:p w14:paraId="18DB068E" w14:textId="3885C014" w:rsidR="00B04D4F" w:rsidRDefault="00D6478A" w:rsidP="00B04D4F">
      <w:pPr>
        <w:rPr>
          <w:lang w:eastAsia="ja-JP"/>
        </w:rPr>
      </w:pPr>
      <w:r>
        <w:rPr>
          <w:lang w:eastAsia="ja-JP"/>
        </w:rPr>
        <w:fldChar w:fldCharType="begin"/>
      </w:r>
      <w:r>
        <w:rPr>
          <w:lang w:eastAsia="ja-JP"/>
        </w:rPr>
        <w:instrText xml:space="preserve"> REF _Ref63694255 \h </w:instrText>
      </w:r>
      <w:r>
        <w:rPr>
          <w:lang w:eastAsia="ja-JP"/>
        </w:rPr>
      </w:r>
      <w:r>
        <w:rPr>
          <w:lang w:eastAsia="ja-JP"/>
        </w:rPr>
        <w:fldChar w:fldCharType="separate"/>
      </w:r>
      <w:r>
        <w:t xml:space="preserve">Table </w:t>
      </w:r>
      <w:r w:rsidR="004B6A24">
        <w:rPr>
          <w:noProof/>
        </w:rPr>
        <w:t>10</w:t>
      </w:r>
      <w:r>
        <w:rPr>
          <w:lang w:eastAsia="ja-JP"/>
        </w:rPr>
        <w:fldChar w:fldCharType="end"/>
      </w:r>
      <w:r>
        <w:rPr>
          <w:lang w:eastAsia="ja-JP"/>
        </w:rPr>
        <w:t xml:space="preserve"> </w:t>
      </w:r>
      <w:r w:rsidR="00B04D4F">
        <w:rPr>
          <w:lang w:eastAsia="ja-JP"/>
        </w:rPr>
        <w:t xml:space="preserve">below shows the </w:t>
      </w:r>
      <w:r>
        <w:rPr>
          <w:lang w:eastAsia="ja-JP"/>
        </w:rPr>
        <w:t>EU</w:t>
      </w:r>
      <w:r w:rsidR="00B04D4F">
        <w:rPr>
          <w:lang w:eastAsia="ja-JP"/>
        </w:rPr>
        <w:t xml:space="preserve"> emission standards for NRDE.</w:t>
      </w:r>
    </w:p>
    <w:p w14:paraId="1FFF5E86" w14:textId="0CDB6279" w:rsidR="00047160" w:rsidRPr="00047160" w:rsidRDefault="00B04D4F" w:rsidP="00047160">
      <w:pPr>
        <w:pStyle w:val="Caption"/>
      </w:pPr>
      <w:bookmarkStart w:id="100" w:name="_Ref63694255"/>
      <w:bookmarkStart w:id="101" w:name="_Toc63696017"/>
      <w:r>
        <w:t xml:space="preserve">Table </w:t>
      </w:r>
      <w:r w:rsidR="00126C54">
        <w:rPr>
          <w:noProof/>
        </w:rPr>
        <w:fldChar w:fldCharType="begin"/>
      </w:r>
      <w:r w:rsidR="00126C54">
        <w:rPr>
          <w:noProof/>
        </w:rPr>
        <w:instrText xml:space="preserve"> SEQ Table \* ARABIC </w:instrText>
      </w:r>
      <w:r w:rsidR="00126C54">
        <w:rPr>
          <w:noProof/>
        </w:rPr>
        <w:fldChar w:fldCharType="separate"/>
      </w:r>
      <w:r w:rsidR="00664F36">
        <w:rPr>
          <w:noProof/>
        </w:rPr>
        <w:t>10</w:t>
      </w:r>
      <w:r w:rsidR="00126C54">
        <w:rPr>
          <w:noProof/>
        </w:rPr>
        <w:fldChar w:fldCharType="end"/>
      </w:r>
      <w:bookmarkEnd w:id="100"/>
      <w:r>
        <w:t xml:space="preserve"> </w:t>
      </w:r>
      <w:r w:rsidR="00D6478A">
        <w:t>EU emission standards</w:t>
      </w:r>
      <w:bookmarkEnd w:id="101"/>
    </w:p>
    <w:tbl>
      <w:tblPr>
        <w:tblStyle w:val="TableGrid"/>
        <w:tblW w:w="4994"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0"/>
        <w:gridCol w:w="1370"/>
        <w:gridCol w:w="1377"/>
        <w:gridCol w:w="1189"/>
        <w:gridCol w:w="1087"/>
        <w:gridCol w:w="944"/>
        <w:gridCol w:w="803"/>
        <w:gridCol w:w="929"/>
      </w:tblGrid>
      <w:tr w:rsidR="00F66742" w:rsidRPr="000B7E3E" w14:paraId="5632E27B" w14:textId="77777777" w:rsidTr="00415C12">
        <w:trPr>
          <w:cantSplit/>
          <w:tblHeader/>
        </w:trPr>
        <w:tc>
          <w:tcPr>
            <w:tcW w:w="751" w:type="pct"/>
            <w:vMerge w:val="restart"/>
          </w:tcPr>
          <w:p w14:paraId="0C32B2A4" w14:textId="77777777" w:rsidR="00F66742" w:rsidRPr="000B7E3E" w:rsidRDefault="00F66742" w:rsidP="000B7E3E">
            <w:pPr>
              <w:pStyle w:val="TableHeading"/>
            </w:pPr>
            <w:r w:rsidRPr="000B7E3E">
              <w:t>Power</w:t>
            </w:r>
          </w:p>
        </w:tc>
        <w:tc>
          <w:tcPr>
            <w:tcW w:w="756" w:type="pct"/>
            <w:vMerge w:val="restart"/>
          </w:tcPr>
          <w:p w14:paraId="0FFBFEC5" w14:textId="77777777" w:rsidR="00F66742" w:rsidRPr="000B7E3E" w:rsidRDefault="00F66742" w:rsidP="000B7E3E">
            <w:pPr>
              <w:pStyle w:val="TableHeading"/>
            </w:pPr>
            <w:r w:rsidRPr="000B7E3E">
              <w:t>Stage</w:t>
            </w:r>
          </w:p>
        </w:tc>
        <w:tc>
          <w:tcPr>
            <w:tcW w:w="760" w:type="pct"/>
            <w:vMerge w:val="restart"/>
          </w:tcPr>
          <w:p w14:paraId="51698017" w14:textId="77777777" w:rsidR="00F66742" w:rsidRPr="000B7E3E" w:rsidRDefault="00F66742" w:rsidP="000B7E3E">
            <w:pPr>
              <w:pStyle w:val="TableHeading"/>
            </w:pPr>
            <w:r w:rsidRPr="000B7E3E">
              <w:t>Year (month)</w:t>
            </w:r>
          </w:p>
        </w:tc>
        <w:tc>
          <w:tcPr>
            <w:tcW w:w="2733" w:type="pct"/>
            <w:gridSpan w:val="5"/>
            <w:tcBorders>
              <w:bottom w:val="nil"/>
            </w:tcBorders>
          </w:tcPr>
          <w:p w14:paraId="4F644EE1" w14:textId="5A69B53B" w:rsidR="00F66742" w:rsidRPr="000B7E3E" w:rsidRDefault="00F66742" w:rsidP="00771439">
            <w:pPr>
              <w:pStyle w:val="TableHeading"/>
              <w:jc w:val="center"/>
            </w:pPr>
            <w:r w:rsidRPr="000B7E3E">
              <w:t>Emission standard (g/kWh)</w:t>
            </w:r>
          </w:p>
        </w:tc>
      </w:tr>
      <w:tr w:rsidR="00F66742" w:rsidRPr="000B7E3E" w14:paraId="51F3BA6A" w14:textId="77777777" w:rsidTr="00415C12">
        <w:trPr>
          <w:cantSplit/>
          <w:tblHeader/>
        </w:trPr>
        <w:tc>
          <w:tcPr>
            <w:tcW w:w="751" w:type="pct"/>
            <w:vMerge/>
            <w:tcBorders>
              <w:bottom w:val="single" w:sz="4" w:space="0" w:color="auto"/>
            </w:tcBorders>
          </w:tcPr>
          <w:p w14:paraId="7927733A" w14:textId="77777777" w:rsidR="00F66742" w:rsidRPr="000B7E3E" w:rsidRDefault="00F66742" w:rsidP="000B7E3E">
            <w:pPr>
              <w:pStyle w:val="TableHeading"/>
            </w:pPr>
          </w:p>
        </w:tc>
        <w:tc>
          <w:tcPr>
            <w:tcW w:w="756" w:type="pct"/>
            <w:vMerge/>
            <w:tcBorders>
              <w:bottom w:val="single" w:sz="4" w:space="0" w:color="auto"/>
            </w:tcBorders>
          </w:tcPr>
          <w:p w14:paraId="797C8382" w14:textId="77777777" w:rsidR="00F66742" w:rsidRPr="000B7E3E" w:rsidRDefault="00F66742" w:rsidP="000B7E3E">
            <w:pPr>
              <w:pStyle w:val="TableHeading"/>
            </w:pPr>
          </w:p>
        </w:tc>
        <w:tc>
          <w:tcPr>
            <w:tcW w:w="760" w:type="pct"/>
            <w:vMerge/>
            <w:tcBorders>
              <w:bottom w:val="single" w:sz="4" w:space="0" w:color="auto"/>
            </w:tcBorders>
          </w:tcPr>
          <w:p w14:paraId="38CE13C7" w14:textId="77777777" w:rsidR="00F66742" w:rsidRPr="000B7E3E" w:rsidRDefault="00F66742" w:rsidP="000B7E3E">
            <w:pPr>
              <w:pStyle w:val="TableHeading"/>
            </w:pPr>
          </w:p>
        </w:tc>
        <w:tc>
          <w:tcPr>
            <w:tcW w:w="656" w:type="pct"/>
            <w:tcBorders>
              <w:top w:val="nil"/>
              <w:bottom w:val="single" w:sz="4" w:space="0" w:color="auto"/>
            </w:tcBorders>
          </w:tcPr>
          <w:p w14:paraId="54D99561" w14:textId="77777777" w:rsidR="00F66742" w:rsidRPr="000B7E3E" w:rsidRDefault="00F66742" w:rsidP="00771439">
            <w:pPr>
              <w:pStyle w:val="TableHeading"/>
              <w:jc w:val="right"/>
            </w:pPr>
            <w:r w:rsidRPr="000B7E3E">
              <w:t>CO</w:t>
            </w:r>
          </w:p>
        </w:tc>
        <w:tc>
          <w:tcPr>
            <w:tcW w:w="600" w:type="pct"/>
            <w:tcBorders>
              <w:top w:val="nil"/>
              <w:bottom w:val="single" w:sz="4" w:space="0" w:color="auto"/>
            </w:tcBorders>
          </w:tcPr>
          <w:p w14:paraId="3A448D25" w14:textId="77777777" w:rsidR="00F66742" w:rsidRPr="000B7E3E" w:rsidRDefault="00F66742" w:rsidP="00771439">
            <w:pPr>
              <w:pStyle w:val="TableHeading"/>
              <w:jc w:val="right"/>
            </w:pPr>
            <w:r w:rsidRPr="000B7E3E">
              <w:t>HC</w:t>
            </w:r>
          </w:p>
        </w:tc>
        <w:tc>
          <w:tcPr>
            <w:tcW w:w="521" w:type="pct"/>
            <w:tcBorders>
              <w:top w:val="nil"/>
              <w:bottom w:val="single" w:sz="4" w:space="0" w:color="auto"/>
            </w:tcBorders>
          </w:tcPr>
          <w:p w14:paraId="72E79549" w14:textId="77777777" w:rsidR="00F66742" w:rsidRPr="000B7E3E" w:rsidRDefault="00F66742" w:rsidP="00771439">
            <w:pPr>
              <w:pStyle w:val="TableHeading"/>
              <w:jc w:val="right"/>
            </w:pPr>
            <w:r w:rsidRPr="000B7E3E">
              <w:t>HC+NO</w:t>
            </w:r>
            <w:r w:rsidRPr="000B7E3E">
              <w:rPr>
                <w:vertAlign w:val="subscript"/>
              </w:rPr>
              <w:t>X</w:t>
            </w:r>
          </w:p>
        </w:tc>
        <w:tc>
          <w:tcPr>
            <w:tcW w:w="443" w:type="pct"/>
            <w:tcBorders>
              <w:top w:val="nil"/>
              <w:bottom w:val="single" w:sz="4" w:space="0" w:color="auto"/>
            </w:tcBorders>
          </w:tcPr>
          <w:p w14:paraId="39571159" w14:textId="77777777" w:rsidR="00F66742" w:rsidRPr="000B7E3E" w:rsidRDefault="00F66742" w:rsidP="00771439">
            <w:pPr>
              <w:pStyle w:val="TableHeading"/>
              <w:jc w:val="right"/>
            </w:pPr>
            <w:r w:rsidRPr="000B7E3E">
              <w:t>NO</w:t>
            </w:r>
            <w:r w:rsidRPr="000B7E3E">
              <w:rPr>
                <w:vertAlign w:val="subscript"/>
              </w:rPr>
              <w:t>X</w:t>
            </w:r>
          </w:p>
        </w:tc>
        <w:tc>
          <w:tcPr>
            <w:tcW w:w="513" w:type="pct"/>
            <w:tcBorders>
              <w:top w:val="nil"/>
              <w:bottom w:val="single" w:sz="4" w:space="0" w:color="auto"/>
            </w:tcBorders>
          </w:tcPr>
          <w:p w14:paraId="5C4158AD" w14:textId="77777777" w:rsidR="00F66742" w:rsidRPr="000B7E3E" w:rsidRDefault="00F66742" w:rsidP="00771439">
            <w:pPr>
              <w:pStyle w:val="TableHeading"/>
              <w:jc w:val="right"/>
            </w:pPr>
            <w:r w:rsidRPr="000B7E3E">
              <w:t>PM</w:t>
            </w:r>
          </w:p>
        </w:tc>
      </w:tr>
      <w:tr w:rsidR="004A41D0" w:rsidRPr="000B7E3E" w14:paraId="54FA6984" w14:textId="77777777" w:rsidTr="004A41D0">
        <w:tc>
          <w:tcPr>
            <w:tcW w:w="751" w:type="pct"/>
            <w:vMerge w:val="restart"/>
            <w:tcBorders>
              <w:top w:val="single" w:sz="4" w:space="0" w:color="auto"/>
            </w:tcBorders>
          </w:tcPr>
          <w:p w14:paraId="0E435EFC" w14:textId="77777777" w:rsidR="004A41D0" w:rsidRPr="000B7E3E" w:rsidRDefault="004A41D0" w:rsidP="000B7E3E">
            <w:pPr>
              <w:pStyle w:val="TableText"/>
            </w:pPr>
            <w:r w:rsidRPr="000B7E3E">
              <w:t>&lt; 8 kW</w:t>
            </w:r>
          </w:p>
        </w:tc>
        <w:tc>
          <w:tcPr>
            <w:tcW w:w="756" w:type="pct"/>
            <w:tcBorders>
              <w:top w:val="single" w:sz="4" w:space="0" w:color="auto"/>
              <w:bottom w:val="nil"/>
            </w:tcBorders>
          </w:tcPr>
          <w:p w14:paraId="499FA14B" w14:textId="77777777" w:rsidR="004A41D0" w:rsidRPr="00F66742" w:rsidRDefault="004A41D0" w:rsidP="000B7E3E">
            <w:pPr>
              <w:pStyle w:val="TableText"/>
            </w:pPr>
            <w:r w:rsidRPr="00F66742">
              <w:t>Stages I-IV</w:t>
            </w:r>
          </w:p>
        </w:tc>
        <w:tc>
          <w:tcPr>
            <w:tcW w:w="760" w:type="pct"/>
            <w:tcBorders>
              <w:top w:val="single" w:sz="4" w:space="0" w:color="auto"/>
              <w:bottom w:val="nil"/>
            </w:tcBorders>
          </w:tcPr>
          <w:p w14:paraId="0BFB997C" w14:textId="59D19D8F" w:rsidR="004A41D0" w:rsidRPr="00F66742" w:rsidRDefault="004A41D0" w:rsidP="000B7E3E">
            <w:pPr>
              <w:pStyle w:val="TableText"/>
            </w:pPr>
            <w:r w:rsidRPr="00F66742">
              <w:t>delete</w:t>
            </w:r>
          </w:p>
        </w:tc>
        <w:tc>
          <w:tcPr>
            <w:tcW w:w="656" w:type="pct"/>
            <w:tcBorders>
              <w:top w:val="single" w:sz="4" w:space="0" w:color="auto"/>
              <w:bottom w:val="nil"/>
            </w:tcBorders>
          </w:tcPr>
          <w:p w14:paraId="4E3BD85A" w14:textId="317A990C" w:rsidR="004A41D0" w:rsidRPr="000B7E3E" w:rsidRDefault="00F66742" w:rsidP="00771439">
            <w:pPr>
              <w:pStyle w:val="TableText"/>
              <w:jc w:val="right"/>
            </w:pPr>
            <w:r>
              <w:t>–</w:t>
            </w:r>
          </w:p>
        </w:tc>
        <w:tc>
          <w:tcPr>
            <w:tcW w:w="600" w:type="pct"/>
            <w:tcBorders>
              <w:top w:val="single" w:sz="4" w:space="0" w:color="auto"/>
              <w:bottom w:val="nil"/>
            </w:tcBorders>
          </w:tcPr>
          <w:p w14:paraId="68E7D846" w14:textId="474E3D5F" w:rsidR="004A41D0" w:rsidRPr="000B7E3E" w:rsidRDefault="00F66742" w:rsidP="00771439">
            <w:pPr>
              <w:pStyle w:val="TableText"/>
              <w:jc w:val="right"/>
            </w:pPr>
            <w:r>
              <w:t>–</w:t>
            </w:r>
          </w:p>
        </w:tc>
        <w:tc>
          <w:tcPr>
            <w:tcW w:w="521" w:type="pct"/>
            <w:tcBorders>
              <w:top w:val="single" w:sz="4" w:space="0" w:color="auto"/>
              <w:bottom w:val="nil"/>
            </w:tcBorders>
          </w:tcPr>
          <w:p w14:paraId="2160DEA2" w14:textId="1F954173" w:rsidR="004A41D0" w:rsidRPr="000B7E3E" w:rsidRDefault="00F66742" w:rsidP="00771439">
            <w:pPr>
              <w:pStyle w:val="TableText"/>
              <w:jc w:val="right"/>
            </w:pPr>
            <w:r>
              <w:t>–</w:t>
            </w:r>
          </w:p>
        </w:tc>
        <w:tc>
          <w:tcPr>
            <w:tcW w:w="443" w:type="pct"/>
            <w:tcBorders>
              <w:top w:val="single" w:sz="4" w:space="0" w:color="auto"/>
              <w:bottom w:val="nil"/>
            </w:tcBorders>
          </w:tcPr>
          <w:p w14:paraId="1C49A13B" w14:textId="3BFCADBF" w:rsidR="004A41D0" w:rsidRPr="000B7E3E" w:rsidRDefault="00F66742" w:rsidP="00771439">
            <w:pPr>
              <w:pStyle w:val="TableText"/>
              <w:jc w:val="right"/>
            </w:pPr>
            <w:r>
              <w:t>–</w:t>
            </w:r>
          </w:p>
        </w:tc>
        <w:tc>
          <w:tcPr>
            <w:tcW w:w="513" w:type="pct"/>
            <w:tcBorders>
              <w:top w:val="single" w:sz="4" w:space="0" w:color="auto"/>
              <w:bottom w:val="nil"/>
            </w:tcBorders>
          </w:tcPr>
          <w:p w14:paraId="4FBB06A3" w14:textId="67A25179" w:rsidR="004A41D0" w:rsidRPr="000B7E3E" w:rsidRDefault="00F66742" w:rsidP="00771439">
            <w:pPr>
              <w:pStyle w:val="TableText"/>
              <w:jc w:val="right"/>
            </w:pPr>
            <w:r>
              <w:t>–</w:t>
            </w:r>
          </w:p>
        </w:tc>
      </w:tr>
      <w:tr w:rsidR="004A41D0" w:rsidRPr="000B7E3E" w14:paraId="3FCACB4D" w14:textId="77777777" w:rsidTr="004A41D0">
        <w:tc>
          <w:tcPr>
            <w:tcW w:w="751" w:type="pct"/>
            <w:vMerge/>
            <w:tcBorders>
              <w:bottom w:val="single" w:sz="4" w:space="0" w:color="auto"/>
            </w:tcBorders>
          </w:tcPr>
          <w:p w14:paraId="25AEBFAD" w14:textId="77777777" w:rsidR="004A41D0" w:rsidRPr="000B7E3E" w:rsidRDefault="004A41D0" w:rsidP="000B7E3E">
            <w:pPr>
              <w:pStyle w:val="TableText"/>
            </w:pPr>
          </w:p>
        </w:tc>
        <w:tc>
          <w:tcPr>
            <w:tcW w:w="756" w:type="pct"/>
            <w:tcBorders>
              <w:top w:val="nil"/>
              <w:bottom w:val="single" w:sz="4" w:space="0" w:color="auto"/>
            </w:tcBorders>
          </w:tcPr>
          <w:p w14:paraId="3BFC17B4" w14:textId="77777777" w:rsidR="004A41D0" w:rsidRPr="000B7E3E" w:rsidRDefault="004A41D0" w:rsidP="000B7E3E">
            <w:pPr>
              <w:pStyle w:val="TableText"/>
            </w:pPr>
            <w:r w:rsidRPr="000B7E3E">
              <w:t>Stage V</w:t>
            </w:r>
          </w:p>
        </w:tc>
        <w:tc>
          <w:tcPr>
            <w:tcW w:w="760" w:type="pct"/>
            <w:tcBorders>
              <w:top w:val="nil"/>
              <w:bottom w:val="single" w:sz="4" w:space="0" w:color="auto"/>
            </w:tcBorders>
          </w:tcPr>
          <w:p w14:paraId="512635A6" w14:textId="77777777" w:rsidR="004A41D0" w:rsidRPr="000B7E3E" w:rsidRDefault="004A41D0" w:rsidP="000B7E3E">
            <w:pPr>
              <w:pStyle w:val="TableText"/>
            </w:pPr>
            <w:r w:rsidRPr="000B7E3E">
              <w:t>2019</w:t>
            </w:r>
          </w:p>
        </w:tc>
        <w:tc>
          <w:tcPr>
            <w:tcW w:w="656" w:type="pct"/>
            <w:tcBorders>
              <w:top w:val="nil"/>
              <w:bottom w:val="single" w:sz="4" w:space="0" w:color="auto"/>
            </w:tcBorders>
          </w:tcPr>
          <w:p w14:paraId="41E4F24D" w14:textId="77777777" w:rsidR="004A41D0" w:rsidRPr="000B7E3E" w:rsidRDefault="004A41D0" w:rsidP="00771439">
            <w:pPr>
              <w:pStyle w:val="TableText"/>
              <w:jc w:val="right"/>
            </w:pPr>
            <w:r w:rsidRPr="000B7E3E">
              <w:t>8.0</w:t>
            </w:r>
          </w:p>
        </w:tc>
        <w:tc>
          <w:tcPr>
            <w:tcW w:w="600" w:type="pct"/>
            <w:tcBorders>
              <w:top w:val="nil"/>
              <w:bottom w:val="single" w:sz="4" w:space="0" w:color="auto"/>
            </w:tcBorders>
          </w:tcPr>
          <w:p w14:paraId="07305B61" w14:textId="3D279E5C" w:rsidR="004A41D0" w:rsidRPr="000B7E3E" w:rsidRDefault="00F66742" w:rsidP="00771439">
            <w:pPr>
              <w:pStyle w:val="TableText"/>
              <w:jc w:val="right"/>
            </w:pPr>
            <w:r>
              <w:t>–</w:t>
            </w:r>
          </w:p>
        </w:tc>
        <w:tc>
          <w:tcPr>
            <w:tcW w:w="521" w:type="pct"/>
            <w:tcBorders>
              <w:top w:val="nil"/>
              <w:bottom w:val="single" w:sz="4" w:space="0" w:color="auto"/>
            </w:tcBorders>
          </w:tcPr>
          <w:p w14:paraId="652E3ED3" w14:textId="77777777" w:rsidR="004A41D0" w:rsidRPr="000B7E3E" w:rsidRDefault="004A41D0" w:rsidP="00771439">
            <w:pPr>
              <w:pStyle w:val="TableText"/>
              <w:jc w:val="right"/>
            </w:pPr>
            <w:r w:rsidRPr="000B7E3E">
              <w:t>7.5</w:t>
            </w:r>
          </w:p>
        </w:tc>
        <w:tc>
          <w:tcPr>
            <w:tcW w:w="443" w:type="pct"/>
            <w:tcBorders>
              <w:top w:val="nil"/>
              <w:bottom w:val="single" w:sz="4" w:space="0" w:color="auto"/>
            </w:tcBorders>
          </w:tcPr>
          <w:p w14:paraId="3A2D1366" w14:textId="0CD12B5C" w:rsidR="004A41D0" w:rsidRPr="000B7E3E" w:rsidRDefault="00F66742" w:rsidP="00771439">
            <w:pPr>
              <w:pStyle w:val="TableText"/>
              <w:jc w:val="right"/>
            </w:pPr>
            <w:r>
              <w:t>–</w:t>
            </w:r>
          </w:p>
        </w:tc>
        <w:tc>
          <w:tcPr>
            <w:tcW w:w="513" w:type="pct"/>
            <w:tcBorders>
              <w:top w:val="nil"/>
              <w:bottom w:val="single" w:sz="4" w:space="0" w:color="auto"/>
            </w:tcBorders>
          </w:tcPr>
          <w:p w14:paraId="6E4DF55C" w14:textId="77777777" w:rsidR="004A41D0" w:rsidRPr="000B7E3E" w:rsidRDefault="004A41D0" w:rsidP="00771439">
            <w:pPr>
              <w:pStyle w:val="TableText"/>
              <w:jc w:val="right"/>
            </w:pPr>
            <w:r w:rsidRPr="000B7E3E">
              <w:t>0.40</w:t>
            </w:r>
          </w:p>
        </w:tc>
      </w:tr>
      <w:tr w:rsidR="004A41D0" w:rsidRPr="000B7E3E" w14:paraId="4C0C7514" w14:textId="77777777" w:rsidTr="004A41D0">
        <w:tc>
          <w:tcPr>
            <w:tcW w:w="751" w:type="pct"/>
            <w:vMerge w:val="restart"/>
            <w:tcBorders>
              <w:top w:val="single" w:sz="4" w:space="0" w:color="auto"/>
            </w:tcBorders>
          </w:tcPr>
          <w:p w14:paraId="61E60CA2" w14:textId="77777777" w:rsidR="004A41D0" w:rsidRPr="000B7E3E" w:rsidRDefault="004A41D0" w:rsidP="000B7E3E">
            <w:pPr>
              <w:pStyle w:val="TableText"/>
            </w:pPr>
            <w:r w:rsidRPr="000B7E3E">
              <w:t>8 ≤ kW &lt; 19</w:t>
            </w:r>
          </w:p>
        </w:tc>
        <w:tc>
          <w:tcPr>
            <w:tcW w:w="756" w:type="pct"/>
            <w:tcBorders>
              <w:top w:val="single" w:sz="4" w:space="0" w:color="auto"/>
              <w:bottom w:val="nil"/>
            </w:tcBorders>
          </w:tcPr>
          <w:p w14:paraId="517F7D84" w14:textId="77777777" w:rsidR="004A41D0" w:rsidRPr="004A41D0" w:rsidRDefault="004A41D0" w:rsidP="000B7E3E">
            <w:pPr>
              <w:pStyle w:val="TableText"/>
              <w:rPr>
                <w:highlight w:val="yellow"/>
              </w:rPr>
            </w:pPr>
            <w:r w:rsidRPr="00F66742">
              <w:t>Stages I-IV</w:t>
            </w:r>
          </w:p>
        </w:tc>
        <w:tc>
          <w:tcPr>
            <w:tcW w:w="760" w:type="pct"/>
            <w:tcBorders>
              <w:top w:val="single" w:sz="4" w:space="0" w:color="auto"/>
              <w:bottom w:val="nil"/>
            </w:tcBorders>
          </w:tcPr>
          <w:p w14:paraId="22FF028D" w14:textId="591C8E09" w:rsidR="004A41D0" w:rsidRPr="000B7E3E" w:rsidRDefault="00F66742" w:rsidP="000B7E3E">
            <w:pPr>
              <w:pStyle w:val="TableText"/>
            </w:pPr>
            <w:r>
              <w:t>–</w:t>
            </w:r>
          </w:p>
        </w:tc>
        <w:tc>
          <w:tcPr>
            <w:tcW w:w="656" w:type="pct"/>
            <w:tcBorders>
              <w:top w:val="single" w:sz="4" w:space="0" w:color="auto"/>
              <w:bottom w:val="nil"/>
            </w:tcBorders>
          </w:tcPr>
          <w:p w14:paraId="2C11ADA5" w14:textId="3781CB82" w:rsidR="004A41D0" w:rsidRPr="000B7E3E" w:rsidRDefault="00F66742" w:rsidP="00771439">
            <w:pPr>
              <w:pStyle w:val="TableText"/>
              <w:jc w:val="right"/>
            </w:pPr>
            <w:r>
              <w:t>–</w:t>
            </w:r>
          </w:p>
        </w:tc>
        <w:tc>
          <w:tcPr>
            <w:tcW w:w="600" w:type="pct"/>
            <w:tcBorders>
              <w:top w:val="single" w:sz="4" w:space="0" w:color="auto"/>
              <w:bottom w:val="nil"/>
            </w:tcBorders>
          </w:tcPr>
          <w:p w14:paraId="3D3F654A" w14:textId="096904B5" w:rsidR="004A41D0" w:rsidRPr="000B7E3E" w:rsidRDefault="00F66742" w:rsidP="00771439">
            <w:pPr>
              <w:pStyle w:val="TableText"/>
              <w:jc w:val="right"/>
            </w:pPr>
            <w:r>
              <w:t>–</w:t>
            </w:r>
          </w:p>
        </w:tc>
        <w:tc>
          <w:tcPr>
            <w:tcW w:w="521" w:type="pct"/>
            <w:tcBorders>
              <w:top w:val="single" w:sz="4" w:space="0" w:color="auto"/>
              <w:bottom w:val="nil"/>
            </w:tcBorders>
          </w:tcPr>
          <w:p w14:paraId="441D9343" w14:textId="1CE65C5D" w:rsidR="004A41D0" w:rsidRPr="000B7E3E" w:rsidRDefault="00F66742" w:rsidP="00771439">
            <w:pPr>
              <w:pStyle w:val="TableText"/>
              <w:jc w:val="right"/>
            </w:pPr>
            <w:r>
              <w:t>–</w:t>
            </w:r>
          </w:p>
        </w:tc>
        <w:tc>
          <w:tcPr>
            <w:tcW w:w="443" w:type="pct"/>
            <w:tcBorders>
              <w:top w:val="single" w:sz="4" w:space="0" w:color="auto"/>
              <w:bottom w:val="nil"/>
            </w:tcBorders>
          </w:tcPr>
          <w:p w14:paraId="3DA740D7" w14:textId="4C720FA3" w:rsidR="004A41D0" w:rsidRPr="000B7E3E" w:rsidRDefault="00F66742" w:rsidP="00771439">
            <w:pPr>
              <w:pStyle w:val="TableText"/>
              <w:jc w:val="right"/>
            </w:pPr>
            <w:r>
              <w:t>–</w:t>
            </w:r>
          </w:p>
        </w:tc>
        <w:tc>
          <w:tcPr>
            <w:tcW w:w="513" w:type="pct"/>
            <w:tcBorders>
              <w:top w:val="single" w:sz="4" w:space="0" w:color="auto"/>
              <w:bottom w:val="nil"/>
            </w:tcBorders>
          </w:tcPr>
          <w:p w14:paraId="546F473B" w14:textId="4ECEAE5D" w:rsidR="004A41D0" w:rsidRPr="000B7E3E" w:rsidRDefault="00F66742" w:rsidP="00771439">
            <w:pPr>
              <w:pStyle w:val="TableText"/>
              <w:jc w:val="right"/>
            </w:pPr>
            <w:r>
              <w:t>–</w:t>
            </w:r>
          </w:p>
        </w:tc>
      </w:tr>
      <w:tr w:rsidR="004A41D0" w:rsidRPr="000B7E3E" w14:paraId="6FB4455C" w14:textId="77777777" w:rsidTr="004A41D0">
        <w:tc>
          <w:tcPr>
            <w:tcW w:w="751" w:type="pct"/>
            <w:vMerge/>
            <w:tcBorders>
              <w:bottom w:val="single" w:sz="4" w:space="0" w:color="auto"/>
            </w:tcBorders>
          </w:tcPr>
          <w:p w14:paraId="14F46785" w14:textId="77777777" w:rsidR="004A41D0" w:rsidRPr="000B7E3E" w:rsidRDefault="004A41D0" w:rsidP="000B7E3E">
            <w:pPr>
              <w:pStyle w:val="TableText"/>
            </w:pPr>
          </w:p>
        </w:tc>
        <w:tc>
          <w:tcPr>
            <w:tcW w:w="756" w:type="pct"/>
            <w:tcBorders>
              <w:top w:val="nil"/>
              <w:bottom w:val="single" w:sz="4" w:space="0" w:color="auto"/>
            </w:tcBorders>
          </w:tcPr>
          <w:p w14:paraId="7F341854" w14:textId="77777777" w:rsidR="004A41D0" w:rsidRPr="000B7E3E" w:rsidRDefault="004A41D0" w:rsidP="000B7E3E">
            <w:pPr>
              <w:pStyle w:val="TableText"/>
            </w:pPr>
            <w:r w:rsidRPr="000B7E3E">
              <w:t>Stage V</w:t>
            </w:r>
          </w:p>
        </w:tc>
        <w:tc>
          <w:tcPr>
            <w:tcW w:w="760" w:type="pct"/>
            <w:tcBorders>
              <w:top w:val="nil"/>
              <w:bottom w:val="single" w:sz="4" w:space="0" w:color="auto"/>
            </w:tcBorders>
          </w:tcPr>
          <w:p w14:paraId="0C964581" w14:textId="77777777" w:rsidR="004A41D0" w:rsidRPr="000B7E3E" w:rsidRDefault="004A41D0" w:rsidP="000B7E3E">
            <w:pPr>
              <w:pStyle w:val="TableText"/>
            </w:pPr>
            <w:r w:rsidRPr="000B7E3E">
              <w:t>2019</w:t>
            </w:r>
          </w:p>
        </w:tc>
        <w:tc>
          <w:tcPr>
            <w:tcW w:w="656" w:type="pct"/>
            <w:tcBorders>
              <w:top w:val="nil"/>
              <w:bottom w:val="single" w:sz="4" w:space="0" w:color="auto"/>
            </w:tcBorders>
          </w:tcPr>
          <w:p w14:paraId="7BF52A6B" w14:textId="77777777" w:rsidR="004A41D0" w:rsidRPr="000B7E3E" w:rsidRDefault="004A41D0" w:rsidP="00771439">
            <w:pPr>
              <w:pStyle w:val="TableText"/>
              <w:jc w:val="right"/>
            </w:pPr>
            <w:r w:rsidRPr="000B7E3E">
              <w:t>6.6</w:t>
            </w:r>
          </w:p>
        </w:tc>
        <w:tc>
          <w:tcPr>
            <w:tcW w:w="600" w:type="pct"/>
            <w:tcBorders>
              <w:top w:val="nil"/>
              <w:bottom w:val="single" w:sz="4" w:space="0" w:color="auto"/>
            </w:tcBorders>
          </w:tcPr>
          <w:p w14:paraId="076952CB" w14:textId="7788B1AF" w:rsidR="004A41D0" w:rsidRPr="000B7E3E" w:rsidRDefault="00F66742" w:rsidP="00771439">
            <w:pPr>
              <w:pStyle w:val="TableText"/>
              <w:jc w:val="right"/>
            </w:pPr>
            <w:r>
              <w:t>–</w:t>
            </w:r>
          </w:p>
        </w:tc>
        <w:tc>
          <w:tcPr>
            <w:tcW w:w="521" w:type="pct"/>
            <w:tcBorders>
              <w:top w:val="nil"/>
              <w:bottom w:val="single" w:sz="4" w:space="0" w:color="auto"/>
            </w:tcBorders>
          </w:tcPr>
          <w:p w14:paraId="6E99FC67" w14:textId="77777777" w:rsidR="004A41D0" w:rsidRPr="000B7E3E" w:rsidRDefault="004A41D0" w:rsidP="00771439">
            <w:pPr>
              <w:pStyle w:val="TableText"/>
              <w:jc w:val="right"/>
            </w:pPr>
            <w:r w:rsidRPr="000B7E3E">
              <w:t>7.5</w:t>
            </w:r>
          </w:p>
        </w:tc>
        <w:tc>
          <w:tcPr>
            <w:tcW w:w="443" w:type="pct"/>
            <w:tcBorders>
              <w:top w:val="nil"/>
              <w:bottom w:val="single" w:sz="4" w:space="0" w:color="auto"/>
            </w:tcBorders>
          </w:tcPr>
          <w:p w14:paraId="2474E046" w14:textId="1EBDD398" w:rsidR="004A41D0" w:rsidRPr="000B7E3E" w:rsidRDefault="00F66742" w:rsidP="00771439">
            <w:pPr>
              <w:pStyle w:val="TableText"/>
              <w:jc w:val="right"/>
            </w:pPr>
            <w:r>
              <w:t>–</w:t>
            </w:r>
          </w:p>
        </w:tc>
        <w:tc>
          <w:tcPr>
            <w:tcW w:w="513" w:type="pct"/>
            <w:tcBorders>
              <w:top w:val="nil"/>
              <w:bottom w:val="single" w:sz="4" w:space="0" w:color="auto"/>
            </w:tcBorders>
          </w:tcPr>
          <w:p w14:paraId="32CCA3CA" w14:textId="77777777" w:rsidR="004A41D0" w:rsidRPr="000B7E3E" w:rsidRDefault="004A41D0" w:rsidP="00771439">
            <w:pPr>
              <w:pStyle w:val="TableText"/>
              <w:jc w:val="right"/>
            </w:pPr>
            <w:r w:rsidRPr="000B7E3E">
              <w:t>0.40</w:t>
            </w:r>
          </w:p>
        </w:tc>
      </w:tr>
      <w:tr w:rsidR="004A41D0" w:rsidRPr="000B7E3E" w14:paraId="1E86FC9F" w14:textId="77777777" w:rsidTr="004A41D0">
        <w:tc>
          <w:tcPr>
            <w:tcW w:w="751" w:type="pct"/>
            <w:vMerge w:val="restart"/>
            <w:tcBorders>
              <w:top w:val="single" w:sz="4" w:space="0" w:color="auto"/>
            </w:tcBorders>
          </w:tcPr>
          <w:p w14:paraId="71D5D779" w14:textId="77777777" w:rsidR="004A41D0" w:rsidRPr="000B7E3E" w:rsidRDefault="004A41D0" w:rsidP="000B7E3E">
            <w:pPr>
              <w:pStyle w:val="TableText"/>
            </w:pPr>
            <w:r w:rsidRPr="000B7E3E">
              <w:t>19≤ kW &lt; 37</w:t>
            </w:r>
          </w:p>
        </w:tc>
        <w:tc>
          <w:tcPr>
            <w:tcW w:w="756" w:type="pct"/>
            <w:tcBorders>
              <w:top w:val="single" w:sz="4" w:space="0" w:color="auto"/>
            </w:tcBorders>
          </w:tcPr>
          <w:p w14:paraId="33B8434E" w14:textId="77777777" w:rsidR="004A41D0" w:rsidRPr="004A41D0" w:rsidRDefault="004A41D0" w:rsidP="000B7E3E">
            <w:pPr>
              <w:pStyle w:val="TableText"/>
              <w:rPr>
                <w:highlight w:val="yellow"/>
              </w:rPr>
            </w:pPr>
            <w:r w:rsidRPr="00F66742">
              <w:t>Stage I</w:t>
            </w:r>
          </w:p>
        </w:tc>
        <w:tc>
          <w:tcPr>
            <w:tcW w:w="760" w:type="pct"/>
            <w:tcBorders>
              <w:top w:val="single" w:sz="4" w:space="0" w:color="auto"/>
            </w:tcBorders>
          </w:tcPr>
          <w:p w14:paraId="3EFAD509" w14:textId="6A0410EE" w:rsidR="004A41D0" w:rsidRPr="000B7E3E" w:rsidRDefault="00F66742" w:rsidP="000B7E3E">
            <w:pPr>
              <w:pStyle w:val="TableText"/>
            </w:pPr>
            <w:r>
              <w:t>–</w:t>
            </w:r>
          </w:p>
        </w:tc>
        <w:tc>
          <w:tcPr>
            <w:tcW w:w="656" w:type="pct"/>
            <w:tcBorders>
              <w:top w:val="single" w:sz="4" w:space="0" w:color="auto"/>
            </w:tcBorders>
          </w:tcPr>
          <w:p w14:paraId="37CBA1F9" w14:textId="390A70EC" w:rsidR="004A41D0" w:rsidRPr="000B7E3E" w:rsidRDefault="00F66742" w:rsidP="00771439">
            <w:pPr>
              <w:pStyle w:val="TableText"/>
              <w:jc w:val="right"/>
            </w:pPr>
            <w:r>
              <w:t>–</w:t>
            </w:r>
          </w:p>
        </w:tc>
        <w:tc>
          <w:tcPr>
            <w:tcW w:w="600" w:type="pct"/>
            <w:tcBorders>
              <w:top w:val="single" w:sz="4" w:space="0" w:color="auto"/>
            </w:tcBorders>
          </w:tcPr>
          <w:p w14:paraId="1A118FEC" w14:textId="609AEE3E" w:rsidR="004A41D0" w:rsidRPr="000B7E3E" w:rsidRDefault="00F66742" w:rsidP="00771439">
            <w:pPr>
              <w:pStyle w:val="TableText"/>
              <w:jc w:val="right"/>
            </w:pPr>
            <w:r>
              <w:t>–</w:t>
            </w:r>
          </w:p>
        </w:tc>
        <w:tc>
          <w:tcPr>
            <w:tcW w:w="521" w:type="pct"/>
            <w:tcBorders>
              <w:top w:val="single" w:sz="4" w:space="0" w:color="auto"/>
            </w:tcBorders>
          </w:tcPr>
          <w:p w14:paraId="2ECB08A2" w14:textId="32B29891" w:rsidR="004A41D0" w:rsidRPr="000B7E3E" w:rsidRDefault="00F66742" w:rsidP="00771439">
            <w:pPr>
              <w:pStyle w:val="TableText"/>
              <w:jc w:val="right"/>
            </w:pPr>
            <w:r>
              <w:t>–</w:t>
            </w:r>
          </w:p>
        </w:tc>
        <w:tc>
          <w:tcPr>
            <w:tcW w:w="443" w:type="pct"/>
            <w:tcBorders>
              <w:top w:val="single" w:sz="4" w:space="0" w:color="auto"/>
            </w:tcBorders>
          </w:tcPr>
          <w:p w14:paraId="3E16F5A9" w14:textId="0893B691" w:rsidR="004A41D0" w:rsidRPr="000B7E3E" w:rsidRDefault="00F66742" w:rsidP="00771439">
            <w:pPr>
              <w:pStyle w:val="TableText"/>
              <w:jc w:val="right"/>
            </w:pPr>
            <w:r>
              <w:t>–</w:t>
            </w:r>
          </w:p>
        </w:tc>
        <w:tc>
          <w:tcPr>
            <w:tcW w:w="513" w:type="pct"/>
            <w:tcBorders>
              <w:top w:val="single" w:sz="4" w:space="0" w:color="auto"/>
            </w:tcBorders>
          </w:tcPr>
          <w:p w14:paraId="11DB20D3" w14:textId="25CF7B85" w:rsidR="004A41D0" w:rsidRPr="000B7E3E" w:rsidRDefault="00F66742" w:rsidP="00771439">
            <w:pPr>
              <w:pStyle w:val="TableText"/>
              <w:jc w:val="right"/>
            </w:pPr>
            <w:r>
              <w:t>–</w:t>
            </w:r>
          </w:p>
        </w:tc>
      </w:tr>
      <w:tr w:rsidR="004A41D0" w:rsidRPr="000B7E3E" w14:paraId="2B24F959" w14:textId="77777777" w:rsidTr="004A41D0">
        <w:tc>
          <w:tcPr>
            <w:tcW w:w="751" w:type="pct"/>
            <w:vMerge/>
          </w:tcPr>
          <w:p w14:paraId="3B961B8E" w14:textId="77777777" w:rsidR="004A41D0" w:rsidRPr="000B7E3E" w:rsidRDefault="004A41D0" w:rsidP="000B7E3E">
            <w:pPr>
              <w:pStyle w:val="TableText"/>
            </w:pPr>
          </w:p>
        </w:tc>
        <w:tc>
          <w:tcPr>
            <w:tcW w:w="756" w:type="pct"/>
          </w:tcPr>
          <w:p w14:paraId="08ABEE7B" w14:textId="77777777" w:rsidR="004A41D0" w:rsidRPr="000B7E3E" w:rsidRDefault="004A41D0" w:rsidP="000B7E3E">
            <w:pPr>
              <w:pStyle w:val="TableText"/>
            </w:pPr>
            <w:r w:rsidRPr="000B7E3E">
              <w:t>Stage II</w:t>
            </w:r>
          </w:p>
        </w:tc>
        <w:tc>
          <w:tcPr>
            <w:tcW w:w="760" w:type="pct"/>
          </w:tcPr>
          <w:p w14:paraId="46E89AA2" w14:textId="77777777" w:rsidR="004A41D0" w:rsidRPr="000B7E3E" w:rsidRDefault="004A41D0" w:rsidP="000B7E3E">
            <w:pPr>
              <w:pStyle w:val="TableText"/>
            </w:pPr>
            <w:r w:rsidRPr="000B7E3E">
              <w:t>2001 (01)</w:t>
            </w:r>
          </w:p>
        </w:tc>
        <w:tc>
          <w:tcPr>
            <w:tcW w:w="656" w:type="pct"/>
          </w:tcPr>
          <w:p w14:paraId="64810A4C" w14:textId="77777777" w:rsidR="004A41D0" w:rsidRPr="000B7E3E" w:rsidRDefault="004A41D0" w:rsidP="00771439">
            <w:pPr>
              <w:pStyle w:val="TableText"/>
              <w:jc w:val="right"/>
            </w:pPr>
            <w:r w:rsidRPr="000B7E3E">
              <w:t>5.5</w:t>
            </w:r>
          </w:p>
        </w:tc>
        <w:tc>
          <w:tcPr>
            <w:tcW w:w="600" w:type="pct"/>
          </w:tcPr>
          <w:p w14:paraId="4574F075" w14:textId="77777777" w:rsidR="004A41D0" w:rsidRPr="000B7E3E" w:rsidRDefault="004A41D0" w:rsidP="00771439">
            <w:pPr>
              <w:pStyle w:val="TableText"/>
              <w:jc w:val="right"/>
            </w:pPr>
            <w:r w:rsidRPr="000B7E3E">
              <w:t>1.5</w:t>
            </w:r>
          </w:p>
        </w:tc>
        <w:tc>
          <w:tcPr>
            <w:tcW w:w="521" w:type="pct"/>
          </w:tcPr>
          <w:p w14:paraId="32399318" w14:textId="729BFCF1" w:rsidR="004A41D0" w:rsidRPr="000B7E3E" w:rsidRDefault="00F66742" w:rsidP="00771439">
            <w:pPr>
              <w:pStyle w:val="TableText"/>
              <w:jc w:val="right"/>
            </w:pPr>
            <w:r>
              <w:t>–</w:t>
            </w:r>
          </w:p>
        </w:tc>
        <w:tc>
          <w:tcPr>
            <w:tcW w:w="443" w:type="pct"/>
          </w:tcPr>
          <w:p w14:paraId="65CCCA58" w14:textId="77777777" w:rsidR="004A41D0" w:rsidRPr="000B7E3E" w:rsidRDefault="004A41D0" w:rsidP="00771439">
            <w:pPr>
              <w:pStyle w:val="TableText"/>
              <w:jc w:val="right"/>
            </w:pPr>
            <w:r w:rsidRPr="000B7E3E">
              <w:t>8.0</w:t>
            </w:r>
          </w:p>
        </w:tc>
        <w:tc>
          <w:tcPr>
            <w:tcW w:w="513" w:type="pct"/>
          </w:tcPr>
          <w:p w14:paraId="7C7B8EDF" w14:textId="77777777" w:rsidR="004A41D0" w:rsidRPr="000B7E3E" w:rsidRDefault="004A41D0" w:rsidP="00771439">
            <w:pPr>
              <w:pStyle w:val="TableText"/>
              <w:jc w:val="right"/>
            </w:pPr>
            <w:r w:rsidRPr="000B7E3E">
              <w:t>0.8</w:t>
            </w:r>
          </w:p>
        </w:tc>
      </w:tr>
      <w:tr w:rsidR="004A41D0" w:rsidRPr="000B7E3E" w14:paraId="6C6A9227" w14:textId="77777777" w:rsidTr="004A41D0">
        <w:tc>
          <w:tcPr>
            <w:tcW w:w="751" w:type="pct"/>
            <w:vMerge/>
          </w:tcPr>
          <w:p w14:paraId="447E9A62" w14:textId="77777777" w:rsidR="004A41D0" w:rsidRPr="000B7E3E" w:rsidRDefault="004A41D0" w:rsidP="000B7E3E">
            <w:pPr>
              <w:pStyle w:val="TableText"/>
            </w:pPr>
          </w:p>
        </w:tc>
        <w:tc>
          <w:tcPr>
            <w:tcW w:w="756" w:type="pct"/>
          </w:tcPr>
          <w:p w14:paraId="47F56D47" w14:textId="77777777" w:rsidR="004A41D0" w:rsidRPr="000B7E3E" w:rsidRDefault="004A41D0" w:rsidP="000B7E3E">
            <w:pPr>
              <w:pStyle w:val="TableText"/>
            </w:pPr>
            <w:r w:rsidRPr="000B7E3E">
              <w:t>Stage IIIA</w:t>
            </w:r>
          </w:p>
        </w:tc>
        <w:tc>
          <w:tcPr>
            <w:tcW w:w="760" w:type="pct"/>
          </w:tcPr>
          <w:p w14:paraId="2D6E282B" w14:textId="77777777" w:rsidR="004A41D0" w:rsidRPr="000B7E3E" w:rsidRDefault="004A41D0" w:rsidP="000B7E3E">
            <w:pPr>
              <w:pStyle w:val="TableText"/>
            </w:pPr>
            <w:r w:rsidRPr="000B7E3E">
              <w:t>2007 (01)</w:t>
            </w:r>
          </w:p>
        </w:tc>
        <w:tc>
          <w:tcPr>
            <w:tcW w:w="656" w:type="pct"/>
          </w:tcPr>
          <w:p w14:paraId="7607B842" w14:textId="77777777" w:rsidR="004A41D0" w:rsidRPr="000B7E3E" w:rsidRDefault="004A41D0" w:rsidP="00771439">
            <w:pPr>
              <w:pStyle w:val="TableText"/>
              <w:jc w:val="right"/>
            </w:pPr>
            <w:r w:rsidRPr="000B7E3E">
              <w:t>5.5</w:t>
            </w:r>
          </w:p>
        </w:tc>
        <w:tc>
          <w:tcPr>
            <w:tcW w:w="600" w:type="pct"/>
          </w:tcPr>
          <w:p w14:paraId="2134B67D" w14:textId="6E5E73AB" w:rsidR="004A41D0" w:rsidRPr="000B7E3E" w:rsidRDefault="00F66742" w:rsidP="00771439">
            <w:pPr>
              <w:pStyle w:val="TableText"/>
              <w:jc w:val="right"/>
            </w:pPr>
            <w:r>
              <w:t>–</w:t>
            </w:r>
          </w:p>
        </w:tc>
        <w:tc>
          <w:tcPr>
            <w:tcW w:w="521" w:type="pct"/>
          </w:tcPr>
          <w:p w14:paraId="7E498C48" w14:textId="77777777" w:rsidR="004A41D0" w:rsidRPr="000B7E3E" w:rsidRDefault="004A41D0" w:rsidP="00771439">
            <w:pPr>
              <w:pStyle w:val="TableText"/>
              <w:jc w:val="right"/>
            </w:pPr>
            <w:r w:rsidRPr="000B7E3E">
              <w:t>7.5</w:t>
            </w:r>
          </w:p>
        </w:tc>
        <w:tc>
          <w:tcPr>
            <w:tcW w:w="443" w:type="pct"/>
          </w:tcPr>
          <w:p w14:paraId="6697B32B" w14:textId="64B703E6" w:rsidR="004A41D0" w:rsidRPr="000B7E3E" w:rsidRDefault="00F66742" w:rsidP="00771439">
            <w:pPr>
              <w:pStyle w:val="TableText"/>
              <w:jc w:val="right"/>
            </w:pPr>
            <w:r>
              <w:t>–</w:t>
            </w:r>
          </w:p>
        </w:tc>
        <w:tc>
          <w:tcPr>
            <w:tcW w:w="513" w:type="pct"/>
          </w:tcPr>
          <w:p w14:paraId="64C17320" w14:textId="77777777" w:rsidR="004A41D0" w:rsidRPr="000B7E3E" w:rsidRDefault="004A41D0" w:rsidP="00771439">
            <w:pPr>
              <w:pStyle w:val="TableText"/>
              <w:jc w:val="right"/>
            </w:pPr>
            <w:r w:rsidRPr="000B7E3E">
              <w:t>0.6</w:t>
            </w:r>
          </w:p>
        </w:tc>
      </w:tr>
      <w:tr w:rsidR="004A41D0" w:rsidRPr="000B7E3E" w14:paraId="0FC762D7" w14:textId="77777777" w:rsidTr="004A41D0">
        <w:tc>
          <w:tcPr>
            <w:tcW w:w="751" w:type="pct"/>
            <w:vMerge/>
          </w:tcPr>
          <w:p w14:paraId="4F75C1DA" w14:textId="77777777" w:rsidR="004A41D0" w:rsidRPr="000B7E3E" w:rsidRDefault="004A41D0" w:rsidP="000B7E3E">
            <w:pPr>
              <w:pStyle w:val="TableText"/>
            </w:pPr>
          </w:p>
        </w:tc>
        <w:tc>
          <w:tcPr>
            <w:tcW w:w="756" w:type="pct"/>
            <w:tcBorders>
              <w:bottom w:val="nil"/>
            </w:tcBorders>
          </w:tcPr>
          <w:p w14:paraId="739AA062" w14:textId="77777777" w:rsidR="004A41D0" w:rsidRPr="004A41D0" w:rsidRDefault="004A41D0" w:rsidP="000B7E3E">
            <w:pPr>
              <w:pStyle w:val="TableText"/>
              <w:rPr>
                <w:highlight w:val="yellow"/>
              </w:rPr>
            </w:pPr>
            <w:r w:rsidRPr="00F66742">
              <w:t>Stages IIIB-IV</w:t>
            </w:r>
          </w:p>
        </w:tc>
        <w:tc>
          <w:tcPr>
            <w:tcW w:w="760" w:type="pct"/>
            <w:tcBorders>
              <w:bottom w:val="nil"/>
            </w:tcBorders>
          </w:tcPr>
          <w:p w14:paraId="0E07C7CA" w14:textId="23C2628D" w:rsidR="004A41D0" w:rsidRPr="000B7E3E" w:rsidRDefault="00F66742" w:rsidP="000B7E3E">
            <w:pPr>
              <w:pStyle w:val="TableText"/>
            </w:pPr>
            <w:r>
              <w:t>–</w:t>
            </w:r>
          </w:p>
        </w:tc>
        <w:tc>
          <w:tcPr>
            <w:tcW w:w="656" w:type="pct"/>
            <w:tcBorders>
              <w:bottom w:val="nil"/>
            </w:tcBorders>
          </w:tcPr>
          <w:p w14:paraId="5B885158" w14:textId="734B8EC4" w:rsidR="004A41D0" w:rsidRPr="000B7E3E" w:rsidRDefault="00F66742" w:rsidP="00771439">
            <w:pPr>
              <w:pStyle w:val="TableText"/>
              <w:jc w:val="right"/>
            </w:pPr>
            <w:r>
              <w:t>–</w:t>
            </w:r>
          </w:p>
        </w:tc>
        <w:tc>
          <w:tcPr>
            <w:tcW w:w="600" w:type="pct"/>
            <w:tcBorders>
              <w:bottom w:val="nil"/>
            </w:tcBorders>
          </w:tcPr>
          <w:p w14:paraId="17A58951" w14:textId="34B0E359" w:rsidR="004A41D0" w:rsidRPr="000B7E3E" w:rsidRDefault="00F66742" w:rsidP="00771439">
            <w:pPr>
              <w:pStyle w:val="TableText"/>
              <w:jc w:val="right"/>
            </w:pPr>
            <w:r>
              <w:t>–</w:t>
            </w:r>
          </w:p>
        </w:tc>
        <w:tc>
          <w:tcPr>
            <w:tcW w:w="521" w:type="pct"/>
            <w:tcBorders>
              <w:bottom w:val="nil"/>
            </w:tcBorders>
          </w:tcPr>
          <w:p w14:paraId="4491B4ED" w14:textId="010EA7C6" w:rsidR="004A41D0" w:rsidRPr="000B7E3E" w:rsidRDefault="00F66742" w:rsidP="00771439">
            <w:pPr>
              <w:pStyle w:val="TableText"/>
              <w:jc w:val="right"/>
            </w:pPr>
            <w:r>
              <w:t>–</w:t>
            </w:r>
          </w:p>
        </w:tc>
        <w:tc>
          <w:tcPr>
            <w:tcW w:w="443" w:type="pct"/>
            <w:tcBorders>
              <w:bottom w:val="nil"/>
            </w:tcBorders>
          </w:tcPr>
          <w:p w14:paraId="24D6D366" w14:textId="2A4713A0" w:rsidR="004A41D0" w:rsidRPr="000B7E3E" w:rsidRDefault="00F66742" w:rsidP="00771439">
            <w:pPr>
              <w:pStyle w:val="TableText"/>
              <w:jc w:val="right"/>
            </w:pPr>
            <w:r>
              <w:t>–</w:t>
            </w:r>
          </w:p>
        </w:tc>
        <w:tc>
          <w:tcPr>
            <w:tcW w:w="513" w:type="pct"/>
            <w:tcBorders>
              <w:bottom w:val="nil"/>
            </w:tcBorders>
          </w:tcPr>
          <w:p w14:paraId="6078A7BA" w14:textId="03C8998D" w:rsidR="004A41D0" w:rsidRPr="000B7E3E" w:rsidRDefault="00F66742" w:rsidP="00771439">
            <w:pPr>
              <w:pStyle w:val="TableText"/>
              <w:jc w:val="right"/>
            </w:pPr>
            <w:r>
              <w:t>–</w:t>
            </w:r>
          </w:p>
        </w:tc>
      </w:tr>
      <w:tr w:rsidR="004A41D0" w:rsidRPr="000B7E3E" w14:paraId="5556CDD5" w14:textId="77777777" w:rsidTr="004A41D0">
        <w:tc>
          <w:tcPr>
            <w:tcW w:w="751" w:type="pct"/>
            <w:vMerge/>
            <w:tcBorders>
              <w:bottom w:val="single" w:sz="4" w:space="0" w:color="auto"/>
            </w:tcBorders>
          </w:tcPr>
          <w:p w14:paraId="6F278488" w14:textId="77777777" w:rsidR="004A41D0" w:rsidRPr="000B7E3E" w:rsidRDefault="004A41D0" w:rsidP="000B7E3E">
            <w:pPr>
              <w:pStyle w:val="TableText"/>
            </w:pPr>
          </w:p>
        </w:tc>
        <w:tc>
          <w:tcPr>
            <w:tcW w:w="756" w:type="pct"/>
            <w:tcBorders>
              <w:top w:val="nil"/>
              <w:bottom w:val="single" w:sz="4" w:space="0" w:color="auto"/>
            </w:tcBorders>
          </w:tcPr>
          <w:p w14:paraId="5A14389C" w14:textId="77777777" w:rsidR="004A41D0" w:rsidRPr="000B7E3E" w:rsidRDefault="004A41D0" w:rsidP="000B7E3E">
            <w:pPr>
              <w:pStyle w:val="TableText"/>
            </w:pPr>
            <w:r w:rsidRPr="000B7E3E">
              <w:t>Stage V</w:t>
            </w:r>
          </w:p>
        </w:tc>
        <w:tc>
          <w:tcPr>
            <w:tcW w:w="760" w:type="pct"/>
            <w:tcBorders>
              <w:top w:val="nil"/>
              <w:bottom w:val="single" w:sz="4" w:space="0" w:color="auto"/>
            </w:tcBorders>
          </w:tcPr>
          <w:p w14:paraId="54CCA564" w14:textId="77777777" w:rsidR="004A41D0" w:rsidRPr="000B7E3E" w:rsidRDefault="004A41D0" w:rsidP="000B7E3E">
            <w:pPr>
              <w:pStyle w:val="TableText"/>
            </w:pPr>
            <w:r w:rsidRPr="000B7E3E">
              <w:t>2019</w:t>
            </w:r>
          </w:p>
        </w:tc>
        <w:tc>
          <w:tcPr>
            <w:tcW w:w="656" w:type="pct"/>
            <w:tcBorders>
              <w:top w:val="nil"/>
              <w:bottom w:val="single" w:sz="4" w:space="0" w:color="auto"/>
            </w:tcBorders>
          </w:tcPr>
          <w:p w14:paraId="49F1DCAC" w14:textId="77777777" w:rsidR="004A41D0" w:rsidRPr="000B7E3E" w:rsidRDefault="004A41D0" w:rsidP="00771439">
            <w:pPr>
              <w:pStyle w:val="TableText"/>
              <w:jc w:val="right"/>
            </w:pPr>
            <w:r w:rsidRPr="000B7E3E">
              <w:t>5.0</w:t>
            </w:r>
          </w:p>
        </w:tc>
        <w:tc>
          <w:tcPr>
            <w:tcW w:w="600" w:type="pct"/>
            <w:tcBorders>
              <w:top w:val="nil"/>
              <w:bottom w:val="single" w:sz="4" w:space="0" w:color="auto"/>
            </w:tcBorders>
          </w:tcPr>
          <w:p w14:paraId="5EAB892D" w14:textId="728AB636" w:rsidR="004A41D0" w:rsidRPr="000B7E3E" w:rsidRDefault="00F66742" w:rsidP="00771439">
            <w:pPr>
              <w:pStyle w:val="TableText"/>
              <w:jc w:val="right"/>
            </w:pPr>
            <w:r>
              <w:t>–</w:t>
            </w:r>
          </w:p>
        </w:tc>
        <w:tc>
          <w:tcPr>
            <w:tcW w:w="521" w:type="pct"/>
            <w:tcBorders>
              <w:top w:val="nil"/>
              <w:bottom w:val="single" w:sz="4" w:space="0" w:color="auto"/>
            </w:tcBorders>
          </w:tcPr>
          <w:p w14:paraId="75BA6341" w14:textId="77777777" w:rsidR="004A41D0" w:rsidRPr="000B7E3E" w:rsidRDefault="004A41D0" w:rsidP="00771439">
            <w:pPr>
              <w:pStyle w:val="TableText"/>
              <w:jc w:val="right"/>
            </w:pPr>
            <w:r w:rsidRPr="000B7E3E">
              <w:t>4.7</w:t>
            </w:r>
          </w:p>
        </w:tc>
        <w:tc>
          <w:tcPr>
            <w:tcW w:w="443" w:type="pct"/>
            <w:tcBorders>
              <w:top w:val="nil"/>
              <w:bottom w:val="single" w:sz="4" w:space="0" w:color="auto"/>
            </w:tcBorders>
          </w:tcPr>
          <w:p w14:paraId="0A7EA1A3" w14:textId="307E9964" w:rsidR="004A41D0" w:rsidRPr="000B7E3E" w:rsidRDefault="00F66742" w:rsidP="00771439">
            <w:pPr>
              <w:pStyle w:val="TableText"/>
              <w:jc w:val="right"/>
            </w:pPr>
            <w:r>
              <w:t>–</w:t>
            </w:r>
          </w:p>
        </w:tc>
        <w:tc>
          <w:tcPr>
            <w:tcW w:w="513" w:type="pct"/>
            <w:tcBorders>
              <w:top w:val="nil"/>
              <w:bottom w:val="single" w:sz="4" w:space="0" w:color="auto"/>
            </w:tcBorders>
          </w:tcPr>
          <w:p w14:paraId="370BA8C8" w14:textId="176408CC" w:rsidR="004A41D0" w:rsidRPr="000B7E3E" w:rsidRDefault="004A41D0" w:rsidP="00771439">
            <w:pPr>
              <w:pStyle w:val="TableText"/>
              <w:jc w:val="right"/>
            </w:pPr>
            <w:r w:rsidRPr="000B7E3E">
              <w:t>0.015</w:t>
            </w:r>
            <w:r w:rsidR="00B6670B" w:rsidRPr="00B6670B">
              <w:rPr>
                <w:rStyle w:val="Strong"/>
              </w:rPr>
              <w:t>a</w:t>
            </w:r>
          </w:p>
        </w:tc>
      </w:tr>
      <w:tr w:rsidR="004A41D0" w:rsidRPr="000B7E3E" w14:paraId="48DD7058" w14:textId="77777777" w:rsidTr="004A41D0">
        <w:tc>
          <w:tcPr>
            <w:tcW w:w="751" w:type="pct"/>
            <w:vMerge w:val="restart"/>
            <w:tcBorders>
              <w:top w:val="single" w:sz="4" w:space="0" w:color="auto"/>
            </w:tcBorders>
          </w:tcPr>
          <w:p w14:paraId="7E2341A9" w14:textId="77777777" w:rsidR="004A41D0" w:rsidRPr="000B7E3E" w:rsidRDefault="004A41D0" w:rsidP="000B7E3E">
            <w:pPr>
              <w:pStyle w:val="TableText"/>
            </w:pPr>
            <w:r w:rsidRPr="000B7E3E">
              <w:t>37≤ kW &lt; 56</w:t>
            </w:r>
          </w:p>
        </w:tc>
        <w:tc>
          <w:tcPr>
            <w:tcW w:w="756" w:type="pct"/>
            <w:tcBorders>
              <w:top w:val="single" w:sz="4" w:space="0" w:color="auto"/>
            </w:tcBorders>
          </w:tcPr>
          <w:p w14:paraId="299AF611" w14:textId="77777777" w:rsidR="004A41D0" w:rsidRPr="000B7E3E" w:rsidRDefault="004A41D0" w:rsidP="000B7E3E">
            <w:pPr>
              <w:pStyle w:val="TableText"/>
            </w:pPr>
            <w:r w:rsidRPr="000B7E3E">
              <w:t>Stage I</w:t>
            </w:r>
          </w:p>
        </w:tc>
        <w:tc>
          <w:tcPr>
            <w:tcW w:w="760" w:type="pct"/>
            <w:tcBorders>
              <w:top w:val="single" w:sz="4" w:space="0" w:color="auto"/>
            </w:tcBorders>
          </w:tcPr>
          <w:p w14:paraId="38DEC5D0" w14:textId="77777777" w:rsidR="004A41D0" w:rsidRPr="000B7E3E" w:rsidRDefault="004A41D0" w:rsidP="000B7E3E">
            <w:pPr>
              <w:pStyle w:val="TableText"/>
            </w:pPr>
            <w:r w:rsidRPr="000B7E3E">
              <w:t>1999 (04)</w:t>
            </w:r>
          </w:p>
        </w:tc>
        <w:tc>
          <w:tcPr>
            <w:tcW w:w="656" w:type="pct"/>
            <w:tcBorders>
              <w:top w:val="single" w:sz="4" w:space="0" w:color="auto"/>
            </w:tcBorders>
          </w:tcPr>
          <w:p w14:paraId="55579C05" w14:textId="77777777" w:rsidR="004A41D0" w:rsidRPr="000B7E3E" w:rsidRDefault="004A41D0" w:rsidP="00771439">
            <w:pPr>
              <w:pStyle w:val="TableText"/>
              <w:jc w:val="right"/>
            </w:pPr>
            <w:r w:rsidRPr="000B7E3E">
              <w:t>6.5</w:t>
            </w:r>
          </w:p>
        </w:tc>
        <w:tc>
          <w:tcPr>
            <w:tcW w:w="600" w:type="pct"/>
            <w:tcBorders>
              <w:top w:val="single" w:sz="4" w:space="0" w:color="auto"/>
            </w:tcBorders>
          </w:tcPr>
          <w:p w14:paraId="1D095565" w14:textId="77777777" w:rsidR="004A41D0" w:rsidRPr="000B7E3E" w:rsidRDefault="004A41D0" w:rsidP="00771439">
            <w:pPr>
              <w:pStyle w:val="TableText"/>
              <w:jc w:val="right"/>
            </w:pPr>
            <w:r w:rsidRPr="000B7E3E">
              <w:t>1.3</w:t>
            </w:r>
          </w:p>
        </w:tc>
        <w:tc>
          <w:tcPr>
            <w:tcW w:w="521" w:type="pct"/>
            <w:tcBorders>
              <w:top w:val="single" w:sz="4" w:space="0" w:color="auto"/>
            </w:tcBorders>
          </w:tcPr>
          <w:p w14:paraId="0A1DB48C" w14:textId="44BCDFE9" w:rsidR="004A41D0" w:rsidRPr="000B7E3E" w:rsidRDefault="00F66742" w:rsidP="00771439">
            <w:pPr>
              <w:pStyle w:val="TableText"/>
              <w:jc w:val="right"/>
            </w:pPr>
            <w:r>
              <w:t>–</w:t>
            </w:r>
          </w:p>
        </w:tc>
        <w:tc>
          <w:tcPr>
            <w:tcW w:w="443" w:type="pct"/>
            <w:tcBorders>
              <w:top w:val="single" w:sz="4" w:space="0" w:color="auto"/>
            </w:tcBorders>
          </w:tcPr>
          <w:p w14:paraId="30A422D2" w14:textId="77777777" w:rsidR="004A41D0" w:rsidRPr="000B7E3E" w:rsidRDefault="004A41D0" w:rsidP="00771439">
            <w:pPr>
              <w:pStyle w:val="TableText"/>
              <w:jc w:val="right"/>
            </w:pPr>
            <w:r w:rsidRPr="000B7E3E">
              <w:t>9.2</w:t>
            </w:r>
          </w:p>
        </w:tc>
        <w:tc>
          <w:tcPr>
            <w:tcW w:w="513" w:type="pct"/>
            <w:tcBorders>
              <w:top w:val="single" w:sz="4" w:space="0" w:color="auto"/>
            </w:tcBorders>
          </w:tcPr>
          <w:p w14:paraId="23D8A277" w14:textId="77777777" w:rsidR="004A41D0" w:rsidRPr="000B7E3E" w:rsidRDefault="004A41D0" w:rsidP="00771439">
            <w:pPr>
              <w:pStyle w:val="TableText"/>
              <w:jc w:val="right"/>
            </w:pPr>
            <w:r w:rsidRPr="000B7E3E">
              <w:t>0.85</w:t>
            </w:r>
          </w:p>
        </w:tc>
      </w:tr>
      <w:tr w:rsidR="004A41D0" w:rsidRPr="000B7E3E" w14:paraId="40B21DBC" w14:textId="77777777" w:rsidTr="004A41D0">
        <w:tc>
          <w:tcPr>
            <w:tcW w:w="751" w:type="pct"/>
            <w:vMerge/>
          </w:tcPr>
          <w:p w14:paraId="722BB3E3" w14:textId="77777777" w:rsidR="004A41D0" w:rsidRPr="000B7E3E" w:rsidRDefault="004A41D0" w:rsidP="000B7E3E">
            <w:pPr>
              <w:pStyle w:val="TableText"/>
            </w:pPr>
          </w:p>
        </w:tc>
        <w:tc>
          <w:tcPr>
            <w:tcW w:w="756" w:type="pct"/>
          </w:tcPr>
          <w:p w14:paraId="11A0F617" w14:textId="77777777" w:rsidR="004A41D0" w:rsidRPr="000B7E3E" w:rsidRDefault="004A41D0" w:rsidP="000B7E3E">
            <w:pPr>
              <w:pStyle w:val="TableText"/>
            </w:pPr>
            <w:r w:rsidRPr="000B7E3E">
              <w:t>Stage II</w:t>
            </w:r>
          </w:p>
        </w:tc>
        <w:tc>
          <w:tcPr>
            <w:tcW w:w="760" w:type="pct"/>
          </w:tcPr>
          <w:p w14:paraId="670D961D" w14:textId="77777777" w:rsidR="004A41D0" w:rsidRPr="000B7E3E" w:rsidRDefault="004A41D0" w:rsidP="000B7E3E">
            <w:pPr>
              <w:pStyle w:val="TableText"/>
            </w:pPr>
            <w:r w:rsidRPr="000B7E3E">
              <w:t>2004 (01)</w:t>
            </w:r>
          </w:p>
        </w:tc>
        <w:tc>
          <w:tcPr>
            <w:tcW w:w="656" w:type="pct"/>
          </w:tcPr>
          <w:p w14:paraId="0F44B480" w14:textId="77777777" w:rsidR="004A41D0" w:rsidRPr="000B7E3E" w:rsidRDefault="004A41D0" w:rsidP="00771439">
            <w:pPr>
              <w:pStyle w:val="TableText"/>
              <w:jc w:val="right"/>
            </w:pPr>
            <w:r w:rsidRPr="000B7E3E">
              <w:t>5.0</w:t>
            </w:r>
          </w:p>
        </w:tc>
        <w:tc>
          <w:tcPr>
            <w:tcW w:w="600" w:type="pct"/>
          </w:tcPr>
          <w:p w14:paraId="59CD3D6F" w14:textId="77777777" w:rsidR="004A41D0" w:rsidRPr="000B7E3E" w:rsidRDefault="004A41D0" w:rsidP="00771439">
            <w:pPr>
              <w:pStyle w:val="TableText"/>
              <w:jc w:val="right"/>
            </w:pPr>
            <w:r w:rsidRPr="000B7E3E">
              <w:t>1.3</w:t>
            </w:r>
          </w:p>
        </w:tc>
        <w:tc>
          <w:tcPr>
            <w:tcW w:w="521" w:type="pct"/>
          </w:tcPr>
          <w:p w14:paraId="31BAA83D" w14:textId="5A212D01" w:rsidR="004A41D0" w:rsidRPr="000B7E3E" w:rsidRDefault="00F66742" w:rsidP="00771439">
            <w:pPr>
              <w:pStyle w:val="TableText"/>
              <w:jc w:val="right"/>
            </w:pPr>
            <w:r>
              <w:t>–</w:t>
            </w:r>
          </w:p>
        </w:tc>
        <w:tc>
          <w:tcPr>
            <w:tcW w:w="443" w:type="pct"/>
          </w:tcPr>
          <w:p w14:paraId="60D4E8A0" w14:textId="77777777" w:rsidR="004A41D0" w:rsidRPr="000B7E3E" w:rsidRDefault="004A41D0" w:rsidP="00771439">
            <w:pPr>
              <w:pStyle w:val="TableText"/>
              <w:jc w:val="right"/>
            </w:pPr>
            <w:r w:rsidRPr="000B7E3E">
              <w:t>7.0</w:t>
            </w:r>
          </w:p>
        </w:tc>
        <w:tc>
          <w:tcPr>
            <w:tcW w:w="513" w:type="pct"/>
          </w:tcPr>
          <w:p w14:paraId="62ED325E" w14:textId="77777777" w:rsidR="004A41D0" w:rsidRPr="000B7E3E" w:rsidRDefault="004A41D0" w:rsidP="00771439">
            <w:pPr>
              <w:pStyle w:val="TableText"/>
              <w:jc w:val="right"/>
            </w:pPr>
            <w:r w:rsidRPr="000B7E3E">
              <w:t>0.4</w:t>
            </w:r>
          </w:p>
        </w:tc>
      </w:tr>
      <w:tr w:rsidR="004A41D0" w:rsidRPr="000B7E3E" w14:paraId="06DCB2CC" w14:textId="77777777" w:rsidTr="004A41D0">
        <w:tc>
          <w:tcPr>
            <w:tcW w:w="751" w:type="pct"/>
            <w:vMerge/>
          </w:tcPr>
          <w:p w14:paraId="0C2B8A1F" w14:textId="77777777" w:rsidR="004A41D0" w:rsidRPr="000B7E3E" w:rsidRDefault="004A41D0" w:rsidP="000B7E3E">
            <w:pPr>
              <w:pStyle w:val="TableText"/>
            </w:pPr>
          </w:p>
        </w:tc>
        <w:tc>
          <w:tcPr>
            <w:tcW w:w="756" w:type="pct"/>
          </w:tcPr>
          <w:p w14:paraId="7D5E6C0C" w14:textId="77777777" w:rsidR="004A41D0" w:rsidRPr="000B7E3E" w:rsidRDefault="004A41D0" w:rsidP="000B7E3E">
            <w:pPr>
              <w:pStyle w:val="TableText"/>
            </w:pPr>
            <w:r w:rsidRPr="000B7E3E">
              <w:t>Stage IIIA</w:t>
            </w:r>
          </w:p>
        </w:tc>
        <w:tc>
          <w:tcPr>
            <w:tcW w:w="760" w:type="pct"/>
          </w:tcPr>
          <w:p w14:paraId="2A640FAE" w14:textId="77777777" w:rsidR="004A41D0" w:rsidRPr="000B7E3E" w:rsidRDefault="004A41D0" w:rsidP="000B7E3E">
            <w:pPr>
              <w:pStyle w:val="TableText"/>
            </w:pPr>
            <w:r w:rsidRPr="000B7E3E">
              <w:t>2008 (01)</w:t>
            </w:r>
          </w:p>
        </w:tc>
        <w:tc>
          <w:tcPr>
            <w:tcW w:w="656" w:type="pct"/>
          </w:tcPr>
          <w:p w14:paraId="5BBA61D9" w14:textId="77777777" w:rsidR="004A41D0" w:rsidRPr="000B7E3E" w:rsidRDefault="004A41D0" w:rsidP="00771439">
            <w:pPr>
              <w:pStyle w:val="TableText"/>
              <w:jc w:val="right"/>
            </w:pPr>
            <w:r w:rsidRPr="000B7E3E">
              <w:t>5.0</w:t>
            </w:r>
          </w:p>
        </w:tc>
        <w:tc>
          <w:tcPr>
            <w:tcW w:w="600" w:type="pct"/>
          </w:tcPr>
          <w:p w14:paraId="1848A14B" w14:textId="35D5E63D" w:rsidR="004A41D0" w:rsidRPr="000B7E3E" w:rsidRDefault="00F66742" w:rsidP="00771439">
            <w:pPr>
              <w:pStyle w:val="TableText"/>
              <w:jc w:val="right"/>
            </w:pPr>
            <w:r>
              <w:t>–</w:t>
            </w:r>
          </w:p>
        </w:tc>
        <w:tc>
          <w:tcPr>
            <w:tcW w:w="521" w:type="pct"/>
          </w:tcPr>
          <w:p w14:paraId="35607D75" w14:textId="77777777" w:rsidR="004A41D0" w:rsidRPr="000B7E3E" w:rsidRDefault="004A41D0" w:rsidP="00771439">
            <w:pPr>
              <w:pStyle w:val="TableText"/>
              <w:jc w:val="right"/>
            </w:pPr>
            <w:r w:rsidRPr="000B7E3E">
              <w:t>4.7</w:t>
            </w:r>
          </w:p>
        </w:tc>
        <w:tc>
          <w:tcPr>
            <w:tcW w:w="443" w:type="pct"/>
          </w:tcPr>
          <w:p w14:paraId="51B9C8B8" w14:textId="7F808D8A" w:rsidR="004A41D0" w:rsidRPr="000B7E3E" w:rsidRDefault="00F66742" w:rsidP="00771439">
            <w:pPr>
              <w:pStyle w:val="TableText"/>
              <w:jc w:val="right"/>
            </w:pPr>
            <w:r>
              <w:t>–</w:t>
            </w:r>
          </w:p>
        </w:tc>
        <w:tc>
          <w:tcPr>
            <w:tcW w:w="513" w:type="pct"/>
          </w:tcPr>
          <w:p w14:paraId="5F56252A" w14:textId="77777777" w:rsidR="004A41D0" w:rsidRPr="000B7E3E" w:rsidRDefault="004A41D0" w:rsidP="00771439">
            <w:pPr>
              <w:pStyle w:val="TableText"/>
              <w:jc w:val="right"/>
            </w:pPr>
            <w:r w:rsidRPr="000B7E3E">
              <w:t>0.4</w:t>
            </w:r>
          </w:p>
        </w:tc>
      </w:tr>
      <w:tr w:rsidR="004A41D0" w:rsidRPr="000B7E3E" w14:paraId="3D9C60F7" w14:textId="77777777" w:rsidTr="004A41D0">
        <w:tc>
          <w:tcPr>
            <w:tcW w:w="751" w:type="pct"/>
            <w:vMerge/>
          </w:tcPr>
          <w:p w14:paraId="5BC3FD38" w14:textId="77777777" w:rsidR="004A41D0" w:rsidRPr="000B7E3E" w:rsidRDefault="004A41D0" w:rsidP="000B7E3E">
            <w:pPr>
              <w:pStyle w:val="TableText"/>
            </w:pPr>
          </w:p>
        </w:tc>
        <w:tc>
          <w:tcPr>
            <w:tcW w:w="756" w:type="pct"/>
          </w:tcPr>
          <w:p w14:paraId="08D647A1" w14:textId="77777777" w:rsidR="004A41D0" w:rsidRPr="000B7E3E" w:rsidRDefault="004A41D0" w:rsidP="000B7E3E">
            <w:pPr>
              <w:pStyle w:val="TableText"/>
            </w:pPr>
            <w:r w:rsidRPr="000B7E3E">
              <w:t>Stage IIIB</w:t>
            </w:r>
          </w:p>
        </w:tc>
        <w:tc>
          <w:tcPr>
            <w:tcW w:w="760" w:type="pct"/>
          </w:tcPr>
          <w:p w14:paraId="1F86AFC0" w14:textId="77777777" w:rsidR="004A41D0" w:rsidRPr="000B7E3E" w:rsidRDefault="004A41D0" w:rsidP="000B7E3E">
            <w:pPr>
              <w:pStyle w:val="TableText"/>
            </w:pPr>
            <w:r w:rsidRPr="000B7E3E">
              <w:t>2013 (01)</w:t>
            </w:r>
          </w:p>
        </w:tc>
        <w:tc>
          <w:tcPr>
            <w:tcW w:w="656" w:type="pct"/>
          </w:tcPr>
          <w:p w14:paraId="0D111E70" w14:textId="77777777" w:rsidR="004A41D0" w:rsidRPr="000B7E3E" w:rsidRDefault="004A41D0" w:rsidP="00771439">
            <w:pPr>
              <w:pStyle w:val="TableText"/>
              <w:jc w:val="right"/>
            </w:pPr>
            <w:r w:rsidRPr="000B7E3E">
              <w:t>5.0</w:t>
            </w:r>
          </w:p>
        </w:tc>
        <w:tc>
          <w:tcPr>
            <w:tcW w:w="600" w:type="pct"/>
          </w:tcPr>
          <w:p w14:paraId="64C95F50" w14:textId="2C8247F4" w:rsidR="004A41D0" w:rsidRPr="000B7E3E" w:rsidRDefault="00F66742" w:rsidP="00771439">
            <w:pPr>
              <w:pStyle w:val="TableText"/>
              <w:jc w:val="right"/>
            </w:pPr>
            <w:r>
              <w:t>–</w:t>
            </w:r>
          </w:p>
        </w:tc>
        <w:tc>
          <w:tcPr>
            <w:tcW w:w="521" w:type="pct"/>
          </w:tcPr>
          <w:p w14:paraId="1C5A7BD9" w14:textId="77777777" w:rsidR="004A41D0" w:rsidRPr="000B7E3E" w:rsidRDefault="004A41D0" w:rsidP="00771439">
            <w:pPr>
              <w:pStyle w:val="TableText"/>
              <w:jc w:val="right"/>
            </w:pPr>
            <w:r w:rsidRPr="000B7E3E">
              <w:t>4.7</w:t>
            </w:r>
          </w:p>
        </w:tc>
        <w:tc>
          <w:tcPr>
            <w:tcW w:w="443" w:type="pct"/>
          </w:tcPr>
          <w:p w14:paraId="564DEA01" w14:textId="6AF6BEB1" w:rsidR="004A41D0" w:rsidRPr="000B7E3E" w:rsidRDefault="00F66742" w:rsidP="00771439">
            <w:pPr>
              <w:pStyle w:val="TableText"/>
              <w:jc w:val="right"/>
            </w:pPr>
            <w:r>
              <w:t>–</w:t>
            </w:r>
          </w:p>
        </w:tc>
        <w:tc>
          <w:tcPr>
            <w:tcW w:w="513" w:type="pct"/>
          </w:tcPr>
          <w:p w14:paraId="06170EB8" w14:textId="77777777" w:rsidR="004A41D0" w:rsidRPr="000B7E3E" w:rsidRDefault="004A41D0" w:rsidP="00771439">
            <w:pPr>
              <w:pStyle w:val="TableText"/>
              <w:jc w:val="right"/>
            </w:pPr>
            <w:r w:rsidRPr="000B7E3E">
              <w:t>0.025</w:t>
            </w:r>
          </w:p>
        </w:tc>
      </w:tr>
      <w:tr w:rsidR="004A41D0" w:rsidRPr="000B7E3E" w14:paraId="472A758F" w14:textId="77777777" w:rsidTr="00415C12">
        <w:tc>
          <w:tcPr>
            <w:tcW w:w="751" w:type="pct"/>
            <w:vMerge/>
          </w:tcPr>
          <w:p w14:paraId="3340BF72" w14:textId="77777777" w:rsidR="004A41D0" w:rsidRPr="000B7E3E" w:rsidRDefault="004A41D0" w:rsidP="000B7E3E">
            <w:pPr>
              <w:pStyle w:val="TableText"/>
            </w:pPr>
          </w:p>
        </w:tc>
        <w:tc>
          <w:tcPr>
            <w:tcW w:w="756" w:type="pct"/>
            <w:tcBorders>
              <w:bottom w:val="nil"/>
            </w:tcBorders>
          </w:tcPr>
          <w:p w14:paraId="55FD387A" w14:textId="77777777" w:rsidR="004A41D0" w:rsidRPr="004A41D0" w:rsidRDefault="004A41D0" w:rsidP="000B7E3E">
            <w:pPr>
              <w:pStyle w:val="TableText"/>
              <w:rPr>
                <w:highlight w:val="yellow"/>
              </w:rPr>
            </w:pPr>
            <w:r w:rsidRPr="00F66742">
              <w:t>Stage IV</w:t>
            </w:r>
          </w:p>
        </w:tc>
        <w:tc>
          <w:tcPr>
            <w:tcW w:w="760" w:type="pct"/>
            <w:tcBorders>
              <w:bottom w:val="nil"/>
            </w:tcBorders>
          </w:tcPr>
          <w:p w14:paraId="6E6C85C5" w14:textId="41B76C95" w:rsidR="004A41D0" w:rsidRPr="000B7E3E" w:rsidRDefault="00F66742" w:rsidP="000B7E3E">
            <w:pPr>
              <w:pStyle w:val="TableText"/>
            </w:pPr>
            <w:r>
              <w:t>–</w:t>
            </w:r>
          </w:p>
        </w:tc>
        <w:tc>
          <w:tcPr>
            <w:tcW w:w="656" w:type="pct"/>
            <w:tcBorders>
              <w:bottom w:val="nil"/>
            </w:tcBorders>
          </w:tcPr>
          <w:p w14:paraId="5454D485" w14:textId="34CD74B9" w:rsidR="004A41D0" w:rsidRPr="000B7E3E" w:rsidRDefault="00F66742" w:rsidP="00771439">
            <w:pPr>
              <w:pStyle w:val="TableText"/>
              <w:jc w:val="right"/>
            </w:pPr>
            <w:r>
              <w:t>–</w:t>
            </w:r>
          </w:p>
        </w:tc>
        <w:tc>
          <w:tcPr>
            <w:tcW w:w="600" w:type="pct"/>
            <w:tcBorders>
              <w:bottom w:val="nil"/>
            </w:tcBorders>
          </w:tcPr>
          <w:p w14:paraId="5569D931" w14:textId="49039E3F" w:rsidR="004A41D0" w:rsidRPr="000B7E3E" w:rsidRDefault="00F66742" w:rsidP="00771439">
            <w:pPr>
              <w:pStyle w:val="TableText"/>
              <w:jc w:val="right"/>
            </w:pPr>
            <w:r>
              <w:t>–</w:t>
            </w:r>
          </w:p>
        </w:tc>
        <w:tc>
          <w:tcPr>
            <w:tcW w:w="521" w:type="pct"/>
            <w:tcBorders>
              <w:bottom w:val="nil"/>
            </w:tcBorders>
          </w:tcPr>
          <w:p w14:paraId="58BE15B3" w14:textId="2ADAA3D7" w:rsidR="004A41D0" w:rsidRPr="000B7E3E" w:rsidRDefault="00F66742" w:rsidP="00771439">
            <w:pPr>
              <w:pStyle w:val="TableText"/>
              <w:jc w:val="right"/>
            </w:pPr>
            <w:r>
              <w:t>–</w:t>
            </w:r>
          </w:p>
        </w:tc>
        <w:tc>
          <w:tcPr>
            <w:tcW w:w="443" w:type="pct"/>
            <w:tcBorders>
              <w:bottom w:val="nil"/>
            </w:tcBorders>
          </w:tcPr>
          <w:p w14:paraId="0F535942" w14:textId="20CC377D" w:rsidR="004A41D0" w:rsidRPr="000B7E3E" w:rsidRDefault="00F66742" w:rsidP="00771439">
            <w:pPr>
              <w:pStyle w:val="TableText"/>
              <w:jc w:val="right"/>
            </w:pPr>
            <w:r>
              <w:t>–</w:t>
            </w:r>
          </w:p>
        </w:tc>
        <w:tc>
          <w:tcPr>
            <w:tcW w:w="513" w:type="pct"/>
            <w:tcBorders>
              <w:bottom w:val="nil"/>
            </w:tcBorders>
          </w:tcPr>
          <w:p w14:paraId="0B93FBAB" w14:textId="55797BB8" w:rsidR="004A41D0" w:rsidRPr="000B7E3E" w:rsidRDefault="00F66742" w:rsidP="00771439">
            <w:pPr>
              <w:pStyle w:val="TableText"/>
              <w:jc w:val="right"/>
            </w:pPr>
            <w:r>
              <w:t>–</w:t>
            </w:r>
          </w:p>
        </w:tc>
      </w:tr>
      <w:tr w:rsidR="004A41D0" w:rsidRPr="000B7E3E" w14:paraId="60DD24E9" w14:textId="77777777" w:rsidTr="00415C12">
        <w:tc>
          <w:tcPr>
            <w:tcW w:w="751" w:type="pct"/>
            <w:vMerge/>
            <w:tcBorders>
              <w:bottom w:val="single" w:sz="4" w:space="0" w:color="auto"/>
            </w:tcBorders>
          </w:tcPr>
          <w:p w14:paraId="42ECCFC2" w14:textId="77777777" w:rsidR="004A41D0" w:rsidRPr="000B7E3E" w:rsidRDefault="004A41D0" w:rsidP="000B7E3E">
            <w:pPr>
              <w:pStyle w:val="TableText"/>
            </w:pPr>
          </w:p>
        </w:tc>
        <w:tc>
          <w:tcPr>
            <w:tcW w:w="756" w:type="pct"/>
            <w:tcBorders>
              <w:top w:val="nil"/>
              <w:bottom w:val="single" w:sz="4" w:space="0" w:color="auto"/>
            </w:tcBorders>
          </w:tcPr>
          <w:p w14:paraId="11EB1308" w14:textId="77777777" w:rsidR="004A41D0" w:rsidRPr="000B7E3E" w:rsidRDefault="004A41D0" w:rsidP="000B7E3E">
            <w:pPr>
              <w:pStyle w:val="TableText"/>
            </w:pPr>
            <w:r w:rsidRPr="000B7E3E">
              <w:t>Stage V</w:t>
            </w:r>
          </w:p>
        </w:tc>
        <w:tc>
          <w:tcPr>
            <w:tcW w:w="760" w:type="pct"/>
            <w:tcBorders>
              <w:top w:val="nil"/>
              <w:bottom w:val="single" w:sz="4" w:space="0" w:color="auto"/>
            </w:tcBorders>
          </w:tcPr>
          <w:p w14:paraId="0245CD50" w14:textId="77777777" w:rsidR="004A41D0" w:rsidRPr="000B7E3E" w:rsidRDefault="004A41D0" w:rsidP="000B7E3E">
            <w:pPr>
              <w:pStyle w:val="TableText"/>
            </w:pPr>
            <w:r w:rsidRPr="000B7E3E">
              <w:t>2019</w:t>
            </w:r>
          </w:p>
        </w:tc>
        <w:tc>
          <w:tcPr>
            <w:tcW w:w="656" w:type="pct"/>
            <w:tcBorders>
              <w:top w:val="nil"/>
              <w:bottom w:val="single" w:sz="4" w:space="0" w:color="auto"/>
            </w:tcBorders>
          </w:tcPr>
          <w:p w14:paraId="4AE21A67" w14:textId="77777777" w:rsidR="004A41D0" w:rsidRPr="000B7E3E" w:rsidRDefault="004A41D0" w:rsidP="00771439">
            <w:pPr>
              <w:pStyle w:val="TableText"/>
              <w:jc w:val="right"/>
            </w:pPr>
            <w:r w:rsidRPr="000B7E3E">
              <w:t>5.0</w:t>
            </w:r>
          </w:p>
        </w:tc>
        <w:tc>
          <w:tcPr>
            <w:tcW w:w="600" w:type="pct"/>
            <w:tcBorders>
              <w:top w:val="nil"/>
              <w:bottom w:val="single" w:sz="4" w:space="0" w:color="auto"/>
            </w:tcBorders>
          </w:tcPr>
          <w:p w14:paraId="5F1BBEEE" w14:textId="3E780193" w:rsidR="004A41D0" w:rsidRPr="000B7E3E" w:rsidRDefault="00F66742" w:rsidP="00771439">
            <w:pPr>
              <w:pStyle w:val="TableText"/>
              <w:jc w:val="right"/>
            </w:pPr>
            <w:r>
              <w:t>–</w:t>
            </w:r>
          </w:p>
        </w:tc>
        <w:tc>
          <w:tcPr>
            <w:tcW w:w="521" w:type="pct"/>
            <w:tcBorders>
              <w:top w:val="nil"/>
              <w:bottom w:val="single" w:sz="4" w:space="0" w:color="auto"/>
            </w:tcBorders>
          </w:tcPr>
          <w:p w14:paraId="46789550" w14:textId="77777777" w:rsidR="004A41D0" w:rsidRPr="000B7E3E" w:rsidRDefault="004A41D0" w:rsidP="00771439">
            <w:pPr>
              <w:pStyle w:val="TableText"/>
              <w:jc w:val="right"/>
            </w:pPr>
            <w:r w:rsidRPr="000B7E3E">
              <w:t>4.7</w:t>
            </w:r>
          </w:p>
        </w:tc>
        <w:tc>
          <w:tcPr>
            <w:tcW w:w="443" w:type="pct"/>
            <w:tcBorders>
              <w:top w:val="nil"/>
              <w:bottom w:val="single" w:sz="4" w:space="0" w:color="auto"/>
            </w:tcBorders>
          </w:tcPr>
          <w:p w14:paraId="1B050AA3" w14:textId="09E6ADA3" w:rsidR="004A41D0" w:rsidRPr="000B7E3E" w:rsidRDefault="00F66742" w:rsidP="00771439">
            <w:pPr>
              <w:pStyle w:val="TableText"/>
              <w:jc w:val="right"/>
            </w:pPr>
            <w:r>
              <w:t>–</w:t>
            </w:r>
          </w:p>
        </w:tc>
        <w:tc>
          <w:tcPr>
            <w:tcW w:w="513" w:type="pct"/>
            <w:tcBorders>
              <w:top w:val="nil"/>
              <w:bottom w:val="single" w:sz="4" w:space="0" w:color="auto"/>
            </w:tcBorders>
          </w:tcPr>
          <w:p w14:paraId="2B75CA43" w14:textId="00470731" w:rsidR="004A41D0" w:rsidRPr="000B7E3E" w:rsidRDefault="004A41D0" w:rsidP="00771439">
            <w:pPr>
              <w:pStyle w:val="TableText"/>
              <w:jc w:val="right"/>
            </w:pPr>
            <w:r w:rsidRPr="000B7E3E">
              <w:t>0.015</w:t>
            </w:r>
            <w:r w:rsidR="00B6670B" w:rsidRPr="00B6670B">
              <w:rPr>
                <w:rStyle w:val="Strong"/>
              </w:rPr>
              <w:t>a</w:t>
            </w:r>
          </w:p>
        </w:tc>
      </w:tr>
      <w:tr w:rsidR="00E50D9B" w:rsidRPr="000B7E3E" w14:paraId="0F18460F" w14:textId="77777777" w:rsidTr="004A41D0">
        <w:tc>
          <w:tcPr>
            <w:tcW w:w="751" w:type="pct"/>
            <w:vMerge w:val="restart"/>
            <w:tcBorders>
              <w:top w:val="single" w:sz="4" w:space="0" w:color="auto"/>
            </w:tcBorders>
          </w:tcPr>
          <w:p w14:paraId="1EDDDDCE" w14:textId="77777777" w:rsidR="00E50D9B" w:rsidRPr="000B7E3E" w:rsidRDefault="00E50D9B" w:rsidP="000B7E3E">
            <w:pPr>
              <w:pStyle w:val="TableText"/>
            </w:pPr>
            <w:r w:rsidRPr="000B7E3E">
              <w:t>56 ≤ kW &lt; 75</w:t>
            </w:r>
          </w:p>
        </w:tc>
        <w:tc>
          <w:tcPr>
            <w:tcW w:w="756" w:type="pct"/>
            <w:tcBorders>
              <w:top w:val="single" w:sz="4" w:space="0" w:color="auto"/>
            </w:tcBorders>
          </w:tcPr>
          <w:p w14:paraId="4092F589" w14:textId="77777777" w:rsidR="00E50D9B" w:rsidRPr="000B7E3E" w:rsidRDefault="00E50D9B" w:rsidP="000B7E3E">
            <w:pPr>
              <w:pStyle w:val="TableText"/>
            </w:pPr>
            <w:r w:rsidRPr="000B7E3E">
              <w:t>Stage I</w:t>
            </w:r>
          </w:p>
        </w:tc>
        <w:tc>
          <w:tcPr>
            <w:tcW w:w="760" w:type="pct"/>
            <w:tcBorders>
              <w:top w:val="single" w:sz="4" w:space="0" w:color="auto"/>
            </w:tcBorders>
          </w:tcPr>
          <w:p w14:paraId="60E27078" w14:textId="77777777" w:rsidR="00E50D9B" w:rsidRPr="000B7E3E" w:rsidRDefault="00E50D9B" w:rsidP="000B7E3E">
            <w:pPr>
              <w:pStyle w:val="TableText"/>
            </w:pPr>
            <w:r w:rsidRPr="000B7E3E">
              <w:t>1999 (04)</w:t>
            </w:r>
          </w:p>
        </w:tc>
        <w:tc>
          <w:tcPr>
            <w:tcW w:w="656" w:type="pct"/>
            <w:tcBorders>
              <w:top w:val="single" w:sz="4" w:space="0" w:color="auto"/>
            </w:tcBorders>
          </w:tcPr>
          <w:p w14:paraId="6A01946B" w14:textId="77777777" w:rsidR="00E50D9B" w:rsidRPr="000B7E3E" w:rsidRDefault="00E50D9B" w:rsidP="00771439">
            <w:pPr>
              <w:pStyle w:val="TableText"/>
              <w:jc w:val="right"/>
            </w:pPr>
            <w:r w:rsidRPr="000B7E3E">
              <w:t>6.5</w:t>
            </w:r>
          </w:p>
        </w:tc>
        <w:tc>
          <w:tcPr>
            <w:tcW w:w="600" w:type="pct"/>
            <w:tcBorders>
              <w:top w:val="single" w:sz="4" w:space="0" w:color="auto"/>
            </w:tcBorders>
          </w:tcPr>
          <w:p w14:paraId="59A7AB21" w14:textId="77777777" w:rsidR="00E50D9B" w:rsidRPr="000B7E3E" w:rsidRDefault="00E50D9B" w:rsidP="00771439">
            <w:pPr>
              <w:pStyle w:val="TableText"/>
              <w:jc w:val="right"/>
            </w:pPr>
            <w:r w:rsidRPr="000B7E3E">
              <w:t>1.3</w:t>
            </w:r>
          </w:p>
        </w:tc>
        <w:tc>
          <w:tcPr>
            <w:tcW w:w="521" w:type="pct"/>
            <w:tcBorders>
              <w:top w:val="single" w:sz="4" w:space="0" w:color="auto"/>
            </w:tcBorders>
          </w:tcPr>
          <w:p w14:paraId="105CFE29" w14:textId="20B3B30E" w:rsidR="00E50D9B" w:rsidRPr="000B7E3E" w:rsidRDefault="00E50D9B" w:rsidP="00771439">
            <w:pPr>
              <w:pStyle w:val="TableText"/>
              <w:jc w:val="right"/>
            </w:pPr>
            <w:r>
              <w:t>–</w:t>
            </w:r>
          </w:p>
        </w:tc>
        <w:tc>
          <w:tcPr>
            <w:tcW w:w="443" w:type="pct"/>
            <w:tcBorders>
              <w:top w:val="single" w:sz="4" w:space="0" w:color="auto"/>
            </w:tcBorders>
          </w:tcPr>
          <w:p w14:paraId="5A8F3752" w14:textId="77777777" w:rsidR="00E50D9B" w:rsidRPr="000B7E3E" w:rsidRDefault="00E50D9B" w:rsidP="00771439">
            <w:pPr>
              <w:pStyle w:val="TableText"/>
              <w:jc w:val="right"/>
            </w:pPr>
            <w:r w:rsidRPr="000B7E3E">
              <w:t>9.2</w:t>
            </w:r>
          </w:p>
        </w:tc>
        <w:tc>
          <w:tcPr>
            <w:tcW w:w="513" w:type="pct"/>
            <w:tcBorders>
              <w:top w:val="single" w:sz="4" w:space="0" w:color="auto"/>
            </w:tcBorders>
          </w:tcPr>
          <w:p w14:paraId="434A291E" w14:textId="77777777" w:rsidR="00E50D9B" w:rsidRPr="000B7E3E" w:rsidRDefault="00E50D9B" w:rsidP="00771439">
            <w:pPr>
              <w:pStyle w:val="TableText"/>
              <w:jc w:val="right"/>
            </w:pPr>
            <w:r w:rsidRPr="000B7E3E">
              <w:t>0.85</w:t>
            </w:r>
          </w:p>
        </w:tc>
      </w:tr>
      <w:tr w:rsidR="00E50D9B" w:rsidRPr="000B7E3E" w14:paraId="07C95ABC" w14:textId="77777777" w:rsidTr="004A41D0">
        <w:tc>
          <w:tcPr>
            <w:tcW w:w="751" w:type="pct"/>
            <w:vMerge/>
          </w:tcPr>
          <w:p w14:paraId="31445EFA" w14:textId="77777777" w:rsidR="00E50D9B" w:rsidRPr="000B7E3E" w:rsidRDefault="00E50D9B" w:rsidP="000B7E3E">
            <w:pPr>
              <w:pStyle w:val="TableText"/>
            </w:pPr>
          </w:p>
        </w:tc>
        <w:tc>
          <w:tcPr>
            <w:tcW w:w="756" w:type="pct"/>
          </w:tcPr>
          <w:p w14:paraId="26FC7922" w14:textId="77777777" w:rsidR="00E50D9B" w:rsidRPr="000B7E3E" w:rsidRDefault="00E50D9B" w:rsidP="000B7E3E">
            <w:pPr>
              <w:pStyle w:val="TableText"/>
            </w:pPr>
            <w:r w:rsidRPr="000B7E3E">
              <w:t>Stage II</w:t>
            </w:r>
          </w:p>
        </w:tc>
        <w:tc>
          <w:tcPr>
            <w:tcW w:w="760" w:type="pct"/>
          </w:tcPr>
          <w:p w14:paraId="3EBFDECD" w14:textId="77777777" w:rsidR="00E50D9B" w:rsidRPr="000B7E3E" w:rsidRDefault="00E50D9B" w:rsidP="000B7E3E">
            <w:pPr>
              <w:pStyle w:val="TableText"/>
            </w:pPr>
            <w:r w:rsidRPr="000B7E3E">
              <w:t>2004 (01)</w:t>
            </w:r>
          </w:p>
        </w:tc>
        <w:tc>
          <w:tcPr>
            <w:tcW w:w="656" w:type="pct"/>
          </w:tcPr>
          <w:p w14:paraId="61D322F5" w14:textId="77777777" w:rsidR="00E50D9B" w:rsidRPr="000B7E3E" w:rsidRDefault="00E50D9B" w:rsidP="00771439">
            <w:pPr>
              <w:pStyle w:val="TableText"/>
              <w:jc w:val="right"/>
            </w:pPr>
            <w:r w:rsidRPr="000B7E3E">
              <w:t>5.0</w:t>
            </w:r>
          </w:p>
        </w:tc>
        <w:tc>
          <w:tcPr>
            <w:tcW w:w="600" w:type="pct"/>
          </w:tcPr>
          <w:p w14:paraId="7BF0EB97" w14:textId="77777777" w:rsidR="00E50D9B" w:rsidRPr="000B7E3E" w:rsidRDefault="00E50D9B" w:rsidP="00771439">
            <w:pPr>
              <w:pStyle w:val="TableText"/>
              <w:jc w:val="right"/>
            </w:pPr>
            <w:r w:rsidRPr="000B7E3E">
              <w:t>1.3</w:t>
            </w:r>
          </w:p>
        </w:tc>
        <w:tc>
          <w:tcPr>
            <w:tcW w:w="521" w:type="pct"/>
          </w:tcPr>
          <w:p w14:paraId="648AF0D8" w14:textId="07428A67" w:rsidR="00E50D9B" w:rsidRPr="000B7E3E" w:rsidRDefault="00E50D9B" w:rsidP="00771439">
            <w:pPr>
              <w:pStyle w:val="TableText"/>
              <w:jc w:val="right"/>
            </w:pPr>
            <w:r>
              <w:t>–</w:t>
            </w:r>
          </w:p>
        </w:tc>
        <w:tc>
          <w:tcPr>
            <w:tcW w:w="443" w:type="pct"/>
          </w:tcPr>
          <w:p w14:paraId="41468B60" w14:textId="77777777" w:rsidR="00E50D9B" w:rsidRPr="000B7E3E" w:rsidRDefault="00E50D9B" w:rsidP="00771439">
            <w:pPr>
              <w:pStyle w:val="TableText"/>
              <w:jc w:val="right"/>
            </w:pPr>
            <w:r w:rsidRPr="000B7E3E">
              <w:t>7.0</w:t>
            </w:r>
          </w:p>
        </w:tc>
        <w:tc>
          <w:tcPr>
            <w:tcW w:w="513" w:type="pct"/>
          </w:tcPr>
          <w:p w14:paraId="4A5DB3D9" w14:textId="77777777" w:rsidR="00E50D9B" w:rsidRPr="000B7E3E" w:rsidRDefault="00E50D9B" w:rsidP="00771439">
            <w:pPr>
              <w:pStyle w:val="TableText"/>
              <w:jc w:val="right"/>
            </w:pPr>
            <w:r w:rsidRPr="000B7E3E">
              <w:t>0.4</w:t>
            </w:r>
          </w:p>
        </w:tc>
      </w:tr>
      <w:tr w:rsidR="00E50D9B" w:rsidRPr="000B7E3E" w14:paraId="06EF6BF5" w14:textId="77777777" w:rsidTr="004A41D0">
        <w:tc>
          <w:tcPr>
            <w:tcW w:w="751" w:type="pct"/>
            <w:vMerge/>
          </w:tcPr>
          <w:p w14:paraId="52AA9C09" w14:textId="77777777" w:rsidR="00E50D9B" w:rsidRPr="000B7E3E" w:rsidRDefault="00E50D9B" w:rsidP="000B7E3E">
            <w:pPr>
              <w:pStyle w:val="TableText"/>
            </w:pPr>
          </w:p>
        </w:tc>
        <w:tc>
          <w:tcPr>
            <w:tcW w:w="756" w:type="pct"/>
          </w:tcPr>
          <w:p w14:paraId="7630F8E2" w14:textId="77777777" w:rsidR="00E50D9B" w:rsidRPr="000B7E3E" w:rsidRDefault="00E50D9B" w:rsidP="000B7E3E">
            <w:pPr>
              <w:pStyle w:val="TableText"/>
            </w:pPr>
            <w:r w:rsidRPr="000B7E3E">
              <w:t>Stage IIIA</w:t>
            </w:r>
          </w:p>
        </w:tc>
        <w:tc>
          <w:tcPr>
            <w:tcW w:w="760" w:type="pct"/>
          </w:tcPr>
          <w:p w14:paraId="4FC8DA5B" w14:textId="77777777" w:rsidR="00E50D9B" w:rsidRPr="000B7E3E" w:rsidRDefault="00E50D9B" w:rsidP="000B7E3E">
            <w:pPr>
              <w:pStyle w:val="TableText"/>
            </w:pPr>
            <w:r w:rsidRPr="000B7E3E">
              <w:t>2008 (01)</w:t>
            </w:r>
          </w:p>
        </w:tc>
        <w:tc>
          <w:tcPr>
            <w:tcW w:w="656" w:type="pct"/>
          </w:tcPr>
          <w:p w14:paraId="676DB065" w14:textId="77777777" w:rsidR="00E50D9B" w:rsidRPr="000B7E3E" w:rsidRDefault="00E50D9B" w:rsidP="00771439">
            <w:pPr>
              <w:pStyle w:val="TableText"/>
              <w:jc w:val="right"/>
            </w:pPr>
            <w:r w:rsidRPr="000B7E3E">
              <w:t>5.0</w:t>
            </w:r>
          </w:p>
        </w:tc>
        <w:tc>
          <w:tcPr>
            <w:tcW w:w="600" w:type="pct"/>
          </w:tcPr>
          <w:p w14:paraId="7614FCA3" w14:textId="69A82177" w:rsidR="00E50D9B" w:rsidRPr="000B7E3E" w:rsidRDefault="00E50D9B" w:rsidP="00771439">
            <w:pPr>
              <w:pStyle w:val="TableText"/>
              <w:jc w:val="right"/>
            </w:pPr>
            <w:r>
              <w:t>–</w:t>
            </w:r>
          </w:p>
        </w:tc>
        <w:tc>
          <w:tcPr>
            <w:tcW w:w="521" w:type="pct"/>
          </w:tcPr>
          <w:p w14:paraId="1E2CF347" w14:textId="77777777" w:rsidR="00E50D9B" w:rsidRPr="000B7E3E" w:rsidRDefault="00E50D9B" w:rsidP="00771439">
            <w:pPr>
              <w:pStyle w:val="TableText"/>
              <w:jc w:val="right"/>
            </w:pPr>
            <w:r w:rsidRPr="000B7E3E">
              <w:t>4.7</w:t>
            </w:r>
          </w:p>
        </w:tc>
        <w:tc>
          <w:tcPr>
            <w:tcW w:w="443" w:type="pct"/>
          </w:tcPr>
          <w:p w14:paraId="3D7D9A39" w14:textId="3C22CB72" w:rsidR="00E50D9B" w:rsidRPr="000B7E3E" w:rsidRDefault="00E50D9B" w:rsidP="00771439">
            <w:pPr>
              <w:pStyle w:val="TableText"/>
              <w:jc w:val="right"/>
            </w:pPr>
            <w:r>
              <w:t>–</w:t>
            </w:r>
          </w:p>
        </w:tc>
        <w:tc>
          <w:tcPr>
            <w:tcW w:w="513" w:type="pct"/>
          </w:tcPr>
          <w:p w14:paraId="169255BA" w14:textId="77777777" w:rsidR="00E50D9B" w:rsidRPr="000B7E3E" w:rsidRDefault="00E50D9B" w:rsidP="00771439">
            <w:pPr>
              <w:pStyle w:val="TableText"/>
              <w:jc w:val="right"/>
            </w:pPr>
            <w:r w:rsidRPr="000B7E3E">
              <w:t>0.4</w:t>
            </w:r>
          </w:p>
        </w:tc>
      </w:tr>
      <w:tr w:rsidR="00E50D9B" w:rsidRPr="000B7E3E" w14:paraId="58C5F3E4" w14:textId="77777777" w:rsidTr="004A41D0">
        <w:tc>
          <w:tcPr>
            <w:tcW w:w="751" w:type="pct"/>
            <w:vMerge/>
          </w:tcPr>
          <w:p w14:paraId="2A0D5000" w14:textId="77777777" w:rsidR="00E50D9B" w:rsidRPr="000B7E3E" w:rsidRDefault="00E50D9B" w:rsidP="000B7E3E">
            <w:pPr>
              <w:pStyle w:val="TableText"/>
            </w:pPr>
          </w:p>
        </w:tc>
        <w:tc>
          <w:tcPr>
            <w:tcW w:w="756" w:type="pct"/>
          </w:tcPr>
          <w:p w14:paraId="5BC2DA1A" w14:textId="77777777" w:rsidR="00E50D9B" w:rsidRPr="000B7E3E" w:rsidRDefault="00E50D9B" w:rsidP="000B7E3E">
            <w:pPr>
              <w:pStyle w:val="TableText"/>
            </w:pPr>
            <w:r w:rsidRPr="000B7E3E">
              <w:t>Stage IIIB</w:t>
            </w:r>
          </w:p>
        </w:tc>
        <w:tc>
          <w:tcPr>
            <w:tcW w:w="760" w:type="pct"/>
          </w:tcPr>
          <w:p w14:paraId="5D3609EF" w14:textId="77777777" w:rsidR="00E50D9B" w:rsidRPr="000B7E3E" w:rsidRDefault="00E50D9B" w:rsidP="000B7E3E">
            <w:pPr>
              <w:pStyle w:val="TableText"/>
            </w:pPr>
            <w:r w:rsidRPr="000B7E3E">
              <w:t>2012 (01)</w:t>
            </w:r>
          </w:p>
        </w:tc>
        <w:tc>
          <w:tcPr>
            <w:tcW w:w="656" w:type="pct"/>
          </w:tcPr>
          <w:p w14:paraId="7D2804A4" w14:textId="77777777" w:rsidR="00E50D9B" w:rsidRPr="000B7E3E" w:rsidRDefault="00E50D9B" w:rsidP="00771439">
            <w:pPr>
              <w:pStyle w:val="TableText"/>
              <w:jc w:val="right"/>
            </w:pPr>
            <w:r w:rsidRPr="000B7E3E">
              <w:t>5.0</w:t>
            </w:r>
          </w:p>
        </w:tc>
        <w:tc>
          <w:tcPr>
            <w:tcW w:w="600" w:type="pct"/>
          </w:tcPr>
          <w:p w14:paraId="0346FA39" w14:textId="77777777" w:rsidR="00E50D9B" w:rsidRPr="000B7E3E" w:rsidRDefault="00E50D9B" w:rsidP="00771439">
            <w:pPr>
              <w:pStyle w:val="TableText"/>
              <w:jc w:val="right"/>
            </w:pPr>
            <w:r w:rsidRPr="000B7E3E">
              <w:t>0.19</w:t>
            </w:r>
          </w:p>
        </w:tc>
        <w:tc>
          <w:tcPr>
            <w:tcW w:w="521" w:type="pct"/>
          </w:tcPr>
          <w:p w14:paraId="54FA0CE3" w14:textId="43923A6C" w:rsidR="00E50D9B" w:rsidRPr="000B7E3E" w:rsidRDefault="00E50D9B" w:rsidP="00771439">
            <w:pPr>
              <w:pStyle w:val="TableText"/>
              <w:jc w:val="right"/>
            </w:pPr>
            <w:r>
              <w:t>–</w:t>
            </w:r>
          </w:p>
        </w:tc>
        <w:tc>
          <w:tcPr>
            <w:tcW w:w="443" w:type="pct"/>
          </w:tcPr>
          <w:p w14:paraId="17CD3271" w14:textId="77777777" w:rsidR="00E50D9B" w:rsidRPr="000B7E3E" w:rsidRDefault="00E50D9B" w:rsidP="00771439">
            <w:pPr>
              <w:pStyle w:val="TableText"/>
              <w:jc w:val="right"/>
            </w:pPr>
            <w:r w:rsidRPr="000B7E3E">
              <w:t>3.3</w:t>
            </w:r>
          </w:p>
        </w:tc>
        <w:tc>
          <w:tcPr>
            <w:tcW w:w="513" w:type="pct"/>
          </w:tcPr>
          <w:p w14:paraId="3614D897" w14:textId="77777777" w:rsidR="00E50D9B" w:rsidRPr="000B7E3E" w:rsidRDefault="00E50D9B" w:rsidP="00771439">
            <w:pPr>
              <w:pStyle w:val="TableText"/>
              <w:jc w:val="right"/>
            </w:pPr>
            <w:r w:rsidRPr="000B7E3E">
              <w:t>0.025</w:t>
            </w:r>
          </w:p>
        </w:tc>
      </w:tr>
      <w:tr w:rsidR="00E50D9B" w:rsidRPr="000B7E3E" w14:paraId="61C24D32" w14:textId="77777777" w:rsidTr="00415C12">
        <w:tc>
          <w:tcPr>
            <w:tcW w:w="751" w:type="pct"/>
            <w:vMerge/>
          </w:tcPr>
          <w:p w14:paraId="3D2A6644" w14:textId="77777777" w:rsidR="00E50D9B" w:rsidRPr="000B7E3E" w:rsidRDefault="00E50D9B" w:rsidP="000B7E3E">
            <w:pPr>
              <w:pStyle w:val="TableText"/>
            </w:pPr>
          </w:p>
        </w:tc>
        <w:tc>
          <w:tcPr>
            <w:tcW w:w="756" w:type="pct"/>
            <w:tcBorders>
              <w:bottom w:val="nil"/>
            </w:tcBorders>
          </w:tcPr>
          <w:p w14:paraId="1EA222E2" w14:textId="77777777" w:rsidR="00E50D9B" w:rsidRPr="000B7E3E" w:rsidRDefault="00E50D9B" w:rsidP="000B7E3E">
            <w:pPr>
              <w:pStyle w:val="TableText"/>
            </w:pPr>
            <w:r w:rsidRPr="000B7E3E">
              <w:t>Stage IV</w:t>
            </w:r>
          </w:p>
        </w:tc>
        <w:tc>
          <w:tcPr>
            <w:tcW w:w="760" w:type="pct"/>
            <w:tcBorders>
              <w:bottom w:val="nil"/>
            </w:tcBorders>
          </w:tcPr>
          <w:p w14:paraId="4D210C52" w14:textId="77777777" w:rsidR="00E50D9B" w:rsidRPr="000B7E3E" w:rsidRDefault="00E50D9B" w:rsidP="000B7E3E">
            <w:pPr>
              <w:pStyle w:val="TableText"/>
            </w:pPr>
            <w:r w:rsidRPr="000B7E3E">
              <w:t>2014 (10)</w:t>
            </w:r>
          </w:p>
        </w:tc>
        <w:tc>
          <w:tcPr>
            <w:tcW w:w="656" w:type="pct"/>
            <w:tcBorders>
              <w:bottom w:val="nil"/>
            </w:tcBorders>
          </w:tcPr>
          <w:p w14:paraId="07E285ED" w14:textId="77777777" w:rsidR="00E50D9B" w:rsidRPr="000B7E3E" w:rsidRDefault="00E50D9B" w:rsidP="00771439">
            <w:pPr>
              <w:pStyle w:val="TableText"/>
              <w:jc w:val="right"/>
            </w:pPr>
            <w:r w:rsidRPr="000B7E3E">
              <w:t>5.0</w:t>
            </w:r>
          </w:p>
        </w:tc>
        <w:tc>
          <w:tcPr>
            <w:tcW w:w="600" w:type="pct"/>
            <w:tcBorders>
              <w:bottom w:val="nil"/>
            </w:tcBorders>
          </w:tcPr>
          <w:p w14:paraId="18388A4D" w14:textId="77777777" w:rsidR="00E50D9B" w:rsidRPr="000B7E3E" w:rsidRDefault="00E50D9B" w:rsidP="00771439">
            <w:pPr>
              <w:pStyle w:val="TableText"/>
              <w:jc w:val="right"/>
            </w:pPr>
            <w:r w:rsidRPr="000B7E3E">
              <w:t>0.19</w:t>
            </w:r>
          </w:p>
        </w:tc>
        <w:tc>
          <w:tcPr>
            <w:tcW w:w="521" w:type="pct"/>
            <w:tcBorders>
              <w:bottom w:val="nil"/>
            </w:tcBorders>
          </w:tcPr>
          <w:p w14:paraId="4C1E5E19" w14:textId="0C5FBBE8" w:rsidR="00E50D9B" w:rsidRPr="000B7E3E" w:rsidRDefault="00E50D9B" w:rsidP="00771439">
            <w:pPr>
              <w:pStyle w:val="TableText"/>
              <w:jc w:val="right"/>
            </w:pPr>
            <w:r>
              <w:t>–</w:t>
            </w:r>
          </w:p>
        </w:tc>
        <w:tc>
          <w:tcPr>
            <w:tcW w:w="443" w:type="pct"/>
            <w:tcBorders>
              <w:bottom w:val="nil"/>
            </w:tcBorders>
          </w:tcPr>
          <w:p w14:paraId="440CD2C7" w14:textId="77777777" w:rsidR="00E50D9B" w:rsidRPr="000B7E3E" w:rsidRDefault="00E50D9B" w:rsidP="00771439">
            <w:pPr>
              <w:pStyle w:val="TableText"/>
              <w:jc w:val="right"/>
            </w:pPr>
            <w:r w:rsidRPr="000B7E3E">
              <w:t>0.4</w:t>
            </w:r>
          </w:p>
        </w:tc>
        <w:tc>
          <w:tcPr>
            <w:tcW w:w="513" w:type="pct"/>
            <w:tcBorders>
              <w:bottom w:val="nil"/>
            </w:tcBorders>
          </w:tcPr>
          <w:p w14:paraId="3AFEF323" w14:textId="77777777" w:rsidR="00E50D9B" w:rsidRPr="000B7E3E" w:rsidRDefault="00E50D9B" w:rsidP="00771439">
            <w:pPr>
              <w:pStyle w:val="TableText"/>
              <w:jc w:val="right"/>
            </w:pPr>
            <w:r w:rsidRPr="000B7E3E">
              <w:t>0.025</w:t>
            </w:r>
          </w:p>
        </w:tc>
      </w:tr>
      <w:tr w:rsidR="00E50D9B" w:rsidRPr="000B7E3E" w14:paraId="65029C89" w14:textId="77777777" w:rsidTr="00415C12">
        <w:trPr>
          <w:trHeight w:val="1013"/>
        </w:trPr>
        <w:tc>
          <w:tcPr>
            <w:tcW w:w="751" w:type="pct"/>
            <w:vMerge/>
          </w:tcPr>
          <w:p w14:paraId="76185BF1" w14:textId="77777777" w:rsidR="00E50D9B" w:rsidRPr="000B7E3E" w:rsidRDefault="00E50D9B" w:rsidP="000B7E3E">
            <w:pPr>
              <w:pStyle w:val="TableText"/>
            </w:pPr>
          </w:p>
        </w:tc>
        <w:tc>
          <w:tcPr>
            <w:tcW w:w="756" w:type="pct"/>
            <w:tcBorders>
              <w:top w:val="nil"/>
            </w:tcBorders>
          </w:tcPr>
          <w:p w14:paraId="1F8C1228" w14:textId="77777777" w:rsidR="00E50D9B" w:rsidRPr="000B7E3E" w:rsidRDefault="00E50D9B" w:rsidP="000B7E3E">
            <w:pPr>
              <w:pStyle w:val="TableText"/>
            </w:pPr>
            <w:r w:rsidRPr="000B7E3E">
              <w:t>Stage V</w:t>
            </w:r>
          </w:p>
        </w:tc>
        <w:tc>
          <w:tcPr>
            <w:tcW w:w="760" w:type="pct"/>
            <w:tcBorders>
              <w:top w:val="nil"/>
            </w:tcBorders>
          </w:tcPr>
          <w:p w14:paraId="5BA147B2" w14:textId="77777777" w:rsidR="00E50D9B" w:rsidRPr="000B7E3E" w:rsidRDefault="00E50D9B" w:rsidP="000B7E3E">
            <w:pPr>
              <w:pStyle w:val="TableText"/>
            </w:pPr>
            <w:r w:rsidRPr="000B7E3E">
              <w:t>2020</w:t>
            </w:r>
          </w:p>
        </w:tc>
        <w:tc>
          <w:tcPr>
            <w:tcW w:w="656" w:type="pct"/>
            <w:tcBorders>
              <w:top w:val="nil"/>
            </w:tcBorders>
          </w:tcPr>
          <w:p w14:paraId="55485639" w14:textId="77777777" w:rsidR="00E50D9B" w:rsidRPr="000B7E3E" w:rsidRDefault="00E50D9B" w:rsidP="00771439">
            <w:pPr>
              <w:pStyle w:val="TableText"/>
              <w:jc w:val="right"/>
            </w:pPr>
            <w:r w:rsidRPr="000B7E3E">
              <w:t>5.0</w:t>
            </w:r>
          </w:p>
        </w:tc>
        <w:tc>
          <w:tcPr>
            <w:tcW w:w="600" w:type="pct"/>
            <w:tcBorders>
              <w:top w:val="nil"/>
            </w:tcBorders>
          </w:tcPr>
          <w:p w14:paraId="5320AB63" w14:textId="77777777" w:rsidR="00E50D9B" w:rsidRPr="000B7E3E" w:rsidRDefault="00E50D9B" w:rsidP="00771439">
            <w:pPr>
              <w:pStyle w:val="TableText"/>
              <w:jc w:val="right"/>
            </w:pPr>
            <w:r w:rsidRPr="000B7E3E">
              <w:t>0.19</w:t>
            </w:r>
          </w:p>
        </w:tc>
        <w:tc>
          <w:tcPr>
            <w:tcW w:w="521" w:type="pct"/>
            <w:tcBorders>
              <w:top w:val="nil"/>
            </w:tcBorders>
          </w:tcPr>
          <w:p w14:paraId="275BD746" w14:textId="6FD7F752" w:rsidR="00E50D9B" w:rsidRPr="000B7E3E" w:rsidRDefault="00E50D9B" w:rsidP="00771439">
            <w:pPr>
              <w:pStyle w:val="TableText"/>
              <w:jc w:val="right"/>
            </w:pPr>
            <w:r>
              <w:t>–</w:t>
            </w:r>
          </w:p>
        </w:tc>
        <w:tc>
          <w:tcPr>
            <w:tcW w:w="443" w:type="pct"/>
            <w:tcBorders>
              <w:top w:val="nil"/>
            </w:tcBorders>
          </w:tcPr>
          <w:p w14:paraId="095E57E6" w14:textId="77777777" w:rsidR="00E50D9B" w:rsidRPr="000B7E3E" w:rsidRDefault="00E50D9B" w:rsidP="00771439">
            <w:pPr>
              <w:pStyle w:val="TableText"/>
              <w:jc w:val="right"/>
            </w:pPr>
            <w:r w:rsidRPr="000B7E3E">
              <w:t>0.4</w:t>
            </w:r>
          </w:p>
        </w:tc>
        <w:tc>
          <w:tcPr>
            <w:tcW w:w="513" w:type="pct"/>
            <w:tcBorders>
              <w:top w:val="nil"/>
            </w:tcBorders>
          </w:tcPr>
          <w:p w14:paraId="035EC044" w14:textId="1872061F" w:rsidR="00E50D9B" w:rsidRPr="000B7E3E" w:rsidRDefault="00E50D9B" w:rsidP="00771439">
            <w:pPr>
              <w:pStyle w:val="TableText"/>
              <w:jc w:val="right"/>
            </w:pPr>
            <w:r w:rsidRPr="000B7E3E">
              <w:t>0.015</w:t>
            </w:r>
            <w:r w:rsidRPr="00B6670B">
              <w:rPr>
                <w:rStyle w:val="Strong"/>
              </w:rPr>
              <w:t>a</w:t>
            </w:r>
          </w:p>
        </w:tc>
      </w:tr>
      <w:tr w:rsidR="004A41D0" w:rsidRPr="000B7E3E" w14:paraId="36CA56A6" w14:textId="77777777" w:rsidTr="004A41D0">
        <w:tc>
          <w:tcPr>
            <w:tcW w:w="751" w:type="pct"/>
            <w:vMerge w:val="restart"/>
            <w:tcBorders>
              <w:top w:val="single" w:sz="4" w:space="0" w:color="auto"/>
            </w:tcBorders>
          </w:tcPr>
          <w:p w14:paraId="303C1793" w14:textId="4BAD54AA" w:rsidR="004A41D0" w:rsidRPr="000B7E3E" w:rsidRDefault="004A41D0" w:rsidP="000B7E3E">
            <w:pPr>
              <w:pStyle w:val="TableText"/>
            </w:pPr>
            <w:r w:rsidRPr="000B7E3E">
              <w:lastRenderedPageBreak/>
              <w:t>75 ≤ kW &lt; 130</w:t>
            </w:r>
          </w:p>
        </w:tc>
        <w:tc>
          <w:tcPr>
            <w:tcW w:w="756" w:type="pct"/>
            <w:tcBorders>
              <w:top w:val="single" w:sz="4" w:space="0" w:color="auto"/>
            </w:tcBorders>
          </w:tcPr>
          <w:p w14:paraId="0C613A26" w14:textId="77777777" w:rsidR="004A41D0" w:rsidRPr="000B7E3E" w:rsidRDefault="004A41D0" w:rsidP="000B7E3E">
            <w:pPr>
              <w:pStyle w:val="TableText"/>
            </w:pPr>
            <w:r w:rsidRPr="000B7E3E">
              <w:t>Stage I</w:t>
            </w:r>
          </w:p>
        </w:tc>
        <w:tc>
          <w:tcPr>
            <w:tcW w:w="760" w:type="pct"/>
            <w:tcBorders>
              <w:top w:val="single" w:sz="4" w:space="0" w:color="auto"/>
            </w:tcBorders>
          </w:tcPr>
          <w:p w14:paraId="09006BD2" w14:textId="77777777" w:rsidR="004A41D0" w:rsidRPr="000B7E3E" w:rsidRDefault="004A41D0" w:rsidP="000B7E3E">
            <w:pPr>
              <w:pStyle w:val="TableText"/>
            </w:pPr>
            <w:r w:rsidRPr="000B7E3E">
              <w:t>1999 (01)</w:t>
            </w:r>
          </w:p>
        </w:tc>
        <w:tc>
          <w:tcPr>
            <w:tcW w:w="656" w:type="pct"/>
            <w:tcBorders>
              <w:top w:val="single" w:sz="4" w:space="0" w:color="auto"/>
            </w:tcBorders>
          </w:tcPr>
          <w:p w14:paraId="70350A9D" w14:textId="77777777" w:rsidR="004A41D0" w:rsidRPr="000B7E3E" w:rsidRDefault="004A41D0" w:rsidP="00771439">
            <w:pPr>
              <w:pStyle w:val="TableText"/>
              <w:jc w:val="right"/>
            </w:pPr>
            <w:r w:rsidRPr="000B7E3E">
              <w:t>5.0</w:t>
            </w:r>
          </w:p>
        </w:tc>
        <w:tc>
          <w:tcPr>
            <w:tcW w:w="600" w:type="pct"/>
            <w:tcBorders>
              <w:top w:val="single" w:sz="4" w:space="0" w:color="auto"/>
            </w:tcBorders>
          </w:tcPr>
          <w:p w14:paraId="3DE51322" w14:textId="77777777" w:rsidR="004A41D0" w:rsidRPr="000B7E3E" w:rsidRDefault="004A41D0" w:rsidP="00771439">
            <w:pPr>
              <w:pStyle w:val="TableText"/>
              <w:jc w:val="right"/>
            </w:pPr>
            <w:r w:rsidRPr="000B7E3E">
              <w:t>1.3</w:t>
            </w:r>
          </w:p>
        </w:tc>
        <w:tc>
          <w:tcPr>
            <w:tcW w:w="521" w:type="pct"/>
            <w:tcBorders>
              <w:top w:val="single" w:sz="4" w:space="0" w:color="auto"/>
            </w:tcBorders>
          </w:tcPr>
          <w:p w14:paraId="181BE0FC" w14:textId="3B08455B" w:rsidR="004A41D0" w:rsidRPr="000B7E3E" w:rsidRDefault="00F66742" w:rsidP="00771439">
            <w:pPr>
              <w:pStyle w:val="TableText"/>
              <w:jc w:val="right"/>
            </w:pPr>
            <w:r>
              <w:t>–</w:t>
            </w:r>
          </w:p>
        </w:tc>
        <w:tc>
          <w:tcPr>
            <w:tcW w:w="443" w:type="pct"/>
            <w:tcBorders>
              <w:top w:val="single" w:sz="4" w:space="0" w:color="auto"/>
            </w:tcBorders>
          </w:tcPr>
          <w:p w14:paraId="0092F107" w14:textId="77777777" w:rsidR="004A41D0" w:rsidRPr="000B7E3E" w:rsidRDefault="004A41D0" w:rsidP="00771439">
            <w:pPr>
              <w:pStyle w:val="TableText"/>
              <w:jc w:val="right"/>
            </w:pPr>
            <w:r w:rsidRPr="000B7E3E">
              <w:t>9.2</w:t>
            </w:r>
          </w:p>
        </w:tc>
        <w:tc>
          <w:tcPr>
            <w:tcW w:w="513" w:type="pct"/>
            <w:tcBorders>
              <w:top w:val="single" w:sz="4" w:space="0" w:color="auto"/>
            </w:tcBorders>
          </w:tcPr>
          <w:p w14:paraId="203545FA" w14:textId="77777777" w:rsidR="004A41D0" w:rsidRPr="000B7E3E" w:rsidRDefault="004A41D0" w:rsidP="00771439">
            <w:pPr>
              <w:pStyle w:val="TableText"/>
              <w:jc w:val="right"/>
            </w:pPr>
            <w:r w:rsidRPr="000B7E3E">
              <w:t>0.70</w:t>
            </w:r>
          </w:p>
        </w:tc>
      </w:tr>
      <w:tr w:rsidR="004A41D0" w:rsidRPr="000B7E3E" w14:paraId="14F492BE" w14:textId="77777777" w:rsidTr="004A41D0">
        <w:tc>
          <w:tcPr>
            <w:tcW w:w="751" w:type="pct"/>
            <w:vMerge/>
          </w:tcPr>
          <w:p w14:paraId="0B6AE095" w14:textId="77777777" w:rsidR="004A41D0" w:rsidRPr="000B7E3E" w:rsidRDefault="004A41D0" w:rsidP="000B7E3E">
            <w:pPr>
              <w:pStyle w:val="TableText"/>
            </w:pPr>
          </w:p>
        </w:tc>
        <w:tc>
          <w:tcPr>
            <w:tcW w:w="756" w:type="pct"/>
          </w:tcPr>
          <w:p w14:paraId="1E366DD3" w14:textId="77777777" w:rsidR="004A41D0" w:rsidRPr="000B7E3E" w:rsidRDefault="004A41D0" w:rsidP="000B7E3E">
            <w:pPr>
              <w:pStyle w:val="TableText"/>
            </w:pPr>
            <w:r w:rsidRPr="000B7E3E">
              <w:t>Stage II</w:t>
            </w:r>
          </w:p>
        </w:tc>
        <w:tc>
          <w:tcPr>
            <w:tcW w:w="760" w:type="pct"/>
          </w:tcPr>
          <w:p w14:paraId="29200C40" w14:textId="77777777" w:rsidR="004A41D0" w:rsidRPr="000B7E3E" w:rsidRDefault="004A41D0" w:rsidP="000B7E3E">
            <w:pPr>
              <w:pStyle w:val="TableText"/>
            </w:pPr>
            <w:r w:rsidRPr="000B7E3E">
              <w:t>2003 (01)</w:t>
            </w:r>
          </w:p>
        </w:tc>
        <w:tc>
          <w:tcPr>
            <w:tcW w:w="656" w:type="pct"/>
          </w:tcPr>
          <w:p w14:paraId="4D82A97F" w14:textId="77777777" w:rsidR="004A41D0" w:rsidRPr="000B7E3E" w:rsidRDefault="004A41D0" w:rsidP="00771439">
            <w:pPr>
              <w:pStyle w:val="TableText"/>
              <w:jc w:val="right"/>
            </w:pPr>
            <w:r w:rsidRPr="000B7E3E">
              <w:t>5.0</w:t>
            </w:r>
          </w:p>
        </w:tc>
        <w:tc>
          <w:tcPr>
            <w:tcW w:w="600" w:type="pct"/>
          </w:tcPr>
          <w:p w14:paraId="28AD5A75" w14:textId="77777777" w:rsidR="004A41D0" w:rsidRPr="000B7E3E" w:rsidRDefault="004A41D0" w:rsidP="00771439">
            <w:pPr>
              <w:pStyle w:val="TableText"/>
              <w:jc w:val="right"/>
            </w:pPr>
            <w:r w:rsidRPr="000B7E3E">
              <w:t>1.0</w:t>
            </w:r>
          </w:p>
        </w:tc>
        <w:tc>
          <w:tcPr>
            <w:tcW w:w="521" w:type="pct"/>
          </w:tcPr>
          <w:p w14:paraId="1D7414DF" w14:textId="4EB1843D" w:rsidR="004A41D0" w:rsidRPr="000B7E3E" w:rsidRDefault="00F66742" w:rsidP="00771439">
            <w:pPr>
              <w:pStyle w:val="TableText"/>
              <w:jc w:val="right"/>
            </w:pPr>
            <w:r>
              <w:t>–</w:t>
            </w:r>
          </w:p>
        </w:tc>
        <w:tc>
          <w:tcPr>
            <w:tcW w:w="443" w:type="pct"/>
          </w:tcPr>
          <w:p w14:paraId="095164BD" w14:textId="77777777" w:rsidR="004A41D0" w:rsidRPr="000B7E3E" w:rsidRDefault="004A41D0" w:rsidP="00771439">
            <w:pPr>
              <w:pStyle w:val="TableText"/>
              <w:jc w:val="right"/>
            </w:pPr>
            <w:r w:rsidRPr="000B7E3E">
              <w:t>6.0</w:t>
            </w:r>
          </w:p>
        </w:tc>
        <w:tc>
          <w:tcPr>
            <w:tcW w:w="513" w:type="pct"/>
          </w:tcPr>
          <w:p w14:paraId="12926335" w14:textId="77777777" w:rsidR="004A41D0" w:rsidRPr="000B7E3E" w:rsidRDefault="004A41D0" w:rsidP="00771439">
            <w:pPr>
              <w:pStyle w:val="TableText"/>
              <w:jc w:val="right"/>
            </w:pPr>
            <w:r w:rsidRPr="000B7E3E">
              <w:t>0.3</w:t>
            </w:r>
          </w:p>
        </w:tc>
      </w:tr>
      <w:tr w:rsidR="004A41D0" w:rsidRPr="000B7E3E" w14:paraId="7DE7654D" w14:textId="77777777" w:rsidTr="004A41D0">
        <w:tc>
          <w:tcPr>
            <w:tcW w:w="751" w:type="pct"/>
            <w:vMerge/>
          </w:tcPr>
          <w:p w14:paraId="05AE3621" w14:textId="77777777" w:rsidR="004A41D0" w:rsidRPr="000B7E3E" w:rsidRDefault="004A41D0" w:rsidP="000B7E3E">
            <w:pPr>
              <w:pStyle w:val="TableText"/>
            </w:pPr>
          </w:p>
        </w:tc>
        <w:tc>
          <w:tcPr>
            <w:tcW w:w="756" w:type="pct"/>
          </w:tcPr>
          <w:p w14:paraId="075F3ED2" w14:textId="77777777" w:rsidR="004A41D0" w:rsidRPr="000B7E3E" w:rsidRDefault="004A41D0" w:rsidP="000B7E3E">
            <w:pPr>
              <w:pStyle w:val="TableText"/>
            </w:pPr>
            <w:r w:rsidRPr="000B7E3E">
              <w:t>Stage IIIA</w:t>
            </w:r>
          </w:p>
        </w:tc>
        <w:tc>
          <w:tcPr>
            <w:tcW w:w="760" w:type="pct"/>
          </w:tcPr>
          <w:p w14:paraId="6BF9C5EB" w14:textId="77777777" w:rsidR="004A41D0" w:rsidRPr="000B7E3E" w:rsidRDefault="004A41D0" w:rsidP="000B7E3E">
            <w:pPr>
              <w:pStyle w:val="TableText"/>
            </w:pPr>
            <w:r w:rsidRPr="000B7E3E">
              <w:t>2007 (01)</w:t>
            </w:r>
          </w:p>
        </w:tc>
        <w:tc>
          <w:tcPr>
            <w:tcW w:w="656" w:type="pct"/>
          </w:tcPr>
          <w:p w14:paraId="682ABB16" w14:textId="77777777" w:rsidR="004A41D0" w:rsidRPr="000B7E3E" w:rsidRDefault="004A41D0" w:rsidP="00771439">
            <w:pPr>
              <w:pStyle w:val="TableText"/>
              <w:jc w:val="right"/>
            </w:pPr>
            <w:r w:rsidRPr="000B7E3E">
              <w:t>5.0</w:t>
            </w:r>
          </w:p>
        </w:tc>
        <w:tc>
          <w:tcPr>
            <w:tcW w:w="600" w:type="pct"/>
          </w:tcPr>
          <w:p w14:paraId="4A58186D" w14:textId="0AF44BC5" w:rsidR="004A41D0" w:rsidRPr="000B7E3E" w:rsidRDefault="00F66742" w:rsidP="00771439">
            <w:pPr>
              <w:pStyle w:val="TableText"/>
              <w:jc w:val="right"/>
            </w:pPr>
            <w:r>
              <w:t>–</w:t>
            </w:r>
          </w:p>
        </w:tc>
        <w:tc>
          <w:tcPr>
            <w:tcW w:w="521" w:type="pct"/>
          </w:tcPr>
          <w:p w14:paraId="30ADFAD8" w14:textId="77777777" w:rsidR="004A41D0" w:rsidRPr="000B7E3E" w:rsidRDefault="004A41D0" w:rsidP="00771439">
            <w:pPr>
              <w:pStyle w:val="TableText"/>
              <w:jc w:val="right"/>
            </w:pPr>
            <w:r w:rsidRPr="000B7E3E">
              <w:t>4.0</w:t>
            </w:r>
          </w:p>
        </w:tc>
        <w:tc>
          <w:tcPr>
            <w:tcW w:w="443" w:type="pct"/>
          </w:tcPr>
          <w:p w14:paraId="1D7D03DE" w14:textId="26BE7E8B" w:rsidR="004A41D0" w:rsidRPr="000B7E3E" w:rsidRDefault="00F66742" w:rsidP="00771439">
            <w:pPr>
              <w:pStyle w:val="TableText"/>
              <w:jc w:val="right"/>
            </w:pPr>
            <w:r>
              <w:t>–</w:t>
            </w:r>
          </w:p>
        </w:tc>
        <w:tc>
          <w:tcPr>
            <w:tcW w:w="513" w:type="pct"/>
          </w:tcPr>
          <w:p w14:paraId="600A157E" w14:textId="77777777" w:rsidR="004A41D0" w:rsidRPr="000B7E3E" w:rsidRDefault="004A41D0" w:rsidP="00771439">
            <w:pPr>
              <w:pStyle w:val="TableText"/>
              <w:jc w:val="right"/>
            </w:pPr>
            <w:r w:rsidRPr="000B7E3E">
              <w:t>0.3</w:t>
            </w:r>
          </w:p>
        </w:tc>
      </w:tr>
      <w:tr w:rsidR="004A41D0" w:rsidRPr="000B7E3E" w14:paraId="30941018" w14:textId="77777777" w:rsidTr="004A41D0">
        <w:tc>
          <w:tcPr>
            <w:tcW w:w="751" w:type="pct"/>
            <w:vMerge/>
          </w:tcPr>
          <w:p w14:paraId="312635B5" w14:textId="77777777" w:rsidR="004A41D0" w:rsidRPr="000B7E3E" w:rsidRDefault="004A41D0" w:rsidP="000B7E3E">
            <w:pPr>
              <w:pStyle w:val="TableText"/>
            </w:pPr>
          </w:p>
        </w:tc>
        <w:tc>
          <w:tcPr>
            <w:tcW w:w="756" w:type="pct"/>
          </w:tcPr>
          <w:p w14:paraId="21E7289D" w14:textId="77777777" w:rsidR="004A41D0" w:rsidRPr="000B7E3E" w:rsidRDefault="004A41D0" w:rsidP="000B7E3E">
            <w:pPr>
              <w:pStyle w:val="TableText"/>
            </w:pPr>
            <w:r w:rsidRPr="000B7E3E">
              <w:t>Stage IIIB</w:t>
            </w:r>
          </w:p>
        </w:tc>
        <w:tc>
          <w:tcPr>
            <w:tcW w:w="760" w:type="pct"/>
          </w:tcPr>
          <w:p w14:paraId="3C0DC9EE" w14:textId="77777777" w:rsidR="004A41D0" w:rsidRPr="000B7E3E" w:rsidRDefault="004A41D0" w:rsidP="000B7E3E">
            <w:pPr>
              <w:pStyle w:val="TableText"/>
            </w:pPr>
            <w:r w:rsidRPr="000B7E3E">
              <w:t>2012 (01)</w:t>
            </w:r>
          </w:p>
        </w:tc>
        <w:tc>
          <w:tcPr>
            <w:tcW w:w="656" w:type="pct"/>
          </w:tcPr>
          <w:p w14:paraId="78088075" w14:textId="77777777" w:rsidR="004A41D0" w:rsidRPr="000B7E3E" w:rsidRDefault="004A41D0" w:rsidP="00771439">
            <w:pPr>
              <w:pStyle w:val="TableText"/>
              <w:jc w:val="right"/>
            </w:pPr>
            <w:r w:rsidRPr="000B7E3E">
              <w:t>5.0</w:t>
            </w:r>
          </w:p>
        </w:tc>
        <w:tc>
          <w:tcPr>
            <w:tcW w:w="600" w:type="pct"/>
          </w:tcPr>
          <w:p w14:paraId="7934EFE7" w14:textId="77777777" w:rsidR="004A41D0" w:rsidRPr="000B7E3E" w:rsidRDefault="004A41D0" w:rsidP="00771439">
            <w:pPr>
              <w:pStyle w:val="TableText"/>
              <w:jc w:val="right"/>
            </w:pPr>
            <w:r w:rsidRPr="000B7E3E">
              <w:t>0.19</w:t>
            </w:r>
          </w:p>
        </w:tc>
        <w:tc>
          <w:tcPr>
            <w:tcW w:w="521" w:type="pct"/>
          </w:tcPr>
          <w:p w14:paraId="7EE4643B" w14:textId="02F82480" w:rsidR="004A41D0" w:rsidRPr="000B7E3E" w:rsidRDefault="00F66742" w:rsidP="00771439">
            <w:pPr>
              <w:pStyle w:val="TableText"/>
              <w:jc w:val="right"/>
            </w:pPr>
            <w:r>
              <w:t>–</w:t>
            </w:r>
          </w:p>
        </w:tc>
        <w:tc>
          <w:tcPr>
            <w:tcW w:w="443" w:type="pct"/>
          </w:tcPr>
          <w:p w14:paraId="1AE61A41" w14:textId="77777777" w:rsidR="004A41D0" w:rsidRPr="000B7E3E" w:rsidRDefault="004A41D0" w:rsidP="00771439">
            <w:pPr>
              <w:pStyle w:val="TableText"/>
              <w:jc w:val="right"/>
            </w:pPr>
            <w:r w:rsidRPr="000B7E3E">
              <w:t>3.3</w:t>
            </w:r>
          </w:p>
        </w:tc>
        <w:tc>
          <w:tcPr>
            <w:tcW w:w="513" w:type="pct"/>
          </w:tcPr>
          <w:p w14:paraId="0889FBF8" w14:textId="77777777" w:rsidR="004A41D0" w:rsidRPr="000B7E3E" w:rsidRDefault="004A41D0" w:rsidP="00771439">
            <w:pPr>
              <w:pStyle w:val="TableText"/>
              <w:jc w:val="right"/>
            </w:pPr>
            <w:r w:rsidRPr="000B7E3E">
              <w:t>0.025</w:t>
            </w:r>
          </w:p>
        </w:tc>
      </w:tr>
      <w:tr w:rsidR="004A41D0" w:rsidRPr="000B7E3E" w14:paraId="5CFFB275" w14:textId="77777777" w:rsidTr="00415C12">
        <w:tc>
          <w:tcPr>
            <w:tcW w:w="751" w:type="pct"/>
            <w:vMerge/>
          </w:tcPr>
          <w:p w14:paraId="3B3A28A2" w14:textId="77777777" w:rsidR="004A41D0" w:rsidRPr="000B7E3E" w:rsidRDefault="004A41D0" w:rsidP="000B7E3E">
            <w:pPr>
              <w:pStyle w:val="TableText"/>
            </w:pPr>
          </w:p>
        </w:tc>
        <w:tc>
          <w:tcPr>
            <w:tcW w:w="756" w:type="pct"/>
            <w:tcBorders>
              <w:bottom w:val="nil"/>
            </w:tcBorders>
          </w:tcPr>
          <w:p w14:paraId="4135A65E" w14:textId="77777777" w:rsidR="004A41D0" w:rsidRPr="000B7E3E" w:rsidRDefault="004A41D0" w:rsidP="000B7E3E">
            <w:pPr>
              <w:pStyle w:val="TableText"/>
            </w:pPr>
            <w:r w:rsidRPr="000B7E3E">
              <w:t>Stage IV</w:t>
            </w:r>
          </w:p>
        </w:tc>
        <w:tc>
          <w:tcPr>
            <w:tcW w:w="760" w:type="pct"/>
            <w:tcBorders>
              <w:bottom w:val="nil"/>
            </w:tcBorders>
          </w:tcPr>
          <w:p w14:paraId="423C43FB" w14:textId="77777777" w:rsidR="004A41D0" w:rsidRPr="000B7E3E" w:rsidRDefault="004A41D0" w:rsidP="000B7E3E">
            <w:pPr>
              <w:pStyle w:val="TableText"/>
            </w:pPr>
            <w:r w:rsidRPr="000B7E3E">
              <w:t>2014 (10)</w:t>
            </w:r>
          </w:p>
        </w:tc>
        <w:tc>
          <w:tcPr>
            <w:tcW w:w="656" w:type="pct"/>
            <w:tcBorders>
              <w:bottom w:val="nil"/>
            </w:tcBorders>
          </w:tcPr>
          <w:p w14:paraId="1D08DA3D" w14:textId="77777777" w:rsidR="004A41D0" w:rsidRPr="000B7E3E" w:rsidRDefault="004A41D0" w:rsidP="00771439">
            <w:pPr>
              <w:pStyle w:val="TableText"/>
              <w:jc w:val="right"/>
            </w:pPr>
            <w:r w:rsidRPr="000B7E3E">
              <w:t>5.0</w:t>
            </w:r>
          </w:p>
        </w:tc>
        <w:tc>
          <w:tcPr>
            <w:tcW w:w="600" w:type="pct"/>
            <w:tcBorders>
              <w:bottom w:val="nil"/>
            </w:tcBorders>
          </w:tcPr>
          <w:p w14:paraId="77A918C5" w14:textId="77777777" w:rsidR="004A41D0" w:rsidRPr="000B7E3E" w:rsidRDefault="004A41D0" w:rsidP="00771439">
            <w:pPr>
              <w:pStyle w:val="TableText"/>
              <w:jc w:val="right"/>
            </w:pPr>
            <w:r w:rsidRPr="000B7E3E">
              <w:t>0.19</w:t>
            </w:r>
          </w:p>
        </w:tc>
        <w:tc>
          <w:tcPr>
            <w:tcW w:w="521" w:type="pct"/>
            <w:tcBorders>
              <w:bottom w:val="nil"/>
            </w:tcBorders>
          </w:tcPr>
          <w:p w14:paraId="2D2829C4" w14:textId="15AEFCD3" w:rsidR="004A41D0" w:rsidRPr="000B7E3E" w:rsidRDefault="00F66742" w:rsidP="00771439">
            <w:pPr>
              <w:pStyle w:val="TableText"/>
              <w:jc w:val="right"/>
            </w:pPr>
            <w:r>
              <w:t>–</w:t>
            </w:r>
          </w:p>
        </w:tc>
        <w:tc>
          <w:tcPr>
            <w:tcW w:w="443" w:type="pct"/>
            <w:tcBorders>
              <w:bottom w:val="nil"/>
            </w:tcBorders>
          </w:tcPr>
          <w:p w14:paraId="78D702C4" w14:textId="77777777" w:rsidR="004A41D0" w:rsidRPr="000B7E3E" w:rsidRDefault="004A41D0" w:rsidP="00771439">
            <w:pPr>
              <w:pStyle w:val="TableText"/>
              <w:jc w:val="right"/>
            </w:pPr>
            <w:r w:rsidRPr="000B7E3E">
              <w:t>0.4</w:t>
            </w:r>
          </w:p>
        </w:tc>
        <w:tc>
          <w:tcPr>
            <w:tcW w:w="513" w:type="pct"/>
            <w:tcBorders>
              <w:bottom w:val="nil"/>
            </w:tcBorders>
          </w:tcPr>
          <w:p w14:paraId="6B920CBD" w14:textId="77777777" w:rsidR="004A41D0" w:rsidRPr="000B7E3E" w:rsidRDefault="004A41D0" w:rsidP="00771439">
            <w:pPr>
              <w:pStyle w:val="TableText"/>
              <w:jc w:val="right"/>
            </w:pPr>
            <w:r w:rsidRPr="000B7E3E">
              <w:t>0.025</w:t>
            </w:r>
          </w:p>
        </w:tc>
      </w:tr>
      <w:tr w:rsidR="004A41D0" w:rsidRPr="000B7E3E" w14:paraId="169C2B35" w14:textId="77777777" w:rsidTr="00415C12">
        <w:tc>
          <w:tcPr>
            <w:tcW w:w="751" w:type="pct"/>
            <w:vMerge/>
            <w:tcBorders>
              <w:bottom w:val="single" w:sz="4" w:space="0" w:color="auto"/>
            </w:tcBorders>
          </w:tcPr>
          <w:p w14:paraId="586E1FD3" w14:textId="77777777" w:rsidR="004A41D0" w:rsidRPr="000B7E3E" w:rsidRDefault="004A41D0" w:rsidP="000B7E3E">
            <w:pPr>
              <w:pStyle w:val="TableText"/>
            </w:pPr>
          </w:p>
        </w:tc>
        <w:tc>
          <w:tcPr>
            <w:tcW w:w="756" w:type="pct"/>
            <w:tcBorders>
              <w:top w:val="nil"/>
              <w:bottom w:val="single" w:sz="4" w:space="0" w:color="auto"/>
            </w:tcBorders>
          </w:tcPr>
          <w:p w14:paraId="13C7BC05" w14:textId="77777777" w:rsidR="004A41D0" w:rsidRPr="000B7E3E" w:rsidRDefault="004A41D0" w:rsidP="000B7E3E">
            <w:pPr>
              <w:pStyle w:val="TableText"/>
            </w:pPr>
            <w:r w:rsidRPr="000B7E3E">
              <w:t>Stage V</w:t>
            </w:r>
          </w:p>
        </w:tc>
        <w:tc>
          <w:tcPr>
            <w:tcW w:w="760" w:type="pct"/>
            <w:tcBorders>
              <w:top w:val="nil"/>
              <w:bottom w:val="single" w:sz="4" w:space="0" w:color="auto"/>
            </w:tcBorders>
          </w:tcPr>
          <w:p w14:paraId="7084C18A" w14:textId="77777777" w:rsidR="004A41D0" w:rsidRPr="000B7E3E" w:rsidRDefault="004A41D0" w:rsidP="000B7E3E">
            <w:pPr>
              <w:pStyle w:val="TableText"/>
            </w:pPr>
            <w:r w:rsidRPr="000B7E3E">
              <w:t>2020</w:t>
            </w:r>
          </w:p>
        </w:tc>
        <w:tc>
          <w:tcPr>
            <w:tcW w:w="656" w:type="pct"/>
            <w:tcBorders>
              <w:top w:val="nil"/>
              <w:bottom w:val="single" w:sz="4" w:space="0" w:color="auto"/>
            </w:tcBorders>
          </w:tcPr>
          <w:p w14:paraId="3001AE0A" w14:textId="77777777" w:rsidR="004A41D0" w:rsidRPr="000B7E3E" w:rsidRDefault="004A41D0" w:rsidP="00771439">
            <w:pPr>
              <w:pStyle w:val="TableText"/>
              <w:jc w:val="right"/>
            </w:pPr>
            <w:r w:rsidRPr="000B7E3E">
              <w:t>5.0</w:t>
            </w:r>
          </w:p>
        </w:tc>
        <w:tc>
          <w:tcPr>
            <w:tcW w:w="600" w:type="pct"/>
            <w:tcBorders>
              <w:top w:val="nil"/>
              <w:bottom w:val="single" w:sz="4" w:space="0" w:color="auto"/>
            </w:tcBorders>
          </w:tcPr>
          <w:p w14:paraId="4B7E867B" w14:textId="77777777" w:rsidR="004A41D0" w:rsidRPr="000B7E3E" w:rsidRDefault="004A41D0" w:rsidP="00771439">
            <w:pPr>
              <w:pStyle w:val="TableText"/>
              <w:jc w:val="right"/>
            </w:pPr>
            <w:r w:rsidRPr="000B7E3E">
              <w:t>0.19</w:t>
            </w:r>
          </w:p>
        </w:tc>
        <w:tc>
          <w:tcPr>
            <w:tcW w:w="521" w:type="pct"/>
            <w:tcBorders>
              <w:top w:val="nil"/>
              <w:bottom w:val="single" w:sz="4" w:space="0" w:color="auto"/>
            </w:tcBorders>
          </w:tcPr>
          <w:p w14:paraId="4FF9F626" w14:textId="492029AD" w:rsidR="004A41D0" w:rsidRPr="000B7E3E" w:rsidRDefault="00F66742" w:rsidP="00771439">
            <w:pPr>
              <w:pStyle w:val="TableText"/>
              <w:jc w:val="right"/>
            </w:pPr>
            <w:r>
              <w:t>–</w:t>
            </w:r>
          </w:p>
        </w:tc>
        <w:tc>
          <w:tcPr>
            <w:tcW w:w="443" w:type="pct"/>
            <w:tcBorders>
              <w:top w:val="nil"/>
              <w:bottom w:val="single" w:sz="4" w:space="0" w:color="auto"/>
            </w:tcBorders>
          </w:tcPr>
          <w:p w14:paraId="4364E500" w14:textId="77777777" w:rsidR="004A41D0" w:rsidRPr="000B7E3E" w:rsidRDefault="004A41D0" w:rsidP="00771439">
            <w:pPr>
              <w:pStyle w:val="TableText"/>
              <w:jc w:val="right"/>
            </w:pPr>
            <w:r w:rsidRPr="000B7E3E">
              <w:t>0.4</w:t>
            </w:r>
          </w:p>
        </w:tc>
        <w:tc>
          <w:tcPr>
            <w:tcW w:w="513" w:type="pct"/>
            <w:tcBorders>
              <w:top w:val="nil"/>
              <w:bottom w:val="single" w:sz="4" w:space="0" w:color="auto"/>
            </w:tcBorders>
          </w:tcPr>
          <w:p w14:paraId="10B1F8A2" w14:textId="677272BA" w:rsidR="004A41D0" w:rsidRPr="000B7E3E" w:rsidRDefault="004A41D0" w:rsidP="00771439">
            <w:pPr>
              <w:pStyle w:val="TableText"/>
              <w:jc w:val="right"/>
            </w:pPr>
            <w:r w:rsidRPr="000B7E3E">
              <w:t>0.015</w:t>
            </w:r>
            <w:r w:rsidR="00B6670B" w:rsidRPr="00B6670B">
              <w:rPr>
                <w:rStyle w:val="Strong"/>
              </w:rPr>
              <w:t>a</w:t>
            </w:r>
          </w:p>
        </w:tc>
      </w:tr>
      <w:tr w:rsidR="004A41D0" w:rsidRPr="000B7E3E" w14:paraId="6D908390" w14:textId="77777777" w:rsidTr="004A41D0">
        <w:tc>
          <w:tcPr>
            <w:tcW w:w="751" w:type="pct"/>
            <w:vMerge w:val="restart"/>
            <w:tcBorders>
              <w:top w:val="single" w:sz="4" w:space="0" w:color="auto"/>
            </w:tcBorders>
          </w:tcPr>
          <w:p w14:paraId="00324741" w14:textId="77777777" w:rsidR="004A41D0" w:rsidRPr="000B7E3E" w:rsidRDefault="004A41D0" w:rsidP="000B7E3E">
            <w:pPr>
              <w:pStyle w:val="TableText"/>
            </w:pPr>
            <w:r w:rsidRPr="000B7E3E">
              <w:t>130 ≤ kW ≤ 560</w:t>
            </w:r>
          </w:p>
        </w:tc>
        <w:tc>
          <w:tcPr>
            <w:tcW w:w="756" w:type="pct"/>
            <w:tcBorders>
              <w:top w:val="single" w:sz="4" w:space="0" w:color="auto"/>
            </w:tcBorders>
          </w:tcPr>
          <w:p w14:paraId="23E44887" w14:textId="77777777" w:rsidR="004A41D0" w:rsidRPr="000B7E3E" w:rsidRDefault="004A41D0" w:rsidP="000B7E3E">
            <w:pPr>
              <w:pStyle w:val="TableText"/>
            </w:pPr>
            <w:r w:rsidRPr="000B7E3E">
              <w:t>Stage I</w:t>
            </w:r>
          </w:p>
        </w:tc>
        <w:tc>
          <w:tcPr>
            <w:tcW w:w="760" w:type="pct"/>
            <w:tcBorders>
              <w:top w:val="single" w:sz="4" w:space="0" w:color="auto"/>
            </w:tcBorders>
          </w:tcPr>
          <w:p w14:paraId="07BF3A90" w14:textId="77777777" w:rsidR="004A41D0" w:rsidRPr="000B7E3E" w:rsidRDefault="004A41D0" w:rsidP="000B7E3E">
            <w:pPr>
              <w:pStyle w:val="TableText"/>
            </w:pPr>
            <w:r w:rsidRPr="000B7E3E">
              <w:t>1999 (01)</w:t>
            </w:r>
          </w:p>
        </w:tc>
        <w:tc>
          <w:tcPr>
            <w:tcW w:w="656" w:type="pct"/>
            <w:tcBorders>
              <w:top w:val="single" w:sz="4" w:space="0" w:color="auto"/>
            </w:tcBorders>
          </w:tcPr>
          <w:p w14:paraId="4E366E2B" w14:textId="77777777" w:rsidR="004A41D0" w:rsidRPr="000B7E3E" w:rsidRDefault="004A41D0" w:rsidP="00771439">
            <w:pPr>
              <w:pStyle w:val="TableText"/>
              <w:jc w:val="right"/>
            </w:pPr>
            <w:r w:rsidRPr="000B7E3E">
              <w:t>5.0</w:t>
            </w:r>
          </w:p>
        </w:tc>
        <w:tc>
          <w:tcPr>
            <w:tcW w:w="600" w:type="pct"/>
            <w:tcBorders>
              <w:top w:val="single" w:sz="4" w:space="0" w:color="auto"/>
            </w:tcBorders>
          </w:tcPr>
          <w:p w14:paraId="192D48E1" w14:textId="77777777" w:rsidR="004A41D0" w:rsidRPr="000B7E3E" w:rsidRDefault="004A41D0" w:rsidP="00771439">
            <w:pPr>
              <w:pStyle w:val="TableText"/>
              <w:jc w:val="right"/>
            </w:pPr>
            <w:r w:rsidRPr="000B7E3E">
              <w:t>1.3</w:t>
            </w:r>
          </w:p>
        </w:tc>
        <w:tc>
          <w:tcPr>
            <w:tcW w:w="521" w:type="pct"/>
            <w:tcBorders>
              <w:top w:val="single" w:sz="4" w:space="0" w:color="auto"/>
            </w:tcBorders>
          </w:tcPr>
          <w:p w14:paraId="7951B0BC" w14:textId="7A45C3AC" w:rsidR="004A41D0" w:rsidRPr="000B7E3E" w:rsidRDefault="00F66742" w:rsidP="00771439">
            <w:pPr>
              <w:pStyle w:val="TableText"/>
              <w:jc w:val="right"/>
            </w:pPr>
            <w:r>
              <w:t>–</w:t>
            </w:r>
          </w:p>
        </w:tc>
        <w:tc>
          <w:tcPr>
            <w:tcW w:w="443" w:type="pct"/>
            <w:tcBorders>
              <w:top w:val="single" w:sz="4" w:space="0" w:color="auto"/>
            </w:tcBorders>
          </w:tcPr>
          <w:p w14:paraId="4DF603B3" w14:textId="77777777" w:rsidR="004A41D0" w:rsidRPr="000B7E3E" w:rsidRDefault="004A41D0" w:rsidP="00771439">
            <w:pPr>
              <w:pStyle w:val="TableText"/>
              <w:jc w:val="right"/>
            </w:pPr>
            <w:r w:rsidRPr="000B7E3E">
              <w:t>9.2</w:t>
            </w:r>
          </w:p>
        </w:tc>
        <w:tc>
          <w:tcPr>
            <w:tcW w:w="513" w:type="pct"/>
            <w:tcBorders>
              <w:top w:val="single" w:sz="4" w:space="0" w:color="auto"/>
            </w:tcBorders>
          </w:tcPr>
          <w:p w14:paraId="71F8B6FA" w14:textId="77777777" w:rsidR="004A41D0" w:rsidRPr="000B7E3E" w:rsidRDefault="004A41D0" w:rsidP="00771439">
            <w:pPr>
              <w:pStyle w:val="TableText"/>
              <w:jc w:val="right"/>
            </w:pPr>
            <w:r w:rsidRPr="000B7E3E">
              <w:t>0.54</w:t>
            </w:r>
          </w:p>
        </w:tc>
      </w:tr>
      <w:tr w:rsidR="004A41D0" w:rsidRPr="000B7E3E" w14:paraId="4EF7703E" w14:textId="77777777" w:rsidTr="004A41D0">
        <w:tc>
          <w:tcPr>
            <w:tcW w:w="751" w:type="pct"/>
            <w:vMerge/>
          </w:tcPr>
          <w:p w14:paraId="5C141722" w14:textId="77777777" w:rsidR="004A41D0" w:rsidRPr="000B7E3E" w:rsidRDefault="004A41D0" w:rsidP="000B7E3E">
            <w:pPr>
              <w:pStyle w:val="TableText"/>
            </w:pPr>
          </w:p>
        </w:tc>
        <w:tc>
          <w:tcPr>
            <w:tcW w:w="756" w:type="pct"/>
          </w:tcPr>
          <w:p w14:paraId="09C85BE1" w14:textId="77777777" w:rsidR="004A41D0" w:rsidRPr="000B7E3E" w:rsidRDefault="004A41D0" w:rsidP="000B7E3E">
            <w:pPr>
              <w:pStyle w:val="TableText"/>
            </w:pPr>
            <w:r w:rsidRPr="000B7E3E">
              <w:t>Stage II</w:t>
            </w:r>
          </w:p>
        </w:tc>
        <w:tc>
          <w:tcPr>
            <w:tcW w:w="760" w:type="pct"/>
          </w:tcPr>
          <w:p w14:paraId="6679891F" w14:textId="77777777" w:rsidR="004A41D0" w:rsidRPr="000B7E3E" w:rsidRDefault="004A41D0" w:rsidP="000B7E3E">
            <w:pPr>
              <w:pStyle w:val="TableText"/>
            </w:pPr>
            <w:r w:rsidRPr="000B7E3E">
              <w:t>2002 (01)</w:t>
            </w:r>
          </w:p>
        </w:tc>
        <w:tc>
          <w:tcPr>
            <w:tcW w:w="656" w:type="pct"/>
          </w:tcPr>
          <w:p w14:paraId="5F8E67EA" w14:textId="77777777" w:rsidR="004A41D0" w:rsidRPr="000B7E3E" w:rsidRDefault="004A41D0" w:rsidP="00771439">
            <w:pPr>
              <w:pStyle w:val="TableText"/>
              <w:jc w:val="right"/>
            </w:pPr>
            <w:r w:rsidRPr="000B7E3E">
              <w:t>3.5</w:t>
            </w:r>
          </w:p>
        </w:tc>
        <w:tc>
          <w:tcPr>
            <w:tcW w:w="600" w:type="pct"/>
          </w:tcPr>
          <w:p w14:paraId="75356D4C" w14:textId="77777777" w:rsidR="004A41D0" w:rsidRPr="000B7E3E" w:rsidRDefault="004A41D0" w:rsidP="00771439">
            <w:pPr>
              <w:pStyle w:val="TableText"/>
              <w:jc w:val="right"/>
            </w:pPr>
            <w:r w:rsidRPr="000B7E3E">
              <w:t>1.0</w:t>
            </w:r>
          </w:p>
        </w:tc>
        <w:tc>
          <w:tcPr>
            <w:tcW w:w="521" w:type="pct"/>
          </w:tcPr>
          <w:p w14:paraId="1DAEEF07" w14:textId="39CE2A22" w:rsidR="004A41D0" w:rsidRPr="000B7E3E" w:rsidRDefault="00F66742" w:rsidP="00771439">
            <w:pPr>
              <w:pStyle w:val="TableText"/>
              <w:jc w:val="right"/>
            </w:pPr>
            <w:r>
              <w:t>–</w:t>
            </w:r>
          </w:p>
        </w:tc>
        <w:tc>
          <w:tcPr>
            <w:tcW w:w="443" w:type="pct"/>
          </w:tcPr>
          <w:p w14:paraId="5B14A11B" w14:textId="77777777" w:rsidR="004A41D0" w:rsidRPr="000B7E3E" w:rsidRDefault="004A41D0" w:rsidP="00771439">
            <w:pPr>
              <w:pStyle w:val="TableText"/>
              <w:jc w:val="right"/>
            </w:pPr>
            <w:r w:rsidRPr="000B7E3E">
              <w:t>6.0</w:t>
            </w:r>
          </w:p>
        </w:tc>
        <w:tc>
          <w:tcPr>
            <w:tcW w:w="513" w:type="pct"/>
          </w:tcPr>
          <w:p w14:paraId="4175602D" w14:textId="77777777" w:rsidR="004A41D0" w:rsidRPr="000B7E3E" w:rsidRDefault="004A41D0" w:rsidP="00771439">
            <w:pPr>
              <w:pStyle w:val="TableText"/>
              <w:jc w:val="right"/>
            </w:pPr>
            <w:r w:rsidRPr="000B7E3E">
              <w:t>0.2</w:t>
            </w:r>
          </w:p>
        </w:tc>
      </w:tr>
      <w:tr w:rsidR="004A41D0" w:rsidRPr="000B7E3E" w14:paraId="622A5F9B" w14:textId="77777777" w:rsidTr="004A41D0">
        <w:tc>
          <w:tcPr>
            <w:tcW w:w="751" w:type="pct"/>
            <w:vMerge/>
          </w:tcPr>
          <w:p w14:paraId="0599E8D2" w14:textId="77777777" w:rsidR="004A41D0" w:rsidRPr="000B7E3E" w:rsidRDefault="004A41D0" w:rsidP="000B7E3E">
            <w:pPr>
              <w:pStyle w:val="TableText"/>
            </w:pPr>
          </w:p>
        </w:tc>
        <w:tc>
          <w:tcPr>
            <w:tcW w:w="756" w:type="pct"/>
          </w:tcPr>
          <w:p w14:paraId="7C858226" w14:textId="77777777" w:rsidR="004A41D0" w:rsidRPr="000B7E3E" w:rsidRDefault="004A41D0" w:rsidP="000B7E3E">
            <w:pPr>
              <w:pStyle w:val="TableText"/>
            </w:pPr>
            <w:r w:rsidRPr="000B7E3E">
              <w:t>Stage IIIA</w:t>
            </w:r>
          </w:p>
        </w:tc>
        <w:tc>
          <w:tcPr>
            <w:tcW w:w="760" w:type="pct"/>
          </w:tcPr>
          <w:p w14:paraId="28DEDF0C" w14:textId="77777777" w:rsidR="004A41D0" w:rsidRPr="000B7E3E" w:rsidRDefault="004A41D0" w:rsidP="000B7E3E">
            <w:pPr>
              <w:pStyle w:val="TableText"/>
            </w:pPr>
            <w:r w:rsidRPr="000B7E3E">
              <w:t>2006 (01)</w:t>
            </w:r>
          </w:p>
        </w:tc>
        <w:tc>
          <w:tcPr>
            <w:tcW w:w="656" w:type="pct"/>
          </w:tcPr>
          <w:p w14:paraId="091F90ED" w14:textId="77777777" w:rsidR="004A41D0" w:rsidRPr="000B7E3E" w:rsidRDefault="004A41D0" w:rsidP="00771439">
            <w:pPr>
              <w:pStyle w:val="TableText"/>
              <w:jc w:val="right"/>
            </w:pPr>
            <w:r w:rsidRPr="000B7E3E">
              <w:t>3.5</w:t>
            </w:r>
          </w:p>
        </w:tc>
        <w:tc>
          <w:tcPr>
            <w:tcW w:w="600" w:type="pct"/>
          </w:tcPr>
          <w:p w14:paraId="1B07851A" w14:textId="051053E3" w:rsidR="004A41D0" w:rsidRPr="000B7E3E" w:rsidRDefault="00F66742" w:rsidP="00771439">
            <w:pPr>
              <w:pStyle w:val="TableText"/>
              <w:jc w:val="right"/>
            </w:pPr>
            <w:r>
              <w:t>–</w:t>
            </w:r>
          </w:p>
        </w:tc>
        <w:tc>
          <w:tcPr>
            <w:tcW w:w="521" w:type="pct"/>
          </w:tcPr>
          <w:p w14:paraId="0A8A0858" w14:textId="77777777" w:rsidR="004A41D0" w:rsidRPr="000B7E3E" w:rsidRDefault="004A41D0" w:rsidP="00771439">
            <w:pPr>
              <w:pStyle w:val="TableText"/>
              <w:jc w:val="right"/>
            </w:pPr>
            <w:r w:rsidRPr="000B7E3E">
              <w:t>4.0</w:t>
            </w:r>
          </w:p>
        </w:tc>
        <w:tc>
          <w:tcPr>
            <w:tcW w:w="443" w:type="pct"/>
          </w:tcPr>
          <w:p w14:paraId="6C6EDFE6" w14:textId="5DCD7C56" w:rsidR="004A41D0" w:rsidRPr="000B7E3E" w:rsidRDefault="00F66742" w:rsidP="00771439">
            <w:pPr>
              <w:pStyle w:val="TableText"/>
              <w:jc w:val="right"/>
            </w:pPr>
            <w:r>
              <w:t>–</w:t>
            </w:r>
          </w:p>
        </w:tc>
        <w:tc>
          <w:tcPr>
            <w:tcW w:w="513" w:type="pct"/>
          </w:tcPr>
          <w:p w14:paraId="749062C7" w14:textId="77777777" w:rsidR="004A41D0" w:rsidRPr="000B7E3E" w:rsidRDefault="004A41D0" w:rsidP="00771439">
            <w:pPr>
              <w:pStyle w:val="TableText"/>
              <w:jc w:val="right"/>
            </w:pPr>
            <w:r w:rsidRPr="000B7E3E">
              <w:t>0.2</w:t>
            </w:r>
          </w:p>
        </w:tc>
      </w:tr>
      <w:tr w:rsidR="004A41D0" w:rsidRPr="000B7E3E" w14:paraId="1DA53AB8" w14:textId="77777777" w:rsidTr="004A41D0">
        <w:tc>
          <w:tcPr>
            <w:tcW w:w="751" w:type="pct"/>
            <w:vMerge/>
          </w:tcPr>
          <w:p w14:paraId="0EA2AC22" w14:textId="77777777" w:rsidR="004A41D0" w:rsidRPr="000B7E3E" w:rsidRDefault="004A41D0" w:rsidP="000B7E3E">
            <w:pPr>
              <w:pStyle w:val="TableText"/>
            </w:pPr>
          </w:p>
        </w:tc>
        <w:tc>
          <w:tcPr>
            <w:tcW w:w="756" w:type="pct"/>
          </w:tcPr>
          <w:p w14:paraId="11B23A45" w14:textId="77777777" w:rsidR="004A41D0" w:rsidRPr="000B7E3E" w:rsidRDefault="004A41D0" w:rsidP="000B7E3E">
            <w:pPr>
              <w:pStyle w:val="TableText"/>
            </w:pPr>
            <w:r w:rsidRPr="000B7E3E">
              <w:t>Stage IIIB</w:t>
            </w:r>
          </w:p>
        </w:tc>
        <w:tc>
          <w:tcPr>
            <w:tcW w:w="760" w:type="pct"/>
          </w:tcPr>
          <w:p w14:paraId="7D721918" w14:textId="77777777" w:rsidR="004A41D0" w:rsidRPr="000B7E3E" w:rsidRDefault="004A41D0" w:rsidP="000B7E3E">
            <w:pPr>
              <w:pStyle w:val="TableText"/>
            </w:pPr>
            <w:r w:rsidRPr="000B7E3E">
              <w:t>2011 (01)</w:t>
            </w:r>
          </w:p>
        </w:tc>
        <w:tc>
          <w:tcPr>
            <w:tcW w:w="656" w:type="pct"/>
          </w:tcPr>
          <w:p w14:paraId="1D39981F" w14:textId="77777777" w:rsidR="004A41D0" w:rsidRPr="000B7E3E" w:rsidRDefault="004A41D0" w:rsidP="00771439">
            <w:pPr>
              <w:pStyle w:val="TableText"/>
              <w:jc w:val="right"/>
            </w:pPr>
            <w:r w:rsidRPr="000B7E3E">
              <w:t>3.5</w:t>
            </w:r>
          </w:p>
        </w:tc>
        <w:tc>
          <w:tcPr>
            <w:tcW w:w="600" w:type="pct"/>
          </w:tcPr>
          <w:p w14:paraId="458D8E0A" w14:textId="77777777" w:rsidR="004A41D0" w:rsidRPr="000B7E3E" w:rsidRDefault="004A41D0" w:rsidP="00771439">
            <w:pPr>
              <w:pStyle w:val="TableText"/>
              <w:jc w:val="right"/>
            </w:pPr>
            <w:r w:rsidRPr="000B7E3E">
              <w:t>0.19</w:t>
            </w:r>
          </w:p>
        </w:tc>
        <w:tc>
          <w:tcPr>
            <w:tcW w:w="521" w:type="pct"/>
          </w:tcPr>
          <w:p w14:paraId="628EF8FC" w14:textId="23C1A328" w:rsidR="004A41D0" w:rsidRPr="000B7E3E" w:rsidRDefault="00F66742" w:rsidP="00771439">
            <w:pPr>
              <w:pStyle w:val="TableText"/>
              <w:jc w:val="right"/>
            </w:pPr>
            <w:r>
              <w:t>–</w:t>
            </w:r>
          </w:p>
        </w:tc>
        <w:tc>
          <w:tcPr>
            <w:tcW w:w="443" w:type="pct"/>
          </w:tcPr>
          <w:p w14:paraId="21F2D635" w14:textId="77777777" w:rsidR="004A41D0" w:rsidRPr="000B7E3E" w:rsidRDefault="004A41D0" w:rsidP="00771439">
            <w:pPr>
              <w:pStyle w:val="TableText"/>
              <w:jc w:val="right"/>
            </w:pPr>
            <w:r w:rsidRPr="000B7E3E">
              <w:t>2.0</w:t>
            </w:r>
          </w:p>
        </w:tc>
        <w:tc>
          <w:tcPr>
            <w:tcW w:w="513" w:type="pct"/>
          </w:tcPr>
          <w:p w14:paraId="7C106FFD" w14:textId="77777777" w:rsidR="004A41D0" w:rsidRPr="000B7E3E" w:rsidRDefault="004A41D0" w:rsidP="00771439">
            <w:pPr>
              <w:pStyle w:val="TableText"/>
              <w:jc w:val="right"/>
            </w:pPr>
            <w:r w:rsidRPr="000B7E3E">
              <w:t>0.025</w:t>
            </w:r>
          </w:p>
        </w:tc>
      </w:tr>
      <w:tr w:rsidR="004A41D0" w:rsidRPr="000B7E3E" w14:paraId="145F1455" w14:textId="77777777" w:rsidTr="00415C12">
        <w:tc>
          <w:tcPr>
            <w:tcW w:w="751" w:type="pct"/>
            <w:vMerge/>
          </w:tcPr>
          <w:p w14:paraId="66CA576B" w14:textId="77777777" w:rsidR="004A41D0" w:rsidRPr="000B7E3E" w:rsidRDefault="004A41D0" w:rsidP="000B7E3E">
            <w:pPr>
              <w:pStyle w:val="TableText"/>
            </w:pPr>
          </w:p>
        </w:tc>
        <w:tc>
          <w:tcPr>
            <w:tcW w:w="756" w:type="pct"/>
            <w:tcBorders>
              <w:bottom w:val="nil"/>
            </w:tcBorders>
          </w:tcPr>
          <w:p w14:paraId="7B889502" w14:textId="77777777" w:rsidR="004A41D0" w:rsidRPr="000B7E3E" w:rsidRDefault="004A41D0" w:rsidP="000B7E3E">
            <w:pPr>
              <w:pStyle w:val="TableText"/>
            </w:pPr>
            <w:r w:rsidRPr="000B7E3E">
              <w:t>Stage IV</w:t>
            </w:r>
          </w:p>
        </w:tc>
        <w:tc>
          <w:tcPr>
            <w:tcW w:w="760" w:type="pct"/>
            <w:tcBorders>
              <w:bottom w:val="nil"/>
            </w:tcBorders>
          </w:tcPr>
          <w:p w14:paraId="41C97892" w14:textId="77777777" w:rsidR="004A41D0" w:rsidRPr="000B7E3E" w:rsidRDefault="004A41D0" w:rsidP="000B7E3E">
            <w:pPr>
              <w:pStyle w:val="TableText"/>
            </w:pPr>
            <w:r w:rsidRPr="000B7E3E">
              <w:t>2014 (01)</w:t>
            </w:r>
          </w:p>
        </w:tc>
        <w:tc>
          <w:tcPr>
            <w:tcW w:w="656" w:type="pct"/>
            <w:tcBorders>
              <w:bottom w:val="nil"/>
            </w:tcBorders>
          </w:tcPr>
          <w:p w14:paraId="692342D7" w14:textId="77777777" w:rsidR="004A41D0" w:rsidRPr="000B7E3E" w:rsidRDefault="004A41D0" w:rsidP="00771439">
            <w:pPr>
              <w:pStyle w:val="TableText"/>
              <w:jc w:val="right"/>
            </w:pPr>
            <w:r w:rsidRPr="000B7E3E">
              <w:t>3.5</w:t>
            </w:r>
          </w:p>
        </w:tc>
        <w:tc>
          <w:tcPr>
            <w:tcW w:w="600" w:type="pct"/>
            <w:tcBorders>
              <w:bottom w:val="nil"/>
            </w:tcBorders>
          </w:tcPr>
          <w:p w14:paraId="08C82F17" w14:textId="77777777" w:rsidR="004A41D0" w:rsidRPr="000B7E3E" w:rsidRDefault="004A41D0" w:rsidP="00771439">
            <w:pPr>
              <w:pStyle w:val="TableText"/>
              <w:jc w:val="right"/>
            </w:pPr>
            <w:r w:rsidRPr="000B7E3E">
              <w:t>0.19</w:t>
            </w:r>
          </w:p>
        </w:tc>
        <w:tc>
          <w:tcPr>
            <w:tcW w:w="521" w:type="pct"/>
            <w:tcBorders>
              <w:bottom w:val="nil"/>
            </w:tcBorders>
          </w:tcPr>
          <w:p w14:paraId="02C337F0" w14:textId="608EF643" w:rsidR="004A41D0" w:rsidRPr="000B7E3E" w:rsidRDefault="00F66742" w:rsidP="00771439">
            <w:pPr>
              <w:pStyle w:val="TableText"/>
              <w:jc w:val="right"/>
            </w:pPr>
            <w:r>
              <w:t>–</w:t>
            </w:r>
          </w:p>
        </w:tc>
        <w:tc>
          <w:tcPr>
            <w:tcW w:w="443" w:type="pct"/>
            <w:tcBorders>
              <w:bottom w:val="nil"/>
            </w:tcBorders>
          </w:tcPr>
          <w:p w14:paraId="1645969B" w14:textId="77777777" w:rsidR="004A41D0" w:rsidRPr="000B7E3E" w:rsidRDefault="004A41D0" w:rsidP="00771439">
            <w:pPr>
              <w:pStyle w:val="TableText"/>
              <w:jc w:val="right"/>
            </w:pPr>
            <w:r w:rsidRPr="000B7E3E">
              <w:t>0.4</w:t>
            </w:r>
          </w:p>
        </w:tc>
        <w:tc>
          <w:tcPr>
            <w:tcW w:w="513" w:type="pct"/>
            <w:tcBorders>
              <w:bottom w:val="nil"/>
            </w:tcBorders>
          </w:tcPr>
          <w:p w14:paraId="06AF766E" w14:textId="77777777" w:rsidR="004A41D0" w:rsidRPr="000B7E3E" w:rsidRDefault="004A41D0" w:rsidP="00771439">
            <w:pPr>
              <w:pStyle w:val="TableText"/>
              <w:jc w:val="right"/>
            </w:pPr>
            <w:r w:rsidRPr="000B7E3E">
              <w:t>0.025</w:t>
            </w:r>
          </w:p>
        </w:tc>
      </w:tr>
      <w:tr w:rsidR="004A41D0" w:rsidRPr="000B7E3E" w14:paraId="03EBCF21" w14:textId="77777777" w:rsidTr="00415C12">
        <w:tc>
          <w:tcPr>
            <w:tcW w:w="751" w:type="pct"/>
            <w:vMerge/>
            <w:tcBorders>
              <w:bottom w:val="single" w:sz="4" w:space="0" w:color="auto"/>
            </w:tcBorders>
          </w:tcPr>
          <w:p w14:paraId="1E9BC777" w14:textId="77777777" w:rsidR="004A41D0" w:rsidRPr="000B7E3E" w:rsidRDefault="004A41D0" w:rsidP="000B7E3E">
            <w:pPr>
              <w:pStyle w:val="TableText"/>
            </w:pPr>
          </w:p>
        </w:tc>
        <w:tc>
          <w:tcPr>
            <w:tcW w:w="756" w:type="pct"/>
            <w:tcBorders>
              <w:top w:val="nil"/>
              <w:bottom w:val="single" w:sz="4" w:space="0" w:color="auto"/>
            </w:tcBorders>
          </w:tcPr>
          <w:p w14:paraId="593FD7C0" w14:textId="77777777" w:rsidR="004A41D0" w:rsidRPr="000B7E3E" w:rsidRDefault="004A41D0" w:rsidP="000B7E3E">
            <w:pPr>
              <w:pStyle w:val="TableText"/>
            </w:pPr>
            <w:r w:rsidRPr="000B7E3E">
              <w:t>Stage V</w:t>
            </w:r>
          </w:p>
        </w:tc>
        <w:tc>
          <w:tcPr>
            <w:tcW w:w="760" w:type="pct"/>
            <w:tcBorders>
              <w:top w:val="nil"/>
              <w:bottom w:val="single" w:sz="4" w:space="0" w:color="auto"/>
            </w:tcBorders>
          </w:tcPr>
          <w:p w14:paraId="0144D172" w14:textId="77777777" w:rsidR="004A41D0" w:rsidRPr="000B7E3E" w:rsidRDefault="004A41D0" w:rsidP="000B7E3E">
            <w:pPr>
              <w:pStyle w:val="TableText"/>
            </w:pPr>
            <w:r w:rsidRPr="000B7E3E">
              <w:t>2019</w:t>
            </w:r>
          </w:p>
        </w:tc>
        <w:tc>
          <w:tcPr>
            <w:tcW w:w="656" w:type="pct"/>
            <w:tcBorders>
              <w:top w:val="nil"/>
              <w:bottom w:val="single" w:sz="4" w:space="0" w:color="auto"/>
            </w:tcBorders>
          </w:tcPr>
          <w:p w14:paraId="4823BD15" w14:textId="77777777" w:rsidR="004A41D0" w:rsidRPr="000B7E3E" w:rsidRDefault="004A41D0" w:rsidP="00771439">
            <w:pPr>
              <w:pStyle w:val="TableText"/>
              <w:jc w:val="right"/>
            </w:pPr>
            <w:r w:rsidRPr="000B7E3E">
              <w:t>3.5</w:t>
            </w:r>
          </w:p>
        </w:tc>
        <w:tc>
          <w:tcPr>
            <w:tcW w:w="600" w:type="pct"/>
            <w:tcBorders>
              <w:top w:val="nil"/>
              <w:bottom w:val="single" w:sz="4" w:space="0" w:color="auto"/>
            </w:tcBorders>
          </w:tcPr>
          <w:p w14:paraId="1E19B117" w14:textId="77777777" w:rsidR="004A41D0" w:rsidRPr="000B7E3E" w:rsidRDefault="004A41D0" w:rsidP="00771439">
            <w:pPr>
              <w:pStyle w:val="TableText"/>
              <w:jc w:val="right"/>
            </w:pPr>
            <w:r w:rsidRPr="000B7E3E">
              <w:t>0.19</w:t>
            </w:r>
          </w:p>
        </w:tc>
        <w:tc>
          <w:tcPr>
            <w:tcW w:w="521" w:type="pct"/>
            <w:tcBorders>
              <w:top w:val="nil"/>
              <w:bottom w:val="single" w:sz="4" w:space="0" w:color="auto"/>
            </w:tcBorders>
          </w:tcPr>
          <w:p w14:paraId="5AAB71DB" w14:textId="40F6AF68" w:rsidR="004A41D0" w:rsidRPr="000B7E3E" w:rsidRDefault="00F66742" w:rsidP="00771439">
            <w:pPr>
              <w:pStyle w:val="TableText"/>
              <w:jc w:val="right"/>
            </w:pPr>
            <w:r>
              <w:t>–</w:t>
            </w:r>
          </w:p>
        </w:tc>
        <w:tc>
          <w:tcPr>
            <w:tcW w:w="443" w:type="pct"/>
            <w:tcBorders>
              <w:top w:val="nil"/>
              <w:bottom w:val="single" w:sz="4" w:space="0" w:color="auto"/>
            </w:tcBorders>
          </w:tcPr>
          <w:p w14:paraId="7E3BC8BA" w14:textId="77777777" w:rsidR="004A41D0" w:rsidRPr="000B7E3E" w:rsidRDefault="004A41D0" w:rsidP="00771439">
            <w:pPr>
              <w:pStyle w:val="TableText"/>
              <w:jc w:val="right"/>
            </w:pPr>
            <w:r w:rsidRPr="000B7E3E">
              <w:t>0.4</w:t>
            </w:r>
          </w:p>
        </w:tc>
        <w:tc>
          <w:tcPr>
            <w:tcW w:w="513" w:type="pct"/>
            <w:tcBorders>
              <w:top w:val="nil"/>
              <w:bottom w:val="single" w:sz="4" w:space="0" w:color="auto"/>
            </w:tcBorders>
          </w:tcPr>
          <w:p w14:paraId="56909688" w14:textId="1292399D" w:rsidR="004A41D0" w:rsidRPr="000B7E3E" w:rsidRDefault="004A41D0" w:rsidP="00771439">
            <w:pPr>
              <w:pStyle w:val="TableText"/>
              <w:jc w:val="right"/>
            </w:pPr>
            <w:r w:rsidRPr="000B7E3E">
              <w:t>0.015</w:t>
            </w:r>
            <w:r w:rsidR="00B6670B" w:rsidRPr="00B6670B">
              <w:rPr>
                <w:rStyle w:val="Strong"/>
              </w:rPr>
              <w:t>a</w:t>
            </w:r>
          </w:p>
        </w:tc>
      </w:tr>
      <w:tr w:rsidR="004A41D0" w:rsidRPr="000B7E3E" w14:paraId="678042A0" w14:textId="77777777" w:rsidTr="004A41D0">
        <w:tc>
          <w:tcPr>
            <w:tcW w:w="751" w:type="pct"/>
            <w:vMerge w:val="restart"/>
            <w:tcBorders>
              <w:top w:val="single" w:sz="4" w:space="0" w:color="auto"/>
            </w:tcBorders>
          </w:tcPr>
          <w:p w14:paraId="0875D1CD" w14:textId="77777777" w:rsidR="004A41D0" w:rsidRPr="000B7E3E" w:rsidRDefault="004A41D0" w:rsidP="000B7E3E">
            <w:pPr>
              <w:pStyle w:val="TableText"/>
            </w:pPr>
            <w:r w:rsidRPr="000B7E3E">
              <w:t>kW ≥ 560</w:t>
            </w:r>
          </w:p>
        </w:tc>
        <w:tc>
          <w:tcPr>
            <w:tcW w:w="756" w:type="pct"/>
            <w:tcBorders>
              <w:top w:val="single" w:sz="4" w:space="0" w:color="auto"/>
            </w:tcBorders>
          </w:tcPr>
          <w:p w14:paraId="2AFE4A6A" w14:textId="77777777" w:rsidR="004A41D0" w:rsidRPr="000B7E3E" w:rsidRDefault="004A41D0" w:rsidP="000B7E3E">
            <w:pPr>
              <w:pStyle w:val="TableText"/>
            </w:pPr>
            <w:r w:rsidRPr="00F66742">
              <w:t>Stages I-IV</w:t>
            </w:r>
          </w:p>
        </w:tc>
        <w:tc>
          <w:tcPr>
            <w:tcW w:w="760" w:type="pct"/>
            <w:tcBorders>
              <w:top w:val="single" w:sz="4" w:space="0" w:color="auto"/>
            </w:tcBorders>
          </w:tcPr>
          <w:p w14:paraId="78798D09" w14:textId="308C1C5C" w:rsidR="004A41D0" w:rsidRPr="000B7E3E" w:rsidRDefault="00F66742" w:rsidP="000B7E3E">
            <w:pPr>
              <w:pStyle w:val="TableText"/>
            </w:pPr>
            <w:r>
              <w:t>–</w:t>
            </w:r>
          </w:p>
        </w:tc>
        <w:tc>
          <w:tcPr>
            <w:tcW w:w="656" w:type="pct"/>
            <w:tcBorders>
              <w:top w:val="single" w:sz="4" w:space="0" w:color="auto"/>
            </w:tcBorders>
          </w:tcPr>
          <w:p w14:paraId="6A248BE0" w14:textId="0A28B916" w:rsidR="004A41D0" w:rsidRPr="000B7E3E" w:rsidRDefault="00F66742" w:rsidP="00771439">
            <w:pPr>
              <w:pStyle w:val="TableText"/>
              <w:jc w:val="right"/>
            </w:pPr>
            <w:r>
              <w:t>–</w:t>
            </w:r>
          </w:p>
        </w:tc>
        <w:tc>
          <w:tcPr>
            <w:tcW w:w="600" w:type="pct"/>
            <w:tcBorders>
              <w:top w:val="single" w:sz="4" w:space="0" w:color="auto"/>
            </w:tcBorders>
          </w:tcPr>
          <w:p w14:paraId="17170916" w14:textId="5751354B" w:rsidR="004A41D0" w:rsidRPr="000B7E3E" w:rsidRDefault="00F66742" w:rsidP="00771439">
            <w:pPr>
              <w:pStyle w:val="TableText"/>
              <w:jc w:val="right"/>
            </w:pPr>
            <w:r>
              <w:t>–</w:t>
            </w:r>
          </w:p>
        </w:tc>
        <w:tc>
          <w:tcPr>
            <w:tcW w:w="521" w:type="pct"/>
            <w:tcBorders>
              <w:top w:val="single" w:sz="4" w:space="0" w:color="auto"/>
            </w:tcBorders>
          </w:tcPr>
          <w:p w14:paraId="69C45C5E" w14:textId="61764FD7" w:rsidR="004A41D0" w:rsidRPr="000B7E3E" w:rsidRDefault="00F66742" w:rsidP="00771439">
            <w:pPr>
              <w:pStyle w:val="TableText"/>
              <w:jc w:val="right"/>
            </w:pPr>
            <w:r>
              <w:t>–</w:t>
            </w:r>
          </w:p>
        </w:tc>
        <w:tc>
          <w:tcPr>
            <w:tcW w:w="443" w:type="pct"/>
            <w:tcBorders>
              <w:top w:val="single" w:sz="4" w:space="0" w:color="auto"/>
            </w:tcBorders>
          </w:tcPr>
          <w:p w14:paraId="2D187803" w14:textId="12E1E3E5" w:rsidR="004A41D0" w:rsidRPr="000B7E3E" w:rsidRDefault="00F66742" w:rsidP="00771439">
            <w:pPr>
              <w:pStyle w:val="TableText"/>
              <w:jc w:val="right"/>
            </w:pPr>
            <w:r>
              <w:t>–</w:t>
            </w:r>
          </w:p>
        </w:tc>
        <w:tc>
          <w:tcPr>
            <w:tcW w:w="513" w:type="pct"/>
            <w:tcBorders>
              <w:top w:val="single" w:sz="4" w:space="0" w:color="auto"/>
            </w:tcBorders>
          </w:tcPr>
          <w:p w14:paraId="1EC0DA37" w14:textId="7EF0742C" w:rsidR="004A41D0" w:rsidRPr="000B7E3E" w:rsidRDefault="00F66742" w:rsidP="00771439">
            <w:pPr>
              <w:pStyle w:val="TableText"/>
              <w:jc w:val="right"/>
            </w:pPr>
            <w:r>
              <w:t>–</w:t>
            </w:r>
          </w:p>
        </w:tc>
      </w:tr>
      <w:tr w:rsidR="004A41D0" w:rsidRPr="000B7E3E" w14:paraId="3CB06293" w14:textId="77777777" w:rsidTr="004A41D0">
        <w:tc>
          <w:tcPr>
            <w:tcW w:w="751" w:type="pct"/>
            <w:vMerge/>
          </w:tcPr>
          <w:p w14:paraId="3E88DB60" w14:textId="77777777" w:rsidR="004A41D0" w:rsidRPr="000B7E3E" w:rsidRDefault="004A41D0" w:rsidP="000B7E3E">
            <w:pPr>
              <w:pStyle w:val="TableText"/>
            </w:pPr>
          </w:p>
        </w:tc>
        <w:tc>
          <w:tcPr>
            <w:tcW w:w="756" w:type="pct"/>
          </w:tcPr>
          <w:p w14:paraId="2354D741" w14:textId="77777777" w:rsidR="004A41D0" w:rsidRPr="000B7E3E" w:rsidRDefault="004A41D0" w:rsidP="000B7E3E">
            <w:pPr>
              <w:pStyle w:val="TableText"/>
            </w:pPr>
            <w:r w:rsidRPr="000B7E3E">
              <w:t>Stage V</w:t>
            </w:r>
          </w:p>
        </w:tc>
        <w:tc>
          <w:tcPr>
            <w:tcW w:w="760" w:type="pct"/>
          </w:tcPr>
          <w:p w14:paraId="08D2A93D" w14:textId="77777777" w:rsidR="004A41D0" w:rsidRPr="000B7E3E" w:rsidRDefault="004A41D0" w:rsidP="000B7E3E">
            <w:pPr>
              <w:pStyle w:val="TableText"/>
            </w:pPr>
            <w:r w:rsidRPr="000B7E3E">
              <w:t>2019</w:t>
            </w:r>
          </w:p>
        </w:tc>
        <w:tc>
          <w:tcPr>
            <w:tcW w:w="656" w:type="pct"/>
          </w:tcPr>
          <w:p w14:paraId="14B34DB9" w14:textId="77777777" w:rsidR="004A41D0" w:rsidRPr="000B7E3E" w:rsidRDefault="004A41D0" w:rsidP="00771439">
            <w:pPr>
              <w:pStyle w:val="TableText"/>
              <w:jc w:val="right"/>
            </w:pPr>
            <w:r w:rsidRPr="000B7E3E">
              <w:t>3.5</w:t>
            </w:r>
          </w:p>
        </w:tc>
        <w:tc>
          <w:tcPr>
            <w:tcW w:w="600" w:type="pct"/>
          </w:tcPr>
          <w:p w14:paraId="3DB96D67" w14:textId="77777777" w:rsidR="004A41D0" w:rsidRPr="000B7E3E" w:rsidRDefault="004A41D0" w:rsidP="00771439">
            <w:pPr>
              <w:pStyle w:val="TableText"/>
              <w:jc w:val="right"/>
            </w:pPr>
            <w:r w:rsidRPr="000B7E3E">
              <w:t>0.19</w:t>
            </w:r>
          </w:p>
        </w:tc>
        <w:tc>
          <w:tcPr>
            <w:tcW w:w="521" w:type="pct"/>
          </w:tcPr>
          <w:p w14:paraId="0DA6CEEE" w14:textId="5C825A34" w:rsidR="004A41D0" w:rsidRPr="000B7E3E" w:rsidRDefault="00F66742" w:rsidP="00771439">
            <w:pPr>
              <w:pStyle w:val="TableText"/>
              <w:jc w:val="right"/>
            </w:pPr>
            <w:r>
              <w:t>–</w:t>
            </w:r>
          </w:p>
        </w:tc>
        <w:tc>
          <w:tcPr>
            <w:tcW w:w="443" w:type="pct"/>
          </w:tcPr>
          <w:p w14:paraId="535D3103" w14:textId="68C63AE1" w:rsidR="004A41D0" w:rsidRPr="000B7E3E" w:rsidRDefault="004A41D0" w:rsidP="00771439">
            <w:pPr>
              <w:pStyle w:val="TableText"/>
              <w:jc w:val="right"/>
            </w:pPr>
            <w:r w:rsidRPr="000B7E3E">
              <w:t>3.5</w:t>
            </w:r>
            <w:r w:rsidR="00B6670B" w:rsidRPr="009D3813">
              <w:rPr>
                <w:rStyle w:val="Strong"/>
              </w:rPr>
              <w:t>b</w:t>
            </w:r>
          </w:p>
        </w:tc>
        <w:tc>
          <w:tcPr>
            <w:tcW w:w="513" w:type="pct"/>
          </w:tcPr>
          <w:p w14:paraId="392E34E7" w14:textId="77777777" w:rsidR="004A41D0" w:rsidRPr="000B7E3E" w:rsidRDefault="004A41D0" w:rsidP="00771439">
            <w:pPr>
              <w:pStyle w:val="TableText"/>
              <w:jc w:val="right"/>
            </w:pPr>
            <w:r w:rsidRPr="000B7E3E">
              <w:t>0.045</w:t>
            </w:r>
          </w:p>
        </w:tc>
      </w:tr>
    </w:tbl>
    <w:p w14:paraId="719215A4" w14:textId="35A423BD" w:rsidR="00A82396" w:rsidRDefault="00A82396" w:rsidP="00A82396">
      <w:pPr>
        <w:pStyle w:val="FigureTableNoteSource"/>
      </w:pPr>
      <w:proofErr w:type="spellStart"/>
      <w:proofErr w:type="gramStart"/>
      <w:r w:rsidRPr="0000636B">
        <w:rPr>
          <w:rStyle w:val="Strong"/>
        </w:rPr>
        <w:t>a</w:t>
      </w:r>
      <w:proofErr w:type="spellEnd"/>
      <w:proofErr w:type="gramEnd"/>
      <w:r>
        <w:t xml:space="preserve"> also includes a particle number standard of 1 × 10</w:t>
      </w:r>
      <w:r w:rsidRPr="0000636B">
        <w:rPr>
          <w:vertAlign w:val="superscript"/>
        </w:rPr>
        <w:t>12</w:t>
      </w:r>
      <w:r>
        <w:t>/kWh</w:t>
      </w:r>
      <w:r w:rsidR="005F6F87">
        <w:t xml:space="preserve"> </w:t>
      </w:r>
      <w:r w:rsidRPr="0000636B">
        <w:rPr>
          <w:rStyle w:val="Strong"/>
        </w:rPr>
        <w:t>b</w:t>
      </w:r>
      <w:r>
        <w:t xml:space="preserve"> </w:t>
      </w:r>
      <w:r w:rsidR="0000636B">
        <w:t>s</w:t>
      </w:r>
      <w:r>
        <w:t>tage V NO</w:t>
      </w:r>
      <w:r w:rsidRPr="0000636B">
        <w:rPr>
          <w:vertAlign w:val="subscript"/>
        </w:rPr>
        <w:t>X</w:t>
      </w:r>
      <w:r>
        <w:t xml:space="preserve"> standard for generator sets &gt;560 kW is 0.67 g/kWh</w:t>
      </w:r>
    </w:p>
    <w:p w14:paraId="36BE2EA6" w14:textId="3DBE24FA" w:rsidR="00CF0DEF" w:rsidRDefault="0000636B" w:rsidP="0000636B">
      <w:pPr>
        <w:pStyle w:val="FigureTableNoteSource"/>
      </w:pPr>
      <w:r w:rsidRPr="006A49D1">
        <w:t>Source: DieselNet</w:t>
      </w:r>
      <w:r w:rsidR="006A49D1">
        <w:t xml:space="preserve"> 2016</w:t>
      </w:r>
    </w:p>
    <w:p w14:paraId="6F0A7078" w14:textId="27C08C3D" w:rsidR="0000636B" w:rsidRDefault="00CF0DEF" w:rsidP="007B545D">
      <w:pPr>
        <w:pStyle w:val="Heading2"/>
        <w:numPr>
          <w:ilvl w:val="0"/>
          <w:numId w:val="0"/>
        </w:numPr>
      </w:pPr>
      <w:bookmarkStart w:id="102" w:name="_Appendix_6:_Australian"/>
      <w:bookmarkStart w:id="103" w:name="_Toc63874258"/>
      <w:bookmarkEnd w:id="102"/>
      <w:r w:rsidRPr="005062D0">
        <w:lastRenderedPageBreak/>
        <w:t>Appendix 6</w:t>
      </w:r>
      <w:r w:rsidR="007B545D" w:rsidRPr="005062D0">
        <w:t xml:space="preserve">: </w:t>
      </w:r>
      <w:r w:rsidRPr="005062D0">
        <w:t>Australian</w:t>
      </w:r>
      <w:r w:rsidRPr="00CF0DEF">
        <w:t xml:space="preserve"> diesel fuel quality and non-road diesel engines</w:t>
      </w:r>
      <w:bookmarkEnd w:id="103"/>
    </w:p>
    <w:p w14:paraId="20D0CC37" w14:textId="66D0E8DC" w:rsidR="001F5957" w:rsidRPr="00D06E7B" w:rsidRDefault="00D06E7B" w:rsidP="00D06E7B">
      <w:r w:rsidRPr="00D06E7B">
        <w:t>Australian diesel fuel quality and NRDE emissions technology</w:t>
      </w:r>
    </w:p>
    <w:p w14:paraId="32B41498" w14:textId="7568E8F0" w:rsidR="00BD48B6" w:rsidRPr="00E71031" w:rsidRDefault="00BD48B6" w:rsidP="00855B4A">
      <w:pPr>
        <w:rPr>
          <w:rStyle w:val="Strong"/>
        </w:rPr>
      </w:pPr>
      <w:bookmarkStart w:id="104" w:name="_Hlk63687685"/>
      <w:r w:rsidRPr="00E71031">
        <w:rPr>
          <w:rStyle w:val="Strong"/>
        </w:rPr>
        <w:t>Assumption</w:t>
      </w:r>
    </w:p>
    <w:p w14:paraId="4186D878" w14:textId="77777777" w:rsidR="00BD48B6" w:rsidRPr="00855B4A" w:rsidRDefault="00BD48B6" w:rsidP="00855B4A">
      <w:r w:rsidRPr="00855B4A">
        <w:t>The management scenarios assume the quality of diesel fuel supplied in Australia is high and allows for lower emissions technology used on NRDE to be effectively used in Australia.</w:t>
      </w:r>
      <w:bookmarkEnd w:id="104"/>
    </w:p>
    <w:p w14:paraId="6D2B57D8" w14:textId="77777777" w:rsidR="00BD48B6" w:rsidRPr="00E71031" w:rsidRDefault="00BD48B6" w:rsidP="00855B4A">
      <w:pPr>
        <w:rPr>
          <w:rStyle w:val="Strong"/>
        </w:rPr>
      </w:pPr>
      <w:r w:rsidRPr="00E71031">
        <w:rPr>
          <w:rStyle w:val="Strong"/>
        </w:rPr>
        <w:t>Background</w:t>
      </w:r>
    </w:p>
    <w:p w14:paraId="32D5FB05" w14:textId="77777777" w:rsidR="00BD48B6" w:rsidRPr="00855B4A" w:rsidRDefault="00BD48B6" w:rsidP="00855B4A">
      <w:r w:rsidRPr="00855B4A">
        <w:t xml:space="preserve">The quality of fuel supplied in Australia is regulated under the </w:t>
      </w:r>
      <w:r w:rsidRPr="00F444CC">
        <w:rPr>
          <w:rStyle w:val="Emphasis"/>
        </w:rPr>
        <w:t>Fuel Quality Standards Act 2000</w:t>
      </w:r>
      <w:r w:rsidRPr="00855B4A">
        <w:t xml:space="preserve"> (Cth) (the Act). The objectives of the Act include to reduce the level of pollutants and emissions arising from the use of fuel that may cause environmental and health problems; facilitate the adoption of better engine and emission control technology; and allow the more effective operation of engines.</w:t>
      </w:r>
    </w:p>
    <w:p w14:paraId="560BCAE7" w14:textId="6C77BDA6" w:rsidR="00BD48B6" w:rsidRPr="00855B4A" w:rsidRDefault="00BD48B6" w:rsidP="00855B4A">
      <w:r w:rsidRPr="00855B4A">
        <w:t xml:space="preserve">Diesel fuel quality standards under the Act have been in place since 2002 and define diesel as ‘automotive diesel’. </w:t>
      </w:r>
      <w:r w:rsidR="00BE2574" w:rsidRPr="00BE2574">
        <w:t>On 1 October 2019 the Fuel Standard (Automotive Diesel) Determination 2001 was revoked and replaced with the Fuel Quality Standards (Automotive Diesel) Determination 2019. The most significant change to the diesel standard is a clarification in the definitions that this standard applies to any fuel supplied or represented as automotive diesel. Fuel standards are administered by the Department of Industry, Science, Energy and Resources.</w:t>
      </w:r>
      <w:r w:rsidR="00BE2574">
        <w:t xml:space="preserve"> </w:t>
      </w:r>
      <w:r w:rsidRPr="00855B4A">
        <w:t xml:space="preserve">The diesel fuel quality standards specify components, </w:t>
      </w:r>
      <w:proofErr w:type="gramStart"/>
      <w:r w:rsidRPr="00855B4A">
        <w:t>additives</w:t>
      </w:r>
      <w:proofErr w:type="gramEnd"/>
      <w:r w:rsidRPr="00855B4A">
        <w:t xml:space="preserve"> or properties to reduce emissions and therefore improve air quality and human health, and to improve engine and vehicle operability and efficiency.</w:t>
      </w:r>
    </w:p>
    <w:p w14:paraId="1D73E2D3" w14:textId="77777777" w:rsidR="00BD48B6" w:rsidRPr="00855B4A" w:rsidRDefault="00BD48B6" w:rsidP="00855B4A">
      <w:r w:rsidRPr="00855B4A">
        <w:t>One of the most important fuel metrics addressed in fuel regulations is sulfur content. High-sulfur fuel is associated with high PM emissions and risks damaging emission-control equipment – particularly the more advanced technologies that reduce PM and NO</w:t>
      </w:r>
      <w:r w:rsidRPr="00103000">
        <w:rPr>
          <w:vertAlign w:val="subscript"/>
        </w:rPr>
        <w:t>x</w:t>
      </w:r>
      <w:r w:rsidRPr="00855B4A">
        <w:t>. The maximum level for sulfur content in diesel has been reduced from above 500 ppm in 2002 to its current level of 10 ppm from 1 January 2006.</w:t>
      </w:r>
    </w:p>
    <w:p w14:paraId="01D18981" w14:textId="77777777" w:rsidR="00BD48B6" w:rsidRPr="00855B4A" w:rsidRDefault="00BD48B6" w:rsidP="00855B4A">
      <w:r w:rsidRPr="00855B4A">
        <w:t>Engines tested to the most recent US and EU NRDE standards were tested with fuel of an equivalent to Australian fuel standard. US being 7-15 ppm sulfur content and EU 10 ppm maximum sulfur content,</w:t>
      </w:r>
    </w:p>
    <w:p w14:paraId="74B212BD" w14:textId="62322F9D" w:rsidR="00BD48B6" w:rsidRPr="00855B4A" w:rsidRDefault="00BD48B6" w:rsidP="00855B4A">
      <w:r w:rsidRPr="00855B4A">
        <w:t>Depending on their configurations, diesel engines can operate on a variety of fuels that do not meet the automotive diesel standard. Non-standard diesel fuel can legally be used in NRDE equipment, but not supplied to another party. This means an entity can import non-standard diesel directly for their own use but cannot use existing fuel supply chains or supply to any other entity such as contractors. In practice almost the entire NRDE fleet uses automotive diesel that meets the Australian fuel quality standard</w:t>
      </w:r>
      <w:r w:rsidR="00AB1443">
        <w:t xml:space="preserve"> </w:t>
      </w:r>
      <w:r w:rsidR="00AB1443" w:rsidRPr="00AB1443">
        <w:t>(NSW EPA 2010)</w:t>
      </w:r>
      <w:r w:rsidR="00AB1443">
        <w:t xml:space="preserve">. </w:t>
      </w:r>
      <w:r w:rsidRPr="00855B4A">
        <w:t xml:space="preserve"> This evaluation assumes that all fuel used by NRDE is automotive diesel.</w:t>
      </w:r>
    </w:p>
    <w:p w14:paraId="3CA17431" w14:textId="7C1ECDC9" w:rsidR="004B3937" w:rsidRPr="00855B4A" w:rsidRDefault="004B3937" w:rsidP="00855B4A"/>
    <w:p w14:paraId="4A223D56" w14:textId="2A7A0889" w:rsidR="00923AA5" w:rsidRDefault="00923AA5" w:rsidP="00923AA5">
      <w:pPr>
        <w:pStyle w:val="Heading2"/>
        <w:numPr>
          <w:ilvl w:val="0"/>
          <w:numId w:val="0"/>
        </w:numPr>
        <w:ind w:left="720" w:hanging="720"/>
      </w:pPr>
      <w:bookmarkStart w:id="105" w:name="_Toc63874259"/>
      <w:bookmarkEnd w:id="97"/>
      <w:r>
        <w:lastRenderedPageBreak/>
        <w:t>References</w:t>
      </w:r>
      <w:bookmarkEnd w:id="105"/>
    </w:p>
    <w:p w14:paraId="56173405" w14:textId="085F702C" w:rsidR="0054398A" w:rsidRDefault="006466EF" w:rsidP="0054398A">
      <w:pPr>
        <w:rPr>
          <w:lang w:eastAsia="ja-JP"/>
        </w:rPr>
      </w:pPr>
      <w:r>
        <w:rPr>
          <w:lang w:eastAsia="ja-JP"/>
        </w:rPr>
        <w:t xml:space="preserve">AIHW 2019, </w:t>
      </w:r>
      <w:hyperlink r:id="rId45" w:history="1">
        <w:r w:rsidR="00370B92" w:rsidRPr="002A47F8">
          <w:rPr>
            <w:rStyle w:val="Hyperlink"/>
            <w:lang w:eastAsia="ja-JP"/>
          </w:rPr>
          <w:t>Australian Burden of Disease Study: impact and causes of illness and death in Australia 2015</w:t>
        </w:r>
      </w:hyperlink>
      <w:r w:rsidR="00370B92" w:rsidRPr="00370B92">
        <w:rPr>
          <w:lang w:eastAsia="ja-JP"/>
        </w:rPr>
        <w:t xml:space="preserve">. Australian Burden of Disease series no. 19. Cat. no. BOD 22. </w:t>
      </w:r>
      <w:r w:rsidR="00713DFE" w:rsidRPr="00370B92">
        <w:rPr>
          <w:lang w:eastAsia="ja-JP"/>
        </w:rPr>
        <w:t>Australian Institute of Health and Welfare</w:t>
      </w:r>
      <w:r w:rsidR="00F36021">
        <w:rPr>
          <w:lang w:eastAsia="ja-JP"/>
        </w:rPr>
        <w:t>,</w:t>
      </w:r>
      <w:r w:rsidR="00713DFE" w:rsidRPr="00370B92">
        <w:rPr>
          <w:lang w:eastAsia="ja-JP"/>
        </w:rPr>
        <w:t xml:space="preserve"> </w:t>
      </w:r>
      <w:r w:rsidR="00370B92" w:rsidRPr="00370B92">
        <w:rPr>
          <w:lang w:eastAsia="ja-JP"/>
        </w:rPr>
        <w:t>Canberra: AIHW, 167</w:t>
      </w:r>
      <w:r w:rsidR="0054398A">
        <w:rPr>
          <w:lang w:eastAsia="ja-JP"/>
        </w:rPr>
        <w:t>.</w:t>
      </w:r>
    </w:p>
    <w:p w14:paraId="505F038D" w14:textId="76356B0E" w:rsidR="00602978" w:rsidRDefault="00602978" w:rsidP="0054398A">
      <w:pPr>
        <w:rPr>
          <w:lang w:eastAsia="ja-JP"/>
        </w:rPr>
      </w:pPr>
      <w:r>
        <w:rPr>
          <w:lang w:eastAsia="ja-JP"/>
        </w:rPr>
        <w:t>Asthma Australia n.d.</w:t>
      </w:r>
      <w:r w:rsidR="00C94FA8">
        <w:rPr>
          <w:lang w:eastAsia="ja-JP"/>
        </w:rPr>
        <w:t xml:space="preserve"> </w:t>
      </w:r>
      <w:hyperlink r:id="rId46" w:history="1">
        <w:r w:rsidR="00C94FA8" w:rsidRPr="00C31E21">
          <w:rPr>
            <w:rStyle w:val="Hyperlink"/>
            <w:lang w:eastAsia="ja-JP"/>
          </w:rPr>
          <w:t>Asthma Statistics &amp; Facts</w:t>
        </w:r>
      </w:hyperlink>
      <w:r w:rsidR="008F59BB">
        <w:rPr>
          <w:lang w:eastAsia="ja-JP"/>
        </w:rPr>
        <w:t>.</w:t>
      </w:r>
    </w:p>
    <w:p w14:paraId="7A58F669" w14:textId="59779B72" w:rsidR="00C5172B" w:rsidRDefault="00C5172B" w:rsidP="0054398A">
      <w:pPr>
        <w:rPr>
          <w:lang w:eastAsia="ja-JP"/>
        </w:rPr>
      </w:pPr>
      <w:r>
        <w:rPr>
          <w:lang w:eastAsia="ja-JP"/>
        </w:rPr>
        <w:t>Dall</w:t>
      </w:r>
      <w:r w:rsidR="008B565E">
        <w:rPr>
          <w:lang w:eastAsia="ja-JP"/>
        </w:rPr>
        <w:t xml:space="preserve">mann, T. and Menon, A. 2016, </w:t>
      </w:r>
      <w:hyperlink r:id="rId47" w:history="1">
        <w:r w:rsidR="003E153B" w:rsidRPr="005860FE">
          <w:rPr>
            <w:rStyle w:val="Hyperlink"/>
            <w:lang w:eastAsia="ja-JP"/>
          </w:rPr>
          <w:t>Technology pathways for diesel engines</w:t>
        </w:r>
        <w:r w:rsidR="000B5796" w:rsidRPr="005860FE">
          <w:rPr>
            <w:rStyle w:val="Hyperlink"/>
            <w:lang w:eastAsia="ja-JP"/>
          </w:rPr>
          <w:t xml:space="preserve"> used in non-road diesel vehicles and equipment</w:t>
        </w:r>
      </w:hyperlink>
      <w:r w:rsidR="005860FE">
        <w:rPr>
          <w:lang w:eastAsia="ja-JP"/>
        </w:rPr>
        <w:t xml:space="preserve">, The International Council on Clean </w:t>
      </w:r>
      <w:r w:rsidR="00955A52">
        <w:rPr>
          <w:lang w:eastAsia="ja-JP"/>
        </w:rPr>
        <w:t>Transportation.</w:t>
      </w:r>
    </w:p>
    <w:p w14:paraId="489D0102" w14:textId="136C1671" w:rsidR="00F8624B" w:rsidRDefault="00F8624B" w:rsidP="0054398A">
      <w:pPr>
        <w:rPr>
          <w:lang w:eastAsia="ja-JP"/>
        </w:rPr>
      </w:pPr>
      <w:r>
        <w:rPr>
          <w:lang w:eastAsia="ja-JP"/>
        </w:rPr>
        <w:t xml:space="preserve">DIRD 2016, </w:t>
      </w:r>
      <w:hyperlink r:id="rId48" w:history="1">
        <w:r w:rsidR="00F107E3" w:rsidRPr="00913CF3">
          <w:rPr>
            <w:rStyle w:val="Hyperlink"/>
            <w:lang w:eastAsia="ja-JP"/>
          </w:rPr>
          <w:t xml:space="preserve">Vehicle emissions for cleaner air – Draft regulation impact statement (pdf </w:t>
        </w:r>
        <w:r w:rsidR="00E23211" w:rsidRPr="00913CF3">
          <w:rPr>
            <w:rStyle w:val="Hyperlink"/>
            <w:lang w:eastAsia="ja-JP"/>
          </w:rPr>
          <w:t>1.38mb)</w:t>
        </w:r>
      </w:hyperlink>
      <w:r w:rsidR="00E23211">
        <w:rPr>
          <w:lang w:eastAsia="ja-JP"/>
        </w:rPr>
        <w:t xml:space="preserve">, </w:t>
      </w:r>
      <w:r w:rsidR="00913CF3">
        <w:rPr>
          <w:lang w:eastAsia="ja-JP"/>
        </w:rPr>
        <w:t>Department of Infrastructure and Regional Development.</w:t>
      </w:r>
    </w:p>
    <w:p w14:paraId="34A5A4A6" w14:textId="4579558C" w:rsidR="006A49D1" w:rsidRDefault="006A49D1" w:rsidP="0054398A">
      <w:pPr>
        <w:rPr>
          <w:lang w:eastAsia="ja-JP"/>
        </w:rPr>
      </w:pPr>
      <w:r>
        <w:rPr>
          <w:lang w:eastAsia="ja-JP"/>
        </w:rPr>
        <w:t xml:space="preserve">DieselNet 2016, </w:t>
      </w:r>
      <w:hyperlink r:id="rId49" w:history="1">
        <w:r w:rsidR="00880D82" w:rsidRPr="00CB157F">
          <w:rPr>
            <w:rStyle w:val="Hyperlink"/>
            <w:lang w:eastAsia="ja-JP"/>
          </w:rPr>
          <w:t xml:space="preserve">EU </w:t>
        </w:r>
        <w:r w:rsidR="00BD609C" w:rsidRPr="00CB157F">
          <w:rPr>
            <w:rStyle w:val="Hyperlink"/>
            <w:lang w:eastAsia="ja-JP"/>
          </w:rPr>
          <w:t>Nonroad engines</w:t>
        </w:r>
      </w:hyperlink>
    </w:p>
    <w:p w14:paraId="1C37E7C8" w14:textId="57C5B00B" w:rsidR="00F74D50" w:rsidRDefault="00F74D50" w:rsidP="0054398A">
      <w:pPr>
        <w:rPr>
          <w:lang w:eastAsia="ja-JP"/>
        </w:rPr>
      </w:pPr>
      <w:proofErr w:type="spellStart"/>
      <w:r>
        <w:rPr>
          <w:lang w:eastAsia="ja-JP"/>
        </w:rPr>
        <w:t>DiselNet</w:t>
      </w:r>
      <w:proofErr w:type="spellEnd"/>
      <w:r>
        <w:rPr>
          <w:lang w:eastAsia="ja-JP"/>
        </w:rPr>
        <w:t xml:space="preserve"> 2017, </w:t>
      </w:r>
      <w:hyperlink r:id="rId50" w:history="1">
        <w:r w:rsidR="00F5355D" w:rsidRPr="00C3136C">
          <w:rPr>
            <w:rStyle w:val="Hyperlink"/>
            <w:lang w:eastAsia="ja-JP"/>
          </w:rPr>
          <w:t>United States nonroad diesel engines</w:t>
        </w:r>
      </w:hyperlink>
      <w:r w:rsidR="00C3136C">
        <w:rPr>
          <w:lang w:eastAsia="ja-JP"/>
        </w:rPr>
        <w:t>.</w:t>
      </w:r>
    </w:p>
    <w:p w14:paraId="397B9443" w14:textId="17FBDA8D" w:rsidR="003A199F" w:rsidRDefault="003A199F" w:rsidP="0054398A">
      <w:pPr>
        <w:rPr>
          <w:lang w:eastAsia="ja-JP"/>
        </w:rPr>
      </w:pPr>
      <w:proofErr w:type="spellStart"/>
      <w:r>
        <w:rPr>
          <w:lang w:eastAsia="ja-JP"/>
        </w:rPr>
        <w:t>DSEW</w:t>
      </w:r>
      <w:r w:rsidR="0066026E">
        <w:rPr>
          <w:lang w:eastAsia="ja-JP"/>
        </w:rPr>
        <w:t>PaC</w:t>
      </w:r>
      <w:proofErr w:type="spellEnd"/>
      <w:r w:rsidR="0066026E">
        <w:rPr>
          <w:lang w:eastAsia="ja-JP"/>
        </w:rPr>
        <w:t xml:space="preserve"> 2011, </w:t>
      </w:r>
      <w:hyperlink r:id="rId51" w:history="1">
        <w:r w:rsidR="006603C7" w:rsidRPr="00F424D0">
          <w:rPr>
            <w:rStyle w:val="Hyperlink"/>
            <w:lang w:eastAsia="ja-JP"/>
          </w:rPr>
          <w:t>Australian State of the Environment</w:t>
        </w:r>
        <w:r w:rsidR="0012213F" w:rsidRPr="00F424D0">
          <w:rPr>
            <w:rStyle w:val="Hyperlink"/>
            <w:lang w:eastAsia="ja-JP"/>
          </w:rPr>
          <w:t xml:space="preserve"> 2011</w:t>
        </w:r>
        <w:r w:rsidR="006603C7" w:rsidRPr="00F424D0">
          <w:rPr>
            <w:rStyle w:val="Hyperlink"/>
            <w:lang w:eastAsia="ja-JP"/>
          </w:rPr>
          <w:t xml:space="preserve"> report</w:t>
        </w:r>
        <w:r w:rsidR="007B16FE" w:rsidRPr="00F424D0">
          <w:rPr>
            <w:rStyle w:val="Hyperlink"/>
            <w:lang w:eastAsia="ja-JP"/>
          </w:rPr>
          <w:t xml:space="preserve"> (</w:t>
        </w:r>
        <w:r w:rsidR="00306171" w:rsidRPr="00F424D0">
          <w:rPr>
            <w:rStyle w:val="Hyperlink"/>
            <w:lang w:eastAsia="ja-JP"/>
          </w:rPr>
          <w:t>pdf 116mb)</w:t>
        </w:r>
      </w:hyperlink>
      <w:r w:rsidR="00F424D0">
        <w:rPr>
          <w:lang w:eastAsia="ja-JP"/>
        </w:rPr>
        <w:t>,</w:t>
      </w:r>
      <w:r w:rsidR="00FD0469">
        <w:rPr>
          <w:lang w:eastAsia="ja-JP"/>
        </w:rPr>
        <w:t xml:space="preserve"> </w:t>
      </w:r>
      <w:r w:rsidR="00F424D0">
        <w:rPr>
          <w:lang w:eastAsia="ja-JP"/>
        </w:rPr>
        <w:t xml:space="preserve"> </w:t>
      </w:r>
      <w:r w:rsidR="00FD0469" w:rsidRPr="00FD0469">
        <w:rPr>
          <w:lang w:eastAsia="ja-JP"/>
        </w:rPr>
        <w:t>Department of Sustainability, Environment, Water, Population and Communities</w:t>
      </w:r>
      <w:r w:rsidR="00FD0469">
        <w:rPr>
          <w:lang w:eastAsia="ja-JP"/>
        </w:rPr>
        <w:t>.</w:t>
      </w:r>
    </w:p>
    <w:p w14:paraId="1EDB0820" w14:textId="3F021E4D" w:rsidR="00B651A5" w:rsidRDefault="00B651A5" w:rsidP="0054398A">
      <w:pPr>
        <w:rPr>
          <w:lang w:eastAsia="ja-JP"/>
        </w:rPr>
      </w:pPr>
      <w:r>
        <w:rPr>
          <w:lang w:eastAsia="ja-JP"/>
        </w:rPr>
        <w:t xml:space="preserve">Neidell, </w:t>
      </w:r>
      <w:r w:rsidR="00E92FC5">
        <w:rPr>
          <w:lang w:eastAsia="ja-JP"/>
        </w:rPr>
        <w:t xml:space="preserve">M. 2017, </w:t>
      </w:r>
      <w:hyperlink r:id="rId52" w:history="1">
        <w:r w:rsidR="006B38CB" w:rsidRPr="006B38CB">
          <w:rPr>
            <w:rStyle w:val="Hyperlink"/>
            <w:lang w:eastAsia="ja-JP"/>
          </w:rPr>
          <w:t>Air Pollution and Worker Productivity</w:t>
        </w:r>
      </w:hyperlink>
      <w:r w:rsidR="006B38CB" w:rsidRPr="006B38CB">
        <w:rPr>
          <w:lang w:eastAsia="ja-JP"/>
        </w:rPr>
        <w:t>. IZA World of Labor. doi: 10.15185/izawol.363</w:t>
      </w:r>
      <w:r w:rsidR="006B38CB">
        <w:rPr>
          <w:lang w:eastAsia="ja-JP"/>
        </w:rPr>
        <w:t>.</w:t>
      </w:r>
    </w:p>
    <w:p w14:paraId="087B445B" w14:textId="521EA502" w:rsidR="00CB57B7" w:rsidRDefault="00CB57B7" w:rsidP="0054398A">
      <w:pPr>
        <w:rPr>
          <w:lang w:eastAsia="ja-JP"/>
        </w:rPr>
      </w:pPr>
      <w:r>
        <w:rPr>
          <w:lang w:eastAsia="ja-JP"/>
        </w:rPr>
        <w:t xml:space="preserve">NRSS 2021, </w:t>
      </w:r>
      <w:hyperlink r:id="rId53" w:history="1">
        <w:r w:rsidRPr="00F43BB7">
          <w:rPr>
            <w:rStyle w:val="Hyperlink"/>
            <w:lang w:eastAsia="ja-JP"/>
          </w:rPr>
          <w:t>Road deaths by road user</w:t>
        </w:r>
      </w:hyperlink>
      <w:r>
        <w:rPr>
          <w:lang w:eastAsia="ja-JP"/>
        </w:rPr>
        <w:t xml:space="preserve">, </w:t>
      </w:r>
      <w:r w:rsidR="00341B33">
        <w:rPr>
          <w:lang w:eastAsia="ja-JP"/>
        </w:rPr>
        <w:t>National Road Safety Strategy.</w:t>
      </w:r>
    </w:p>
    <w:p w14:paraId="7CAD1C5C" w14:textId="43B7F1C7" w:rsidR="005A2DE3" w:rsidRDefault="005A2DE3" w:rsidP="0054398A">
      <w:pPr>
        <w:rPr>
          <w:lang w:eastAsia="ja-JP"/>
        </w:rPr>
      </w:pPr>
      <w:r>
        <w:rPr>
          <w:lang w:eastAsia="ja-JP"/>
        </w:rPr>
        <w:t xml:space="preserve">NSW DEC 2005, </w:t>
      </w:r>
      <w:hyperlink r:id="rId54" w:history="1">
        <w:r w:rsidR="00A47A6D" w:rsidRPr="00B85724">
          <w:rPr>
            <w:rStyle w:val="Hyperlink"/>
            <w:lang w:eastAsia="ja-JP"/>
          </w:rPr>
          <w:t xml:space="preserve">Health Costs of Air Pollution in the Greater Sydney Metropolitan Region (pdf </w:t>
        </w:r>
        <w:r w:rsidR="00B85724" w:rsidRPr="00B85724">
          <w:rPr>
            <w:rStyle w:val="Hyperlink"/>
            <w:lang w:eastAsia="ja-JP"/>
          </w:rPr>
          <w:t>374kb</w:t>
        </w:r>
        <w:r w:rsidR="008C0492" w:rsidRPr="00B85724">
          <w:rPr>
            <w:rStyle w:val="Hyperlink"/>
            <w:lang w:eastAsia="ja-JP"/>
          </w:rPr>
          <w:t>)</w:t>
        </w:r>
      </w:hyperlink>
      <w:r w:rsidR="008C0492">
        <w:rPr>
          <w:lang w:eastAsia="ja-JP"/>
        </w:rPr>
        <w:t xml:space="preserve"> New South Wales Department of Environment and Conservation.</w:t>
      </w:r>
    </w:p>
    <w:p w14:paraId="0502078D" w14:textId="290CE988" w:rsidR="0054398A" w:rsidRDefault="0054398A" w:rsidP="0054398A">
      <w:pPr>
        <w:rPr>
          <w:lang w:eastAsia="ja-JP"/>
        </w:rPr>
      </w:pPr>
      <w:r>
        <w:rPr>
          <w:lang w:eastAsia="ja-JP"/>
        </w:rPr>
        <w:t xml:space="preserve">NSW EPA 2010, </w:t>
      </w:r>
      <w:hyperlink r:id="rId55" w:history="1">
        <w:r>
          <w:rPr>
            <w:rStyle w:val="Hyperlink"/>
            <w:lang w:eastAsia="ja-JP"/>
          </w:rPr>
          <w:t>Cleaner Non-road Diesel Engine Project – Final Report (pdf 831kb)</w:t>
        </w:r>
      </w:hyperlink>
      <w:r>
        <w:rPr>
          <w:lang w:eastAsia="ja-JP"/>
        </w:rPr>
        <w:t>, New South Wales Environment Protection Authority.</w:t>
      </w:r>
    </w:p>
    <w:p w14:paraId="6F67C797" w14:textId="616C9F75" w:rsidR="00EC0D65" w:rsidRDefault="00EC0D65" w:rsidP="0054398A">
      <w:pPr>
        <w:rPr>
          <w:lang w:eastAsia="ja-JP"/>
        </w:rPr>
      </w:pPr>
      <w:r>
        <w:rPr>
          <w:lang w:eastAsia="ja-JP"/>
        </w:rPr>
        <w:t xml:space="preserve">NSW EPA 2014, </w:t>
      </w:r>
      <w:hyperlink r:id="rId56" w:history="1">
        <w:r w:rsidR="00343086" w:rsidRPr="001D19B3">
          <w:rPr>
            <w:rStyle w:val="Hyperlink"/>
            <w:lang w:eastAsia="ja-JP"/>
          </w:rPr>
          <w:t>NSW Coal Mining Benchmarking Study</w:t>
        </w:r>
        <w:r w:rsidR="00AC4D6D" w:rsidRPr="001D19B3">
          <w:rPr>
            <w:rStyle w:val="Hyperlink"/>
            <w:lang w:eastAsia="ja-JP"/>
          </w:rPr>
          <w:t xml:space="preserve"> (pdf 3mb)</w:t>
        </w:r>
      </w:hyperlink>
      <w:r w:rsidR="00AC4D6D">
        <w:rPr>
          <w:lang w:eastAsia="ja-JP"/>
        </w:rPr>
        <w:t>, New South Wales Environment Protection Authority.</w:t>
      </w:r>
    </w:p>
    <w:p w14:paraId="1F2E457D" w14:textId="71CEC25D" w:rsidR="001D19B3" w:rsidRDefault="001D19B3" w:rsidP="0054398A">
      <w:pPr>
        <w:rPr>
          <w:lang w:eastAsia="ja-JP"/>
        </w:rPr>
      </w:pPr>
      <w:r>
        <w:rPr>
          <w:lang w:eastAsia="ja-JP"/>
        </w:rPr>
        <w:t>Pacific Environment 2013</w:t>
      </w:r>
      <w:r w:rsidR="00911A96">
        <w:rPr>
          <w:lang w:eastAsia="ja-JP"/>
        </w:rPr>
        <w:t xml:space="preserve">, </w:t>
      </w:r>
      <w:hyperlink r:id="rId57" w:history="1">
        <w:r w:rsidR="00911A96" w:rsidRPr="00B0176E">
          <w:rPr>
            <w:rStyle w:val="Hyperlink"/>
            <w:lang w:eastAsia="ja-JP"/>
          </w:rPr>
          <w:t xml:space="preserve">Economic </w:t>
        </w:r>
        <w:r w:rsidR="00D449CF" w:rsidRPr="00B0176E">
          <w:rPr>
            <w:rStyle w:val="Hyperlink"/>
            <w:lang w:eastAsia="ja-JP"/>
          </w:rPr>
          <w:t xml:space="preserve">analysis to inform the national plan for clean air (particles) (pdf </w:t>
        </w:r>
        <w:r w:rsidR="000A3F9D" w:rsidRPr="00B0176E">
          <w:rPr>
            <w:rStyle w:val="Hyperlink"/>
            <w:lang w:eastAsia="ja-JP"/>
          </w:rPr>
          <w:t>3.4mb)</w:t>
        </w:r>
      </w:hyperlink>
      <w:r w:rsidR="008639D3">
        <w:rPr>
          <w:lang w:eastAsia="ja-JP"/>
        </w:rPr>
        <w:t>.</w:t>
      </w:r>
    </w:p>
    <w:p w14:paraId="69D14AE1" w14:textId="2E5D35F7" w:rsidR="00F664A4" w:rsidRDefault="00F664A4" w:rsidP="0054398A">
      <w:pPr>
        <w:rPr>
          <w:lang w:eastAsia="ja-JP"/>
        </w:rPr>
      </w:pPr>
      <w:r>
        <w:rPr>
          <w:lang w:eastAsia="ja-JP"/>
        </w:rPr>
        <w:t xml:space="preserve">Parliament of Australia n.d., </w:t>
      </w:r>
      <w:hyperlink r:id="rId58" w:history="1">
        <w:r w:rsidR="00B92C83" w:rsidRPr="005230E7">
          <w:rPr>
            <w:rStyle w:val="Hyperlink"/>
            <w:lang w:eastAsia="ja-JP"/>
          </w:rPr>
          <w:t>Chapter 5 Diesel and non-road engines</w:t>
        </w:r>
      </w:hyperlink>
      <w:r w:rsidR="005230E7">
        <w:rPr>
          <w:lang w:eastAsia="ja-JP"/>
        </w:rPr>
        <w:t>.</w:t>
      </w:r>
    </w:p>
    <w:p w14:paraId="7D870072" w14:textId="33FC0966" w:rsidR="00297069" w:rsidRDefault="0008585B" w:rsidP="0054398A">
      <w:pPr>
        <w:rPr>
          <w:lang w:eastAsia="ja-JP"/>
        </w:rPr>
      </w:pPr>
      <w:r>
        <w:rPr>
          <w:lang w:eastAsia="ja-JP"/>
        </w:rPr>
        <w:t xml:space="preserve">Stauffer, W. 2016, </w:t>
      </w:r>
      <w:hyperlink r:id="rId59" w:history="1">
        <w:r w:rsidR="004D4283" w:rsidRPr="00A87524">
          <w:rPr>
            <w:rStyle w:val="Hyperlink"/>
            <w:lang w:eastAsia="ja-JP"/>
          </w:rPr>
          <w:t>Regulating particulate pollution: Novel analysis yields new insights</w:t>
        </w:r>
      </w:hyperlink>
      <w:r w:rsidR="004D4283">
        <w:rPr>
          <w:lang w:eastAsia="ja-JP"/>
        </w:rPr>
        <w:t xml:space="preserve">, MIT </w:t>
      </w:r>
      <w:r w:rsidR="00A87524">
        <w:rPr>
          <w:lang w:eastAsia="ja-JP"/>
        </w:rPr>
        <w:t>Energy Initiative.</w:t>
      </w:r>
    </w:p>
    <w:p w14:paraId="67014E0B" w14:textId="1848897A" w:rsidR="00FD0469" w:rsidRDefault="00FD0469" w:rsidP="0054398A">
      <w:pPr>
        <w:rPr>
          <w:lang w:eastAsia="ja-JP"/>
        </w:rPr>
      </w:pPr>
      <w:r>
        <w:rPr>
          <w:lang w:eastAsia="ja-JP"/>
        </w:rPr>
        <w:t xml:space="preserve">UNEP 2014, </w:t>
      </w:r>
      <w:hyperlink r:id="rId60" w:history="1">
        <w:r w:rsidR="003420BD" w:rsidRPr="008D692A">
          <w:rPr>
            <w:rStyle w:val="Hyperlink"/>
            <w:lang w:eastAsia="ja-JP"/>
          </w:rPr>
          <w:t xml:space="preserve">Air pollution: World's worst environmental health risk (pdf </w:t>
        </w:r>
        <w:r w:rsidR="002E204B" w:rsidRPr="008D692A">
          <w:rPr>
            <w:rStyle w:val="Hyperlink"/>
            <w:lang w:eastAsia="ja-JP"/>
          </w:rPr>
          <w:t>462 kb</w:t>
        </w:r>
        <w:r w:rsidR="003420BD" w:rsidRPr="008D692A">
          <w:rPr>
            <w:rStyle w:val="Hyperlink"/>
            <w:lang w:eastAsia="ja-JP"/>
          </w:rPr>
          <w:t>)</w:t>
        </w:r>
      </w:hyperlink>
      <w:r w:rsidR="008D692A">
        <w:rPr>
          <w:lang w:eastAsia="ja-JP"/>
        </w:rPr>
        <w:t xml:space="preserve">, </w:t>
      </w:r>
      <w:r w:rsidR="00277D34">
        <w:rPr>
          <w:lang w:eastAsia="ja-JP"/>
        </w:rPr>
        <w:t>United Nations Environment Programme.</w:t>
      </w:r>
    </w:p>
    <w:p w14:paraId="3FE9497C" w14:textId="189E7776" w:rsidR="004C444F" w:rsidRDefault="004C444F" w:rsidP="0054398A">
      <w:pPr>
        <w:rPr>
          <w:lang w:eastAsia="ja-JP"/>
        </w:rPr>
      </w:pPr>
      <w:r>
        <w:rPr>
          <w:lang w:eastAsia="ja-JP"/>
        </w:rPr>
        <w:t>US EPA n.d.</w:t>
      </w:r>
      <w:r w:rsidR="00A4212B">
        <w:rPr>
          <w:lang w:eastAsia="ja-JP"/>
        </w:rPr>
        <w:t xml:space="preserve">, </w:t>
      </w:r>
      <w:hyperlink r:id="rId61" w:history="1">
        <w:r w:rsidR="00A4212B" w:rsidRPr="00B30188">
          <w:rPr>
            <w:rStyle w:val="Hyperlink"/>
            <w:lang w:eastAsia="ja-JP"/>
          </w:rPr>
          <w:t>Health Effects of Ozone Pollution</w:t>
        </w:r>
      </w:hyperlink>
      <w:r w:rsidR="00A4212B">
        <w:rPr>
          <w:lang w:eastAsia="ja-JP"/>
        </w:rPr>
        <w:t xml:space="preserve">, United States Environmental Protection </w:t>
      </w:r>
      <w:r w:rsidR="00B30188">
        <w:rPr>
          <w:lang w:eastAsia="ja-JP"/>
        </w:rPr>
        <w:t>Agency</w:t>
      </w:r>
      <w:r w:rsidR="00A4212B">
        <w:rPr>
          <w:lang w:eastAsia="ja-JP"/>
        </w:rPr>
        <w:t>.</w:t>
      </w:r>
    </w:p>
    <w:p w14:paraId="2E1F2651" w14:textId="28959D2C" w:rsidR="003D179F" w:rsidRDefault="001A6F79" w:rsidP="00850482">
      <w:pPr>
        <w:rPr>
          <w:lang w:eastAsia="ja-JP"/>
        </w:rPr>
      </w:pPr>
      <w:r>
        <w:rPr>
          <w:lang w:eastAsia="ja-JP"/>
        </w:rPr>
        <w:t xml:space="preserve">WHO 2012, </w:t>
      </w:r>
      <w:hyperlink r:id="rId62" w:history="1">
        <w:r w:rsidRPr="00BB1E35">
          <w:rPr>
            <w:rStyle w:val="Hyperlink"/>
            <w:lang w:eastAsia="ja-JP"/>
          </w:rPr>
          <w:t>IARC: Diesel Engine Exhaust Carcinogenic (pdf 185.7kb)</w:t>
        </w:r>
      </w:hyperlink>
      <w:r>
        <w:rPr>
          <w:lang w:eastAsia="ja-JP"/>
        </w:rPr>
        <w:t xml:space="preserve">, World Health </w:t>
      </w:r>
      <w:proofErr w:type="gramStart"/>
      <w:r>
        <w:rPr>
          <w:lang w:eastAsia="ja-JP"/>
        </w:rPr>
        <w:t>Organisation.</w:t>
      </w:r>
      <w:proofErr w:type="gramEnd"/>
    </w:p>
    <w:sectPr w:rsidR="003D179F">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63E2DA" w14:textId="77777777" w:rsidR="001A38AC" w:rsidRDefault="001A38AC">
      <w:r>
        <w:separator/>
      </w:r>
    </w:p>
    <w:p w14:paraId="1F02C6AC" w14:textId="77777777" w:rsidR="001A38AC" w:rsidRDefault="001A38AC"/>
    <w:p w14:paraId="488C8987" w14:textId="77777777" w:rsidR="001A38AC" w:rsidRDefault="001A38AC"/>
  </w:endnote>
  <w:endnote w:type="continuationSeparator" w:id="0">
    <w:p w14:paraId="4E961A0A" w14:textId="77777777" w:rsidR="001A38AC" w:rsidRDefault="001A38AC">
      <w:r>
        <w:continuationSeparator/>
      </w:r>
    </w:p>
    <w:p w14:paraId="6F71CE3E" w14:textId="77777777" w:rsidR="001A38AC" w:rsidRDefault="001A38AC"/>
    <w:p w14:paraId="7C020DD7" w14:textId="77777777" w:rsidR="001A38AC" w:rsidRDefault="001A38AC"/>
  </w:endnote>
  <w:endnote w:type="continuationNotice" w:id="1">
    <w:p w14:paraId="45223469" w14:textId="77777777" w:rsidR="001A38AC" w:rsidRDefault="001A38AC">
      <w:pPr>
        <w:pStyle w:val="Footer"/>
      </w:pPr>
    </w:p>
    <w:p w14:paraId="4C4185F9" w14:textId="77777777" w:rsidR="001A38AC" w:rsidRDefault="001A38AC"/>
    <w:p w14:paraId="08BD7588" w14:textId="77777777" w:rsidR="001A38AC" w:rsidRDefault="001A38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2769875"/>
      <w:docPartObj>
        <w:docPartGallery w:val="Page Numbers (Bottom of Page)"/>
        <w:docPartUnique/>
      </w:docPartObj>
    </w:sdtPr>
    <w:sdtEndPr>
      <w:rPr>
        <w:noProof/>
      </w:rPr>
    </w:sdtEndPr>
    <w:sdtContent>
      <w:p w14:paraId="14364C14" w14:textId="77777777" w:rsidR="0098556F" w:rsidRDefault="0098556F">
        <w:pPr>
          <w:pStyle w:val="Footer"/>
        </w:pPr>
        <w:r>
          <w:t xml:space="preserve">Department of Agriculture, </w:t>
        </w:r>
        <w:proofErr w:type="gramStart"/>
        <w:r>
          <w:t>Water</w:t>
        </w:r>
        <w:proofErr w:type="gramEnd"/>
        <w:r>
          <w:t xml:space="preserve"> and the Environment </w:t>
        </w:r>
      </w:p>
      <w:p w14:paraId="7BCBD454" w14:textId="0F5BC568" w:rsidR="0098556F" w:rsidRDefault="0098556F" w:rsidP="009B5FB9">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E76C9" w14:textId="77777777" w:rsidR="0098556F" w:rsidRDefault="009855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A9B41E" w14:textId="77777777" w:rsidR="001A38AC" w:rsidRDefault="001A38AC">
      <w:r>
        <w:separator/>
      </w:r>
    </w:p>
    <w:p w14:paraId="0D6FD64B" w14:textId="77777777" w:rsidR="001A38AC" w:rsidRDefault="001A38AC"/>
    <w:p w14:paraId="167CA43C" w14:textId="77777777" w:rsidR="001A38AC" w:rsidRDefault="001A38AC"/>
  </w:footnote>
  <w:footnote w:type="continuationSeparator" w:id="0">
    <w:p w14:paraId="353D6870" w14:textId="77777777" w:rsidR="001A38AC" w:rsidRDefault="001A38AC">
      <w:r>
        <w:continuationSeparator/>
      </w:r>
    </w:p>
    <w:p w14:paraId="0FDC50D4" w14:textId="77777777" w:rsidR="001A38AC" w:rsidRDefault="001A38AC"/>
    <w:p w14:paraId="12159B14" w14:textId="77777777" w:rsidR="001A38AC" w:rsidRDefault="001A38AC"/>
  </w:footnote>
  <w:footnote w:type="continuationNotice" w:id="1">
    <w:p w14:paraId="0EBA52B1" w14:textId="77777777" w:rsidR="001A38AC" w:rsidRDefault="001A38AC">
      <w:pPr>
        <w:pStyle w:val="Footer"/>
      </w:pPr>
    </w:p>
    <w:p w14:paraId="1D030859" w14:textId="77777777" w:rsidR="001A38AC" w:rsidRDefault="001A38AC"/>
    <w:p w14:paraId="18641314" w14:textId="77777777" w:rsidR="001A38AC" w:rsidRDefault="001A38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F6E75" w14:textId="2B839808" w:rsidR="0098556F" w:rsidRDefault="0098556F" w:rsidP="006C15AA">
    <w:pPr>
      <w:pStyle w:val="Header"/>
    </w:pPr>
    <w:r>
      <w:t>NRDE</w:t>
    </w:r>
    <w:r w:rsidRPr="006C15AA">
      <w:t xml:space="preserve"> – evaluating a national approach to managing emissions: discussion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3964B" w14:textId="3E16ACA8" w:rsidR="0098556F" w:rsidRDefault="0098556F" w:rsidP="00197490">
    <w:pPr>
      <w:pStyle w:val="Header"/>
      <w:jc w:val="left"/>
    </w:pPr>
    <w:r>
      <w:rPr>
        <w:noProof/>
        <w:lang w:eastAsia="en-AU"/>
      </w:rPr>
      <w:drawing>
        <wp:inline distT="0" distB="0" distL="0" distR="0" wp14:anchorId="06EA8EA3" wp14:editId="6F6EC260">
          <wp:extent cx="2123264" cy="637247"/>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904C6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8E4368"/>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A07E7D9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71CC3EE0"/>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4804EDE"/>
    <w:multiLevelType w:val="hybridMultilevel"/>
    <w:tmpl w:val="D18EB1B2"/>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394A15FE"/>
    <w:multiLevelType w:val="multilevel"/>
    <w:tmpl w:val="F36C17E8"/>
    <w:numStyleLink w:val="Headinglist"/>
  </w:abstractNum>
  <w:abstractNum w:abstractNumId="16" w15:restartNumberingAfterBreak="0">
    <w:nsid w:val="414F4729"/>
    <w:multiLevelType w:val="multilevel"/>
    <w:tmpl w:val="A0241B28"/>
    <w:numStyleLink w:val="List1"/>
  </w:abstractNum>
  <w:abstractNum w:abstractNumId="17" w15:restartNumberingAfterBreak="0">
    <w:nsid w:val="486800B4"/>
    <w:multiLevelType w:val="multilevel"/>
    <w:tmpl w:val="A0241B28"/>
    <w:numStyleLink w:val="List1"/>
  </w:abstractNum>
  <w:abstractNum w:abstractNumId="1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96159DC"/>
    <w:multiLevelType w:val="multilevel"/>
    <w:tmpl w:val="BE78A4F8"/>
    <w:numStyleLink w:val="Numberlist"/>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C8C10A1"/>
    <w:multiLevelType w:val="multilevel"/>
    <w:tmpl w:val="BE78A4F8"/>
    <w:numStyleLink w:val="Numberlist"/>
  </w:abstractNum>
  <w:abstractNum w:abstractNumId="27" w15:restartNumberingAfterBreak="0">
    <w:nsid w:val="733934B7"/>
    <w:multiLevelType w:val="multilevel"/>
    <w:tmpl w:val="A0241B28"/>
    <w:numStyleLink w:val="List1"/>
  </w:abstractNum>
  <w:abstractNum w:abstractNumId="28" w15:restartNumberingAfterBreak="0">
    <w:nsid w:val="77990A75"/>
    <w:multiLevelType w:val="hybridMultilevel"/>
    <w:tmpl w:val="9454CAD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6"/>
  </w:num>
  <w:num w:numId="2">
    <w:abstractNumId w:val="17"/>
  </w:num>
  <w:num w:numId="3">
    <w:abstractNumId w:val="18"/>
  </w:num>
  <w:num w:numId="4">
    <w:abstractNumId w:val="9"/>
  </w:num>
  <w:num w:numId="5">
    <w:abstractNumId w:val="23"/>
  </w:num>
  <w:num w:numId="6">
    <w:abstractNumId w:val="24"/>
  </w:num>
  <w:num w:numId="7">
    <w:abstractNumId w:val="7"/>
  </w:num>
  <w:num w:numId="8">
    <w:abstractNumId w:val="12"/>
  </w:num>
  <w:num w:numId="9">
    <w:abstractNumId w:val="15"/>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1"/>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1"/>
  </w:num>
  <w:num w:numId="20">
    <w:abstractNumId w:val="0"/>
  </w:num>
  <w:num w:numId="21">
    <w:abstractNumId w:val="13"/>
  </w:num>
  <w:num w:numId="22">
    <w:abstractNumId w:val="19"/>
  </w:num>
  <w:num w:numId="23">
    <w:abstractNumId w:val="26"/>
  </w:num>
  <w:num w:numId="24">
    <w:abstractNumId w:val="11"/>
  </w:num>
  <w:num w:numId="25">
    <w:abstractNumId w:val="16"/>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0"/>
  </w:num>
  <w:num w:numId="29">
    <w:abstractNumId w:val="22"/>
  </w:num>
  <w:num w:numId="30">
    <w:abstractNumId w:val="8"/>
  </w:num>
  <w:num w:numId="31">
    <w:abstractNumId w:val="14"/>
  </w:num>
  <w:num w:numId="32">
    <w:abstractNumId w:val="28"/>
  </w:num>
  <w:num w:numId="33">
    <w:abstractNumId w:val="11"/>
    <w:lvlOverride w:ilvl="0">
      <w:startOverride w:val="1"/>
      <w:lvl w:ilvl="0">
        <w:start w:val="1"/>
        <w:numFmt w:val="decimal"/>
        <w:pStyle w:val="ListNumber"/>
        <w:lvlText w:val="%1)"/>
        <w:lvlJc w:val="left"/>
        <w:pPr>
          <w:ind w:left="425" w:hanging="425"/>
        </w:pPr>
      </w:lvl>
    </w:lvlOverride>
  </w:num>
  <w:num w:numId="34">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D4C"/>
    <w:rsid w:val="000036EE"/>
    <w:rsid w:val="00003E95"/>
    <w:rsid w:val="00004937"/>
    <w:rsid w:val="00005384"/>
    <w:rsid w:val="0000636B"/>
    <w:rsid w:val="000064B4"/>
    <w:rsid w:val="00007F3C"/>
    <w:rsid w:val="000109D0"/>
    <w:rsid w:val="0001187F"/>
    <w:rsid w:val="000131B0"/>
    <w:rsid w:val="0001323D"/>
    <w:rsid w:val="00013516"/>
    <w:rsid w:val="00013F88"/>
    <w:rsid w:val="000165F5"/>
    <w:rsid w:val="000171B0"/>
    <w:rsid w:val="00017837"/>
    <w:rsid w:val="00020386"/>
    <w:rsid w:val="000215C8"/>
    <w:rsid w:val="00021DAD"/>
    <w:rsid w:val="0002256C"/>
    <w:rsid w:val="000245D8"/>
    <w:rsid w:val="00030079"/>
    <w:rsid w:val="0003147D"/>
    <w:rsid w:val="00031BD4"/>
    <w:rsid w:val="00033046"/>
    <w:rsid w:val="00033684"/>
    <w:rsid w:val="00033837"/>
    <w:rsid w:val="00033D69"/>
    <w:rsid w:val="00036CBA"/>
    <w:rsid w:val="00043A74"/>
    <w:rsid w:val="00043AA1"/>
    <w:rsid w:val="00044BC6"/>
    <w:rsid w:val="000465AC"/>
    <w:rsid w:val="00047160"/>
    <w:rsid w:val="00047C1A"/>
    <w:rsid w:val="00050115"/>
    <w:rsid w:val="00051523"/>
    <w:rsid w:val="0005457B"/>
    <w:rsid w:val="00054CAA"/>
    <w:rsid w:val="00057B10"/>
    <w:rsid w:val="00062C99"/>
    <w:rsid w:val="00063250"/>
    <w:rsid w:val="0006406B"/>
    <w:rsid w:val="0006419A"/>
    <w:rsid w:val="00065D0A"/>
    <w:rsid w:val="00066675"/>
    <w:rsid w:val="00067112"/>
    <w:rsid w:val="00067DDB"/>
    <w:rsid w:val="00072CDD"/>
    <w:rsid w:val="000731CA"/>
    <w:rsid w:val="00075367"/>
    <w:rsid w:val="0007664B"/>
    <w:rsid w:val="000768E9"/>
    <w:rsid w:val="0007791D"/>
    <w:rsid w:val="00077D58"/>
    <w:rsid w:val="000815BB"/>
    <w:rsid w:val="0008203B"/>
    <w:rsid w:val="00083C52"/>
    <w:rsid w:val="000847CF"/>
    <w:rsid w:val="0008585B"/>
    <w:rsid w:val="000873B5"/>
    <w:rsid w:val="00090EC4"/>
    <w:rsid w:val="0009120D"/>
    <w:rsid w:val="000915FC"/>
    <w:rsid w:val="00097FA8"/>
    <w:rsid w:val="000A109E"/>
    <w:rsid w:val="000A1145"/>
    <w:rsid w:val="000A335E"/>
    <w:rsid w:val="000A3872"/>
    <w:rsid w:val="000A3F9D"/>
    <w:rsid w:val="000A56C2"/>
    <w:rsid w:val="000A7AAF"/>
    <w:rsid w:val="000A7DBE"/>
    <w:rsid w:val="000B159F"/>
    <w:rsid w:val="000B2183"/>
    <w:rsid w:val="000B2BF0"/>
    <w:rsid w:val="000B2CA9"/>
    <w:rsid w:val="000B3643"/>
    <w:rsid w:val="000B5796"/>
    <w:rsid w:val="000B7E3E"/>
    <w:rsid w:val="000C13AD"/>
    <w:rsid w:val="000C1A83"/>
    <w:rsid w:val="000C1CE2"/>
    <w:rsid w:val="000C41F1"/>
    <w:rsid w:val="000D0525"/>
    <w:rsid w:val="000D09CF"/>
    <w:rsid w:val="000D20D3"/>
    <w:rsid w:val="000D2AA4"/>
    <w:rsid w:val="000D39C6"/>
    <w:rsid w:val="000D6404"/>
    <w:rsid w:val="000D7E13"/>
    <w:rsid w:val="000E018C"/>
    <w:rsid w:val="000E2B81"/>
    <w:rsid w:val="000E2EFB"/>
    <w:rsid w:val="000E344C"/>
    <w:rsid w:val="000E4111"/>
    <w:rsid w:val="000E581C"/>
    <w:rsid w:val="000E5859"/>
    <w:rsid w:val="000E6205"/>
    <w:rsid w:val="000E65E5"/>
    <w:rsid w:val="000E7D25"/>
    <w:rsid w:val="0010014D"/>
    <w:rsid w:val="001004E3"/>
    <w:rsid w:val="0010064F"/>
    <w:rsid w:val="00103000"/>
    <w:rsid w:val="00103B48"/>
    <w:rsid w:val="00104210"/>
    <w:rsid w:val="00105BE1"/>
    <w:rsid w:val="00106429"/>
    <w:rsid w:val="00106E3F"/>
    <w:rsid w:val="00107EAF"/>
    <w:rsid w:val="00110938"/>
    <w:rsid w:val="00111161"/>
    <w:rsid w:val="00112508"/>
    <w:rsid w:val="00113785"/>
    <w:rsid w:val="00115EB7"/>
    <w:rsid w:val="00116E36"/>
    <w:rsid w:val="00121D4D"/>
    <w:rsid w:val="0012213F"/>
    <w:rsid w:val="00123EB0"/>
    <w:rsid w:val="00124668"/>
    <w:rsid w:val="00124FBE"/>
    <w:rsid w:val="00126C54"/>
    <w:rsid w:val="0012703C"/>
    <w:rsid w:val="0013025D"/>
    <w:rsid w:val="00130DC8"/>
    <w:rsid w:val="00134771"/>
    <w:rsid w:val="00135A35"/>
    <w:rsid w:val="00136759"/>
    <w:rsid w:val="00144F8C"/>
    <w:rsid w:val="0014545D"/>
    <w:rsid w:val="00147992"/>
    <w:rsid w:val="00150EB5"/>
    <w:rsid w:val="001521C1"/>
    <w:rsid w:val="0015321C"/>
    <w:rsid w:val="00153E84"/>
    <w:rsid w:val="001540FD"/>
    <w:rsid w:val="00156351"/>
    <w:rsid w:val="001572C9"/>
    <w:rsid w:val="001574DE"/>
    <w:rsid w:val="00160FF1"/>
    <w:rsid w:val="0016243D"/>
    <w:rsid w:val="00163CE0"/>
    <w:rsid w:val="0016514F"/>
    <w:rsid w:val="00166F67"/>
    <w:rsid w:val="00172404"/>
    <w:rsid w:val="0017312B"/>
    <w:rsid w:val="00173DC3"/>
    <w:rsid w:val="00175536"/>
    <w:rsid w:val="00175831"/>
    <w:rsid w:val="00175C3A"/>
    <w:rsid w:val="0017699C"/>
    <w:rsid w:val="00181A1D"/>
    <w:rsid w:val="00185A60"/>
    <w:rsid w:val="00186DFE"/>
    <w:rsid w:val="00187BE0"/>
    <w:rsid w:val="00187CBB"/>
    <w:rsid w:val="00194E7A"/>
    <w:rsid w:val="00196ED9"/>
    <w:rsid w:val="00197490"/>
    <w:rsid w:val="001A0E48"/>
    <w:rsid w:val="001A1AD9"/>
    <w:rsid w:val="001A1C28"/>
    <w:rsid w:val="001A38AC"/>
    <w:rsid w:val="001A3FED"/>
    <w:rsid w:val="001A6F79"/>
    <w:rsid w:val="001A74B3"/>
    <w:rsid w:val="001B0ED9"/>
    <w:rsid w:val="001B38A1"/>
    <w:rsid w:val="001B3CEB"/>
    <w:rsid w:val="001B40FA"/>
    <w:rsid w:val="001B7064"/>
    <w:rsid w:val="001C5CED"/>
    <w:rsid w:val="001C60B7"/>
    <w:rsid w:val="001C6516"/>
    <w:rsid w:val="001C77B8"/>
    <w:rsid w:val="001D154F"/>
    <w:rsid w:val="001D19B3"/>
    <w:rsid w:val="001D2435"/>
    <w:rsid w:val="001D2A1D"/>
    <w:rsid w:val="001D4604"/>
    <w:rsid w:val="001D6567"/>
    <w:rsid w:val="001D6CAA"/>
    <w:rsid w:val="001E0A29"/>
    <w:rsid w:val="001E240E"/>
    <w:rsid w:val="001E5F82"/>
    <w:rsid w:val="001F06BD"/>
    <w:rsid w:val="001F300F"/>
    <w:rsid w:val="001F4978"/>
    <w:rsid w:val="001F54DE"/>
    <w:rsid w:val="001F5957"/>
    <w:rsid w:val="001F7B34"/>
    <w:rsid w:val="002009BD"/>
    <w:rsid w:val="00200C1A"/>
    <w:rsid w:val="00201B9F"/>
    <w:rsid w:val="002052CB"/>
    <w:rsid w:val="00205D6D"/>
    <w:rsid w:val="002103C6"/>
    <w:rsid w:val="00210A96"/>
    <w:rsid w:val="0021278C"/>
    <w:rsid w:val="00221124"/>
    <w:rsid w:val="002216C8"/>
    <w:rsid w:val="00222137"/>
    <w:rsid w:val="00222A61"/>
    <w:rsid w:val="0022493C"/>
    <w:rsid w:val="002257CF"/>
    <w:rsid w:val="0023063F"/>
    <w:rsid w:val="00231ABB"/>
    <w:rsid w:val="00233E5C"/>
    <w:rsid w:val="0023434A"/>
    <w:rsid w:val="00235299"/>
    <w:rsid w:val="00235A6D"/>
    <w:rsid w:val="00236946"/>
    <w:rsid w:val="002400A8"/>
    <w:rsid w:val="00241C5B"/>
    <w:rsid w:val="0024247E"/>
    <w:rsid w:val="00242BB0"/>
    <w:rsid w:val="00247898"/>
    <w:rsid w:val="00254133"/>
    <w:rsid w:val="00254159"/>
    <w:rsid w:val="002542DF"/>
    <w:rsid w:val="00254A99"/>
    <w:rsid w:val="00254E9C"/>
    <w:rsid w:val="00255AD6"/>
    <w:rsid w:val="00263B94"/>
    <w:rsid w:val="0026574D"/>
    <w:rsid w:val="00266BFE"/>
    <w:rsid w:val="00266EF6"/>
    <w:rsid w:val="002739CF"/>
    <w:rsid w:val="002779AD"/>
    <w:rsid w:val="00277D34"/>
    <w:rsid w:val="00284D14"/>
    <w:rsid w:val="00286307"/>
    <w:rsid w:val="002913AD"/>
    <w:rsid w:val="0029189F"/>
    <w:rsid w:val="00292EDE"/>
    <w:rsid w:val="00292FAD"/>
    <w:rsid w:val="002933DE"/>
    <w:rsid w:val="002962DD"/>
    <w:rsid w:val="00297069"/>
    <w:rsid w:val="002A287D"/>
    <w:rsid w:val="002A2EEA"/>
    <w:rsid w:val="002A3147"/>
    <w:rsid w:val="002A47F8"/>
    <w:rsid w:val="002B1618"/>
    <w:rsid w:val="002B5598"/>
    <w:rsid w:val="002B6DF9"/>
    <w:rsid w:val="002B74D9"/>
    <w:rsid w:val="002C0191"/>
    <w:rsid w:val="002C0D16"/>
    <w:rsid w:val="002C37E9"/>
    <w:rsid w:val="002C709D"/>
    <w:rsid w:val="002D2A13"/>
    <w:rsid w:val="002D362A"/>
    <w:rsid w:val="002D38C8"/>
    <w:rsid w:val="002D429D"/>
    <w:rsid w:val="002D4EA8"/>
    <w:rsid w:val="002E0899"/>
    <w:rsid w:val="002E15BC"/>
    <w:rsid w:val="002E204B"/>
    <w:rsid w:val="002E3C7B"/>
    <w:rsid w:val="002E6927"/>
    <w:rsid w:val="002E7615"/>
    <w:rsid w:val="002E7CBB"/>
    <w:rsid w:val="002F3412"/>
    <w:rsid w:val="002F402D"/>
    <w:rsid w:val="00300BF8"/>
    <w:rsid w:val="00301006"/>
    <w:rsid w:val="0030199B"/>
    <w:rsid w:val="003024BD"/>
    <w:rsid w:val="0030277F"/>
    <w:rsid w:val="0030331A"/>
    <w:rsid w:val="0030347F"/>
    <w:rsid w:val="00304707"/>
    <w:rsid w:val="00305946"/>
    <w:rsid w:val="00306171"/>
    <w:rsid w:val="00306A2C"/>
    <w:rsid w:val="003075CC"/>
    <w:rsid w:val="0030792B"/>
    <w:rsid w:val="00311587"/>
    <w:rsid w:val="00312B27"/>
    <w:rsid w:val="0031463B"/>
    <w:rsid w:val="00320032"/>
    <w:rsid w:val="003204EC"/>
    <w:rsid w:val="00320BD5"/>
    <w:rsid w:val="003247F9"/>
    <w:rsid w:val="003253CF"/>
    <w:rsid w:val="003260A6"/>
    <w:rsid w:val="00327C50"/>
    <w:rsid w:val="00330A4E"/>
    <w:rsid w:val="003324B7"/>
    <w:rsid w:val="00333DFE"/>
    <w:rsid w:val="00334502"/>
    <w:rsid w:val="003349B5"/>
    <w:rsid w:val="00336DCB"/>
    <w:rsid w:val="00337DE6"/>
    <w:rsid w:val="00340612"/>
    <w:rsid w:val="00341B33"/>
    <w:rsid w:val="003420BD"/>
    <w:rsid w:val="00342D0B"/>
    <w:rsid w:val="00343086"/>
    <w:rsid w:val="00344310"/>
    <w:rsid w:val="003448CE"/>
    <w:rsid w:val="00345DD0"/>
    <w:rsid w:val="00354992"/>
    <w:rsid w:val="00356114"/>
    <w:rsid w:val="00356D09"/>
    <w:rsid w:val="00364777"/>
    <w:rsid w:val="003659C8"/>
    <w:rsid w:val="00366212"/>
    <w:rsid w:val="0036649D"/>
    <w:rsid w:val="0036673B"/>
    <w:rsid w:val="00370B92"/>
    <w:rsid w:val="00372372"/>
    <w:rsid w:val="003735FA"/>
    <w:rsid w:val="003747B2"/>
    <w:rsid w:val="00376D4F"/>
    <w:rsid w:val="00380929"/>
    <w:rsid w:val="00384755"/>
    <w:rsid w:val="0038506E"/>
    <w:rsid w:val="0038509D"/>
    <w:rsid w:val="003854E7"/>
    <w:rsid w:val="003907F1"/>
    <w:rsid w:val="0039102B"/>
    <w:rsid w:val="00391500"/>
    <w:rsid w:val="00392E92"/>
    <w:rsid w:val="00394026"/>
    <w:rsid w:val="00394217"/>
    <w:rsid w:val="00394561"/>
    <w:rsid w:val="00396792"/>
    <w:rsid w:val="00396A48"/>
    <w:rsid w:val="00397AC8"/>
    <w:rsid w:val="003A0226"/>
    <w:rsid w:val="003A0858"/>
    <w:rsid w:val="003A199F"/>
    <w:rsid w:val="003A3D07"/>
    <w:rsid w:val="003A3FCF"/>
    <w:rsid w:val="003B2266"/>
    <w:rsid w:val="003B3129"/>
    <w:rsid w:val="003B501F"/>
    <w:rsid w:val="003B558C"/>
    <w:rsid w:val="003B5AFA"/>
    <w:rsid w:val="003B630B"/>
    <w:rsid w:val="003B7219"/>
    <w:rsid w:val="003C0BEF"/>
    <w:rsid w:val="003C27BB"/>
    <w:rsid w:val="003C4D13"/>
    <w:rsid w:val="003C5EE4"/>
    <w:rsid w:val="003D179F"/>
    <w:rsid w:val="003D1EEE"/>
    <w:rsid w:val="003D2FEB"/>
    <w:rsid w:val="003D41F7"/>
    <w:rsid w:val="003D7B7B"/>
    <w:rsid w:val="003E0C07"/>
    <w:rsid w:val="003E153B"/>
    <w:rsid w:val="003E1FE1"/>
    <w:rsid w:val="003E2BB9"/>
    <w:rsid w:val="003E2D60"/>
    <w:rsid w:val="003E4B54"/>
    <w:rsid w:val="003E4C23"/>
    <w:rsid w:val="003F1290"/>
    <w:rsid w:val="003F318F"/>
    <w:rsid w:val="003F7566"/>
    <w:rsid w:val="00404BFA"/>
    <w:rsid w:val="00405ECE"/>
    <w:rsid w:val="00410B27"/>
    <w:rsid w:val="004119A5"/>
    <w:rsid w:val="004148AA"/>
    <w:rsid w:val="00414DA6"/>
    <w:rsid w:val="00415C12"/>
    <w:rsid w:val="00416611"/>
    <w:rsid w:val="00417C49"/>
    <w:rsid w:val="00420511"/>
    <w:rsid w:val="004223F9"/>
    <w:rsid w:val="00422C79"/>
    <w:rsid w:val="00422D36"/>
    <w:rsid w:val="0042501E"/>
    <w:rsid w:val="004255F0"/>
    <w:rsid w:val="004315EE"/>
    <w:rsid w:val="00432459"/>
    <w:rsid w:val="00433D19"/>
    <w:rsid w:val="00434B02"/>
    <w:rsid w:val="00434FA9"/>
    <w:rsid w:val="00440AA0"/>
    <w:rsid w:val="00441B58"/>
    <w:rsid w:val="00441DAB"/>
    <w:rsid w:val="00442794"/>
    <w:rsid w:val="0044284D"/>
    <w:rsid w:val="0044330A"/>
    <w:rsid w:val="00445159"/>
    <w:rsid w:val="004451D5"/>
    <w:rsid w:val="004460A7"/>
    <w:rsid w:val="004517CD"/>
    <w:rsid w:val="0045192A"/>
    <w:rsid w:val="00451DD2"/>
    <w:rsid w:val="00452E54"/>
    <w:rsid w:val="00453048"/>
    <w:rsid w:val="00453DC3"/>
    <w:rsid w:val="00456EBA"/>
    <w:rsid w:val="00456F04"/>
    <w:rsid w:val="00457215"/>
    <w:rsid w:val="0045734B"/>
    <w:rsid w:val="004619F7"/>
    <w:rsid w:val="00461B9B"/>
    <w:rsid w:val="00462BBB"/>
    <w:rsid w:val="00465211"/>
    <w:rsid w:val="004672CB"/>
    <w:rsid w:val="00470368"/>
    <w:rsid w:val="00470FB3"/>
    <w:rsid w:val="004712AE"/>
    <w:rsid w:val="0047279A"/>
    <w:rsid w:val="004733A0"/>
    <w:rsid w:val="004750E7"/>
    <w:rsid w:val="00476EE3"/>
    <w:rsid w:val="00477296"/>
    <w:rsid w:val="0048279C"/>
    <w:rsid w:val="00487E5F"/>
    <w:rsid w:val="00491E5F"/>
    <w:rsid w:val="00492062"/>
    <w:rsid w:val="00493B44"/>
    <w:rsid w:val="004941DD"/>
    <w:rsid w:val="00494844"/>
    <w:rsid w:val="00495A6D"/>
    <w:rsid w:val="00496181"/>
    <w:rsid w:val="00496D8A"/>
    <w:rsid w:val="0049748A"/>
    <w:rsid w:val="00497825"/>
    <w:rsid w:val="004A031A"/>
    <w:rsid w:val="004A16EE"/>
    <w:rsid w:val="004A1B96"/>
    <w:rsid w:val="004A32D2"/>
    <w:rsid w:val="004A41D0"/>
    <w:rsid w:val="004A48E7"/>
    <w:rsid w:val="004A7ACD"/>
    <w:rsid w:val="004B1D54"/>
    <w:rsid w:val="004B1E58"/>
    <w:rsid w:val="004B281F"/>
    <w:rsid w:val="004B2F6E"/>
    <w:rsid w:val="004B3937"/>
    <w:rsid w:val="004B6A24"/>
    <w:rsid w:val="004B6C3E"/>
    <w:rsid w:val="004C04C0"/>
    <w:rsid w:val="004C400D"/>
    <w:rsid w:val="004C434B"/>
    <w:rsid w:val="004C444F"/>
    <w:rsid w:val="004C55D7"/>
    <w:rsid w:val="004C5EF5"/>
    <w:rsid w:val="004D2902"/>
    <w:rsid w:val="004D4283"/>
    <w:rsid w:val="004D507D"/>
    <w:rsid w:val="004D7ED1"/>
    <w:rsid w:val="004E05EC"/>
    <w:rsid w:val="004E1685"/>
    <w:rsid w:val="004E4939"/>
    <w:rsid w:val="004E4CE4"/>
    <w:rsid w:val="004E6528"/>
    <w:rsid w:val="004E7437"/>
    <w:rsid w:val="004F2005"/>
    <w:rsid w:val="004F2952"/>
    <w:rsid w:val="004F3F18"/>
    <w:rsid w:val="004F66B6"/>
    <w:rsid w:val="00500DC2"/>
    <w:rsid w:val="00501740"/>
    <w:rsid w:val="005043EB"/>
    <w:rsid w:val="00504914"/>
    <w:rsid w:val="005062D0"/>
    <w:rsid w:val="0051010A"/>
    <w:rsid w:val="00510FCE"/>
    <w:rsid w:val="00511706"/>
    <w:rsid w:val="00511870"/>
    <w:rsid w:val="00513197"/>
    <w:rsid w:val="00514626"/>
    <w:rsid w:val="0051475E"/>
    <w:rsid w:val="00515E8B"/>
    <w:rsid w:val="00517C3D"/>
    <w:rsid w:val="0052167B"/>
    <w:rsid w:val="005230E7"/>
    <w:rsid w:val="00523ACA"/>
    <w:rsid w:val="005243BC"/>
    <w:rsid w:val="00524E53"/>
    <w:rsid w:val="00525CE0"/>
    <w:rsid w:val="00530B45"/>
    <w:rsid w:val="00531BB1"/>
    <w:rsid w:val="00533733"/>
    <w:rsid w:val="00537665"/>
    <w:rsid w:val="00537FC5"/>
    <w:rsid w:val="0054398A"/>
    <w:rsid w:val="00545545"/>
    <w:rsid w:val="00545A06"/>
    <w:rsid w:val="00550BA1"/>
    <w:rsid w:val="00550E4F"/>
    <w:rsid w:val="00551132"/>
    <w:rsid w:val="005545F4"/>
    <w:rsid w:val="00560B70"/>
    <w:rsid w:val="005616AA"/>
    <w:rsid w:val="00561847"/>
    <w:rsid w:val="005623BF"/>
    <w:rsid w:val="00565AD3"/>
    <w:rsid w:val="00565F99"/>
    <w:rsid w:val="00566BB8"/>
    <w:rsid w:val="005705E5"/>
    <w:rsid w:val="00574A1C"/>
    <w:rsid w:val="00574CF4"/>
    <w:rsid w:val="005764F9"/>
    <w:rsid w:val="005774C1"/>
    <w:rsid w:val="00583FF0"/>
    <w:rsid w:val="0058572D"/>
    <w:rsid w:val="005860FE"/>
    <w:rsid w:val="0059278C"/>
    <w:rsid w:val="00592F2A"/>
    <w:rsid w:val="00596029"/>
    <w:rsid w:val="00596533"/>
    <w:rsid w:val="005A0070"/>
    <w:rsid w:val="005A14AD"/>
    <w:rsid w:val="005A2DE3"/>
    <w:rsid w:val="005A402A"/>
    <w:rsid w:val="005A5BF3"/>
    <w:rsid w:val="005A78BC"/>
    <w:rsid w:val="005A7D51"/>
    <w:rsid w:val="005A7EF8"/>
    <w:rsid w:val="005B0179"/>
    <w:rsid w:val="005B3E40"/>
    <w:rsid w:val="005B4FC9"/>
    <w:rsid w:val="005B6B7E"/>
    <w:rsid w:val="005C0A2F"/>
    <w:rsid w:val="005C0FDD"/>
    <w:rsid w:val="005C1D9E"/>
    <w:rsid w:val="005C1DD2"/>
    <w:rsid w:val="005C6797"/>
    <w:rsid w:val="005C6984"/>
    <w:rsid w:val="005D1334"/>
    <w:rsid w:val="005D624D"/>
    <w:rsid w:val="005D7DE2"/>
    <w:rsid w:val="005E24E7"/>
    <w:rsid w:val="005E25BD"/>
    <w:rsid w:val="005E3A26"/>
    <w:rsid w:val="005E68DE"/>
    <w:rsid w:val="005E6ACE"/>
    <w:rsid w:val="005F00F2"/>
    <w:rsid w:val="005F301A"/>
    <w:rsid w:val="005F597A"/>
    <w:rsid w:val="005F68E8"/>
    <w:rsid w:val="005F6F87"/>
    <w:rsid w:val="005F7C02"/>
    <w:rsid w:val="005F7D5C"/>
    <w:rsid w:val="0060085F"/>
    <w:rsid w:val="0060089A"/>
    <w:rsid w:val="00600DF2"/>
    <w:rsid w:val="00601981"/>
    <w:rsid w:val="006024E6"/>
    <w:rsid w:val="00602978"/>
    <w:rsid w:val="00602AB2"/>
    <w:rsid w:val="006032AE"/>
    <w:rsid w:val="00605CC7"/>
    <w:rsid w:val="00607EAD"/>
    <w:rsid w:val="006100F0"/>
    <w:rsid w:val="006143A6"/>
    <w:rsid w:val="00615577"/>
    <w:rsid w:val="00616E1B"/>
    <w:rsid w:val="0061771D"/>
    <w:rsid w:val="006225EC"/>
    <w:rsid w:val="00623711"/>
    <w:rsid w:val="00625CB2"/>
    <w:rsid w:val="00626481"/>
    <w:rsid w:val="006308D2"/>
    <w:rsid w:val="006308DA"/>
    <w:rsid w:val="00631FD8"/>
    <w:rsid w:val="006344B5"/>
    <w:rsid w:val="006349FB"/>
    <w:rsid w:val="00635E83"/>
    <w:rsid w:val="006371C3"/>
    <w:rsid w:val="006375F2"/>
    <w:rsid w:val="006378F3"/>
    <w:rsid w:val="00642A31"/>
    <w:rsid w:val="00642D3E"/>
    <w:rsid w:val="0064340C"/>
    <w:rsid w:val="006438C3"/>
    <w:rsid w:val="006466EF"/>
    <w:rsid w:val="0065110B"/>
    <w:rsid w:val="00652D9F"/>
    <w:rsid w:val="00654FBC"/>
    <w:rsid w:val="0066018B"/>
    <w:rsid w:val="0066026E"/>
    <w:rsid w:val="006603C7"/>
    <w:rsid w:val="00662E62"/>
    <w:rsid w:val="00664F36"/>
    <w:rsid w:val="0066596A"/>
    <w:rsid w:val="00666997"/>
    <w:rsid w:val="00666B4D"/>
    <w:rsid w:val="00667608"/>
    <w:rsid w:val="00672B0B"/>
    <w:rsid w:val="00672E9E"/>
    <w:rsid w:val="0067409F"/>
    <w:rsid w:val="00674B58"/>
    <w:rsid w:val="00674C70"/>
    <w:rsid w:val="00674E00"/>
    <w:rsid w:val="0067778D"/>
    <w:rsid w:val="00685381"/>
    <w:rsid w:val="00685857"/>
    <w:rsid w:val="00687F07"/>
    <w:rsid w:val="00690BB4"/>
    <w:rsid w:val="0069210A"/>
    <w:rsid w:val="006A0F95"/>
    <w:rsid w:val="006A1AA2"/>
    <w:rsid w:val="006A2D88"/>
    <w:rsid w:val="006A315E"/>
    <w:rsid w:val="006A49D1"/>
    <w:rsid w:val="006A4A52"/>
    <w:rsid w:val="006A5B3C"/>
    <w:rsid w:val="006A7497"/>
    <w:rsid w:val="006B0361"/>
    <w:rsid w:val="006B099C"/>
    <w:rsid w:val="006B1355"/>
    <w:rsid w:val="006B38CB"/>
    <w:rsid w:val="006B5822"/>
    <w:rsid w:val="006B78A4"/>
    <w:rsid w:val="006B7F83"/>
    <w:rsid w:val="006C15AA"/>
    <w:rsid w:val="006C16FF"/>
    <w:rsid w:val="006C5145"/>
    <w:rsid w:val="006C55BC"/>
    <w:rsid w:val="006C6E6B"/>
    <w:rsid w:val="006D116D"/>
    <w:rsid w:val="006D140A"/>
    <w:rsid w:val="006D19C3"/>
    <w:rsid w:val="006D38BF"/>
    <w:rsid w:val="006E18B0"/>
    <w:rsid w:val="006E19A1"/>
    <w:rsid w:val="006F1F2D"/>
    <w:rsid w:val="006F3742"/>
    <w:rsid w:val="006F3970"/>
    <w:rsid w:val="006F3DE8"/>
    <w:rsid w:val="006F4F0A"/>
    <w:rsid w:val="00701318"/>
    <w:rsid w:val="00702939"/>
    <w:rsid w:val="00703E22"/>
    <w:rsid w:val="007054A2"/>
    <w:rsid w:val="00706CD9"/>
    <w:rsid w:val="007071F0"/>
    <w:rsid w:val="0070796E"/>
    <w:rsid w:val="00707D22"/>
    <w:rsid w:val="00710BD8"/>
    <w:rsid w:val="00711854"/>
    <w:rsid w:val="00713DFE"/>
    <w:rsid w:val="007141B8"/>
    <w:rsid w:val="007156C3"/>
    <w:rsid w:val="00717F43"/>
    <w:rsid w:val="007209FA"/>
    <w:rsid w:val="00721A81"/>
    <w:rsid w:val="00725B2A"/>
    <w:rsid w:val="007279A8"/>
    <w:rsid w:val="0073025D"/>
    <w:rsid w:val="007333BF"/>
    <w:rsid w:val="007354B3"/>
    <w:rsid w:val="00735FD1"/>
    <w:rsid w:val="00736081"/>
    <w:rsid w:val="00743627"/>
    <w:rsid w:val="007448B8"/>
    <w:rsid w:val="00744D4C"/>
    <w:rsid w:val="00745C62"/>
    <w:rsid w:val="00746A02"/>
    <w:rsid w:val="007547E7"/>
    <w:rsid w:val="0075520B"/>
    <w:rsid w:val="00756142"/>
    <w:rsid w:val="00756DE1"/>
    <w:rsid w:val="00757473"/>
    <w:rsid w:val="00760794"/>
    <w:rsid w:val="00761648"/>
    <w:rsid w:val="0076288A"/>
    <w:rsid w:val="00764D6A"/>
    <w:rsid w:val="0076653B"/>
    <w:rsid w:val="00767598"/>
    <w:rsid w:val="00771439"/>
    <w:rsid w:val="0077187F"/>
    <w:rsid w:val="00771D69"/>
    <w:rsid w:val="00771E09"/>
    <w:rsid w:val="00772B73"/>
    <w:rsid w:val="00773056"/>
    <w:rsid w:val="00773DFC"/>
    <w:rsid w:val="007742C2"/>
    <w:rsid w:val="00775294"/>
    <w:rsid w:val="00777413"/>
    <w:rsid w:val="00783669"/>
    <w:rsid w:val="007836B4"/>
    <w:rsid w:val="00785067"/>
    <w:rsid w:val="00787405"/>
    <w:rsid w:val="007876A0"/>
    <w:rsid w:val="00791043"/>
    <w:rsid w:val="0079195A"/>
    <w:rsid w:val="0079338E"/>
    <w:rsid w:val="00794283"/>
    <w:rsid w:val="00794CE1"/>
    <w:rsid w:val="007A0DB4"/>
    <w:rsid w:val="007A2262"/>
    <w:rsid w:val="007A2FF7"/>
    <w:rsid w:val="007A3A5B"/>
    <w:rsid w:val="007A44A3"/>
    <w:rsid w:val="007A511B"/>
    <w:rsid w:val="007A5400"/>
    <w:rsid w:val="007A5E1D"/>
    <w:rsid w:val="007A6597"/>
    <w:rsid w:val="007B16FE"/>
    <w:rsid w:val="007B2192"/>
    <w:rsid w:val="007B2CE8"/>
    <w:rsid w:val="007B37BA"/>
    <w:rsid w:val="007B545D"/>
    <w:rsid w:val="007B5F2E"/>
    <w:rsid w:val="007B708D"/>
    <w:rsid w:val="007B7656"/>
    <w:rsid w:val="007B767A"/>
    <w:rsid w:val="007C0929"/>
    <w:rsid w:val="007C345A"/>
    <w:rsid w:val="007C358A"/>
    <w:rsid w:val="007C4D96"/>
    <w:rsid w:val="007C60F7"/>
    <w:rsid w:val="007C7B71"/>
    <w:rsid w:val="007D31E6"/>
    <w:rsid w:val="007D7308"/>
    <w:rsid w:val="007E4795"/>
    <w:rsid w:val="007E5A28"/>
    <w:rsid w:val="007F00E6"/>
    <w:rsid w:val="007F1119"/>
    <w:rsid w:val="007F57EC"/>
    <w:rsid w:val="007F5B79"/>
    <w:rsid w:val="007F73A0"/>
    <w:rsid w:val="007F7646"/>
    <w:rsid w:val="008004AC"/>
    <w:rsid w:val="00800F46"/>
    <w:rsid w:val="00801AB4"/>
    <w:rsid w:val="008046CD"/>
    <w:rsid w:val="00805544"/>
    <w:rsid w:val="0080643D"/>
    <w:rsid w:val="00810A7B"/>
    <w:rsid w:val="00812160"/>
    <w:rsid w:val="0081379D"/>
    <w:rsid w:val="00821B4A"/>
    <w:rsid w:val="00821BD0"/>
    <w:rsid w:val="008232EE"/>
    <w:rsid w:val="00824A7E"/>
    <w:rsid w:val="00826924"/>
    <w:rsid w:val="00827826"/>
    <w:rsid w:val="00827DAC"/>
    <w:rsid w:val="008323F9"/>
    <w:rsid w:val="00832D89"/>
    <w:rsid w:val="00836FB9"/>
    <w:rsid w:val="008427A8"/>
    <w:rsid w:val="00844355"/>
    <w:rsid w:val="00844505"/>
    <w:rsid w:val="00844A88"/>
    <w:rsid w:val="00845E3A"/>
    <w:rsid w:val="0084674E"/>
    <w:rsid w:val="00850482"/>
    <w:rsid w:val="00850EED"/>
    <w:rsid w:val="0085204E"/>
    <w:rsid w:val="0085427E"/>
    <w:rsid w:val="0085584E"/>
    <w:rsid w:val="00855B4A"/>
    <w:rsid w:val="0085684D"/>
    <w:rsid w:val="008608F6"/>
    <w:rsid w:val="008616CC"/>
    <w:rsid w:val="008639D3"/>
    <w:rsid w:val="00863AC8"/>
    <w:rsid w:val="00863F56"/>
    <w:rsid w:val="008667B2"/>
    <w:rsid w:val="00867F39"/>
    <w:rsid w:val="00875166"/>
    <w:rsid w:val="00877261"/>
    <w:rsid w:val="0088070B"/>
    <w:rsid w:val="00880A20"/>
    <w:rsid w:val="00880BCF"/>
    <w:rsid w:val="00880D82"/>
    <w:rsid w:val="00880EE4"/>
    <w:rsid w:val="00881FD7"/>
    <w:rsid w:val="008823DB"/>
    <w:rsid w:val="00883816"/>
    <w:rsid w:val="00886A5F"/>
    <w:rsid w:val="00886DA5"/>
    <w:rsid w:val="00887BC2"/>
    <w:rsid w:val="00891446"/>
    <w:rsid w:val="00896B85"/>
    <w:rsid w:val="008A00AB"/>
    <w:rsid w:val="008A0520"/>
    <w:rsid w:val="008A24CD"/>
    <w:rsid w:val="008A2737"/>
    <w:rsid w:val="008A4C6E"/>
    <w:rsid w:val="008A6A88"/>
    <w:rsid w:val="008B0040"/>
    <w:rsid w:val="008B2559"/>
    <w:rsid w:val="008B49E2"/>
    <w:rsid w:val="008B554A"/>
    <w:rsid w:val="008B565E"/>
    <w:rsid w:val="008B6C0B"/>
    <w:rsid w:val="008C0492"/>
    <w:rsid w:val="008C0AE0"/>
    <w:rsid w:val="008C1851"/>
    <w:rsid w:val="008C3F10"/>
    <w:rsid w:val="008C407C"/>
    <w:rsid w:val="008C77B2"/>
    <w:rsid w:val="008D619B"/>
    <w:rsid w:val="008D692A"/>
    <w:rsid w:val="008E06F6"/>
    <w:rsid w:val="008E12EB"/>
    <w:rsid w:val="008E2698"/>
    <w:rsid w:val="008E29E7"/>
    <w:rsid w:val="008E69EC"/>
    <w:rsid w:val="008F3BA6"/>
    <w:rsid w:val="008F4099"/>
    <w:rsid w:val="008F59BB"/>
    <w:rsid w:val="008F6B1F"/>
    <w:rsid w:val="00901809"/>
    <w:rsid w:val="00901D77"/>
    <w:rsid w:val="0090238E"/>
    <w:rsid w:val="00905E3C"/>
    <w:rsid w:val="00910371"/>
    <w:rsid w:val="00910727"/>
    <w:rsid w:val="00911A96"/>
    <w:rsid w:val="00913CF3"/>
    <w:rsid w:val="009143E5"/>
    <w:rsid w:val="0091446A"/>
    <w:rsid w:val="0091454C"/>
    <w:rsid w:val="00914CAB"/>
    <w:rsid w:val="00914E5E"/>
    <w:rsid w:val="00920F2D"/>
    <w:rsid w:val="00922DDF"/>
    <w:rsid w:val="00923AA5"/>
    <w:rsid w:val="00923F64"/>
    <w:rsid w:val="00924548"/>
    <w:rsid w:val="00924D3B"/>
    <w:rsid w:val="00924EFB"/>
    <w:rsid w:val="00925BFA"/>
    <w:rsid w:val="00927678"/>
    <w:rsid w:val="009337E0"/>
    <w:rsid w:val="009379E4"/>
    <w:rsid w:val="00941B6F"/>
    <w:rsid w:val="0094414E"/>
    <w:rsid w:val="00950440"/>
    <w:rsid w:val="00951A8C"/>
    <w:rsid w:val="00954853"/>
    <w:rsid w:val="00955A52"/>
    <w:rsid w:val="00964297"/>
    <w:rsid w:val="009651F8"/>
    <w:rsid w:val="00966944"/>
    <w:rsid w:val="009701AF"/>
    <w:rsid w:val="00971C6B"/>
    <w:rsid w:val="00971FFE"/>
    <w:rsid w:val="00973C8E"/>
    <w:rsid w:val="0097431F"/>
    <w:rsid w:val="00974888"/>
    <w:rsid w:val="00980966"/>
    <w:rsid w:val="00981692"/>
    <w:rsid w:val="0098556F"/>
    <w:rsid w:val="009872FC"/>
    <w:rsid w:val="00987CDA"/>
    <w:rsid w:val="00991D16"/>
    <w:rsid w:val="00993851"/>
    <w:rsid w:val="00994081"/>
    <w:rsid w:val="009940E5"/>
    <w:rsid w:val="00994D30"/>
    <w:rsid w:val="009A08B2"/>
    <w:rsid w:val="009A151F"/>
    <w:rsid w:val="009A3108"/>
    <w:rsid w:val="009A3637"/>
    <w:rsid w:val="009A5D30"/>
    <w:rsid w:val="009B039D"/>
    <w:rsid w:val="009B0F2C"/>
    <w:rsid w:val="009B1DDE"/>
    <w:rsid w:val="009B5FB9"/>
    <w:rsid w:val="009B6045"/>
    <w:rsid w:val="009C2D08"/>
    <w:rsid w:val="009C393A"/>
    <w:rsid w:val="009C56C1"/>
    <w:rsid w:val="009D0A2D"/>
    <w:rsid w:val="009D1807"/>
    <w:rsid w:val="009D3813"/>
    <w:rsid w:val="009D3F46"/>
    <w:rsid w:val="009D413E"/>
    <w:rsid w:val="009D5007"/>
    <w:rsid w:val="009D5035"/>
    <w:rsid w:val="009D56AC"/>
    <w:rsid w:val="009D60EA"/>
    <w:rsid w:val="009E2366"/>
    <w:rsid w:val="009E2DBC"/>
    <w:rsid w:val="009E33F7"/>
    <w:rsid w:val="009E7942"/>
    <w:rsid w:val="009E7D54"/>
    <w:rsid w:val="009F1652"/>
    <w:rsid w:val="009F30B1"/>
    <w:rsid w:val="009F613C"/>
    <w:rsid w:val="009F67A9"/>
    <w:rsid w:val="009F7827"/>
    <w:rsid w:val="00A025AF"/>
    <w:rsid w:val="00A0273B"/>
    <w:rsid w:val="00A054A6"/>
    <w:rsid w:val="00A070CA"/>
    <w:rsid w:val="00A07CFB"/>
    <w:rsid w:val="00A118B3"/>
    <w:rsid w:val="00A121E3"/>
    <w:rsid w:val="00A12F82"/>
    <w:rsid w:val="00A161AB"/>
    <w:rsid w:val="00A17161"/>
    <w:rsid w:val="00A2259A"/>
    <w:rsid w:val="00A22E9E"/>
    <w:rsid w:val="00A24DC6"/>
    <w:rsid w:val="00A255F7"/>
    <w:rsid w:val="00A25880"/>
    <w:rsid w:val="00A2767F"/>
    <w:rsid w:val="00A303DD"/>
    <w:rsid w:val="00A31D03"/>
    <w:rsid w:val="00A32A54"/>
    <w:rsid w:val="00A32EE7"/>
    <w:rsid w:val="00A33C20"/>
    <w:rsid w:val="00A34254"/>
    <w:rsid w:val="00A40489"/>
    <w:rsid w:val="00A40D6F"/>
    <w:rsid w:val="00A418E2"/>
    <w:rsid w:val="00A4212B"/>
    <w:rsid w:val="00A4383B"/>
    <w:rsid w:val="00A4727A"/>
    <w:rsid w:val="00A47A6D"/>
    <w:rsid w:val="00A51D3C"/>
    <w:rsid w:val="00A527A3"/>
    <w:rsid w:val="00A53C03"/>
    <w:rsid w:val="00A55603"/>
    <w:rsid w:val="00A55F70"/>
    <w:rsid w:val="00A618C8"/>
    <w:rsid w:val="00A64B22"/>
    <w:rsid w:val="00A65143"/>
    <w:rsid w:val="00A658AA"/>
    <w:rsid w:val="00A65ADE"/>
    <w:rsid w:val="00A66B90"/>
    <w:rsid w:val="00A67F55"/>
    <w:rsid w:val="00A71FB8"/>
    <w:rsid w:val="00A7417A"/>
    <w:rsid w:val="00A75EA0"/>
    <w:rsid w:val="00A773EF"/>
    <w:rsid w:val="00A77A1E"/>
    <w:rsid w:val="00A81181"/>
    <w:rsid w:val="00A81E69"/>
    <w:rsid w:val="00A82396"/>
    <w:rsid w:val="00A829D2"/>
    <w:rsid w:val="00A87524"/>
    <w:rsid w:val="00A9348C"/>
    <w:rsid w:val="00A943DA"/>
    <w:rsid w:val="00AA2D36"/>
    <w:rsid w:val="00AA3509"/>
    <w:rsid w:val="00AA4DD7"/>
    <w:rsid w:val="00AA50D2"/>
    <w:rsid w:val="00AA5D56"/>
    <w:rsid w:val="00AA69B9"/>
    <w:rsid w:val="00AB1443"/>
    <w:rsid w:val="00AB27D6"/>
    <w:rsid w:val="00AB427C"/>
    <w:rsid w:val="00AB68D8"/>
    <w:rsid w:val="00AB77FA"/>
    <w:rsid w:val="00AC1E53"/>
    <w:rsid w:val="00AC35F5"/>
    <w:rsid w:val="00AC4D6D"/>
    <w:rsid w:val="00AC4FC9"/>
    <w:rsid w:val="00AC5A62"/>
    <w:rsid w:val="00AC62B6"/>
    <w:rsid w:val="00AC740A"/>
    <w:rsid w:val="00AD1738"/>
    <w:rsid w:val="00AD55BA"/>
    <w:rsid w:val="00AD590A"/>
    <w:rsid w:val="00AE2506"/>
    <w:rsid w:val="00AE2E19"/>
    <w:rsid w:val="00AE6CA5"/>
    <w:rsid w:val="00AE7567"/>
    <w:rsid w:val="00AE7AEA"/>
    <w:rsid w:val="00AF0218"/>
    <w:rsid w:val="00AF14A7"/>
    <w:rsid w:val="00AF1566"/>
    <w:rsid w:val="00AF1FAE"/>
    <w:rsid w:val="00AF3E74"/>
    <w:rsid w:val="00AF53B9"/>
    <w:rsid w:val="00AF6396"/>
    <w:rsid w:val="00AF6655"/>
    <w:rsid w:val="00AF7499"/>
    <w:rsid w:val="00B00E47"/>
    <w:rsid w:val="00B0176E"/>
    <w:rsid w:val="00B03459"/>
    <w:rsid w:val="00B0364C"/>
    <w:rsid w:val="00B038E4"/>
    <w:rsid w:val="00B04BC4"/>
    <w:rsid w:val="00B04D4F"/>
    <w:rsid w:val="00B05A32"/>
    <w:rsid w:val="00B061CA"/>
    <w:rsid w:val="00B064DF"/>
    <w:rsid w:val="00B0756C"/>
    <w:rsid w:val="00B10A9C"/>
    <w:rsid w:val="00B13338"/>
    <w:rsid w:val="00B13573"/>
    <w:rsid w:val="00B15A03"/>
    <w:rsid w:val="00B1628B"/>
    <w:rsid w:val="00B165FA"/>
    <w:rsid w:val="00B171EB"/>
    <w:rsid w:val="00B17CCC"/>
    <w:rsid w:val="00B2356D"/>
    <w:rsid w:val="00B26FF5"/>
    <w:rsid w:val="00B27EE9"/>
    <w:rsid w:val="00B30188"/>
    <w:rsid w:val="00B31C3B"/>
    <w:rsid w:val="00B376DC"/>
    <w:rsid w:val="00B40018"/>
    <w:rsid w:val="00B40CB7"/>
    <w:rsid w:val="00B4202C"/>
    <w:rsid w:val="00B43C81"/>
    <w:rsid w:val="00B4437E"/>
    <w:rsid w:val="00B46467"/>
    <w:rsid w:val="00B513F2"/>
    <w:rsid w:val="00B52184"/>
    <w:rsid w:val="00B53B90"/>
    <w:rsid w:val="00B54642"/>
    <w:rsid w:val="00B554FA"/>
    <w:rsid w:val="00B565E1"/>
    <w:rsid w:val="00B5701A"/>
    <w:rsid w:val="00B5740E"/>
    <w:rsid w:val="00B6091D"/>
    <w:rsid w:val="00B620E6"/>
    <w:rsid w:val="00B636FD"/>
    <w:rsid w:val="00B65031"/>
    <w:rsid w:val="00B651A5"/>
    <w:rsid w:val="00B6670B"/>
    <w:rsid w:val="00B70B96"/>
    <w:rsid w:val="00B72143"/>
    <w:rsid w:val="00B73898"/>
    <w:rsid w:val="00B76361"/>
    <w:rsid w:val="00B82B79"/>
    <w:rsid w:val="00B8356F"/>
    <w:rsid w:val="00B835A7"/>
    <w:rsid w:val="00B84294"/>
    <w:rsid w:val="00B85724"/>
    <w:rsid w:val="00B861B4"/>
    <w:rsid w:val="00B87CF8"/>
    <w:rsid w:val="00B912F9"/>
    <w:rsid w:val="00B913A8"/>
    <w:rsid w:val="00B92C83"/>
    <w:rsid w:val="00B92C96"/>
    <w:rsid w:val="00B93A58"/>
    <w:rsid w:val="00B93E31"/>
    <w:rsid w:val="00B95150"/>
    <w:rsid w:val="00B96202"/>
    <w:rsid w:val="00B97E61"/>
    <w:rsid w:val="00BA3AF2"/>
    <w:rsid w:val="00BA5B39"/>
    <w:rsid w:val="00BA678B"/>
    <w:rsid w:val="00BA6AAC"/>
    <w:rsid w:val="00BB1794"/>
    <w:rsid w:val="00BB1E35"/>
    <w:rsid w:val="00BB2FA4"/>
    <w:rsid w:val="00BB30C0"/>
    <w:rsid w:val="00BB41EE"/>
    <w:rsid w:val="00BB42ED"/>
    <w:rsid w:val="00BB5B73"/>
    <w:rsid w:val="00BB5D4A"/>
    <w:rsid w:val="00BB788E"/>
    <w:rsid w:val="00BB78F7"/>
    <w:rsid w:val="00BC0EC3"/>
    <w:rsid w:val="00BC31CF"/>
    <w:rsid w:val="00BC3938"/>
    <w:rsid w:val="00BC6E10"/>
    <w:rsid w:val="00BC6FA7"/>
    <w:rsid w:val="00BD1A39"/>
    <w:rsid w:val="00BD48B6"/>
    <w:rsid w:val="00BD57A8"/>
    <w:rsid w:val="00BD609C"/>
    <w:rsid w:val="00BD6407"/>
    <w:rsid w:val="00BE153F"/>
    <w:rsid w:val="00BE2574"/>
    <w:rsid w:val="00BE2734"/>
    <w:rsid w:val="00BE275D"/>
    <w:rsid w:val="00BE2F2E"/>
    <w:rsid w:val="00BE3FD0"/>
    <w:rsid w:val="00BE4DE6"/>
    <w:rsid w:val="00BE561A"/>
    <w:rsid w:val="00BF191A"/>
    <w:rsid w:val="00BF3363"/>
    <w:rsid w:val="00BF4A50"/>
    <w:rsid w:val="00BF5F36"/>
    <w:rsid w:val="00C003C5"/>
    <w:rsid w:val="00C02519"/>
    <w:rsid w:val="00C0395A"/>
    <w:rsid w:val="00C049AA"/>
    <w:rsid w:val="00C073B1"/>
    <w:rsid w:val="00C0756F"/>
    <w:rsid w:val="00C1000E"/>
    <w:rsid w:val="00C137C0"/>
    <w:rsid w:val="00C1578C"/>
    <w:rsid w:val="00C205F2"/>
    <w:rsid w:val="00C206F9"/>
    <w:rsid w:val="00C21A0D"/>
    <w:rsid w:val="00C2384E"/>
    <w:rsid w:val="00C23AEF"/>
    <w:rsid w:val="00C2452B"/>
    <w:rsid w:val="00C24F4A"/>
    <w:rsid w:val="00C25416"/>
    <w:rsid w:val="00C25E8C"/>
    <w:rsid w:val="00C30374"/>
    <w:rsid w:val="00C3136C"/>
    <w:rsid w:val="00C31E21"/>
    <w:rsid w:val="00C33358"/>
    <w:rsid w:val="00C33C12"/>
    <w:rsid w:val="00C349E1"/>
    <w:rsid w:val="00C34FF1"/>
    <w:rsid w:val="00C3762F"/>
    <w:rsid w:val="00C407E1"/>
    <w:rsid w:val="00C4092B"/>
    <w:rsid w:val="00C416EC"/>
    <w:rsid w:val="00C41A84"/>
    <w:rsid w:val="00C41D16"/>
    <w:rsid w:val="00C430B7"/>
    <w:rsid w:val="00C45DAA"/>
    <w:rsid w:val="00C477AE"/>
    <w:rsid w:val="00C501B9"/>
    <w:rsid w:val="00C5172B"/>
    <w:rsid w:val="00C525C3"/>
    <w:rsid w:val="00C538CF"/>
    <w:rsid w:val="00C53DE5"/>
    <w:rsid w:val="00C55407"/>
    <w:rsid w:val="00C55837"/>
    <w:rsid w:val="00C566CC"/>
    <w:rsid w:val="00C56CB3"/>
    <w:rsid w:val="00C56F48"/>
    <w:rsid w:val="00C570A2"/>
    <w:rsid w:val="00C57DB3"/>
    <w:rsid w:val="00C609DF"/>
    <w:rsid w:val="00C62D7B"/>
    <w:rsid w:val="00C63DE1"/>
    <w:rsid w:val="00C6516C"/>
    <w:rsid w:val="00C66EAD"/>
    <w:rsid w:val="00C70C69"/>
    <w:rsid w:val="00C7196D"/>
    <w:rsid w:val="00C72F07"/>
    <w:rsid w:val="00C74859"/>
    <w:rsid w:val="00C751EC"/>
    <w:rsid w:val="00C76770"/>
    <w:rsid w:val="00C81473"/>
    <w:rsid w:val="00C81F8C"/>
    <w:rsid w:val="00C827D1"/>
    <w:rsid w:val="00C83A90"/>
    <w:rsid w:val="00C841F9"/>
    <w:rsid w:val="00C85C62"/>
    <w:rsid w:val="00C86FA7"/>
    <w:rsid w:val="00C87784"/>
    <w:rsid w:val="00C87DD3"/>
    <w:rsid w:val="00C939F6"/>
    <w:rsid w:val="00C943A4"/>
    <w:rsid w:val="00C94481"/>
    <w:rsid w:val="00C94FA8"/>
    <w:rsid w:val="00C9512E"/>
    <w:rsid w:val="00C96340"/>
    <w:rsid w:val="00C96A27"/>
    <w:rsid w:val="00C96F92"/>
    <w:rsid w:val="00CA0A3B"/>
    <w:rsid w:val="00CA24DC"/>
    <w:rsid w:val="00CA2503"/>
    <w:rsid w:val="00CA2A17"/>
    <w:rsid w:val="00CA6090"/>
    <w:rsid w:val="00CB0B21"/>
    <w:rsid w:val="00CB157F"/>
    <w:rsid w:val="00CB1C77"/>
    <w:rsid w:val="00CB305C"/>
    <w:rsid w:val="00CB3E6E"/>
    <w:rsid w:val="00CB45FD"/>
    <w:rsid w:val="00CB57B7"/>
    <w:rsid w:val="00CB67A6"/>
    <w:rsid w:val="00CB735B"/>
    <w:rsid w:val="00CC3BCE"/>
    <w:rsid w:val="00CC532D"/>
    <w:rsid w:val="00CC68C3"/>
    <w:rsid w:val="00CD1C22"/>
    <w:rsid w:val="00CD40AF"/>
    <w:rsid w:val="00CD4C03"/>
    <w:rsid w:val="00CD6D70"/>
    <w:rsid w:val="00CE01A0"/>
    <w:rsid w:val="00CE1851"/>
    <w:rsid w:val="00CE22A0"/>
    <w:rsid w:val="00CE3E53"/>
    <w:rsid w:val="00CE76ED"/>
    <w:rsid w:val="00CF0DEF"/>
    <w:rsid w:val="00CF1ACB"/>
    <w:rsid w:val="00CF3A09"/>
    <w:rsid w:val="00CF3D2B"/>
    <w:rsid w:val="00CF6C6C"/>
    <w:rsid w:val="00CF6DFC"/>
    <w:rsid w:val="00CF7A0A"/>
    <w:rsid w:val="00D01486"/>
    <w:rsid w:val="00D02C55"/>
    <w:rsid w:val="00D0384C"/>
    <w:rsid w:val="00D0523D"/>
    <w:rsid w:val="00D061E6"/>
    <w:rsid w:val="00D069C9"/>
    <w:rsid w:val="00D06E7B"/>
    <w:rsid w:val="00D106D2"/>
    <w:rsid w:val="00D10FD5"/>
    <w:rsid w:val="00D1200B"/>
    <w:rsid w:val="00D127BF"/>
    <w:rsid w:val="00D1515C"/>
    <w:rsid w:val="00D170D7"/>
    <w:rsid w:val="00D226E5"/>
    <w:rsid w:val="00D25256"/>
    <w:rsid w:val="00D26C8C"/>
    <w:rsid w:val="00D33BE4"/>
    <w:rsid w:val="00D34958"/>
    <w:rsid w:val="00D35D45"/>
    <w:rsid w:val="00D40301"/>
    <w:rsid w:val="00D433D8"/>
    <w:rsid w:val="00D441B2"/>
    <w:rsid w:val="00D444BF"/>
    <w:rsid w:val="00D449CF"/>
    <w:rsid w:val="00D46C0C"/>
    <w:rsid w:val="00D46F6D"/>
    <w:rsid w:val="00D47121"/>
    <w:rsid w:val="00D47744"/>
    <w:rsid w:val="00D5207D"/>
    <w:rsid w:val="00D53232"/>
    <w:rsid w:val="00D5378E"/>
    <w:rsid w:val="00D54D23"/>
    <w:rsid w:val="00D55B96"/>
    <w:rsid w:val="00D55EF4"/>
    <w:rsid w:val="00D60AA0"/>
    <w:rsid w:val="00D61DFB"/>
    <w:rsid w:val="00D62472"/>
    <w:rsid w:val="00D62636"/>
    <w:rsid w:val="00D62A03"/>
    <w:rsid w:val="00D62DBE"/>
    <w:rsid w:val="00D63C66"/>
    <w:rsid w:val="00D6478A"/>
    <w:rsid w:val="00D64849"/>
    <w:rsid w:val="00D64CCC"/>
    <w:rsid w:val="00D6560E"/>
    <w:rsid w:val="00D65F3C"/>
    <w:rsid w:val="00D6626A"/>
    <w:rsid w:val="00D74271"/>
    <w:rsid w:val="00D74363"/>
    <w:rsid w:val="00D74D1A"/>
    <w:rsid w:val="00D75259"/>
    <w:rsid w:val="00D75FA3"/>
    <w:rsid w:val="00D8022E"/>
    <w:rsid w:val="00D8217C"/>
    <w:rsid w:val="00D83A32"/>
    <w:rsid w:val="00D930A3"/>
    <w:rsid w:val="00D93571"/>
    <w:rsid w:val="00D940CF"/>
    <w:rsid w:val="00DA0F34"/>
    <w:rsid w:val="00DA1238"/>
    <w:rsid w:val="00DA1982"/>
    <w:rsid w:val="00DA3C2E"/>
    <w:rsid w:val="00DA4A5C"/>
    <w:rsid w:val="00DA655A"/>
    <w:rsid w:val="00DA705B"/>
    <w:rsid w:val="00DA7721"/>
    <w:rsid w:val="00DB1738"/>
    <w:rsid w:val="00DB2D29"/>
    <w:rsid w:val="00DB509B"/>
    <w:rsid w:val="00DC127A"/>
    <w:rsid w:val="00DC1B71"/>
    <w:rsid w:val="00DC1D23"/>
    <w:rsid w:val="00DC1FC1"/>
    <w:rsid w:val="00DC2660"/>
    <w:rsid w:val="00DC2BC6"/>
    <w:rsid w:val="00DC5BDC"/>
    <w:rsid w:val="00DD070E"/>
    <w:rsid w:val="00DD13A7"/>
    <w:rsid w:val="00DD1A63"/>
    <w:rsid w:val="00DD1AFC"/>
    <w:rsid w:val="00DD4411"/>
    <w:rsid w:val="00DD4FCF"/>
    <w:rsid w:val="00DD511A"/>
    <w:rsid w:val="00DD5F44"/>
    <w:rsid w:val="00DD61AC"/>
    <w:rsid w:val="00DD6BC4"/>
    <w:rsid w:val="00DE2232"/>
    <w:rsid w:val="00DE3178"/>
    <w:rsid w:val="00DE324F"/>
    <w:rsid w:val="00DE3673"/>
    <w:rsid w:val="00DE6299"/>
    <w:rsid w:val="00DE6BDA"/>
    <w:rsid w:val="00DF22A9"/>
    <w:rsid w:val="00DF29A2"/>
    <w:rsid w:val="00DF455B"/>
    <w:rsid w:val="00DF5523"/>
    <w:rsid w:val="00DF6DD7"/>
    <w:rsid w:val="00E01162"/>
    <w:rsid w:val="00E03E07"/>
    <w:rsid w:val="00E05700"/>
    <w:rsid w:val="00E10B2C"/>
    <w:rsid w:val="00E118BF"/>
    <w:rsid w:val="00E12D93"/>
    <w:rsid w:val="00E20810"/>
    <w:rsid w:val="00E20A64"/>
    <w:rsid w:val="00E22F89"/>
    <w:rsid w:val="00E2317A"/>
    <w:rsid w:val="00E23211"/>
    <w:rsid w:val="00E234B1"/>
    <w:rsid w:val="00E2788A"/>
    <w:rsid w:val="00E321A5"/>
    <w:rsid w:val="00E333FE"/>
    <w:rsid w:val="00E3601D"/>
    <w:rsid w:val="00E408D4"/>
    <w:rsid w:val="00E43199"/>
    <w:rsid w:val="00E47111"/>
    <w:rsid w:val="00E47B6F"/>
    <w:rsid w:val="00E503C0"/>
    <w:rsid w:val="00E50D9B"/>
    <w:rsid w:val="00E50EF1"/>
    <w:rsid w:val="00E51D78"/>
    <w:rsid w:val="00E5209C"/>
    <w:rsid w:val="00E6125A"/>
    <w:rsid w:val="00E61944"/>
    <w:rsid w:val="00E62383"/>
    <w:rsid w:val="00E647C8"/>
    <w:rsid w:val="00E6766F"/>
    <w:rsid w:val="00E70CBA"/>
    <w:rsid w:val="00E70DD8"/>
    <w:rsid w:val="00E71031"/>
    <w:rsid w:val="00E74E5F"/>
    <w:rsid w:val="00E75839"/>
    <w:rsid w:val="00E802B0"/>
    <w:rsid w:val="00E82529"/>
    <w:rsid w:val="00E9021F"/>
    <w:rsid w:val="00E91D72"/>
    <w:rsid w:val="00E92405"/>
    <w:rsid w:val="00E92FC5"/>
    <w:rsid w:val="00E9654E"/>
    <w:rsid w:val="00E97753"/>
    <w:rsid w:val="00E97A82"/>
    <w:rsid w:val="00EA18AE"/>
    <w:rsid w:val="00EA3010"/>
    <w:rsid w:val="00EA5AB8"/>
    <w:rsid w:val="00EA66A3"/>
    <w:rsid w:val="00EB01BA"/>
    <w:rsid w:val="00EB2996"/>
    <w:rsid w:val="00EB2EBD"/>
    <w:rsid w:val="00EB5E10"/>
    <w:rsid w:val="00EC0320"/>
    <w:rsid w:val="00EC065A"/>
    <w:rsid w:val="00EC0C26"/>
    <w:rsid w:val="00EC0D65"/>
    <w:rsid w:val="00EC115E"/>
    <w:rsid w:val="00EC2693"/>
    <w:rsid w:val="00EC4639"/>
    <w:rsid w:val="00EC699B"/>
    <w:rsid w:val="00EC792B"/>
    <w:rsid w:val="00ED4D75"/>
    <w:rsid w:val="00ED5E88"/>
    <w:rsid w:val="00ED62E2"/>
    <w:rsid w:val="00EE0560"/>
    <w:rsid w:val="00EE06EB"/>
    <w:rsid w:val="00EE0C12"/>
    <w:rsid w:val="00EE1794"/>
    <w:rsid w:val="00EE4CDB"/>
    <w:rsid w:val="00EF0E26"/>
    <w:rsid w:val="00EF332F"/>
    <w:rsid w:val="00EF49FD"/>
    <w:rsid w:val="00EF55CC"/>
    <w:rsid w:val="00EF605E"/>
    <w:rsid w:val="00EF6DB0"/>
    <w:rsid w:val="00EF746B"/>
    <w:rsid w:val="00F0002E"/>
    <w:rsid w:val="00F00292"/>
    <w:rsid w:val="00F00AED"/>
    <w:rsid w:val="00F01D32"/>
    <w:rsid w:val="00F02274"/>
    <w:rsid w:val="00F04729"/>
    <w:rsid w:val="00F04CEA"/>
    <w:rsid w:val="00F04DF8"/>
    <w:rsid w:val="00F05E1A"/>
    <w:rsid w:val="00F078AE"/>
    <w:rsid w:val="00F107E3"/>
    <w:rsid w:val="00F14F75"/>
    <w:rsid w:val="00F150B2"/>
    <w:rsid w:val="00F16756"/>
    <w:rsid w:val="00F2072D"/>
    <w:rsid w:val="00F2137A"/>
    <w:rsid w:val="00F23B8D"/>
    <w:rsid w:val="00F25C2A"/>
    <w:rsid w:val="00F26822"/>
    <w:rsid w:val="00F27B33"/>
    <w:rsid w:val="00F31314"/>
    <w:rsid w:val="00F32536"/>
    <w:rsid w:val="00F330C5"/>
    <w:rsid w:val="00F33DC6"/>
    <w:rsid w:val="00F34A5E"/>
    <w:rsid w:val="00F36021"/>
    <w:rsid w:val="00F360B2"/>
    <w:rsid w:val="00F41D12"/>
    <w:rsid w:val="00F424D0"/>
    <w:rsid w:val="00F42A84"/>
    <w:rsid w:val="00F43BB7"/>
    <w:rsid w:val="00F444CC"/>
    <w:rsid w:val="00F45214"/>
    <w:rsid w:val="00F467B5"/>
    <w:rsid w:val="00F5043F"/>
    <w:rsid w:val="00F52792"/>
    <w:rsid w:val="00F53308"/>
    <w:rsid w:val="00F5355D"/>
    <w:rsid w:val="00F5476D"/>
    <w:rsid w:val="00F55281"/>
    <w:rsid w:val="00F559A4"/>
    <w:rsid w:val="00F569E2"/>
    <w:rsid w:val="00F57733"/>
    <w:rsid w:val="00F6002D"/>
    <w:rsid w:val="00F642CF"/>
    <w:rsid w:val="00F646D5"/>
    <w:rsid w:val="00F663CB"/>
    <w:rsid w:val="00F664A4"/>
    <w:rsid w:val="00F66742"/>
    <w:rsid w:val="00F67177"/>
    <w:rsid w:val="00F70B62"/>
    <w:rsid w:val="00F73281"/>
    <w:rsid w:val="00F74D50"/>
    <w:rsid w:val="00F752C2"/>
    <w:rsid w:val="00F7634B"/>
    <w:rsid w:val="00F82CA0"/>
    <w:rsid w:val="00F837D4"/>
    <w:rsid w:val="00F8624B"/>
    <w:rsid w:val="00F86ADE"/>
    <w:rsid w:val="00F86B46"/>
    <w:rsid w:val="00F87D1F"/>
    <w:rsid w:val="00F87F91"/>
    <w:rsid w:val="00F906D8"/>
    <w:rsid w:val="00F9082F"/>
    <w:rsid w:val="00F90F32"/>
    <w:rsid w:val="00F9112B"/>
    <w:rsid w:val="00F9370D"/>
    <w:rsid w:val="00F942F1"/>
    <w:rsid w:val="00F95F53"/>
    <w:rsid w:val="00F96E7C"/>
    <w:rsid w:val="00F978FD"/>
    <w:rsid w:val="00FA0917"/>
    <w:rsid w:val="00FA2743"/>
    <w:rsid w:val="00FA5021"/>
    <w:rsid w:val="00FA5053"/>
    <w:rsid w:val="00FA7591"/>
    <w:rsid w:val="00FA7BF0"/>
    <w:rsid w:val="00FB082D"/>
    <w:rsid w:val="00FB17BE"/>
    <w:rsid w:val="00FB3427"/>
    <w:rsid w:val="00FB3665"/>
    <w:rsid w:val="00FB36A0"/>
    <w:rsid w:val="00FB467F"/>
    <w:rsid w:val="00FB549A"/>
    <w:rsid w:val="00FC0B3C"/>
    <w:rsid w:val="00FC0F0D"/>
    <w:rsid w:val="00FC1461"/>
    <w:rsid w:val="00FC1759"/>
    <w:rsid w:val="00FC1E1C"/>
    <w:rsid w:val="00FC5E97"/>
    <w:rsid w:val="00FC65C8"/>
    <w:rsid w:val="00FD0469"/>
    <w:rsid w:val="00FD09B5"/>
    <w:rsid w:val="00FD1514"/>
    <w:rsid w:val="00FD1702"/>
    <w:rsid w:val="00FD170F"/>
    <w:rsid w:val="00FD27BD"/>
    <w:rsid w:val="00FD2C2B"/>
    <w:rsid w:val="00FD3775"/>
    <w:rsid w:val="00FD4E13"/>
    <w:rsid w:val="00FD6F19"/>
    <w:rsid w:val="00FE0E77"/>
    <w:rsid w:val="00FE0E8D"/>
    <w:rsid w:val="00FE274C"/>
    <w:rsid w:val="00FE3054"/>
    <w:rsid w:val="00FE307C"/>
    <w:rsid w:val="00FE37BD"/>
    <w:rsid w:val="00FE3C27"/>
    <w:rsid w:val="00FE3EC4"/>
    <w:rsid w:val="00FE6A14"/>
    <w:rsid w:val="00FF0E9F"/>
    <w:rsid w:val="00FF0ECD"/>
    <w:rsid w:val="00FF1292"/>
    <w:rsid w:val="00FF2DF4"/>
    <w:rsid w:val="00FF3F2F"/>
    <w:rsid w:val="00FF57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6F8793"/>
  <w15:docId w15:val="{4798E5BD-1372-4C46-A787-34F465486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D78"/>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7F57EC"/>
    <w:pPr>
      <w:widowControl w:val="0"/>
      <w:spacing w:before="360"/>
      <w:contextualSpacing/>
      <w:outlineLvl w:val="0"/>
    </w:pPr>
    <w:rPr>
      <w:rFonts w:ascii="Calibri" w:eastAsiaTheme="minorHAnsi" w:hAnsi="Calibri" w:cstheme="minorBidi"/>
      <w:b/>
      <w:bCs/>
      <w:color w:val="000000"/>
      <w:spacing w:val="5"/>
      <w:kern w:val="28"/>
      <w:sz w:val="64"/>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7F57EC"/>
    <w:rPr>
      <w:rFonts w:ascii="Calibri" w:eastAsiaTheme="minorHAnsi" w:hAnsi="Calibri" w:cstheme="minorBidi"/>
      <w:b/>
      <w:bCs/>
      <w:color w:val="000000"/>
      <w:spacing w:val="5"/>
      <w:kern w:val="28"/>
      <w:sz w:val="64"/>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35"/>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F04CEA"/>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773DFC"/>
    <w:rPr>
      <w:color w:val="605E5C"/>
      <w:shd w:val="clear" w:color="auto" w:fill="E1DFDD"/>
    </w:rPr>
  </w:style>
  <w:style w:type="table" w:styleId="ListTable4-Accent1">
    <w:name w:val="List Table 4 Accent 1"/>
    <w:basedOn w:val="TableNormal"/>
    <w:uiPriority w:val="49"/>
    <w:rsid w:val="0044330A"/>
    <w:rPr>
      <w:rFonts w:ascii="Arial" w:eastAsia="Calibri" w:hAnsi="Ari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5A5BF3"/>
    <w:rPr>
      <w:rFonts w:ascii="Arial" w:eastAsia="Calibri"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ListParagraph">
    <w:name w:val="List Paragraph"/>
    <w:basedOn w:val="Normal"/>
    <w:uiPriority w:val="99"/>
    <w:qFormat/>
    <w:rsid w:val="00910371"/>
    <w:pPr>
      <w:ind w:left="720"/>
      <w:contextualSpacing/>
    </w:pPr>
  </w:style>
  <w:style w:type="paragraph" w:styleId="Date">
    <w:name w:val="Date"/>
    <w:basedOn w:val="Normal"/>
    <w:next w:val="Normal"/>
    <w:link w:val="DateChar"/>
    <w:uiPriority w:val="99"/>
    <w:unhideWhenUsed/>
    <w:rsid w:val="00A66B90"/>
  </w:style>
  <w:style w:type="character" w:customStyle="1" w:styleId="DateChar">
    <w:name w:val="Date Char"/>
    <w:basedOn w:val="DefaultParagraphFont"/>
    <w:link w:val="Date"/>
    <w:uiPriority w:val="99"/>
    <w:rsid w:val="00A66B90"/>
    <w:rPr>
      <w:rFonts w:eastAsiaTheme="minorHAnsi" w:cstheme="minorBidi"/>
      <w:sz w:val="22"/>
      <w:szCs w:val="22"/>
      <w:lang w:eastAsia="en-US"/>
    </w:rPr>
  </w:style>
  <w:style w:type="paragraph" w:styleId="Revision">
    <w:name w:val="Revision"/>
    <w:hidden/>
    <w:uiPriority w:val="99"/>
    <w:semiHidden/>
    <w:rsid w:val="00B513F2"/>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18396477">
      <w:bodyDiv w:val="1"/>
      <w:marLeft w:val="0"/>
      <w:marRight w:val="0"/>
      <w:marTop w:val="0"/>
      <w:marBottom w:val="0"/>
      <w:divBdr>
        <w:top w:val="none" w:sz="0" w:space="0" w:color="auto"/>
        <w:left w:val="none" w:sz="0" w:space="0" w:color="auto"/>
        <w:bottom w:val="none" w:sz="0" w:space="0" w:color="auto"/>
        <w:right w:val="none" w:sz="0" w:space="0" w:color="auto"/>
      </w:divBdr>
      <w:divsChild>
        <w:div w:id="2134053749">
          <w:marLeft w:val="547"/>
          <w:marRight w:val="0"/>
          <w:marTop w:val="0"/>
          <w:marBottom w:val="0"/>
          <w:divBdr>
            <w:top w:val="none" w:sz="0" w:space="0" w:color="auto"/>
            <w:left w:val="none" w:sz="0" w:space="0" w:color="auto"/>
            <w:bottom w:val="none" w:sz="0" w:space="0" w:color="auto"/>
            <w:right w:val="none" w:sz="0" w:space="0" w:color="auto"/>
          </w:divBdr>
        </w:div>
        <w:div w:id="1074354256">
          <w:marLeft w:val="547"/>
          <w:marRight w:val="0"/>
          <w:marTop w:val="0"/>
          <w:marBottom w:val="0"/>
          <w:divBdr>
            <w:top w:val="none" w:sz="0" w:space="0" w:color="auto"/>
            <w:left w:val="none" w:sz="0" w:space="0" w:color="auto"/>
            <w:bottom w:val="none" w:sz="0" w:space="0" w:color="auto"/>
            <w:right w:val="none" w:sz="0" w:space="0" w:color="auto"/>
          </w:divBdr>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316473">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3232156">
      <w:bodyDiv w:val="1"/>
      <w:marLeft w:val="0"/>
      <w:marRight w:val="0"/>
      <w:marTop w:val="0"/>
      <w:marBottom w:val="0"/>
      <w:divBdr>
        <w:top w:val="none" w:sz="0" w:space="0" w:color="auto"/>
        <w:left w:val="none" w:sz="0" w:space="0" w:color="auto"/>
        <w:bottom w:val="none" w:sz="0" w:space="0" w:color="auto"/>
        <w:right w:val="none" w:sz="0" w:space="0" w:color="auto"/>
      </w:divBdr>
    </w:div>
    <w:div w:id="1577133569">
      <w:bodyDiv w:val="1"/>
      <w:marLeft w:val="0"/>
      <w:marRight w:val="0"/>
      <w:marTop w:val="0"/>
      <w:marBottom w:val="0"/>
      <w:divBdr>
        <w:top w:val="none" w:sz="0" w:space="0" w:color="auto"/>
        <w:left w:val="none" w:sz="0" w:space="0" w:color="auto"/>
        <w:bottom w:val="none" w:sz="0" w:space="0" w:color="auto"/>
        <w:right w:val="none" w:sz="0" w:space="0" w:color="auto"/>
      </w:divBdr>
      <w:divsChild>
        <w:div w:id="1880628606">
          <w:marLeft w:val="547"/>
          <w:marRight w:val="0"/>
          <w:marTop w:val="0"/>
          <w:marBottom w:val="0"/>
          <w:divBdr>
            <w:top w:val="none" w:sz="0" w:space="0" w:color="auto"/>
            <w:left w:val="none" w:sz="0" w:space="0" w:color="auto"/>
            <w:bottom w:val="none" w:sz="0" w:space="0" w:color="auto"/>
            <w:right w:val="none" w:sz="0" w:space="0" w:color="auto"/>
          </w:divBdr>
        </w:div>
        <w:div w:id="959335815">
          <w:marLeft w:val="547"/>
          <w:marRight w:val="0"/>
          <w:marTop w:val="0"/>
          <w:marBottom w:val="0"/>
          <w:divBdr>
            <w:top w:val="none" w:sz="0" w:space="0" w:color="auto"/>
            <w:left w:val="none" w:sz="0" w:space="0" w:color="auto"/>
            <w:bottom w:val="none" w:sz="0" w:space="0" w:color="auto"/>
            <w:right w:val="none" w:sz="0" w:space="0" w:color="auto"/>
          </w:divBdr>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786778">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image" Target="media/image7.png"/><Relationship Id="rId34" Type="http://schemas.openxmlformats.org/officeDocument/2006/relationships/image" Target="media/image11.png"/><Relationship Id="rId42" Type="http://schemas.openxmlformats.org/officeDocument/2006/relationships/footer" Target="footer2.xml"/><Relationship Id="rId47" Type="http://schemas.openxmlformats.org/officeDocument/2006/relationships/hyperlink" Target="https://theicct.org/publications/technology-pathways-diesel-engines-used-non-road-vehicles-and-equipment" TargetMode="External"/><Relationship Id="rId50" Type="http://schemas.openxmlformats.org/officeDocument/2006/relationships/hyperlink" Target="https://dieselnet.com/standards/us/nonroad.php" TargetMode="External"/><Relationship Id="rId55" Type="http://schemas.openxmlformats.org/officeDocument/2006/relationships/hyperlink" Target="https://www.epa.nsw.gov.au/~/media/EPA/Corporate%20Site/resources/air/nonroaddieselrpt.ashx"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diagramColors" Target="diagrams/colors1.xml"/><Relationship Id="rId11" Type="http://schemas.openxmlformats.org/officeDocument/2006/relationships/image" Target="media/image2.png"/><Relationship Id="rId24" Type="http://schemas.openxmlformats.org/officeDocument/2006/relationships/hyperlink" Target="http://www.environment.gov.au/protection/air-quality/publications/national-clean-air-agreement" TargetMode="External"/><Relationship Id="rId32" Type="http://schemas.openxmlformats.org/officeDocument/2006/relationships/hyperlink" Target="https://www.ecfr.gov/cgi-bin/text-idx?tpl=/ecfrbrowse/Title40/40cfr89_main_02.tpl" TargetMode="External"/><Relationship Id="rId37" Type="http://schemas.openxmlformats.org/officeDocument/2006/relationships/hyperlink" Target="https://www.legislation.gov.au/Details/C2013C00485" TargetMode="External"/><Relationship Id="rId40" Type="http://schemas.openxmlformats.org/officeDocument/2006/relationships/hyperlink" Target="mailto:airquality@awe.gov.au" TargetMode="External"/><Relationship Id="rId45" Type="http://schemas.openxmlformats.org/officeDocument/2006/relationships/hyperlink" Target="https://www.aihw.gov.au/reports/burden-of-disease/burden-disease-study-illness-death-2015/contents/table-of-contents" TargetMode="External"/><Relationship Id="rId53" Type="http://schemas.openxmlformats.org/officeDocument/2006/relationships/hyperlink" Target="https://www.roadsafety.gov.au/performance/road-deaths-road-user" TargetMode="External"/><Relationship Id="rId58" Type="http://schemas.openxmlformats.org/officeDocument/2006/relationships/hyperlink" Target="https://www.aph.gov.au/Parliamentary_Business/Committees/Senate/Community_Affairs/Completed_inquiries/2010-13/airquality/report/c05" TargetMode="External"/><Relationship Id="rId66"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hyperlink" Target="https://www.epa.gov/ground-level-ozone-pollution/health-effects-ozone-pollution" TargetMode="External"/><Relationship Id="rId19" Type="http://schemas.openxmlformats.org/officeDocument/2006/relationships/image" Target="media/image5.tmp"/><Relationship Id="rId14" Type="http://schemas.openxmlformats.org/officeDocument/2006/relationships/header" Target="header1.xml"/><Relationship Id="rId22" Type="http://schemas.openxmlformats.org/officeDocument/2006/relationships/hyperlink" Target="https://www.epa.gov/emission-standards-reference-guide/epa-emission-standards-nonroad-engines-and-vehicles"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2.jpeg"/><Relationship Id="rId43" Type="http://schemas.openxmlformats.org/officeDocument/2006/relationships/image" Target="media/image16.png"/><Relationship Id="rId48" Type="http://schemas.openxmlformats.org/officeDocument/2006/relationships/hyperlink" Target="https://www.infrastructure.gov.au/vehicles/environment/forum/files/Vehicle_Noxious_Emissions_RIS.pdf" TargetMode="External"/><Relationship Id="rId56" Type="http://schemas.openxmlformats.org/officeDocument/2006/relationships/hyperlink" Target="https://www.epa.nsw.gov.au/-/media/epa/corporate-site/resources/epa/140075coalminestudy.pdf" TargetMode="External"/><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soe.environment.gov.au/sites/default/files/soe2011-report-complete.pdf?v=1488164460" TargetMode="External"/><Relationship Id="rId3" Type="http://schemas.openxmlformats.org/officeDocument/2006/relationships/styles" Target="styles.xml"/><Relationship Id="rId12" Type="http://schemas.openxmlformats.org/officeDocument/2006/relationships/hyperlink" Target="http://www.environment.gov.au/protection/air-quality/national-clean-air-agreement/evaluation-non-road-diesel-engine-emissions" TargetMode="External"/><Relationship Id="rId17" Type="http://schemas.openxmlformats.org/officeDocument/2006/relationships/image" Target="media/image4.png"/><Relationship Id="rId25" Type="http://schemas.openxmlformats.org/officeDocument/2006/relationships/image" Target="media/image8.tmp"/><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hyperlink" Target="https://asthma.org.au/about-asthma/understanding-asthma/statistics/" TargetMode="External"/><Relationship Id="rId59" Type="http://schemas.openxmlformats.org/officeDocument/2006/relationships/hyperlink" Target="http://energy.mit.edu/news/regulating-particulate-pollution-novel-analysis-yields-new-insights/" TargetMode="External"/><Relationship Id="rId67" Type="http://schemas.openxmlformats.org/officeDocument/2006/relationships/customXml" Target="../customXml/item4.xml"/><Relationship Id="rId20" Type="http://schemas.openxmlformats.org/officeDocument/2006/relationships/image" Target="media/image6.tmp"/><Relationship Id="rId41" Type="http://schemas.openxmlformats.org/officeDocument/2006/relationships/hyperlink" Target="mailto:airquality@awe.gov.au" TargetMode="External"/><Relationship Id="rId54" Type="http://schemas.openxmlformats.org/officeDocument/2006/relationships/hyperlink" Target="https://www.environment.nsw.gov.au/-/media/OEH/Corporate-Site/Documents/Air/air-pollution-economics-health-costs-greater-sydney-metropolitan-region-050623.pdf" TargetMode="External"/><Relationship Id="rId62" Type="http://schemas.openxmlformats.org/officeDocument/2006/relationships/hyperlink" Target="https://www.iarc.who.int/wp-content/uploads/2018/07/pr213_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ec.europa.eu/growth/sectors/automotive/environment-protection/non-road-mobile-machinery_en" TargetMode="External"/><Relationship Id="rId28" Type="http://schemas.openxmlformats.org/officeDocument/2006/relationships/diagramQuickStyle" Target="diagrams/quickStyle1.xml"/><Relationship Id="rId36" Type="http://schemas.openxmlformats.org/officeDocument/2006/relationships/image" Target="media/image13.png"/><Relationship Id="rId49" Type="http://schemas.openxmlformats.org/officeDocument/2006/relationships/hyperlink" Target="https://dieselnet.com/standards/eu/nonroad.php" TargetMode="External"/><Relationship Id="rId57" Type="http://schemas.openxmlformats.org/officeDocument/2006/relationships/hyperlink" Target="https://www.environment.gov.au/system/files/pages/dfe7ed5d-1eaf-4ff2-bfe7-dbb7ebaf21a9/files/nepc-economic-analysis-final-report.pdf" TargetMode="External"/><Relationship Id="rId10" Type="http://schemas.openxmlformats.org/officeDocument/2006/relationships/hyperlink" Target="mailto:copyright@awe.gov.au" TargetMode="External"/><Relationship Id="rId31" Type="http://schemas.openxmlformats.org/officeDocument/2006/relationships/image" Target="media/image9.tmp"/><Relationship Id="rId44" Type="http://schemas.openxmlformats.org/officeDocument/2006/relationships/image" Target="media/image17.png"/><Relationship Id="rId52" Type="http://schemas.openxmlformats.org/officeDocument/2006/relationships/hyperlink" Target="https://wol.iza.org/articles/air-pollution-and-worker-productivity/long" TargetMode="External"/><Relationship Id="rId60" Type="http://schemas.openxmlformats.org/officeDocument/2006/relationships/hyperlink" Target="http://home.iitk.ac.in/~anubha/H6.pdf" TargetMode="External"/><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creativecommons.org/licenses/by/4.0/legalcode" TargetMode="External"/><Relationship Id="rId13" Type="http://schemas.openxmlformats.org/officeDocument/2006/relationships/hyperlink" Target="https://www.awe.gov.au/" TargetMode="External"/><Relationship Id="rId18" Type="http://schemas.openxmlformats.org/officeDocument/2006/relationships/hyperlink" Target="mailto:airquality@awe.gov.au" TargetMode="External"/><Relationship Id="rId39"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9E4108-C84F-4EDA-AFC4-55E0E3171F80}" type="doc">
      <dgm:prSet loTypeId="urn:microsoft.com/office/officeart/2005/8/layout/process1" loCatId="process" qsTypeId="urn:microsoft.com/office/officeart/2005/8/quickstyle/simple1" qsCatId="simple" csTypeId="urn:microsoft.com/office/officeart/2005/8/colors/accent1_2" csCatId="accent1" phldr="1"/>
      <dgm:spPr/>
    </dgm:pt>
    <dgm:pt modelId="{3989DBC1-4B20-4903-BD0B-BF4EE75A6C33}">
      <dgm:prSet phldrT="[Text]" custT="1"/>
      <dgm:spPr/>
      <dgm:t>
        <a:bodyPr/>
        <a:lstStyle/>
        <a:p>
          <a:r>
            <a:rPr lang="en-AU" sz="1600" b="1"/>
            <a:t>2018</a:t>
          </a:r>
        </a:p>
        <a:p>
          <a:r>
            <a:rPr lang="en-AU" sz="1400"/>
            <a:t>Evaluation included in the National Clean Air Agreement Workplan</a:t>
          </a:r>
        </a:p>
      </dgm:t>
    </dgm:pt>
    <dgm:pt modelId="{76AADB04-5B2C-4B23-9893-BA60A96AD5A5}" type="parTrans" cxnId="{62A10557-879E-4618-9948-B9CB2B7E0203}">
      <dgm:prSet/>
      <dgm:spPr/>
      <dgm:t>
        <a:bodyPr/>
        <a:lstStyle/>
        <a:p>
          <a:endParaRPr lang="en-AU"/>
        </a:p>
      </dgm:t>
    </dgm:pt>
    <dgm:pt modelId="{02ADD2D7-2F78-45F5-BDFC-07D876517FFC}" type="sibTrans" cxnId="{62A10557-879E-4618-9948-B9CB2B7E0203}">
      <dgm:prSet/>
      <dgm:spPr/>
      <dgm:t>
        <a:bodyPr/>
        <a:lstStyle/>
        <a:p>
          <a:endParaRPr lang="en-AU"/>
        </a:p>
      </dgm:t>
    </dgm:pt>
    <dgm:pt modelId="{A3228CAB-CCC0-4C13-9E8A-6A8D3E87C861}">
      <dgm:prSet phldrT="[Text]" custT="1"/>
      <dgm:spPr/>
      <dgm:t>
        <a:bodyPr anchor="t" anchorCtr="0"/>
        <a:lstStyle/>
        <a:p>
          <a:r>
            <a:rPr lang="en-AU" sz="1600" b="1"/>
            <a:t>2019-2021</a:t>
          </a:r>
        </a:p>
        <a:p>
          <a:endParaRPr lang="en-AU" sz="1200"/>
        </a:p>
        <a:p>
          <a:r>
            <a:rPr lang="en-AU" sz="1400"/>
            <a:t>Evaluation undertaken</a:t>
          </a:r>
        </a:p>
      </dgm:t>
    </dgm:pt>
    <dgm:pt modelId="{ECDAE5E1-C11C-46DA-B4B5-0D143B9DEC67}" type="parTrans" cxnId="{0E622393-342B-46FE-B54D-26DF129C84DD}">
      <dgm:prSet/>
      <dgm:spPr/>
      <dgm:t>
        <a:bodyPr/>
        <a:lstStyle/>
        <a:p>
          <a:endParaRPr lang="en-AU"/>
        </a:p>
      </dgm:t>
    </dgm:pt>
    <dgm:pt modelId="{F5CC543C-D35E-4A0C-8134-825B41764C05}" type="sibTrans" cxnId="{0E622393-342B-46FE-B54D-26DF129C84DD}">
      <dgm:prSet/>
      <dgm:spPr/>
      <dgm:t>
        <a:bodyPr/>
        <a:lstStyle/>
        <a:p>
          <a:endParaRPr lang="en-AU"/>
        </a:p>
      </dgm:t>
    </dgm:pt>
    <dgm:pt modelId="{942C1D71-67BB-4EEE-99CE-85B3222FE09F}">
      <dgm:prSet phldrT="[Text]" custT="1"/>
      <dgm:spPr/>
      <dgm:t>
        <a:bodyPr anchor="t" anchorCtr="0"/>
        <a:lstStyle/>
        <a:p>
          <a:pPr>
            <a:spcBef>
              <a:spcPct val="0"/>
            </a:spcBef>
          </a:pPr>
          <a:r>
            <a:rPr lang="en-AU" sz="1600" b="1"/>
            <a:t>2022</a:t>
          </a:r>
        </a:p>
        <a:p>
          <a:pPr>
            <a:spcBef>
              <a:spcPts val="0"/>
            </a:spcBef>
          </a:pPr>
          <a:endParaRPr lang="en-AU" sz="400"/>
        </a:p>
        <a:p>
          <a:pPr>
            <a:spcBef>
              <a:spcPts val="1200"/>
            </a:spcBef>
          </a:pPr>
          <a:r>
            <a:rPr lang="en-AU" sz="1400"/>
            <a:t>Evaluation results and policy options considered</a:t>
          </a:r>
        </a:p>
      </dgm:t>
    </dgm:pt>
    <dgm:pt modelId="{129ED5F0-09AA-47D3-AC9C-37EF8D143FE8}" type="parTrans" cxnId="{8B33D0B8-4B86-462D-81BF-A86B7403EAEC}">
      <dgm:prSet/>
      <dgm:spPr/>
      <dgm:t>
        <a:bodyPr/>
        <a:lstStyle/>
        <a:p>
          <a:endParaRPr lang="en-AU"/>
        </a:p>
      </dgm:t>
    </dgm:pt>
    <dgm:pt modelId="{A63ED67C-579C-4D78-BF44-21098BADAA4C}" type="sibTrans" cxnId="{8B33D0B8-4B86-462D-81BF-A86B7403EAEC}">
      <dgm:prSet/>
      <dgm:spPr/>
      <dgm:t>
        <a:bodyPr/>
        <a:lstStyle/>
        <a:p>
          <a:endParaRPr lang="en-AU"/>
        </a:p>
      </dgm:t>
    </dgm:pt>
    <dgm:pt modelId="{91AEC1A5-172B-445E-AD6B-4F27A41E4518}" type="pres">
      <dgm:prSet presAssocID="{F79E4108-C84F-4EDA-AFC4-55E0E3171F80}" presName="Name0" presStyleCnt="0">
        <dgm:presLayoutVars>
          <dgm:dir/>
          <dgm:resizeHandles val="exact"/>
        </dgm:presLayoutVars>
      </dgm:prSet>
      <dgm:spPr/>
    </dgm:pt>
    <dgm:pt modelId="{207CA05C-65D2-49EF-9431-3A1B504569C1}" type="pres">
      <dgm:prSet presAssocID="{3989DBC1-4B20-4903-BD0B-BF4EE75A6C33}" presName="node" presStyleLbl="node1" presStyleIdx="0" presStyleCnt="3">
        <dgm:presLayoutVars>
          <dgm:bulletEnabled val="1"/>
        </dgm:presLayoutVars>
      </dgm:prSet>
      <dgm:spPr/>
    </dgm:pt>
    <dgm:pt modelId="{AD3A05CB-5233-4715-B3E1-FAB51AE19A16}" type="pres">
      <dgm:prSet presAssocID="{02ADD2D7-2F78-45F5-BDFC-07D876517FFC}" presName="sibTrans" presStyleLbl="sibTrans2D1" presStyleIdx="0" presStyleCnt="2"/>
      <dgm:spPr/>
    </dgm:pt>
    <dgm:pt modelId="{E0AF8C66-A91E-4109-AF8B-B5EA3E01C1E2}" type="pres">
      <dgm:prSet presAssocID="{02ADD2D7-2F78-45F5-BDFC-07D876517FFC}" presName="connectorText" presStyleLbl="sibTrans2D1" presStyleIdx="0" presStyleCnt="2"/>
      <dgm:spPr/>
    </dgm:pt>
    <dgm:pt modelId="{F3FD23C6-1F3C-4733-B70F-B2537DCD8E3B}" type="pres">
      <dgm:prSet presAssocID="{A3228CAB-CCC0-4C13-9E8A-6A8D3E87C861}" presName="node" presStyleLbl="node1" presStyleIdx="1" presStyleCnt="3">
        <dgm:presLayoutVars>
          <dgm:bulletEnabled val="1"/>
        </dgm:presLayoutVars>
      </dgm:prSet>
      <dgm:spPr/>
    </dgm:pt>
    <dgm:pt modelId="{B386D8FA-A9AB-46DF-8C81-9A7CB9B8A7B4}" type="pres">
      <dgm:prSet presAssocID="{F5CC543C-D35E-4A0C-8134-825B41764C05}" presName="sibTrans" presStyleLbl="sibTrans2D1" presStyleIdx="1" presStyleCnt="2"/>
      <dgm:spPr/>
    </dgm:pt>
    <dgm:pt modelId="{176BDC64-5ABF-4250-B610-E01186A31308}" type="pres">
      <dgm:prSet presAssocID="{F5CC543C-D35E-4A0C-8134-825B41764C05}" presName="connectorText" presStyleLbl="sibTrans2D1" presStyleIdx="1" presStyleCnt="2"/>
      <dgm:spPr/>
    </dgm:pt>
    <dgm:pt modelId="{2F1B868B-F1CB-458C-85AA-5F9C1FB90AD7}" type="pres">
      <dgm:prSet presAssocID="{942C1D71-67BB-4EEE-99CE-85B3222FE09F}" presName="node" presStyleLbl="node1" presStyleIdx="2" presStyleCnt="3">
        <dgm:presLayoutVars>
          <dgm:bulletEnabled val="1"/>
        </dgm:presLayoutVars>
      </dgm:prSet>
      <dgm:spPr/>
    </dgm:pt>
  </dgm:ptLst>
  <dgm:cxnLst>
    <dgm:cxn modelId="{15B6091D-4F36-4400-AE2F-304C3EA57304}" type="presOf" srcId="{942C1D71-67BB-4EEE-99CE-85B3222FE09F}" destId="{2F1B868B-F1CB-458C-85AA-5F9C1FB90AD7}" srcOrd="0" destOrd="0" presId="urn:microsoft.com/office/officeart/2005/8/layout/process1"/>
    <dgm:cxn modelId="{01E73124-12E3-4D7D-8223-C97013FC5DC2}" type="presOf" srcId="{F5CC543C-D35E-4A0C-8134-825B41764C05}" destId="{176BDC64-5ABF-4250-B610-E01186A31308}" srcOrd="1" destOrd="0" presId="urn:microsoft.com/office/officeart/2005/8/layout/process1"/>
    <dgm:cxn modelId="{0CDA0A32-C57C-45C7-9EC6-DD3C8311575D}" type="presOf" srcId="{02ADD2D7-2F78-45F5-BDFC-07D876517FFC}" destId="{AD3A05CB-5233-4715-B3E1-FAB51AE19A16}" srcOrd="0" destOrd="0" presId="urn:microsoft.com/office/officeart/2005/8/layout/process1"/>
    <dgm:cxn modelId="{6399D034-ED7E-4BA2-81C9-45A7F6D0832D}" type="presOf" srcId="{3989DBC1-4B20-4903-BD0B-BF4EE75A6C33}" destId="{207CA05C-65D2-49EF-9431-3A1B504569C1}" srcOrd="0" destOrd="0" presId="urn:microsoft.com/office/officeart/2005/8/layout/process1"/>
    <dgm:cxn modelId="{62A10557-879E-4618-9948-B9CB2B7E0203}" srcId="{F79E4108-C84F-4EDA-AFC4-55E0E3171F80}" destId="{3989DBC1-4B20-4903-BD0B-BF4EE75A6C33}" srcOrd="0" destOrd="0" parTransId="{76AADB04-5B2C-4B23-9893-BA60A96AD5A5}" sibTransId="{02ADD2D7-2F78-45F5-BDFC-07D876517FFC}"/>
    <dgm:cxn modelId="{0E622393-342B-46FE-B54D-26DF129C84DD}" srcId="{F79E4108-C84F-4EDA-AFC4-55E0E3171F80}" destId="{A3228CAB-CCC0-4C13-9E8A-6A8D3E87C861}" srcOrd="1" destOrd="0" parTransId="{ECDAE5E1-C11C-46DA-B4B5-0D143B9DEC67}" sibTransId="{F5CC543C-D35E-4A0C-8134-825B41764C05}"/>
    <dgm:cxn modelId="{AFBE779C-1E81-4B8B-9C91-D83EF642AFD5}" type="presOf" srcId="{F79E4108-C84F-4EDA-AFC4-55E0E3171F80}" destId="{91AEC1A5-172B-445E-AD6B-4F27A41E4518}" srcOrd="0" destOrd="0" presId="urn:microsoft.com/office/officeart/2005/8/layout/process1"/>
    <dgm:cxn modelId="{E01C58B1-77F2-41A5-AA1D-393D572F27B9}" type="presOf" srcId="{F5CC543C-D35E-4A0C-8134-825B41764C05}" destId="{B386D8FA-A9AB-46DF-8C81-9A7CB9B8A7B4}" srcOrd="0" destOrd="0" presId="urn:microsoft.com/office/officeart/2005/8/layout/process1"/>
    <dgm:cxn modelId="{155FB8B8-0537-47CB-86C2-D96EED6989F4}" type="presOf" srcId="{A3228CAB-CCC0-4C13-9E8A-6A8D3E87C861}" destId="{F3FD23C6-1F3C-4733-B70F-B2537DCD8E3B}" srcOrd="0" destOrd="0" presId="urn:microsoft.com/office/officeart/2005/8/layout/process1"/>
    <dgm:cxn modelId="{8B33D0B8-4B86-462D-81BF-A86B7403EAEC}" srcId="{F79E4108-C84F-4EDA-AFC4-55E0E3171F80}" destId="{942C1D71-67BB-4EEE-99CE-85B3222FE09F}" srcOrd="2" destOrd="0" parTransId="{129ED5F0-09AA-47D3-AC9C-37EF8D143FE8}" sibTransId="{A63ED67C-579C-4D78-BF44-21098BADAA4C}"/>
    <dgm:cxn modelId="{63DE91C8-BE38-4103-A766-3BD63220F12E}" type="presOf" srcId="{02ADD2D7-2F78-45F5-BDFC-07D876517FFC}" destId="{E0AF8C66-A91E-4109-AF8B-B5EA3E01C1E2}" srcOrd="1" destOrd="0" presId="urn:microsoft.com/office/officeart/2005/8/layout/process1"/>
    <dgm:cxn modelId="{E7A0B1FB-A4A9-42F8-A0B7-06C417575F5C}" type="presParOf" srcId="{91AEC1A5-172B-445E-AD6B-4F27A41E4518}" destId="{207CA05C-65D2-49EF-9431-3A1B504569C1}" srcOrd="0" destOrd="0" presId="urn:microsoft.com/office/officeart/2005/8/layout/process1"/>
    <dgm:cxn modelId="{003193F0-3C21-4496-B7D6-DFDE204557F3}" type="presParOf" srcId="{91AEC1A5-172B-445E-AD6B-4F27A41E4518}" destId="{AD3A05CB-5233-4715-B3E1-FAB51AE19A16}" srcOrd="1" destOrd="0" presId="urn:microsoft.com/office/officeart/2005/8/layout/process1"/>
    <dgm:cxn modelId="{948CF7F7-DD2B-4770-96AD-3D78752A44BD}" type="presParOf" srcId="{AD3A05CB-5233-4715-B3E1-FAB51AE19A16}" destId="{E0AF8C66-A91E-4109-AF8B-B5EA3E01C1E2}" srcOrd="0" destOrd="0" presId="urn:microsoft.com/office/officeart/2005/8/layout/process1"/>
    <dgm:cxn modelId="{8334FAEB-964B-45BA-83FB-2772AE57D160}" type="presParOf" srcId="{91AEC1A5-172B-445E-AD6B-4F27A41E4518}" destId="{F3FD23C6-1F3C-4733-B70F-B2537DCD8E3B}" srcOrd="2" destOrd="0" presId="urn:microsoft.com/office/officeart/2005/8/layout/process1"/>
    <dgm:cxn modelId="{81F031FD-3B7A-4ED7-A5F3-EAC395672324}" type="presParOf" srcId="{91AEC1A5-172B-445E-AD6B-4F27A41E4518}" destId="{B386D8FA-A9AB-46DF-8C81-9A7CB9B8A7B4}" srcOrd="3" destOrd="0" presId="urn:microsoft.com/office/officeart/2005/8/layout/process1"/>
    <dgm:cxn modelId="{FF9A2888-6E9E-4F2D-88C5-F2ECD5942F58}" type="presParOf" srcId="{B386D8FA-A9AB-46DF-8C81-9A7CB9B8A7B4}" destId="{176BDC64-5ABF-4250-B610-E01186A31308}" srcOrd="0" destOrd="0" presId="urn:microsoft.com/office/officeart/2005/8/layout/process1"/>
    <dgm:cxn modelId="{4F29ED3A-4AEF-43FD-8755-C6C17D096236}" type="presParOf" srcId="{91AEC1A5-172B-445E-AD6B-4F27A41E4518}" destId="{2F1B868B-F1CB-458C-85AA-5F9C1FB90AD7}" srcOrd="4" destOrd="0" presId="urn:microsoft.com/office/officeart/2005/8/layout/process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7CA05C-65D2-49EF-9431-3A1B504569C1}">
      <dsp:nvSpPr>
        <dsp:cNvPr id="0" name=""/>
        <dsp:cNvSpPr/>
      </dsp:nvSpPr>
      <dsp:spPr>
        <a:xfrm>
          <a:off x="4922" y="76944"/>
          <a:ext cx="1471277" cy="15034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AU" sz="1600" b="1" kern="1200"/>
            <a:t>2018</a:t>
          </a:r>
        </a:p>
        <a:p>
          <a:pPr marL="0" lvl="0" indent="0" algn="ctr" defTabSz="711200">
            <a:lnSpc>
              <a:spcPct val="90000"/>
            </a:lnSpc>
            <a:spcBef>
              <a:spcPct val="0"/>
            </a:spcBef>
            <a:spcAft>
              <a:spcPct val="35000"/>
            </a:spcAft>
            <a:buNone/>
          </a:pPr>
          <a:r>
            <a:rPr lang="en-AU" sz="1400" kern="1200"/>
            <a:t>Evaluation included in the National Clean Air Agreement Workplan</a:t>
          </a:r>
        </a:p>
      </dsp:txBody>
      <dsp:txXfrm>
        <a:off x="48014" y="120036"/>
        <a:ext cx="1385093" cy="1417277"/>
      </dsp:txXfrm>
    </dsp:sp>
    <dsp:sp modelId="{AD3A05CB-5233-4715-B3E1-FAB51AE19A16}">
      <dsp:nvSpPr>
        <dsp:cNvPr id="0" name=""/>
        <dsp:cNvSpPr/>
      </dsp:nvSpPr>
      <dsp:spPr>
        <a:xfrm>
          <a:off x="1623327" y="646236"/>
          <a:ext cx="311910" cy="3648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AU" sz="1500" kern="1200"/>
        </a:p>
      </dsp:txBody>
      <dsp:txXfrm>
        <a:off x="1623327" y="719211"/>
        <a:ext cx="218337" cy="218926"/>
      </dsp:txXfrm>
    </dsp:sp>
    <dsp:sp modelId="{F3FD23C6-1F3C-4733-B70F-B2537DCD8E3B}">
      <dsp:nvSpPr>
        <dsp:cNvPr id="0" name=""/>
        <dsp:cNvSpPr/>
      </dsp:nvSpPr>
      <dsp:spPr>
        <a:xfrm>
          <a:off x="2064711" y="76944"/>
          <a:ext cx="1471277" cy="15034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marL="0" lvl="0" indent="0" algn="ctr" defTabSz="711200">
            <a:lnSpc>
              <a:spcPct val="90000"/>
            </a:lnSpc>
            <a:spcBef>
              <a:spcPct val="0"/>
            </a:spcBef>
            <a:spcAft>
              <a:spcPct val="35000"/>
            </a:spcAft>
            <a:buNone/>
          </a:pPr>
          <a:r>
            <a:rPr lang="en-AU" sz="1600" b="1" kern="1200"/>
            <a:t>2019-2021</a:t>
          </a:r>
        </a:p>
        <a:p>
          <a:pPr marL="0" lvl="0" indent="0" algn="ctr" defTabSz="711200">
            <a:lnSpc>
              <a:spcPct val="90000"/>
            </a:lnSpc>
            <a:spcBef>
              <a:spcPct val="0"/>
            </a:spcBef>
            <a:spcAft>
              <a:spcPct val="35000"/>
            </a:spcAft>
            <a:buNone/>
          </a:pPr>
          <a:endParaRPr lang="en-AU" sz="1200" kern="1200"/>
        </a:p>
        <a:p>
          <a:pPr marL="0" lvl="0" indent="0" algn="ctr" defTabSz="711200">
            <a:lnSpc>
              <a:spcPct val="90000"/>
            </a:lnSpc>
            <a:spcBef>
              <a:spcPct val="0"/>
            </a:spcBef>
            <a:spcAft>
              <a:spcPct val="35000"/>
            </a:spcAft>
            <a:buNone/>
          </a:pPr>
          <a:r>
            <a:rPr lang="en-AU" sz="1400" kern="1200"/>
            <a:t>Evaluation undertaken</a:t>
          </a:r>
        </a:p>
      </dsp:txBody>
      <dsp:txXfrm>
        <a:off x="2107803" y="120036"/>
        <a:ext cx="1385093" cy="1417277"/>
      </dsp:txXfrm>
    </dsp:sp>
    <dsp:sp modelId="{B386D8FA-A9AB-46DF-8C81-9A7CB9B8A7B4}">
      <dsp:nvSpPr>
        <dsp:cNvPr id="0" name=""/>
        <dsp:cNvSpPr/>
      </dsp:nvSpPr>
      <dsp:spPr>
        <a:xfrm>
          <a:off x="3683116" y="646236"/>
          <a:ext cx="311910" cy="3648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AU" sz="1500" kern="1200"/>
        </a:p>
      </dsp:txBody>
      <dsp:txXfrm>
        <a:off x="3683116" y="719211"/>
        <a:ext cx="218337" cy="218926"/>
      </dsp:txXfrm>
    </dsp:sp>
    <dsp:sp modelId="{2F1B868B-F1CB-458C-85AA-5F9C1FB90AD7}">
      <dsp:nvSpPr>
        <dsp:cNvPr id="0" name=""/>
        <dsp:cNvSpPr/>
      </dsp:nvSpPr>
      <dsp:spPr>
        <a:xfrm>
          <a:off x="4124499" y="76944"/>
          <a:ext cx="1471277" cy="15034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marL="0" lvl="0" indent="0" algn="ctr" defTabSz="711200">
            <a:lnSpc>
              <a:spcPct val="90000"/>
            </a:lnSpc>
            <a:spcBef>
              <a:spcPct val="0"/>
            </a:spcBef>
            <a:spcAft>
              <a:spcPct val="35000"/>
            </a:spcAft>
            <a:buNone/>
          </a:pPr>
          <a:r>
            <a:rPr lang="en-AU" sz="1600" b="1" kern="1200"/>
            <a:t>2022</a:t>
          </a:r>
        </a:p>
        <a:p>
          <a:pPr marL="0" lvl="0" indent="0" algn="ctr" defTabSz="711200">
            <a:lnSpc>
              <a:spcPct val="90000"/>
            </a:lnSpc>
            <a:spcBef>
              <a:spcPct val="0"/>
            </a:spcBef>
            <a:spcAft>
              <a:spcPct val="35000"/>
            </a:spcAft>
            <a:buNone/>
          </a:pPr>
          <a:endParaRPr lang="en-AU" sz="400" kern="1200"/>
        </a:p>
        <a:p>
          <a:pPr marL="0" lvl="0" indent="0" algn="ctr" defTabSz="711200">
            <a:lnSpc>
              <a:spcPct val="90000"/>
            </a:lnSpc>
            <a:spcBef>
              <a:spcPct val="0"/>
            </a:spcBef>
            <a:spcAft>
              <a:spcPct val="35000"/>
            </a:spcAft>
            <a:buNone/>
          </a:pPr>
          <a:r>
            <a:rPr lang="en-AU" sz="1400" kern="1200"/>
            <a:t>Evaluation results and policy options considered</a:t>
          </a:r>
        </a:p>
      </dsp:txBody>
      <dsp:txXfrm>
        <a:off x="4167591" y="120036"/>
        <a:ext cx="1385093" cy="141727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C1CD8DB0-AD76-46D0-A0C5-C3475A03D2AB}">
  <ds:schemaRefs>
    <ds:schemaRef ds:uri="http://schemas.openxmlformats.org/officeDocument/2006/bibliography"/>
  </ds:schemaRefs>
</ds:datastoreItem>
</file>

<file path=customXml/itemProps2.xml><?xml version="1.0" encoding="utf-8"?>
<ds:datastoreItem xmlns:ds="http://schemas.openxmlformats.org/officeDocument/2006/customXml" ds:itemID="{6A6A10A7-0E9A-4C8F-A68A-26A312652BA7}"/>
</file>

<file path=customXml/itemProps3.xml><?xml version="1.0" encoding="utf-8"?>
<ds:datastoreItem xmlns:ds="http://schemas.openxmlformats.org/officeDocument/2006/customXml" ds:itemID="{7FDA6BA1-E8A3-4CB4-9435-730B6751620F}"/>
</file>

<file path=customXml/itemProps4.xml><?xml version="1.0" encoding="utf-8"?>
<ds:datastoreItem xmlns:ds="http://schemas.openxmlformats.org/officeDocument/2006/customXml" ds:itemID="{91E2AC3B-3E21-45A4-B4CD-93CC09B6E056}"/>
</file>

<file path=docProps/app.xml><?xml version="1.0" encoding="utf-8"?>
<Properties xmlns="http://schemas.openxmlformats.org/officeDocument/2006/extended-properties" xmlns:vt="http://schemas.openxmlformats.org/officeDocument/2006/docPropsVTypes">
  <Template>Normal.dotm</Template>
  <TotalTime>0</TotalTime>
  <Pages>49</Pages>
  <Words>13282</Words>
  <Characters>75708</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Non-road diesel engines – evaluating a national approach to managing emissions Discussion Paper</vt:lpstr>
    </vt:vector>
  </TitlesOfParts>
  <Company/>
  <LinksUpToDate>false</LinksUpToDate>
  <CharactersWithSpaces>88813</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Non-road diesel engines – evaluating a national approach to managing emissions Discussion Paper</dc:title>
  <dc:subject/>
  <dc:creator>Department of Agriculture, Water and the Environment</dc:creator>
  <cp:keywords/>
  <cp:revision>2</cp:revision>
  <dcterms:created xsi:type="dcterms:W3CDTF">2021-03-19T02:47:00Z</dcterms:created>
  <dcterms:modified xsi:type="dcterms:W3CDTF">2021-03-19T02:47:00Z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