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EE497" w14:textId="25B44B21" w:rsidR="00736319" w:rsidRPr="00F22050" w:rsidRDefault="0038049E" w:rsidP="00F22050">
      <w:pPr>
        <w:pStyle w:val="Heading1"/>
      </w:pPr>
      <w:r>
        <w:t>Final</w:t>
      </w:r>
      <w:r w:rsidR="00D0393D" w:rsidRPr="006A6249">
        <w:t xml:space="preserve"> </w:t>
      </w:r>
      <w:r w:rsidR="00D0393D" w:rsidRPr="00F22050">
        <w:t xml:space="preserve">risk analysis report </w:t>
      </w:r>
      <w:r w:rsidR="00964C19" w:rsidRPr="00F22050">
        <w:t xml:space="preserve">for the release of </w:t>
      </w:r>
      <w:proofErr w:type="spellStart"/>
      <w:r w:rsidR="006A6249" w:rsidRPr="00C202A0">
        <w:rPr>
          <w:i/>
          <w:iCs/>
        </w:rPr>
        <w:t>Neoramulariopsis</w:t>
      </w:r>
      <w:proofErr w:type="spellEnd"/>
      <w:r w:rsidR="006A6249" w:rsidRPr="006A6249">
        <w:rPr>
          <w:i/>
          <w:iCs/>
        </w:rPr>
        <w:t xml:space="preserve"> unguis-cati</w:t>
      </w:r>
      <w:r w:rsidR="00964C19" w:rsidRPr="00F22050">
        <w:t xml:space="preserve"> for the biological control of </w:t>
      </w:r>
      <w:proofErr w:type="spellStart"/>
      <w:r w:rsidR="006A6249" w:rsidRPr="006A6249">
        <w:rPr>
          <w:i/>
          <w:iCs/>
        </w:rPr>
        <w:t>Dolichandra</w:t>
      </w:r>
      <w:proofErr w:type="spellEnd"/>
      <w:r w:rsidR="006A6249" w:rsidRPr="006A6249">
        <w:rPr>
          <w:i/>
          <w:iCs/>
        </w:rPr>
        <w:t xml:space="preserve"> unguis-cati</w:t>
      </w:r>
    </w:p>
    <w:p w14:paraId="07A46C25" w14:textId="51AE0711" w:rsidR="00736319" w:rsidRPr="00944D3B" w:rsidRDefault="597D1616" w:rsidP="49A04DE2">
      <w:pPr>
        <w:jc w:val="right"/>
        <w:rPr>
          <w:rFonts w:asciiTheme="minorHAnsi" w:hAnsiTheme="minorHAnsi"/>
        </w:rPr>
      </w:pPr>
      <w:r w:rsidRPr="49A04DE2">
        <w:rPr>
          <w:rFonts w:asciiTheme="minorHAnsi" w:hAnsiTheme="minorHAnsi"/>
        </w:rPr>
        <w:t xml:space="preserve">November </w:t>
      </w:r>
      <w:r w:rsidR="006A6249" w:rsidRPr="49A04DE2">
        <w:rPr>
          <w:rFonts w:asciiTheme="minorHAnsi" w:hAnsiTheme="minorHAnsi"/>
        </w:rPr>
        <w:t>202</w:t>
      </w:r>
      <w:r w:rsidR="003046B4" w:rsidRPr="49A04DE2">
        <w:rPr>
          <w:rFonts w:asciiTheme="minorHAnsi" w:hAnsiTheme="minorHAnsi"/>
        </w:rPr>
        <w:t>5</w:t>
      </w:r>
    </w:p>
    <w:p w14:paraId="49D58183" w14:textId="51AD4414" w:rsidR="00736319" w:rsidRDefault="00A37233">
      <w:pPr>
        <w:pStyle w:val="Picture"/>
      </w:pPr>
      <w:r>
        <w:drawing>
          <wp:inline distT="0" distB="0" distL="0" distR="0" wp14:anchorId="6D465CC7" wp14:editId="045A6506">
            <wp:extent cx="5231130" cy="3912283"/>
            <wp:effectExtent l="0" t="0" r="762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31130" cy="3912283"/>
                    </a:xfrm>
                    <a:prstGeom prst="rect">
                      <a:avLst/>
                    </a:prstGeom>
                    <a:noFill/>
                  </pic:spPr>
                </pic:pic>
              </a:graphicData>
            </a:graphic>
          </wp:inline>
        </w:drawing>
      </w:r>
    </w:p>
    <w:p w14:paraId="1ED64FAA" w14:textId="77777777" w:rsidR="00736319" w:rsidRDefault="00736319">
      <w:pPr>
        <w:pStyle w:val="Picture"/>
      </w:pPr>
    </w:p>
    <w:p w14:paraId="1EBAF4C4" w14:textId="77777777" w:rsidR="00736319" w:rsidRDefault="00736319">
      <w:pPr>
        <w:pStyle w:val="Picture"/>
        <w:sectPr w:rsidR="00736319">
          <w:headerReference w:type="even" r:id="rId12"/>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567" w:footer="283" w:gutter="0"/>
          <w:cols w:space="708"/>
          <w:docGrid w:linePitch="360"/>
        </w:sectPr>
      </w:pPr>
    </w:p>
    <w:p w14:paraId="054CCC0A" w14:textId="2B210E7F" w:rsidR="0039271F" w:rsidRPr="00BE51FC" w:rsidRDefault="0039271F" w:rsidP="0039271F">
      <w:pPr>
        <w:pStyle w:val="Picture"/>
        <w:rPr>
          <w:rFonts w:asciiTheme="minorHAnsi" w:hAnsiTheme="minorHAnsi" w:cstheme="minorHAnsi"/>
          <w:noProof w:val="0"/>
          <w:sz w:val="18"/>
          <w:lang w:eastAsia="en-US"/>
        </w:rPr>
      </w:pPr>
      <w:r w:rsidRPr="00BE51FC">
        <w:rPr>
          <w:rFonts w:asciiTheme="minorHAnsi" w:hAnsiTheme="minorHAnsi" w:cstheme="minorHAnsi"/>
          <w:noProof w:val="0"/>
          <w:sz w:val="18"/>
          <w:lang w:eastAsia="en-US"/>
        </w:rPr>
        <w:lastRenderedPageBreak/>
        <w:t xml:space="preserve">© Commonwealth </w:t>
      </w:r>
      <w:r w:rsidR="00A52A70" w:rsidRPr="00BE51FC">
        <w:rPr>
          <w:rFonts w:asciiTheme="minorHAnsi" w:hAnsiTheme="minorHAnsi" w:cstheme="minorHAnsi"/>
          <w:noProof w:val="0"/>
          <w:sz w:val="18"/>
          <w:lang w:eastAsia="en-US"/>
        </w:rPr>
        <w:t>of Australia 202</w:t>
      </w:r>
      <w:r w:rsidR="00F01FB9" w:rsidRPr="00BE51FC">
        <w:rPr>
          <w:rFonts w:asciiTheme="minorHAnsi" w:hAnsiTheme="minorHAnsi" w:cstheme="minorHAnsi"/>
          <w:noProof w:val="0"/>
          <w:sz w:val="18"/>
          <w:lang w:eastAsia="en-US"/>
        </w:rPr>
        <w:t>5</w:t>
      </w:r>
    </w:p>
    <w:p w14:paraId="0BCF319A" w14:textId="77777777" w:rsidR="00292F88" w:rsidRDefault="00292F88" w:rsidP="00292F88">
      <w:pPr>
        <w:pStyle w:val="TableText"/>
        <w:rPr>
          <w:rFonts w:ascii="Calibri" w:hAnsi="Calibri"/>
          <w:b/>
        </w:rPr>
      </w:pPr>
      <w:r>
        <w:rPr>
          <w:rFonts w:ascii="Calibri" w:hAnsi="Calibri"/>
          <w:b/>
        </w:rPr>
        <w:t>Ownership of intellectual property rights</w:t>
      </w:r>
    </w:p>
    <w:p w14:paraId="26AE9ED7" w14:textId="77777777" w:rsidR="00292F88" w:rsidRPr="00BE51FC" w:rsidRDefault="00292F88" w:rsidP="00292F88">
      <w:pPr>
        <w:pStyle w:val="TableText"/>
        <w:spacing w:after="240"/>
        <w:rPr>
          <w:rFonts w:asciiTheme="minorHAnsi" w:hAnsiTheme="minorHAnsi" w:cstheme="minorHAnsi"/>
        </w:rPr>
      </w:pPr>
      <w:r w:rsidRPr="00BE51FC">
        <w:rPr>
          <w:rFonts w:asciiTheme="minorHAnsi" w:hAnsiTheme="minorHAnsi" w:cstheme="minorHAnsi"/>
        </w:rPr>
        <w:t>Unless otherwise noted, copyright (and any other intellectual property rights, if any) in this publication is owned by the Commonwealth of Australia (referred to as the Commonwealth).</w:t>
      </w:r>
    </w:p>
    <w:p w14:paraId="141052EF" w14:textId="77777777" w:rsidR="00292F88" w:rsidRDefault="00292F88" w:rsidP="00292F88">
      <w:pPr>
        <w:pStyle w:val="TableText"/>
        <w:rPr>
          <w:rFonts w:ascii="Calibri" w:hAnsi="Calibri"/>
          <w:b/>
        </w:rPr>
      </w:pPr>
      <w:r>
        <w:rPr>
          <w:rFonts w:ascii="Calibri" w:hAnsi="Calibri"/>
          <w:b/>
        </w:rPr>
        <w:t>Creative Commons licence</w:t>
      </w:r>
    </w:p>
    <w:p w14:paraId="514A5079" w14:textId="77777777" w:rsidR="00292F88" w:rsidRPr="00BE51FC" w:rsidRDefault="00292F88" w:rsidP="00292F88">
      <w:pPr>
        <w:pStyle w:val="TableText"/>
        <w:spacing w:after="240"/>
        <w:rPr>
          <w:rFonts w:asciiTheme="minorHAnsi" w:hAnsiTheme="minorHAnsi" w:cstheme="minorHAnsi"/>
        </w:rPr>
      </w:pPr>
      <w:r w:rsidRPr="00BE51FC">
        <w:rPr>
          <w:rFonts w:asciiTheme="minorHAnsi" w:hAnsiTheme="minorHAnsi" w:cstheme="minorHAnsi"/>
        </w:rPr>
        <w:t xml:space="preserve">All material in this publication is licensed under a </w:t>
      </w:r>
      <w:hyperlink r:id="rId18" w:history="1">
        <w:r w:rsidRPr="00BE51FC">
          <w:rPr>
            <w:rStyle w:val="Hyperlink"/>
            <w:rFonts w:asciiTheme="minorHAnsi" w:hAnsiTheme="minorHAnsi" w:cstheme="minorHAnsi"/>
          </w:rPr>
          <w:t>Creative Commons Attribution 4.0 International Licence</w:t>
        </w:r>
      </w:hyperlink>
      <w:r w:rsidRPr="00BE51FC">
        <w:rPr>
          <w:rFonts w:asciiTheme="minorHAnsi" w:hAnsiTheme="minorHAnsi" w:cstheme="minorHAnsi"/>
        </w:rPr>
        <w:t>, except content supplied by third parties, logos and the Commonwealth Coat of Arms.</w:t>
      </w:r>
    </w:p>
    <w:p w14:paraId="7EE900FB" w14:textId="77777777" w:rsidR="00292F88" w:rsidRDefault="00292F88" w:rsidP="00292F88">
      <w:pPr>
        <w:pStyle w:val="TableText"/>
        <w:spacing w:after="240"/>
      </w:pPr>
      <w:r w:rsidRPr="00A25AE3">
        <w:rPr>
          <w:noProof/>
          <w:lang w:eastAsia="en-AU"/>
        </w:rPr>
        <w:drawing>
          <wp:inline distT="0" distB="0" distL="0" distR="0" wp14:anchorId="479329B9" wp14:editId="73B4726C">
            <wp:extent cx="723265" cy="254635"/>
            <wp:effectExtent l="0" t="0" r="635"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265" cy="254635"/>
                    </a:xfrm>
                    <a:prstGeom prst="rect">
                      <a:avLst/>
                    </a:prstGeom>
                    <a:noFill/>
                    <a:ln>
                      <a:noFill/>
                    </a:ln>
                  </pic:spPr>
                </pic:pic>
              </a:graphicData>
            </a:graphic>
          </wp:inline>
        </w:drawing>
      </w:r>
    </w:p>
    <w:p w14:paraId="4BD79C56" w14:textId="77777777" w:rsidR="00292F88" w:rsidRDefault="00292F88" w:rsidP="00292F88">
      <w:pPr>
        <w:pStyle w:val="TableText"/>
        <w:rPr>
          <w:rFonts w:ascii="Calibri" w:hAnsi="Calibri"/>
          <w:b/>
        </w:rPr>
      </w:pPr>
      <w:r>
        <w:rPr>
          <w:rFonts w:ascii="Calibri" w:hAnsi="Calibri"/>
          <w:b/>
        </w:rPr>
        <w:t>Cataloguing data</w:t>
      </w:r>
    </w:p>
    <w:p w14:paraId="29957286" w14:textId="4BDAD047" w:rsidR="00292F88" w:rsidRPr="00BE51FC" w:rsidRDefault="00292F88" w:rsidP="00292F88">
      <w:pPr>
        <w:pStyle w:val="TableText"/>
        <w:rPr>
          <w:rFonts w:asciiTheme="minorHAnsi" w:hAnsiTheme="minorHAnsi" w:cstheme="minorHAnsi"/>
        </w:rPr>
      </w:pPr>
      <w:r w:rsidRPr="00BE51FC">
        <w:rPr>
          <w:rFonts w:asciiTheme="minorHAnsi" w:hAnsiTheme="minorHAnsi" w:cstheme="minorHAnsi"/>
        </w:rPr>
        <w:t>This publication (and any material sourced from it) should be attributed as: DA</w:t>
      </w:r>
      <w:r w:rsidR="00E37340" w:rsidRPr="00BE51FC">
        <w:rPr>
          <w:rFonts w:asciiTheme="minorHAnsi" w:hAnsiTheme="minorHAnsi" w:cstheme="minorHAnsi"/>
        </w:rPr>
        <w:t>FF</w:t>
      </w:r>
      <w:r w:rsidRPr="00BE51FC">
        <w:rPr>
          <w:rFonts w:asciiTheme="minorHAnsi" w:hAnsiTheme="minorHAnsi" w:cstheme="minorHAnsi"/>
        </w:rPr>
        <w:t xml:space="preserve"> 202</w:t>
      </w:r>
      <w:r w:rsidR="00F01FB9" w:rsidRPr="00BE51FC">
        <w:rPr>
          <w:rFonts w:asciiTheme="minorHAnsi" w:hAnsiTheme="minorHAnsi" w:cstheme="minorHAnsi"/>
        </w:rPr>
        <w:t>5</w:t>
      </w:r>
      <w:r w:rsidRPr="00BE51FC">
        <w:rPr>
          <w:rFonts w:asciiTheme="minorHAnsi" w:hAnsiTheme="minorHAnsi" w:cstheme="minorHAnsi"/>
        </w:rPr>
        <w:t xml:space="preserve">, </w:t>
      </w:r>
      <w:r w:rsidR="00A61FE8">
        <w:rPr>
          <w:rFonts w:asciiTheme="minorHAnsi" w:hAnsiTheme="minorHAnsi" w:cstheme="minorHAnsi"/>
          <w:i/>
          <w:iCs/>
        </w:rPr>
        <w:t>Final</w:t>
      </w:r>
      <w:r w:rsidRPr="00BE51FC">
        <w:rPr>
          <w:rFonts w:asciiTheme="minorHAnsi" w:hAnsiTheme="minorHAnsi" w:cstheme="minorHAnsi"/>
          <w:i/>
        </w:rPr>
        <w:t xml:space="preserve"> risk analysis report for the release of </w:t>
      </w:r>
      <w:proofErr w:type="spellStart"/>
      <w:r w:rsidR="00F66260" w:rsidRPr="00BE51FC">
        <w:rPr>
          <w:rFonts w:asciiTheme="minorHAnsi" w:hAnsiTheme="minorHAnsi" w:cstheme="minorHAnsi"/>
        </w:rPr>
        <w:t>Neoramulariopsis</w:t>
      </w:r>
      <w:proofErr w:type="spellEnd"/>
      <w:r w:rsidR="00F66260" w:rsidRPr="00BE51FC">
        <w:rPr>
          <w:rFonts w:asciiTheme="minorHAnsi" w:hAnsiTheme="minorHAnsi" w:cstheme="minorHAnsi"/>
        </w:rPr>
        <w:t xml:space="preserve"> unguis-cati</w:t>
      </w:r>
      <w:r w:rsidRPr="00BE51FC">
        <w:rPr>
          <w:rFonts w:asciiTheme="minorHAnsi" w:hAnsiTheme="minorHAnsi" w:cstheme="minorHAnsi"/>
          <w:i/>
        </w:rPr>
        <w:t xml:space="preserve"> for the biological control of </w:t>
      </w:r>
      <w:proofErr w:type="spellStart"/>
      <w:r w:rsidR="00F66260" w:rsidRPr="00BE51FC">
        <w:rPr>
          <w:rFonts w:asciiTheme="minorHAnsi" w:hAnsiTheme="minorHAnsi" w:cstheme="minorHAnsi"/>
        </w:rPr>
        <w:t>Dolichandra</w:t>
      </w:r>
      <w:proofErr w:type="spellEnd"/>
      <w:r w:rsidR="00F66260" w:rsidRPr="00BE51FC">
        <w:rPr>
          <w:rFonts w:asciiTheme="minorHAnsi" w:hAnsiTheme="minorHAnsi" w:cstheme="minorHAnsi"/>
        </w:rPr>
        <w:t xml:space="preserve"> unguis-cati</w:t>
      </w:r>
      <w:r w:rsidRPr="00BE51FC">
        <w:rPr>
          <w:rFonts w:asciiTheme="minorHAnsi" w:hAnsiTheme="minorHAnsi" w:cstheme="minorHAnsi"/>
        </w:rPr>
        <w:t xml:space="preserve">, Department of Agriculture, </w:t>
      </w:r>
      <w:r w:rsidR="00E37340" w:rsidRPr="00BE51FC">
        <w:rPr>
          <w:rFonts w:asciiTheme="minorHAnsi" w:hAnsiTheme="minorHAnsi" w:cstheme="minorHAnsi"/>
        </w:rPr>
        <w:t>Fisheries</w:t>
      </w:r>
      <w:r w:rsidRPr="00BE51FC">
        <w:rPr>
          <w:rFonts w:asciiTheme="minorHAnsi" w:hAnsiTheme="minorHAnsi" w:cstheme="minorHAnsi"/>
        </w:rPr>
        <w:t xml:space="preserve"> and </w:t>
      </w:r>
      <w:r w:rsidR="00E37340" w:rsidRPr="00BE51FC">
        <w:rPr>
          <w:rFonts w:asciiTheme="minorHAnsi" w:hAnsiTheme="minorHAnsi" w:cstheme="minorHAnsi"/>
        </w:rPr>
        <w:t>Forestry</w:t>
      </w:r>
      <w:r w:rsidRPr="00BE51FC">
        <w:rPr>
          <w:rFonts w:asciiTheme="minorHAnsi" w:hAnsiTheme="minorHAnsi" w:cstheme="minorHAnsi"/>
        </w:rPr>
        <w:t>, Canberra. CC BY 4.0.</w:t>
      </w:r>
    </w:p>
    <w:p w14:paraId="65574C01" w14:textId="02D060C4" w:rsidR="00292F88" w:rsidRPr="00BE51FC" w:rsidRDefault="00292F88" w:rsidP="00292F88">
      <w:pPr>
        <w:pStyle w:val="TableText"/>
        <w:tabs>
          <w:tab w:val="left" w:pos="1641"/>
        </w:tabs>
        <w:rPr>
          <w:rFonts w:asciiTheme="minorHAnsi" w:hAnsiTheme="minorHAnsi" w:cstheme="minorHAnsi"/>
        </w:rPr>
      </w:pPr>
      <w:r w:rsidRPr="00BE51FC">
        <w:rPr>
          <w:rFonts w:asciiTheme="minorHAnsi" w:hAnsiTheme="minorHAnsi" w:cstheme="minorHAnsi"/>
        </w:rPr>
        <w:t xml:space="preserve">This publication is available at </w:t>
      </w:r>
      <w:hyperlink r:id="rId20" w:history="1">
        <w:r w:rsidR="00F74DCD" w:rsidRPr="00BE51FC">
          <w:rPr>
            <w:rStyle w:val="Hyperlink"/>
            <w:rFonts w:asciiTheme="minorHAnsi" w:hAnsiTheme="minorHAnsi" w:cstheme="minorHAnsi"/>
          </w:rPr>
          <w:t>agriculture.gov.au/biosecurity-trade/policy/risk-analysis/biological-control-agents/risk-analyses</w:t>
        </w:r>
      </w:hyperlink>
      <w:r w:rsidRPr="00BE51FC">
        <w:rPr>
          <w:rFonts w:asciiTheme="minorHAnsi" w:hAnsiTheme="minorHAnsi" w:cstheme="minorHAnsi"/>
        </w:rPr>
        <w:t>.</w:t>
      </w:r>
    </w:p>
    <w:p w14:paraId="610BAD95" w14:textId="58365189" w:rsidR="00292F88" w:rsidRPr="00BE51FC" w:rsidRDefault="00292F88" w:rsidP="00292F88">
      <w:pPr>
        <w:pStyle w:val="TableText"/>
        <w:tabs>
          <w:tab w:val="left" w:pos="1641"/>
        </w:tabs>
        <w:rPr>
          <w:rFonts w:asciiTheme="minorHAnsi" w:hAnsiTheme="minorHAnsi" w:cstheme="minorHAnsi"/>
        </w:rPr>
      </w:pPr>
      <w:r w:rsidRPr="00BE51FC">
        <w:rPr>
          <w:rFonts w:asciiTheme="minorHAnsi" w:hAnsiTheme="minorHAnsi" w:cstheme="minorHAnsi"/>
        </w:rPr>
        <w:t xml:space="preserve">Department of Agriculture, </w:t>
      </w:r>
      <w:r w:rsidR="00E37340" w:rsidRPr="00BE51FC">
        <w:rPr>
          <w:rFonts w:asciiTheme="minorHAnsi" w:hAnsiTheme="minorHAnsi" w:cstheme="minorHAnsi"/>
        </w:rPr>
        <w:t>Fisheries and Forestry</w:t>
      </w:r>
      <w:r w:rsidRPr="00BE51FC">
        <w:rPr>
          <w:rFonts w:asciiTheme="minorHAnsi" w:hAnsiTheme="minorHAnsi" w:cstheme="minorHAnsi"/>
        </w:rPr>
        <w:br/>
        <w:t>GPO Box 858 Canberra ACT 2601</w:t>
      </w:r>
    </w:p>
    <w:p w14:paraId="180F2A90" w14:textId="7C49C076" w:rsidR="00292F88" w:rsidRPr="00BE51FC" w:rsidRDefault="00292F88" w:rsidP="00292F88">
      <w:pPr>
        <w:pStyle w:val="TableText"/>
        <w:tabs>
          <w:tab w:val="left" w:pos="1641"/>
        </w:tabs>
        <w:rPr>
          <w:rFonts w:asciiTheme="minorHAnsi" w:hAnsiTheme="minorHAnsi" w:cstheme="minorHAnsi"/>
        </w:rPr>
      </w:pPr>
      <w:r w:rsidRPr="00BE51FC">
        <w:rPr>
          <w:rFonts w:asciiTheme="minorHAnsi" w:hAnsiTheme="minorHAnsi" w:cstheme="minorHAnsi"/>
        </w:rPr>
        <w:t>Telephone</w:t>
      </w:r>
      <w:r w:rsidR="000D6C1F" w:rsidRPr="00BE51FC">
        <w:rPr>
          <w:rFonts w:asciiTheme="minorHAnsi" w:hAnsiTheme="minorHAnsi" w:cstheme="minorHAnsi"/>
        </w:rPr>
        <w:t>:</w:t>
      </w:r>
      <w:r w:rsidRPr="00BE51FC">
        <w:rPr>
          <w:rFonts w:asciiTheme="minorHAnsi" w:hAnsiTheme="minorHAnsi" w:cstheme="minorHAnsi"/>
        </w:rPr>
        <w:t xml:space="preserve"> 1800 900 090</w:t>
      </w:r>
    </w:p>
    <w:p w14:paraId="18E08C57" w14:textId="0C55C8F6" w:rsidR="00292F88" w:rsidRPr="00BE51FC" w:rsidRDefault="00292F88" w:rsidP="00292F88">
      <w:pPr>
        <w:pStyle w:val="TableText"/>
        <w:tabs>
          <w:tab w:val="left" w:pos="1641"/>
        </w:tabs>
        <w:rPr>
          <w:rFonts w:asciiTheme="minorHAnsi" w:hAnsiTheme="minorHAnsi" w:cstheme="minorHAnsi"/>
        </w:rPr>
      </w:pPr>
      <w:r w:rsidRPr="00BE51FC">
        <w:rPr>
          <w:rFonts w:asciiTheme="minorHAnsi" w:hAnsiTheme="minorHAnsi" w:cstheme="minorHAnsi"/>
        </w:rPr>
        <w:t>Web</w:t>
      </w:r>
      <w:r w:rsidR="000D6C1F" w:rsidRPr="00BE51FC">
        <w:rPr>
          <w:rFonts w:asciiTheme="minorHAnsi" w:hAnsiTheme="minorHAnsi" w:cstheme="minorHAnsi"/>
        </w:rPr>
        <w:t>:</w:t>
      </w:r>
      <w:r w:rsidRPr="00BE51FC">
        <w:rPr>
          <w:rFonts w:asciiTheme="minorHAnsi" w:hAnsiTheme="minorHAnsi" w:cstheme="minorHAnsi"/>
        </w:rPr>
        <w:t xml:space="preserve"> </w:t>
      </w:r>
      <w:hyperlink r:id="rId21" w:history="1">
        <w:r w:rsidR="00C350C1" w:rsidRPr="00BE51FC">
          <w:rPr>
            <w:rStyle w:val="Hyperlink"/>
            <w:rFonts w:asciiTheme="minorHAnsi" w:hAnsiTheme="minorHAnsi" w:cstheme="minorHAnsi"/>
          </w:rPr>
          <w:t>agriculture.gov.au</w:t>
        </w:r>
      </w:hyperlink>
      <w:r w:rsidRPr="00BE51FC">
        <w:rPr>
          <w:rFonts w:asciiTheme="minorHAnsi" w:hAnsiTheme="minorHAnsi" w:cstheme="minorHAnsi"/>
        </w:rPr>
        <w:t xml:space="preserve">  </w:t>
      </w:r>
    </w:p>
    <w:p w14:paraId="797497A8" w14:textId="5CCA2D07" w:rsidR="00292F88" w:rsidRPr="00BE51FC" w:rsidRDefault="00292F88" w:rsidP="00292F88">
      <w:pPr>
        <w:pStyle w:val="TableText"/>
        <w:tabs>
          <w:tab w:val="left" w:pos="1641"/>
        </w:tabs>
        <w:rPr>
          <w:rFonts w:asciiTheme="minorHAnsi" w:hAnsiTheme="minorHAnsi" w:cstheme="minorHAnsi"/>
        </w:rPr>
      </w:pPr>
      <w:r w:rsidRPr="00BE51FC">
        <w:rPr>
          <w:rFonts w:asciiTheme="minorHAnsi" w:hAnsiTheme="minorHAnsi" w:cstheme="minorHAnsi"/>
        </w:rPr>
        <w:t>Email</w:t>
      </w:r>
      <w:r w:rsidR="000D6C1F" w:rsidRPr="00BE51FC">
        <w:rPr>
          <w:rFonts w:asciiTheme="minorHAnsi" w:hAnsiTheme="minorHAnsi" w:cstheme="minorHAnsi"/>
        </w:rPr>
        <w:t>:</w:t>
      </w:r>
      <w:r w:rsidRPr="00BE51FC">
        <w:rPr>
          <w:rFonts w:asciiTheme="minorHAnsi" w:hAnsiTheme="minorHAnsi" w:cstheme="minorHAnsi"/>
        </w:rPr>
        <w:t xml:space="preserve"> </w:t>
      </w:r>
      <w:hyperlink r:id="rId22" w:history="1">
        <w:r w:rsidR="00C350C1" w:rsidRPr="00BE51FC">
          <w:rPr>
            <w:rStyle w:val="Hyperlink"/>
            <w:rFonts w:asciiTheme="minorHAnsi" w:hAnsiTheme="minorHAnsi" w:cstheme="minorHAnsi"/>
          </w:rPr>
          <w:t>plantstakeholders@agriculture.gov.au</w:t>
        </w:r>
      </w:hyperlink>
      <w:r w:rsidRPr="00BE51FC">
        <w:rPr>
          <w:rFonts w:asciiTheme="minorHAnsi" w:hAnsiTheme="minorHAnsi" w:cstheme="minorHAnsi"/>
        </w:rPr>
        <w:t xml:space="preserve">  </w:t>
      </w:r>
    </w:p>
    <w:p w14:paraId="08EAEEC3" w14:textId="77777777" w:rsidR="00292F88" w:rsidRDefault="00292F88" w:rsidP="00292F88">
      <w:pPr>
        <w:pStyle w:val="TableText"/>
        <w:tabs>
          <w:tab w:val="left" w:pos="1641"/>
        </w:tabs>
        <w:rPr>
          <w:rFonts w:ascii="Calibri" w:hAnsi="Calibri"/>
          <w:b/>
        </w:rPr>
      </w:pPr>
    </w:p>
    <w:p w14:paraId="37D66384" w14:textId="34B3AB0E" w:rsidR="00292F88" w:rsidRDefault="00CD74EF" w:rsidP="00292F88">
      <w:pPr>
        <w:pStyle w:val="TableText"/>
        <w:tabs>
          <w:tab w:val="left" w:pos="1641"/>
        </w:tabs>
        <w:rPr>
          <w:rFonts w:ascii="Calibri" w:hAnsi="Calibri"/>
          <w:b/>
        </w:rPr>
      </w:pPr>
      <w:r>
        <w:rPr>
          <w:rFonts w:ascii="Calibri" w:hAnsi="Calibri"/>
          <w:b/>
        </w:rPr>
        <w:t>Disclaimer</w:t>
      </w:r>
      <w:r w:rsidR="00292F88">
        <w:rPr>
          <w:rFonts w:ascii="Calibri" w:hAnsi="Calibri"/>
          <w:b/>
        </w:rPr>
        <w:tab/>
      </w:r>
    </w:p>
    <w:p w14:paraId="36B48D08" w14:textId="6D32903A" w:rsidR="00292F88" w:rsidRPr="00BE51FC" w:rsidRDefault="00292F88" w:rsidP="00292F88">
      <w:pPr>
        <w:pStyle w:val="TableText"/>
        <w:spacing w:after="240"/>
        <w:rPr>
          <w:rFonts w:asciiTheme="minorHAnsi" w:hAnsiTheme="minorHAnsi" w:cstheme="minorHAnsi"/>
        </w:rPr>
      </w:pPr>
      <w:r w:rsidRPr="00BE51FC">
        <w:rPr>
          <w:rFonts w:asciiTheme="minorHAnsi" w:hAnsiTheme="minorHAnsi" w:cstheme="minorHAnsi"/>
        </w:rPr>
        <w:t xml:space="preserve">The Australian Government acting through the Department of Agriculture, </w:t>
      </w:r>
      <w:r w:rsidR="00E37340" w:rsidRPr="00BE51FC">
        <w:rPr>
          <w:rFonts w:asciiTheme="minorHAnsi" w:hAnsiTheme="minorHAnsi" w:cstheme="minorHAnsi"/>
        </w:rPr>
        <w:t>Fisheries and Forestry</w:t>
      </w:r>
      <w:r w:rsidRPr="00BE51FC">
        <w:rPr>
          <w:rFonts w:asciiTheme="minorHAnsi" w:hAnsiTheme="minorHAnsi" w:cstheme="minorHAnsi"/>
        </w:rPr>
        <w:t xml:space="preserve"> has exercised due care and skill in preparing and compiling the information in this publication. Notwithstanding, the Department of Agriculture, </w:t>
      </w:r>
      <w:r w:rsidR="00E37340" w:rsidRPr="00BE51FC">
        <w:rPr>
          <w:rFonts w:asciiTheme="minorHAnsi" w:hAnsiTheme="minorHAnsi" w:cstheme="minorHAnsi"/>
        </w:rPr>
        <w:t>Fisheries and Forestry</w:t>
      </w:r>
      <w:r w:rsidRPr="00BE51FC">
        <w:rPr>
          <w:rFonts w:asciiTheme="minorHAnsi" w:hAnsiTheme="minorHAnsi" w:cstheme="minorHAnsi"/>
        </w:rPr>
        <w:t xml:space="preserve">, its employees and advisers disclaim all liability, including liability for negligence and for any loss, damage, injury, expense or cost incurred by any person </w:t>
      </w:r>
      <w:proofErr w:type="gramStart"/>
      <w:r w:rsidRPr="00BE51FC">
        <w:rPr>
          <w:rFonts w:asciiTheme="minorHAnsi" w:hAnsiTheme="minorHAnsi" w:cstheme="minorHAnsi"/>
        </w:rPr>
        <w:t>as a result of</w:t>
      </w:r>
      <w:proofErr w:type="gramEnd"/>
      <w:r w:rsidRPr="00BE51FC">
        <w:rPr>
          <w:rFonts w:asciiTheme="minorHAnsi" w:hAnsiTheme="minorHAnsi" w:cstheme="minorHAnsi"/>
        </w:rPr>
        <w:t xml:space="preserve"> accessing, using or relying upon any of the information or data in this publication to the maximum extent permitted by law.</w:t>
      </w:r>
    </w:p>
    <w:p w14:paraId="79F3FD1B" w14:textId="77777777" w:rsidR="00CD74EF" w:rsidRPr="00CD74EF" w:rsidRDefault="00CD74EF" w:rsidP="00CD74EF">
      <w:pPr>
        <w:pStyle w:val="TableText"/>
        <w:tabs>
          <w:tab w:val="left" w:pos="1641"/>
        </w:tabs>
        <w:rPr>
          <w:rFonts w:ascii="Calibri" w:hAnsi="Calibri"/>
          <w:b/>
        </w:rPr>
      </w:pPr>
      <w:r w:rsidRPr="00CD74EF">
        <w:rPr>
          <w:rFonts w:ascii="Calibri" w:hAnsi="Calibri"/>
          <w:b/>
        </w:rPr>
        <w:t>Acknowledgement of Country</w:t>
      </w:r>
    </w:p>
    <w:p w14:paraId="3F230D94" w14:textId="7DECBE2B" w:rsidR="00CD74EF" w:rsidRPr="00BE51FC" w:rsidRDefault="009D64B4" w:rsidP="00CD74EF">
      <w:pPr>
        <w:pStyle w:val="TableText"/>
        <w:spacing w:after="240"/>
        <w:rPr>
          <w:rFonts w:asciiTheme="minorHAnsi" w:hAnsiTheme="minorHAnsi" w:cstheme="minorHAnsi"/>
        </w:rPr>
      </w:pPr>
      <w:r w:rsidRPr="00BE51FC">
        <w:rPr>
          <w:rFonts w:asciiTheme="minorHAnsi" w:hAnsiTheme="minorHAnsi" w:cstheme="minorHAnsi"/>
        </w:rPr>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r w:rsidR="00CD74EF" w:rsidRPr="00BE51FC">
        <w:rPr>
          <w:rFonts w:asciiTheme="minorHAnsi" w:hAnsiTheme="minorHAnsi" w:cstheme="minorHAnsi"/>
        </w:rPr>
        <w:t>.</w:t>
      </w:r>
    </w:p>
    <w:p w14:paraId="186A1692" w14:textId="77777777" w:rsidR="00736319" w:rsidRDefault="00736319">
      <w:pPr>
        <w:pStyle w:val="TableText"/>
      </w:pPr>
    </w:p>
    <w:p w14:paraId="485F6637" w14:textId="77777777" w:rsidR="00AB66F3" w:rsidRDefault="00AB66F3">
      <w:pPr>
        <w:pStyle w:val="TableText"/>
      </w:pPr>
    </w:p>
    <w:p w14:paraId="2B10A9A5" w14:textId="77777777" w:rsidR="00AB66F3" w:rsidRDefault="00AB66F3">
      <w:pPr>
        <w:pStyle w:val="TableText"/>
      </w:pPr>
    </w:p>
    <w:p w14:paraId="67976C42" w14:textId="77777777" w:rsidR="00AB66F3" w:rsidRDefault="00AB66F3">
      <w:pPr>
        <w:pStyle w:val="TableText"/>
      </w:pPr>
    </w:p>
    <w:p w14:paraId="06120D50" w14:textId="77777777" w:rsidR="00AB66F3" w:rsidRDefault="00AB66F3">
      <w:pPr>
        <w:pStyle w:val="TableText"/>
      </w:pPr>
    </w:p>
    <w:p w14:paraId="5BFC2D9F" w14:textId="77777777" w:rsidR="00AB66F3" w:rsidRPr="00BE51FC" w:rsidRDefault="00AB66F3">
      <w:pPr>
        <w:pStyle w:val="TableText"/>
        <w:rPr>
          <w:rFonts w:asciiTheme="minorHAnsi" w:hAnsiTheme="minorHAnsi" w:cstheme="minorHAnsi"/>
        </w:rPr>
      </w:pPr>
      <w:r w:rsidRPr="00BE51FC">
        <w:rPr>
          <w:rFonts w:asciiTheme="minorHAnsi" w:hAnsiTheme="minorHAnsi" w:cstheme="minorHAnsi"/>
        </w:rPr>
        <w:t xml:space="preserve">Front cover picture  </w:t>
      </w:r>
    </w:p>
    <w:p w14:paraId="0BC408FA" w14:textId="1B3BC61E" w:rsidR="00AB66F3" w:rsidRPr="00BE51FC" w:rsidRDefault="00AB66F3">
      <w:pPr>
        <w:pStyle w:val="TableText"/>
        <w:rPr>
          <w:rFonts w:asciiTheme="minorHAnsi" w:hAnsiTheme="minorHAnsi" w:cstheme="minorHAnsi"/>
        </w:rPr>
        <w:sectPr w:rsidR="00AB66F3" w:rsidRPr="00BE51FC">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567" w:footer="283" w:gutter="0"/>
          <w:cols w:space="708"/>
          <w:docGrid w:linePitch="360"/>
        </w:sectPr>
      </w:pPr>
      <w:hyperlink r:id="rId29" w:history="1">
        <w:r w:rsidRPr="00BE51FC">
          <w:rPr>
            <w:rStyle w:val="Hyperlink"/>
            <w:rFonts w:asciiTheme="minorHAnsi" w:hAnsiTheme="minorHAnsi" w:cstheme="minorHAnsi"/>
          </w:rPr>
          <w:t>Cat's claw creeper | Business Queensland</w:t>
        </w:r>
      </w:hyperlink>
    </w:p>
    <w:p w14:paraId="5C992707" w14:textId="77777777" w:rsidR="002A326D" w:rsidRDefault="002A326D" w:rsidP="002A326D">
      <w:pPr>
        <w:pStyle w:val="TOCHeading"/>
      </w:pPr>
      <w:bookmarkStart w:id="0" w:name="_Toc384979272"/>
      <w:bookmarkStart w:id="1" w:name="_Toc384979287"/>
      <w:bookmarkStart w:id="2" w:name="_Toc112674191"/>
      <w:bookmarkStart w:id="3" w:name="_Toc126073677"/>
      <w:r w:rsidRPr="00772548">
        <w:lastRenderedPageBreak/>
        <w:t>Contents</w:t>
      </w:r>
    </w:p>
    <w:p w14:paraId="78079356" w14:textId="43A4D87A" w:rsidR="008F4E74" w:rsidRDefault="002A326D">
      <w:pPr>
        <w:pStyle w:val="TOC1"/>
        <w:rPr>
          <w:rFonts w:eastAsiaTheme="minorEastAsia"/>
          <w:b w:val="0"/>
          <w:kern w:val="2"/>
          <w:sz w:val="24"/>
          <w:szCs w:val="24"/>
          <w:lang w:eastAsia="en-AU"/>
          <w14:ligatures w14:val="standardContextual"/>
        </w:rPr>
      </w:pPr>
      <w:r>
        <w:rPr>
          <w:bCs/>
          <w:szCs w:val="24"/>
        </w:rPr>
        <w:fldChar w:fldCharType="begin"/>
      </w:r>
      <w:r>
        <w:rPr>
          <w:bCs/>
          <w:szCs w:val="24"/>
        </w:rPr>
        <w:instrText xml:space="preserve"> TOC \t "Heading 2,1,Heading 3,2" </w:instrText>
      </w:r>
      <w:r>
        <w:rPr>
          <w:bCs/>
          <w:szCs w:val="24"/>
        </w:rPr>
        <w:fldChar w:fldCharType="separate"/>
      </w:r>
      <w:r w:rsidR="008F4E74">
        <w:t>Summary</w:t>
      </w:r>
      <w:r w:rsidR="008F4E74">
        <w:tab/>
      </w:r>
      <w:r w:rsidR="008F4E74">
        <w:fldChar w:fldCharType="begin"/>
      </w:r>
      <w:r w:rsidR="008F4E74">
        <w:instrText xml:space="preserve"> PAGEREF _Toc209446369 \h </w:instrText>
      </w:r>
      <w:r w:rsidR="008F4E74">
        <w:fldChar w:fldCharType="separate"/>
      </w:r>
      <w:r w:rsidR="00391357">
        <w:t>1</w:t>
      </w:r>
      <w:r w:rsidR="008F4E74">
        <w:fldChar w:fldCharType="end"/>
      </w:r>
    </w:p>
    <w:p w14:paraId="55AC52FC" w14:textId="0C960598" w:rsidR="008F4E74" w:rsidRDefault="008F4E74">
      <w:pPr>
        <w:pStyle w:val="TOC1"/>
        <w:rPr>
          <w:rFonts w:eastAsiaTheme="minorEastAsia"/>
          <w:b w:val="0"/>
          <w:kern w:val="2"/>
          <w:sz w:val="24"/>
          <w:szCs w:val="24"/>
          <w:lang w:eastAsia="en-AU"/>
          <w14:ligatures w14:val="standardContextual"/>
        </w:rPr>
      </w:pPr>
      <w:r>
        <w:t>1</w:t>
      </w:r>
      <w:r>
        <w:rPr>
          <w:rFonts w:eastAsiaTheme="minorEastAsia"/>
          <w:b w:val="0"/>
          <w:kern w:val="2"/>
          <w:sz w:val="24"/>
          <w:szCs w:val="24"/>
          <w:lang w:eastAsia="en-AU"/>
          <w14:ligatures w14:val="standardContextual"/>
        </w:rPr>
        <w:tab/>
      </w:r>
      <w:r>
        <w:t>Introduction</w:t>
      </w:r>
      <w:r>
        <w:tab/>
      </w:r>
      <w:r>
        <w:fldChar w:fldCharType="begin"/>
      </w:r>
      <w:r>
        <w:instrText xml:space="preserve"> PAGEREF _Toc209446370 \h </w:instrText>
      </w:r>
      <w:r>
        <w:fldChar w:fldCharType="separate"/>
      </w:r>
      <w:r w:rsidR="00391357">
        <w:t>2</w:t>
      </w:r>
      <w:r>
        <w:fldChar w:fldCharType="end"/>
      </w:r>
    </w:p>
    <w:p w14:paraId="4EF87A6B" w14:textId="1C9B7B11" w:rsidR="008F4E74" w:rsidRDefault="008F4E74">
      <w:pPr>
        <w:pStyle w:val="TOC2"/>
        <w:tabs>
          <w:tab w:val="left" w:pos="1105"/>
        </w:tabs>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Australia’s biosecurity policy framework</w:t>
      </w:r>
      <w:r>
        <w:tab/>
      </w:r>
      <w:r>
        <w:fldChar w:fldCharType="begin"/>
      </w:r>
      <w:r>
        <w:instrText xml:space="preserve"> PAGEREF _Toc209446371 \h </w:instrText>
      </w:r>
      <w:r>
        <w:fldChar w:fldCharType="separate"/>
      </w:r>
      <w:r w:rsidR="00391357">
        <w:t>2</w:t>
      </w:r>
      <w:r>
        <w:fldChar w:fldCharType="end"/>
      </w:r>
    </w:p>
    <w:p w14:paraId="2D7D31CA" w14:textId="3AEEABAE" w:rsidR="008F4E74" w:rsidRDefault="008F4E74">
      <w:pPr>
        <w:pStyle w:val="TOC1"/>
        <w:rPr>
          <w:rFonts w:eastAsiaTheme="minorEastAsia"/>
          <w:b w:val="0"/>
          <w:kern w:val="2"/>
          <w:sz w:val="24"/>
          <w:szCs w:val="24"/>
          <w:lang w:eastAsia="en-AU"/>
          <w14:ligatures w14:val="standardContextual"/>
        </w:rPr>
      </w:pPr>
      <w:r>
        <w:t>2</w:t>
      </w:r>
      <w:r>
        <w:rPr>
          <w:rFonts w:eastAsiaTheme="minorEastAsia"/>
          <w:b w:val="0"/>
          <w:kern w:val="2"/>
          <w:sz w:val="24"/>
          <w:szCs w:val="24"/>
          <w:lang w:eastAsia="en-AU"/>
          <w14:ligatures w14:val="standardContextual"/>
        </w:rPr>
        <w:tab/>
      </w:r>
      <w:r>
        <w:t>This risk analysis</w:t>
      </w:r>
      <w:r>
        <w:tab/>
      </w:r>
      <w:r>
        <w:fldChar w:fldCharType="begin"/>
      </w:r>
      <w:r>
        <w:instrText xml:space="preserve"> PAGEREF _Toc209446372 \h </w:instrText>
      </w:r>
      <w:r>
        <w:fldChar w:fldCharType="separate"/>
      </w:r>
      <w:r w:rsidR="00391357">
        <w:t>3</w:t>
      </w:r>
      <w:r>
        <w:fldChar w:fldCharType="end"/>
      </w:r>
    </w:p>
    <w:p w14:paraId="36EBE0D5" w14:textId="4F295334" w:rsidR="008F4E74" w:rsidRDefault="008F4E74">
      <w:pPr>
        <w:pStyle w:val="TOC2"/>
        <w:tabs>
          <w:tab w:val="left" w:pos="1105"/>
        </w:tabs>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Background</w:t>
      </w:r>
      <w:r>
        <w:tab/>
      </w:r>
      <w:r>
        <w:fldChar w:fldCharType="begin"/>
      </w:r>
      <w:r>
        <w:instrText xml:space="preserve"> PAGEREF _Toc209446373 \h </w:instrText>
      </w:r>
      <w:r>
        <w:fldChar w:fldCharType="separate"/>
      </w:r>
      <w:r w:rsidR="00391357">
        <w:t>3</w:t>
      </w:r>
      <w:r>
        <w:fldChar w:fldCharType="end"/>
      </w:r>
    </w:p>
    <w:p w14:paraId="121D2C0A" w14:textId="18E7948A" w:rsidR="008F4E74" w:rsidRDefault="008F4E74">
      <w:pPr>
        <w:pStyle w:val="TOC2"/>
        <w:tabs>
          <w:tab w:val="left" w:pos="1105"/>
        </w:tabs>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Scope</w:t>
      </w:r>
      <w:r>
        <w:tab/>
      </w:r>
      <w:r>
        <w:fldChar w:fldCharType="begin"/>
      </w:r>
      <w:r>
        <w:instrText xml:space="preserve"> PAGEREF _Toc209446374 \h </w:instrText>
      </w:r>
      <w:r>
        <w:fldChar w:fldCharType="separate"/>
      </w:r>
      <w:r w:rsidR="00391357">
        <w:t>3</w:t>
      </w:r>
      <w:r>
        <w:fldChar w:fldCharType="end"/>
      </w:r>
    </w:p>
    <w:p w14:paraId="042F3B40" w14:textId="5E54113D" w:rsidR="008F4E74" w:rsidRDefault="008F4E74">
      <w:pPr>
        <w:pStyle w:val="TOC2"/>
        <w:tabs>
          <w:tab w:val="left" w:pos="1105"/>
        </w:tabs>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Associated pests</w:t>
      </w:r>
      <w:r>
        <w:tab/>
      </w:r>
      <w:r>
        <w:fldChar w:fldCharType="begin"/>
      </w:r>
      <w:r>
        <w:instrText xml:space="preserve"> PAGEREF _Toc209446375 \h </w:instrText>
      </w:r>
      <w:r>
        <w:fldChar w:fldCharType="separate"/>
      </w:r>
      <w:r w:rsidR="00391357">
        <w:t>4</w:t>
      </w:r>
      <w:r>
        <w:fldChar w:fldCharType="end"/>
      </w:r>
    </w:p>
    <w:p w14:paraId="2300C1E5" w14:textId="0501B40A" w:rsidR="008F4E74" w:rsidRDefault="008F4E74">
      <w:pPr>
        <w:pStyle w:val="TOC2"/>
        <w:tabs>
          <w:tab w:val="left" w:pos="1105"/>
        </w:tabs>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Consultation</w:t>
      </w:r>
      <w:r>
        <w:tab/>
      </w:r>
      <w:r>
        <w:fldChar w:fldCharType="begin"/>
      </w:r>
      <w:r>
        <w:instrText xml:space="preserve"> PAGEREF _Toc209446376 \h </w:instrText>
      </w:r>
      <w:r>
        <w:fldChar w:fldCharType="separate"/>
      </w:r>
      <w:r w:rsidR="00391357">
        <w:t>4</w:t>
      </w:r>
      <w:r>
        <w:fldChar w:fldCharType="end"/>
      </w:r>
    </w:p>
    <w:p w14:paraId="6F1B3825" w14:textId="05C3ED55" w:rsidR="008F4E74" w:rsidRDefault="008F4E74">
      <w:pPr>
        <w:pStyle w:val="TOC2"/>
        <w:tabs>
          <w:tab w:val="left" w:pos="1105"/>
        </w:tabs>
        <w:rPr>
          <w:rFonts w:eastAsiaTheme="minorEastAsia"/>
          <w:kern w:val="2"/>
          <w:sz w:val="24"/>
          <w:szCs w:val="24"/>
          <w:lang w:eastAsia="en-AU"/>
          <w14:ligatures w14:val="standardContextual"/>
        </w:rPr>
      </w:pPr>
      <w:r>
        <w:t>2.5</w:t>
      </w:r>
      <w:r>
        <w:rPr>
          <w:rFonts w:eastAsiaTheme="minorEastAsia"/>
          <w:kern w:val="2"/>
          <w:sz w:val="24"/>
          <w:szCs w:val="24"/>
          <w:lang w:eastAsia="en-AU"/>
          <w14:ligatures w14:val="standardContextual"/>
        </w:rPr>
        <w:tab/>
      </w:r>
      <w:r>
        <w:t>Next Steps</w:t>
      </w:r>
      <w:r>
        <w:tab/>
      </w:r>
      <w:r>
        <w:fldChar w:fldCharType="begin"/>
      </w:r>
      <w:r>
        <w:instrText xml:space="preserve"> PAGEREF _Toc209446377 \h </w:instrText>
      </w:r>
      <w:r>
        <w:fldChar w:fldCharType="separate"/>
      </w:r>
      <w:r w:rsidR="00391357">
        <w:t>4</w:t>
      </w:r>
      <w:r>
        <w:fldChar w:fldCharType="end"/>
      </w:r>
    </w:p>
    <w:p w14:paraId="0245C800" w14:textId="39E2F870" w:rsidR="008F4E74" w:rsidRDefault="008F4E74">
      <w:pPr>
        <w:pStyle w:val="TOC1"/>
        <w:rPr>
          <w:rFonts w:eastAsiaTheme="minorEastAsia"/>
          <w:b w:val="0"/>
          <w:kern w:val="2"/>
          <w:sz w:val="24"/>
          <w:szCs w:val="24"/>
          <w:lang w:eastAsia="en-AU"/>
          <w14:ligatures w14:val="standardContextual"/>
        </w:rPr>
      </w:pPr>
      <w:r>
        <w:t>3</w:t>
      </w:r>
      <w:r>
        <w:rPr>
          <w:rFonts w:eastAsiaTheme="minorEastAsia"/>
          <w:b w:val="0"/>
          <w:kern w:val="2"/>
          <w:sz w:val="24"/>
          <w:szCs w:val="24"/>
          <w:lang w:eastAsia="en-AU"/>
          <w14:ligatures w14:val="standardContextual"/>
        </w:rPr>
        <w:tab/>
      </w:r>
      <w:r>
        <w:t>Assessment of off-target risks</w:t>
      </w:r>
      <w:r>
        <w:tab/>
      </w:r>
      <w:r>
        <w:fldChar w:fldCharType="begin"/>
      </w:r>
      <w:r>
        <w:instrText xml:space="preserve"> PAGEREF _Toc209446378 \h </w:instrText>
      </w:r>
      <w:r>
        <w:fldChar w:fldCharType="separate"/>
      </w:r>
      <w:r w:rsidR="00391357">
        <w:t>5</w:t>
      </w:r>
      <w:r>
        <w:fldChar w:fldCharType="end"/>
      </w:r>
    </w:p>
    <w:p w14:paraId="4A16527C" w14:textId="66BF2467" w:rsidR="008F4E74" w:rsidRDefault="008F4E74">
      <w:pPr>
        <w:pStyle w:val="TOC2"/>
        <w:tabs>
          <w:tab w:val="left" w:pos="1105"/>
        </w:tabs>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Stage 1: Initiation</w:t>
      </w:r>
      <w:r>
        <w:tab/>
      </w:r>
      <w:r>
        <w:fldChar w:fldCharType="begin"/>
      </w:r>
      <w:r>
        <w:instrText xml:space="preserve"> PAGEREF _Toc209446379 \h </w:instrText>
      </w:r>
      <w:r>
        <w:fldChar w:fldCharType="separate"/>
      </w:r>
      <w:r w:rsidR="00391357">
        <w:t>5</w:t>
      </w:r>
      <w:r>
        <w:fldChar w:fldCharType="end"/>
      </w:r>
    </w:p>
    <w:p w14:paraId="55673883" w14:textId="50F68F50" w:rsidR="008F4E74" w:rsidRDefault="008F4E74">
      <w:pPr>
        <w:pStyle w:val="TOC2"/>
        <w:tabs>
          <w:tab w:val="left" w:pos="1105"/>
        </w:tabs>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Stage 2: Risk assessment</w:t>
      </w:r>
      <w:r>
        <w:tab/>
      </w:r>
      <w:r>
        <w:fldChar w:fldCharType="begin"/>
      </w:r>
      <w:r>
        <w:instrText xml:space="preserve"> PAGEREF _Toc209446380 \h </w:instrText>
      </w:r>
      <w:r>
        <w:fldChar w:fldCharType="separate"/>
      </w:r>
      <w:r w:rsidR="00391357">
        <w:t>6</w:t>
      </w:r>
      <w:r>
        <w:fldChar w:fldCharType="end"/>
      </w:r>
    </w:p>
    <w:p w14:paraId="73EFE5C9" w14:textId="70FF4819" w:rsidR="008F4E74" w:rsidRDefault="008F4E74">
      <w:pPr>
        <w:pStyle w:val="TOC1"/>
        <w:rPr>
          <w:rFonts w:eastAsiaTheme="minorEastAsia"/>
          <w:b w:val="0"/>
          <w:kern w:val="2"/>
          <w:sz w:val="24"/>
          <w:szCs w:val="24"/>
          <w:lang w:eastAsia="en-AU"/>
          <w14:ligatures w14:val="standardContextual"/>
        </w:rPr>
      </w:pPr>
      <w:r>
        <w:t>4</w:t>
      </w:r>
      <w:r>
        <w:rPr>
          <w:rFonts w:eastAsiaTheme="minorEastAsia"/>
          <w:b w:val="0"/>
          <w:kern w:val="2"/>
          <w:sz w:val="24"/>
          <w:szCs w:val="24"/>
          <w:lang w:eastAsia="en-AU"/>
          <w14:ligatures w14:val="standardContextual"/>
        </w:rPr>
        <w:tab/>
      </w:r>
      <w:r>
        <w:t>Recommendation on release</w:t>
      </w:r>
      <w:r>
        <w:tab/>
      </w:r>
      <w:r>
        <w:fldChar w:fldCharType="begin"/>
      </w:r>
      <w:r>
        <w:instrText xml:space="preserve"> PAGEREF _Toc209446381 \h </w:instrText>
      </w:r>
      <w:r>
        <w:fldChar w:fldCharType="separate"/>
      </w:r>
      <w:r w:rsidR="00391357">
        <w:t>11</w:t>
      </w:r>
      <w:r>
        <w:fldChar w:fldCharType="end"/>
      </w:r>
    </w:p>
    <w:p w14:paraId="554F34F2" w14:textId="55526AF0" w:rsidR="008F4E74" w:rsidRDefault="008F4E74">
      <w:pPr>
        <w:pStyle w:val="TOC1"/>
        <w:rPr>
          <w:rFonts w:eastAsiaTheme="minorEastAsia"/>
          <w:b w:val="0"/>
          <w:kern w:val="2"/>
          <w:sz w:val="24"/>
          <w:szCs w:val="24"/>
          <w:lang w:eastAsia="en-AU"/>
          <w14:ligatures w14:val="standardContextual"/>
        </w:rPr>
      </w:pPr>
      <w:r>
        <w:t>5</w:t>
      </w:r>
      <w:r>
        <w:rPr>
          <w:rFonts w:eastAsiaTheme="minorEastAsia"/>
          <w:b w:val="0"/>
          <w:kern w:val="2"/>
          <w:sz w:val="24"/>
          <w:szCs w:val="24"/>
          <w:lang w:eastAsia="en-AU"/>
          <w14:ligatures w14:val="standardContextual"/>
        </w:rPr>
        <w:tab/>
      </w:r>
      <w:r>
        <w:t>Stakeholder responses to draft risk analysis report</w:t>
      </w:r>
      <w:r>
        <w:tab/>
      </w:r>
      <w:r>
        <w:fldChar w:fldCharType="begin"/>
      </w:r>
      <w:r>
        <w:instrText xml:space="preserve"> PAGEREF _Toc209446382 \h </w:instrText>
      </w:r>
      <w:r>
        <w:fldChar w:fldCharType="separate"/>
      </w:r>
      <w:r w:rsidR="00391357">
        <w:t>12</w:t>
      </w:r>
      <w:r>
        <w:fldChar w:fldCharType="end"/>
      </w:r>
    </w:p>
    <w:p w14:paraId="5AAF1B87" w14:textId="2822D591" w:rsidR="008F4E74" w:rsidRDefault="008F4E74">
      <w:pPr>
        <w:pStyle w:val="TOC1"/>
        <w:rPr>
          <w:rFonts w:eastAsiaTheme="minorEastAsia"/>
          <w:b w:val="0"/>
          <w:kern w:val="2"/>
          <w:sz w:val="24"/>
          <w:szCs w:val="24"/>
          <w:lang w:eastAsia="en-AU"/>
          <w14:ligatures w14:val="standardContextual"/>
        </w:rPr>
      </w:pPr>
      <w:r>
        <w:t>6</w:t>
      </w:r>
      <w:r>
        <w:rPr>
          <w:rFonts w:eastAsiaTheme="minorEastAsia"/>
          <w:b w:val="0"/>
          <w:kern w:val="2"/>
          <w:sz w:val="24"/>
          <w:szCs w:val="24"/>
          <w:lang w:eastAsia="en-AU"/>
          <w14:ligatures w14:val="standardContextual"/>
        </w:rPr>
        <w:tab/>
      </w:r>
      <w:r>
        <w:t>Attachment 1</w:t>
      </w:r>
      <w:r>
        <w:tab/>
      </w:r>
      <w:r>
        <w:fldChar w:fldCharType="begin"/>
      </w:r>
      <w:r>
        <w:instrText xml:space="preserve"> PAGEREF _Toc209446383 \h </w:instrText>
      </w:r>
      <w:r>
        <w:fldChar w:fldCharType="separate"/>
      </w:r>
      <w:r w:rsidR="00391357">
        <w:t>13</w:t>
      </w:r>
      <w:r>
        <w:fldChar w:fldCharType="end"/>
      </w:r>
    </w:p>
    <w:p w14:paraId="0ABFEE4D" w14:textId="3E343B46" w:rsidR="008F4E74" w:rsidRDefault="008F4E74">
      <w:pPr>
        <w:pStyle w:val="TOC1"/>
        <w:rPr>
          <w:rFonts w:eastAsiaTheme="minorEastAsia"/>
          <w:b w:val="0"/>
          <w:kern w:val="2"/>
          <w:sz w:val="24"/>
          <w:szCs w:val="24"/>
          <w:lang w:eastAsia="en-AU"/>
          <w14:ligatures w14:val="standardContextual"/>
        </w:rPr>
      </w:pPr>
      <w:r>
        <w:t>Appendix A: Method for pest risk analysis</w:t>
      </w:r>
      <w:r>
        <w:tab/>
      </w:r>
      <w:r>
        <w:fldChar w:fldCharType="begin"/>
      </w:r>
      <w:r>
        <w:instrText xml:space="preserve"> PAGEREF _Toc209446384 \h </w:instrText>
      </w:r>
      <w:r>
        <w:fldChar w:fldCharType="separate"/>
      </w:r>
      <w:r w:rsidR="00391357">
        <w:t>14</w:t>
      </w:r>
      <w:r>
        <w:fldChar w:fldCharType="end"/>
      </w:r>
    </w:p>
    <w:p w14:paraId="0025B4CD" w14:textId="5252962A" w:rsidR="008F4E74" w:rsidRDefault="008F4E74">
      <w:pPr>
        <w:pStyle w:val="TOC1"/>
        <w:rPr>
          <w:rFonts w:eastAsiaTheme="minorEastAsia"/>
          <w:b w:val="0"/>
          <w:kern w:val="2"/>
          <w:sz w:val="24"/>
          <w:szCs w:val="24"/>
          <w:lang w:eastAsia="en-AU"/>
          <w14:ligatures w14:val="standardContextual"/>
        </w:rPr>
      </w:pPr>
      <w:r>
        <w:t>Glossary, acronyms and abbreviations</w:t>
      </w:r>
      <w:r>
        <w:tab/>
      </w:r>
      <w:r>
        <w:fldChar w:fldCharType="begin"/>
      </w:r>
      <w:r>
        <w:instrText xml:space="preserve"> PAGEREF _Toc209446385 \h </w:instrText>
      </w:r>
      <w:r>
        <w:fldChar w:fldCharType="separate"/>
      </w:r>
      <w:r w:rsidR="00391357">
        <w:t>27</w:t>
      </w:r>
      <w:r>
        <w:fldChar w:fldCharType="end"/>
      </w:r>
    </w:p>
    <w:p w14:paraId="4195D21F" w14:textId="4EA2C18C" w:rsidR="008F4E74" w:rsidRDefault="008F4E74">
      <w:pPr>
        <w:pStyle w:val="TOC1"/>
        <w:rPr>
          <w:rFonts w:eastAsiaTheme="minorEastAsia"/>
          <w:b w:val="0"/>
          <w:kern w:val="2"/>
          <w:sz w:val="24"/>
          <w:szCs w:val="24"/>
          <w:lang w:eastAsia="en-AU"/>
          <w14:ligatures w14:val="standardContextual"/>
        </w:rPr>
      </w:pPr>
      <w:r>
        <w:t>References</w:t>
      </w:r>
      <w:r>
        <w:tab/>
      </w:r>
      <w:r>
        <w:fldChar w:fldCharType="begin"/>
      </w:r>
      <w:r>
        <w:instrText xml:space="preserve"> PAGEREF _Toc209446386 \h </w:instrText>
      </w:r>
      <w:r>
        <w:fldChar w:fldCharType="separate"/>
      </w:r>
      <w:r w:rsidR="00391357">
        <w:t>32</w:t>
      </w:r>
      <w:r>
        <w:fldChar w:fldCharType="end"/>
      </w:r>
    </w:p>
    <w:p w14:paraId="7156BB7A" w14:textId="2BAACB34" w:rsidR="002A326D" w:rsidRDefault="002A326D" w:rsidP="00BE09EE">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Pr="00772548">
        <w:t>Tables</w:t>
      </w:r>
    </w:p>
    <w:p w14:paraId="591E3EBC" w14:textId="31C926B4" w:rsidR="008F4E74" w:rsidRDefault="002A326D">
      <w:pPr>
        <w:pStyle w:val="TableofFigures"/>
        <w:tabs>
          <w:tab w:val="right" w:leader="dot" w:pos="9060"/>
        </w:tabs>
        <w:rPr>
          <w:rFonts w:eastAsiaTheme="minorEastAsia"/>
          <w:noProof/>
          <w:kern w:val="2"/>
          <w:sz w:val="24"/>
          <w:szCs w:val="24"/>
          <w:lang w:eastAsia="en-AU"/>
          <w14:ligatures w14:val="standardContextual"/>
        </w:rPr>
      </w:pPr>
      <w:r>
        <w:rPr>
          <w:lang w:val="en-US"/>
        </w:rPr>
        <w:fldChar w:fldCharType="begin"/>
      </w:r>
      <w:r>
        <w:rPr>
          <w:lang w:val="en-US"/>
        </w:rPr>
        <w:instrText xml:space="preserve"> TOC \f T \t "Table caption" \c "Table" </w:instrText>
      </w:r>
      <w:r>
        <w:rPr>
          <w:lang w:val="en-US"/>
        </w:rPr>
        <w:fldChar w:fldCharType="separate"/>
      </w:r>
      <w:r w:rsidR="008F4E74" w:rsidRPr="00E23FF0">
        <w:rPr>
          <w:rFonts w:cstheme="minorHAnsi"/>
          <w:noProof/>
        </w:rPr>
        <w:t>Table 2.1 Risk estimation matrix.</w:t>
      </w:r>
      <w:r w:rsidR="008F4E74">
        <w:rPr>
          <w:noProof/>
        </w:rPr>
        <w:tab/>
      </w:r>
      <w:r w:rsidR="008F4E74">
        <w:rPr>
          <w:noProof/>
        </w:rPr>
        <w:fldChar w:fldCharType="begin"/>
      </w:r>
      <w:r w:rsidR="008F4E74">
        <w:rPr>
          <w:noProof/>
        </w:rPr>
        <w:instrText xml:space="preserve"> PAGEREF _Toc209446387 \h </w:instrText>
      </w:r>
      <w:r w:rsidR="008F4E74">
        <w:rPr>
          <w:noProof/>
        </w:rPr>
      </w:r>
      <w:r w:rsidR="008F4E74">
        <w:rPr>
          <w:noProof/>
        </w:rPr>
        <w:fldChar w:fldCharType="separate"/>
      </w:r>
      <w:r w:rsidR="00391357">
        <w:rPr>
          <w:noProof/>
        </w:rPr>
        <w:t>5</w:t>
      </w:r>
      <w:r w:rsidR="008F4E74">
        <w:rPr>
          <w:noProof/>
        </w:rPr>
        <w:fldChar w:fldCharType="end"/>
      </w:r>
    </w:p>
    <w:p w14:paraId="785993ED" w14:textId="52FBF031" w:rsidR="008F4E74" w:rsidRDefault="008F4E74">
      <w:pPr>
        <w:pStyle w:val="TableofFigures"/>
        <w:tabs>
          <w:tab w:val="right" w:leader="dot" w:pos="9060"/>
        </w:tabs>
        <w:rPr>
          <w:rFonts w:eastAsiaTheme="minorEastAsia"/>
          <w:noProof/>
          <w:kern w:val="2"/>
          <w:sz w:val="24"/>
          <w:szCs w:val="24"/>
          <w:lang w:eastAsia="en-AU"/>
          <w14:ligatures w14:val="standardContextual"/>
        </w:rPr>
      </w:pPr>
      <w:r w:rsidRPr="00E23FF0">
        <w:rPr>
          <w:rFonts w:cstheme="minorHAnsi"/>
          <w:noProof/>
        </w:rPr>
        <w:t>Table A.1 Nomenclature of likelihoods</w:t>
      </w:r>
      <w:r>
        <w:rPr>
          <w:noProof/>
        </w:rPr>
        <w:tab/>
      </w:r>
      <w:r>
        <w:rPr>
          <w:noProof/>
        </w:rPr>
        <w:fldChar w:fldCharType="begin"/>
      </w:r>
      <w:r>
        <w:rPr>
          <w:noProof/>
        </w:rPr>
        <w:instrText xml:space="preserve"> PAGEREF _Toc209446388 \h </w:instrText>
      </w:r>
      <w:r>
        <w:rPr>
          <w:noProof/>
        </w:rPr>
      </w:r>
      <w:r>
        <w:rPr>
          <w:noProof/>
        </w:rPr>
        <w:fldChar w:fldCharType="separate"/>
      </w:r>
      <w:r w:rsidR="00391357">
        <w:rPr>
          <w:noProof/>
        </w:rPr>
        <w:t>18</w:t>
      </w:r>
      <w:r>
        <w:rPr>
          <w:noProof/>
        </w:rPr>
        <w:fldChar w:fldCharType="end"/>
      </w:r>
    </w:p>
    <w:p w14:paraId="1F8CDEF0" w14:textId="2ADD09F0" w:rsidR="008F4E74" w:rsidRDefault="008F4E74">
      <w:pPr>
        <w:pStyle w:val="TableofFigures"/>
        <w:tabs>
          <w:tab w:val="right" w:leader="dot" w:pos="9060"/>
        </w:tabs>
        <w:rPr>
          <w:rFonts w:eastAsiaTheme="minorEastAsia"/>
          <w:noProof/>
          <w:kern w:val="2"/>
          <w:sz w:val="24"/>
          <w:szCs w:val="24"/>
          <w:lang w:eastAsia="en-AU"/>
          <w14:ligatures w14:val="standardContextual"/>
        </w:rPr>
      </w:pPr>
      <w:r w:rsidRPr="00E23FF0">
        <w:rPr>
          <w:rFonts w:cstheme="minorHAnsi"/>
          <w:noProof/>
        </w:rPr>
        <w:t>Table A.2 Matrix of rules for combining likelihoods</w:t>
      </w:r>
      <w:r>
        <w:rPr>
          <w:noProof/>
        </w:rPr>
        <w:tab/>
      </w:r>
      <w:r>
        <w:rPr>
          <w:noProof/>
        </w:rPr>
        <w:fldChar w:fldCharType="begin"/>
      </w:r>
      <w:r>
        <w:rPr>
          <w:noProof/>
        </w:rPr>
        <w:instrText xml:space="preserve"> PAGEREF _Toc209446389 \h </w:instrText>
      </w:r>
      <w:r>
        <w:rPr>
          <w:noProof/>
        </w:rPr>
      </w:r>
      <w:r>
        <w:rPr>
          <w:noProof/>
        </w:rPr>
        <w:fldChar w:fldCharType="separate"/>
      </w:r>
      <w:r w:rsidR="00391357">
        <w:rPr>
          <w:noProof/>
        </w:rPr>
        <w:t>19</w:t>
      </w:r>
      <w:r>
        <w:rPr>
          <w:noProof/>
        </w:rPr>
        <w:fldChar w:fldCharType="end"/>
      </w:r>
    </w:p>
    <w:p w14:paraId="7A517021" w14:textId="47D029EC" w:rsidR="008F4E74" w:rsidRDefault="008F4E74">
      <w:pPr>
        <w:pStyle w:val="TableofFigures"/>
        <w:tabs>
          <w:tab w:val="right" w:leader="dot" w:pos="9060"/>
        </w:tabs>
        <w:rPr>
          <w:rFonts w:eastAsiaTheme="minorEastAsia"/>
          <w:noProof/>
          <w:kern w:val="2"/>
          <w:sz w:val="24"/>
          <w:szCs w:val="24"/>
          <w:lang w:eastAsia="en-AU"/>
          <w14:ligatures w14:val="standardContextual"/>
        </w:rPr>
      </w:pPr>
      <w:r w:rsidRPr="00E23FF0">
        <w:rPr>
          <w:rFonts w:cstheme="minorHAnsi"/>
          <w:noProof/>
        </w:rPr>
        <w:t>Table A.3 Decision rules for determining the overall consequence rating for each pest</w:t>
      </w:r>
      <w:r>
        <w:rPr>
          <w:noProof/>
        </w:rPr>
        <w:tab/>
      </w:r>
      <w:r>
        <w:rPr>
          <w:noProof/>
        </w:rPr>
        <w:fldChar w:fldCharType="begin"/>
      </w:r>
      <w:r>
        <w:rPr>
          <w:noProof/>
        </w:rPr>
        <w:instrText xml:space="preserve"> PAGEREF _Toc209446390 \h </w:instrText>
      </w:r>
      <w:r>
        <w:rPr>
          <w:noProof/>
        </w:rPr>
      </w:r>
      <w:r>
        <w:rPr>
          <w:noProof/>
        </w:rPr>
        <w:fldChar w:fldCharType="separate"/>
      </w:r>
      <w:r w:rsidR="00391357">
        <w:rPr>
          <w:noProof/>
        </w:rPr>
        <w:t>23</w:t>
      </w:r>
      <w:r>
        <w:rPr>
          <w:noProof/>
        </w:rPr>
        <w:fldChar w:fldCharType="end"/>
      </w:r>
    </w:p>
    <w:p w14:paraId="2147A51D" w14:textId="4DADEC3E" w:rsidR="008F4E74" w:rsidRDefault="008F4E74">
      <w:pPr>
        <w:pStyle w:val="TableofFigures"/>
        <w:tabs>
          <w:tab w:val="right" w:leader="dot" w:pos="9060"/>
        </w:tabs>
        <w:rPr>
          <w:rFonts w:eastAsiaTheme="minorEastAsia"/>
          <w:noProof/>
          <w:kern w:val="2"/>
          <w:sz w:val="24"/>
          <w:szCs w:val="24"/>
          <w:lang w:eastAsia="en-AU"/>
          <w14:ligatures w14:val="standardContextual"/>
        </w:rPr>
      </w:pPr>
      <w:r w:rsidRPr="00E23FF0">
        <w:rPr>
          <w:rFonts w:cstheme="minorHAnsi"/>
          <w:noProof/>
        </w:rPr>
        <w:t>Table A.4 Risk estimation matrix</w:t>
      </w:r>
      <w:r>
        <w:rPr>
          <w:noProof/>
        </w:rPr>
        <w:tab/>
      </w:r>
      <w:r>
        <w:rPr>
          <w:noProof/>
        </w:rPr>
        <w:fldChar w:fldCharType="begin"/>
      </w:r>
      <w:r>
        <w:rPr>
          <w:noProof/>
        </w:rPr>
        <w:instrText xml:space="preserve"> PAGEREF _Toc209446391 \h </w:instrText>
      </w:r>
      <w:r>
        <w:rPr>
          <w:noProof/>
        </w:rPr>
      </w:r>
      <w:r>
        <w:rPr>
          <w:noProof/>
        </w:rPr>
        <w:fldChar w:fldCharType="separate"/>
      </w:r>
      <w:r w:rsidR="00391357">
        <w:rPr>
          <w:noProof/>
        </w:rPr>
        <w:t>23</w:t>
      </w:r>
      <w:r>
        <w:rPr>
          <w:noProof/>
        </w:rPr>
        <w:fldChar w:fldCharType="end"/>
      </w:r>
    </w:p>
    <w:p w14:paraId="21A9C035" w14:textId="54961E94" w:rsidR="002A326D" w:rsidRPr="00791C8E" w:rsidRDefault="002A326D" w:rsidP="00791C8E">
      <w:pPr>
        <w:pStyle w:val="TOCHeading"/>
      </w:pPr>
      <w:r>
        <w:rPr>
          <w:rFonts w:asciiTheme="minorHAnsi" w:hAnsiTheme="minorHAnsi"/>
        </w:rPr>
        <w:fldChar w:fldCharType="end"/>
      </w:r>
      <w:r w:rsidRPr="00772548">
        <w:t>Maps</w:t>
      </w:r>
    </w:p>
    <w:p w14:paraId="69C316AC" w14:textId="365EC967" w:rsidR="008F4E74" w:rsidRDefault="002A326D">
      <w:pPr>
        <w:pStyle w:val="TableofFigures"/>
        <w:tabs>
          <w:tab w:val="right" w:leader="dot" w:pos="9060"/>
        </w:tabs>
        <w:rPr>
          <w:rFonts w:eastAsiaTheme="minorEastAsia"/>
          <w:noProof/>
          <w:kern w:val="2"/>
          <w:sz w:val="24"/>
          <w:szCs w:val="24"/>
          <w:lang w:eastAsia="en-AU"/>
          <w14:ligatures w14:val="standardContextual"/>
        </w:rPr>
      </w:pPr>
      <w:r w:rsidRPr="005409E7">
        <w:rPr>
          <w:rFonts w:ascii="Calibri" w:hAnsi="Calibri" w:cs="Calibri"/>
        </w:rPr>
        <w:fldChar w:fldCharType="begin"/>
      </w:r>
      <w:r w:rsidRPr="005409E7">
        <w:rPr>
          <w:rFonts w:ascii="Calibri" w:hAnsi="Calibri" w:cs="Calibri"/>
        </w:rPr>
        <w:instrText xml:space="preserve"> TOC \f M \h \z \t "Map heading" \c "Map" </w:instrText>
      </w:r>
      <w:r w:rsidRPr="005409E7">
        <w:rPr>
          <w:rFonts w:ascii="Calibri" w:hAnsi="Calibri" w:cs="Calibri"/>
        </w:rPr>
        <w:fldChar w:fldCharType="separate"/>
      </w:r>
      <w:hyperlink w:anchor="_Toc209446392" w:history="1">
        <w:r w:rsidR="008F4E74" w:rsidRPr="004B4285">
          <w:rPr>
            <w:rStyle w:val="Hyperlink"/>
            <w:rFonts w:cstheme="minorHAnsi"/>
            <w:noProof/>
          </w:rPr>
          <w:t>Map 1 Map of Australia</w:t>
        </w:r>
        <w:r w:rsidR="008F4E74">
          <w:rPr>
            <w:noProof/>
            <w:webHidden/>
          </w:rPr>
          <w:tab/>
        </w:r>
        <w:r w:rsidR="008F4E74">
          <w:rPr>
            <w:noProof/>
            <w:webHidden/>
          </w:rPr>
          <w:fldChar w:fldCharType="begin"/>
        </w:r>
        <w:r w:rsidR="008F4E74">
          <w:rPr>
            <w:noProof/>
            <w:webHidden/>
          </w:rPr>
          <w:instrText xml:space="preserve"> PAGEREF _Toc209446392 \h </w:instrText>
        </w:r>
        <w:r w:rsidR="008F4E74">
          <w:rPr>
            <w:noProof/>
            <w:webHidden/>
          </w:rPr>
        </w:r>
        <w:r w:rsidR="008F4E74">
          <w:rPr>
            <w:noProof/>
            <w:webHidden/>
          </w:rPr>
          <w:fldChar w:fldCharType="separate"/>
        </w:r>
        <w:r w:rsidR="00391357">
          <w:rPr>
            <w:noProof/>
            <w:webHidden/>
          </w:rPr>
          <w:t>iv</w:t>
        </w:r>
        <w:r w:rsidR="008F4E74">
          <w:rPr>
            <w:noProof/>
            <w:webHidden/>
          </w:rPr>
          <w:fldChar w:fldCharType="end"/>
        </w:r>
      </w:hyperlink>
    </w:p>
    <w:p w14:paraId="7C49A7E9" w14:textId="490F8B22" w:rsidR="008F4E74" w:rsidRDefault="008F4E74">
      <w:pPr>
        <w:pStyle w:val="TableofFigures"/>
        <w:tabs>
          <w:tab w:val="right" w:leader="dot" w:pos="9060"/>
        </w:tabs>
        <w:rPr>
          <w:rFonts w:eastAsiaTheme="minorEastAsia"/>
          <w:noProof/>
          <w:kern w:val="2"/>
          <w:sz w:val="24"/>
          <w:szCs w:val="24"/>
          <w:lang w:eastAsia="en-AU"/>
          <w14:ligatures w14:val="standardContextual"/>
        </w:rPr>
      </w:pPr>
      <w:hyperlink w:anchor="_Toc209446393" w:history="1">
        <w:r w:rsidRPr="004B4285">
          <w:rPr>
            <w:rStyle w:val="Hyperlink"/>
            <w:rFonts w:cstheme="minorHAnsi"/>
            <w:noProof/>
          </w:rPr>
          <w:t>Map 2 A guide to Australia’s bio-climatic zones</w:t>
        </w:r>
        <w:r>
          <w:rPr>
            <w:noProof/>
            <w:webHidden/>
          </w:rPr>
          <w:tab/>
        </w:r>
        <w:r>
          <w:rPr>
            <w:noProof/>
            <w:webHidden/>
          </w:rPr>
          <w:fldChar w:fldCharType="begin"/>
        </w:r>
        <w:r>
          <w:rPr>
            <w:noProof/>
            <w:webHidden/>
          </w:rPr>
          <w:instrText xml:space="preserve"> PAGEREF _Toc209446393 \h </w:instrText>
        </w:r>
        <w:r>
          <w:rPr>
            <w:noProof/>
            <w:webHidden/>
          </w:rPr>
        </w:r>
        <w:r>
          <w:rPr>
            <w:noProof/>
            <w:webHidden/>
          </w:rPr>
          <w:fldChar w:fldCharType="separate"/>
        </w:r>
        <w:r w:rsidR="00391357">
          <w:rPr>
            <w:noProof/>
            <w:webHidden/>
          </w:rPr>
          <w:t>iv</w:t>
        </w:r>
        <w:r>
          <w:rPr>
            <w:noProof/>
            <w:webHidden/>
          </w:rPr>
          <w:fldChar w:fldCharType="end"/>
        </w:r>
      </w:hyperlink>
    </w:p>
    <w:p w14:paraId="2B9F67B2" w14:textId="30BB9746" w:rsidR="002A326D" w:rsidRDefault="002A326D" w:rsidP="002A326D">
      <w:pPr>
        <w:sectPr w:rsidR="002A326D" w:rsidSect="00E53C3B">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418" w:left="1418" w:header="567" w:footer="454" w:gutter="0"/>
          <w:pgNumType w:fmt="lowerRoman"/>
          <w:cols w:space="708"/>
          <w:docGrid w:linePitch="360"/>
        </w:sectPr>
      </w:pPr>
      <w:r w:rsidRPr="005409E7">
        <w:rPr>
          <w:rFonts w:ascii="Calibri" w:hAnsi="Calibri" w:cs="Calibri"/>
        </w:rPr>
        <w:fldChar w:fldCharType="end"/>
      </w:r>
    </w:p>
    <w:p w14:paraId="0EFC9861" w14:textId="1547D22B" w:rsidR="00736319" w:rsidRPr="00BE51FC" w:rsidRDefault="00D0393D">
      <w:pPr>
        <w:pStyle w:val="Caption"/>
        <w:rPr>
          <w:rFonts w:asciiTheme="minorHAnsi" w:hAnsiTheme="minorHAnsi" w:cstheme="minorHAnsi"/>
        </w:rPr>
      </w:pPr>
      <w:bookmarkStart w:id="4" w:name="_Toc209446392"/>
      <w:r w:rsidRPr="00BE51FC">
        <w:rPr>
          <w:rFonts w:asciiTheme="minorHAnsi" w:hAnsiTheme="minorHAnsi" w:cstheme="minorHAnsi"/>
        </w:rPr>
        <w:lastRenderedPageBreak/>
        <w:t xml:space="preserve">Map </w:t>
      </w:r>
      <w:r w:rsidR="00C21661" w:rsidRPr="00BE51FC">
        <w:rPr>
          <w:rFonts w:asciiTheme="minorHAnsi" w:hAnsiTheme="minorHAnsi" w:cstheme="minorHAnsi"/>
          <w:noProof/>
        </w:rPr>
        <w:fldChar w:fldCharType="begin"/>
      </w:r>
      <w:r w:rsidR="00C21661" w:rsidRPr="00BE51FC">
        <w:rPr>
          <w:rFonts w:asciiTheme="minorHAnsi" w:hAnsiTheme="minorHAnsi" w:cstheme="minorHAnsi"/>
          <w:noProof/>
        </w:rPr>
        <w:instrText xml:space="preserve"> SEQ Map \* ARABIC </w:instrText>
      </w:r>
      <w:r w:rsidR="00C21661" w:rsidRPr="00BE51FC">
        <w:rPr>
          <w:rFonts w:asciiTheme="minorHAnsi" w:hAnsiTheme="minorHAnsi" w:cstheme="minorHAnsi"/>
          <w:noProof/>
        </w:rPr>
        <w:fldChar w:fldCharType="separate"/>
      </w:r>
      <w:r w:rsidR="00391357">
        <w:rPr>
          <w:rFonts w:asciiTheme="minorHAnsi" w:hAnsiTheme="minorHAnsi" w:cstheme="minorHAnsi"/>
          <w:noProof/>
        </w:rPr>
        <w:t>1</w:t>
      </w:r>
      <w:r w:rsidR="00C21661" w:rsidRPr="00BE51FC">
        <w:rPr>
          <w:rFonts w:asciiTheme="minorHAnsi" w:hAnsiTheme="minorHAnsi" w:cstheme="minorHAnsi"/>
          <w:noProof/>
        </w:rPr>
        <w:fldChar w:fldCharType="end"/>
      </w:r>
      <w:r w:rsidRPr="00BE51FC">
        <w:rPr>
          <w:rFonts w:asciiTheme="minorHAnsi" w:hAnsiTheme="minorHAnsi" w:cstheme="minorHAnsi"/>
        </w:rPr>
        <w:t xml:space="preserve"> Map of Australia</w:t>
      </w:r>
      <w:bookmarkEnd w:id="0"/>
      <w:bookmarkEnd w:id="1"/>
      <w:bookmarkEnd w:id="2"/>
      <w:bookmarkEnd w:id="3"/>
      <w:bookmarkEnd w:id="4"/>
    </w:p>
    <w:p w14:paraId="0B6E84FA" w14:textId="0C76F855" w:rsidR="00736319" w:rsidRDefault="003615BA">
      <w:r w:rsidRPr="00182039">
        <w:rPr>
          <w:noProof/>
          <w:lang w:eastAsia="en-AU"/>
        </w:rPr>
        <w:drawing>
          <wp:inline distT="0" distB="0" distL="0" distR="0" wp14:anchorId="3A419B1A" wp14:editId="5AA52485">
            <wp:extent cx="4086860" cy="3530600"/>
            <wp:effectExtent l="0" t="0" r="8890" b="0"/>
            <wp:docPr id="4" name="Picture 4" descr="Map of Australia highlighting where the states and territories and capital c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860" cy="3530600"/>
                    </a:xfrm>
                    <a:prstGeom prst="rect">
                      <a:avLst/>
                    </a:prstGeom>
                    <a:noFill/>
                    <a:ln>
                      <a:noFill/>
                    </a:ln>
                  </pic:spPr>
                </pic:pic>
              </a:graphicData>
            </a:graphic>
          </wp:inline>
        </w:drawing>
      </w:r>
    </w:p>
    <w:p w14:paraId="29F02617" w14:textId="3B43FB19" w:rsidR="00736319" w:rsidRPr="00BE51FC" w:rsidRDefault="00D0393D">
      <w:pPr>
        <w:pStyle w:val="Caption"/>
        <w:rPr>
          <w:rFonts w:asciiTheme="minorHAnsi" w:hAnsiTheme="minorHAnsi" w:cstheme="minorHAnsi"/>
        </w:rPr>
      </w:pPr>
      <w:bookmarkStart w:id="5" w:name="_Toc384979273"/>
      <w:bookmarkStart w:id="6" w:name="_Toc384979288"/>
      <w:bookmarkStart w:id="7" w:name="_Toc112674192"/>
      <w:bookmarkStart w:id="8" w:name="_Toc126073678"/>
      <w:bookmarkStart w:id="9" w:name="_Toc209446393"/>
      <w:r w:rsidRPr="00BE51FC">
        <w:rPr>
          <w:rFonts w:asciiTheme="minorHAnsi" w:hAnsiTheme="minorHAnsi" w:cstheme="minorHAnsi"/>
        </w:rPr>
        <w:t xml:space="preserve">Map </w:t>
      </w:r>
      <w:r w:rsidR="00C21661" w:rsidRPr="00BE51FC">
        <w:rPr>
          <w:rFonts w:asciiTheme="minorHAnsi" w:hAnsiTheme="minorHAnsi" w:cstheme="minorHAnsi"/>
          <w:noProof/>
        </w:rPr>
        <w:fldChar w:fldCharType="begin"/>
      </w:r>
      <w:r w:rsidR="00C21661" w:rsidRPr="00BE51FC">
        <w:rPr>
          <w:rFonts w:asciiTheme="minorHAnsi" w:hAnsiTheme="minorHAnsi" w:cstheme="minorHAnsi"/>
          <w:noProof/>
        </w:rPr>
        <w:instrText xml:space="preserve"> SEQ Map \* ARABIC </w:instrText>
      </w:r>
      <w:r w:rsidR="00C21661" w:rsidRPr="00BE51FC">
        <w:rPr>
          <w:rFonts w:asciiTheme="minorHAnsi" w:hAnsiTheme="minorHAnsi" w:cstheme="minorHAnsi"/>
          <w:noProof/>
        </w:rPr>
        <w:fldChar w:fldCharType="separate"/>
      </w:r>
      <w:r w:rsidR="00391357">
        <w:rPr>
          <w:rFonts w:asciiTheme="minorHAnsi" w:hAnsiTheme="minorHAnsi" w:cstheme="minorHAnsi"/>
          <w:noProof/>
        </w:rPr>
        <w:t>2</w:t>
      </w:r>
      <w:r w:rsidR="00C21661" w:rsidRPr="00BE51FC">
        <w:rPr>
          <w:rFonts w:asciiTheme="minorHAnsi" w:hAnsiTheme="minorHAnsi" w:cstheme="minorHAnsi"/>
          <w:noProof/>
        </w:rPr>
        <w:fldChar w:fldCharType="end"/>
      </w:r>
      <w:r w:rsidRPr="00BE51FC">
        <w:rPr>
          <w:rFonts w:asciiTheme="minorHAnsi" w:hAnsiTheme="minorHAnsi" w:cstheme="minorHAnsi"/>
        </w:rPr>
        <w:t xml:space="preserve"> A guide to Australia’s bio-climatic zones</w:t>
      </w:r>
      <w:bookmarkEnd w:id="5"/>
      <w:bookmarkEnd w:id="6"/>
      <w:bookmarkEnd w:id="7"/>
      <w:bookmarkEnd w:id="8"/>
      <w:bookmarkEnd w:id="9"/>
    </w:p>
    <w:p w14:paraId="7CF20DD4" w14:textId="21BBEC2C" w:rsidR="00736319" w:rsidRDefault="00736319">
      <w:pPr>
        <w:pStyle w:val="Caption"/>
      </w:pPr>
    </w:p>
    <w:p w14:paraId="69779948" w14:textId="0ACCD1CA" w:rsidR="00736319" w:rsidRDefault="001B198B">
      <w:pPr>
        <w:sectPr w:rsidR="00736319">
          <w:headerReference w:type="even" r:id="rId37"/>
          <w:headerReference w:type="default" r:id="rId38"/>
          <w:footerReference w:type="even" r:id="rId39"/>
          <w:footerReference w:type="default" r:id="rId40"/>
          <w:headerReference w:type="first" r:id="rId41"/>
          <w:footerReference w:type="first" r:id="rId42"/>
          <w:pgSz w:w="11906" w:h="16838"/>
          <w:pgMar w:top="1418" w:right="1418" w:bottom="1418" w:left="1418" w:header="567" w:footer="283" w:gutter="0"/>
          <w:pgNumType w:fmt="lowerRoman"/>
          <w:cols w:space="708"/>
          <w:docGrid w:linePitch="360"/>
        </w:sectPr>
      </w:pPr>
      <w:r>
        <w:rPr>
          <w:noProof/>
        </w:rPr>
        <w:drawing>
          <wp:inline distT="0" distB="0" distL="0" distR="0" wp14:anchorId="68D91D56" wp14:editId="31D9DE93">
            <wp:extent cx="5041900" cy="3474720"/>
            <wp:effectExtent l="0" t="0" r="6350" b="0"/>
            <wp:docPr id="6" name="Picture 6" descr="Map of Australia showing climate classification zones. Zones include equatorial (far north), tropical (northern regions), subtropical (east coast), desert (central and western areas), grassland (surrounding desert), and temperate (southern coastal regions). Major cities and state borders are marked for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Australia showing climate classification zones. Zones include equatorial (far north), tropical (northern regions), subtropical (east coast), desert (central and western areas), grassland (surrounding desert), and temperate (southern coastal regions). Major cities and state borders are marked for refer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1900" cy="3474720"/>
                    </a:xfrm>
                    <a:prstGeom prst="rect">
                      <a:avLst/>
                    </a:prstGeom>
                    <a:noFill/>
                  </pic:spPr>
                </pic:pic>
              </a:graphicData>
            </a:graphic>
          </wp:inline>
        </w:drawing>
      </w:r>
    </w:p>
    <w:p w14:paraId="2C404223" w14:textId="1A50E004" w:rsidR="00736319" w:rsidRPr="00F85722" w:rsidRDefault="00D0393D" w:rsidP="0023606E">
      <w:pPr>
        <w:pStyle w:val="Heading2"/>
        <w:numPr>
          <w:ilvl w:val="0"/>
          <w:numId w:val="0"/>
        </w:numPr>
        <w:ind w:left="794" w:hanging="794"/>
      </w:pPr>
      <w:bookmarkStart w:id="10" w:name="_Toc114642138"/>
      <w:bookmarkStart w:id="11" w:name="_Toc209446369"/>
      <w:r w:rsidRPr="00F85722">
        <w:lastRenderedPageBreak/>
        <w:t>Summary</w:t>
      </w:r>
      <w:bookmarkEnd w:id="10"/>
      <w:bookmarkEnd w:id="11"/>
    </w:p>
    <w:p w14:paraId="0D2506C1" w14:textId="4D99A5DD" w:rsidR="00736319" w:rsidRPr="00BE51FC" w:rsidRDefault="00D0393D">
      <w:pPr>
        <w:rPr>
          <w:rFonts w:asciiTheme="minorHAnsi" w:hAnsiTheme="minorHAnsi" w:cstheme="minorHAnsi"/>
        </w:rPr>
      </w:pPr>
      <w:r w:rsidRPr="00BE51FC">
        <w:rPr>
          <w:rFonts w:asciiTheme="minorHAnsi" w:hAnsiTheme="minorHAnsi" w:cstheme="minorHAnsi"/>
        </w:rPr>
        <w:t xml:space="preserve">The Australian Government Department of </w:t>
      </w:r>
      <w:r w:rsidR="00083279" w:rsidRPr="00BE51FC">
        <w:rPr>
          <w:rFonts w:asciiTheme="minorHAnsi" w:hAnsiTheme="minorHAnsi" w:cstheme="minorHAnsi"/>
        </w:rPr>
        <w:t xml:space="preserve">Agriculture, </w:t>
      </w:r>
      <w:r w:rsidR="00C350C1" w:rsidRPr="00BE51FC">
        <w:rPr>
          <w:rFonts w:asciiTheme="minorHAnsi" w:hAnsiTheme="minorHAnsi" w:cstheme="minorHAnsi"/>
        </w:rPr>
        <w:t>Fisheries and Forestry</w:t>
      </w:r>
      <w:r w:rsidR="00044566" w:rsidRPr="00BE51FC">
        <w:rPr>
          <w:rFonts w:asciiTheme="minorHAnsi" w:hAnsiTheme="minorHAnsi" w:cstheme="minorHAnsi"/>
        </w:rPr>
        <w:t xml:space="preserve"> (the department)</w:t>
      </w:r>
      <w:r w:rsidR="00083279" w:rsidRPr="00BE51FC">
        <w:rPr>
          <w:rFonts w:asciiTheme="minorHAnsi" w:hAnsiTheme="minorHAnsi" w:cstheme="minorHAnsi"/>
        </w:rPr>
        <w:t xml:space="preserve"> </w:t>
      </w:r>
      <w:r w:rsidRPr="00BE51FC">
        <w:rPr>
          <w:rFonts w:asciiTheme="minorHAnsi" w:hAnsiTheme="minorHAnsi" w:cstheme="minorHAnsi"/>
        </w:rPr>
        <w:t xml:space="preserve">has prepared this </w:t>
      </w:r>
      <w:r w:rsidR="00190871">
        <w:rPr>
          <w:rFonts w:asciiTheme="minorHAnsi" w:hAnsiTheme="minorHAnsi" w:cstheme="minorHAnsi"/>
        </w:rPr>
        <w:t>final</w:t>
      </w:r>
      <w:r w:rsidRPr="00BE51FC">
        <w:rPr>
          <w:rFonts w:asciiTheme="minorHAnsi" w:hAnsiTheme="minorHAnsi" w:cstheme="minorHAnsi"/>
        </w:rPr>
        <w:t xml:space="preserve"> report to assess the proposal by </w:t>
      </w:r>
      <w:r w:rsidR="00722E7F" w:rsidRPr="00BE51FC">
        <w:rPr>
          <w:rFonts w:asciiTheme="minorHAnsi" w:hAnsiTheme="minorHAnsi" w:cstheme="minorHAnsi"/>
        </w:rPr>
        <w:t xml:space="preserve">the Queensland Department of </w:t>
      </w:r>
      <w:r w:rsidR="007369B8" w:rsidRPr="00BE51FC">
        <w:rPr>
          <w:rFonts w:asciiTheme="minorHAnsi" w:hAnsiTheme="minorHAnsi" w:cstheme="minorHAnsi"/>
        </w:rPr>
        <w:t>Primary Industries</w:t>
      </w:r>
      <w:r w:rsidR="00722E7F" w:rsidRPr="00BE51FC">
        <w:rPr>
          <w:rFonts w:asciiTheme="minorHAnsi" w:hAnsiTheme="minorHAnsi" w:cstheme="minorHAnsi"/>
        </w:rPr>
        <w:t xml:space="preserve"> (QD</w:t>
      </w:r>
      <w:r w:rsidR="007369B8" w:rsidRPr="00BE51FC">
        <w:rPr>
          <w:rFonts w:asciiTheme="minorHAnsi" w:hAnsiTheme="minorHAnsi" w:cstheme="minorHAnsi"/>
        </w:rPr>
        <w:t>PI</w:t>
      </w:r>
      <w:r w:rsidR="00722E7F" w:rsidRPr="00BE51FC">
        <w:rPr>
          <w:rFonts w:asciiTheme="minorHAnsi" w:hAnsiTheme="minorHAnsi" w:cstheme="minorHAnsi"/>
        </w:rPr>
        <w:t>)</w:t>
      </w:r>
      <w:r w:rsidRPr="00BE51FC">
        <w:rPr>
          <w:rFonts w:asciiTheme="minorHAnsi" w:hAnsiTheme="minorHAnsi" w:cstheme="minorHAnsi"/>
        </w:rPr>
        <w:t xml:space="preserve"> </w:t>
      </w:r>
      <w:r w:rsidR="002C1D03" w:rsidRPr="00BE51FC">
        <w:rPr>
          <w:rFonts w:asciiTheme="minorHAnsi" w:hAnsiTheme="minorHAnsi" w:cstheme="minorHAnsi"/>
        </w:rPr>
        <w:t>to release</w:t>
      </w:r>
      <w:r w:rsidR="00722E7F" w:rsidRPr="00BE51FC">
        <w:rPr>
          <w:rFonts w:asciiTheme="minorHAnsi" w:hAnsiTheme="minorHAnsi" w:cstheme="minorHAnsi"/>
        </w:rPr>
        <w:t xml:space="preserve"> the leaf spot pathogen</w:t>
      </w:r>
      <w:r w:rsidRPr="00BE51FC">
        <w:rPr>
          <w:rFonts w:asciiTheme="minorHAnsi" w:hAnsiTheme="minorHAnsi" w:cstheme="minorHAnsi"/>
        </w:rPr>
        <w:t xml:space="preserve"> </w:t>
      </w:r>
      <w:bookmarkStart w:id="12" w:name="_Hlk171346161"/>
      <w:proofErr w:type="spellStart"/>
      <w:r w:rsidR="00722E7F" w:rsidRPr="00BE51FC">
        <w:rPr>
          <w:rFonts w:asciiTheme="minorHAnsi" w:hAnsiTheme="minorHAnsi" w:cstheme="minorHAnsi"/>
          <w:i/>
          <w:iCs/>
        </w:rPr>
        <w:t>Neoramulariopsis</w:t>
      </w:r>
      <w:proofErr w:type="spellEnd"/>
      <w:r w:rsidR="00722E7F" w:rsidRPr="00BE51FC">
        <w:rPr>
          <w:rFonts w:asciiTheme="minorHAnsi" w:hAnsiTheme="minorHAnsi" w:cstheme="minorHAnsi"/>
          <w:i/>
          <w:iCs/>
        </w:rPr>
        <w:t xml:space="preserve"> unguis-cati</w:t>
      </w:r>
      <w:r w:rsidR="002C1D03" w:rsidRPr="00BE51FC">
        <w:rPr>
          <w:rFonts w:asciiTheme="minorHAnsi" w:hAnsiTheme="minorHAnsi" w:cstheme="minorHAnsi"/>
        </w:rPr>
        <w:t xml:space="preserve"> </w:t>
      </w:r>
      <w:bookmarkEnd w:id="12"/>
      <w:r w:rsidR="002C1D03" w:rsidRPr="00BE51FC">
        <w:rPr>
          <w:rFonts w:asciiTheme="minorHAnsi" w:hAnsiTheme="minorHAnsi" w:cstheme="minorHAnsi"/>
        </w:rPr>
        <w:t xml:space="preserve">for the biological control of </w:t>
      </w:r>
      <w:proofErr w:type="spellStart"/>
      <w:r w:rsidR="00722E7F" w:rsidRPr="00BE51FC">
        <w:rPr>
          <w:rFonts w:asciiTheme="minorHAnsi" w:hAnsiTheme="minorHAnsi" w:cstheme="minorHAnsi"/>
          <w:i/>
          <w:iCs/>
        </w:rPr>
        <w:t>Dolichandra</w:t>
      </w:r>
      <w:proofErr w:type="spellEnd"/>
      <w:r w:rsidR="00722E7F" w:rsidRPr="00BE51FC">
        <w:rPr>
          <w:rFonts w:asciiTheme="minorHAnsi" w:hAnsiTheme="minorHAnsi" w:cstheme="minorHAnsi"/>
          <w:i/>
          <w:iCs/>
        </w:rPr>
        <w:t xml:space="preserve"> unguis-cati</w:t>
      </w:r>
      <w:r w:rsidR="00722E7F" w:rsidRPr="00BE51FC">
        <w:rPr>
          <w:rFonts w:asciiTheme="minorHAnsi" w:hAnsiTheme="minorHAnsi" w:cstheme="minorHAnsi"/>
        </w:rPr>
        <w:t xml:space="preserve"> (cat’s claw creeper)</w:t>
      </w:r>
      <w:r w:rsidR="00F518AA" w:rsidRPr="00BE51FC">
        <w:rPr>
          <w:rFonts w:asciiTheme="minorHAnsi" w:hAnsiTheme="minorHAnsi" w:cstheme="minorHAnsi"/>
        </w:rPr>
        <w:t xml:space="preserve"> in Australia</w:t>
      </w:r>
      <w:r w:rsidRPr="00BE51FC">
        <w:rPr>
          <w:rFonts w:asciiTheme="minorHAnsi" w:hAnsiTheme="minorHAnsi" w:cstheme="minorHAnsi"/>
        </w:rPr>
        <w:t>.</w:t>
      </w:r>
    </w:p>
    <w:p w14:paraId="6080C951" w14:textId="154AA6BD" w:rsidR="00736319" w:rsidRPr="00BE51FC" w:rsidRDefault="00D0393D">
      <w:pPr>
        <w:rPr>
          <w:rFonts w:asciiTheme="minorHAnsi" w:hAnsiTheme="minorHAnsi" w:cstheme="minorHAnsi"/>
        </w:rPr>
      </w:pPr>
      <w:r w:rsidRPr="00BE51FC">
        <w:rPr>
          <w:rFonts w:asciiTheme="minorHAnsi" w:hAnsiTheme="minorHAnsi" w:cstheme="minorHAnsi"/>
        </w:rPr>
        <w:t xml:space="preserve">This </w:t>
      </w:r>
      <w:r w:rsidR="00190871">
        <w:rPr>
          <w:rFonts w:asciiTheme="minorHAnsi" w:hAnsiTheme="minorHAnsi" w:cstheme="minorHAnsi"/>
        </w:rPr>
        <w:t>final</w:t>
      </w:r>
      <w:r w:rsidRPr="00BE51FC">
        <w:rPr>
          <w:rFonts w:asciiTheme="minorHAnsi" w:hAnsiTheme="minorHAnsi" w:cstheme="minorHAnsi"/>
        </w:rPr>
        <w:t xml:space="preserve"> report </w:t>
      </w:r>
      <w:r w:rsidR="00190871">
        <w:rPr>
          <w:rFonts w:asciiTheme="minorHAnsi" w:hAnsiTheme="minorHAnsi" w:cstheme="minorHAnsi"/>
        </w:rPr>
        <w:t>recommends</w:t>
      </w:r>
      <w:r w:rsidRPr="00BE51FC">
        <w:rPr>
          <w:rFonts w:asciiTheme="minorHAnsi" w:hAnsiTheme="minorHAnsi" w:cstheme="minorHAnsi"/>
        </w:rPr>
        <w:t xml:space="preserve"> that the </w:t>
      </w:r>
      <w:r w:rsidR="008351ED" w:rsidRPr="00BE51FC">
        <w:rPr>
          <w:rFonts w:asciiTheme="minorHAnsi" w:hAnsiTheme="minorHAnsi" w:cstheme="minorHAnsi"/>
        </w:rPr>
        <w:t>release</w:t>
      </w:r>
      <w:r w:rsidRPr="00BE51FC">
        <w:rPr>
          <w:rFonts w:asciiTheme="minorHAnsi" w:hAnsiTheme="minorHAnsi" w:cstheme="minorHAnsi"/>
        </w:rPr>
        <w:t xml:space="preserve"> of </w:t>
      </w:r>
      <w:bookmarkStart w:id="13" w:name="_Hlk171409089"/>
      <w:r w:rsidR="00E51EFB" w:rsidRPr="00BE51FC">
        <w:rPr>
          <w:rFonts w:asciiTheme="minorHAnsi" w:hAnsiTheme="minorHAnsi" w:cstheme="minorHAnsi"/>
          <w:i/>
          <w:iCs/>
        </w:rPr>
        <w:t>N. unguis-cati</w:t>
      </w:r>
      <w:r w:rsidR="00E51EFB" w:rsidRPr="00BE51FC">
        <w:rPr>
          <w:rFonts w:asciiTheme="minorHAnsi" w:hAnsiTheme="minorHAnsi" w:cstheme="minorHAnsi"/>
        </w:rPr>
        <w:t xml:space="preserve"> </w:t>
      </w:r>
      <w:bookmarkEnd w:id="13"/>
      <w:r w:rsidR="00D22F71" w:rsidRPr="00BE51FC">
        <w:rPr>
          <w:rFonts w:asciiTheme="minorHAnsi" w:hAnsiTheme="minorHAnsi" w:cstheme="minorHAnsi"/>
        </w:rPr>
        <w:t>should be permitted</w:t>
      </w:r>
      <w:r w:rsidR="00F518AA" w:rsidRPr="00BE51FC">
        <w:rPr>
          <w:rFonts w:asciiTheme="minorHAnsi" w:hAnsiTheme="minorHAnsi" w:cstheme="minorHAnsi"/>
        </w:rPr>
        <w:t xml:space="preserve">, subject to standard </w:t>
      </w:r>
      <w:r w:rsidR="00C350C1" w:rsidRPr="00BE51FC">
        <w:rPr>
          <w:rFonts w:asciiTheme="minorHAnsi" w:hAnsiTheme="minorHAnsi" w:cstheme="minorHAnsi"/>
        </w:rPr>
        <w:t>biosecurity requirements</w:t>
      </w:r>
      <w:r w:rsidR="00F518AA" w:rsidRPr="00BE51FC">
        <w:rPr>
          <w:rFonts w:asciiTheme="minorHAnsi" w:hAnsiTheme="minorHAnsi" w:cstheme="minorHAnsi"/>
        </w:rPr>
        <w:t xml:space="preserve"> associated with the import and release of exotic biological control agents</w:t>
      </w:r>
      <w:r w:rsidRPr="00BE51FC">
        <w:rPr>
          <w:rFonts w:asciiTheme="minorHAnsi" w:hAnsiTheme="minorHAnsi" w:cstheme="minorHAnsi"/>
        </w:rPr>
        <w:t>.</w:t>
      </w:r>
    </w:p>
    <w:p w14:paraId="47B812E6" w14:textId="5F98CDC0" w:rsidR="00F518AA" w:rsidRPr="00BE51FC" w:rsidRDefault="00F518AA">
      <w:pPr>
        <w:rPr>
          <w:rFonts w:asciiTheme="minorHAnsi" w:hAnsiTheme="minorHAnsi" w:cstheme="minorHAnsi"/>
        </w:rPr>
      </w:pPr>
      <w:r w:rsidRPr="00BE51FC">
        <w:rPr>
          <w:rFonts w:asciiTheme="minorHAnsi" w:hAnsiTheme="minorHAnsi" w:cstheme="minorHAnsi"/>
        </w:rPr>
        <w:t xml:space="preserve">This </w:t>
      </w:r>
      <w:r w:rsidR="00190871">
        <w:rPr>
          <w:rFonts w:asciiTheme="minorHAnsi" w:hAnsiTheme="minorHAnsi" w:cstheme="minorHAnsi"/>
        </w:rPr>
        <w:t>final</w:t>
      </w:r>
      <w:r w:rsidRPr="00BE51FC">
        <w:rPr>
          <w:rFonts w:asciiTheme="minorHAnsi" w:hAnsiTheme="minorHAnsi" w:cstheme="minorHAnsi"/>
        </w:rPr>
        <w:t xml:space="preserve"> report has determined the overall </w:t>
      </w:r>
      <w:r w:rsidR="00083279" w:rsidRPr="00BE51FC">
        <w:rPr>
          <w:rFonts w:asciiTheme="minorHAnsi" w:hAnsiTheme="minorHAnsi" w:cstheme="minorHAnsi"/>
        </w:rPr>
        <w:t>risk</w:t>
      </w:r>
      <w:r w:rsidRPr="00BE51FC">
        <w:rPr>
          <w:rFonts w:asciiTheme="minorHAnsi" w:hAnsiTheme="minorHAnsi" w:cstheme="minorHAnsi"/>
        </w:rPr>
        <w:t xml:space="preserve"> associated with the release of </w:t>
      </w:r>
      <w:r w:rsidR="00E51EFB" w:rsidRPr="00BE51FC">
        <w:rPr>
          <w:rFonts w:asciiTheme="minorHAnsi" w:hAnsiTheme="minorHAnsi" w:cstheme="minorHAnsi"/>
          <w:i/>
          <w:iCs/>
        </w:rPr>
        <w:t>N. unguis-cati</w:t>
      </w:r>
      <w:r w:rsidRPr="00BE51FC">
        <w:rPr>
          <w:rFonts w:asciiTheme="minorHAnsi" w:hAnsiTheme="minorHAnsi" w:cstheme="minorHAnsi"/>
        </w:rPr>
        <w:t xml:space="preserve"> to be </w:t>
      </w:r>
      <w:bookmarkStart w:id="14" w:name="_Hlk175319357"/>
      <w:r w:rsidR="00EC4DED" w:rsidRPr="00BE51FC">
        <w:rPr>
          <w:rFonts w:asciiTheme="minorHAnsi" w:hAnsiTheme="minorHAnsi" w:cstheme="minorHAnsi"/>
        </w:rPr>
        <w:t>Negligible</w:t>
      </w:r>
      <w:bookmarkEnd w:id="14"/>
      <w:r w:rsidRPr="00BE51FC">
        <w:rPr>
          <w:rFonts w:asciiTheme="minorHAnsi" w:hAnsiTheme="minorHAnsi" w:cstheme="minorHAnsi"/>
        </w:rPr>
        <w:t xml:space="preserve">. A risk estimate of </w:t>
      </w:r>
      <w:r w:rsidR="00EC4DED" w:rsidRPr="00BE51FC">
        <w:rPr>
          <w:rFonts w:asciiTheme="minorHAnsi" w:hAnsiTheme="minorHAnsi" w:cstheme="minorHAnsi"/>
        </w:rPr>
        <w:t xml:space="preserve">Negligible </w:t>
      </w:r>
      <w:r w:rsidRPr="00BE51FC">
        <w:rPr>
          <w:rFonts w:asciiTheme="minorHAnsi" w:hAnsiTheme="minorHAnsi" w:cstheme="minorHAnsi"/>
        </w:rPr>
        <w:t>achieves Australia’s appropriate level of protection (ALOP).</w:t>
      </w:r>
    </w:p>
    <w:p w14:paraId="7BB9DFA9" w14:textId="144427C8" w:rsidR="00DC44DC" w:rsidRPr="00BE51FC" w:rsidRDefault="00DC44DC">
      <w:pPr>
        <w:rPr>
          <w:rFonts w:asciiTheme="minorHAnsi" w:hAnsiTheme="minorHAnsi" w:cstheme="minorHAnsi"/>
        </w:rPr>
      </w:pPr>
      <w:r w:rsidRPr="00BE51FC">
        <w:rPr>
          <w:rFonts w:asciiTheme="minorHAnsi" w:hAnsiTheme="minorHAnsi" w:cstheme="minorHAnsi"/>
        </w:rPr>
        <w:t xml:space="preserve">The assessment of risk to off-target plants included consideration of the testing methodology used and the plant species test list, including non-target species tested in described experiments. The biology of </w:t>
      </w:r>
      <w:r w:rsidR="00E51EFB" w:rsidRPr="00BE51FC">
        <w:rPr>
          <w:rFonts w:asciiTheme="minorHAnsi" w:hAnsiTheme="minorHAnsi" w:cstheme="minorHAnsi"/>
          <w:i/>
          <w:iCs/>
        </w:rPr>
        <w:t>N. unguis-cati</w:t>
      </w:r>
      <w:r w:rsidR="00E51EFB" w:rsidRPr="00BE51FC">
        <w:rPr>
          <w:rFonts w:asciiTheme="minorHAnsi" w:hAnsiTheme="minorHAnsi" w:cstheme="minorHAnsi"/>
        </w:rPr>
        <w:t xml:space="preserve"> </w:t>
      </w:r>
      <w:r w:rsidR="00EC4DED" w:rsidRPr="00BE51FC">
        <w:rPr>
          <w:rFonts w:asciiTheme="minorHAnsi" w:hAnsiTheme="minorHAnsi" w:cstheme="minorHAnsi"/>
        </w:rPr>
        <w:t>was</w:t>
      </w:r>
      <w:r w:rsidRPr="00BE51FC">
        <w:rPr>
          <w:rFonts w:asciiTheme="minorHAnsi" w:hAnsiTheme="minorHAnsi" w:cstheme="minorHAnsi"/>
        </w:rPr>
        <w:t xml:space="preserve"> also considered.</w:t>
      </w:r>
    </w:p>
    <w:p w14:paraId="24C65BFE" w14:textId="21D680A5" w:rsidR="00DC44DC" w:rsidRPr="00BE51FC" w:rsidRDefault="00DC44DC">
      <w:pPr>
        <w:rPr>
          <w:rFonts w:asciiTheme="minorHAnsi" w:hAnsiTheme="minorHAnsi" w:cstheme="minorHAnsi"/>
        </w:rPr>
      </w:pPr>
      <w:r w:rsidRPr="00BE51FC">
        <w:rPr>
          <w:rFonts w:asciiTheme="minorHAnsi" w:hAnsiTheme="minorHAnsi" w:cstheme="minorHAnsi"/>
        </w:rPr>
        <w:t xml:space="preserve">This </w:t>
      </w:r>
      <w:r w:rsidR="00190871">
        <w:rPr>
          <w:rFonts w:asciiTheme="minorHAnsi" w:hAnsiTheme="minorHAnsi" w:cstheme="minorHAnsi"/>
        </w:rPr>
        <w:t>final</w:t>
      </w:r>
      <w:r w:rsidRPr="00BE51FC">
        <w:rPr>
          <w:rFonts w:asciiTheme="minorHAnsi" w:hAnsiTheme="minorHAnsi" w:cstheme="minorHAnsi"/>
        </w:rPr>
        <w:t xml:space="preserve"> report also contains details of the risk assessment process used for consideration of potential off-target effects associated with the proposed release of </w:t>
      </w:r>
      <w:r w:rsidR="008219BF" w:rsidRPr="00BE51FC">
        <w:rPr>
          <w:rFonts w:asciiTheme="minorHAnsi" w:hAnsiTheme="minorHAnsi" w:cstheme="minorHAnsi"/>
          <w:i/>
          <w:iCs/>
        </w:rPr>
        <w:t>N. unguis-cati</w:t>
      </w:r>
      <w:r w:rsidRPr="00BE51FC">
        <w:rPr>
          <w:rFonts w:asciiTheme="minorHAnsi" w:hAnsiTheme="minorHAnsi" w:cstheme="minorHAnsi"/>
        </w:rPr>
        <w:t>.</w:t>
      </w:r>
    </w:p>
    <w:p w14:paraId="40752800" w14:textId="4FE0B10A" w:rsidR="00F1386C" w:rsidRPr="00BE51FC" w:rsidRDefault="00F1386C">
      <w:pPr>
        <w:rPr>
          <w:rFonts w:asciiTheme="minorHAnsi" w:hAnsiTheme="minorHAnsi" w:cstheme="minorHAnsi"/>
        </w:rPr>
      </w:pPr>
      <w:r w:rsidRPr="00BE51FC">
        <w:rPr>
          <w:rFonts w:asciiTheme="minorHAnsi" w:hAnsiTheme="minorHAnsi" w:cstheme="minorHAnsi"/>
        </w:rPr>
        <w:t xml:space="preserve">The application from </w:t>
      </w:r>
      <w:r w:rsidR="008219BF" w:rsidRPr="00BE51FC">
        <w:rPr>
          <w:rFonts w:asciiTheme="minorHAnsi" w:hAnsiTheme="minorHAnsi" w:cstheme="minorHAnsi"/>
        </w:rPr>
        <w:t>QD</w:t>
      </w:r>
      <w:r w:rsidR="007369B8" w:rsidRPr="00BE51FC">
        <w:rPr>
          <w:rFonts w:asciiTheme="minorHAnsi" w:hAnsiTheme="minorHAnsi" w:cstheme="minorHAnsi"/>
        </w:rPr>
        <w:t>PI</w:t>
      </w:r>
      <w:r w:rsidRPr="00BE51FC">
        <w:rPr>
          <w:rFonts w:asciiTheme="minorHAnsi" w:hAnsiTheme="minorHAnsi" w:cstheme="minorHAnsi"/>
        </w:rPr>
        <w:t xml:space="preserve"> that was provided to the department has been included with this </w:t>
      </w:r>
      <w:r w:rsidR="00190871">
        <w:rPr>
          <w:rFonts w:asciiTheme="minorHAnsi" w:hAnsiTheme="minorHAnsi" w:cstheme="minorHAnsi"/>
        </w:rPr>
        <w:t>final</w:t>
      </w:r>
      <w:r w:rsidRPr="00BE51FC">
        <w:rPr>
          <w:rFonts w:asciiTheme="minorHAnsi" w:hAnsiTheme="minorHAnsi" w:cstheme="minorHAnsi"/>
        </w:rPr>
        <w:t xml:space="preserve"> report (Attachment 1).</w:t>
      </w:r>
    </w:p>
    <w:p w14:paraId="698C6D13" w14:textId="77777777" w:rsidR="00DC44DC" w:rsidRDefault="00DC44DC">
      <w:r>
        <w:t xml:space="preserve"> </w:t>
      </w:r>
    </w:p>
    <w:p w14:paraId="4B417361" w14:textId="77777777" w:rsidR="00F1386C" w:rsidRDefault="00F1386C">
      <w:pPr>
        <w:sectPr w:rsidR="00F1386C">
          <w:headerReference w:type="even" r:id="rId44"/>
          <w:headerReference w:type="default" r:id="rId45"/>
          <w:footerReference w:type="even" r:id="rId46"/>
          <w:footerReference w:type="default" r:id="rId47"/>
          <w:headerReference w:type="first" r:id="rId48"/>
          <w:footerReference w:type="first" r:id="rId49"/>
          <w:pgSz w:w="11906" w:h="16838"/>
          <w:pgMar w:top="1418" w:right="1418" w:bottom="1418" w:left="1418" w:header="567" w:footer="283" w:gutter="0"/>
          <w:pgNumType w:start="1"/>
          <w:cols w:space="708"/>
          <w:docGrid w:linePitch="360"/>
        </w:sectPr>
      </w:pPr>
    </w:p>
    <w:p w14:paraId="28F42549" w14:textId="161C222C" w:rsidR="00736319" w:rsidRPr="00F85722" w:rsidRDefault="00D0393D" w:rsidP="00F85722">
      <w:pPr>
        <w:pStyle w:val="Heading2"/>
      </w:pPr>
      <w:bookmarkStart w:id="16" w:name="_Toc114642139"/>
      <w:bookmarkStart w:id="17" w:name="_Toc209446370"/>
      <w:r w:rsidRPr="00F85722">
        <w:lastRenderedPageBreak/>
        <w:t>Introduction</w:t>
      </w:r>
      <w:bookmarkEnd w:id="16"/>
      <w:bookmarkEnd w:id="17"/>
    </w:p>
    <w:p w14:paraId="39471B37" w14:textId="22DD1FD6" w:rsidR="00736319" w:rsidRPr="0083636A" w:rsidRDefault="00D0393D" w:rsidP="0083636A">
      <w:pPr>
        <w:pStyle w:val="Heading3"/>
      </w:pPr>
      <w:bookmarkStart w:id="18" w:name="_Toc114642140"/>
      <w:bookmarkStart w:id="19" w:name="_Toc209446371"/>
      <w:r w:rsidRPr="0083636A">
        <w:t>Australia’s biosecurity policy framework</w:t>
      </w:r>
      <w:bookmarkEnd w:id="18"/>
      <w:bookmarkEnd w:id="19"/>
    </w:p>
    <w:p w14:paraId="77EBE192" w14:textId="4A6CDAA4" w:rsidR="00736319" w:rsidRPr="00BE51FC" w:rsidRDefault="00D0393D">
      <w:pPr>
        <w:rPr>
          <w:rFonts w:asciiTheme="minorHAnsi" w:hAnsiTheme="minorHAnsi" w:cstheme="minorHAnsi"/>
        </w:rPr>
      </w:pPr>
      <w:r w:rsidRPr="00BE51FC">
        <w:rPr>
          <w:rFonts w:asciiTheme="minorHAnsi" w:hAnsiTheme="minorHAnsi" w:cstheme="minorHAnsi"/>
        </w:rPr>
        <w:t xml:space="preserve">Australia's biosecurity policies aim to protect Australia against the risks that may arise from exotic pests entering, establishing and spreading in Australia, thereby threatening Australia's unique flora and fauna, as well as </w:t>
      </w:r>
      <w:r w:rsidR="00451D7F" w:rsidRPr="00BE51FC">
        <w:rPr>
          <w:rFonts w:asciiTheme="minorHAnsi" w:hAnsiTheme="minorHAnsi" w:cstheme="minorHAnsi"/>
        </w:rPr>
        <w:t>Australia’s</w:t>
      </w:r>
      <w:r w:rsidRPr="00BE51FC">
        <w:rPr>
          <w:rFonts w:asciiTheme="minorHAnsi" w:hAnsiTheme="minorHAnsi" w:cstheme="minorHAnsi"/>
        </w:rPr>
        <w:t xml:space="preserve"> agricultural industries that are relatively free from serious pests.</w:t>
      </w:r>
    </w:p>
    <w:p w14:paraId="2F39A104" w14:textId="40999B35" w:rsidR="00C00F7A" w:rsidRPr="00BE51FC" w:rsidRDefault="00C00F7A" w:rsidP="00C00F7A">
      <w:pPr>
        <w:rPr>
          <w:rFonts w:asciiTheme="minorHAnsi" w:hAnsiTheme="minorHAnsi" w:cstheme="minorHAnsi"/>
        </w:rPr>
      </w:pPr>
      <w:r w:rsidRPr="00BE51FC">
        <w:rPr>
          <w:rFonts w:asciiTheme="minorHAnsi" w:hAnsiTheme="minorHAnsi" w:cstheme="minorHAnsi"/>
        </w:rPr>
        <w:t xml:space="preserve">The risk analysis process is an important part of Australia’s biosecurity </w:t>
      </w:r>
      <w:r w:rsidR="00CD74EF" w:rsidRPr="00BE51FC">
        <w:rPr>
          <w:rFonts w:asciiTheme="minorHAnsi" w:hAnsiTheme="minorHAnsi" w:cstheme="minorHAnsi"/>
        </w:rPr>
        <w:t>policy development</w:t>
      </w:r>
      <w:r w:rsidRPr="00BE51FC">
        <w:rPr>
          <w:rFonts w:asciiTheme="minorHAnsi" w:hAnsiTheme="minorHAnsi" w:cstheme="minorHAnsi"/>
        </w:rPr>
        <w:t>. It enables the Australian Government to formally consider the level of biosecurity risk that may be associated with proposals to import goods</w:t>
      </w:r>
      <w:r w:rsidR="003317F2" w:rsidRPr="00BE51FC">
        <w:rPr>
          <w:rFonts w:asciiTheme="minorHAnsi" w:hAnsiTheme="minorHAnsi" w:cstheme="minorHAnsi"/>
        </w:rPr>
        <w:t xml:space="preserve"> </w:t>
      </w:r>
      <w:r w:rsidRPr="00BE51FC">
        <w:rPr>
          <w:rFonts w:asciiTheme="minorHAnsi" w:hAnsiTheme="minorHAnsi" w:cstheme="minorHAnsi"/>
        </w:rPr>
        <w:t>into Australia. If the biosecurity risks do not achieve the appropriate level of protection (ALOP) for Australia, risk management measures are proposed to reduce the risks to an acceptable level. If the risks cannot be reduced to an acceptable level, the goods</w:t>
      </w:r>
      <w:r w:rsidR="003317F2" w:rsidRPr="00BE51FC">
        <w:rPr>
          <w:rFonts w:asciiTheme="minorHAnsi" w:hAnsiTheme="minorHAnsi" w:cstheme="minorHAnsi"/>
        </w:rPr>
        <w:t xml:space="preserve"> </w:t>
      </w:r>
      <w:r w:rsidRPr="00BE51FC">
        <w:rPr>
          <w:rFonts w:asciiTheme="minorHAnsi" w:hAnsiTheme="minorHAnsi" w:cstheme="minorHAnsi"/>
        </w:rPr>
        <w:t>will not be imported into Australia until suitable measures are id</w:t>
      </w:r>
      <w:r w:rsidR="00661268">
        <w:rPr>
          <w:rFonts w:asciiTheme="minorHAnsi" w:hAnsiTheme="minorHAnsi" w:cstheme="minorHAnsi"/>
        </w:rPr>
        <w:t>e</w:t>
      </w:r>
      <w:r w:rsidRPr="00BE51FC">
        <w:rPr>
          <w:rFonts w:asciiTheme="minorHAnsi" w:hAnsiTheme="minorHAnsi" w:cstheme="minorHAnsi"/>
        </w:rPr>
        <w:t>ntified</w:t>
      </w:r>
      <w:r w:rsidR="00E93A5C" w:rsidRPr="00BE51FC">
        <w:rPr>
          <w:rFonts w:asciiTheme="minorHAnsi" w:hAnsiTheme="minorHAnsi" w:cstheme="minorHAnsi"/>
        </w:rPr>
        <w:t xml:space="preserve"> or developed</w:t>
      </w:r>
      <w:r w:rsidRPr="00BE51FC">
        <w:rPr>
          <w:rFonts w:asciiTheme="minorHAnsi" w:hAnsiTheme="minorHAnsi" w:cstheme="minorHAnsi"/>
        </w:rPr>
        <w:t>.</w:t>
      </w:r>
    </w:p>
    <w:p w14:paraId="50E2DD69" w14:textId="77777777" w:rsidR="00C00F7A" w:rsidRPr="00BE51FC" w:rsidRDefault="00C00F7A" w:rsidP="00C00F7A">
      <w:pPr>
        <w:rPr>
          <w:rFonts w:asciiTheme="minorHAnsi" w:hAnsiTheme="minorHAnsi" w:cstheme="minorHAnsi"/>
        </w:rPr>
      </w:pPr>
      <w:r w:rsidRPr="00BE51FC">
        <w:rPr>
          <w:rFonts w:asciiTheme="minorHAnsi" w:hAnsiTheme="minorHAnsi" w:cstheme="minorHAnsi"/>
        </w:rPr>
        <w:t xml:space="preserve">Successive Australian Governments have maintained a stringent, but not a zero risk, approach to the management of biosecurity risks. This approach is expressed in terms of the ALOP for Australia, which is defined in the </w:t>
      </w:r>
      <w:r w:rsidRPr="00BE51FC">
        <w:rPr>
          <w:rFonts w:asciiTheme="minorHAnsi" w:hAnsiTheme="minorHAnsi" w:cstheme="minorHAnsi"/>
          <w:i/>
        </w:rPr>
        <w:t>Biosecurity Act 2015</w:t>
      </w:r>
      <w:r w:rsidRPr="00BE51FC">
        <w:rPr>
          <w:rFonts w:asciiTheme="minorHAnsi" w:hAnsiTheme="minorHAnsi" w:cstheme="minorHAnsi"/>
        </w:rPr>
        <w:t xml:space="preserve"> as providing a high level of protection aimed at reducing risk to a very low level, but not to zero.</w:t>
      </w:r>
    </w:p>
    <w:p w14:paraId="136A30E2" w14:textId="13FB5F69" w:rsidR="00E93A5C" w:rsidRPr="00BE51FC" w:rsidRDefault="00C00F7A" w:rsidP="00C00F7A">
      <w:pPr>
        <w:rPr>
          <w:rFonts w:asciiTheme="minorHAnsi" w:hAnsiTheme="minorHAnsi" w:cstheme="minorHAnsi"/>
        </w:rPr>
      </w:pPr>
      <w:r w:rsidRPr="00BE51FC">
        <w:rPr>
          <w:rFonts w:asciiTheme="minorHAnsi" w:hAnsiTheme="minorHAnsi" w:cstheme="minorHAnsi"/>
        </w:rPr>
        <w:t xml:space="preserve">Australia’s risk analyses are undertaken by the </w:t>
      </w:r>
      <w:r w:rsidR="008120ED" w:rsidRPr="00BE51FC">
        <w:rPr>
          <w:rFonts w:asciiTheme="minorHAnsi" w:hAnsiTheme="minorHAnsi" w:cstheme="minorHAnsi"/>
        </w:rPr>
        <w:t>department</w:t>
      </w:r>
      <w:r w:rsidRPr="00BE51FC">
        <w:rPr>
          <w:rFonts w:asciiTheme="minorHAnsi" w:hAnsiTheme="minorHAnsi" w:cstheme="minorHAnsi"/>
        </w:rPr>
        <w:t xml:space="preserve"> using technical and scientific experts in relevant fields and involve consultation with stakeholders at various stages during the process.</w:t>
      </w:r>
    </w:p>
    <w:p w14:paraId="2A54DF82" w14:textId="3E2AAD0A" w:rsidR="00C00F7A" w:rsidRPr="00BE51FC" w:rsidRDefault="00E93A5C" w:rsidP="00C00F7A">
      <w:pPr>
        <w:rPr>
          <w:rFonts w:asciiTheme="minorHAnsi" w:hAnsiTheme="minorHAnsi" w:cstheme="minorHAnsi"/>
        </w:rPr>
      </w:pPr>
      <w:r w:rsidRPr="00BE51FC">
        <w:rPr>
          <w:rFonts w:asciiTheme="minorHAnsi" w:hAnsiTheme="minorHAnsi" w:cstheme="minorHAnsi"/>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r w:rsidR="00C00F7A" w:rsidRPr="00BE51FC">
        <w:rPr>
          <w:rFonts w:asciiTheme="minorHAnsi" w:hAnsiTheme="minorHAnsi" w:cstheme="minorHAnsi"/>
        </w:rPr>
        <w:t xml:space="preserve"> </w:t>
      </w:r>
    </w:p>
    <w:p w14:paraId="150F5A51" w14:textId="5B3E5FA8" w:rsidR="00C00F7A" w:rsidRPr="00C00F7A" w:rsidRDefault="00C00F7A" w:rsidP="00C00F7A">
      <w:r w:rsidRPr="00BE51FC">
        <w:rPr>
          <w:rFonts w:asciiTheme="minorHAnsi" w:hAnsiTheme="minorHAnsi" w:cstheme="minorHAnsi"/>
        </w:rPr>
        <w:t xml:space="preserve">Further information about Australia’s biosecurity framework is provided in the </w:t>
      </w:r>
      <w:r w:rsidRPr="00BE51FC">
        <w:rPr>
          <w:rFonts w:asciiTheme="minorHAnsi" w:hAnsiTheme="minorHAnsi" w:cstheme="minorHAnsi"/>
          <w:i/>
          <w:iCs/>
        </w:rPr>
        <w:t>Biosecurity</w:t>
      </w:r>
      <w:r w:rsidRPr="00BE51FC">
        <w:rPr>
          <w:rFonts w:asciiTheme="minorHAnsi" w:hAnsiTheme="minorHAnsi" w:cstheme="minorHAnsi"/>
        </w:rPr>
        <w:t xml:space="preserve"> </w:t>
      </w:r>
      <w:r w:rsidRPr="00BE51FC">
        <w:rPr>
          <w:rFonts w:asciiTheme="minorHAnsi" w:hAnsiTheme="minorHAnsi" w:cstheme="minorHAnsi"/>
          <w:i/>
          <w:iCs/>
        </w:rPr>
        <w:t>Import Risk Analysis Guidelines 2016</w:t>
      </w:r>
      <w:r w:rsidRPr="00BE51FC">
        <w:rPr>
          <w:rFonts w:asciiTheme="minorHAnsi" w:hAnsiTheme="minorHAnsi" w:cstheme="minorHAnsi"/>
        </w:rPr>
        <w:t xml:space="preserve"> located on the</w:t>
      </w:r>
      <w:r w:rsidR="00E93A5C" w:rsidRPr="00BE51FC">
        <w:rPr>
          <w:rFonts w:asciiTheme="minorHAnsi" w:hAnsiTheme="minorHAnsi" w:cstheme="minorHAnsi"/>
        </w:rPr>
        <w:t xml:space="preserve"> </w:t>
      </w:r>
      <w:r w:rsidR="008120ED" w:rsidRPr="00BE51FC">
        <w:rPr>
          <w:rFonts w:asciiTheme="minorHAnsi" w:hAnsiTheme="minorHAnsi" w:cstheme="minorHAnsi"/>
        </w:rPr>
        <w:t>department’s</w:t>
      </w:r>
      <w:r w:rsidR="00E93A5C" w:rsidRPr="00BE51FC">
        <w:rPr>
          <w:rFonts w:asciiTheme="minorHAnsi" w:hAnsiTheme="minorHAnsi" w:cstheme="minorHAnsi"/>
        </w:rPr>
        <w:t xml:space="preserve"> website at </w:t>
      </w:r>
      <w:hyperlink r:id="rId50" w:history="1">
        <w:r w:rsidR="00334140" w:rsidRPr="00BE51FC">
          <w:rPr>
            <w:rStyle w:val="Hyperlink"/>
            <w:rFonts w:asciiTheme="minorHAnsi" w:hAnsiTheme="minorHAnsi" w:cstheme="minorHAnsi"/>
          </w:rPr>
          <w:t>agriculture</w:t>
        </w:r>
        <w:r w:rsidR="00E93A5C" w:rsidRPr="00BE51FC">
          <w:rPr>
            <w:rStyle w:val="Hyperlink"/>
            <w:rFonts w:asciiTheme="minorHAnsi" w:hAnsiTheme="minorHAnsi" w:cstheme="minorHAnsi"/>
          </w:rPr>
          <w:t>.gov.au/biosecurity-trade/policy/risk-analysis/guidelines</w:t>
        </w:r>
      </w:hyperlink>
      <w:r w:rsidR="00E93A5C" w:rsidRPr="00BE51FC">
        <w:rPr>
          <w:rFonts w:asciiTheme="minorHAnsi" w:hAnsiTheme="minorHAnsi" w:cstheme="minorHAnsi"/>
        </w:rPr>
        <w:t>.</w:t>
      </w:r>
    </w:p>
    <w:p w14:paraId="090891F9" w14:textId="7171EE5F" w:rsidR="00736319" w:rsidRPr="00F85722" w:rsidRDefault="00D0393D" w:rsidP="00F85722">
      <w:pPr>
        <w:pStyle w:val="Heading2"/>
      </w:pPr>
      <w:bookmarkStart w:id="20" w:name="_Toc114642141"/>
      <w:bookmarkStart w:id="21" w:name="_Toc209446372"/>
      <w:r w:rsidRPr="00F85722">
        <w:lastRenderedPageBreak/>
        <w:t>This risk analysis</w:t>
      </w:r>
      <w:bookmarkEnd w:id="20"/>
      <w:bookmarkEnd w:id="21"/>
    </w:p>
    <w:p w14:paraId="28D4A7F1" w14:textId="77777777" w:rsidR="00736319" w:rsidRPr="00F85722" w:rsidRDefault="00D0393D" w:rsidP="00F85722">
      <w:pPr>
        <w:pStyle w:val="Heading3"/>
      </w:pPr>
      <w:bookmarkStart w:id="22" w:name="_Toc209446373"/>
      <w:r w:rsidRPr="00F85722">
        <w:t>Background</w:t>
      </w:r>
      <w:bookmarkEnd w:id="22"/>
    </w:p>
    <w:p w14:paraId="013BA205" w14:textId="34C5F500" w:rsidR="00736319" w:rsidRPr="00BE51FC" w:rsidRDefault="0053679A">
      <w:pPr>
        <w:rPr>
          <w:rFonts w:asciiTheme="minorHAnsi" w:hAnsiTheme="minorHAnsi" w:cstheme="minorHAnsi"/>
        </w:rPr>
      </w:pPr>
      <w:r w:rsidRPr="00BE51FC">
        <w:rPr>
          <w:rFonts w:asciiTheme="minorHAnsi" w:hAnsiTheme="minorHAnsi" w:cstheme="minorHAnsi"/>
        </w:rPr>
        <w:t xml:space="preserve">An application has been submitted by </w:t>
      </w:r>
      <w:r w:rsidR="00071484" w:rsidRPr="00BE51FC">
        <w:rPr>
          <w:rFonts w:asciiTheme="minorHAnsi" w:hAnsiTheme="minorHAnsi" w:cstheme="minorHAnsi"/>
        </w:rPr>
        <w:t>QD</w:t>
      </w:r>
      <w:r w:rsidR="00E85720" w:rsidRPr="00BE51FC">
        <w:rPr>
          <w:rFonts w:asciiTheme="minorHAnsi" w:hAnsiTheme="minorHAnsi" w:cstheme="minorHAnsi"/>
        </w:rPr>
        <w:t>PI</w:t>
      </w:r>
      <w:r w:rsidR="00D0393D" w:rsidRPr="00BE51FC">
        <w:rPr>
          <w:rFonts w:asciiTheme="minorHAnsi" w:hAnsiTheme="minorHAnsi" w:cstheme="minorHAnsi"/>
        </w:rPr>
        <w:t xml:space="preserve"> to</w:t>
      </w:r>
      <w:r w:rsidRPr="00BE51FC">
        <w:rPr>
          <w:rFonts w:asciiTheme="minorHAnsi" w:hAnsiTheme="minorHAnsi" w:cstheme="minorHAnsi"/>
        </w:rPr>
        <w:t xml:space="preserve"> release a biological control agent (Attachment 1). The </w:t>
      </w:r>
      <w:r w:rsidR="00C86601" w:rsidRPr="00BE51FC">
        <w:rPr>
          <w:rFonts w:asciiTheme="minorHAnsi" w:hAnsiTheme="minorHAnsi" w:cstheme="minorHAnsi"/>
        </w:rPr>
        <w:t xml:space="preserve">identified </w:t>
      </w:r>
      <w:r w:rsidRPr="00BE51FC">
        <w:rPr>
          <w:rFonts w:asciiTheme="minorHAnsi" w:hAnsiTheme="minorHAnsi" w:cstheme="minorHAnsi"/>
        </w:rPr>
        <w:t xml:space="preserve">biological control agent, </w:t>
      </w:r>
      <w:r w:rsidR="00071484" w:rsidRPr="00BE51FC">
        <w:rPr>
          <w:rFonts w:asciiTheme="minorHAnsi" w:hAnsiTheme="minorHAnsi" w:cstheme="minorHAnsi"/>
          <w:i/>
          <w:iCs/>
        </w:rPr>
        <w:t>N. unguis-cati</w:t>
      </w:r>
      <w:r w:rsidR="00B641CB" w:rsidRPr="00BE51FC">
        <w:rPr>
          <w:rFonts w:asciiTheme="minorHAnsi" w:hAnsiTheme="minorHAnsi" w:cstheme="minorHAnsi"/>
        </w:rPr>
        <w:t>,</w:t>
      </w:r>
      <w:r w:rsidR="00071484" w:rsidRPr="00BE51FC">
        <w:rPr>
          <w:rFonts w:asciiTheme="minorHAnsi" w:hAnsiTheme="minorHAnsi" w:cstheme="minorHAnsi"/>
        </w:rPr>
        <w:t xml:space="preserve"> </w:t>
      </w:r>
      <w:r w:rsidRPr="00BE51FC">
        <w:rPr>
          <w:rFonts w:asciiTheme="minorHAnsi" w:hAnsiTheme="minorHAnsi" w:cstheme="minorHAnsi"/>
        </w:rPr>
        <w:t xml:space="preserve">is a </w:t>
      </w:r>
      <w:r w:rsidR="00071484" w:rsidRPr="00BE51FC">
        <w:rPr>
          <w:rFonts w:asciiTheme="minorHAnsi" w:hAnsiTheme="minorHAnsi" w:cstheme="minorHAnsi"/>
        </w:rPr>
        <w:t>leaf spot pathogen</w:t>
      </w:r>
      <w:r w:rsidRPr="00BE51FC">
        <w:rPr>
          <w:rFonts w:asciiTheme="minorHAnsi" w:hAnsiTheme="minorHAnsi" w:cstheme="minorHAnsi"/>
        </w:rPr>
        <w:t xml:space="preserve"> proposed for the biological control of</w:t>
      </w:r>
      <w:r w:rsidR="00B641CB" w:rsidRPr="00BE51FC">
        <w:rPr>
          <w:rFonts w:asciiTheme="minorHAnsi" w:hAnsiTheme="minorHAnsi" w:cstheme="minorHAnsi"/>
        </w:rPr>
        <w:t xml:space="preserve"> cat’s claw creeper</w:t>
      </w:r>
      <w:r w:rsidRPr="00BE51FC">
        <w:rPr>
          <w:rFonts w:asciiTheme="minorHAnsi" w:hAnsiTheme="minorHAnsi" w:cstheme="minorHAnsi"/>
        </w:rPr>
        <w:t xml:space="preserve"> </w:t>
      </w:r>
      <w:r w:rsidR="00071484" w:rsidRPr="00BE51FC">
        <w:rPr>
          <w:rFonts w:asciiTheme="minorHAnsi" w:hAnsiTheme="minorHAnsi" w:cstheme="minorHAnsi"/>
        </w:rPr>
        <w:t>(</w:t>
      </w:r>
      <w:r w:rsidR="00B641CB" w:rsidRPr="00BE51FC">
        <w:rPr>
          <w:rFonts w:asciiTheme="minorHAnsi" w:hAnsiTheme="minorHAnsi" w:cstheme="minorHAnsi"/>
          <w:i/>
          <w:iCs/>
        </w:rPr>
        <w:t>D. unguis-cati</w:t>
      </w:r>
      <w:r w:rsidR="00071484" w:rsidRPr="00BE51FC">
        <w:rPr>
          <w:rFonts w:asciiTheme="minorHAnsi" w:hAnsiTheme="minorHAnsi" w:cstheme="minorHAnsi"/>
        </w:rPr>
        <w:t>)</w:t>
      </w:r>
      <w:r w:rsidRPr="00BE51FC">
        <w:rPr>
          <w:rFonts w:asciiTheme="minorHAnsi" w:hAnsiTheme="minorHAnsi" w:cstheme="minorHAnsi"/>
        </w:rPr>
        <w:t xml:space="preserve">. The applicant has followed the steps outlined in the </w:t>
      </w:r>
      <w:hyperlink r:id="rId51" w:history="1">
        <w:r w:rsidRPr="00BE51FC">
          <w:rPr>
            <w:rStyle w:val="Hyperlink"/>
            <w:rFonts w:asciiTheme="minorHAnsi" w:hAnsiTheme="minorHAnsi" w:cstheme="minorHAnsi"/>
          </w:rPr>
          <w:t>Biosecurity Guidelines</w:t>
        </w:r>
      </w:hyperlink>
      <w:r w:rsidRPr="00BE51FC">
        <w:rPr>
          <w:rFonts w:asciiTheme="minorHAnsi" w:hAnsiTheme="minorHAnsi" w:cstheme="minorHAnsi"/>
        </w:rPr>
        <w:t xml:space="preserve"> for the Introduction of Exotic Biological Control Agents for the Control of Weeds and Plant Pests.</w:t>
      </w:r>
    </w:p>
    <w:p w14:paraId="2F5F184E" w14:textId="4B200ABE" w:rsidR="001C245A" w:rsidRPr="00BE51FC" w:rsidRDefault="001C245A">
      <w:pPr>
        <w:rPr>
          <w:rFonts w:asciiTheme="minorHAnsi" w:hAnsiTheme="minorHAnsi" w:cstheme="minorHAnsi"/>
        </w:rPr>
      </w:pPr>
      <w:r w:rsidRPr="00BE51FC">
        <w:rPr>
          <w:rFonts w:asciiTheme="minorHAnsi" w:hAnsiTheme="minorHAnsi" w:cstheme="minorHAnsi"/>
        </w:rPr>
        <w:t>Cat’s claw</w:t>
      </w:r>
      <w:r w:rsidR="007E0B2B" w:rsidRPr="00BE51FC">
        <w:rPr>
          <w:rFonts w:asciiTheme="minorHAnsi" w:hAnsiTheme="minorHAnsi" w:cstheme="minorHAnsi"/>
        </w:rPr>
        <w:t xml:space="preserve"> creeper</w:t>
      </w:r>
      <w:r w:rsidR="003469E9" w:rsidRPr="00BE51FC">
        <w:rPr>
          <w:rFonts w:asciiTheme="minorHAnsi" w:hAnsiTheme="minorHAnsi" w:cstheme="minorHAnsi"/>
        </w:rPr>
        <w:t xml:space="preserve"> (</w:t>
      </w:r>
      <w:r w:rsidR="003469E9" w:rsidRPr="00BE51FC">
        <w:rPr>
          <w:rFonts w:asciiTheme="minorHAnsi" w:hAnsiTheme="minorHAnsi" w:cstheme="minorHAnsi"/>
          <w:i/>
          <w:iCs/>
        </w:rPr>
        <w:t>D. unguis-cati</w:t>
      </w:r>
      <w:r w:rsidR="003469E9" w:rsidRPr="00BE51FC">
        <w:rPr>
          <w:rFonts w:asciiTheme="minorHAnsi" w:hAnsiTheme="minorHAnsi" w:cstheme="minorHAnsi"/>
        </w:rPr>
        <w:t>)</w:t>
      </w:r>
      <w:r w:rsidR="007E0B2B" w:rsidRPr="00BE51FC">
        <w:rPr>
          <w:rFonts w:asciiTheme="minorHAnsi" w:hAnsiTheme="minorHAnsi" w:cstheme="minorHAnsi"/>
        </w:rPr>
        <w:t xml:space="preserve"> is a </w:t>
      </w:r>
      <w:r w:rsidR="007C76BA" w:rsidRPr="00BE51FC">
        <w:rPr>
          <w:rFonts w:asciiTheme="minorHAnsi" w:hAnsiTheme="minorHAnsi" w:cstheme="minorHAnsi"/>
        </w:rPr>
        <w:t xml:space="preserve">Weed of National Significance (WONS). It is a </w:t>
      </w:r>
      <w:r w:rsidR="007E0B2B" w:rsidRPr="00BE51FC">
        <w:rPr>
          <w:rFonts w:asciiTheme="minorHAnsi" w:hAnsiTheme="minorHAnsi" w:cstheme="minorHAnsi"/>
        </w:rPr>
        <w:t>woody climber with dense evergreen foliage, yellow tubular flowers and hooked tendrils that resemble claws. It is fast growing</w:t>
      </w:r>
      <w:r w:rsidR="0096569A" w:rsidRPr="00BE51FC">
        <w:rPr>
          <w:rFonts w:asciiTheme="minorHAnsi" w:hAnsiTheme="minorHAnsi" w:cstheme="minorHAnsi"/>
        </w:rPr>
        <w:t>, forms dense mats on the forest floor and climbs trees up to 30m high. It is difficult to control due to its fast growth habit and network of subterranean tubers (</w:t>
      </w:r>
      <w:r w:rsidR="004F6EA2">
        <w:rPr>
          <w:rFonts w:asciiTheme="minorHAnsi" w:hAnsiTheme="minorHAnsi" w:cstheme="minorHAnsi"/>
        </w:rPr>
        <w:t>Weeds Australia 2025</w:t>
      </w:r>
      <w:r w:rsidR="0096569A" w:rsidRPr="00BE51FC">
        <w:rPr>
          <w:rFonts w:asciiTheme="minorHAnsi" w:hAnsiTheme="minorHAnsi" w:cstheme="minorHAnsi"/>
        </w:rPr>
        <w:t>).</w:t>
      </w:r>
      <w:r w:rsidR="00B641CB" w:rsidRPr="00BE51FC">
        <w:rPr>
          <w:rFonts w:asciiTheme="minorHAnsi" w:hAnsiTheme="minorHAnsi" w:cstheme="minorHAnsi"/>
        </w:rPr>
        <w:t xml:space="preserve"> Two morphologically distinct populations are present in Australia, a short-pod variety, which is more widespread, and a long-pod variety (</w:t>
      </w:r>
      <w:proofErr w:type="spellStart"/>
      <w:r w:rsidR="00374AF5">
        <w:rPr>
          <w:rFonts w:asciiTheme="minorHAnsi" w:hAnsiTheme="minorHAnsi" w:cstheme="minorHAnsi"/>
        </w:rPr>
        <w:t>Shortus</w:t>
      </w:r>
      <w:proofErr w:type="spellEnd"/>
      <w:r w:rsidR="00374AF5">
        <w:rPr>
          <w:rFonts w:asciiTheme="minorHAnsi" w:hAnsiTheme="minorHAnsi" w:cstheme="minorHAnsi"/>
        </w:rPr>
        <w:t xml:space="preserve"> &amp; Dhileepan 2010)</w:t>
      </w:r>
      <w:r w:rsidR="00B641CB" w:rsidRPr="00BE51FC">
        <w:rPr>
          <w:rFonts w:asciiTheme="minorHAnsi" w:hAnsiTheme="minorHAnsi" w:cstheme="minorHAnsi"/>
        </w:rPr>
        <w:t>.</w:t>
      </w:r>
    </w:p>
    <w:p w14:paraId="0EBB8F34" w14:textId="1AA96B90" w:rsidR="00B641CB" w:rsidRPr="00BE51FC" w:rsidRDefault="00B641CB">
      <w:pPr>
        <w:rPr>
          <w:rFonts w:asciiTheme="minorHAnsi" w:hAnsiTheme="minorHAnsi" w:cstheme="minorHAnsi"/>
        </w:rPr>
      </w:pPr>
      <w:r w:rsidRPr="00BE51FC">
        <w:rPr>
          <w:rFonts w:asciiTheme="minorHAnsi" w:hAnsiTheme="minorHAnsi" w:cstheme="minorHAnsi"/>
        </w:rPr>
        <w:t>It is native to tropical America, including Mexico, Central America and South America (</w:t>
      </w:r>
      <w:r w:rsidR="00A1590E" w:rsidRPr="00A1590E">
        <w:rPr>
          <w:rFonts w:asciiTheme="minorHAnsi" w:hAnsiTheme="minorHAnsi" w:cstheme="minorHAnsi"/>
        </w:rPr>
        <w:t>Weeds Australia 2025</w:t>
      </w:r>
      <w:r w:rsidRPr="00BE51FC">
        <w:rPr>
          <w:rFonts w:asciiTheme="minorHAnsi" w:hAnsiTheme="minorHAnsi" w:cstheme="minorHAnsi"/>
        </w:rPr>
        <w:t>). In Australia, it is predominantly found in the east, from Atherton down to Sydney. Large infestations are found in north-east NSW and south-east QLD (</w:t>
      </w:r>
      <w:r w:rsidR="00A1590E" w:rsidRPr="00A1590E">
        <w:rPr>
          <w:rFonts w:asciiTheme="minorHAnsi" w:hAnsiTheme="minorHAnsi" w:cstheme="minorHAnsi"/>
        </w:rPr>
        <w:t>Weeds Australia 2025</w:t>
      </w:r>
      <w:r w:rsidRPr="00BE51FC">
        <w:rPr>
          <w:rFonts w:asciiTheme="minorHAnsi" w:hAnsiTheme="minorHAnsi" w:cstheme="minorHAnsi"/>
        </w:rPr>
        <w:t>).</w:t>
      </w:r>
    </w:p>
    <w:p w14:paraId="0AF5ABAF" w14:textId="0B675278" w:rsidR="003469E9" w:rsidRPr="00BE51FC" w:rsidRDefault="003469E9">
      <w:pPr>
        <w:rPr>
          <w:rFonts w:asciiTheme="minorHAnsi" w:hAnsiTheme="minorHAnsi" w:cstheme="minorHAnsi"/>
        </w:rPr>
      </w:pPr>
      <w:r w:rsidRPr="00BE51FC">
        <w:rPr>
          <w:rFonts w:asciiTheme="minorHAnsi" w:hAnsiTheme="minorHAnsi" w:cstheme="minorHAnsi"/>
        </w:rPr>
        <w:t xml:space="preserve">The leaf spot pathogen </w:t>
      </w:r>
      <w:r w:rsidRPr="00BE51FC">
        <w:rPr>
          <w:rFonts w:asciiTheme="minorHAnsi" w:hAnsiTheme="minorHAnsi" w:cstheme="minorHAnsi"/>
          <w:i/>
          <w:iCs/>
        </w:rPr>
        <w:t>N. unguis-cati</w:t>
      </w:r>
      <w:r w:rsidRPr="00BE51FC">
        <w:rPr>
          <w:rFonts w:asciiTheme="minorHAnsi" w:hAnsiTheme="minorHAnsi" w:cstheme="minorHAnsi"/>
        </w:rPr>
        <w:t xml:space="preserve"> is native to Argentina, Brazil and Paraguay (Attachment 1). It has been introduced to South Africa where it has spread widely on cat’s claw creeper (Attachment 1).</w:t>
      </w:r>
      <w:r w:rsidR="000808FC" w:rsidRPr="00BE51FC">
        <w:rPr>
          <w:rFonts w:asciiTheme="minorHAnsi" w:hAnsiTheme="minorHAnsi" w:cstheme="minorHAnsi"/>
        </w:rPr>
        <w:t xml:space="preserve"> </w:t>
      </w:r>
      <w:r w:rsidR="00080083" w:rsidRPr="00BE51FC">
        <w:rPr>
          <w:rFonts w:asciiTheme="minorHAnsi" w:hAnsiTheme="minorHAnsi" w:cstheme="minorHAnsi"/>
        </w:rPr>
        <w:t>The pathogen causes necrotic leaf lesions on both sides of cat’s claw creeper leaves, resulting in leaf drop. In affected areas, w</w:t>
      </w:r>
      <w:r w:rsidR="000808FC" w:rsidRPr="00BE51FC">
        <w:rPr>
          <w:rFonts w:asciiTheme="minorHAnsi" w:hAnsiTheme="minorHAnsi" w:cstheme="minorHAnsi"/>
        </w:rPr>
        <w:t xml:space="preserve">idespread defoliation </w:t>
      </w:r>
      <w:r w:rsidR="00080083" w:rsidRPr="00BE51FC">
        <w:rPr>
          <w:rFonts w:asciiTheme="minorHAnsi" w:hAnsiTheme="minorHAnsi" w:cstheme="minorHAnsi"/>
        </w:rPr>
        <w:t xml:space="preserve">occurs </w:t>
      </w:r>
      <w:r w:rsidR="000808FC" w:rsidRPr="00BE51FC">
        <w:rPr>
          <w:rFonts w:asciiTheme="minorHAnsi" w:hAnsiTheme="minorHAnsi" w:cstheme="minorHAnsi"/>
        </w:rPr>
        <w:t xml:space="preserve">on cat’s claw creeper, mostly on young leaves at ground level, with regrowth rapidly infected. </w:t>
      </w:r>
      <w:r w:rsidR="00080083" w:rsidRPr="00BE51FC">
        <w:rPr>
          <w:rFonts w:asciiTheme="minorHAnsi" w:hAnsiTheme="minorHAnsi" w:cstheme="minorHAnsi"/>
        </w:rPr>
        <w:t>In its introduced range in South Africa the pathogen has caused extensive defoliation, resulting in recovery of understory vegetation at affected sites (Attachment 1).</w:t>
      </w:r>
    </w:p>
    <w:p w14:paraId="7D355871" w14:textId="50C88AEE" w:rsidR="007C1030" w:rsidRPr="00BE51FC" w:rsidRDefault="007C1030">
      <w:pPr>
        <w:rPr>
          <w:rFonts w:asciiTheme="minorHAnsi" w:hAnsiTheme="minorHAnsi" w:cstheme="minorHAnsi"/>
        </w:rPr>
      </w:pPr>
      <w:r w:rsidRPr="00BE51FC">
        <w:rPr>
          <w:rFonts w:asciiTheme="minorHAnsi" w:hAnsiTheme="minorHAnsi" w:cstheme="minorHAnsi"/>
        </w:rPr>
        <w:t xml:space="preserve">The isolate of </w:t>
      </w:r>
      <w:r w:rsidRPr="00BE51FC">
        <w:rPr>
          <w:rFonts w:asciiTheme="minorHAnsi" w:hAnsiTheme="minorHAnsi" w:cstheme="minorHAnsi"/>
          <w:i/>
          <w:iCs/>
        </w:rPr>
        <w:t>N. unguis-cati</w:t>
      </w:r>
      <w:r w:rsidRPr="00BE51FC">
        <w:rPr>
          <w:rFonts w:asciiTheme="minorHAnsi" w:hAnsiTheme="minorHAnsi" w:cstheme="minorHAnsi"/>
        </w:rPr>
        <w:t xml:space="preserve"> used in host specificity testing</w:t>
      </w:r>
      <w:r w:rsidR="00411C2E" w:rsidRPr="00BE51FC">
        <w:rPr>
          <w:rFonts w:asciiTheme="minorHAnsi" w:hAnsiTheme="minorHAnsi" w:cstheme="minorHAnsi"/>
        </w:rPr>
        <w:t>, IMI 507115,</w:t>
      </w:r>
      <w:r w:rsidRPr="00BE51FC">
        <w:rPr>
          <w:rFonts w:asciiTheme="minorHAnsi" w:hAnsiTheme="minorHAnsi" w:cstheme="minorHAnsi"/>
        </w:rPr>
        <w:t xml:space="preserve"> was collected from short-pod cat’s claw creeper plants in South Africa.  The material proposed for release will be the same isolate that was used for host specificity testing.</w:t>
      </w:r>
    </w:p>
    <w:p w14:paraId="6B240200" w14:textId="77777777" w:rsidR="00736319" w:rsidRPr="00F85722" w:rsidRDefault="00D0393D" w:rsidP="00F85722">
      <w:pPr>
        <w:pStyle w:val="Heading3"/>
      </w:pPr>
      <w:bookmarkStart w:id="23" w:name="_Toc209446374"/>
      <w:r w:rsidRPr="00F85722">
        <w:t>Scope</w:t>
      </w:r>
      <w:bookmarkEnd w:id="23"/>
    </w:p>
    <w:p w14:paraId="5F6DB5B4" w14:textId="665A8A62" w:rsidR="00027426" w:rsidRPr="00BE51FC" w:rsidRDefault="00A87250" w:rsidP="00027426">
      <w:pPr>
        <w:rPr>
          <w:rFonts w:asciiTheme="minorHAnsi" w:hAnsiTheme="minorHAnsi" w:cstheme="minorHAnsi"/>
        </w:rPr>
      </w:pPr>
      <w:r w:rsidRPr="00BE51FC">
        <w:rPr>
          <w:rFonts w:asciiTheme="minorHAnsi" w:hAnsiTheme="minorHAnsi" w:cstheme="minorHAnsi"/>
        </w:rPr>
        <w:t>The scope of this risk analysis is to consider the biosecurity risk that may be associated with the release of an exotic biological control agent into the Australian environment</w:t>
      </w:r>
      <w:r w:rsidR="00601359" w:rsidRPr="00BE51FC">
        <w:rPr>
          <w:rFonts w:asciiTheme="minorHAnsi" w:hAnsiTheme="minorHAnsi" w:cstheme="minorHAnsi"/>
        </w:rPr>
        <w:t xml:space="preserve"> (excluding its external territories)</w:t>
      </w:r>
      <w:r w:rsidRPr="00BE51FC">
        <w:rPr>
          <w:rFonts w:asciiTheme="minorHAnsi" w:hAnsiTheme="minorHAnsi" w:cstheme="minorHAnsi"/>
        </w:rPr>
        <w:t xml:space="preserve">. The primary risk associated with a release of this nature is the possibility of unwanted off-target effects on other species already present in Australia. The </w:t>
      </w:r>
      <w:r w:rsidR="004914D3" w:rsidRPr="00BE51FC">
        <w:rPr>
          <w:rFonts w:asciiTheme="minorHAnsi" w:hAnsiTheme="minorHAnsi" w:cstheme="minorHAnsi"/>
        </w:rPr>
        <w:t>department</w:t>
      </w:r>
      <w:r w:rsidRPr="00BE51FC">
        <w:rPr>
          <w:rFonts w:asciiTheme="minorHAnsi" w:hAnsiTheme="minorHAnsi" w:cstheme="minorHAnsi"/>
        </w:rPr>
        <w:t xml:space="preserve"> assesses the risk under the </w:t>
      </w:r>
      <w:r w:rsidRPr="00BE51FC">
        <w:rPr>
          <w:rFonts w:asciiTheme="minorHAnsi" w:hAnsiTheme="minorHAnsi" w:cstheme="minorHAnsi"/>
          <w:i/>
        </w:rPr>
        <w:t>Biosecurity Act 2015</w:t>
      </w:r>
      <w:r w:rsidRPr="00BE51FC">
        <w:rPr>
          <w:rFonts w:asciiTheme="minorHAnsi" w:hAnsiTheme="minorHAnsi" w:cstheme="minorHAnsi"/>
        </w:rPr>
        <w:t xml:space="preserve">. </w:t>
      </w:r>
    </w:p>
    <w:p w14:paraId="5DC23222" w14:textId="77777777" w:rsidR="00265A5E" w:rsidRPr="00BE51FC" w:rsidRDefault="00265A5E">
      <w:pPr>
        <w:rPr>
          <w:rFonts w:asciiTheme="minorHAnsi" w:hAnsiTheme="minorHAnsi" w:cstheme="minorHAnsi"/>
        </w:rPr>
      </w:pPr>
      <w:r w:rsidRPr="00BE51FC">
        <w:rPr>
          <w:rFonts w:asciiTheme="minorHAnsi" w:hAnsiTheme="minorHAnsi" w:cstheme="minorHAnsi"/>
        </w:rPr>
        <w:t>Plants that are considered weeds are sometimes</w:t>
      </w:r>
      <w:r w:rsidR="00E45736" w:rsidRPr="00BE51FC">
        <w:rPr>
          <w:rFonts w:asciiTheme="minorHAnsi" w:hAnsiTheme="minorHAnsi" w:cstheme="minorHAnsi"/>
        </w:rPr>
        <w:t xml:space="preserve"> also considered to have value,</w:t>
      </w:r>
      <w:r w:rsidR="00691207" w:rsidRPr="00BE51FC">
        <w:rPr>
          <w:rFonts w:asciiTheme="minorHAnsi" w:hAnsiTheme="minorHAnsi" w:cstheme="minorHAnsi"/>
        </w:rPr>
        <w:t xml:space="preserve"> </w:t>
      </w:r>
      <w:r w:rsidR="00E45736" w:rsidRPr="00BE51FC">
        <w:rPr>
          <w:rFonts w:asciiTheme="minorHAnsi" w:hAnsiTheme="minorHAnsi" w:cstheme="minorHAnsi"/>
        </w:rPr>
        <w:t>f</w:t>
      </w:r>
      <w:r w:rsidR="00691207" w:rsidRPr="00BE51FC">
        <w:rPr>
          <w:rFonts w:asciiTheme="minorHAnsi" w:hAnsiTheme="minorHAnsi" w:cstheme="minorHAnsi"/>
        </w:rPr>
        <w:t xml:space="preserve">or example, </w:t>
      </w:r>
      <w:r w:rsidR="00E45736" w:rsidRPr="00BE51FC">
        <w:rPr>
          <w:rFonts w:asciiTheme="minorHAnsi" w:hAnsiTheme="minorHAnsi" w:cstheme="minorHAnsi"/>
        </w:rPr>
        <w:t xml:space="preserve">for purposes such as </w:t>
      </w:r>
      <w:r w:rsidR="00691207" w:rsidRPr="00BE51FC">
        <w:rPr>
          <w:rFonts w:asciiTheme="minorHAnsi" w:hAnsiTheme="minorHAnsi" w:cstheme="minorHAnsi"/>
        </w:rPr>
        <w:t xml:space="preserve">ornamental </w:t>
      </w:r>
      <w:r w:rsidR="00E45736" w:rsidRPr="00BE51FC">
        <w:rPr>
          <w:rFonts w:asciiTheme="minorHAnsi" w:hAnsiTheme="minorHAnsi" w:cstheme="minorHAnsi"/>
        </w:rPr>
        <w:t>display</w:t>
      </w:r>
      <w:r w:rsidR="00691207" w:rsidRPr="00BE51FC">
        <w:rPr>
          <w:rFonts w:asciiTheme="minorHAnsi" w:hAnsiTheme="minorHAnsi" w:cstheme="minorHAnsi"/>
        </w:rPr>
        <w:t>, traditional medicine, feed for stock</w:t>
      </w:r>
      <w:r w:rsidR="00E45736" w:rsidRPr="00BE51FC">
        <w:rPr>
          <w:rFonts w:asciiTheme="minorHAnsi" w:hAnsiTheme="minorHAnsi" w:cstheme="minorHAnsi"/>
        </w:rPr>
        <w:t>,</w:t>
      </w:r>
      <w:r w:rsidR="00691207" w:rsidRPr="00BE51FC">
        <w:rPr>
          <w:rFonts w:asciiTheme="minorHAnsi" w:hAnsiTheme="minorHAnsi" w:cstheme="minorHAnsi"/>
        </w:rPr>
        <w:t xml:space="preserve"> etc. Consideration</w:t>
      </w:r>
      <w:r w:rsidR="00982940" w:rsidRPr="00BE51FC">
        <w:rPr>
          <w:rFonts w:asciiTheme="minorHAnsi" w:hAnsiTheme="minorHAnsi" w:cstheme="minorHAnsi"/>
        </w:rPr>
        <w:t>s</w:t>
      </w:r>
      <w:r w:rsidR="00691207" w:rsidRPr="00BE51FC">
        <w:rPr>
          <w:rFonts w:asciiTheme="minorHAnsi" w:hAnsiTheme="minorHAnsi" w:cstheme="minorHAnsi"/>
        </w:rPr>
        <w:t xml:space="preserve"> of the benefits</w:t>
      </w:r>
      <w:r w:rsidR="00982940" w:rsidRPr="00BE51FC">
        <w:rPr>
          <w:rFonts w:asciiTheme="minorHAnsi" w:hAnsiTheme="minorHAnsi" w:cstheme="minorHAnsi"/>
        </w:rPr>
        <w:t>,</w:t>
      </w:r>
      <w:r w:rsidR="00691207" w:rsidRPr="00BE51FC">
        <w:rPr>
          <w:rFonts w:asciiTheme="minorHAnsi" w:hAnsiTheme="minorHAnsi" w:cstheme="minorHAnsi"/>
        </w:rPr>
        <w:t xml:space="preserve"> and therefore any</w:t>
      </w:r>
      <w:r w:rsidR="00E45736" w:rsidRPr="00BE51FC">
        <w:rPr>
          <w:rFonts w:asciiTheme="minorHAnsi" w:hAnsiTheme="minorHAnsi" w:cstheme="minorHAnsi"/>
        </w:rPr>
        <w:t xml:space="preserve"> associated</w:t>
      </w:r>
      <w:r w:rsidR="00691207" w:rsidRPr="00BE51FC">
        <w:rPr>
          <w:rFonts w:asciiTheme="minorHAnsi" w:hAnsiTheme="minorHAnsi" w:cstheme="minorHAnsi"/>
        </w:rPr>
        <w:t xml:space="preserve"> concerns about eradication of the target weed species are out of the scope of this analysis.</w:t>
      </w:r>
    </w:p>
    <w:p w14:paraId="7E0A1C56" w14:textId="73BEE6D5" w:rsidR="000354C1" w:rsidRPr="00BE51FC" w:rsidRDefault="000354C1">
      <w:pPr>
        <w:rPr>
          <w:rFonts w:asciiTheme="minorHAnsi" w:hAnsiTheme="minorHAnsi" w:cstheme="minorHAnsi"/>
        </w:rPr>
      </w:pPr>
      <w:r w:rsidRPr="00BE51FC">
        <w:rPr>
          <w:rFonts w:asciiTheme="minorHAnsi" w:hAnsiTheme="minorHAnsi" w:cstheme="minorHAnsi"/>
        </w:rPr>
        <w:t xml:space="preserve">The </w:t>
      </w:r>
      <w:r w:rsidR="004914D3" w:rsidRPr="00BE51FC">
        <w:rPr>
          <w:rFonts w:asciiTheme="minorHAnsi" w:hAnsiTheme="minorHAnsi" w:cstheme="minorHAnsi"/>
        </w:rPr>
        <w:t>department</w:t>
      </w:r>
      <w:r w:rsidRPr="00BE51FC">
        <w:rPr>
          <w:rFonts w:asciiTheme="minorHAnsi" w:hAnsiTheme="minorHAnsi" w:cstheme="minorHAnsi"/>
        </w:rPr>
        <w:t xml:space="preserve"> will not commence an assessment to release a biological control agent unless the target has been approved by an appropriate government body. </w:t>
      </w:r>
      <w:r w:rsidR="00027426" w:rsidRPr="00BE51FC">
        <w:rPr>
          <w:rFonts w:asciiTheme="minorHAnsi" w:hAnsiTheme="minorHAnsi" w:cstheme="minorHAnsi"/>
        </w:rPr>
        <w:t>Cat’s claw creeper (</w:t>
      </w:r>
      <w:r w:rsidR="00027426" w:rsidRPr="00BE51FC">
        <w:rPr>
          <w:rFonts w:asciiTheme="minorHAnsi" w:hAnsiTheme="minorHAnsi" w:cstheme="minorHAnsi"/>
          <w:i/>
          <w:iCs/>
        </w:rPr>
        <w:t>D. unguis</w:t>
      </w:r>
      <w:r w:rsidR="00027426" w:rsidRPr="00BE51FC">
        <w:rPr>
          <w:rFonts w:asciiTheme="minorHAnsi" w:hAnsiTheme="minorHAnsi" w:cstheme="minorHAnsi"/>
          <w:i/>
          <w:iCs/>
        </w:rPr>
        <w:noBreakHyphen/>
        <w:t>cati</w:t>
      </w:r>
      <w:r w:rsidR="00027426" w:rsidRPr="00BE51FC">
        <w:rPr>
          <w:rFonts w:asciiTheme="minorHAnsi" w:hAnsiTheme="minorHAnsi" w:cstheme="minorHAnsi"/>
        </w:rPr>
        <w:t>)</w:t>
      </w:r>
      <w:r w:rsidRPr="00BE51FC">
        <w:rPr>
          <w:rFonts w:asciiTheme="minorHAnsi" w:hAnsiTheme="minorHAnsi" w:cstheme="minorHAnsi"/>
        </w:rPr>
        <w:t xml:space="preserve"> was approved by </w:t>
      </w:r>
      <w:r w:rsidR="00027426" w:rsidRPr="00BE51FC">
        <w:rPr>
          <w:rFonts w:asciiTheme="minorHAnsi" w:hAnsiTheme="minorHAnsi" w:cstheme="minorHAnsi"/>
        </w:rPr>
        <w:t>the former Natural Resource Management Standing Committee (NRMSC)</w:t>
      </w:r>
      <w:r w:rsidRPr="00BE51FC">
        <w:rPr>
          <w:rFonts w:asciiTheme="minorHAnsi" w:hAnsiTheme="minorHAnsi" w:cstheme="minorHAnsi"/>
        </w:rPr>
        <w:t xml:space="preserve"> in </w:t>
      </w:r>
      <w:r w:rsidR="00027426" w:rsidRPr="00BE51FC">
        <w:rPr>
          <w:rFonts w:asciiTheme="minorHAnsi" w:hAnsiTheme="minorHAnsi" w:cstheme="minorHAnsi"/>
        </w:rPr>
        <w:t>2005</w:t>
      </w:r>
      <w:r w:rsidRPr="00BE51FC">
        <w:rPr>
          <w:rFonts w:asciiTheme="minorHAnsi" w:hAnsiTheme="minorHAnsi" w:cstheme="minorHAnsi"/>
        </w:rPr>
        <w:t>.</w:t>
      </w:r>
    </w:p>
    <w:p w14:paraId="64EE1536" w14:textId="644F338E" w:rsidR="00736319" w:rsidRPr="00F85722" w:rsidRDefault="0091716D" w:rsidP="00F85722">
      <w:pPr>
        <w:pStyle w:val="Heading3"/>
      </w:pPr>
      <w:bookmarkStart w:id="24" w:name="_Toc209446375"/>
      <w:r w:rsidRPr="00F85722">
        <w:lastRenderedPageBreak/>
        <w:t>Associated</w:t>
      </w:r>
      <w:r w:rsidR="00D0393D" w:rsidRPr="00F85722">
        <w:t xml:space="preserve"> pests</w:t>
      </w:r>
      <w:bookmarkEnd w:id="24"/>
    </w:p>
    <w:p w14:paraId="1CB0B021" w14:textId="0A4B2D44" w:rsidR="00736319" w:rsidRPr="00BE51FC" w:rsidRDefault="0091716D">
      <w:pPr>
        <w:rPr>
          <w:rFonts w:asciiTheme="minorHAnsi" w:hAnsiTheme="minorHAnsi" w:cstheme="minorHAnsi"/>
        </w:rPr>
      </w:pPr>
      <w:r w:rsidRPr="00BE51FC">
        <w:rPr>
          <w:rFonts w:asciiTheme="minorHAnsi" w:hAnsiTheme="minorHAnsi" w:cstheme="minorHAnsi"/>
        </w:rPr>
        <w:t xml:space="preserve">There are pests that may arrive with an imported exotic biological control agent. Section 9 of the </w:t>
      </w:r>
      <w:r w:rsidRPr="00BE51FC">
        <w:rPr>
          <w:rFonts w:asciiTheme="minorHAnsi" w:hAnsiTheme="minorHAnsi" w:cstheme="minorHAnsi"/>
          <w:i/>
        </w:rPr>
        <w:t>Biosecurity Act 2015</w:t>
      </w:r>
      <w:r w:rsidRPr="00BE51FC">
        <w:rPr>
          <w:rFonts w:asciiTheme="minorHAnsi" w:hAnsiTheme="minorHAnsi" w:cstheme="minorHAnsi"/>
        </w:rPr>
        <w:t xml:space="preserve"> defines a pest as ‘a species, strain or biotype of plant or animal, or a disease agent, that has the potential to cause, either directly or indirectly, harm to: human, animal or plant health; or the environment.’ These pests may include, for example, </w:t>
      </w:r>
      <w:proofErr w:type="spellStart"/>
      <w:r w:rsidRPr="00BE51FC">
        <w:rPr>
          <w:rFonts w:asciiTheme="minorHAnsi" w:hAnsiTheme="minorHAnsi" w:cstheme="minorHAnsi"/>
        </w:rPr>
        <w:t>parasitoids</w:t>
      </w:r>
      <w:proofErr w:type="spellEnd"/>
      <w:r w:rsidRPr="00BE51FC">
        <w:rPr>
          <w:rFonts w:asciiTheme="minorHAnsi" w:hAnsiTheme="minorHAnsi" w:cstheme="minorHAnsi"/>
        </w:rPr>
        <w:t>, mites or fungi. Should an application to release a biological control agent be approved, these pests will be addressed by existing operational procedures that apply to the importation and final release of the agent. These procedures include detailed examination of imported material, confirmation of identity, and breeding under containment conditions before release. For this reason, associated pests are not further considered in this risk analysis.</w:t>
      </w:r>
    </w:p>
    <w:p w14:paraId="2475D558" w14:textId="41AB29BA" w:rsidR="00103073" w:rsidRDefault="00103073" w:rsidP="00F85722">
      <w:pPr>
        <w:pStyle w:val="Heading3"/>
      </w:pPr>
      <w:bookmarkStart w:id="25" w:name="_Toc209446376"/>
      <w:r>
        <w:t>Consultation</w:t>
      </w:r>
      <w:bookmarkEnd w:id="25"/>
    </w:p>
    <w:p w14:paraId="36B498A6" w14:textId="770779AD" w:rsidR="00103073" w:rsidRDefault="00103073" w:rsidP="00103073">
      <w:pPr>
        <w:rPr>
          <w:rFonts w:asciiTheme="minorHAnsi" w:hAnsiTheme="minorHAnsi" w:cstheme="minorHAnsi"/>
        </w:rPr>
      </w:pPr>
      <w:r w:rsidRPr="002C34C4">
        <w:rPr>
          <w:rFonts w:asciiTheme="minorHAnsi" w:hAnsiTheme="minorHAnsi" w:cstheme="minorHAnsi"/>
        </w:rPr>
        <w:t xml:space="preserve">In </w:t>
      </w:r>
      <w:r w:rsidR="00651AD6">
        <w:rPr>
          <w:rFonts w:asciiTheme="minorHAnsi" w:hAnsiTheme="minorHAnsi" w:cstheme="minorHAnsi"/>
        </w:rPr>
        <w:t>February</w:t>
      </w:r>
      <w:r w:rsidRPr="002C34C4">
        <w:rPr>
          <w:rFonts w:asciiTheme="minorHAnsi" w:hAnsiTheme="minorHAnsi" w:cstheme="minorHAnsi"/>
        </w:rPr>
        <w:t xml:space="preserve"> 2025, a preliminary draft of this report was distributed to state and territory departments of primary industry via the Plant Health Committee and the Commonwealth Scientific and Industrial Research Organisation (CSIRO). There were no objections to the proposed recommendation to release </w:t>
      </w:r>
      <w:r w:rsidRPr="002C34C4">
        <w:rPr>
          <w:rFonts w:asciiTheme="minorHAnsi" w:hAnsiTheme="minorHAnsi" w:cstheme="minorHAnsi"/>
          <w:i/>
          <w:iCs/>
        </w:rPr>
        <w:t>N. unguis-cati</w:t>
      </w:r>
      <w:r w:rsidRPr="002C34C4">
        <w:rPr>
          <w:rFonts w:asciiTheme="minorHAnsi" w:hAnsiTheme="minorHAnsi" w:cstheme="minorHAnsi"/>
        </w:rPr>
        <w:t xml:space="preserve"> for the biological control of the weed </w:t>
      </w:r>
      <w:r w:rsidRPr="002C34C4">
        <w:rPr>
          <w:rFonts w:asciiTheme="minorHAnsi" w:hAnsiTheme="minorHAnsi" w:cstheme="minorHAnsi"/>
          <w:i/>
          <w:iCs/>
        </w:rPr>
        <w:t>D. unguis-cati</w:t>
      </w:r>
      <w:r w:rsidRPr="002C34C4">
        <w:rPr>
          <w:rFonts w:asciiTheme="minorHAnsi" w:hAnsiTheme="minorHAnsi" w:cstheme="minorHAnsi"/>
        </w:rPr>
        <w:t>.</w:t>
      </w:r>
    </w:p>
    <w:p w14:paraId="2AB9F490" w14:textId="5F088A1B" w:rsidR="00340846" w:rsidRPr="002C34C4" w:rsidRDefault="007705CD" w:rsidP="00103073">
      <w:pPr>
        <w:rPr>
          <w:rFonts w:asciiTheme="minorHAnsi" w:hAnsiTheme="minorHAnsi" w:cstheme="minorHAnsi"/>
        </w:rPr>
      </w:pPr>
      <w:r>
        <w:rPr>
          <w:rFonts w:asciiTheme="minorHAnsi" w:hAnsiTheme="minorHAnsi" w:cstheme="minorHAnsi"/>
        </w:rPr>
        <w:t xml:space="preserve">On 31 July 2025, Biosecurity Advice 2025-P04 informed stakeholders of the release of a draft risk analysis </w:t>
      </w:r>
      <w:r w:rsidR="00CE4EF7">
        <w:rPr>
          <w:rFonts w:asciiTheme="minorHAnsi" w:hAnsiTheme="minorHAnsi" w:cstheme="minorHAnsi"/>
        </w:rPr>
        <w:t xml:space="preserve">report for the release of </w:t>
      </w:r>
      <w:r w:rsidR="00CE4EF7" w:rsidRPr="00CE4EF7">
        <w:rPr>
          <w:rFonts w:asciiTheme="minorHAnsi" w:hAnsiTheme="minorHAnsi" w:cstheme="minorHAnsi"/>
          <w:i/>
          <w:iCs/>
        </w:rPr>
        <w:t>N. unguis-cati</w:t>
      </w:r>
      <w:r w:rsidR="00CE4EF7" w:rsidRPr="00CE4EF7">
        <w:rPr>
          <w:rFonts w:asciiTheme="minorHAnsi" w:hAnsiTheme="minorHAnsi" w:cstheme="minorHAnsi"/>
        </w:rPr>
        <w:t xml:space="preserve"> for the biological control of the weed </w:t>
      </w:r>
      <w:r w:rsidR="00CE4EF7" w:rsidRPr="00CE4EF7">
        <w:rPr>
          <w:rFonts w:asciiTheme="minorHAnsi" w:hAnsiTheme="minorHAnsi" w:cstheme="minorHAnsi"/>
          <w:i/>
          <w:iCs/>
        </w:rPr>
        <w:t>D. unguis-cati</w:t>
      </w:r>
      <w:r w:rsidR="00CE4EF7" w:rsidRPr="00CE4EF7">
        <w:rPr>
          <w:rFonts w:asciiTheme="minorHAnsi" w:hAnsiTheme="minorHAnsi" w:cstheme="minorHAnsi"/>
        </w:rPr>
        <w:t>.</w:t>
      </w:r>
      <w:r w:rsidR="00CE4EF7">
        <w:rPr>
          <w:rFonts w:asciiTheme="minorHAnsi" w:hAnsiTheme="minorHAnsi" w:cstheme="minorHAnsi"/>
        </w:rPr>
        <w:t xml:space="preserve"> The draft report was released for a </w:t>
      </w:r>
      <w:proofErr w:type="gramStart"/>
      <w:r w:rsidR="00CE4EF7">
        <w:rPr>
          <w:rFonts w:asciiTheme="minorHAnsi" w:hAnsiTheme="minorHAnsi" w:cstheme="minorHAnsi"/>
        </w:rPr>
        <w:t>30 day</w:t>
      </w:r>
      <w:proofErr w:type="gramEnd"/>
      <w:r w:rsidR="00CE4EF7">
        <w:rPr>
          <w:rFonts w:asciiTheme="minorHAnsi" w:hAnsiTheme="minorHAnsi" w:cstheme="minorHAnsi"/>
        </w:rPr>
        <w:t xml:space="preserve"> stakeholder consultation period that closed on 29 August 2025. No stakeholder submissions were received during the consultation period.</w:t>
      </w:r>
    </w:p>
    <w:p w14:paraId="59561957" w14:textId="213FB7AB" w:rsidR="00736319" w:rsidRPr="00F85722" w:rsidRDefault="00D0393D" w:rsidP="00F85722">
      <w:pPr>
        <w:pStyle w:val="Heading3"/>
      </w:pPr>
      <w:bookmarkStart w:id="26" w:name="_Toc209446377"/>
      <w:r w:rsidRPr="00F85722">
        <w:t>Next Steps</w:t>
      </w:r>
      <w:bookmarkEnd w:id="26"/>
    </w:p>
    <w:p w14:paraId="3A0A0FF2" w14:textId="5DCA3AE5" w:rsidR="00736319" w:rsidRPr="00BE51FC" w:rsidRDefault="00D0393D">
      <w:pPr>
        <w:rPr>
          <w:rFonts w:asciiTheme="minorHAnsi" w:hAnsiTheme="minorHAnsi" w:cstheme="minorHAnsi"/>
        </w:rPr>
        <w:sectPr w:rsidR="00736319" w:rsidRPr="00BE51FC">
          <w:headerReference w:type="even" r:id="rId52"/>
          <w:headerReference w:type="default" r:id="rId53"/>
          <w:footerReference w:type="even" r:id="rId54"/>
          <w:footerReference w:type="default" r:id="rId55"/>
          <w:headerReference w:type="first" r:id="rId56"/>
          <w:footerReference w:type="first" r:id="rId57"/>
          <w:pgSz w:w="11906" w:h="16838"/>
          <w:pgMar w:top="1418" w:right="1418" w:bottom="1418" w:left="1418" w:header="567" w:footer="283" w:gutter="0"/>
          <w:cols w:space="708"/>
          <w:docGrid w:linePitch="360"/>
        </w:sectPr>
      </w:pPr>
      <w:r w:rsidRPr="00BE51FC">
        <w:rPr>
          <w:rFonts w:asciiTheme="minorHAnsi" w:hAnsiTheme="minorHAnsi" w:cstheme="minorHAnsi"/>
        </w:rPr>
        <w:t xml:space="preserve">Publication of </w:t>
      </w:r>
      <w:r w:rsidR="00CE4EF7">
        <w:rPr>
          <w:rFonts w:asciiTheme="minorHAnsi" w:hAnsiTheme="minorHAnsi" w:cstheme="minorHAnsi"/>
        </w:rPr>
        <w:t>this</w:t>
      </w:r>
      <w:r w:rsidRPr="00BE51FC">
        <w:rPr>
          <w:rFonts w:asciiTheme="minorHAnsi" w:hAnsiTheme="minorHAnsi" w:cstheme="minorHAnsi"/>
        </w:rPr>
        <w:t xml:space="preserve"> final report represents the end of the</w:t>
      </w:r>
      <w:r w:rsidR="0057429D" w:rsidRPr="00BE51FC">
        <w:rPr>
          <w:rFonts w:asciiTheme="minorHAnsi" w:hAnsiTheme="minorHAnsi" w:cstheme="minorHAnsi"/>
        </w:rPr>
        <w:t xml:space="preserve"> risk analysis</w:t>
      </w:r>
      <w:r w:rsidRPr="00BE51FC">
        <w:rPr>
          <w:rFonts w:asciiTheme="minorHAnsi" w:hAnsiTheme="minorHAnsi" w:cstheme="minorHAnsi"/>
        </w:rPr>
        <w:t xml:space="preserve"> process.</w:t>
      </w:r>
      <w:r w:rsidR="0057429D" w:rsidRPr="00BE51FC">
        <w:rPr>
          <w:rFonts w:asciiTheme="minorHAnsi" w:hAnsiTheme="minorHAnsi" w:cstheme="minorHAnsi"/>
        </w:rPr>
        <w:t xml:space="preserve"> If the </w:t>
      </w:r>
      <w:r w:rsidR="004914D3" w:rsidRPr="00BE51FC">
        <w:rPr>
          <w:rFonts w:asciiTheme="minorHAnsi" w:hAnsiTheme="minorHAnsi" w:cstheme="minorHAnsi"/>
        </w:rPr>
        <w:t>department</w:t>
      </w:r>
      <w:r w:rsidR="0057429D" w:rsidRPr="00BE51FC">
        <w:rPr>
          <w:rFonts w:asciiTheme="minorHAnsi" w:hAnsiTheme="minorHAnsi" w:cstheme="minorHAnsi"/>
        </w:rPr>
        <w:t xml:space="preserve"> approves release of the biological control agent</w:t>
      </w:r>
      <w:r w:rsidR="006F43E2" w:rsidRPr="00BE51FC">
        <w:rPr>
          <w:rFonts w:asciiTheme="minorHAnsi" w:hAnsiTheme="minorHAnsi" w:cstheme="minorHAnsi"/>
        </w:rPr>
        <w:t>,</w:t>
      </w:r>
      <w:r w:rsidR="0057429D" w:rsidRPr="00BE51FC">
        <w:rPr>
          <w:rFonts w:asciiTheme="minorHAnsi" w:hAnsiTheme="minorHAnsi" w:cstheme="minorHAnsi"/>
        </w:rPr>
        <w:t xml:space="preserve"> a letter will be sent to the applicant providing conditions of release. </w:t>
      </w:r>
      <w:r w:rsidRPr="00BE51FC">
        <w:rPr>
          <w:rFonts w:asciiTheme="minorHAnsi" w:hAnsiTheme="minorHAnsi" w:cstheme="minorHAnsi"/>
        </w:rPr>
        <w:t xml:space="preserve"> </w:t>
      </w:r>
    </w:p>
    <w:p w14:paraId="2F129C12" w14:textId="0C3490FF" w:rsidR="00736319" w:rsidRDefault="006B0659" w:rsidP="00F85722">
      <w:pPr>
        <w:pStyle w:val="Heading2"/>
      </w:pPr>
      <w:bookmarkStart w:id="27" w:name="_Toc114642142"/>
      <w:bookmarkStart w:id="28" w:name="_Toc209446378"/>
      <w:r>
        <w:lastRenderedPageBreak/>
        <w:t>Assessment of off-target risks</w:t>
      </w:r>
      <w:bookmarkEnd w:id="27"/>
      <w:bookmarkEnd w:id="28"/>
    </w:p>
    <w:p w14:paraId="77FA1A41" w14:textId="1C858D48" w:rsidR="007B4BAD" w:rsidRPr="00BE51FC" w:rsidRDefault="007B4BAD" w:rsidP="007B4BAD">
      <w:pPr>
        <w:rPr>
          <w:rFonts w:asciiTheme="minorHAnsi" w:hAnsiTheme="minorHAnsi" w:cstheme="minorHAnsi"/>
        </w:rPr>
      </w:pPr>
      <w:r w:rsidRPr="00BE51FC">
        <w:rPr>
          <w:rFonts w:asciiTheme="minorHAnsi" w:hAnsiTheme="minorHAnsi" w:cstheme="minorHAnsi"/>
        </w:rPr>
        <w:t xml:space="preserve">This section sets out the assessment of off-target risks that could be associated with the release of the biological control agent. Where appropriate, the methods followed those used for pest risk analysis (PRA) by the </w:t>
      </w:r>
      <w:r w:rsidR="004914D3" w:rsidRPr="00BE51FC">
        <w:rPr>
          <w:rFonts w:asciiTheme="minorHAnsi" w:hAnsiTheme="minorHAnsi" w:cstheme="minorHAnsi"/>
        </w:rPr>
        <w:t>department</w:t>
      </w:r>
      <w:r w:rsidRPr="00BE51FC">
        <w:rPr>
          <w:rFonts w:asciiTheme="minorHAnsi" w:hAnsiTheme="minorHAnsi" w:cstheme="minorHAnsi"/>
        </w:rPr>
        <w:t xml:space="preserve"> </w:t>
      </w:r>
      <w:r w:rsidR="00DD7624" w:rsidRPr="00BE51FC">
        <w:rPr>
          <w:rFonts w:asciiTheme="minorHAnsi" w:hAnsiTheme="minorHAnsi" w:cstheme="minorHAnsi"/>
        </w:rPr>
        <w:t>which are consistent</w:t>
      </w:r>
      <w:r w:rsidRPr="00BE51FC">
        <w:rPr>
          <w:rFonts w:asciiTheme="minorHAnsi" w:hAnsiTheme="minorHAnsi" w:cstheme="minorHAnsi"/>
        </w:rPr>
        <w:t xml:space="preserve"> with the International Standards for Phytosanitary Measures (ISPMs), including ISPM 2: </w:t>
      </w:r>
      <w:r w:rsidRPr="00BE51FC">
        <w:rPr>
          <w:rFonts w:asciiTheme="minorHAnsi" w:hAnsiTheme="minorHAnsi" w:cstheme="minorHAnsi"/>
          <w:i/>
        </w:rPr>
        <w:t>Framework for pest risk analysis</w:t>
      </w:r>
      <w:r w:rsidRPr="00BE51FC">
        <w:rPr>
          <w:rFonts w:asciiTheme="minorHAnsi" w:hAnsiTheme="minorHAnsi" w:cstheme="minorHAnsi"/>
        </w:rPr>
        <w:t xml:space="preserve"> (FAO </w:t>
      </w:r>
      <w:r w:rsidR="00D21A8E" w:rsidRPr="00BE51FC">
        <w:rPr>
          <w:rFonts w:asciiTheme="minorHAnsi" w:hAnsiTheme="minorHAnsi" w:cstheme="minorHAnsi"/>
        </w:rPr>
        <w:t>2019a</w:t>
      </w:r>
      <w:r w:rsidRPr="00BE51FC">
        <w:rPr>
          <w:rFonts w:asciiTheme="minorHAnsi" w:hAnsiTheme="minorHAnsi" w:cstheme="minorHAnsi"/>
        </w:rPr>
        <w:t xml:space="preserve">), ISPM 3: </w:t>
      </w:r>
      <w:r w:rsidRPr="00BE51FC">
        <w:rPr>
          <w:rFonts w:asciiTheme="minorHAnsi" w:hAnsiTheme="minorHAnsi" w:cstheme="minorHAnsi"/>
          <w:i/>
        </w:rPr>
        <w:t>Guidelines for the export, shipment, import and release of biological control agents and other beneficial organisms</w:t>
      </w:r>
      <w:r w:rsidRPr="00BE51FC">
        <w:rPr>
          <w:rFonts w:asciiTheme="minorHAnsi" w:hAnsiTheme="minorHAnsi" w:cstheme="minorHAnsi"/>
        </w:rPr>
        <w:t xml:space="preserve"> (FAO 2017) and ISPM 11: </w:t>
      </w:r>
      <w:r w:rsidRPr="00BE51FC">
        <w:rPr>
          <w:rFonts w:asciiTheme="minorHAnsi" w:hAnsiTheme="minorHAnsi" w:cstheme="minorHAnsi"/>
          <w:i/>
        </w:rPr>
        <w:t>Pest risk analysis for quarantine pests</w:t>
      </w:r>
      <w:r w:rsidR="009D2A7D" w:rsidRPr="00BE51FC">
        <w:rPr>
          <w:rFonts w:asciiTheme="minorHAnsi" w:hAnsiTheme="minorHAnsi" w:cstheme="minorHAnsi"/>
        </w:rPr>
        <w:t xml:space="preserve"> (FAO </w:t>
      </w:r>
      <w:r w:rsidR="00B32D0B" w:rsidRPr="00BE51FC">
        <w:rPr>
          <w:rFonts w:asciiTheme="minorHAnsi" w:hAnsiTheme="minorHAnsi" w:cstheme="minorHAnsi"/>
        </w:rPr>
        <w:t>2019b</w:t>
      </w:r>
      <w:r w:rsidRPr="00BE51FC">
        <w:rPr>
          <w:rFonts w:asciiTheme="minorHAnsi" w:hAnsiTheme="minorHAnsi" w:cstheme="minorHAnsi"/>
        </w:rPr>
        <w:t xml:space="preserve">) </w:t>
      </w:r>
      <w:r w:rsidR="005B63AD" w:rsidRPr="00BE51FC">
        <w:rPr>
          <w:rFonts w:asciiTheme="minorHAnsi" w:hAnsiTheme="minorHAnsi" w:cstheme="minorHAnsi"/>
        </w:rPr>
        <w:t>and</w:t>
      </w:r>
      <w:r w:rsidRPr="00BE51FC">
        <w:rPr>
          <w:rFonts w:asciiTheme="minorHAnsi" w:hAnsiTheme="minorHAnsi" w:cstheme="minorHAnsi"/>
        </w:rPr>
        <w:t xml:space="preserve"> the </w:t>
      </w:r>
      <w:r w:rsidR="00714FFC" w:rsidRPr="00BE51FC">
        <w:rPr>
          <w:rFonts w:asciiTheme="minorHAnsi" w:hAnsiTheme="minorHAnsi" w:cstheme="minorHAnsi"/>
        </w:rPr>
        <w:t>WTO Agreement on the Application of Sanitary and Phytosanitary Measures (</w:t>
      </w:r>
      <w:r w:rsidR="00DD7624" w:rsidRPr="00BE51FC">
        <w:rPr>
          <w:rFonts w:asciiTheme="minorHAnsi" w:hAnsiTheme="minorHAnsi" w:cstheme="minorHAnsi"/>
        </w:rPr>
        <w:t xml:space="preserve">the </w:t>
      </w:r>
      <w:r w:rsidR="00714FFC" w:rsidRPr="00BE51FC">
        <w:rPr>
          <w:rFonts w:asciiTheme="minorHAnsi" w:hAnsiTheme="minorHAnsi" w:cstheme="minorHAnsi"/>
        </w:rPr>
        <w:t>SPS Agreement)</w:t>
      </w:r>
      <w:r w:rsidRPr="00BE51FC">
        <w:rPr>
          <w:rFonts w:asciiTheme="minorHAnsi" w:hAnsiTheme="minorHAnsi" w:cstheme="minorHAnsi"/>
        </w:rPr>
        <w:t xml:space="preserve"> (WTO 1995). The methodology for a commodity-based PRA is provided in Appendix A.</w:t>
      </w:r>
    </w:p>
    <w:p w14:paraId="50CE26E6" w14:textId="77777777" w:rsidR="007B4BAD" w:rsidRPr="00BE51FC" w:rsidRDefault="007B4BAD" w:rsidP="007B4BAD">
      <w:pPr>
        <w:rPr>
          <w:rFonts w:asciiTheme="minorHAnsi" w:hAnsiTheme="minorHAnsi" w:cstheme="minorHAnsi"/>
        </w:rPr>
      </w:pPr>
      <w:r w:rsidRPr="00BE51FC">
        <w:rPr>
          <w:rFonts w:asciiTheme="minorHAnsi" w:hAnsiTheme="minorHAnsi" w:cstheme="minorHAnsi"/>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0FB725FE" w14:textId="77777777" w:rsidR="007B4BAD" w:rsidRPr="00BE51FC" w:rsidRDefault="007B4BAD" w:rsidP="007B4BAD">
      <w:pPr>
        <w:rPr>
          <w:rFonts w:asciiTheme="minorHAnsi" w:hAnsiTheme="minorHAnsi" w:cstheme="minorHAnsi"/>
        </w:rPr>
      </w:pPr>
      <w:r w:rsidRPr="00BE51FC">
        <w:rPr>
          <w:rFonts w:asciiTheme="minorHAnsi" w:hAnsiTheme="minorHAnsi" w:cstheme="minorHAnsi"/>
        </w:rPr>
        <w:t>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Table 2.1, marked ‘very low risk’, represents the</w:t>
      </w:r>
      <w:r w:rsidR="00C43C3E" w:rsidRPr="00BE51FC">
        <w:rPr>
          <w:rFonts w:asciiTheme="minorHAnsi" w:hAnsiTheme="minorHAnsi" w:cstheme="minorHAnsi"/>
        </w:rPr>
        <w:t xml:space="preserve"> upper boundary of the</w:t>
      </w:r>
      <w:r w:rsidRPr="00BE51FC">
        <w:rPr>
          <w:rFonts w:asciiTheme="minorHAnsi" w:hAnsiTheme="minorHAnsi" w:cstheme="minorHAnsi"/>
        </w:rPr>
        <w:t xml:space="preserve"> ALOP for Australia.</w:t>
      </w:r>
    </w:p>
    <w:p w14:paraId="00392BFD" w14:textId="77777777" w:rsidR="007B4BAD" w:rsidRPr="00BE51FC" w:rsidRDefault="007B4BAD" w:rsidP="007B4BAD">
      <w:pPr>
        <w:rPr>
          <w:rFonts w:asciiTheme="minorHAnsi" w:hAnsiTheme="minorHAnsi" w:cstheme="minorHAnsi"/>
        </w:rPr>
      </w:pPr>
      <w:r w:rsidRPr="00BE51FC">
        <w:rPr>
          <w:rFonts w:asciiTheme="minorHAnsi" w:hAnsiTheme="minorHAnsi" w:cstheme="minorHAnsi"/>
        </w:rPr>
        <w:t>The risk associated with the release of a biological control agent is a combination of the estimates of likelihood of off-target effects and the potential consequences of any off-target effects. A risk estimation matrix (Table 2.1) is used to combine these estimates.</w:t>
      </w:r>
    </w:p>
    <w:p w14:paraId="2C592A8E" w14:textId="5CF459C9" w:rsidR="007B4BAD" w:rsidRPr="00BB7202" w:rsidRDefault="007B4BAD" w:rsidP="007B4BAD">
      <w:pPr>
        <w:pStyle w:val="Caption"/>
        <w:rPr>
          <w:rFonts w:asciiTheme="minorHAnsi" w:hAnsiTheme="minorHAnsi" w:cstheme="minorHAnsi"/>
        </w:rPr>
      </w:pPr>
      <w:bookmarkStart w:id="29" w:name="_Toc506467523"/>
      <w:bookmarkStart w:id="30" w:name="_Toc112674175"/>
      <w:bookmarkStart w:id="31" w:name="_Toc209446387"/>
      <w:r w:rsidRPr="00BB7202">
        <w:rPr>
          <w:rFonts w:asciiTheme="minorHAnsi" w:hAnsiTheme="minorHAnsi" w:cstheme="minorHAnsi"/>
        </w:rPr>
        <w:t>Table 2.</w:t>
      </w:r>
      <w:r w:rsidR="00C21661" w:rsidRPr="00BB7202">
        <w:rPr>
          <w:rFonts w:asciiTheme="minorHAnsi" w:hAnsiTheme="minorHAnsi" w:cstheme="minorHAnsi"/>
          <w:noProof/>
        </w:rPr>
        <w:fldChar w:fldCharType="begin"/>
      </w:r>
      <w:r w:rsidR="00C21661" w:rsidRPr="00BB7202">
        <w:rPr>
          <w:rFonts w:asciiTheme="minorHAnsi" w:hAnsiTheme="minorHAnsi" w:cstheme="minorHAnsi"/>
          <w:noProof/>
        </w:rPr>
        <w:instrText xml:space="preserve"> SEQ Table \* ARABIC </w:instrText>
      </w:r>
      <w:r w:rsidR="00C21661" w:rsidRPr="00BB7202">
        <w:rPr>
          <w:rFonts w:asciiTheme="minorHAnsi" w:hAnsiTheme="minorHAnsi" w:cstheme="minorHAnsi"/>
          <w:noProof/>
        </w:rPr>
        <w:fldChar w:fldCharType="separate"/>
      </w:r>
      <w:r w:rsidR="00391357">
        <w:rPr>
          <w:rFonts w:asciiTheme="minorHAnsi" w:hAnsiTheme="minorHAnsi" w:cstheme="minorHAnsi"/>
          <w:noProof/>
        </w:rPr>
        <w:t>1</w:t>
      </w:r>
      <w:r w:rsidR="00C21661" w:rsidRPr="00BB7202">
        <w:rPr>
          <w:rFonts w:asciiTheme="minorHAnsi" w:hAnsiTheme="minorHAnsi" w:cstheme="minorHAnsi"/>
          <w:noProof/>
        </w:rPr>
        <w:fldChar w:fldCharType="end"/>
      </w:r>
      <w:r w:rsidRPr="00BB7202">
        <w:rPr>
          <w:rFonts w:asciiTheme="minorHAnsi" w:hAnsiTheme="minorHAnsi" w:cstheme="minorHAnsi"/>
        </w:rPr>
        <w:t xml:space="preserve"> Risk estimation matrix.</w:t>
      </w:r>
      <w:bookmarkEnd w:id="29"/>
      <w:bookmarkEnd w:id="30"/>
      <w:bookmarkEnd w:id="31"/>
    </w:p>
    <w:tbl>
      <w:tblPr>
        <w:tblW w:w="5000" w:type="pct"/>
        <w:tblLook w:val="0000" w:firstRow="0" w:lastRow="0" w:firstColumn="0" w:lastColumn="0" w:noHBand="0" w:noVBand="0"/>
      </w:tblPr>
      <w:tblGrid>
        <w:gridCol w:w="1441"/>
        <w:gridCol w:w="1270"/>
        <w:gridCol w:w="1270"/>
        <w:gridCol w:w="1272"/>
        <w:gridCol w:w="1270"/>
        <w:gridCol w:w="1270"/>
        <w:gridCol w:w="1267"/>
      </w:tblGrid>
      <w:tr w:rsidR="007B4BAD" w14:paraId="45E71885" w14:textId="77777777" w:rsidTr="007B4BAD">
        <w:trPr>
          <w:cantSplit/>
          <w:trHeight w:val="551"/>
        </w:trPr>
        <w:tc>
          <w:tcPr>
            <w:tcW w:w="795" w:type="pct"/>
            <w:vMerge w:val="restart"/>
            <w:tcBorders>
              <w:top w:val="single" w:sz="4" w:space="0" w:color="auto"/>
              <w:left w:val="single" w:sz="4" w:space="0" w:color="auto"/>
              <w:bottom w:val="single" w:sz="4" w:space="0" w:color="BFBFBF"/>
            </w:tcBorders>
            <w:vAlign w:val="bottom"/>
          </w:tcPr>
          <w:p w14:paraId="73C2526A"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Likelihood of off-target effects</w:t>
            </w:r>
          </w:p>
        </w:tc>
        <w:tc>
          <w:tcPr>
            <w:tcW w:w="4205" w:type="pct"/>
            <w:gridSpan w:val="6"/>
            <w:tcBorders>
              <w:top w:val="single" w:sz="4" w:space="0" w:color="auto"/>
              <w:left w:val="nil"/>
              <w:bottom w:val="single" w:sz="4" w:space="0" w:color="BFBFBF"/>
              <w:right w:val="single" w:sz="4" w:space="0" w:color="auto"/>
            </w:tcBorders>
            <w:vAlign w:val="bottom"/>
          </w:tcPr>
          <w:p w14:paraId="00E0AA04"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Consequences of off-target effects</w:t>
            </w:r>
          </w:p>
        </w:tc>
      </w:tr>
      <w:tr w:rsidR="007B4BAD" w14:paraId="198BCCDD" w14:textId="77777777" w:rsidTr="007B4BAD">
        <w:trPr>
          <w:cantSplit/>
        </w:trPr>
        <w:tc>
          <w:tcPr>
            <w:tcW w:w="795" w:type="pct"/>
            <w:vMerge/>
            <w:tcBorders>
              <w:top w:val="single" w:sz="4" w:space="0" w:color="BFBFBF"/>
              <w:left w:val="single" w:sz="4" w:space="0" w:color="auto"/>
              <w:bottom w:val="single" w:sz="4" w:space="0" w:color="BFBFBF"/>
            </w:tcBorders>
          </w:tcPr>
          <w:p w14:paraId="4DA48194" w14:textId="77777777" w:rsidR="007B4BAD" w:rsidRPr="00BB7202" w:rsidRDefault="007B4BAD" w:rsidP="00472B02">
            <w:pPr>
              <w:pStyle w:val="TableText"/>
              <w:rPr>
                <w:rFonts w:asciiTheme="minorHAnsi" w:hAnsiTheme="minorHAnsi" w:cstheme="minorHAnsi"/>
                <w:color w:val="FFFFFF"/>
              </w:rPr>
            </w:pPr>
          </w:p>
        </w:tc>
        <w:tc>
          <w:tcPr>
            <w:tcW w:w="701" w:type="pct"/>
            <w:tcBorders>
              <w:top w:val="single" w:sz="4" w:space="0" w:color="BFBFBF"/>
              <w:left w:val="nil"/>
              <w:bottom w:val="single" w:sz="8" w:space="0" w:color="C0C0C0"/>
            </w:tcBorders>
            <w:vAlign w:val="bottom"/>
          </w:tcPr>
          <w:p w14:paraId="3B0BF936"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 xml:space="preserve">Negligible </w:t>
            </w:r>
          </w:p>
        </w:tc>
        <w:tc>
          <w:tcPr>
            <w:tcW w:w="701" w:type="pct"/>
            <w:tcBorders>
              <w:top w:val="single" w:sz="4" w:space="0" w:color="BFBFBF"/>
              <w:bottom w:val="single" w:sz="8" w:space="0" w:color="C0C0C0"/>
            </w:tcBorders>
            <w:vAlign w:val="bottom"/>
          </w:tcPr>
          <w:p w14:paraId="55645C6A"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Very low</w:t>
            </w:r>
          </w:p>
        </w:tc>
        <w:tc>
          <w:tcPr>
            <w:tcW w:w="702" w:type="pct"/>
            <w:tcBorders>
              <w:top w:val="single" w:sz="4" w:space="0" w:color="BFBFBF"/>
              <w:bottom w:val="single" w:sz="8" w:space="0" w:color="C0C0C0"/>
            </w:tcBorders>
            <w:vAlign w:val="bottom"/>
          </w:tcPr>
          <w:p w14:paraId="063A3982"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 xml:space="preserve">Low </w:t>
            </w:r>
          </w:p>
        </w:tc>
        <w:tc>
          <w:tcPr>
            <w:tcW w:w="701" w:type="pct"/>
            <w:tcBorders>
              <w:top w:val="single" w:sz="4" w:space="0" w:color="BFBFBF"/>
              <w:bottom w:val="single" w:sz="8" w:space="0" w:color="C0C0C0"/>
            </w:tcBorders>
            <w:vAlign w:val="bottom"/>
          </w:tcPr>
          <w:p w14:paraId="02BCF264"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w:t>
            </w:r>
          </w:p>
        </w:tc>
        <w:tc>
          <w:tcPr>
            <w:tcW w:w="701" w:type="pct"/>
            <w:tcBorders>
              <w:top w:val="single" w:sz="4" w:space="0" w:color="BFBFBF"/>
              <w:bottom w:val="single" w:sz="8" w:space="0" w:color="C0C0C0"/>
            </w:tcBorders>
            <w:vAlign w:val="bottom"/>
          </w:tcPr>
          <w:p w14:paraId="25ABA8B7"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High</w:t>
            </w:r>
          </w:p>
        </w:tc>
        <w:tc>
          <w:tcPr>
            <w:tcW w:w="699" w:type="pct"/>
            <w:tcBorders>
              <w:top w:val="single" w:sz="4" w:space="0" w:color="BFBFBF"/>
              <w:bottom w:val="single" w:sz="8" w:space="0" w:color="C0C0C0"/>
              <w:right w:val="single" w:sz="4" w:space="0" w:color="auto"/>
            </w:tcBorders>
            <w:vAlign w:val="bottom"/>
          </w:tcPr>
          <w:p w14:paraId="45744BC6"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 xml:space="preserve">Extreme </w:t>
            </w:r>
          </w:p>
        </w:tc>
      </w:tr>
      <w:tr w:rsidR="007B4BAD" w14:paraId="54356223"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233EFD46"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 xml:space="preserve">High </w:t>
            </w:r>
          </w:p>
        </w:tc>
        <w:tc>
          <w:tcPr>
            <w:tcW w:w="701" w:type="pct"/>
            <w:tcBorders>
              <w:top w:val="single" w:sz="4" w:space="0" w:color="D9D9D9"/>
              <w:left w:val="single" w:sz="4" w:space="0" w:color="D9D9D9"/>
              <w:bottom w:val="single" w:sz="8" w:space="0" w:color="C0C0C0"/>
              <w:right w:val="single" w:sz="8" w:space="0" w:color="C0C0C0"/>
            </w:tcBorders>
            <w:shd w:val="clear" w:color="auto" w:fill="F2F2F2"/>
          </w:tcPr>
          <w:p w14:paraId="428728BE"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4" w:space="0" w:color="D9D9D9"/>
              <w:left w:val="single" w:sz="8" w:space="0" w:color="C0C0C0"/>
              <w:bottom w:val="single" w:sz="8" w:space="0" w:color="C0C0C0"/>
              <w:right w:val="single" w:sz="8" w:space="0" w:color="C0C0C0"/>
            </w:tcBorders>
            <w:shd w:val="clear" w:color="auto" w:fill="000000"/>
          </w:tcPr>
          <w:p w14:paraId="5632D158" w14:textId="13E7E4AD"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c>
          <w:tcPr>
            <w:tcW w:w="702" w:type="pct"/>
            <w:tcBorders>
              <w:top w:val="single" w:sz="4" w:space="0" w:color="D9D9D9"/>
              <w:left w:val="single" w:sz="8" w:space="0" w:color="C0C0C0"/>
              <w:bottom w:val="single" w:sz="8" w:space="0" w:color="C0C0C0"/>
              <w:right w:val="single" w:sz="8" w:space="0" w:color="C0C0C0"/>
            </w:tcBorders>
            <w:shd w:val="clear" w:color="auto" w:fill="CCFFCC"/>
          </w:tcPr>
          <w:p w14:paraId="76961261"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 risk</w:t>
            </w:r>
          </w:p>
        </w:tc>
        <w:tc>
          <w:tcPr>
            <w:tcW w:w="701" w:type="pct"/>
            <w:tcBorders>
              <w:top w:val="single" w:sz="4" w:space="0" w:color="D9D9D9"/>
              <w:left w:val="single" w:sz="8" w:space="0" w:color="C0C0C0"/>
              <w:bottom w:val="single" w:sz="8" w:space="0" w:color="C0C0C0"/>
              <w:right w:val="single" w:sz="8" w:space="0" w:color="C0C0C0"/>
            </w:tcBorders>
            <w:shd w:val="clear" w:color="auto" w:fill="FFFF99"/>
          </w:tcPr>
          <w:p w14:paraId="764C0547"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 risk</w:t>
            </w:r>
          </w:p>
        </w:tc>
        <w:tc>
          <w:tcPr>
            <w:tcW w:w="701" w:type="pct"/>
            <w:tcBorders>
              <w:top w:val="single" w:sz="4" w:space="0" w:color="D9D9D9"/>
              <w:left w:val="single" w:sz="8" w:space="0" w:color="C0C0C0"/>
              <w:bottom w:val="single" w:sz="8" w:space="0" w:color="C0C0C0"/>
              <w:right w:val="single" w:sz="8" w:space="0" w:color="C0C0C0"/>
            </w:tcBorders>
            <w:shd w:val="clear" w:color="auto" w:fill="FFCC99"/>
          </w:tcPr>
          <w:p w14:paraId="5D736050"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High risk</w:t>
            </w:r>
          </w:p>
        </w:tc>
        <w:tc>
          <w:tcPr>
            <w:tcW w:w="699" w:type="pct"/>
            <w:tcBorders>
              <w:top w:val="single" w:sz="4" w:space="0" w:color="D9D9D9"/>
              <w:left w:val="single" w:sz="8" w:space="0" w:color="C0C0C0"/>
              <w:bottom w:val="single" w:sz="8" w:space="0" w:color="C0C0C0"/>
              <w:right w:val="single" w:sz="4" w:space="0" w:color="auto"/>
            </w:tcBorders>
            <w:shd w:val="clear" w:color="auto" w:fill="FF99CC"/>
          </w:tcPr>
          <w:p w14:paraId="2E42D014"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Extreme risk</w:t>
            </w:r>
          </w:p>
        </w:tc>
      </w:tr>
      <w:tr w:rsidR="007B4BAD" w14:paraId="69F42B34"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1F02AE83"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44ED8A3E"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7DD3E45" w14:textId="1F050E9E"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2DAABD6D"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A31C8B5"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2ED6D85"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High risk</w:t>
            </w:r>
          </w:p>
        </w:tc>
        <w:tc>
          <w:tcPr>
            <w:tcW w:w="699" w:type="pct"/>
            <w:tcBorders>
              <w:top w:val="single" w:sz="8" w:space="0" w:color="C0C0C0"/>
              <w:left w:val="single" w:sz="8" w:space="0" w:color="C0C0C0"/>
              <w:bottom w:val="single" w:sz="8" w:space="0" w:color="C0C0C0"/>
              <w:right w:val="single" w:sz="4" w:space="0" w:color="auto"/>
            </w:tcBorders>
            <w:shd w:val="clear" w:color="auto" w:fill="FF99CC"/>
          </w:tcPr>
          <w:p w14:paraId="598F4FC5"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Extreme risk</w:t>
            </w:r>
          </w:p>
        </w:tc>
      </w:tr>
      <w:tr w:rsidR="007B4BAD" w14:paraId="7E5736E9"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572A66A5"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10B0B258"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65B68ABF"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6F5A4BE" w14:textId="3D39FE05"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38BDE152"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6779C786"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 risk</w:t>
            </w:r>
          </w:p>
        </w:tc>
        <w:tc>
          <w:tcPr>
            <w:tcW w:w="699" w:type="pct"/>
            <w:tcBorders>
              <w:top w:val="single" w:sz="8" w:space="0" w:color="C0C0C0"/>
              <w:left w:val="single" w:sz="8" w:space="0" w:color="C0C0C0"/>
              <w:bottom w:val="single" w:sz="8" w:space="0" w:color="C0C0C0"/>
              <w:right w:val="single" w:sz="4" w:space="0" w:color="auto"/>
            </w:tcBorders>
            <w:shd w:val="clear" w:color="auto" w:fill="FFCC99"/>
          </w:tcPr>
          <w:p w14:paraId="45E85D7C"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High risk</w:t>
            </w:r>
          </w:p>
        </w:tc>
      </w:tr>
      <w:tr w:rsidR="007B4BAD" w14:paraId="75A7F172"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72E272D1"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Very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745BA499"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7AC67857"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cPr>
          <w:p w14:paraId="2B039E10"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4D39A6A" w14:textId="742730E3"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4D79CBE"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 risk</w:t>
            </w:r>
          </w:p>
        </w:tc>
        <w:tc>
          <w:tcPr>
            <w:tcW w:w="699" w:type="pct"/>
            <w:tcBorders>
              <w:top w:val="single" w:sz="8" w:space="0" w:color="C0C0C0"/>
              <w:left w:val="single" w:sz="8" w:space="0" w:color="C0C0C0"/>
              <w:bottom w:val="single" w:sz="8" w:space="0" w:color="C0C0C0"/>
              <w:right w:val="single" w:sz="4" w:space="0" w:color="auto"/>
            </w:tcBorders>
            <w:shd w:val="clear" w:color="auto" w:fill="FFFF99"/>
          </w:tcPr>
          <w:p w14:paraId="5EA4DC65"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 risk</w:t>
            </w:r>
          </w:p>
        </w:tc>
      </w:tr>
      <w:tr w:rsidR="007B4BAD" w14:paraId="3662540E"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46E68BB0"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Extremely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1589C0B9"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60B32E41"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cPr>
          <w:p w14:paraId="55026487"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57D784FB"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2156748" w14:textId="3388A9EB"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c>
          <w:tcPr>
            <w:tcW w:w="699" w:type="pct"/>
            <w:tcBorders>
              <w:top w:val="single" w:sz="8" w:space="0" w:color="C0C0C0"/>
              <w:left w:val="single" w:sz="8" w:space="0" w:color="C0C0C0"/>
              <w:bottom w:val="single" w:sz="8" w:space="0" w:color="C0C0C0"/>
              <w:right w:val="single" w:sz="4" w:space="0" w:color="auto"/>
            </w:tcBorders>
            <w:shd w:val="clear" w:color="auto" w:fill="CCFFCC"/>
          </w:tcPr>
          <w:p w14:paraId="0A27DD52"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 risk</w:t>
            </w:r>
          </w:p>
        </w:tc>
      </w:tr>
      <w:tr w:rsidR="007B4BAD" w14:paraId="55CE21B5" w14:textId="77777777" w:rsidTr="007B4BAD">
        <w:trPr>
          <w:cantSplit/>
        </w:trPr>
        <w:tc>
          <w:tcPr>
            <w:tcW w:w="795" w:type="pct"/>
            <w:tcBorders>
              <w:top w:val="single" w:sz="4" w:space="0" w:color="BFBFBF"/>
              <w:left w:val="single" w:sz="4" w:space="0" w:color="auto"/>
              <w:bottom w:val="single" w:sz="4" w:space="0" w:color="auto"/>
              <w:right w:val="single" w:sz="4" w:space="0" w:color="D9D9D9"/>
            </w:tcBorders>
          </w:tcPr>
          <w:p w14:paraId="753F6F92"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 xml:space="preserve">Negligible </w:t>
            </w:r>
          </w:p>
        </w:tc>
        <w:tc>
          <w:tcPr>
            <w:tcW w:w="701" w:type="pct"/>
            <w:tcBorders>
              <w:top w:val="single" w:sz="8" w:space="0" w:color="C0C0C0"/>
              <w:left w:val="single" w:sz="4" w:space="0" w:color="D9D9D9"/>
              <w:bottom w:val="single" w:sz="4" w:space="0" w:color="auto"/>
              <w:right w:val="single" w:sz="8" w:space="0" w:color="C0C0C0"/>
            </w:tcBorders>
            <w:shd w:val="clear" w:color="auto" w:fill="F2F2F2"/>
          </w:tcPr>
          <w:p w14:paraId="1DA8246F"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568A7B7B"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cPr>
          <w:p w14:paraId="19B010A0"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127A9608"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03DA6476"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699" w:type="pct"/>
            <w:tcBorders>
              <w:top w:val="single" w:sz="8" w:space="0" w:color="C0C0C0"/>
              <w:left w:val="single" w:sz="8" w:space="0" w:color="C0C0C0"/>
              <w:bottom w:val="single" w:sz="4" w:space="0" w:color="auto"/>
              <w:right w:val="single" w:sz="4" w:space="0" w:color="auto"/>
            </w:tcBorders>
            <w:shd w:val="clear" w:color="auto" w:fill="000000"/>
          </w:tcPr>
          <w:p w14:paraId="6C4CB524" w14:textId="51AC3635"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r>
    </w:tbl>
    <w:p w14:paraId="17EA47D2" w14:textId="762C2295" w:rsidR="007B4BAD" w:rsidRPr="00F74DCD" w:rsidRDefault="007B4BAD" w:rsidP="00B96F59">
      <w:pPr>
        <w:pStyle w:val="Heading3"/>
      </w:pPr>
      <w:bookmarkStart w:id="32" w:name="_Toc114642143"/>
      <w:bookmarkStart w:id="33" w:name="_Toc209446379"/>
      <w:r w:rsidRPr="00F74DCD">
        <w:t>Stage 1</w:t>
      </w:r>
      <w:r w:rsidR="005E3C5C" w:rsidRPr="00F74DCD">
        <w:t>:</w:t>
      </w:r>
      <w:r w:rsidRPr="00F74DCD">
        <w:t xml:space="preserve"> Initiation</w:t>
      </w:r>
      <w:bookmarkEnd w:id="32"/>
      <w:bookmarkEnd w:id="33"/>
    </w:p>
    <w:p w14:paraId="11D1F26C" w14:textId="231CE9C6" w:rsidR="007B4BAD" w:rsidRPr="00BB7202" w:rsidRDefault="007B4BAD" w:rsidP="007B4BAD">
      <w:pPr>
        <w:rPr>
          <w:rFonts w:asciiTheme="minorHAnsi" w:hAnsiTheme="minorHAnsi" w:cstheme="minorHAnsi"/>
        </w:rPr>
      </w:pPr>
      <w:r w:rsidRPr="00BB7202">
        <w:rPr>
          <w:rFonts w:asciiTheme="minorHAnsi" w:hAnsiTheme="minorHAnsi" w:cstheme="minorHAnsi"/>
        </w:rPr>
        <w:t>Initiation commences when an applicant provides a submission proposing the release of a biological control agent.</w:t>
      </w:r>
      <w:r w:rsidR="00C6395B" w:rsidRPr="00BB7202">
        <w:rPr>
          <w:rFonts w:asciiTheme="minorHAnsi" w:hAnsiTheme="minorHAnsi" w:cstheme="minorHAnsi"/>
        </w:rPr>
        <w:t xml:space="preserve"> The </w:t>
      </w:r>
      <w:r w:rsidR="004914D3" w:rsidRPr="00BB7202">
        <w:rPr>
          <w:rFonts w:asciiTheme="minorHAnsi" w:hAnsiTheme="minorHAnsi" w:cstheme="minorHAnsi"/>
        </w:rPr>
        <w:t>department</w:t>
      </w:r>
      <w:r w:rsidR="00C6395B" w:rsidRPr="00BB7202">
        <w:rPr>
          <w:rFonts w:asciiTheme="minorHAnsi" w:hAnsiTheme="minorHAnsi" w:cstheme="minorHAnsi"/>
        </w:rPr>
        <w:t xml:space="preserve"> will not commence an assessment to release a biological control agent unless the target </w:t>
      </w:r>
      <w:r w:rsidR="00714FFC" w:rsidRPr="00BB7202">
        <w:rPr>
          <w:rFonts w:asciiTheme="minorHAnsi" w:hAnsiTheme="minorHAnsi" w:cstheme="minorHAnsi"/>
        </w:rPr>
        <w:t xml:space="preserve">pest in the submission </w:t>
      </w:r>
      <w:r w:rsidR="00C6395B" w:rsidRPr="00BB7202">
        <w:rPr>
          <w:rFonts w:asciiTheme="minorHAnsi" w:hAnsiTheme="minorHAnsi" w:cstheme="minorHAnsi"/>
        </w:rPr>
        <w:t xml:space="preserve">has been approved </w:t>
      </w:r>
      <w:r w:rsidR="00714FFC" w:rsidRPr="00BB7202">
        <w:rPr>
          <w:rFonts w:asciiTheme="minorHAnsi" w:hAnsiTheme="minorHAnsi" w:cstheme="minorHAnsi"/>
        </w:rPr>
        <w:t xml:space="preserve">as a biological control target </w:t>
      </w:r>
      <w:r w:rsidR="00C6395B" w:rsidRPr="00BB7202">
        <w:rPr>
          <w:rFonts w:asciiTheme="minorHAnsi" w:hAnsiTheme="minorHAnsi" w:cstheme="minorHAnsi"/>
        </w:rPr>
        <w:t>by an appropriate government body.</w:t>
      </w:r>
    </w:p>
    <w:p w14:paraId="3E4DD660" w14:textId="3954A41B" w:rsidR="007B4BAD" w:rsidRPr="00BB7202" w:rsidRDefault="007B4BAD" w:rsidP="007B4BAD">
      <w:pPr>
        <w:rPr>
          <w:rFonts w:asciiTheme="minorHAnsi" w:hAnsiTheme="minorHAnsi" w:cstheme="minorHAnsi"/>
        </w:rPr>
      </w:pPr>
      <w:r w:rsidRPr="00BB7202">
        <w:rPr>
          <w:rFonts w:asciiTheme="minorHAnsi" w:hAnsiTheme="minorHAnsi" w:cstheme="minorHAnsi"/>
        </w:rPr>
        <w:t>The risk analysis area is defined as all of Australia</w:t>
      </w:r>
      <w:r w:rsidR="00601359" w:rsidRPr="00BB7202">
        <w:rPr>
          <w:rFonts w:asciiTheme="minorHAnsi" w:hAnsiTheme="minorHAnsi" w:cstheme="minorHAnsi"/>
        </w:rPr>
        <w:t xml:space="preserve"> (excluding its external territories),</w:t>
      </w:r>
      <w:r w:rsidRPr="00BB7202">
        <w:rPr>
          <w:rFonts w:asciiTheme="minorHAnsi" w:hAnsiTheme="minorHAnsi" w:cstheme="minorHAnsi"/>
        </w:rPr>
        <w:t xml:space="preserve"> given that once released there will be no control of spread of the agent other than environmental constraints related to the biology of the organism.</w:t>
      </w:r>
    </w:p>
    <w:p w14:paraId="4B26031B" w14:textId="3ADCA5F0" w:rsidR="007B4BAD" w:rsidRPr="00F74DCD" w:rsidRDefault="007B4BAD" w:rsidP="00B96F59">
      <w:pPr>
        <w:pStyle w:val="Heading3"/>
      </w:pPr>
      <w:bookmarkStart w:id="34" w:name="_Toc506467509"/>
      <w:bookmarkStart w:id="35" w:name="_Toc114642144"/>
      <w:bookmarkStart w:id="36" w:name="_Toc209446380"/>
      <w:r w:rsidRPr="00F74DCD">
        <w:lastRenderedPageBreak/>
        <w:t>Stage 2</w:t>
      </w:r>
      <w:r w:rsidR="005E3C5C" w:rsidRPr="00F74DCD">
        <w:t>:</w:t>
      </w:r>
      <w:r w:rsidRPr="00F74DCD">
        <w:t xml:space="preserve"> Risk assessment</w:t>
      </w:r>
      <w:bookmarkEnd w:id="34"/>
      <w:bookmarkEnd w:id="35"/>
      <w:bookmarkEnd w:id="36"/>
    </w:p>
    <w:p w14:paraId="0C5201AC" w14:textId="77777777" w:rsidR="007B4BAD" w:rsidRPr="00BB7202" w:rsidRDefault="007B4BAD" w:rsidP="007B4BAD">
      <w:pPr>
        <w:rPr>
          <w:rFonts w:asciiTheme="minorHAnsi" w:hAnsiTheme="minorHAnsi" w:cstheme="minorHAnsi"/>
        </w:rPr>
      </w:pPr>
      <w:r w:rsidRPr="00BB7202">
        <w:rPr>
          <w:rFonts w:asciiTheme="minorHAnsi" w:hAnsiTheme="minorHAnsi" w:cstheme="minorHAnsi"/>
        </w:rPr>
        <w:t xml:space="preserve">This assessment evaluates the likelihood of off-target effects and the potential economic and environmental consequences of </w:t>
      </w:r>
      <w:r w:rsidR="00C43C3E" w:rsidRPr="00BB7202">
        <w:rPr>
          <w:rFonts w:asciiTheme="minorHAnsi" w:hAnsiTheme="minorHAnsi" w:cstheme="minorHAnsi"/>
        </w:rPr>
        <w:t>any such</w:t>
      </w:r>
      <w:r w:rsidRPr="00BB7202">
        <w:rPr>
          <w:rFonts w:asciiTheme="minorHAnsi" w:hAnsiTheme="minorHAnsi" w:cstheme="minorHAnsi"/>
        </w:rPr>
        <w:t xml:space="preserve"> effects.</w:t>
      </w:r>
    </w:p>
    <w:p w14:paraId="4116D550" w14:textId="77777777" w:rsidR="007B4BAD" w:rsidRPr="00BB7202" w:rsidRDefault="00CB6892" w:rsidP="007B4BAD">
      <w:pPr>
        <w:rPr>
          <w:rFonts w:asciiTheme="minorHAnsi" w:hAnsiTheme="minorHAnsi" w:cstheme="minorHAnsi"/>
        </w:rPr>
      </w:pPr>
      <w:r w:rsidRPr="00BB7202">
        <w:rPr>
          <w:rFonts w:asciiTheme="minorHAnsi" w:hAnsiTheme="minorHAnsi" w:cstheme="minorHAnsi"/>
        </w:rPr>
        <w:t xml:space="preserve">The risk assessment is based primarily on consideration of the information provided by the applicant in the application package, including the results of host specificity testing, and current information in the scientific literature, where this is available. </w:t>
      </w:r>
      <w:r w:rsidR="007B4BAD" w:rsidRPr="00BB7202">
        <w:rPr>
          <w:rFonts w:asciiTheme="minorHAnsi" w:hAnsiTheme="minorHAnsi" w:cstheme="minorHAnsi"/>
        </w:rPr>
        <w:t>Given that the proposal is for deliberate release, the likelihood of entry, establishment and spread is assumed to be certain</w:t>
      </w:r>
      <w:r w:rsidR="00C43C3E" w:rsidRPr="00BB7202">
        <w:rPr>
          <w:rFonts w:asciiTheme="minorHAnsi" w:hAnsiTheme="minorHAnsi" w:cstheme="minorHAnsi"/>
        </w:rPr>
        <w:t>,</w:t>
      </w:r>
      <w:r w:rsidR="007B4BAD" w:rsidRPr="00BB7202">
        <w:rPr>
          <w:rFonts w:asciiTheme="minorHAnsi" w:hAnsiTheme="minorHAnsi" w:cstheme="minorHAnsi"/>
        </w:rPr>
        <w:t xml:space="preserve"> and therefore the assessment relates to the host specificity of the proposed agent.</w:t>
      </w:r>
    </w:p>
    <w:p w14:paraId="24022FE3" w14:textId="5B8CAB0D" w:rsidR="007B4BAD" w:rsidRPr="00BB7202" w:rsidRDefault="007B4BAD" w:rsidP="007B4BAD">
      <w:pPr>
        <w:rPr>
          <w:rFonts w:asciiTheme="minorHAnsi" w:hAnsiTheme="minorHAnsi" w:cstheme="minorHAnsi"/>
        </w:rPr>
      </w:pPr>
      <w:r w:rsidRPr="00BB7202">
        <w:rPr>
          <w:rFonts w:asciiTheme="minorHAnsi" w:hAnsiTheme="minorHAnsi" w:cstheme="minorHAnsi"/>
        </w:rPr>
        <w:t>A likelihood is assigned to the estimate of</w:t>
      </w:r>
      <w:r w:rsidR="00C43C3E" w:rsidRPr="00BB7202">
        <w:rPr>
          <w:rFonts w:asciiTheme="minorHAnsi" w:hAnsiTheme="minorHAnsi" w:cstheme="minorHAnsi"/>
        </w:rPr>
        <w:t xml:space="preserve"> occurrence of</w:t>
      </w:r>
      <w:r w:rsidRPr="00BB7202">
        <w:rPr>
          <w:rFonts w:asciiTheme="minorHAnsi" w:hAnsiTheme="minorHAnsi" w:cstheme="minorHAnsi"/>
        </w:rPr>
        <w:t xml:space="preserve"> off-target effects. Six descriptors are used: high; moderate; low; very low; extremely lo</w:t>
      </w:r>
      <w:r w:rsidR="007635BE" w:rsidRPr="00BB7202">
        <w:rPr>
          <w:rFonts w:asciiTheme="minorHAnsi" w:hAnsiTheme="minorHAnsi" w:cstheme="minorHAnsi"/>
        </w:rPr>
        <w:t>w; and negligible. D</w:t>
      </w:r>
      <w:r w:rsidRPr="00BB7202">
        <w:rPr>
          <w:rFonts w:asciiTheme="minorHAnsi" w:hAnsiTheme="minorHAnsi" w:cstheme="minorHAnsi"/>
        </w:rPr>
        <w:t xml:space="preserve">efinitions for these descriptors and their indicative ranges are given in Appendix A, Table </w:t>
      </w:r>
      <w:r w:rsidR="00F07DA9" w:rsidRPr="00BB7202">
        <w:rPr>
          <w:rFonts w:asciiTheme="minorHAnsi" w:hAnsiTheme="minorHAnsi" w:cstheme="minorHAnsi"/>
        </w:rPr>
        <w:t>A.</w:t>
      </w:r>
      <w:r w:rsidRPr="00BB7202">
        <w:rPr>
          <w:rFonts w:asciiTheme="minorHAnsi" w:hAnsiTheme="minorHAnsi" w:cstheme="minorHAnsi"/>
        </w:rPr>
        <w:t>1.</w:t>
      </w:r>
    </w:p>
    <w:p w14:paraId="02F3D86F" w14:textId="77777777" w:rsidR="00AA431D" w:rsidRPr="00B96F59" w:rsidRDefault="00AA431D" w:rsidP="00B96F59">
      <w:pPr>
        <w:pStyle w:val="Heading4"/>
      </w:pPr>
      <w:r w:rsidRPr="00B96F59">
        <w:t>Host specificity testing methodology</w:t>
      </w:r>
    </w:p>
    <w:p w14:paraId="5FC2B9F1" w14:textId="62C227F6" w:rsidR="00AA431D" w:rsidRPr="00BB7202" w:rsidRDefault="00EA71BB" w:rsidP="00AA431D">
      <w:pPr>
        <w:rPr>
          <w:rFonts w:asciiTheme="minorHAnsi" w:hAnsiTheme="minorHAnsi" w:cstheme="minorHAnsi"/>
        </w:rPr>
      </w:pPr>
      <w:r w:rsidRPr="00BB7202">
        <w:rPr>
          <w:rFonts w:asciiTheme="minorHAnsi" w:hAnsiTheme="minorHAnsi" w:cstheme="minorHAnsi"/>
        </w:rPr>
        <w:t>The following information regarding host specificity testing has been sourced from the application provided by QD</w:t>
      </w:r>
      <w:r w:rsidR="00E85720" w:rsidRPr="00BB7202">
        <w:rPr>
          <w:rFonts w:asciiTheme="minorHAnsi" w:hAnsiTheme="minorHAnsi" w:cstheme="minorHAnsi"/>
        </w:rPr>
        <w:t xml:space="preserve">PI </w:t>
      </w:r>
      <w:r w:rsidRPr="00BB7202">
        <w:rPr>
          <w:rFonts w:asciiTheme="minorHAnsi" w:hAnsiTheme="minorHAnsi" w:cstheme="minorHAnsi"/>
        </w:rPr>
        <w:t>(Attachment 1). For further details please refer to the application and its appendices.</w:t>
      </w:r>
    </w:p>
    <w:p w14:paraId="77217156" w14:textId="71CDD8C1" w:rsidR="00EA71BB" w:rsidRPr="00BB7202" w:rsidRDefault="00EA71BB" w:rsidP="00AA431D">
      <w:pPr>
        <w:rPr>
          <w:rFonts w:asciiTheme="minorHAnsi" w:hAnsiTheme="minorHAnsi" w:cstheme="minorHAnsi"/>
        </w:rPr>
      </w:pPr>
      <w:proofErr w:type="gramStart"/>
      <w:r w:rsidRPr="00BB7202">
        <w:rPr>
          <w:rFonts w:asciiTheme="minorHAnsi" w:hAnsiTheme="minorHAnsi" w:cstheme="minorHAnsi"/>
        </w:rPr>
        <w:t>In order to</w:t>
      </w:r>
      <w:proofErr w:type="gramEnd"/>
      <w:r w:rsidRPr="00BB7202">
        <w:rPr>
          <w:rFonts w:asciiTheme="minorHAnsi" w:hAnsiTheme="minorHAnsi" w:cstheme="minorHAnsi"/>
        </w:rPr>
        <w:t xml:space="preserve"> predict whether any non-target species would be at risk from the candidate agent, host specificity testing was conducted with </w:t>
      </w:r>
      <w:r w:rsidRPr="00BB7202">
        <w:rPr>
          <w:rFonts w:asciiTheme="minorHAnsi" w:hAnsiTheme="minorHAnsi" w:cstheme="minorHAnsi"/>
          <w:i/>
          <w:iCs/>
        </w:rPr>
        <w:t>N. unguis-cati</w:t>
      </w:r>
      <w:r w:rsidRPr="00BB7202">
        <w:rPr>
          <w:rFonts w:asciiTheme="minorHAnsi" w:hAnsiTheme="minorHAnsi" w:cstheme="minorHAnsi"/>
        </w:rPr>
        <w:t xml:space="preserve"> under contained conditions at </w:t>
      </w:r>
      <w:r w:rsidR="0067097E" w:rsidRPr="00BB7202">
        <w:rPr>
          <w:rFonts w:asciiTheme="minorHAnsi" w:hAnsiTheme="minorHAnsi" w:cstheme="minorHAnsi"/>
        </w:rPr>
        <w:t>the Centre for Agriculture and Bioscience International (</w:t>
      </w:r>
      <w:r w:rsidRPr="00BB7202">
        <w:rPr>
          <w:rFonts w:asciiTheme="minorHAnsi" w:hAnsiTheme="minorHAnsi" w:cstheme="minorHAnsi"/>
        </w:rPr>
        <w:t>CABI</w:t>
      </w:r>
      <w:r w:rsidR="0067097E" w:rsidRPr="00BB7202">
        <w:rPr>
          <w:rFonts w:asciiTheme="minorHAnsi" w:hAnsiTheme="minorHAnsi" w:cstheme="minorHAnsi"/>
        </w:rPr>
        <w:t>)</w:t>
      </w:r>
      <w:r w:rsidRPr="00BB7202">
        <w:rPr>
          <w:rFonts w:asciiTheme="minorHAnsi" w:hAnsiTheme="minorHAnsi" w:cstheme="minorHAnsi"/>
        </w:rPr>
        <w:t xml:space="preserve"> in the UK.</w:t>
      </w:r>
      <w:r w:rsidR="00B76EF4" w:rsidRPr="00BB7202">
        <w:rPr>
          <w:rFonts w:asciiTheme="minorHAnsi" w:hAnsiTheme="minorHAnsi" w:cstheme="minorHAnsi"/>
        </w:rPr>
        <w:t xml:space="preserve"> Host specificity testing was carried out on </w:t>
      </w:r>
      <w:r w:rsidR="008D6A07" w:rsidRPr="00BB7202">
        <w:rPr>
          <w:rFonts w:asciiTheme="minorHAnsi" w:hAnsiTheme="minorHAnsi" w:cstheme="minorHAnsi"/>
        </w:rPr>
        <w:t>35</w:t>
      </w:r>
      <w:r w:rsidR="00B76EF4" w:rsidRPr="00BB7202">
        <w:rPr>
          <w:rFonts w:asciiTheme="minorHAnsi" w:hAnsiTheme="minorHAnsi" w:cstheme="minorHAnsi"/>
        </w:rPr>
        <w:t xml:space="preserve"> non-target plant species. A total of </w:t>
      </w:r>
      <w:r w:rsidR="008D6A07" w:rsidRPr="00BB7202">
        <w:rPr>
          <w:rFonts w:asciiTheme="minorHAnsi" w:hAnsiTheme="minorHAnsi" w:cstheme="minorHAnsi"/>
        </w:rPr>
        <w:t xml:space="preserve">16 </w:t>
      </w:r>
      <w:r w:rsidR="00B76EF4" w:rsidRPr="00BB7202">
        <w:rPr>
          <w:rFonts w:asciiTheme="minorHAnsi" w:hAnsiTheme="minorHAnsi" w:cstheme="minorHAnsi"/>
        </w:rPr>
        <w:t xml:space="preserve">species were tested from the </w:t>
      </w:r>
      <w:r w:rsidR="008D6A07" w:rsidRPr="00BB7202">
        <w:rPr>
          <w:rFonts w:asciiTheme="minorHAnsi" w:hAnsiTheme="minorHAnsi" w:cstheme="minorHAnsi"/>
        </w:rPr>
        <w:t xml:space="preserve">Bignoniaceae family, to which the target weed belongs and 19 species were tested from 10 other families within the order </w:t>
      </w:r>
      <w:proofErr w:type="spellStart"/>
      <w:r w:rsidR="008D6A07" w:rsidRPr="00BB7202">
        <w:rPr>
          <w:rFonts w:asciiTheme="minorHAnsi" w:hAnsiTheme="minorHAnsi" w:cstheme="minorHAnsi"/>
        </w:rPr>
        <w:t>Lamiales</w:t>
      </w:r>
      <w:proofErr w:type="spellEnd"/>
      <w:r w:rsidR="008D6A07" w:rsidRPr="00BB7202">
        <w:rPr>
          <w:rFonts w:asciiTheme="minorHAnsi" w:hAnsiTheme="minorHAnsi" w:cstheme="minorHAnsi"/>
        </w:rPr>
        <w:t>.</w:t>
      </w:r>
    </w:p>
    <w:p w14:paraId="7D018586" w14:textId="5DEF68FE" w:rsidR="00C45C90" w:rsidRPr="00BB7202" w:rsidRDefault="00C45C90" w:rsidP="00AA431D">
      <w:pPr>
        <w:rPr>
          <w:rFonts w:asciiTheme="minorHAnsi" w:hAnsiTheme="minorHAnsi" w:cstheme="minorHAnsi"/>
          <w:bCs/>
          <w:iCs/>
        </w:rPr>
      </w:pPr>
      <w:r w:rsidRPr="00BB7202">
        <w:rPr>
          <w:rFonts w:asciiTheme="minorHAnsi" w:hAnsiTheme="minorHAnsi" w:cstheme="minorHAnsi"/>
          <w:bCs/>
          <w:iCs/>
        </w:rPr>
        <w:t xml:space="preserve">The host test list was compiled using the modernised phylogenetic centrifugal approach, placing greater emphasis on closely related species to the target weed (Briese 2005). Within this framework representatives were chosen from native, ornamental, </w:t>
      </w:r>
      <w:r w:rsidR="00827905" w:rsidRPr="00BB7202">
        <w:rPr>
          <w:rFonts w:asciiTheme="minorHAnsi" w:hAnsiTheme="minorHAnsi" w:cstheme="minorHAnsi"/>
          <w:bCs/>
          <w:iCs/>
        </w:rPr>
        <w:t>crop</w:t>
      </w:r>
      <w:r w:rsidRPr="00BB7202">
        <w:rPr>
          <w:rFonts w:asciiTheme="minorHAnsi" w:hAnsiTheme="minorHAnsi" w:cstheme="minorHAnsi"/>
          <w:bCs/>
          <w:iCs/>
        </w:rPr>
        <w:t xml:space="preserve"> and </w:t>
      </w:r>
      <w:r w:rsidR="00654924" w:rsidRPr="00BB7202">
        <w:rPr>
          <w:rFonts w:asciiTheme="minorHAnsi" w:hAnsiTheme="minorHAnsi" w:cstheme="minorHAnsi"/>
          <w:bCs/>
          <w:iCs/>
        </w:rPr>
        <w:t>invasive</w:t>
      </w:r>
      <w:r w:rsidRPr="00BB7202">
        <w:rPr>
          <w:rFonts w:asciiTheme="minorHAnsi" w:hAnsiTheme="minorHAnsi" w:cstheme="minorHAnsi"/>
          <w:bCs/>
          <w:iCs/>
        </w:rPr>
        <w:t xml:space="preserve"> species</w:t>
      </w:r>
      <w:r w:rsidR="00827905" w:rsidRPr="00BB7202">
        <w:rPr>
          <w:rFonts w:asciiTheme="minorHAnsi" w:hAnsiTheme="minorHAnsi" w:cstheme="minorHAnsi"/>
          <w:bCs/>
          <w:iCs/>
        </w:rPr>
        <w:t>.</w:t>
      </w:r>
    </w:p>
    <w:p w14:paraId="3C35EB92" w14:textId="7D764F5C" w:rsidR="00FE1D57" w:rsidRDefault="00467550" w:rsidP="00AA431D">
      <w:proofErr w:type="spellStart"/>
      <w:r w:rsidRPr="00BB7202">
        <w:rPr>
          <w:rFonts w:asciiTheme="minorHAnsi" w:hAnsiTheme="minorHAnsi" w:cstheme="minorHAnsi"/>
          <w:i/>
          <w:iCs/>
        </w:rPr>
        <w:t>Dolichandra</w:t>
      </w:r>
      <w:proofErr w:type="spellEnd"/>
      <w:r w:rsidR="00824904" w:rsidRPr="00BB7202">
        <w:rPr>
          <w:rFonts w:asciiTheme="minorHAnsi" w:hAnsiTheme="minorHAnsi" w:cstheme="minorHAnsi"/>
          <w:i/>
          <w:iCs/>
        </w:rPr>
        <w:t xml:space="preserve"> unguis-cati</w:t>
      </w:r>
      <w:r w:rsidR="00824904" w:rsidRPr="00BB7202">
        <w:rPr>
          <w:rFonts w:asciiTheme="minorHAnsi" w:hAnsiTheme="minorHAnsi" w:cstheme="minorHAnsi"/>
        </w:rPr>
        <w:t xml:space="preserve"> </w:t>
      </w:r>
      <w:r w:rsidRPr="00BB7202">
        <w:rPr>
          <w:rFonts w:asciiTheme="minorHAnsi" w:hAnsiTheme="minorHAnsi" w:cstheme="minorHAnsi"/>
        </w:rPr>
        <w:t xml:space="preserve">control </w:t>
      </w:r>
      <w:r w:rsidR="00824904" w:rsidRPr="00BB7202">
        <w:rPr>
          <w:rFonts w:asciiTheme="minorHAnsi" w:hAnsiTheme="minorHAnsi" w:cstheme="minorHAnsi"/>
        </w:rPr>
        <w:t>plants were sourced as tubers and seeds from sites in southeast Queensland.</w:t>
      </w:r>
      <w:r w:rsidR="00475411" w:rsidRPr="00BB7202">
        <w:rPr>
          <w:rFonts w:asciiTheme="minorHAnsi" w:hAnsiTheme="minorHAnsi" w:cstheme="minorHAnsi"/>
        </w:rPr>
        <w:t xml:space="preserve"> The short-pod variety was used for all host specificity testing.</w:t>
      </w:r>
      <w:r w:rsidRPr="00BB7202">
        <w:rPr>
          <w:rFonts w:asciiTheme="minorHAnsi" w:hAnsiTheme="minorHAnsi" w:cstheme="minorHAnsi"/>
        </w:rPr>
        <w:t xml:space="preserve"> Non-target plant species were obtained as either seeds or plants from Australia or from nurseries in the UK or mainland Europe (Attachment 1).</w:t>
      </w:r>
    </w:p>
    <w:p w14:paraId="47F796DA" w14:textId="4C0E1CB2" w:rsidR="005F2DE7" w:rsidRDefault="005F2DE7" w:rsidP="005F2DE7">
      <w:pPr>
        <w:pStyle w:val="Heading6"/>
      </w:pPr>
      <w:r>
        <w:t>Host specificity tests</w:t>
      </w:r>
    </w:p>
    <w:p w14:paraId="0C6FFD98" w14:textId="46485D35" w:rsidR="005F2DE7" w:rsidRPr="00BB7202" w:rsidRDefault="005F2DE7" w:rsidP="00AA431D">
      <w:pPr>
        <w:rPr>
          <w:rFonts w:asciiTheme="minorHAnsi" w:hAnsiTheme="minorHAnsi" w:cstheme="minorHAnsi"/>
        </w:rPr>
      </w:pPr>
      <w:r w:rsidRPr="00BB7202">
        <w:rPr>
          <w:rFonts w:asciiTheme="minorHAnsi" w:hAnsiTheme="minorHAnsi" w:cstheme="minorHAnsi"/>
        </w:rPr>
        <w:t>As described in the application (Attachment 1),</w:t>
      </w:r>
      <w:r w:rsidR="006C22B5" w:rsidRPr="00BB7202">
        <w:rPr>
          <w:rFonts w:asciiTheme="minorHAnsi" w:hAnsiTheme="minorHAnsi" w:cstheme="minorHAnsi"/>
        </w:rPr>
        <w:t xml:space="preserve"> the isolate (IMI 507115) of </w:t>
      </w:r>
      <w:r w:rsidR="006C22B5" w:rsidRPr="00BB7202">
        <w:rPr>
          <w:rFonts w:asciiTheme="minorHAnsi" w:hAnsiTheme="minorHAnsi" w:cstheme="minorHAnsi"/>
          <w:i/>
          <w:iCs/>
        </w:rPr>
        <w:t>N. unguis-cati</w:t>
      </w:r>
      <w:r w:rsidR="006C22B5" w:rsidRPr="00BB7202">
        <w:rPr>
          <w:rFonts w:asciiTheme="minorHAnsi" w:hAnsiTheme="minorHAnsi" w:cstheme="minorHAnsi"/>
        </w:rPr>
        <w:t xml:space="preserve"> used in host specificity testing was collected from short-pod cat’s claw creeper plants in South Africa.</w:t>
      </w:r>
    </w:p>
    <w:p w14:paraId="77F406D7" w14:textId="0221CC37" w:rsidR="006C22B5" w:rsidRPr="00BB7202" w:rsidRDefault="00375342" w:rsidP="00AA431D">
      <w:pPr>
        <w:rPr>
          <w:rFonts w:asciiTheme="minorHAnsi" w:hAnsiTheme="minorHAnsi" w:cstheme="minorHAnsi"/>
        </w:rPr>
      </w:pPr>
      <w:r w:rsidRPr="00BB7202">
        <w:rPr>
          <w:rFonts w:asciiTheme="minorHAnsi" w:hAnsiTheme="minorHAnsi" w:cstheme="minorHAnsi"/>
        </w:rPr>
        <w:t xml:space="preserve">At least six replicates were completed for each non-target plant, with additional replicates undertaken for test runs with ambiguous results. Two positive controls, using </w:t>
      </w:r>
      <w:r w:rsidRPr="00BB7202">
        <w:rPr>
          <w:rFonts w:asciiTheme="minorHAnsi" w:hAnsiTheme="minorHAnsi" w:cstheme="minorHAnsi"/>
          <w:i/>
          <w:iCs/>
        </w:rPr>
        <w:t>N. unguis-cati</w:t>
      </w:r>
      <w:r w:rsidRPr="00BB7202">
        <w:rPr>
          <w:rFonts w:asciiTheme="minorHAnsi" w:hAnsiTheme="minorHAnsi" w:cstheme="minorHAnsi"/>
        </w:rPr>
        <w:t xml:space="preserve"> short-pod variety, were included for each test run.</w:t>
      </w:r>
    </w:p>
    <w:p w14:paraId="3539F2C3" w14:textId="141A6B40" w:rsidR="00443D2E" w:rsidRPr="00BB7202" w:rsidRDefault="00764774" w:rsidP="00AA431D">
      <w:pPr>
        <w:rPr>
          <w:rFonts w:asciiTheme="minorHAnsi" w:hAnsiTheme="minorHAnsi" w:cstheme="minorHAnsi"/>
        </w:rPr>
      </w:pPr>
      <w:r w:rsidRPr="00BB7202">
        <w:rPr>
          <w:rFonts w:asciiTheme="minorHAnsi" w:hAnsiTheme="minorHAnsi" w:cstheme="minorHAnsi"/>
        </w:rPr>
        <w:t xml:space="preserve">Inoculation of non-target plants and controls was achieved </w:t>
      </w:r>
      <w:proofErr w:type="gramStart"/>
      <w:r w:rsidRPr="00BB7202">
        <w:rPr>
          <w:rFonts w:asciiTheme="minorHAnsi" w:hAnsiTheme="minorHAnsi" w:cstheme="minorHAnsi"/>
        </w:rPr>
        <w:t>by the use of</w:t>
      </w:r>
      <w:proofErr w:type="gramEnd"/>
      <w:r w:rsidRPr="00BB7202">
        <w:rPr>
          <w:rFonts w:asciiTheme="minorHAnsi" w:hAnsiTheme="minorHAnsi" w:cstheme="minorHAnsi"/>
        </w:rPr>
        <w:t xml:space="preserve"> mycelial plugs. This allowed a quantifiable amount of inoculum to be applied to individual leaves, allowing standardisation of tests. Mycelial plugs 5 mm in diameter were positioned on both the upper and lower leaf surfaces of non-target plants and their position marked with permanent pen. Leaves</w:t>
      </w:r>
      <w:r w:rsidR="00657657" w:rsidRPr="00BB7202">
        <w:rPr>
          <w:rFonts w:asciiTheme="minorHAnsi" w:hAnsiTheme="minorHAnsi" w:cstheme="minorHAnsi"/>
        </w:rPr>
        <w:t xml:space="preserve"> of non-target plants</w:t>
      </w:r>
      <w:r w:rsidRPr="00BB7202">
        <w:rPr>
          <w:rFonts w:asciiTheme="minorHAnsi" w:hAnsiTheme="minorHAnsi" w:cstheme="minorHAnsi"/>
        </w:rPr>
        <w:t xml:space="preserve"> of </w:t>
      </w:r>
      <w:r w:rsidRPr="00BB7202">
        <w:rPr>
          <w:rFonts w:asciiTheme="minorHAnsi" w:hAnsiTheme="minorHAnsi" w:cstheme="minorHAnsi"/>
        </w:rPr>
        <w:lastRenderedPageBreak/>
        <w:t>three different ages were used for each plant – mature, fully expanded and apical. Each replicate plant also had a leaf inoculated with a pure tap water plug as a negative control. Cat’s claw creeper plants used as controls were only inoculated on the lower surface of the first three simple leaves.</w:t>
      </w:r>
    </w:p>
    <w:p w14:paraId="773F0B30" w14:textId="01871B8D" w:rsidR="00764774" w:rsidRPr="00BB7202" w:rsidRDefault="00402DB7" w:rsidP="00AA431D">
      <w:pPr>
        <w:rPr>
          <w:rFonts w:asciiTheme="minorHAnsi" w:hAnsiTheme="minorHAnsi" w:cstheme="minorHAnsi"/>
        </w:rPr>
      </w:pPr>
      <w:r w:rsidRPr="00BB7202">
        <w:rPr>
          <w:rFonts w:asciiTheme="minorHAnsi" w:hAnsiTheme="minorHAnsi" w:cstheme="minorHAnsi"/>
        </w:rPr>
        <w:t>All test plants (including controls) were placed in a dew chamber held at 20°C for 48 hours. Mycelial plugs were removed from all plants upon removal from the dew chamber.</w:t>
      </w:r>
      <w:r w:rsidR="00E92C90" w:rsidRPr="00BB7202">
        <w:rPr>
          <w:rFonts w:asciiTheme="minorHAnsi" w:hAnsiTheme="minorHAnsi" w:cstheme="minorHAnsi"/>
        </w:rPr>
        <w:t xml:space="preserve"> Test and control plants were kept at high humidity in Perspex cages and monitored for infection for 4 weeks. After this time, when leaf spot infection was visible on cat’s claw creeper control plants, all plants were placed back into the dew chamber for 48 hours to provide for optimal disease development. If leaves had dropped prematurely, these were incubated separately to induce sporulation. All plants were then placed back into Perspex cages and monitored for a further 4 weeks.</w:t>
      </w:r>
    </w:p>
    <w:p w14:paraId="798CE4C9" w14:textId="3F1B2FB6" w:rsidR="00E17E37" w:rsidRPr="00BB7202" w:rsidRDefault="00E17E37" w:rsidP="00AA431D">
      <w:pPr>
        <w:rPr>
          <w:rFonts w:asciiTheme="minorHAnsi" w:hAnsiTheme="minorHAnsi" w:cstheme="minorHAnsi"/>
        </w:rPr>
      </w:pPr>
      <w:r w:rsidRPr="00BB7202">
        <w:rPr>
          <w:rFonts w:asciiTheme="minorHAnsi" w:hAnsiTheme="minorHAnsi" w:cstheme="minorHAnsi"/>
        </w:rPr>
        <w:t>After the 8</w:t>
      </w:r>
      <w:r w:rsidR="00BF115A">
        <w:rPr>
          <w:rFonts w:asciiTheme="minorHAnsi" w:hAnsiTheme="minorHAnsi" w:cstheme="minorHAnsi"/>
        </w:rPr>
        <w:t>-</w:t>
      </w:r>
      <w:r w:rsidRPr="00BB7202">
        <w:rPr>
          <w:rFonts w:asciiTheme="minorHAnsi" w:hAnsiTheme="minorHAnsi" w:cstheme="minorHAnsi"/>
        </w:rPr>
        <w:t>week testing period</w:t>
      </w:r>
      <w:r w:rsidR="00AD1F8D">
        <w:rPr>
          <w:rFonts w:asciiTheme="minorHAnsi" w:hAnsiTheme="minorHAnsi" w:cstheme="minorHAnsi"/>
        </w:rPr>
        <w:t>,</w:t>
      </w:r>
      <w:r w:rsidRPr="00BB7202">
        <w:rPr>
          <w:rFonts w:asciiTheme="minorHAnsi" w:hAnsiTheme="minorHAnsi" w:cstheme="minorHAnsi"/>
        </w:rPr>
        <w:t xml:space="preserve"> all inoculated leaves were examined under a stereomicroscope. Test runs were considered valid if leaf spot symptoms were observed on cat’s claw creeper plants.</w:t>
      </w:r>
      <w:r w:rsidR="00615DB9" w:rsidRPr="00BB7202">
        <w:rPr>
          <w:rFonts w:asciiTheme="minorHAnsi" w:hAnsiTheme="minorHAnsi" w:cstheme="minorHAnsi"/>
        </w:rPr>
        <w:t xml:space="preserve"> Leaves of cat’s claw creeper and non-target plants that had lesions or potential symptoms were incubated in a humid chamber. Further microscopic assessment was used where infection was </w:t>
      </w:r>
      <w:proofErr w:type="gramStart"/>
      <w:r w:rsidR="00615DB9" w:rsidRPr="00BB7202">
        <w:rPr>
          <w:rFonts w:asciiTheme="minorHAnsi" w:hAnsiTheme="minorHAnsi" w:cstheme="minorHAnsi"/>
        </w:rPr>
        <w:t>suspected</w:t>
      </w:r>
      <w:proofErr w:type="gramEnd"/>
      <w:r w:rsidR="00615DB9" w:rsidRPr="00BB7202">
        <w:rPr>
          <w:rFonts w:asciiTheme="minorHAnsi" w:hAnsiTheme="minorHAnsi" w:cstheme="minorHAnsi"/>
        </w:rPr>
        <w:t xml:space="preserve"> and lesions were large enough (greater than 1 cm).</w:t>
      </w:r>
    </w:p>
    <w:p w14:paraId="0CE3F01C" w14:textId="56989D9E" w:rsidR="003433CA" w:rsidRPr="00BB7202" w:rsidRDefault="003433CA" w:rsidP="00AA431D">
      <w:pPr>
        <w:rPr>
          <w:rFonts w:asciiTheme="minorHAnsi" w:hAnsiTheme="minorHAnsi" w:cstheme="minorHAnsi"/>
        </w:rPr>
      </w:pPr>
      <w:r w:rsidRPr="00BB7202">
        <w:rPr>
          <w:rFonts w:asciiTheme="minorHAnsi" w:hAnsiTheme="minorHAnsi" w:cstheme="minorHAnsi"/>
        </w:rPr>
        <w:t xml:space="preserve">A qualitative scoring system was used to assess the susceptibility of all non-target plant species to </w:t>
      </w:r>
      <w:r w:rsidRPr="00BB7202">
        <w:rPr>
          <w:rFonts w:asciiTheme="minorHAnsi" w:hAnsiTheme="minorHAnsi" w:cstheme="minorHAnsi"/>
          <w:i/>
          <w:iCs/>
        </w:rPr>
        <w:t>N. unguis-cati</w:t>
      </w:r>
      <w:r w:rsidRPr="00BB7202">
        <w:rPr>
          <w:rFonts w:asciiTheme="minorHAnsi" w:hAnsiTheme="minorHAnsi" w:cstheme="minorHAnsi"/>
        </w:rPr>
        <w:t>.</w:t>
      </w:r>
      <w:r w:rsidR="000D5A24" w:rsidRPr="00BB7202">
        <w:rPr>
          <w:rFonts w:asciiTheme="minorHAnsi" w:hAnsiTheme="minorHAnsi" w:cstheme="minorHAnsi"/>
        </w:rPr>
        <w:t xml:space="preserve"> Each test plant species was classified using a </w:t>
      </w:r>
      <w:bookmarkStart w:id="37" w:name="_Hlk174089203"/>
      <w:r w:rsidR="000D5A24" w:rsidRPr="00BB7202">
        <w:rPr>
          <w:rFonts w:asciiTheme="minorHAnsi" w:hAnsiTheme="minorHAnsi" w:cstheme="minorHAnsi"/>
        </w:rPr>
        <w:t>rating scale (Table 5, Attachment 1)</w:t>
      </w:r>
      <w:bookmarkEnd w:id="37"/>
      <w:r w:rsidR="000D5A24" w:rsidRPr="00BB7202">
        <w:rPr>
          <w:rFonts w:asciiTheme="minorHAnsi" w:hAnsiTheme="minorHAnsi" w:cstheme="minorHAnsi"/>
        </w:rPr>
        <w:t>. Plant species were classified as either: Immune/</w:t>
      </w:r>
      <w:r w:rsidR="005071CB" w:rsidRPr="00BB7202">
        <w:rPr>
          <w:rFonts w:asciiTheme="minorHAnsi" w:hAnsiTheme="minorHAnsi" w:cstheme="minorHAnsi"/>
        </w:rPr>
        <w:t>H</w:t>
      </w:r>
      <w:r w:rsidR="000D5A24" w:rsidRPr="00BB7202">
        <w:rPr>
          <w:rFonts w:asciiTheme="minorHAnsi" w:hAnsiTheme="minorHAnsi" w:cstheme="minorHAnsi"/>
        </w:rPr>
        <w:t xml:space="preserve">ighly resistant, Resistant, </w:t>
      </w:r>
      <w:proofErr w:type="gramStart"/>
      <w:r w:rsidR="000D5A24" w:rsidRPr="00BB7202">
        <w:rPr>
          <w:rFonts w:asciiTheme="minorHAnsi" w:hAnsiTheme="minorHAnsi" w:cstheme="minorHAnsi"/>
        </w:rPr>
        <w:t>Partially</w:t>
      </w:r>
      <w:proofErr w:type="gramEnd"/>
      <w:r w:rsidR="000D5A24" w:rsidRPr="00BB7202">
        <w:rPr>
          <w:rFonts w:asciiTheme="minorHAnsi" w:hAnsiTheme="minorHAnsi" w:cstheme="minorHAnsi"/>
        </w:rPr>
        <w:t xml:space="preserve"> susceptible or </w:t>
      </w:r>
      <w:proofErr w:type="gramStart"/>
      <w:r w:rsidR="000D5A24" w:rsidRPr="00BB7202">
        <w:rPr>
          <w:rFonts w:asciiTheme="minorHAnsi" w:hAnsiTheme="minorHAnsi" w:cstheme="minorHAnsi"/>
        </w:rPr>
        <w:t>Fully</w:t>
      </w:r>
      <w:proofErr w:type="gramEnd"/>
      <w:r w:rsidR="000D5A24" w:rsidRPr="00BB7202">
        <w:rPr>
          <w:rFonts w:asciiTheme="minorHAnsi" w:hAnsiTheme="minorHAnsi" w:cstheme="minorHAnsi"/>
        </w:rPr>
        <w:t xml:space="preserve"> susceptible.</w:t>
      </w:r>
    </w:p>
    <w:p w14:paraId="4C64456B" w14:textId="77777777" w:rsidR="00AA431D" w:rsidRPr="00B96F59" w:rsidRDefault="007B4BAD" w:rsidP="00B96F59">
      <w:pPr>
        <w:pStyle w:val="Heading4"/>
      </w:pPr>
      <w:r w:rsidRPr="00B96F59">
        <w:t>H</w:t>
      </w:r>
      <w:r w:rsidR="00AA431D" w:rsidRPr="00B96F59">
        <w:t>ost specificity testing</w:t>
      </w:r>
      <w:r w:rsidRPr="00B96F59">
        <w:t xml:space="preserve"> results</w:t>
      </w:r>
    </w:p>
    <w:p w14:paraId="3DC7F5CF" w14:textId="1AEA8242" w:rsidR="00133E30" w:rsidRPr="00BB7202" w:rsidRDefault="001971C7" w:rsidP="00133E30">
      <w:pPr>
        <w:rPr>
          <w:rFonts w:asciiTheme="minorHAnsi" w:hAnsiTheme="minorHAnsi" w:cstheme="minorHAnsi"/>
        </w:rPr>
      </w:pPr>
      <w:r w:rsidRPr="00BB7202">
        <w:rPr>
          <w:rFonts w:asciiTheme="minorHAnsi" w:hAnsiTheme="minorHAnsi" w:cstheme="minorHAnsi"/>
        </w:rPr>
        <w:t xml:space="preserve">During host specificity testing only cat’s claw creeper control plants were demonstrated to be fully susceptible to </w:t>
      </w:r>
      <w:r w:rsidRPr="00BB7202">
        <w:rPr>
          <w:rFonts w:asciiTheme="minorHAnsi" w:hAnsiTheme="minorHAnsi" w:cstheme="minorHAnsi"/>
          <w:i/>
          <w:iCs/>
        </w:rPr>
        <w:t>N. unguis-cati</w:t>
      </w:r>
      <w:r w:rsidRPr="00BB7202">
        <w:rPr>
          <w:rFonts w:asciiTheme="minorHAnsi" w:hAnsiTheme="minorHAnsi" w:cstheme="minorHAnsi"/>
        </w:rPr>
        <w:t xml:space="preserve"> pathotype IMI 507115, using the plant response categories outlined in Table 5, Attachment 1.</w:t>
      </w:r>
      <w:r w:rsidR="00F42525" w:rsidRPr="00BB7202">
        <w:rPr>
          <w:rFonts w:asciiTheme="minorHAnsi" w:hAnsiTheme="minorHAnsi" w:cstheme="minorHAnsi"/>
        </w:rPr>
        <w:t xml:space="preserve"> </w:t>
      </w:r>
      <w:r w:rsidR="00C47F1F" w:rsidRPr="00BB7202">
        <w:rPr>
          <w:rFonts w:asciiTheme="minorHAnsi" w:hAnsiTheme="minorHAnsi" w:cstheme="minorHAnsi"/>
        </w:rPr>
        <w:t xml:space="preserve">Sporulation and characteristic lesions were only formed on cat’s claw creeper plants. </w:t>
      </w:r>
      <w:r w:rsidR="00F42525" w:rsidRPr="00BB7202">
        <w:rPr>
          <w:rFonts w:asciiTheme="minorHAnsi" w:hAnsiTheme="minorHAnsi" w:cstheme="minorHAnsi"/>
        </w:rPr>
        <w:t>Separate testing was also conducted to compare the susceptibility of</w:t>
      </w:r>
      <w:r w:rsidR="00ED1AF8" w:rsidRPr="00BB7202">
        <w:rPr>
          <w:rFonts w:asciiTheme="minorHAnsi" w:hAnsiTheme="minorHAnsi" w:cstheme="minorHAnsi"/>
        </w:rPr>
        <w:t xml:space="preserve"> Australian collected</w:t>
      </w:r>
      <w:r w:rsidR="00F42525" w:rsidRPr="00BB7202">
        <w:rPr>
          <w:rFonts w:asciiTheme="minorHAnsi" w:hAnsiTheme="minorHAnsi" w:cstheme="minorHAnsi"/>
        </w:rPr>
        <w:t xml:space="preserve"> long</w:t>
      </w:r>
      <w:r w:rsidR="005808DE" w:rsidRPr="00BB7202">
        <w:rPr>
          <w:rFonts w:asciiTheme="minorHAnsi" w:hAnsiTheme="minorHAnsi" w:cstheme="minorHAnsi"/>
        </w:rPr>
        <w:t>-</w:t>
      </w:r>
      <w:r w:rsidR="00F42525" w:rsidRPr="00BB7202">
        <w:rPr>
          <w:rFonts w:asciiTheme="minorHAnsi" w:hAnsiTheme="minorHAnsi" w:cstheme="minorHAnsi"/>
        </w:rPr>
        <w:t>pod and short</w:t>
      </w:r>
      <w:r w:rsidR="005808DE" w:rsidRPr="00BB7202">
        <w:rPr>
          <w:rFonts w:asciiTheme="minorHAnsi" w:hAnsiTheme="minorHAnsi" w:cstheme="minorHAnsi"/>
        </w:rPr>
        <w:t>-</w:t>
      </w:r>
      <w:r w:rsidR="00F42525" w:rsidRPr="00BB7202">
        <w:rPr>
          <w:rFonts w:asciiTheme="minorHAnsi" w:hAnsiTheme="minorHAnsi" w:cstheme="minorHAnsi"/>
        </w:rPr>
        <w:t>pod varieties of cat’s claw creeper</w:t>
      </w:r>
      <w:r w:rsidR="00173CDC" w:rsidRPr="00BB7202">
        <w:rPr>
          <w:rFonts w:asciiTheme="minorHAnsi" w:hAnsiTheme="minorHAnsi" w:cstheme="minorHAnsi"/>
        </w:rPr>
        <w:t xml:space="preserve"> to </w:t>
      </w:r>
      <w:r w:rsidR="00173CDC" w:rsidRPr="00BB7202">
        <w:rPr>
          <w:rFonts w:asciiTheme="minorHAnsi" w:hAnsiTheme="minorHAnsi" w:cstheme="minorHAnsi"/>
          <w:i/>
          <w:iCs/>
        </w:rPr>
        <w:t>N. unguis-cati</w:t>
      </w:r>
      <w:r w:rsidR="00173CDC" w:rsidRPr="00BB7202">
        <w:rPr>
          <w:rFonts w:asciiTheme="minorHAnsi" w:hAnsiTheme="minorHAnsi" w:cstheme="minorHAnsi"/>
        </w:rPr>
        <w:t xml:space="preserve"> pathotype IMI 507115</w:t>
      </w:r>
      <w:r w:rsidR="00F42525" w:rsidRPr="00BB7202">
        <w:rPr>
          <w:rFonts w:asciiTheme="minorHAnsi" w:hAnsiTheme="minorHAnsi" w:cstheme="minorHAnsi"/>
        </w:rPr>
        <w:t>.</w:t>
      </w:r>
      <w:r w:rsidR="006B50FE" w:rsidRPr="00BB7202">
        <w:rPr>
          <w:rFonts w:asciiTheme="minorHAnsi" w:hAnsiTheme="minorHAnsi" w:cstheme="minorHAnsi"/>
        </w:rPr>
        <w:t xml:space="preserve"> Necrotic lesions developed on all leaves of both varieties, however lesions on the short</w:t>
      </w:r>
      <w:r w:rsidR="00874D66" w:rsidRPr="00BB7202">
        <w:rPr>
          <w:rFonts w:asciiTheme="minorHAnsi" w:hAnsiTheme="minorHAnsi" w:cstheme="minorHAnsi"/>
        </w:rPr>
        <w:t>-</w:t>
      </w:r>
      <w:r w:rsidR="006B50FE" w:rsidRPr="00BB7202">
        <w:rPr>
          <w:rFonts w:asciiTheme="minorHAnsi" w:hAnsiTheme="minorHAnsi" w:cstheme="minorHAnsi"/>
        </w:rPr>
        <w:t>pod variety were larger than those on the long</w:t>
      </w:r>
      <w:r w:rsidR="00874D66" w:rsidRPr="00BB7202">
        <w:rPr>
          <w:rFonts w:asciiTheme="minorHAnsi" w:hAnsiTheme="minorHAnsi" w:cstheme="minorHAnsi"/>
        </w:rPr>
        <w:t>-</w:t>
      </w:r>
      <w:r w:rsidR="006B50FE" w:rsidRPr="00BB7202">
        <w:rPr>
          <w:rFonts w:asciiTheme="minorHAnsi" w:hAnsiTheme="minorHAnsi" w:cstheme="minorHAnsi"/>
        </w:rPr>
        <w:t>pod variety.</w:t>
      </w:r>
    </w:p>
    <w:p w14:paraId="65055E0E" w14:textId="78713230" w:rsidR="006B5196" w:rsidRPr="00BB7202" w:rsidRDefault="00D5707E" w:rsidP="00133E30">
      <w:pPr>
        <w:rPr>
          <w:rFonts w:asciiTheme="minorHAnsi" w:hAnsiTheme="minorHAnsi" w:cstheme="minorHAnsi"/>
        </w:rPr>
      </w:pPr>
      <w:r w:rsidRPr="00BB7202">
        <w:rPr>
          <w:rFonts w:asciiTheme="minorHAnsi" w:hAnsiTheme="minorHAnsi" w:cstheme="minorHAnsi"/>
        </w:rPr>
        <w:t xml:space="preserve">No non-target plant species were found to be fully susceptible to </w:t>
      </w:r>
      <w:r w:rsidRPr="00BB7202">
        <w:rPr>
          <w:rFonts w:asciiTheme="minorHAnsi" w:hAnsiTheme="minorHAnsi" w:cstheme="minorHAnsi"/>
          <w:i/>
          <w:iCs/>
        </w:rPr>
        <w:t>N. unguis</w:t>
      </w:r>
      <w:r w:rsidR="0023570E">
        <w:rPr>
          <w:rFonts w:asciiTheme="minorHAnsi" w:hAnsiTheme="minorHAnsi" w:cstheme="minorHAnsi"/>
          <w:i/>
          <w:iCs/>
        </w:rPr>
        <w:t>-</w:t>
      </w:r>
      <w:r w:rsidRPr="00BB7202">
        <w:rPr>
          <w:rFonts w:asciiTheme="minorHAnsi" w:hAnsiTheme="minorHAnsi" w:cstheme="minorHAnsi"/>
          <w:i/>
          <w:iCs/>
        </w:rPr>
        <w:t>cati</w:t>
      </w:r>
      <w:r w:rsidRPr="00BB7202">
        <w:rPr>
          <w:rFonts w:asciiTheme="minorHAnsi" w:hAnsiTheme="minorHAnsi" w:cstheme="minorHAnsi"/>
        </w:rPr>
        <w:t xml:space="preserve">. </w:t>
      </w:r>
      <w:proofErr w:type="gramStart"/>
      <w:r w:rsidRPr="00BB7202">
        <w:rPr>
          <w:rFonts w:asciiTheme="minorHAnsi" w:hAnsiTheme="minorHAnsi" w:cstheme="minorHAnsi"/>
        </w:rPr>
        <w:t>The majority of</w:t>
      </w:r>
      <w:proofErr w:type="gramEnd"/>
      <w:r w:rsidRPr="00BB7202">
        <w:rPr>
          <w:rFonts w:asciiTheme="minorHAnsi" w:hAnsiTheme="minorHAnsi" w:cstheme="minorHAnsi"/>
        </w:rPr>
        <w:t xml:space="preserve"> non</w:t>
      </w:r>
      <w:r w:rsidR="0049780D">
        <w:rPr>
          <w:rFonts w:asciiTheme="minorHAnsi" w:hAnsiTheme="minorHAnsi" w:cstheme="minorHAnsi"/>
        </w:rPr>
        <w:t>-</w:t>
      </w:r>
      <w:r w:rsidRPr="00BB7202">
        <w:rPr>
          <w:rFonts w:asciiTheme="minorHAnsi" w:hAnsiTheme="minorHAnsi" w:cstheme="minorHAnsi"/>
        </w:rPr>
        <w:t xml:space="preserve">target plant species tested were classified as immune/highly resistant. Within the Bignoniaceae family all non-target plants tested were rated as immune/highly resistant. </w:t>
      </w:r>
      <w:r w:rsidR="00A22C50" w:rsidRPr="00BB7202">
        <w:rPr>
          <w:rFonts w:asciiTheme="minorHAnsi" w:hAnsiTheme="minorHAnsi" w:cstheme="minorHAnsi"/>
        </w:rPr>
        <w:t>One</w:t>
      </w:r>
      <w:r w:rsidRPr="00BB7202">
        <w:rPr>
          <w:rFonts w:asciiTheme="minorHAnsi" w:hAnsiTheme="minorHAnsi" w:cstheme="minorHAnsi"/>
        </w:rPr>
        <w:t xml:space="preserve"> non-target species </w:t>
      </w:r>
      <w:r w:rsidR="00A22C50" w:rsidRPr="00BB7202">
        <w:rPr>
          <w:rFonts w:asciiTheme="minorHAnsi" w:hAnsiTheme="minorHAnsi" w:cstheme="minorHAnsi"/>
        </w:rPr>
        <w:t xml:space="preserve">each from within </w:t>
      </w:r>
      <w:r w:rsidRPr="00BB7202">
        <w:rPr>
          <w:rFonts w:asciiTheme="minorHAnsi" w:hAnsiTheme="minorHAnsi" w:cstheme="minorHAnsi"/>
        </w:rPr>
        <w:t>the Verbenaceae</w:t>
      </w:r>
      <w:r w:rsidR="00A22C50" w:rsidRPr="00BB7202">
        <w:rPr>
          <w:rFonts w:asciiTheme="minorHAnsi" w:hAnsiTheme="minorHAnsi" w:cstheme="minorHAnsi"/>
        </w:rPr>
        <w:t xml:space="preserve">, </w:t>
      </w:r>
      <w:proofErr w:type="spellStart"/>
      <w:r w:rsidRPr="00BB7202">
        <w:rPr>
          <w:rFonts w:asciiTheme="minorHAnsi" w:hAnsiTheme="minorHAnsi" w:cstheme="minorHAnsi"/>
        </w:rPr>
        <w:t>Lamiaceae</w:t>
      </w:r>
      <w:proofErr w:type="spellEnd"/>
      <w:r w:rsidRPr="00BB7202">
        <w:rPr>
          <w:rFonts w:asciiTheme="minorHAnsi" w:hAnsiTheme="minorHAnsi" w:cstheme="minorHAnsi"/>
        </w:rPr>
        <w:t xml:space="preserve"> and Pedaliaceae families were rated as resistant.</w:t>
      </w:r>
    </w:p>
    <w:p w14:paraId="0E1094BA" w14:textId="6346D3FB" w:rsidR="00237C76" w:rsidRPr="00BB7202" w:rsidRDefault="008769CD" w:rsidP="00133E30">
      <w:pPr>
        <w:rPr>
          <w:rFonts w:asciiTheme="minorHAnsi" w:hAnsiTheme="minorHAnsi" w:cstheme="minorHAnsi"/>
        </w:rPr>
      </w:pPr>
      <w:r w:rsidRPr="00BB7202">
        <w:rPr>
          <w:rFonts w:asciiTheme="minorHAnsi" w:hAnsiTheme="minorHAnsi" w:cstheme="minorHAnsi"/>
        </w:rPr>
        <w:t xml:space="preserve">Non-target plant species classified as resistant were, </w:t>
      </w:r>
      <w:r w:rsidRPr="00BB7202">
        <w:rPr>
          <w:rFonts w:asciiTheme="minorHAnsi" w:hAnsiTheme="minorHAnsi" w:cstheme="minorHAnsi"/>
          <w:i/>
          <w:iCs/>
        </w:rPr>
        <w:t xml:space="preserve">Aloysia </w:t>
      </w:r>
      <w:proofErr w:type="spellStart"/>
      <w:r w:rsidRPr="00BB7202">
        <w:rPr>
          <w:rFonts w:asciiTheme="minorHAnsi" w:hAnsiTheme="minorHAnsi" w:cstheme="minorHAnsi"/>
          <w:i/>
          <w:iCs/>
        </w:rPr>
        <w:t>citrodora</w:t>
      </w:r>
      <w:proofErr w:type="spellEnd"/>
      <w:r w:rsidRPr="00BB7202">
        <w:rPr>
          <w:rFonts w:asciiTheme="minorHAnsi" w:hAnsiTheme="minorHAnsi" w:cstheme="minorHAnsi"/>
        </w:rPr>
        <w:t xml:space="preserve">, </w:t>
      </w:r>
      <w:r w:rsidRPr="00BB7202">
        <w:rPr>
          <w:rFonts w:asciiTheme="minorHAnsi" w:hAnsiTheme="minorHAnsi" w:cstheme="minorHAnsi"/>
          <w:i/>
          <w:iCs/>
        </w:rPr>
        <w:t xml:space="preserve">Ocimum </w:t>
      </w:r>
      <w:proofErr w:type="spellStart"/>
      <w:r w:rsidRPr="00BB7202">
        <w:rPr>
          <w:rFonts w:asciiTheme="minorHAnsi" w:hAnsiTheme="minorHAnsi" w:cstheme="minorHAnsi"/>
          <w:i/>
          <w:iCs/>
        </w:rPr>
        <w:t>basilicum</w:t>
      </w:r>
      <w:proofErr w:type="spellEnd"/>
      <w:r w:rsidRPr="00BB7202">
        <w:rPr>
          <w:rFonts w:asciiTheme="minorHAnsi" w:hAnsiTheme="minorHAnsi" w:cstheme="minorHAnsi"/>
        </w:rPr>
        <w:t xml:space="preserve"> and </w:t>
      </w:r>
      <w:r w:rsidRPr="00BB7202">
        <w:rPr>
          <w:rFonts w:asciiTheme="minorHAnsi" w:hAnsiTheme="minorHAnsi" w:cstheme="minorHAnsi"/>
          <w:i/>
          <w:iCs/>
        </w:rPr>
        <w:t>Sesamum indicum</w:t>
      </w:r>
      <w:r w:rsidRPr="00BB7202">
        <w:rPr>
          <w:rFonts w:asciiTheme="minorHAnsi" w:hAnsiTheme="minorHAnsi" w:cstheme="minorHAnsi"/>
        </w:rPr>
        <w:t>.</w:t>
      </w:r>
      <w:r w:rsidR="00A9596B" w:rsidRPr="00BB7202">
        <w:rPr>
          <w:rFonts w:asciiTheme="minorHAnsi" w:hAnsiTheme="minorHAnsi" w:cstheme="minorHAnsi"/>
        </w:rPr>
        <w:t xml:space="preserve"> These </w:t>
      </w:r>
      <w:r w:rsidR="00A22C50" w:rsidRPr="00BB7202">
        <w:rPr>
          <w:rFonts w:asciiTheme="minorHAnsi" w:hAnsiTheme="minorHAnsi" w:cstheme="minorHAnsi"/>
        </w:rPr>
        <w:t>three</w:t>
      </w:r>
      <w:r w:rsidR="00A9596B" w:rsidRPr="00BB7202">
        <w:rPr>
          <w:rFonts w:asciiTheme="minorHAnsi" w:hAnsiTheme="minorHAnsi" w:cstheme="minorHAnsi"/>
        </w:rPr>
        <w:t xml:space="preserve"> species were all rated as resistant as macroscopic and/or microscopic symptoms present could not be dismissed as unrelated without doubt.</w:t>
      </w:r>
    </w:p>
    <w:p w14:paraId="15FD6C84" w14:textId="3B182CEC" w:rsidR="006B50FE" w:rsidRPr="00BB7202" w:rsidRDefault="00737EC9" w:rsidP="00133E30">
      <w:pPr>
        <w:rPr>
          <w:rFonts w:asciiTheme="minorHAnsi" w:hAnsiTheme="minorHAnsi" w:cstheme="minorHAnsi"/>
        </w:rPr>
      </w:pPr>
      <w:r w:rsidRPr="00BB7202">
        <w:rPr>
          <w:rFonts w:asciiTheme="minorHAnsi" w:hAnsiTheme="minorHAnsi" w:cstheme="minorHAnsi"/>
        </w:rPr>
        <w:t xml:space="preserve">Necrotic spots on </w:t>
      </w:r>
      <w:r w:rsidRPr="00BB7202">
        <w:rPr>
          <w:rFonts w:asciiTheme="minorHAnsi" w:hAnsiTheme="minorHAnsi" w:cstheme="minorHAnsi"/>
          <w:i/>
          <w:iCs/>
        </w:rPr>
        <w:t>S. indicum</w:t>
      </w:r>
      <w:r w:rsidRPr="00BB7202">
        <w:rPr>
          <w:rFonts w:asciiTheme="minorHAnsi" w:hAnsiTheme="minorHAnsi" w:cstheme="minorHAnsi"/>
        </w:rPr>
        <w:t xml:space="preserve"> were assessed as contamination by saprophytes</w:t>
      </w:r>
      <w:r w:rsidR="009811C1" w:rsidRPr="00BB7202">
        <w:rPr>
          <w:rFonts w:asciiTheme="minorHAnsi" w:hAnsiTheme="minorHAnsi" w:cstheme="minorHAnsi"/>
        </w:rPr>
        <w:t xml:space="preserve"> </w:t>
      </w:r>
      <w:r w:rsidRPr="00BB7202">
        <w:rPr>
          <w:rFonts w:asciiTheme="minorHAnsi" w:hAnsiTheme="minorHAnsi" w:cstheme="minorHAnsi"/>
        </w:rPr>
        <w:t xml:space="preserve">being the likely cause. As </w:t>
      </w:r>
      <w:r w:rsidR="00A22C50" w:rsidRPr="00BB7202">
        <w:rPr>
          <w:rFonts w:asciiTheme="minorHAnsi" w:hAnsiTheme="minorHAnsi" w:cstheme="minorHAnsi"/>
        </w:rPr>
        <w:t>this</w:t>
      </w:r>
      <w:r w:rsidRPr="00BB7202">
        <w:rPr>
          <w:rFonts w:asciiTheme="minorHAnsi" w:hAnsiTheme="minorHAnsi" w:cstheme="minorHAnsi"/>
        </w:rPr>
        <w:t xml:space="preserve"> species </w:t>
      </w:r>
      <w:r w:rsidR="00A22C50" w:rsidRPr="00BB7202">
        <w:rPr>
          <w:rFonts w:asciiTheme="minorHAnsi" w:hAnsiTheme="minorHAnsi" w:cstheme="minorHAnsi"/>
        </w:rPr>
        <w:t>was</w:t>
      </w:r>
      <w:r w:rsidRPr="00BB7202">
        <w:rPr>
          <w:rFonts w:asciiTheme="minorHAnsi" w:hAnsiTheme="minorHAnsi" w:cstheme="minorHAnsi"/>
        </w:rPr>
        <w:t xml:space="preserve"> affected by contamination </w:t>
      </w:r>
      <w:r w:rsidR="00A22C50" w:rsidRPr="00BB7202">
        <w:rPr>
          <w:rFonts w:asciiTheme="minorHAnsi" w:hAnsiTheme="minorHAnsi" w:cstheme="minorHAnsi"/>
        </w:rPr>
        <w:t>it was</w:t>
      </w:r>
      <w:r w:rsidRPr="00BB7202">
        <w:rPr>
          <w:rFonts w:asciiTheme="minorHAnsi" w:hAnsiTheme="minorHAnsi" w:cstheme="minorHAnsi"/>
        </w:rPr>
        <w:t xml:space="preserve"> </w:t>
      </w:r>
      <w:r w:rsidR="00A22C50" w:rsidRPr="00BB7202">
        <w:rPr>
          <w:rFonts w:asciiTheme="minorHAnsi" w:hAnsiTheme="minorHAnsi" w:cstheme="minorHAnsi"/>
        </w:rPr>
        <w:t>un</w:t>
      </w:r>
      <w:r w:rsidRPr="00BB7202">
        <w:rPr>
          <w:rFonts w:asciiTheme="minorHAnsi" w:hAnsiTheme="minorHAnsi" w:cstheme="minorHAnsi"/>
        </w:rPr>
        <w:t>able to be examined microscopically</w:t>
      </w:r>
      <w:r w:rsidR="00237C76" w:rsidRPr="00BB7202">
        <w:rPr>
          <w:rFonts w:asciiTheme="minorHAnsi" w:hAnsiTheme="minorHAnsi" w:cstheme="minorHAnsi"/>
        </w:rPr>
        <w:t xml:space="preserve"> so </w:t>
      </w:r>
      <w:r w:rsidR="00A22C50" w:rsidRPr="00BB7202">
        <w:rPr>
          <w:rFonts w:asciiTheme="minorHAnsi" w:hAnsiTheme="minorHAnsi" w:cstheme="minorHAnsi"/>
        </w:rPr>
        <w:t>it was</w:t>
      </w:r>
      <w:r w:rsidRPr="00BB7202">
        <w:rPr>
          <w:rFonts w:asciiTheme="minorHAnsi" w:hAnsiTheme="minorHAnsi" w:cstheme="minorHAnsi"/>
        </w:rPr>
        <w:t xml:space="preserve"> rated as resistant as a precaution. </w:t>
      </w:r>
      <w:r w:rsidR="00237C76" w:rsidRPr="00BB7202">
        <w:rPr>
          <w:rFonts w:asciiTheme="minorHAnsi" w:hAnsiTheme="minorHAnsi" w:cstheme="minorHAnsi"/>
        </w:rPr>
        <w:t>No conidial sporulation was recorded after incubation of necrotic leaf pieces in a humid chamber.</w:t>
      </w:r>
    </w:p>
    <w:p w14:paraId="5A0212BE" w14:textId="19801055" w:rsidR="00237C76" w:rsidRPr="00BB7202" w:rsidRDefault="008054CA" w:rsidP="00133E30">
      <w:pPr>
        <w:rPr>
          <w:rFonts w:asciiTheme="minorHAnsi" w:hAnsiTheme="minorHAnsi" w:cstheme="minorHAnsi"/>
        </w:rPr>
      </w:pPr>
      <w:r w:rsidRPr="00BB7202">
        <w:rPr>
          <w:rFonts w:asciiTheme="minorHAnsi" w:hAnsiTheme="minorHAnsi" w:cstheme="minorHAnsi"/>
        </w:rPr>
        <w:lastRenderedPageBreak/>
        <w:t xml:space="preserve">Only one replicate plant of </w:t>
      </w:r>
      <w:r w:rsidRPr="00BB7202">
        <w:rPr>
          <w:rFonts w:asciiTheme="minorHAnsi" w:hAnsiTheme="minorHAnsi" w:cstheme="minorHAnsi"/>
          <w:i/>
          <w:iCs/>
        </w:rPr>
        <w:t xml:space="preserve">A. </w:t>
      </w:r>
      <w:proofErr w:type="spellStart"/>
      <w:r w:rsidRPr="00BB7202">
        <w:rPr>
          <w:rFonts w:asciiTheme="minorHAnsi" w:hAnsiTheme="minorHAnsi" w:cstheme="minorHAnsi"/>
          <w:i/>
          <w:iCs/>
        </w:rPr>
        <w:t>citrodora</w:t>
      </w:r>
      <w:proofErr w:type="spellEnd"/>
      <w:r w:rsidRPr="00BB7202">
        <w:rPr>
          <w:rFonts w:asciiTheme="minorHAnsi" w:hAnsiTheme="minorHAnsi" w:cstheme="minorHAnsi"/>
        </w:rPr>
        <w:t xml:space="preserve"> displayed necrotic lesions. The affected leaves were incubated in a humid chamber and examined microscopically.</w:t>
      </w:r>
      <w:r w:rsidR="00593A46" w:rsidRPr="00BB7202">
        <w:rPr>
          <w:rFonts w:asciiTheme="minorHAnsi" w:hAnsiTheme="minorHAnsi" w:cstheme="minorHAnsi"/>
        </w:rPr>
        <w:t xml:space="preserve"> Microscopic examination showed no internal mycelium in the apical leaf </w:t>
      </w:r>
      <w:proofErr w:type="gramStart"/>
      <w:r w:rsidR="00593A46" w:rsidRPr="00BB7202">
        <w:rPr>
          <w:rFonts w:asciiTheme="minorHAnsi" w:hAnsiTheme="minorHAnsi" w:cstheme="minorHAnsi"/>
        </w:rPr>
        <w:t>lesion,</w:t>
      </w:r>
      <w:proofErr w:type="gramEnd"/>
      <w:r w:rsidR="00593A46" w:rsidRPr="00BB7202">
        <w:rPr>
          <w:rFonts w:asciiTheme="minorHAnsi" w:hAnsiTheme="minorHAnsi" w:cstheme="minorHAnsi"/>
        </w:rPr>
        <w:t xml:space="preserve"> however mycelium was present in the mature leaf lesion. The mycelium was </w:t>
      </w:r>
      <w:proofErr w:type="gramStart"/>
      <w:r w:rsidR="00593A46" w:rsidRPr="00BB7202">
        <w:rPr>
          <w:rFonts w:asciiTheme="minorHAnsi" w:hAnsiTheme="minorHAnsi" w:cstheme="minorHAnsi"/>
        </w:rPr>
        <w:t>limited</w:t>
      </w:r>
      <w:proofErr w:type="gramEnd"/>
      <w:r w:rsidR="00593A46" w:rsidRPr="00BB7202">
        <w:rPr>
          <w:rFonts w:asciiTheme="minorHAnsi" w:hAnsiTheme="minorHAnsi" w:cstheme="minorHAnsi"/>
        </w:rPr>
        <w:t xml:space="preserve"> and no aggregation was observed. Hyphae stained blue rather than the dark hyphae characteristic of </w:t>
      </w:r>
      <w:r w:rsidR="00593A46" w:rsidRPr="00BB7202">
        <w:rPr>
          <w:rFonts w:asciiTheme="minorHAnsi" w:hAnsiTheme="minorHAnsi" w:cstheme="minorHAnsi"/>
          <w:i/>
          <w:iCs/>
        </w:rPr>
        <w:t>N. unguis-cati</w:t>
      </w:r>
      <w:r w:rsidR="00593A46" w:rsidRPr="00BB7202">
        <w:rPr>
          <w:rFonts w:asciiTheme="minorHAnsi" w:hAnsiTheme="minorHAnsi" w:cstheme="minorHAnsi"/>
        </w:rPr>
        <w:t xml:space="preserve"> and penetration was not observed. This species was rated resistant as a precaution.</w:t>
      </w:r>
    </w:p>
    <w:p w14:paraId="1EA4B4AE" w14:textId="09C70B21" w:rsidR="00593A46" w:rsidRPr="00BB7202" w:rsidRDefault="00BF650E" w:rsidP="00133E30">
      <w:pPr>
        <w:rPr>
          <w:rFonts w:asciiTheme="minorHAnsi" w:hAnsiTheme="minorHAnsi" w:cstheme="minorHAnsi"/>
        </w:rPr>
      </w:pPr>
      <w:r w:rsidRPr="00BB7202">
        <w:rPr>
          <w:rFonts w:asciiTheme="minorHAnsi" w:hAnsiTheme="minorHAnsi" w:cstheme="minorHAnsi"/>
        </w:rPr>
        <w:t xml:space="preserve">Leaf necrosis was frequently observed on </w:t>
      </w:r>
      <w:r w:rsidRPr="00BB7202">
        <w:rPr>
          <w:rFonts w:asciiTheme="minorHAnsi" w:hAnsiTheme="minorHAnsi" w:cstheme="minorHAnsi"/>
          <w:i/>
          <w:iCs/>
        </w:rPr>
        <w:t xml:space="preserve">O. </w:t>
      </w:r>
      <w:proofErr w:type="spellStart"/>
      <w:r w:rsidRPr="00BB7202">
        <w:rPr>
          <w:rFonts w:asciiTheme="minorHAnsi" w:hAnsiTheme="minorHAnsi" w:cstheme="minorHAnsi"/>
          <w:i/>
          <w:iCs/>
        </w:rPr>
        <w:t>basilicum</w:t>
      </w:r>
      <w:proofErr w:type="spellEnd"/>
      <w:r w:rsidRPr="00BB7202">
        <w:rPr>
          <w:rFonts w:asciiTheme="minorHAnsi" w:hAnsiTheme="minorHAnsi" w:cstheme="minorHAnsi"/>
        </w:rPr>
        <w:t xml:space="preserve"> (basil). Necrosis often affected large sections of the leaf outside the marked inoculation area and was also recorded on control leaves inoculated with water plugs and non-inoculated leaves. It was noted that basil leaves are very delicate. Incubation </w:t>
      </w:r>
      <w:r w:rsidR="00F97634" w:rsidRPr="00BB7202">
        <w:rPr>
          <w:rFonts w:asciiTheme="minorHAnsi" w:hAnsiTheme="minorHAnsi" w:cstheme="minorHAnsi"/>
        </w:rPr>
        <w:t xml:space="preserve">in a humid chamber </w:t>
      </w:r>
      <w:r w:rsidRPr="00BB7202">
        <w:rPr>
          <w:rFonts w:asciiTheme="minorHAnsi" w:hAnsiTheme="minorHAnsi" w:cstheme="minorHAnsi"/>
        </w:rPr>
        <w:t>of inoculated leaf samples show</w:t>
      </w:r>
      <w:r w:rsidR="00C47323" w:rsidRPr="00BB7202">
        <w:rPr>
          <w:rFonts w:asciiTheme="minorHAnsi" w:hAnsiTheme="minorHAnsi" w:cstheme="minorHAnsi"/>
        </w:rPr>
        <w:t>ed</w:t>
      </w:r>
      <w:r w:rsidRPr="00BB7202">
        <w:rPr>
          <w:rFonts w:asciiTheme="minorHAnsi" w:hAnsiTheme="minorHAnsi" w:cstheme="minorHAnsi"/>
        </w:rPr>
        <w:t xml:space="preserve"> necrosis did not result in the characteristic conidial sporulation of </w:t>
      </w:r>
      <w:r w:rsidRPr="00BB7202">
        <w:rPr>
          <w:rFonts w:asciiTheme="minorHAnsi" w:hAnsiTheme="minorHAnsi" w:cstheme="minorHAnsi"/>
          <w:i/>
          <w:iCs/>
        </w:rPr>
        <w:t>C. unguis-cati</w:t>
      </w:r>
      <w:r w:rsidRPr="00BB7202">
        <w:rPr>
          <w:rFonts w:asciiTheme="minorHAnsi" w:hAnsiTheme="minorHAnsi" w:cstheme="minorHAnsi"/>
        </w:rPr>
        <w:t xml:space="preserve">. </w:t>
      </w:r>
      <w:r w:rsidR="00F97634" w:rsidRPr="00BB7202">
        <w:rPr>
          <w:rFonts w:asciiTheme="minorHAnsi" w:hAnsiTheme="minorHAnsi" w:cstheme="minorHAnsi"/>
        </w:rPr>
        <w:t xml:space="preserve">Other fungal contaminants were regularly recorded after incubation. </w:t>
      </w:r>
      <w:r w:rsidR="00C57E94" w:rsidRPr="00BB7202">
        <w:rPr>
          <w:rFonts w:asciiTheme="minorHAnsi" w:hAnsiTheme="minorHAnsi" w:cstheme="minorHAnsi"/>
        </w:rPr>
        <w:t>For one replicate</w:t>
      </w:r>
      <w:r w:rsidRPr="00BB7202">
        <w:rPr>
          <w:rFonts w:asciiTheme="minorHAnsi" w:hAnsiTheme="minorHAnsi" w:cstheme="minorHAnsi"/>
        </w:rPr>
        <w:t xml:space="preserve">, </w:t>
      </w:r>
      <w:r w:rsidR="00C57E94" w:rsidRPr="00BB7202">
        <w:rPr>
          <w:rFonts w:asciiTheme="minorHAnsi" w:hAnsiTheme="minorHAnsi" w:cstheme="minorHAnsi"/>
        </w:rPr>
        <w:t xml:space="preserve">further </w:t>
      </w:r>
      <w:r w:rsidRPr="00BB7202">
        <w:rPr>
          <w:rFonts w:asciiTheme="minorHAnsi" w:hAnsiTheme="minorHAnsi" w:cstheme="minorHAnsi"/>
        </w:rPr>
        <w:t>microscopic examination</w:t>
      </w:r>
      <w:r w:rsidR="00C57E94" w:rsidRPr="00BB7202">
        <w:rPr>
          <w:rFonts w:asciiTheme="minorHAnsi" w:hAnsiTheme="minorHAnsi" w:cstheme="minorHAnsi"/>
        </w:rPr>
        <w:t xml:space="preserve"> after incubation</w:t>
      </w:r>
      <w:r w:rsidRPr="00BB7202">
        <w:rPr>
          <w:rFonts w:asciiTheme="minorHAnsi" w:hAnsiTheme="minorHAnsi" w:cstheme="minorHAnsi"/>
        </w:rPr>
        <w:t xml:space="preserve"> of </w:t>
      </w:r>
      <w:r w:rsidR="00C57E94" w:rsidRPr="00BB7202">
        <w:rPr>
          <w:rFonts w:asciiTheme="minorHAnsi" w:hAnsiTheme="minorHAnsi" w:cstheme="minorHAnsi"/>
        </w:rPr>
        <w:t>black lesions on an apical leaf</w:t>
      </w:r>
      <w:r w:rsidR="00473284" w:rsidRPr="00BB7202">
        <w:rPr>
          <w:rFonts w:asciiTheme="minorHAnsi" w:hAnsiTheme="minorHAnsi" w:cstheme="minorHAnsi"/>
        </w:rPr>
        <w:t xml:space="preserve"> showed the presence of smaller spores, identified as spermatia. The presence of spermatia is not characteristic of </w:t>
      </w:r>
      <w:r w:rsidR="00473284" w:rsidRPr="00BB7202">
        <w:rPr>
          <w:rFonts w:asciiTheme="minorHAnsi" w:hAnsiTheme="minorHAnsi" w:cstheme="minorHAnsi"/>
          <w:i/>
          <w:iCs/>
        </w:rPr>
        <w:t>C. unguis-cati</w:t>
      </w:r>
      <w:r w:rsidR="00473284" w:rsidRPr="00BB7202">
        <w:rPr>
          <w:rFonts w:asciiTheme="minorHAnsi" w:hAnsiTheme="minorHAnsi" w:cstheme="minorHAnsi"/>
        </w:rPr>
        <w:t xml:space="preserve"> infection. Another replicate that had similar lesions was assessed microscopically, no spores or sporulating structures were found. However, </w:t>
      </w:r>
      <w:r w:rsidR="00645C24" w:rsidRPr="00BB7202">
        <w:rPr>
          <w:rFonts w:asciiTheme="minorHAnsi" w:hAnsiTheme="minorHAnsi" w:cstheme="minorHAnsi"/>
        </w:rPr>
        <w:t xml:space="preserve">stomatal penetration by a hypha was observed for the lesion on this leaf. The hypha was </w:t>
      </w:r>
      <w:proofErr w:type="gramStart"/>
      <w:r w:rsidR="00645C24" w:rsidRPr="00BB7202">
        <w:rPr>
          <w:rFonts w:asciiTheme="minorHAnsi" w:hAnsiTheme="minorHAnsi" w:cstheme="minorHAnsi"/>
        </w:rPr>
        <w:t>aborted</w:t>
      </w:r>
      <w:proofErr w:type="gramEnd"/>
      <w:r w:rsidR="00645C24" w:rsidRPr="00BB7202">
        <w:rPr>
          <w:rFonts w:asciiTheme="minorHAnsi" w:hAnsiTheme="minorHAnsi" w:cstheme="minorHAnsi"/>
        </w:rPr>
        <w:t xml:space="preserve"> and </w:t>
      </w:r>
      <w:r w:rsidR="002A3372" w:rsidRPr="00BB7202">
        <w:rPr>
          <w:rFonts w:asciiTheme="minorHAnsi" w:hAnsiTheme="minorHAnsi" w:cstheme="minorHAnsi"/>
        </w:rPr>
        <w:t xml:space="preserve">colonisation and mycelial aggregation was not observed. </w:t>
      </w:r>
      <w:r w:rsidR="002A3372" w:rsidRPr="00BB7202">
        <w:rPr>
          <w:rFonts w:asciiTheme="minorHAnsi" w:hAnsiTheme="minorHAnsi" w:cstheme="minorHAnsi"/>
          <w:i/>
          <w:iCs/>
        </w:rPr>
        <w:t xml:space="preserve">Ocimum </w:t>
      </w:r>
      <w:proofErr w:type="spellStart"/>
      <w:r w:rsidR="002A3372" w:rsidRPr="00BB7202">
        <w:rPr>
          <w:rFonts w:asciiTheme="minorHAnsi" w:hAnsiTheme="minorHAnsi" w:cstheme="minorHAnsi"/>
          <w:i/>
          <w:iCs/>
        </w:rPr>
        <w:t>basilium</w:t>
      </w:r>
      <w:proofErr w:type="spellEnd"/>
      <w:r w:rsidR="002A3372" w:rsidRPr="00BB7202">
        <w:rPr>
          <w:rFonts w:asciiTheme="minorHAnsi" w:hAnsiTheme="minorHAnsi" w:cstheme="minorHAnsi"/>
        </w:rPr>
        <w:t xml:space="preserve"> was therefore rated resistant based on the rating scale (Table 5, Attachment 1).</w:t>
      </w:r>
    </w:p>
    <w:p w14:paraId="3B2DDB2B" w14:textId="77777777" w:rsidR="007B4BAD" w:rsidRDefault="007B4BAD" w:rsidP="00B96F59">
      <w:pPr>
        <w:pStyle w:val="Heading4"/>
      </w:pPr>
      <w:r w:rsidRPr="00B96F59">
        <w:t>Comments on host specificity testing</w:t>
      </w:r>
    </w:p>
    <w:p w14:paraId="4F2AAFE4" w14:textId="65FE9910" w:rsidR="003E3BBA" w:rsidRPr="00BB7202" w:rsidRDefault="003E3BBA" w:rsidP="003E3BBA">
      <w:pPr>
        <w:rPr>
          <w:rFonts w:asciiTheme="minorHAnsi" w:hAnsiTheme="minorHAnsi" w:cstheme="minorHAnsi"/>
        </w:rPr>
      </w:pPr>
      <w:r w:rsidRPr="00BB7202">
        <w:rPr>
          <w:rFonts w:asciiTheme="minorHAnsi" w:hAnsiTheme="minorHAnsi" w:cstheme="minorHAnsi"/>
        </w:rPr>
        <w:t>A total of 35 non-target plant species were tested during host specificity testing, including 16 species from the Bignoniaceae family. Representatives</w:t>
      </w:r>
      <w:r w:rsidR="00E80EA1" w:rsidRPr="00BB7202">
        <w:rPr>
          <w:rFonts w:asciiTheme="minorHAnsi" w:hAnsiTheme="minorHAnsi" w:cstheme="minorHAnsi"/>
        </w:rPr>
        <w:t xml:space="preserve"> were tested</w:t>
      </w:r>
      <w:r w:rsidRPr="00BB7202">
        <w:rPr>
          <w:rFonts w:asciiTheme="minorHAnsi" w:hAnsiTheme="minorHAnsi" w:cstheme="minorHAnsi"/>
        </w:rPr>
        <w:t xml:space="preserve"> from </w:t>
      </w:r>
      <w:r w:rsidR="00387BCE" w:rsidRPr="00BB7202">
        <w:rPr>
          <w:rFonts w:asciiTheme="minorHAnsi" w:hAnsiTheme="minorHAnsi" w:cstheme="minorHAnsi"/>
        </w:rPr>
        <w:t xml:space="preserve">the </w:t>
      </w:r>
      <w:proofErr w:type="spellStart"/>
      <w:r w:rsidR="00387BCE" w:rsidRPr="00BB7202">
        <w:rPr>
          <w:rFonts w:asciiTheme="minorHAnsi" w:hAnsiTheme="minorHAnsi" w:cstheme="minorHAnsi"/>
        </w:rPr>
        <w:t>Bignonieae</w:t>
      </w:r>
      <w:proofErr w:type="spellEnd"/>
      <w:r w:rsidR="00387BCE" w:rsidRPr="00BB7202">
        <w:rPr>
          <w:rFonts w:asciiTheme="minorHAnsi" w:hAnsiTheme="minorHAnsi" w:cstheme="minorHAnsi"/>
        </w:rPr>
        <w:t xml:space="preserve"> tribe</w:t>
      </w:r>
      <w:r w:rsidR="00E80EA1" w:rsidRPr="00BB7202">
        <w:rPr>
          <w:rFonts w:asciiTheme="minorHAnsi" w:hAnsiTheme="minorHAnsi" w:cstheme="minorHAnsi"/>
        </w:rPr>
        <w:t xml:space="preserve">, to which the target weed belongs, including species from the </w:t>
      </w:r>
      <w:proofErr w:type="spellStart"/>
      <w:r w:rsidR="00E80EA1" w:rsidRPr="00BB7202">
        <w:rPr>
          <w:rFonts w:asciiTheme="minorHAnsi" w:hAnsiTheme="minorHAnsi" w:cstheme="minorHAnsi"/>
          <w:i/>
          <w:iCs/>
        </w:rPr>
        <w:t>Amphilophium</w:t>
      </w:r>
      <w:proofErr w:type="spellEnd"/>
      <w:r w:rsidR="00E80EA1" w:rsidRPr="00BB7202">
        <w:rPr>
          <w:rFonts w:asciiTheme="minorHAnsi" w:hAnsiTheme="minorHAnsi" w:cstheme="minorHAnsi"/>
        </w:rPr>
        <w:t xml:space="preserve">, </w:t>
      </w:r>
      <w:r w:rsidR="00E80EA1" w:rsidRPr="00BB7202">
        <w:rPr>
          <w:rFonts w:asciiTheme="minorHAnsi" w:hAnsiTheme="minorHAnsi" w:cstheme="minorHAnsi"/>
          <w:i/>
          <w:iCs/>
        </w:rPr>
        <w:t>Bignonia</w:t>
      </w:r>
      <w:r w:rsidR="00E80EA1" w:rsidRPr="00BB7202">
        <w:rPr>
          <w:rFonts w:asciiTheme="minorHAnsi" w:hAnsiTheme="minorHAnsi" w:cstheme="minorHAnsi"/>
        </w:rPr>
        <w:t xml:space="preserve">, </w:t>
      </w:r>
      <w:proofErr w:type="spellStart"/>
      <w:r w:rsidR="00E80EA1" w:rsidRPr="00BB7202">
        <w:rPr>
          <w:rFonts w:asciiTheme="minorHAnsi" w:hAnsiTheme="minorHAnsi" w:cstheme="minorHAnsi"/>
          <w:i/>
          <w:iCs/>
        </w:rPr>
        <w:t>Mansoa</w:t>
      </w:r>
      <w:proofErr w:type="spellEnd"/>
      <w:r w:rsidR="00E80EA1" w:rsidRPr="00BB7202">
        <w:rPr>
          <w:rFonts w:asciiTheme="minorHAnsi" w:hAnsiTheme="minorHAnsi" w:cstheme="minorHAnsi"/>
        </w:rPr>
        <w:t xml:space="preserve"> and </w:t>
      </w:r>
      <w:proofErr w:type="spellStart"/>
      <w:r w:rsidR="00E80EA1" w:rsidRPr="00BB7202">
        <w:rPr>
          <w:rFonts w:asciiTheme="minorHAnsi" w:hAnsiTheme="minorHAnsi" w:cstheme="minorHAnsi"/>
          <w:i/>
          <w:iCs/>
        </w:rPr>
        <w:t>Pyrostegia</w:t>
      </w:r>
      <w:proofErr w:type="spellEnd"/>
      <w:r w:rsidR="00E80EA1" w:rsidRPr="00BB7202">
        <w:rPr>
          <w:rFonts w:asciiTheme="minorHAnsi" w:hAnsiTheme="minorHAnsi" w:cstheme="minorHAnsi"/>
        </w:rPr>
        <w:t xml:space="preserve"> genera. No non-target species were tested from the </w:t>
      </w:r>
      <w:proofErr w:type="spellStart"/>
      <w:r w:rsidR="00E80EA1" w:rsidRPr="00BB7202">
        <w:rPr>
          <w:rFonts w:asciiTheme="minorHAnsi" w:hAnsiTheme="minorHAnsi" w:cstheme="minorHAnsi"/>
          <w:i/>
          <w:iCs/>
        </w:rPr>
        <w:t>Dolichandra</w:t>
      </w:r>
      <w:proofErr w:type="spellEnd"/>
      <w:r w:rsidR="00E80EA1" w:rsidRPr="00BB7202">
        <w:rPr>
          <w:rFonts w:asciiTheme="minorHAnsi" w:hAnsiTheme="minorHAnsi" w:cstheme="minorHAnsi"/>
        </w:rPr>
        <w:t xml:space="preserve"> genus as there are no species from this genus, other than the target weed, present in Australia.</w:t>
      </w:r>
      <w:r w:rsidR="00825800" w:rsidRPr="00BB7202">
        <w:rPr>
          <w:rFonts w:asciiTheme="minorHAnsi" w:hAnsiTheme="minorHAnsi" w:cstheme="minorHAnsi"/>
        </w:rPr>
        <w:t xml:space="preserve"> Representative species from other closely related tribes within the Bignoniaceae family were also tested, including species from the </w:t>
      </w:r>
      <w:proofErr w:type="spellStart"/>
      <w:r w:rsidR="00C21799" w:rsidRPr="00BB7202">
        <w:rPr>
          <w:rFonts w:asciiTheme="minorHAnsi" w:hAnsiTheme="minorHAnsi" w:cstheme="minorHAnsi"/>
        </w:rPr>
        <w:t>Catapeae</w:t>
      </w:r>
      <w:proofErr w:type="spellEnd"/>
      <w:r w:rsidR="00C21799" w:rsidRPr="00BB7202">
        <w:rPr>
          <w:rFonts w:asciiTheme="minorHAnsi" w:hAnsiTheme="minorHAnsi" w:cstheme="minorHAnsi"/>
        </w:rPr>
        <w:t xml:space="preserve">, </w:t>
      </w:r>
      <w:proofErr w:type="spellStart"/>
      <w:r w:rsidR="00C21799" w:rsidRPr="00BB7202">
        <w:rPr>
          <w:rFonts w:asciiTheme="minorHAnsi" w:hAnsiTheme="minorHAnsi" w:cstheme="minorHAnsi"/>
        </w:rPr>
        <w:t>Oroxyleae</w:t>
      </w:r>
      <w:proofErr w:type="spellEnd"/>
      <w:r w:rsidR="00C21799" w:rsidRPr="00BB7202">
        <w:rPr>
          <w:rFonts w:asciiTheme="minorHAnsi" w:hAnsiTheme="minorHAnsi" w:cstheme="minorHAnsi"/>
        </w:rPr>
        <w:t xml:space="preserve">, </w:t>
      </w:r>
      <w:proofErr w:type="spellStart"/>
      <w:r w:rsidR="00D22B02" w:rsidRPr="00BB7202">
        <w:rPr>
          <w:rFonts w:asciiTheme="minorHAnsi" w:hAnsiTheme="minorHAnsi" w:cstheme="minorHAnsi"/>
        </w:rPr>
        <w:t>Crescentiina</w:t>
      </w:r>
      <w:proofErr w:type="spellEnd"/>
      <w:r w:rsidR="00D22B02" w:rsidRPr="00BB7202">
        <w:rPr>
          <w:rFonts w:asciiTheme="minorHAnsi" w:hAnsiTheme="minorHAnsi" w:cstheme="minorHAnsi"/>
        </w:rPr>
        <w:t>-</w:t>
      </w:r>
      <w:r w:rsidR="00D22B02" w:rsidRPr="00BB7202">
        <w:rPr>
          <w:rFonts w:asciiTheme="minorHAnsi" w:hAnsiTheme="minorHAnsi" w:cstheme="minorHAnsi"/>
          <w:i/>
          <w:iCs/>
        </w:rPr>
        <w:t>Tabebuia</w:t>
      </w:r>
      <w:r w:rsidR="00D22B02" w:rsidRPr="00BB7202">
        <w:rPr>
          <w:rFonts w:asciiTheme="minorHAnsi" w:hAnsiTheme="minorHAnsi" w:cstheme="minorHAnsi"/>
        </w:rPr>
        <w:t xml:space="preserve"> alliance, </w:t>
      </w:r>
      <w:proofErr w:type="spellStart"/>
      <w:r w:rsidR="00D22B02" w:rsidRPr="00BB7202">
        <w:rPr>
          <w:rFonts w:asciiTheme="minorHAnsi" w:hAnsiTheme="minorHAnsi" w:cstheme="minorHAnsi"/>
        </w:rPr>
        <w:t>Crescentiina</w:t>
      </w:r>
      <w:proofErr w:type="spellEnd"/>
      <w:r w:rsidR="00D22B02" w:rsidRPr="00BB7202">
        <w:rPr>
          <w:rFonts w:asciiTheme="minorHAnsi" w:hAnsiTheme="minorHAnsi" w:cstheme="minorHAnsi"/>
        </w:rPr>
        <w:t xml:space="preserve">-paleotropical, </w:t>
      </w:r>
      <w:proofErr w:type="spellStart"/>
      <w:r w:rsidR="00C21799" w:rsidRPr="00BB7202">
        <w:rPr>
          <w:rFonts w:asciiTheme="minorHAnsi" w:hAnsiTheme="minorHAnsi" w:cstheme="minorHAnsi"/>
        </w:rPr>
        <w:t>Tecomeae</w:t>
      </w:r>
      <w:proofErr w:type="spellEnd"/>
      <w:r w:rsidR="00D22B02" w:rsidRPr="00BB7202">
        <w:rPr>
          <w:rFonts w:asciiTheme="minorHAnsi" w:hAnsiTheme="minorHAnsi" w:cstheme="minorHAnsi"/>
        </w:rPr>
        <w:t xml:space="preserve"> and </w:t>
      </w:r>
      <w:proofErr w:type="spellStart"/>
      <w:r w:rsidR="00D22B02" w:rsidRPr="00BB7202">
        <w:rPr>
          <w:rFonts w:asciiTheme="minorHAnsi" w:hAnsiTheme="minorHAnsi" w:cstheme="minorHAnsi"/>
        </w:rPr>
        <w:t>Tourrettieae</w:t>
      </w:r>
      <w:proofErr w:type="spellEnd"/>
      <w:r w:rsidR="00D22B02" w:rsidRPr="00BB7202">
        <w:rPr>
          <w:rFonts w:asciiTheme="minorHAnsi" w:hAnsiTheme="minorHAnsi" w:cstheme="minorHAnsi"/>
        </w:rPr>
        <w:t>.</w:t>
      </w:r>
      <w:r w:rsidR="00FB5603" w:rsidRPr="00BB7202">
        <w:rPr>
          <w:rFonts w:asciiTheme="minorHAnsi" w:hAnsiTheme="minorHAnsi" w:cstheme="minorHAnsi"/>
        </w:rPr>
        <w:t xml:space="preserve"> An additional 19 non-target species from the </w:t>
      </w:r>
      <w:proofErr w:type="spellStart"/>
      <w:r w:rsidR="00FB5603" w:rsidRPr="00BB7202">
        <w:rPr>
          <w:rFonts w:asciiTheme="minorHAnsi" w:hAnsiTheme="minorHAnsi" w:cstheme="minorHAnsi"/>
        </w:rPr>
        <w:t>Lamiales</w:t>
      </w:r>
      <w:proofErr w:type="spellEnd"/>
      <w:r w:rsidR="00FB5603" w:rsidRPr="00BB7202">
        <w:rPr>
          <w:rFonts w:asciiTheme="minorHAnsi" w:hAnsiTheme="minorHAnsi" w:cstheme="minorHAnsi"/>
        </w:rPr>
        <w:t xml:space="preserve"> order were also tested.</w:t>
      </w:r>
    </w:p>
    <w:p w14:paraId="1B7EF61D" w14:textId="5571A749" w:rsidR="00FB5603" w:rsidRPr="00BB7202" w:rsidRDefault="00FB5603" w:rsidP="003E3BBA">
      <w:pPr>
        <w:rPr>
          <w:rFonts w:asciiTheme="minorHAnsi" w:hAnsiTheme="minorHAnsi" w:cstheme="minorHAnsi"/>
          <w:bCs/>
        </w:rPr>
      </w:pPr>
      <w:r w:rsidRPr="00BB7202">
        <w:rPr>
          <w:rFonts w:asciiTheme="minorHAnsi" w:hAnsiTheme="minorHAnsi" w:cstheme="minorHAnsi"/>
          <w:bCs/>
        </w:rPr>
        <w:t xml:space="preserve">The host test list includes </w:t>
      </w:r>
      <w:bookmarkStart w:id="38" w:name="_Hlk174107902"/>
      <w:r w:rsidR="00834093" w:rsidRPr="00BB7202">
        <w:rPr>
          <w:rFonts w:asciiTheme="minorHAnsi" w:hAnsiTheme="minorHAnsi" w:cstheme="minorHAnsi"/>
          <w:bCs/>
        </w:rPr>
        <w:t>a selection of native, ornamental and crop representative species</w:t>
      </w:r>
      <w:bookmarkEnd w:id="38"/>
      <w:r w:rsidR="00834093" w:rsidRPr="00BB7202">
        <w:rPr>
          <w:rFonts w:asciiTheme="minorHAnsi" w:hAnsiTheme="minorHAnsi" w:cstheme="minorHAnsi"/>
          <w:bCs/>
        </w:rPr>
        <w:t xml:space="preserve"> </w:t>
      </w:r>
      <w:r w:rsidRPr="00BB7202">
        <w:rPr>
          <w:rFonts w:asciiTheme="minorHAnsi" w:hAnsiTheme="minorHAnsi" w:cstheme="minorHAnsi"/>
          <w:bCs/>
        </w:rPr>
        <w:t>from the most closely related plant taxa to the target species in Australia. By testing these closely related non-target plant species using the methodology described above, and in the application (Attachment 1), the applicant is considered to have satisfactorily assessed the likelihood of off-target effects occurring in the Australian environment.</w:t>
      </w:r>
    </w:p>
    <w:p w14:paraId="7E343AC9" w14:textId="765163B0" w:rsidR="00586D57" w:rsidRPr="00BB7202" w:rsidRDefault="00810FC3" w:rsidP="003E3BBA">
      <w:pPr>
        <w:rPr>
          <w:rFonts w:asciiTheme="minorHAnsi" w:hAnsiTheme="minorHAnsi" w:cstheme="minorHAnsi"/>
        </w:rPr>
      </w:pPr>
      <w:r w:rsidRPr="00BB7202">
        <w:rPr>
          <w:rFonts w:asciiTheme="minorHAnsi" w:hAnsiTheme="minorHAnsi" w:cstheme="minorHAnsi"/>
        </w:rPr>
        <w:t xml:space="preserve">The results of host specificity testing experiments indicate that only the target weed, </w:t>
      </w:r>
      <w:r w:rsidRPr="00BB7202">
        <w:rPr>
          <w:rFonts w:asciiTheme="minorHAnsi" w:hAnsiTheme="minorHAnsi" w:cstheme="minorHAnsi"/>
          <w:i/>
          <w:iCs/>
        </w:rPr>
        <w:t>D. unguis-cati</w:t>
      </w:r>
      <w:r w:rsidRPr="00BB7202">
        <w:rPr>
          <w:rFonts w:asciiTheme="minorHAnsi" w:hAnsiTheme="minorHAnsi" w:cstheme="minorHAnsi"/>
        </w:rPr>
        <w:t xml:space="preserve"> is fully susceptible</w:t>
      </w:r>
      <w:r w:rsidR="009468BA" w:rsidRPr="00BB7202">
        <w:rPr>
          <w:rFonts w:asciiTheme="minorHAnsi" w:hAnsiTheme="minorHAnsi" w:cstheme="minorHAnsi"/>
        </w:rPr>
        <w:t xml:space="preserve"> to </w:t>
      </w:r>
      <w:r w:rsidR="009468BA" w:rsidRPr="00BB7202">
        <w:rPr>
          <w:rFonts w:asciiTheme="minorHAnsi" w:hAnsiTheme="minorHAnsi" w:cstheme="minorHAnsi"/>
          <w:i/>
          <w:iCs/>
        </w:rPr>
        <w:t>N. unguis-cati</w:t>
      </w:r>
      <w:r w:rsidR="009468BA" w:rsidRPr="00BB7202">
        <w:rPr>
          <w:rFonts w:asciiTheme="minorHAnsi" w:hAnsiTheme="minorHAnsi" w:cstheme="minorHAnsi"/>
        </w:rPr>
        <w:t xml:space="preserve"> IMI 507115</w:t>
      </w:r>
      <w:r w:rsidRPr="00BB7202">
        <w:rPr>
          <w:rFonts w:asciiTheme="minorHAnsi" w:hAnsiTheme="minorHAnsi" w:cstheme="minorHAnsi"/>
        </w:rPr>
        <w:t>. Full symptom expression and sporulation was only observed on this species.</w:t>
      </w:r>
      <w:r w:rsidR="00664D86" w:rsidRPr="00BB7202">
        <w:rPr>
          <w:rFonts w:asciiTheme="minorHAnsi" w:hAnsiTheme="minorHAnsi" w:cstheme="minorHAnsi"/>
        </w:rPr>
        <w:t xml:space="preserve"> Of the </w:t>
      </w:r>
      <w:r w:rsidR="00B35493" w:rsidRPr="00BB7202">
        <w:rPr>
          <w:rFonts w:asciiTheme="minorHAnsi" w:hAnsiTheme="minorHAnsi" w:cstheme="minorHAnsi"/>
        </w:rPr>
        <w:t>three</w:t>
      </w:r>
      <w:r w:rsidR="00664D86" w:rsidRPr="00BB7202">
        <w:rPr>
          <w:rFonts w:asciiTheme="minorHAnsi" w:hAnsiTheme="minorHAnsi" w:cstheme="minorHAnsi"/>
        </w:rPr>
        <w:t xml:space="preserve"> species rated resistant, there was no convincing evidence that the infection was caused by </w:t>
      </w:r>
      <w:r w:rsidR="00664D86" w:rsidRPr="00BB7202">
        <w:rPr>
          <w:rFonts w:asciiTheme="minorHAnsi" w:hAnsiTheme="minorHAnsi" w:cstheme="minorHAnsi"/>
          <w:i/>
          <w:iCs/>
        </w:rPr>
        <w:t>N. unguis-</w:t>
      </w:r>
      <w:proofErr w:type="gramStart"/>
      <w:r w:rsidR="00664D86" w:rsidRPr="00BB7202">
        <w:rPr>
          <w:rFonts w:asciiTheme="minorHAnsi" w:hAnsiTheme="minorHAnsi" w:cstheme="minorHAnsi"/>
          <w:i/>
          <w:iCs/>
        </w:rPr>
        <w:t>cati</w:t>
      </w:r>
      <w:proofErr w:type="gramEnd"/>
      <w:r w:rsidR="00664D86" w:rsidRPr="00BB7202">
        <w:rPr>
          <w:rFonts w:asciiTheme="minorHAnsi" w:hAnsiTheme="minorHAnsi" w:cstheme="minorHAnsi"/>
        </w:rPr>
        <w:t xml:space="preserve"> and no conidial sporulation or characteristic symptoms were recorded.</w:t>
      </w:r>
    </w:p>
    <w:p w14:paraId="618256D5" w14:textId="43897B71" w:rsidR="00574E14" w:rsidRPr="00BB7202" w:rsidRDefault="00574E14" w:rsidP="003E3BBA">
      <w:pPr>
        <w:rPr>
          <w:rFonts w:asciiTheme="minorHAnsi" w:hAnsiTheme="minorHAnsi" w:cstheme="minorHAnsi"/>
        </w:rPr>
      </w:pPr>
      <w:r w:rsidRPr="00BB7202">
        <w:rPr>
          <w:rFonts w:asciiTheme="minorHAnsi" w:hAnsiTheme="minorHAnsi" w:cstheme="minorHAnsi"/>
        </w:rPr>
        <w:t xml:space="preserve">Based on host specificity testing results it is not anticipated that off-target species infection is likely to occur should the pathogen be released into the Australian environment. In addition, the applicant reports that there </w:t>
      </w:r>
      <w:r w:rsidR="00987857" w:rsidRPr="00BB7202">
        <w:rPr>
          <w:rFonts w:asciiTheme="minorHAnsi" w:hAnsiTheme="minorHAnsi" w:cstheme="minorHAnsi"/>
        </w:rPr>
        <w:t>are no records</w:t>
      </w:r>
      <w:r w:rsidRPr="00BB7202">
        <w:rPr>
          <w:rFonts w:asciiTheme="minorHAnsi" w:hAnsiTheme="minorHAnsi" w:cstheme="minorHAnsi"/>
        </w:rPr>
        <w:t xml:space="preserve"> of </w:t>
      </w:r>
      <w:r w:rsidR="00987857" w:rsidRPr="00BB7202">
        <w:rPr>
          <w:rFonts w:asciiTheme="minorHAnsi" w:hAnsiTheme="minorHAnsi" w:cstheme="minorHAnsi"/>
          <w:i/>
          <w:iCs/>
        </w:rPr>
        <w:t>N. unguis-cati</w:t>
      </w:r>
      <w:r w:rsidR="00987857" w:rsidRPr="00BB7202">
        <w:rPr>
          <w:rFonts w:asciiTheme="minorHAnsi" w:hAnsiTheme="minorHAnsi" w:cstheme="minorHAnsi"/>
        </w:rPr>
        <w:t xml:space="preserve"> infection on any species</w:t>
      </w:r>
      <w:r w:rsidR="00B77240">
        <w:rPr>
          <w:rFonts w:asciiTheme="minorHAnsi" w:hAnsiTheme="minorHAnsi" w:cstheme="minorHAnsi"/>
        </w:rPr>
        <w:t>,</w:t>
      </w:r>
      <w:r w:rsidR="00987857" w:rsidRPr="00BB7202">
        <w:rPr>
          <w:rFonts w:asciiTheme="minorHAnsi" w:hAnsiTheme="minorHAnsi" w:cstheme="minorHAnsi"/>
        </w:rPr>
        <w:t xml:space="preserve"> other than </w:t>
      </w:r>
      <w:r w:rsidR="00987857" w:rsidRPr="00BB7202">
        <w:rPr>
          <w:rFonts w:asciiTheme="minorHAnsi" w:hAnsiTheme="minorHAnsi" w:cstheme="minorHAnsi"/>
          <w:i/>
          <w:iCs/>
        </w:rPr>
        <w:t>D. unguis-cati</w:t>
      </w:r>
      <w:r w:rsidR="00987857" w:rsidRPr="00BB7202">
        <w:rPr>
          <w:rFonts w:asciiTheme="minorHAnsi" w:hAnsiTheme="minorHAnsi" w:cstheme="minorHAnsi"/>
        </w:rPr>
        <w:t>, both in the native</w:t>
      </w:r>
      <w:r w:rsidR="008C5346">
        <w:rPr>
          <w:rFonts w:asciiTheme="minorHAnsi" w:hAnsiTheme="minorHAnsi" w:cstheme="minorHAnsi"/>
        </w:rPr>
        <w:t xml:space="preserve"> range (Argentina, Brazil and Paraguay)</w:t>
      </w:r>
      <w:r w:rsidR="00987857" w:rsidRPr="00BB7202">
        <w:rPr>
          <w:rFonts w:asciiTheme="minorHAnsi" w:hAnsiTheme="minorHAnsi" w:cstheme="minorHAnsi"/>
        </w:rPr>
        <w:t xml:space="preserve"> and introduced</w:t>
      </w:r>
      <w:r w:rsidR="008C5346">
        <w:rPr>
          <w:rFonts w:asciiTheme="minorHAnsi" w:hAnsiTheme="minorHAnsi" w:cstheme="minorHAnsi"/>
        </w:rPr>
        <w:t xml:space="preserve"> </w:t>
      </w:r>
      <w:r w:rsidR="00B77240">
        <w:rPr>
          <w:rFonts w:asciiTheme="minorHAnsi" w:hAnsiTheme="minorHAnsi" w:cstheme="minorHAnsi"/>
        </w:rPr>
        <w:t xml:space="preserve">range </w:t>
      </w:r>
      <w:r w:rsidR="008C5346">
        <w:rPr>
          <w:rFonts w:asciiTheme="minorHAnsi" w:hAnsiTheme="minorHAnsi" w:cstheme="minorHAnsi"/>
        </w:rPr>
        <w:t>(South Africa)</w:t>
      </w:r>
      <w:r w:rsidR="00987857" w:rsidRPr="00BB7202">
        <w:rPr>
          <w:rFonts w:asciiTheme="minorHAnsi" w:hAnsiTheme="minorHAnsi" w:cstheme="minorHAnsi"/>
        </w:rPr>
        <w:t xml:space="preserve"> of the </w:t>
      </w:r>
      <w:r w:rsidR="00987857" w:rsidRPr="00BB7202">
        <w:rPr>
          <w:rFonts w:asciiTheme="minorHAnsi" w:hAnsiTheme="minorHAnsi" w:cstheme="minorHAnsi"/>
        </w:rPr>
        <w:lastRenderedPageBreak/>
        <w:t xml:space="preserve">pathogen. </w:t>
      </w:r>
      <w:proofErr w:type="spellStart"/>
      <w:r w:rsidR="00FD0963" w:rsidRPr="00FD0963">
        <w:rPr>
          <w:rFonts w:asciiTheme="minorHAnsi" w:hAnsiTheme="minorHAnsi" w:cstheme="minorHAnsi"/>
          <w:i/>
          <w:iCs/>
        </w:rPr>
        <w:t>D</w:t>
      </w:r>
      <w:r w:rsidR="00FD0963">
        <w:rPr>
          <w:rFonts w:asciiTheme="minorHAnsi" w:hAnsiTheme="minorHAnsi" w:cstheme="minorHAnsi"/>
          <w:i/>
          <w:iCs/>
        </w:rPr>
        <w:t>olichandra</w:t>
      </w:r>
      <w:proofErr w:type="spellEnd"/>
      <w:r w:rsidR="00FD0963" w:rsidRPr="00FD0963">
        <w:rPr>
          <w:rFonts w:asciiTheme="minorHAnsi" w:hAnsiTheme="minorHAnsi" w:cstheme="minorHAnsi"/>
          <w:i/>
          <w:iCs/>
        </w:rPr>
        <w:t xml:space="preserve"> unguis-cati</w:t>
      </w:r>
      <w:r w:rsidR="00FD0963">
        <w:rPr>
          <w:rFonts w:asciiTheme="minorHAnsi" w:hAnsiTheme="minorHAnsi" w:cstheme="minorHAnsi"/>
        </w:rPr>
        <w:t xml:space="preserve"> is an introduced weed in South Africa</w:t>
      </w:r>
      <w:r w:rsidR="003D2F21">
        <w:rPr>
          <w:rFonts w:asciiTheme="minorHAnsi" w:hAnsiTheme="minorHAnsi" w:cstheme="minorHAnsi"/>
        </w:rPr>
        <w:t xml:space="preserve">, where the </w:t>
      </w:r>
      <w:r w:rsidR="00461CD5">
        <w:rPr>
          <w:rFonts w:asciiTheme="minorHAnsi" w:hAnsiTheme="minorHAnsi" w:cstheme="minorHAnsi"/>
        </w:rPr>
        <w:t xml:space="preserve">pathogen </w:t>
      </w:r>
      <w:r w:rsidR="003D2F21">
        <w:rPr>
          <w:rFonts w:asciiTheme="minorHAnsi" w:hAnsiTheme="minorHAnsi" w:cstheme="minorHAnsi"/>
        </w:rPr>
        <w:t>isolate tested (IMI 507115) is demonstrating high levels of control</w:t>
      </w:r>
      <w:r w:rsidR="00FD0963">
        <w:rPr>
          <w:rFonts w:asciiTheme="minorHAnsi" w:hAnsiTheme="minorHAnsi" w:cstheme="minorHAnsi"/>
        </w:rPr>
        <w:t>.</w:t>
      </w:r>
    </w:p>
    <w:p w14:paraId="693DD9B5" w14:textId="77777777" w:rsidR="00EF09E2" w:rsidRPr="00B96F59" w:rsidRDefault="007B4BAD" w:rsidP="00B96F59">
      <w:pPr>
        <w:pStyle w:val="Heading4"/>
      </w:pPr>
      <w:r w:rsidRPr="00B96F59">
        <w:t>Likelihood of off-target effects</w:t>
      </w:r>
    </w:p>
    <w:p w14:paraId="04D5F3D6" w14:textId="77777777" w:rsidR="00EF09E2" w:rsidRPr="00BB7202" w:rsidRDefault="00EF09E2" w:rsidP="00EF09E2">
      <w:pPr>
        <w:rPr>
          <w:rFonts w:asciiTheme="minorHAnsi" w:hAnsiTheme="minorHAnsi" w:cstheme="minorHAnsi"/>
        </w:rPr>
      </w:pPr>
      <w:r w:rsidRPr="00BB7202">
        <w:rPr>
          <w:rFonts w:asciiTheme="minorHAnsi" w:hAnsiTheme="minorHAnsi" w:cstheme="minorHAnsi"/>
        </w:rPr>
        <w:t xml:space="preserve">The likelihood of off-target effects is </w:t>
      </w:r>
      <w:r w:rsidR="002C0133" w:rsidRPr="00BB7202">
        <w:rPr>
          <w:rFonts w:asciiTheme="minorHAnsi" w:hAnsiTheme="minorHAnsi" w:cstheme="minorHAnsi"/>
        </w:rPr>
        <w:t>estimated</w:t>
      </w:r>
      <w:r w:rsidRPr="00BB7202">
        <w:rPr>
          <w:rFonts w:asciiTheme="minorHAnsi" w:hAnsiTheme="minorHAnsi" w:cstheme="minorHAnsi"/>
        </w:rPr>
        <w:t xml:space="preserve"> </w:t>
      </w:r>
      <w:proofErr w:type="gramStart"/>
      <w:r w:rsidRPr="00BB7202">
        <w:rPr>
          <w:rFonts w:asciiTheme="minorHAnsi" w:hAnsiTheme="minorHAnsi" w:cstheme="minorHAnsi"/>
        </w:rPr>
        <w:t>on the basis of</w:t>
      </w:r>
      <w:proofErr w:type="gramEnd"/>
      <w:r w:rsidRPr="00BB7202">
        <w:rPr>
          <w:rFonts w:asciiTheme="minorHAnsi" w:hAnsiTheme="minorHAnsi" w:cstheme="minorHAnsi"/>
        </w:rPr>
        <w:t xml:space="preserve"> the</w:t>
      </w:r>
      <w:r w:rsidR="002C0133" w:rsidRPr="00BB7202">
        <w:rPr>
          <w:rFonts w:asciiTheme="minorHAnsi" w:hAnsiTheme="minorHAnsi" w:cstheme="minorHAnsi"/>
        </w:rPr>
        <w:t xml:space="preserve"> outcomes of</w:t>
      </w:r>
      <w:r w:rsidRPr="00BB7202">
        <w:rPr>
          <w:rFonts w:asciiTheme="minorHAnsi" w:hAnsiTheme="minorHAnsi" w:cstheme="minorHAnsi"/>
        </w:rPr>
        <w:t xml:space="preserve"> host specificity testing and other relevant information presented in the application (Attachment 1).</w:t>
      </w:r>
    </w:p>
    <w:p w14:paraId="0C11EC07" w14:textId="03F604AD" w:rsidR="00DB4F88" w:rsidRPr="00BB7202" w:rsidRDefault="00DB4F88" w:rsidP="00EF09E2">
      <w:pPr>
        <w:rPr>
          <w:rFonts w:asciiTheme="minorHAnsi" w:hAnsiTheme="minorHAnsi" w:cstheme="minorHAnsi"/>
        </w:rPr>
      </w:pPr>
      <w:r w:rsidRPr="00BB7202">
        <w:rPr>
          <w:rFonts w:asciiTheme="minorHAnsi" w:hAnsiTheme="minorHAnsi" w:cstheme="minorHAnsi"/>
        </w:rPr>
        <w:t xml:space="preserve">It is anticipated that </w:t>
      </w:r>
      <w:r w:rsidRPr="00BB7202">
        <w:rPr>
          <w:rFonts w:asciiTheme="minorHAnsi" w:hAnsiTheme="minorHAnsi" w:cstheme="minorHAnsi"/>
          <w:i/>
          <w:iCs/>
        </w:rPr>
        <w:t>D. unguis-cati</w:t>
      </w:r>
      <w:r w:rsidRPr="00BB7202">
        <w:rPr>
          <w:rFonts w:asciiTheme="minorHAnsi" w:hAnsiTheme="minorHAnsi" w:cstheme="minorHAnsi"/>
        </w:rPr>
        <w:t xml:space="preserve"> will be the only plant species that is able to support the complete lifecycle of </w:t>
      </w:r>
      <w:r w:rsidRPr="00BB7202">
        <w:rPr>
          <w:rFonts w:asciiTheme="minorHAnsi" w:hAnsiTheme="minorHAnsi" w:cstheme="minorHAnsi"/>
          <w:i/>
          <w:iCs/>
        </w:rPr>
        <w:t>N. unguis-cati</w:t>
      </w:r>
      <w:r w:rsidRPr="00BB7202">
        <w:rPr>
          <w:rFonts w:asciiTheme="minorHAnsi" w:hAnsiTheme="minorHAnsi" w:cstheme="minorHAnsi"/>
        </w:rPr>
        <w:t xml:space="preserve"> in the Australian environment.</w:t>
      </w:r>
    </w:p>
    <w:p w14:paraId="2D558DE1" w14:textId="2CE975C0" w:rsidR="00EF09E2" w:rsidRPr="00BB7202" w:rsidRDefault="002C0133" w:rsidP="00EF09E2">
      <w:pPr>
        <w:rPr>
          <w:rFonts w:asciiTheme="minorHAnsi" w:hAnsiTheme="minorHAnsi" w:cstheme="minorHAnsi"/>
        </w:rPr>
      </w:pPr>
      <w:proofErr w:type="gramStart"/>
      <w:r w:rsidRPr="00BB7202">
        <w:rPr>
          <w:rFonts w:asciiTheme="minorHAnsi" w:hAnsiTheme="minorHAnsi" w:cstheme="minorHAnsi"/>
        </w:rPr>
        <w:t>On the basis of</w:t>
      </w:r>
      <w:proofErr w:type="gramEnd"/>
      <w:r w:rsidRPr="00BB7202">
        <w:rPr>
          <w:rFonts w:asciiTheme="minorHAnsi" w:hAnsiTheme="minorHAnsi" w:cstheme="minorHAnsi"/>
        </w:rPr>
        <w:t xml:space="preserve"> the results of host specificity testing reported in this application</w:t>
      </w:r>
      <w:r w:rsidR="00DE7269" w:rsidRPr="00BB7202">
        <w:rPr>
          <w:rFonts w:asciiTheme="minorHAnsi" w:hAnsiTheme="minorHAnsi" w:cstheme="minorHAnsi"/>
        </w:rPr>
        <w:t xml:space="preserve"> </w:t>
      </w:r>
      <w:r w:rsidRPr="00BB7202">
        <w:rPr>
          <w:rFonts w:asciiTheme="minorHAnsi" w:hAnsiTheme="minorHAnsi" w:cstheme="minorHAnsi"/>
        </w:rPr>
        <w:t xml:space="preserve">it is concluded that the likelihood of occurrence of off-target effects in Australia is </w:t>
      </w:r>
      <w:r w:rsidR="00DE7269" w:rsidRPr="00BB7202">
        <w:rPr>
          <w:rFonts w:asciiTheme="minorHAnsi" w:hAnsiTheme="minorHAnsi" w:cstheme="minorHAnsi"/>
          <w:b/>
        </w:rPr>
        <w:t>Negligible</w:t>
      </w:r>
      <w:r w:rsidR="00EF09E2" w:rsidRPr="00BB7202">
        <w:rPr>
          <w:rFonts w:asciiTheme="minorHAnsi" w:hAnsiTheme="minorHAnsi" w:cstheme="minorHAnsi"/>
        </w:rPr>
        <w:t xml:space="preserve">.  </w:t>
      </w:r>
    </w:p>
    <w:p w14:paraId="4630B958" w14:textId="77777777" w:rsidR="00736319" w:rsidRPr="00B96F59" w:rsidRDefault="00D0393D" w:rsidP="00B96F59">
      <w:pPr>
        <w:pStyle w:val="Heading4"/>
      </w:pPr>
      <w:r w:rsidRPr="00B96F59">
        <w:t>Assessment of potential consequences</w:t>
      </w:r>
      <w:r w:rsidR="00CE3D44" w:rsidRPr="00B96F59">
        <w:t xml:space="preserve"> of off-target effects</w:t>
      </w:r>
    </w:p>
    <w:p w14:paraId="56433F2E" w14:textId="77777777" w:rsidR="00CE3D44" w:rsidRPr="00BB7202" w:rsidRDefault="00CE3D44">
      <w:pPr>
        <w:rPr>
          <w:rFonts w:asciiTheme="minorHAnsi" w:hAnsiTheme="minorHAnsi" w:cstheme="minorHAnsi"/>
        </w:rPr>
      </w:pPr>
      <w:r w:rsidRPr="00BB7202">
        <w:rPr>
          <w:rFonts w:asciiTheme="minorHAnsi" w:hAnsiTheme="minorHAnsi" w:cstheme="minorHAnsi"/>
        </w:rPr>
        <w:t>The potential consequences of the off-target effects of this biological control agent have been assessed using the same methodology (Appendix A) as used in the import risk analysis process for pests associated with imported fresh produce.</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CE3D44" w:rsidRPr="00BB7202" w14:paraId="17A9BECF" w14:textId="77777777" w:rsidTr="00CE3D44">
        <w:tc>
          <w:tcPr>
            <w:tcW w:w="2021" w:type="pct"/>
            <w:tcBorders>
              <w:top w:val="single" w:sz="4" w:space="0" w:color="auto"/>
              <w:bottom w:val="single" w:sz="4" w:space="0" w:color="D9D9D9"/>
            </w:tcBorders>
          </w:tcPr>
          <w:p w14:paraId="6CDBBC39" w14:textId="77777777" w:rsidR="00CE3D44" w:rsidRPr="00BB7202" w:rsidRDefault="00CE3D44" w:rsidP="00CE3D44">
            <w:pPr>
              <w:pStyle w:val="TableHeading"/>
              <w:rPr>
                <w:rFonts w:asciiTheme="minorHAnsi" w:hAnsiTheme="minorHAnsi" w:cstheme="minorHAnsi"/>
              </w:rPr>
            </w:pPr>
            <w:r w:rsidRPr="00BB7202">
              <w:rPr>
                <w:rFonts w:asciiTheme="minorHAnsi" w:hAnsiTheme="minorHAnsi" w:cstheme="minorHAnsi"/>
              </w:rPr>
              <w:t>Criterion</w:t>
            </w:r>
          </w:p>
        </w:tc>
        <w:tc>
          <w:tcPr>
            <w:tcW w:w="2979" w:type="pct"/>
            <w:tcBorders>
              <w:top w:val="single" w:sz="4" w:space="0" w:color="auto"/>
              <w:bottom w:val="single" w:sz="4" w:space="0" w:color="D9D9D9"/>
            </w:tcBorders>
          </w:tcPr>
          <w:p w14:paraId="44D0C1DB" w14:textId="77777777" w:rsidR="00CE3D44" w:rsidRPr="00BB7202" w:rsidRDefault="00CE3D44" w:rsidP="00CE3D44">
            <w:pPr>
              <w:pStyle w:val="TableHeading"/>
              <w:rPr>
                <w:rFonts w:asciiTheme="minorHAnsi" w:hAnsiTheme="minorHAnsi" w:cstheme="minorHAnsi"/>
              </w:rPr>
            </w:pPr>
            <w:r w:rsidRPr="00BB7202">
              <w:rPr>
                <w:rFonts w:asciiTheme="minorHAnsi" w:hAnsiTheme="minorHAnsi" w:cstheme="minorHAnsi"/>
              </w:rPr>
              <w:t>Estimate and rationale</w:t>
            </w:r>
          </w:p>
        </w:tc>
      </w:tr>
      <w:tr w:rsidR="00CE3D44" w:rsidRPr="00BB7202" w14:paraId="21FB40F5" w14:textId="77777777" w:rsidTr="00CE3D44">
        <w:tc>
          <w:tcPr>
            <w:tcW w:w="5000" w:type="pct"/>
            <w:gridSpan w:val="2"/>
            <w:tcBorders>
              <w:top w:val="single" w:sz="4" w:space="0" w:color="D9D9D9"/>
              <w:bottom w:val="single" w:sz="4" w:space="0" w:color="D9D9D9"/>
            </w:tcBorders>
          </w:tcPr>
          <w:p w14:paraId="6609D347" w14:textId="77777777" w:rsidR="00CE3D44" w:rsidRPr="00BB7202" w:rsidRDefault="00CE3D44" w:rsidP="00CE3D44">
            <w:pPr>
              <w:pStyle w:val="TableText"/>
              <w:rPr>
                <w:rFonts w:asciiTheme="minorHAnsi" w:hAnsiTheme="minorHAnsi" w:cstheme="minorHAnsi"/>
                <w:b/>
              </w:rPr>
            </w:pPr>
            <w:r w:rsidRPr="00BB7202">
              <w:rPr>
                <w:rFonts w:asciiTheme="minorHAnsi" w:hAnsiTheme="minorHAnsi" w:cstheme="minorHAnsi"/>
                <w:b/>
              </w:rPr>
              <w:t>Direct</w:t>
            </w:r>
          </w:p>
        </w:tc>
      </w:tr>
      <w:tr w:rsidR="00CE3D44" w:rsidRPr="00BB7202" w14:paraId="30DEA19E" w14:textId="77777777" w:rsidTr="00CE3D44">
        <w:tc>
          <w:tcPr>
            <w:tcW w:w="2021" w:type="pct"/>
            <w:tcBorders>
              <w:top w:val="single" w:sz="4" w:space="0" w:color="D9D9D9"/>
              <w:bottom w:val="single" w:sz="4" w:space="0" w:color="D9D9D9"/>
            </w:tcBorders>
          </w:tcPr>
          <w:p w14:paraId="3EF7BBA3"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t>Plant life or health</w:t>
            </w:r>
          </w:p>
        </w:tc>
        <w:tc>
          <w:tcPr>
            <w:tcW w:w="2979" w:type="pct"/>
            <w:tcBorders>
              <w:top w:val="single" w:sz="4" w:space="0" w:color="D9D9D9"/>
              <w:bottom w:val="single" w:sz="4" w:space="0" w:color="D9D9D9"/>
            </w:tcBorders>
          </w:tcPr>
          <w:p w14:paraId="40E644BD" w14:textId="4293923E" w:rsidR="00CE3D44" w:rsidRPr="00BB7202" w:rsidRDefault="00B308CF" w:rsidP="00CE3D44">
            <w:pPr>
              <w:pStyle w:val="TableText"/>
              <w:rPr>
                <w:rFonts w:asciiTheme="minorHAnsi" w:hAnsiTheme="minorHAnsi" w:cstheme="minorHAnsi"/>
              </w:rPr>
            </w:pPr>
            <w:r w:rsidRPr="00BB7202">
              <w:rPr>
                <w:rFonts w:asciiTheme="minorHAnsi" w:hAnsiTheme="minorHAnsi" w:cstheme="minorHAnsi"/>
              </w:rPr>
              <w:t>A</w:t>
            </w:r>
            <w:r w:rsidR="00CE3D44" w:rsidRPr="00BB7202">
              <w:rPr>
                <w:rFonts w:asciiTheme="minorHAnsi" w:hAnsiTheme="minorHAnsi" w:cstheme="minorHAnsi"/>
              </w:rPr>
              <w:t>—</w:t>
            </w:r>
            <w:r w:rsidRPr="00BB7202">
              <w:rPr>
                <w:rFonts w:asciiTheme="minorHAnsi" w:hAnsiTheme="minorHAnsi" w:cstheme="minorHAnsi"/>
              </w:rPr>
              <w:t>Indiscernible</w:t>
            </w:r>
          </w:p>
          <w:p w14:paraId="48D86670" w14:textId="1D616D4F" w:rsidR="00CE3D44" w:rsidRPr="00BB7202" w:rsidRDefault="00855FC6" w:rsidP="00E429D7">
            <w:pPr>
              <w:pStyle w:val="TableText"/>
              <w:rPr>
                <w:rFonts w:asciiTheme="minorHAnsi" w:hAnsiTheme="minorHAnsi" w:cstheme="minorHAnsi"/>
              </w:rPr>
            </w:pPr>
            <w:r w:rsidRPr="00BB7202">
              <w:rPr>
                <w:rFonts w:asciiTheme="minorHAnsi" w:hAnsiTheme="minorHAnsi" w:cstheme="minorHAnsi"/>
              </w:rPr>
              <w:t xml:space="preserve">Under field conditions it is expected that </w:t>
            </w:r>
            <w:r w:rsidRPr="00BB7202">
              <w:rPr>
                <w:rFonts w:asciiTheme="minorHAnsi" w:hAnsiTheme="minorHAnsi" w:cstheme="minorHAnsi"/>
                <w:i/>
                <w:iCs/>
              </w:rPr>
              <w:t>N. unguis-cati</w:t>
            </w:r>
            <w:r w:rsidRPr="00BB7202">
              <w:rPr>
                <w:rFonts w:asciiTheme="minorHAnsi" w:hAnsiTheme="minorHAnsi" w:cstheme="minorHAnsi"/>
              </w:rPr>
              <w:t xml:space="preserve"> will only complete its lifecycle on </w:t>
            </w:r>
            <w:r w:rsidRPr="00BB7202">
              <w:rPr>
                <w:rFonts w:asciiTheme="minorHAnsi" w:hAnsiTheme="minorHAnsi" w:cstheme="minorHAnsi"/>
                <w:i/>
                <w:iCs/>
              </w:rPr>
              <w:t>D. unguis-cati</w:t>
            </w:r>
            <w:r w:rsidRPr="00BB7202">
              <w:rPr>
                <w:rFonts w:asciiTheme="minorHAnsi" w:hAnsiTheme="minorHAnsi" w:cstheme="minorHAnsi"/>
              </w:rPr>
              <w:t>.</w:t>
            </w:r>
            <w:r w:rsidR="004E3796" w:rsidRPr="00BB7202">
              <w:rPr>
                <w:rFonts w:asciiTheme="minorHAnsi" w:hAnsiTheme="minorHAnsi" w:cstheme="minorHAnsi"/>
              </w:rPr>
              <w:t xml:space="preserve"> No direct off-target effects on plant life or health of economic or environmental importance are anticipated to occur.</w:t>
            </w:r>
          </w:p>
        </w:tc>
      </w:tr>
      <w:tr w:rsidR="00CE3D44" w:rsidRPr="00BB7202" w14:paraId="206C839B" w14:textId="77777777" w:rsidTr="00CE3D44">
        <w:tc>
          <w:tcPr>
            <w:tcW w:w="2021" w:type="pct"/>
            <w:tcBorders>
              <w:top w:val="single" w:sz="4" w:space="0" w:color="D9D9D9"/>
              <w:bottom w:val="single" w:sz="4" w:space="0" w:color="D9D9D9"/>
            </w:tcBorders>
          </w:tcPr>
          <w:p w14:paraId="67EAF673"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t>Other aspects of the environment</w:t>
            </w:r>
          </w:p>
        </w:tc>
        <w:tc>
          <w:tcPr>
            <w:tcW w:w="2979" w:type="pct"/>
            <w:tcBorders>
              <w:top w:val="single" w:sz="4" w:space="0" w:color="D9D9D9"/>
              <w:bottom w:val="single" w:sz="4" w:space="0" w:color="D9D9D9"/>
            </w:tcBorders>
          </w:tcPr>
          <w:p w14:paraId="3BFD81A1" w14:textId="19F37AE5" w:rsidR="00CE3D44" w:rsidRPr="00BB7202" w:rsidRDefault="00B308CF" w:rsidP="00CE3D44">
            <w:pPr>
              <w:pStyle w:val="TableText"/>
              <w:rPr>
                <w:rFonts w:asciiTheme="minorHAnsi" w:hAnsiTheme="minorHAnsi" w:cstheme="minorHAnsi"/>
              </w:rPr>
            </w:pPr>
            <w:r w:rsidRPr="00BB7202">
              <w:rPr>
                <w:rFonts w:asciiTheme="minorHAnsi" w:hAnsiTheme="minorHAnsi" w:cstheme="minorHAnsi"/>
              </w:rPr>
              <w:t>A</w:t>
            </w:r>
            <w:r w:rsidR="00CE3D44" w:rsidRPr="00BB7202">
              <w:rPr>
                <w:rFonts w:asciiTheme="minorHAnsi" w:hAnsiTheme="minorHAnsi" w:cstheme="minorHAnsi"/>
              </w:rPr>
              <w:t xml:space="preserve">— </w:t>
            </w:r>
            <w:r w:rsidRPr="00BB7202">
              <w:rPr>
                <w:rFonts w:asciiTheme="minorHAnsi" w:hAnsiTheme="minorHAnsi" w:cstheme="minorHAnsi"/>
              </w:rPr>
              <w:t>Indiscernible</w:t>
            </w:r>
          </w:p>
          <w:p w14:paraId="3553EB63" w14:textId="77777777" w:rsidR="00CE3D44" w:rsidRPr="00BB7202" w:rsidRDefault="00B308CF" w:rsidP="00E429D7">
            <w:pPr>
              <w:pStyle w:val="TableText"/>
              <w:rPr>
                <w:rFonts w:asciiTheme="minorHAnsi" w:hAnsiTheme="minorHAnsi" w:cstheme="minorHAnsi"/>
              </w:rPr>
            </w:pPr>
            <w:r w:rsidRPr="00BB7202">
              <w:rPr>
                <w:rFonts w:asciiTheme="minorHAnsi" w:hAnsiTheme="minorHAnsi" w:cstheme="minorHAnsi"/>
              </w:rPr>
              <w:t xml:space="preserve">There is no evidence that the introduction of </w:t>
            </w:r>
            <w:r w:rsidRPr="00BB7202">
              <w:rPr>
                <w:rFonts w:asciiTheme="minorHAnsi" w:hAnsiTheme="minorHAnsi" w:cstheme="minorHAnsi"/>
                <w:i/>
                <w:iCs/>
              </w:rPr>
              <w:t>N. unguis-cati</w:t>
            </w:r>
            <w:r w:rsidRPr="00BB7202">
              <w:rPr>
                <w:rFonts w:asciiTheme="minorHAnsi" w:hAnsiTheme="minorHAnsi" w:cstheme="minorHAnsi"/>
              </w:rPr>
              <w:t xml:space="preserve"> would have any negative impacts on any other aspects of the environment.</w:t>
            </w:r>
          </w:p>
          <w:p w14:paraId="7481537B" w14:textId="332316C6" w:rsidR="00B308CF" w:rsidRPr="00BB7202" w:rsidRDefault="00B308CF" w:rsidP="00E429D7">
            <w:pPr>
              <w:pStyle w:val="TableText"/>
              <w:rPr>
                <w:rFonts w:asciiTheme="minorHAnsi" w:hAnsiTheme="minorHAnsi" w:cstheme="minorHAnsi"/>
              </w:rPr>
            </w:pPr>
            <w:r w:rsidRPr="00BB7202">
              <w:rPr>
                <w:rFonts w:asciiTheme="minorHAnsi" w:hAnsiTheme="minorHAnsi" w:cstheme="minorHAnsi"/>
              </w:rPr>
              <w:t xml:space="preserve">The introduction of </w:t>
            </w:r>
            <w:r w:rsidRPr="00BB7202">
              <w:rPr>
                <w:rFonts w:asciiTheme="minorHAnsi" w:hAnsiTheme="minorHAnsi" w:cstheme="minorHAnsi"/>
                <w:i/>
                <w:iCs/>
              </w:rPr>
              <w:t>N. unguis-cati</w:t>
            </w:r>
            <w:r w:rsidRPr="00BB7202">
              <w:rPr>
                <w:rFonts w:asciiTheme="minorHAnsi" w:hAnsiTheme="minorHAnsi" w:cstheme="minorHAnsi"/>
              </w:rPr>
              <w:t xml:space="preserve"> into the environment has the potential to provide control of cat’s claw creeper, which is likely to have beneficial effects. Cat’s claw creeper is a significant environmental weed.</w:t>
            </w:r>
          </w:p>
        </w:tc>
      </w:tr>
      <w:tr w:rsidR="00CE3D44" w:rsidRPr="00BB7202" w14:paraId="1E01C5A8" w14:textId="77777777" w:rsidTr="00CE3D44">
        <w:tc>
          <w:tcPr>
            <w:tcW w:w="5000" w:type="pct"/>
            <w:gridSpan w:val="2"/>
            <w:tcBorders>
              <w:top w:val="single" w:sz="4" w:space="0" w:color="D9D9D9"/>
              <w:bottom w:val="single" w:sz="4" w:space="0" w:color="D9D9D9"/>
            </w:tcBorders>
          </w:tcPr>
          <w:p w14:paraId="7E0196C3" w14:textId="77777777" w:rsidR="00CE3D44" w:rsidRPr="00BB7202" w:rsidRDefault="00CE3D44" w:rsidP="00CE3D44">
            <w:pPr>
              <w:pStyle w:val="TableHeading"/>
              <w:rPr>
                <w:rFonts w:asciiTheme="minorHAnsi" w:hAnsiTheme="minorHAnsi" w:cstheme="minorHAnsi"/>
              </w:rPr>
            </w:pPr>
            <w:r w:rsidRPr="00BB7202">
              <w:rPr>
                <w:rFonts w:asciiTheme="minorHAnsi" w:hAnsiTheme="minorHAnsi" w:cstheme="minorHAnsi"/>
              </w:rPr>
              <w:t>Indirect</w:t>
            </w:r>
          </w:p>
        </w:tc>
      </w:tr>
      <w:tr w:rsidR="00CE3D44" w:rsidRPr="00BB7202" w14:paraId="4F02038D" w14:textId="77777777" w:rsidTr="00CE3D44">
        <w:tc>
          <w:tcPr>
            <w:tcW w:w="2021" w:type="pct"/>
            <w:tcBorders>
              <w:top w:val="single" w:sz="4" w:space="0" w:color="D9D9D9"/>
              <w:bottom w:val="single" w:sz="4" w:space="0" w:color="D9D9D9"/>
            </w:tcBorders>
          </w:tcPr>
          <w:p w14:paraId="45087999"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t>Eradication, control</w:t>
            </w:r>
          </w:p>
        </w:tc>
        <w:tc>
          <w:tcPr>
            <w:tcW w:w="2979" w:type="pct"/>
            <w:tcBorders>
              <w:top w:val="single" w:sz="4" w:space="0" w:color="D9D9D9"/>
              <w:bottom w:val="single" w:sz="4" w:space="0" w:color="D9D9D9"/>
            </w:tcBorders>
          </w:tcPr>
          <w:p w14:paraId="712DCBEE" w14:textId="4E971232" w:rsidR="00CE3D44" w:rsidRPr="00BB7202" w:rsidRDefault="004029C7" w:rsidP="00CE3D44">
            <w:pPr>
              <w:pStyle w:val="TableText"/>
              <w:rPr>
                <w:rFonts w:asciiTheme="minorHAnsi" w:hAnsiTheme="minorHAnsi" w:cstheme="minorHAnsi"/>
              </w:rPr>
            </w:pPr>
            <w:r w:rsidRPr="00BB7202">
              <w:rPr>
                <w:rFonts w:asciiTheme="minorHAnsi" w:hAnsiTheme="minorHAnsi" w:cstheme="minorHAnsi"/>
              </w:rPr>
              <w:t>A</w:t>
            </w:r>
            <w:r w:rsidR="00CE3D44" w:rsidRPr="00BB7202">
              <w:rPr>
                <w:rFonts w:asciiTheme="minorHAnsi" w:hAnsiTheme="minorHAnsi" w:cstheme="minorHAnsi"/>
              </w:rPr>
              <w:t>—</w:t>
            </w:r>
            <w:r w:rsidRPr="00BB7202">
              <w:rPr>
                <w:rFonts w:asciiTheme="minorHAnsi" w:hAnsiTheme="minorHAnsi" w:cstheme="minorHAnsi"/>
                <w:sz w:val="22"/>
              </w:rPr>
              <w:t xml:space="preserve"> </w:t>
            </w:r>
            <w:r w:rsidRPr="00BB7202">
              <w:rPr>
                <w:rFonts w:asciiTheme="minorHAnsi" w:hAnsiTheme="minorHAnsi" w:cstheme="minorHAnsi"/>
              </w:rPr>
              <w:t>Indiscernible</w:t>
            </w:r>
          </w:p>
          <w:p w14:paraId="525CD91D" w14:textId="4D0515FB" w:rsidR="00CE3D44" w:rsidRPr="00BB7202" w:rsidRDefault="004029C7" w:rsidP="00E429D7">
            <w:pPr>
              <w:pStyle w:val="TableText"/>
              <w:rPr>
                <w:rFonts w:asciiTheme="minorHAnsi" w:hAnsiTheme="minorHAnsi" w:cstheme="minorHAnsi"/>
              </w:rPr>
            </w:pPr>
            <w:proofErr w:type="spellStart"/>
            <w:r w:rsidRPr="00BB7202">
              <w:rPr>
                <w:rFonts w:asciiTheme="minorHAnsi" w:hAnsiTheme="minorHAnsi" w:cstheme="minorHAnsi"/>
                <w:i/>
                <w:iCs/>
              </w:rPr>
              <w:t>Neoramulariopsis</w:t>
            </w:r>
            <w:proofErr w:type="spellEnd"/>
            <w:r w:rsidRPr="00BB7202">
              <w:rPr>
                <w:rFonts w:asciiTheme="minorHAnsi" w:hAnsiTheme="minorHAnsi" w:cstheme="minorHAnsi"/>
                <w:i/>
                <w:iCs/>
              </w:rPr>
              <w:t xml:space="preserve"> unguis-cati</w:t>
            </w:r>
            <w:r w:rsidRPr="00BB7202">
              <w:rPr>
                <w:rFonts w:asciiTheme="minorHAnsi" w:hAnsiTheme="minorHAnsi" w:cstheme="minorHAnsi"/>
              </w:rPr>
              <w:t xml:space="preserve"> is a biological control agent proposed for the biological control of </w:t>
            </w:r>
            <w:r w:rsidRPr="00BB7202">
              <w:rPr>
                <w:rFonts w:asciiTheme="minorHAnsi" w:hAnsiTheme="minorHAnsi" w:cstheme="minorHAnsi"/>
                <w:i/>
                <w:iCs/>
              </w:rPr>
              <w:t>D. unguis-cati</w:t>
            </w:r>
            <w:r w:rsidRPr="00BB7202">
              <w:rPr>
                <w:rFonts w:asciiTheme="minorHAnsi" w:hAnsiTheme="minorHAnsi" w:cstheme="minorHAnsi"/>
              </w:rPr>
              <w:t>. There are no off-target impacts expected. Therefore, the need for eradication and/or control is not anticipated.</w:t>
            </w:r>
          </w:p>
        </w:tc>
      </w:tr>
      <w:tr w:rsidR="00CE3D44" w:rsidRPr="00BB7202" w14:paraId="7687F4A6" w14:textId="77777777" w:rsidTr="00CE3D44">
        <w:tc>
          <w:tcPr>
            <w:tcW w:w="2021" w:type="pct"/>
            <w:tcBorders>
              <w:top w:val="single" w:sz="4" w:space="0" w:color="D9D9D9"/>
              <w:bottom w:val="single" w:sz="4" w:space="0" w:color="D9D9D9"/>
            </w:tcBorders>
          </w:tcPr>
          <w:p w14:paraId="1B4F2625"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t>Domestic trade</w:t>
            </w:r>
          </w:p>
        </w:tc>
        <w:tc>
          <w:tcPr>
            <w:tcW w:w="2979" w:type="pct"/>
            <w:tcBorders>
              <w:top w:val="single" w:sz="4" w:space="0" w:color="D9D9D9"/>
              <w:bottom w:val="single" w:sz="4" w:space="0" w:color="D9D9D9"/>
            </w:tcBorders>
          </w:tcPr>
          <w:p w14:paraId="322B2388" w14:textId="77777777" w:rsidR="00717643" w:rsidRPr="00BB7202" w:rsidRDefault="00717643" w:rsidP="00717643">
            <w:pPr>
              <w:pStyle w:val="TableText"/>
              <w:rPr>
                <w:rFonts w:asciiTheme="minorHAnsi" w:hAnsiTheme="minorHAnsi" w:cstheme="minorHAnsi"/>
              </w:rPr>
            </w:pPr>
            <w:r w:rsidRPr="00BB7202">
              <w:rPr>
                <w:rFonts w:asciiTheme="minorHAnsi" w:hAnsiTheme="minorHAnsi" w:cstheme="minorHAnsi"/>
              </w:rPr>
              <w:t>A— Indiscernible</w:t>
            </w:r>
          </w:p>
          <w:p w14:paraId="3BE90C41" w14:textId="3DC329EE" w:rsidR="00CE3D44" w:rsidRPr="00BB7202" w:rsidRDefault="007F4E48" w:rsidP="00E429D7">
            <w:pPr>
              <w:pStyle w:val="TableText"/>
              <w:rPr>
                <w:rFonts w:asciiTheme="minorHAnsi" w:hAnsiTheme="minorHAnsi" w:cstheme="minorHAnsi"/>
              </w:rPr>
            </w:pPr>
            <w:proofErr w:type="spellStart"/>
            <w:r w:rsidRPr="00BB7202">
              <w:rPr>
                <w:rFonts w:asciiTheme="minorHAnsi" w:hAnsiTheme="minorHAnsi" w:cstheme="minorHAnsi"/>
                <w:i/>
                <w:iCs/>
              </w:rPr>
              <w:t>Neoramulariopsis</w:t>
            </w:r>
            <w:proofErr w:type="spellEnd"/>
            <w:r w:rsidRPr="00BB7202">
              <w:rPr>
                <w:rFonts w:asciiTheme="minorHAnsi" w:hAnsiTheme="minorHAnsi" w:cstheme="minorHAnsi"/>
                <w:i/>
                <w:iCs/>
              </w:rPr>
              <w:t xml:space="preserve"> unguis-cati</w:t>
            </w:r>
            <w:r w:rsidRPr="00BB7202">
              <w:rPr>
                <w:rFonts w:asciiTheme="minorHAnsi" w:hAnsiTheme="minorHAnsi" w:cstheme="minorHAnsi"/>
              </w:rPr>
              <w:t xml:space="preserve"> is a biological control agent proposed for the biological control of </w:t>
            </w:r>
            <w:r w:rsidRPr="00BB7202">
              <w:rPr>
                <w:rFonts w:asciiTheme="minorHAnsi" w:hAnsiTheme="minorHAnsi" w:cstheme="minorHAnsi"/>
                <w:i/>
                <w:iCs/>
              </w:rPr>
              <w:t>D. unguis-cati</w:t>
            </w:r>
            <w:r w:rsidRPr="00BB7202">
              <w:rPr>
                <w:rFonts w:asciiTheme="minorHAnsi" w:hAnsiTheme="minorHAnsi" w:cstheme="minorHAnsi"/>
              </w:rPr>
              <w:t>, a weed of environmental importance. Host specificity testing results indicate that the pathogen is unable to complete its lifecycle on any non-target plant species. Therefore, domestic trade is unlikely to be affected.</w:t>
            </w:r>
          </w:p>
        </w:tc>
      </w:tr>
      <w:tr w:rsidR="00CE3D44" w:rsidRPr="00BB7202" w14:paraId="69D6564D" w14:textId="77777777" w:rsidTr="00CE3D44">
        <w:tc>
          <w:tcPr>
            <w:tcW w:w="2021" w:type="pct"/>
            <w:tcBorders>
              <w:top w:val="single" w:sz="4" w:space="0" w:color="D9D9D9"/>
              <w:bottom w:val="single" w:sz="4" w:space="0" w:color="D9D9D9"/>
            </w:tcBorders>
          </w:tcPr>
          <w:p w14:paraId="58C178BE"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t>International trade</w:t>
            </w:r>
          </w:p>
        </w:tc>
        <w:tc>
          <w:tcPr>
            <w:tcW w:w="2979" w:type="pct"/>
            <w:tcBorders>
              <w:top w:val="single" w:sz="4" w:space="0" w:color="D9D9D9"/>
              <w:bottom w:val="single" w:sz="4" w:space="0" w:color="D9D9D9"/>
            </w:tcBorders>
          </w:tcPr>
          <w:p w14:paraId="263CEEA6" w14:textId="77777777" w:rsidR="00661294" w:rsidRPr="00BB7202" w:rsidRDefault="00661294" w:rsidP="00661294">
            <w:pPr>
              <w:pStyle w:val="TableText"/>
              <w:rPr>
                <w:rFonts w:asciiTheme="minorHAnsi" w:hAnsiTheme="minorHAnsi" w:cstheme="minorHAnsi"/>
              </w:rPr>
            </w:pPr>
            <w:r w:rsidRPr="00BB7202">
              <w:rPr>
                <w:rFonts w:asciiTheme="minorHAnsi" w:hAnsiTheme="minorHAnsi" w:cstheme="minorHAnsi"/>
              </w:rPr>
              <w:t>A— Indiscernible</w:t>
            </w:r>
          </w:p>
          <w:p w14:paraId="67600616" w14:textId="46A5A28B" w:rsidR="00CE3D44" w:rsidRPr="00BB7202" w:rsidRDefault="00E3695C" w:rsidP="00E429D7">
            <w:pPr>
              <w:pStyle w:val="TableText"/>
              <w:rPr>
                <w:rFonts w:asciiTheme="minorHAnsi" w:hAnsiTheme="minorHAnsi" w:cstheme="minorHAnsi"/>
              </w:rPr>
            </w:pPr>
            <w:r w:rsidRPr="00BB7202">
              <w:rPr>
                <w:rFonts w:asciiTheme="minorHAnsi" w:hAnsiTheme="minorHAnsi" w:cstheme="minorHAnsi"/>
              </w:rPr>
              <w:t>No off-target impacts are expected to occur on any plants of significance to international trade.</w:t>
            </w:r>
            <w:r w:rsidR="000232E2" w:rsidRPr="00BB7202">
              <w:rPr>
                <w:rFonts w:asciiTheme="minorHAnsi" w:hAnsiTheme="minorHAnsi" w:cstheme="minorHAnsi"/>
              </w:rPr>
              <w:t xml:space="preserve"> Cat’s claw creeper is the only plant species able to support the complete lifecycle of </w:t>
            </w:r>
            <w:r w:rsidR="000232E2" w:rsidRPr="00BB7202">
              <w:rPr>
                <w:rFonts w:asciiTheme="minorHAnsi" w:hAnsiTheme="minorHAnsi" w:cstheme="minorHAnsi"/>
                <w:i/>
                <w:iCs/>
              </w:rPr>
              <w:t>N. unguis-cati</w:t>
            </w:r>
            <w:r w:rsidR="000232E2" w:rsidRPr="00BB7202">
              <w:rPr>
                <w:rFonts w:asciiTheme="minorHAnsi" w:hAnsiTheme="minorHAnsi" w:cstheme="minorHAnsi"/>
              </w:rPr>
              <w:t xml:space="preserve">. Cat’s claw creeper is very unlikely to be traded internationally as it is already present on every continent, except Antarctica. It is </w:t>
            </w:r>
            <w:r w:rsidR="000232E2" w:rsidRPr="00BB7202">
              <w:rPr>
                <w:rFonts w:asciiTheme="minorHAnsi" w:hAnsiTheme="minorHAnsi" w:cstheme="minorHAnsi"/>
              </w:rPr>
              <w:lastRenderedPageBreak/>
              <w:t>highly invasive in most of its range and is listed on the Global Invasive Species Database (GISD 2024).</w:t>
            </w:r>
          </w:p>
        </w:tc>
      </w:tr>
      <w:tr w:rsidR="00CE3D44" w:rsidRPr="00BB7202" w14:paraId="234C9D1C" w14:textId="77777777" w:rsidTr="00CE3D44">
        <w:tc>
          <w:tcPr>
            <w:tcW w:w="2021" w:type="pct"/>
            <w:tcBorders>
              <w:top w:val="single" w:sz="4" w:space="0" w:color="D9D9D9"/>
            </w:tcBorders>
          </w:tcPr>
          <w:p w14:paraId="5EB9BFC8"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lastRenderedPageBreak/>
              <w:t>Environmental and non-commercial</w:t>
            </w:r>
          </w:p>
        </w:tc>
        <w:tc>
          <w:tcPr>
            <w:tcW w:w="2979" w:type="pct"/>
            <w:tcBorders>
              <w:top w:val="single" w:sz="4" w:space="0" w:color="D9D9D9"/>
            </w:tcBorders>
          </w:tcPr>
          <w:p w14:paraId="0E6A6E35" w14:textId="77777777" w:rsidR="00661294" w:rsidRPr="00BB7202" w:rsidRDefault="00661294" w:rsidP="00661294">
            <w:pPr>
              <w:pStyle w:val="TableText"/>
              <w:rPr>
                <w:rFonts w:asciiTheme="minorHAnsi" w:hAnsiTheme="minorHAnsi" w:cstheme="minorHAnsi"/>
              </w:rPr>
            </w:pPr>
            <w:r w:rsidRPr="00BB7202">
              <w:rPr>
                <w:rFonts w:asciiTheme="minorHAnsi" w:hAnsiTheme="minorHAnsi" w:cstheme="minorHAnsi"/>
              </w:rPr>
              <w:t>A— Indiscernible</w:t>
            </w:r>
          </w:p>
          <w:p w14:paraId="7BE535C4" w14:textId="040EEFCA" w:rsidR="00CE3D44" w:rsidRPr="00BB7202" w:rsidRDefault="00DD71D8" w:rsidP="00E429D7">
            <w:pPr>
              <w:pStyle w:val="TableText"/>
              <w:rPr>
                <w:rFonts w:asciiTheme="minorHAnsi" w:hAnsiTheme="minorHAnsi" w:cstheme="minorHAnsi"/>
              </w:rPr>
            </w:pPr>
            <w:proofErr w:type="spellStart"/>
            <w:r w:rsidRPr="00BB7202">
              <w:rPr>
                <w:rFonts w:asciiTheme="minorHAnsi" w:hAnsiTheme="minorHAnsi" w:cstheme="minorHAnsi"/>
                <w:i/>
                <w:iCs/>
              </w:rPr>
              <w:t>Dolichandra</w:t>
            </w:r>
            <w:proofErr w:type="spellEnd"/>
            <w:r w:rsidRPr="00BB7202">
              <w:rPr>
                <w:rFonts w:asciiTheme="minorHAnsi" w:hAnsiTheme="minorHAnsi" w:cstheme="minorHAnsi"/>
                <w:i/>
                <w:iCs/>
              </w:rPr>
              <w:t xml:space="preserve"> unguis-cati</w:t>
            </w:r>
            <w:r w:rsidRPr="00BB7202">
              <w:rPr>
                <w:rFonts w:asciiTheme="minorHAnsi" w:hAnsiTheme="minorHAnsi" w:cstheme="minorHAnsi"/>
              </w:rPr>
              <w:t xml:space="preserve"> is an introduced weed in Australia. The reduction of this species in the environment is not anticipated to have any negative indirect environmental or non-commercial effects.</w:t>
            </w:r>
          </w:p>
        </w:tc>
      </w:tr>
    </w:tbl>
    <w:p w14:paraId="4D340D38" w14:textId="5B58221A" w:rsidR="00CE3D44" w:rsidRPr="00BB7202" w:rsidRDefault="002D76E7" w:rsidP="00C810FE">
      <w:pPr>
        <w:rPr>
          <w:rFonts w:asciiTheme="minorHAnsi" w:hAnsiTheme="minorHAnsi" w:cstheme="minorHAnsi"/>
        </w:rPr>
      </w:pPr>
      <w:r w:rsidRPr="00BB7202">
        <w:rPr>
          <w:rFonts w:asciiTheme="minorHAnsi" w:hAnsiTheme="minorHAnsi" w:cstheme="minorHAnsi"/>
        </w:rPr>
        <w:t>Based on this assessment the potential consequences of off-target effects are</w:t>
      </w:r>
      <w:r w:rsidR="00C43C3E" w:rsidRPr="00BB7202">
        <w:rPr>
          <w:rFonts w:asciiTheme="minorHAnsi" w:hAnsiTheme="minorHAnsi" w:cstheme="minorHAnsi"/>
        </w:rPr>
        <w:t xml:space="preserve"> assessed as</w:t>
      </w:r>
      <w:r w:rsidRPr="00BB7202">
        <w:rPr>
          <w:rFonts w:asciiTheme="minorHAnsi" w:hAnsiTheme="minorHAnsi" w:cstheme="minorHAnsi"/>
        </w:rPr>
        <w:t xml:space="preserve">: </w:t>
      </w:r>
      <w:r w:rsidR="005E5B14" w:rsidRPr="00BB7202">
        <w:rPr>
          <w:rFonts w:asciiTheme="minorHAnsi" w:hAnsiTheme="minorHAnsi" w:cstheme="minorHAnsi"/>
          <w:b/>
        </w:rPr>
        <w:t>Negligible</w:t>
      </w:r>
      <w:r w:rsidRPr="00BB7202">
        <w:rPr>
          <w:rFonts w:asciiTheme="minorHAnsi" w:hAnsiTheme="minorHAnsi" w:cstheme="minorHAnsi"/>
        </w:rPr>
        <w:t>.</w:t>
      </w:r>
    </w:p>
    <w:p w14:paraId="60EBF336" w14:textId="77777777" w:rsidR="00736319" w:rsidRPr="00B96F59" w:rsidRDefault="00225036" w:rsidP="00B96F59">
      <w:pPr>
        <w:pStyle w:val="Heading4"/>
      </w:pPr>
      <w:r w:rsidRPr="00B96F59">
        <w:t>Off-target risk estimate</w:t>
      </w:r>
    </w:p>
    <w:p w14:paraId="56DE3E99" w14:textId="77777777" w:rsidR="006F157A" w:rsidRPr="00BB7202" w:rsidRDefault="006F157A" w:rsidP="006F157A">
      <w:pPr>
        <w:rPr>
          <w:rFonts w:asciiTheme="minorHAnsi" w:hAnsiTheme="minorHAnsi" w:cstheme="minorHAnsi"/>
        </w:rPr>
      </w:pPr>
      <w:bookmarkStart w:id="39" w:name="_Toc384979280"/>
      <w:r w:rsidRPr="00BB7202">
        <w:rPr>
          <w:rFonts w:asciiTheme="minorHAnsi" w:hAnsiTheme="minorHAnsi" w:cstheme="minorHAnsi"/>
        </w:rPr>
        <w:t xml:space="preserve">Unrestricted risk is the result of combining the </w:t>
      </w:r>
      <w:r w:rsidR="00446AC3" w:rsidRPr="00BB7202">
        <w:rPr>
          <w:rFonts w:asciiTheme="minorHAnsi" w:hAnsiTheme="minorHAnsi" w:cstheme="minorHAnsi"/>
        </w:rPr>
        <w:t>likelihood</w:t>
      </w:r>
      <w:r w:rsidRPr="00BB7202">
        <w:rPr>
          <w:rFonts w:asciiTheme="minorHAnsi" w:hAnsiTheme="minorHAnsi" w:cstheme="minorHAnsi"/>
        </w:rPr>
        <w:t xml:space="preserve"> of off-target effects with the outcome of potential consequences. </w:t>
      </w:r>
      <w:r w:rsidR="009525DC" w:rsidRPr="00BB7202">
        <w:rPr>
          <w:rFonts w:asciiTheme="minorHAnsi" w:hAnsiTheme="minorHAnsi" w:cstheme="minorHAnsi"/>
        </w:rPr>
        <w:t>Off-target effects</w:t>
      </w:r>
      <w:r w:rsidRPr="00BB7202">
        <w:rPr>
          <w:rFonts w:asciiTheme="minorHAnsi" w:hAnsiTheme="minorHAnsi" w:cstheme="minorHAnsi"/>
        </w:rPr>
        <w:t xml:space="preserve"> and consequences are combined using the risk estimation matrix shown in </w:t>
      </w:r>
      <w:r w:rsidR="00E3787B" w:rsidRPr="00BB7202">
        <w:rPr>
          <w:rFonts w:asciiTheme="minorHAnsi" w:hAnsiTheme="minorHAnsi" w:cstheme="minorHAnsi"/>
        </w:rPr>
        <w:t>Table 2.1</w:t>
      </w:r>
      <w:r w:rsidRPr="00BB7202">
        <w:rPr>
          <w:rFonts w:asciiTheme="minorHAnsi" w:hAnsiTheme="minorHAnsi" w:cstheme="minorHAnsi"/>
        </w:rP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6F157A" w:rsidRPr="00BB7202" w14:paraId="54D62CC5" w14:textId="77777777" w:rsidTr="009525DC">
        <w:tc>
          <w:tcPr>
            <w:tcW w:w="5000" w:type="pct"/>
            <w:gridSpan w:val="2"/>
          </w:tcPr>
          <w:p w14:paraId="27146793" w14:textId="4EC2051C" w:rsidR="006F157A" w:rsidRPr="00BB7202" w:rsidRDefault="00C43DDD" w:rsidP="00C43DDD">
            <w:pPr>
              <w:pStyle w:val="TableHeading"/>
              <w:rPr>
                <w:rFonts w:asciiTheme="minorHAnsi" w:hAnsiTheme="minorHAnsi" w:cstheme="minorHAnsi"/>
              </w:rPr>
            </w:pPr>
            <w:r w:rsidRPr="00BB7202">
              <w:rPr>
                <w:rFonts w:asciiTheme="minorHAnsi" w:hAnsiTheme="minorHAnsi" w:cstheme="minorHAnsi"/>
              </w:rPr>
              <w:t>R</w:t>
            </w:r>
            <w:r w:rsidR="006F157A" w:rsidRPr="00BB7202">
              <w:rPr>
                <w:rFonts w:asciiTheme="minorHAnsi" w:hAnsiTheme="minorHAnsi" w:cstheme="minorHAnsi"/>
              </w:rPr>
              <w:t xml:space="preserve">isk estimate for </w:t>
            </w:r>
            <w:proofErr w:type="spellStart"/>
            <w:r w:rsidR="00EE1F12" w:rsidRPr="00BB7202">
              <w:rPr>
                <w:rFonts w:asciiTheme="minorHAnsi" w:hAnsiTheme="minorHAnsi" w:cstheme="minorHAnsi"/>
                <w:i/>
              </w:rPr>
              <w:t>Neoramulariopsis</w:t>
            </w:r>
            <w:proofErr w:type="spellEnd"/>
            <w:r w:rsidR="00EE1F12" w:rsidRPr="00BB7202">
              <w:rPr>
                <w:rFonts w:asciiTheme="minorHAnsi" w:hAnsiTheme="minorHAnsi" w:cstheme="minorHAnsi"/>
                <w:i/>
              </w:rPr>
              <w:t xml:space="preserve"> unguis-cati</w:t>
            </w:r>
          </w:p>
        </w:tc>
      </w:tr>
      <w:tr w:rsidR="006F157A" w:rsidRPr="00BB7202" w14:paraId="3FD393A6" w14:textId="77777777" w:rsidTr="009525DC">
        <w:tc>
          <w:tcPr>
            <w:tcW w:w="3428" w:type="pct"/>
          </w:tcPr>
          <w:p w14:paraId="37806E83" w14:textId="77777777" w:rsidR="006F157A" w:rsidRPr="00BB7202" w:rsidRDefault="00446AC3" w:rsidP="009525DC">
            <w:pPr>
              <w:pStyle w:val="TableText"/>
              <w:rPr>
                <w:rFonts w:asciiTheme="minorHAnsi" w:hAnsiTheme="minorHAnsi" w:cstheme="minorHAnsi"/>
              </w:rPr>
            </w:pPr>
            <w:r w:rsidRPr="00BB7202">
              <w:rPr>
                <w:rFonts w:asciiTheme="minorHAnsi" w:hAnsiTheme="minorHAnsi" w:cstheme="minorHAnsi"/>
              </w:rPr>
              <w:t>Likelihood</w:t>
            </w:r>
            <w:r w:rsidR="00C43DDD" w:rsidRPr="00BB7202">
              <w:rPr>
                <w:rFonts w:asciiTheme="minorHAnsi" w:hAnsiTheme="minorHAnsi" w:cstheme="minorHAnsi"/>
              </w:rPr>
              <w:t xml:space="preserve"> of off-target effects</w:t>
            </w:r>
          </w:p>
        </w:tc>
        <w:tc>
          <w:tcPr>
            <w:tcW w:w="1572" w:type="pct"/>
          </w:tcPr>
          <w:p w14:paraId="551C7579" w14:textId="6DEF5382" w:rsidR="006F157A" w:rsidRPr="00BB7202" w:rsidRDefault="00B60CAF" w:rsidP="009525DC">
            <w:pPr>
              <w:pStyle w:val="TableText"/>
              <w:rPr>
                <w:rFonts w:asciiTheme="minorHAnsi" w:hAnsiTheme="minorHAnsi" w:cstheme="minorHAnsi"/>
                <w:color w:val="FF0000"/>
                <w:highlight w:val="yellow"/>
              </w:rPr>
            </w:pPr>
            <w:r w:rsidRPr="00BB7202">
              <w:rPr>
                <w:rFonts w:asciiTheme="minorHAnsi" w:hAnsiTheme="minorHAnsi" w:cstheme="minorHAnsi"/>
              </w:rPr>
              <w:t>Negligible</w:t>
            </w:r>
          </w:p>
        </w:tc>
      </w:tr>
      <w:tr w:rsidR="006F157A" w:rsidRPr="00BB7202" w14:paraId="28DD996E" w14:textId="77777777" w:rsidTr="009525DC">
        <w:tc>
          <w:tcPr>
            <w:tcW w:w="3428" w:type="pct"/>
          </w:tcPr>
          <w:p w14:paraId="32D42857" w14:textId="77777777" w:rsidR="006F157A" w:rsidRPr="00BB7202" w:rsidRDefault="006F157A" w:rsidP="009525DC">
            <w:pPr>
              <w:pStyle w:val="TableText"/>
              <w:rPr>
                <w:rFonts w:asciiTheme="minorHAnsi" w:hAnsiTheme="minorHAnsi" w:cstheme="minorHAnsi"/>
              </w:rPr>
            </w:pPr>
            <w:r w:rsidRPr="00BB7202">
              <w:rPr>
                <w:rFonts w:asciiTheme="minorHAnsi" w:hAnsiTheme="minorHAnsi" w:cstheme="minorHAnsi"/>
              </w:rPr>
              <w:t>Consequences</w:t>
            </w:r>
          </w:p>
        </w:tc>
        <w:tc>
          <w:tcPr>
            <w:tcW w:w="1572" w:type="pct"/>
          </w:tcPr>
          <w:p w14:paraId="101C4DB4" w14:textId="4EE2FBAC" w:rsidR="006F157A" w:rsidRPr="00BB7202" w:rsidRDefault="004E3796" w:rsidP="009525DC">
            <w:pPr>
              <w:pStyle w:val="TableText"/>
              <w:rPr>
                <w:rFonts w:asciiTheme="minorHAnsi" w:hAnsiTheme="minorHAnsi" w:cstheme="minorHAnsi"/>
                <w:color w:val="FF0000"/>
                <w:highlight w:val="yellow"/>
              </w:rPr>
            </w:pPr>
            <w:r w:rsidRPr="00BB7202">
              <w:rPr>
                <w:rFonts w:asciiTheme="minorHAnsi" w:hAnsiTheme="minorHAnsi" w:cstheme="minorHAnsi"/>
              </w:rPr>
              <w:t>Negligible</w:t>
            </w:r>
          </w:p>
        </w:tc>
      </w:tr>
      <w:tr w:rsidR="006F157A" w:rsidRPr="00BB7202" w14:paraId="4694E747" w14:textId="77777777" w:rsidTr="009525DC">
        <w:tc>
          <w:tcPr>
            <w:tcW w:w="3428" w:type="pct"/>
          </w:tcPr>
          <w:p w14:paraId="5853DCCA" w14:textId="77777777" w:rsidR="006F157A" w:rsidRPr="00BB7202" w:rsidRDefault="00C43DDD" w:rsidP="009525DC">
            <w:pPr>
              <w:pStyle w:val="TableText"/>
              <w:rPr>
                <w:rFonts w:asciiTheme="minorHAnsi" w:hAnsiTheme="minorHAnsi" w:cstheme="minorHAnsi"/>
              </w:rPr>
            </w:pPr>
            <w:r w:rsidRPr="00BB7202">
              <w:rPr>
                <w:rFonts w:asciiTheme="minorHAnsi" w:hAnsiTheme="minorHAnsi" w:cstheme="minorHAnsi"/>
              </w:rPr>
              <w:t>R</w:t>
            </w:r>
            <w:r w:rsidR="006F157A" w:rsidRPr="00BB7202">
              <w:rPr>
                <w:rFonts w:asciiTheme="minorHAnsi" w:hAnsiTheme="minorHAnsi" w:cstheme="minorHAnsi"/>
              </w:rPr>
              <w:t>isk</w:t>
            </w:r>
          </w:p>
        </w:tc>
        <w:tc>
          <w:tcPr>
            <w:tcW w:w="1572" w:type="pct"/>
          </w:tcPr>
          <w:p w14:paraId="244A0455" w14:textId="67595992" w:rsidR="006F157A" w:rsidRPr="00BB7202" w:rsidRDefault="004E3796" w:rsidP="009525DC">
            <w:pPr>
              <w:pStyle w:val="TableText"/>
              <w:rPr>
                <w:rFonts w:asciiTheme="minorHAnsi" w:hAnsiTheme="minorHAnsi" w:cstheme="minorHAnsi"/>
                <w:color w:val="FF0000"/>
                <w:highlight w:val="yellow"/>
              </w:rPr>
            </w:pPr>
            <w:r w:rsidRPr="00BB7202">
              <w:rPr>
                <w:rFonts w:asciiTheme="minorHAnsi" w:hAnsiTheme="minorHAnsi" w:cstheme="minorHAnsi"/>
              </w:rPr>
              <w:t>Negligible</w:t>
            </w:r>
          </w:p>
        </w:tc>
      </w:tr>
    </w:tbl>
    <w:p w14:paraId="597963AF" w14:textId="7DE4DF80" w:rsidR="008561F1" w:rsidRPr="00BB7202" w:rsidRDefault="006F157A">
      <w:pPr>
        <w:spacing w:after="0" w:line="240" w:lineRule="auto"/>
        <w:rPr>
          <w:rFonts w:asciiTheme="minorHAnsi" w:hAnsiTheme="minorHAnsi" w:cstheme="minorHAnsi"/>
        </w:rPr>
      </w:pPr>
      <w:r w:rsidRPr="00BB7202">
        <w:rPr>
          <w:rFonts w:asciiTheme="minorHAnsi" w:hAnsiTheme="minorHAnsi" w:cstheme="minorHAnsi"/>
        </w:rPr>
        <w:t>As indicated, the risk estimate for</w:t>
      </w:r>
      <w:r w:rsidR="00C43DDD" w:rsidRPr="00BB7202">
        <w:rPr>
          <w:rFonts w:asciiTheme="minorHAnsi" w:hAnsiTheme="minorHAnsi" w:cstheme="minorHAnsi"/>
        </w:rPr>
        <w:t xml:space="preserve"> release of</w:t>
      </w:r>
      <w:r w:rsidRPr="00BB7202">
        <w:rPr>
          <w:rFonts w:asciiTheme="minorHAnsi" w:hAnsiTheme="minorHAnsi" w:cstheme="minorHAnsi"/>
        </w:rPr>
        <w:t xml:space="preserve"> </w:t>
      </w:r>
      <w:r w:rsidR="00EE1F12" w:rsidRPr="00BB7202">
        <w:rPr>
          <w:rFonts w:asciiTheme="minorHAnsi" w:hAnsiTheme="minorHAnsi" w:cstheme="minorHAnsi"/>
          <w:i/>
        </w:rPr>
        <w:t>N. unguis-cati</w:t>
      </w:r>
      <w:r w:rsidRPr="00BB7202">
        <w:rPr>
          <w:rFonts w:asciiTheme="minorHAnsi" w:hAnsiTheme="minorHAnsi" w:cstheme="minorHAnsi"/>
        </w:rPr>
        <w:t xml:space="preserve"> has been assessed as ‘</w:t>
      </w:r>
      <w:r w:rsidR="004E3796" w:rsidRPr="00BB7202">
        <w:rPr>
          <w:rFonts w:asciiTheme="minorHAnsi" w:hAnsiTheme="minorHAnsi" w:cstheme="minorHAnsi"/>
        </w:rPr>
        <w:t>Negligible’</w:t>
      </w:r>
      <w:r w:rsidRPr="00BB7202">
        <w:rPr>
          <w:rFonts w:asciiTheme="minorHAnsi" w:hAnsiTheme="minorHAnsi" w:cstheme="minorHAnsi"/>
        </w:rPr>
        <w:t xml:space="preserve">, which </w:t>
      </w:r>
      <w:r w:rsidR="00704F80" w:rsidRPr="00BB7202">
        <w:rPr>
          <w:rFonts w:asciiTheme="minorHAnsi" w:hAnsiTheme="minorHAnsi" w:cstheme="minorHAnsi"/>
        </w:rPr>
        <w:t>achieves</w:t>
      </w:r>
      <w:r w:rsidRPr="00BB7202">
        <w:rPr>
          <w:rFonts w:asciiTheme="minorHAnsi" w:hAnsiTheme="minorHAnsi" w:cstheme="minorHAnsi"/>
        </w:rPr>
        <w:t xml:space="preserve"> </w:t>
      </w:r>
      <w:r w:rsidR="00A159AA" w:rsidRPr="00BB7202">
        <w:rPr>
          <w:rFonts w:asciiTheme="minorHAnsi" w:hAnsiTheme="minorHAnsi" w:cstheme="minorHAnsi"/>
        </w:rPr>
        <w:t>the appropriate level of protection (ALOP) for Australia</w:t>
      </w:r>
      <w:r w:rsidRPr="00BB7202">
        <w:rPr>
          <w:rFonts w:asciiTheme="minorHAnsi" w:hAnsiTheme="minorHAnsi" w:cstheme="minorHAnsi"/>
        </w:rPr>
        <w:t xml:space="preserve">. </w:t>
      </w:r>
    </w:p>
    <w:bookmarkEnd w:id="39"/>
    <w:p w14:paraId="20F22910" w14:textId="77777777" w:rsidR="00736319" w:rsidRDefault="00736319">
      <w:pPr>
        <w:sectPr w:rsidR="00736319">
          <w:headerReference w:type="even" r:id="rId58"/>
          <w:headerReference w:type="default" r:id="rId59"/>
          <w:footerReference w:type="even" r:id="rId60"/>
          <w:footerReference w:type="default" r:id="rId61"/>
          <w:headerReference w:type="first" r:id="rId62"/>
          <w:footerReference w:type="first" r:id="rId63"/>
          <w:type w:val="oddPage"/>
          <w:pgSz w:w="11906" w:h="16838"/>
          <w:pgMar w:top="1418" w:right="1418" w:bottom="1418" w:left="1418" w:header="567" w:footer="283" w:gutter="0"/>
          <w:cols w:space="708"/>
          <w:docGrid w:linePitch="360"/>
        </w:sectPr>
      </w:pPr>
    </w:p>
    <w:p w14:paraId="051E014A" w14:textId="763D521C" w:rsidR="00736319" w:rsidRDefault="00CE4EF7" w:rsidP="00B96F59">
      <w:pPr>
        <w:pStyle w:val="Heading2"/>
      </w:pPr>
      <w:bookmarkStart w:id="40" w:name="_Toc114642145"/>
      <w:bookmarkStart w:id="41" w:name="_Toc209446381"/>
      <w:r>
        <w:lastRenderedPageBreak/>
        <w:t>R</w:t>
      </w:r>
      <w:r w:rsidR="00921312">
        <w:t>ecommendation on release</w:t>
      </w:r>
      <w:bookmarkEnd w:id="40"/>
      <w:bookmarkEnd w:id="41"/>
    </w:p>
    <w:p w14:paraId="6B242961" w14:textId="0051A9B6" w:rsidR="00FE17FF" w:rsidRPr="00BB7202" w:rsidRDefault="00FE17FF" w:rsidP="00FE17FF">
      <w:pPr>
        <w:rPr>
          <w:rFonts w:asciiTheme="minorHAnsi" w:hAnsiTheme="minorHAnsi" w:cstheme="minorHAnsi"/>
        </w:rPr>
      </w:pPr>
      <w:r w:rsidRPr="00BB7202">
        <w:rPr>
          <w:rFonts w:asciiTheme="minorHAnsi" w:hAnsiTheme="minorHAnsi" w:cstheme="minorHAnsi"/>
        </w:rPr>
        <w:t xml:space="preserve">The </w:t>
      </w:r>
      <w:r w:rsidR="00714FFC" w:rsidRPr="00BB7202">
        <w:rPr>
          <w:rFonts w:asciiTheme="minorHAnsi" w:hAnsiTheme="minorHAnsi" w:cstheme="minorHAnsi"/>
        </w:rPr>
        <w:t>overall risk estimate for release of</w:t>
      </w:r>
      <w:r w:rsidRPr="00BB7202">
        <w:rPr>
          <w:rFonts w:asciiTheme="minorHAnsi" w:hAnsiTheme="minorHAnsi" w:cstheme="minorHAnsi"/>
        </w:rPr>
        <w:t xml:space="preserve"> </w:t>
      </w:r>
      <w:r w:rsidR="00514564" w:rsidRPr="00BB7202">
        <w:rPr>
          <w:rFonts w:asciiTheme="minorHAnsi" w:hAnsiTheme="minorHAnsi" w:cstheme="minorHAnsi"/>
          <w:i/>
          <w:iCs/>
        </w:rPr>
        <w:t>N. unguis-cati</w:t>
      </w:r>
      <w:r w:rsidRPr="00BB7202">
        <w:rPr>
          <w:rFonts w:asciiTheme="minorHAnsi" w:hAnsiTheme="minorHAnsi" w:cstheme="minorHAnsi"/>
        </w:rPr>
        <w:t xml:space="preserve"> </w:t>
      </w:r>
      <w:r w:rsidR="00714FFC" w:rsidRPr="00BB7202">
        <w:rPr>
          <w:rFonts w:asciiTheme="minorHAnsi" w:hAnsiTheme="minorHAnsi" w:cstheme="minorHAnsi"/>
        </w:rPr>
        <w:t>has been</w:t>
      </w:r>
      <w:r w:rsidRPr="00BB7202">
        <w:rPr>
          <w:rFonts w:asciiTheme="minorHAnsi" w:hAnsiTheme="minorHAnsi" w:cstheme="minorHAnsi"/>
        </w:rPr>
        <w:t xml:space="preserve"> assessed as </w:t>
      </w:r>
      <w:r w:rsidR="00FD173C" w:rsidRPr="00BB7202">
        <w:rPr>
          <w:rFonts w:asciiTheme="minorHAnsi" w:hAnsiTheme="minorHAnsi" w:cstheme="minorHAnsi"/>
        </w:rPr>
        <w:t>Negligible</w:t>
      </w:r>
      <w:r w:rsidRPr="00BB7202">
        <w:rPr>
          <w:rFonts w:asciiTheme="minorHAnsi" w:hAnsiTheme="minorHAnsi" w:cstheme="minorHAnsi"/>
        </w:rPr>
        <w:t xml:space="preserve">, </w:t>
      </w:r>
      <w:r w:rsidR="00714FFC" w:rsidRPr="00BB7202">
        <w:rPr>
          <w:rFonts w:asciiTheme="minorHAnsi" w:hAnsiTheme="minorHAnsi" w:cstheme="minorHAnsi"/>
        </w:rPr>
        <w:t>which</w:t>
      </w:r>
      <w:r w:rsidRPr="00BB7202">
        <w:rPr>
          <w:rFonts w:asciiTheme="minorHAnsi" w:hAnsiTheme="minorHAnsi" w:cstheme="minorHAnsi"/>
        </w:rPr>
        <w:t xml:space="preserve"> achieves the ALOP for Australia. Therefore, it is recommend</w:t>
      </w:r>
      <w:r w:rsidR="00340846">
        <w:rPr>
          <w:rFonts w:asciiTheme="minorHAnsi" w:hAnsiTheme="minorHAnsi" w:cstheme="minorHAnsi"/>
        </w:rPr>
        <w:t>ed</w:t>
      </w:r>
      <w:r w:rsidRPr="00BB7202">
        <w:rPr>
          <w:rFonts w:asciiTheme="minorHAnsi" w:hAnsiTheme="minorHAnsi" w:cstheme="minorHAnsi"/>
        </w:rPr>
        <w:t xml:space="preserve"> that this biological control agent be permitted to be released, subject to standard import and release conditions to ensure that the released material is free of other organisms.</w:t>
      </w:r>
    </w:p>
    <w:p w14:paraId="6554629A" w14:textId="57E85201" w:rsidR="00FE17FF" w:rsidRDefault="00FE17FF" w:rsidP="00FE17FF">
      <w:pPr>
        <w:rPr>
          <w:rFonts w:asciiTheme="minorHAnsi" w:hAnsiTheme="minorHAnsi" w:cstheme="minorHAnsi"/>
        </w:rPr>
      </w:pPr>
      <w:r w:rsidRPr="00BB7202">
        <w:rPr>
          <w:rFonts w:asciiTheme="minorHAnsi" w:hAnsiTheme="minorHAnsi" w:cstheme="minorHAnsi"/>
        </w:rPr>
        <w:t xml:space="preserve">This recommendation is made </w:t>
      </w:r>
      <w:proofErr w:type="gramStart"/>
      <w:r w:rsidRPr="00BB7202">
        <w:rPr>
          <w:rFonts w:asciiTheme="minorHAnsi" w:hAnsiTheme="minorHAnsi" w:cstheme="minorHAnsi"/>
        </w:rPr>
        <w:t>on the basis of</w:t>
      </w:r>
      <w:proofErr w:type="gramEnd"/>
      <w:r w:rsidRPr="00BB7202">
        <w:rPr>
          <w:rFonts w:asciiTheme="minorHAnsi" w:hAnsiTheme="minorHAnsi" w:cstheme="minorHAnsi"/>
        </w:rPr>
        <w:t xml:space="preserve"> the high level of host specificity demonstrated by </w:t>
      </w:r>
      <w:r w:rsidR="000D5C0C" w:rsidRPr="00BB7202">
        <w:rPr>
          <w:rFonts w:asciiTheme="minorHAnsi" w:hAnsiTheme="minorHAnsi" w:cstheme="minorHAnsi"/>
          <w:i/>
          <w:iCs/>
        </w:rPr>
        <w:t>N. unguis-cati</w:t>
      </w:r>
      <w:r w:rsidR="000D5C0C" w:rsidRPr="00BB7202">
        <w:rPr>
          <w:rFonts w:asciiTheme="minorHAnsi" w:hAnsiTheme="minorHAnsi" w:cstheme="minorHAnsi"/>
        </w:rPr>
        <w:t xml:space="preserve"> </w:t>
      </w:r>
      <w:r w:rsidRPr="00BB7202">
        <w:rPr>
          <w:rFonts w:asciiTheme="minorHAnsi" w:hAnsiTheme="minorHAnsi" w:cstheme="minorHAnsi"/>
        </w:rPr>
        <w:t xml:space="preserve">on </w:t>
      </w:r>
      <w:r w:rsidR="00FD173C" w:rsidRPr="00BB7202">
        <w:rPr>
          <w:rFonts w:asciiTheme="minorHAnsi" w:hAnsiTheme="minorHAnsi" w:cstheme="minorHAnsi"/>
          <w:i/>
          <w:iCs/>
        </w:rPr>
        <w:t>D. unguis-cati</w:t>
      </w:r>
      <w:r w:rsidRPr="00BB7202">
        <w:rPr>
          <w:rFonts w:asciiTheme="minorHAnsi" w:hAnsiTheme="minorHAnsi" w:cstheme="minorHAnsi"/>
        </w:rPr>
        <w:t xml:space="preserve"> and is based on currently available information.</w:t>
      </w:r>
    </w:p>
    <w:p w14:paraId="4901E997" w14:textId="11805A6F" w:rsidR="00CE4EF7" w:rsidRPr="00CE4EF7" w:rsidRDefault="00CE4EF7" w:rsidP="00CE4EF7">
      <w:pPr>
        <w:pStyle w:val="Heading2"/>
      </w:pPr>
      <w:bookmarkStart w:id="42" w:name="_Toc209446382"/>
      <w:r w:rsidRPr="00CE4EF7">
        <w:lastRenderedPageBreak/>
        <w:t>Stakeholder responses to draft risk analysis report</w:t>
      </w:r>
      <w:bookmarkEnd w:id="42"/>
    </w:p>
    <w:p w14:paraId="6B08AF84" w14:textId="696B1FFE" w:rsidR="00CE4EF7" w:rsidRDefault="00CE4EF7" w:rsidP="00CE4EF7">
      <w:pPr>
        <w:rPr>
          <w:rFonts w:asciiTheme="minorHAnsi" w:hAnsiTheme="minorHAnsi" w:cstheme="minorHAnsi"/>
        </w:rPr>
      </w:pPr>
      <w:r w:rsidRPr="00CE4EF7">
        <w:rPr>
          <w:rFonts w:asciiTheme="minorHAnsi" w:hAnsiTheme="minorHAnsi" w:cstheme="minorHAnsi"/>
        </w:rPr>
        <w:t>No stakeholder submissions were received.</w:t>
      </w:r>
    </w:p>
    <w:p w14:paraId="7F6B95A8" w14:textId="02F19884" w:rsidR="00194489" w:rsidRDefault="00194489" w:rsidP="00B96F59">
      <w:pPr>
        <w:pStyle w:val="Heading2"/>
      </w:pPr>
      <w:bookmarkStart w:id="43" w:name="_Toc114642147"/>
      <w:bookmarkStart w:id="44" w:name="_Toc209446383"/>
      <w:r>
        <w:lastRenderedPageBreak/>
        <w:t>Attachment</w:t>
      </w:r>
      <w:r w:rsidR="00E12593">
        <w:t xml:space="preserve"> 1</w:t>
      </w:r>
      <w:bookmarkEnd w:id="43"/>
      <w:bookmarkEnd w:id="44"/>
    </w:p>
    <w:p w14:paraId="6EF4AFF1" w14:textId="221DB472" w:rsidR="00634925" w:rsidRPr="00BB7202" w:rsidRDefault="00E82386">
      <w:pPr>
        <w:rPr>
          <w:rFonts w:asciiTheme="minorHAnsi" w:hAnsiTheme="minorHAnsi" w:cstheme="minorHAnsi"/>
        </w:rPr>
      </w:pPr>
      <w:r w:rsidRPr="00BB7202">
        <w:rPr>
          <w:rFonts w:asciiTheme="minorHAnsi" w:hAnsiTheme="minorHAnsi" w:cstheme="minorHAnsi"/>
        </w:rPr>
        <w:t xml:space="preserve">Information to support the importation and release of the leaf-spot pathogen </w:t>
      </w:r>
      <w:proofErr w:type="spellStart"/>
      <w:r w:rsidRPr="00BB7202">
        <w:rPr>
          <w:rFonts w:asciiTheme="minorHAnsi" w:hAnsiTheme="minorHAnsi" w:cstheme="minorHAnsi"/>
          <w:i/>
          <w:iCs/>
        </w:rPr>
        <w:t>Neoramulariopsis</w:t>
      </w:r>
      <w:proofErr w:type="spellEnd"/>
      <w:r w:rsidRPr="00BB7202">
        <w:rPr>
          <w:rFonts w:asciiTheme="minorHAnsi" w:hAnsiTheme="minorHAnsi" w:cstheme="minorHAnsi"/>
          <w:i/>
          <w:iCs/>
        </w:rPr>
        <w:t> unguis-cati</w:t>
      </w:r>
      <w:r w:rsidRPr="00BB7202">
        <w:rPr>
          <w:rFonts w:asciiTheme="minorHAnsi" w:hAnsiTheme="minorHAnsi" w:cstheme="minorHAnsi"/>
        </w:rPr>
        <w:t xml:space="preserve">, a potential biological control agent for cat’s claw creeper, </w:t>
      </w:r>
      <w:proofErr w:type="spellStart"/>
      <w:r w:rsidRPr="00BB7202">
        <w:rPr>
          <w:rFonts w:asciiTheme="minorHAnsi" w:hAnsiTheme="minorHAnsi" w:cstheme="minorHAnsi"/>
          <w:i/>
          <w:iCs/>
        </w:rPr>
        <w:t>Dolichandra</w:t>
      </w:r>
      <w:proofErr w:type="spellEnd"/>
      <w:r w:rsidRPr="00BB7202">
        <w:rPr>
          <w:rFonts w:asciiTheme="minorHAnsi" w:hAnsiTheme="minorHAnsi" w:cstheme="minorHAnsi"/>
          <w:i/>
          <w:iCs/>
        </w:rPr>
        <w:t xml:space="preserve"> unguis-cati</w:t>
      </w:r>
    </w:p>
    <w:p w14:paraId="5D5953DA" w14:textId="6B98E9BD" w:rsidR="00E82386" w:rsidRDefault="00E82386">
      <w:pPr>
        <w:sectPr w:rsidR="00E82386">
          <w:headerReference w:type="even" r:id="rId64"/>
          <w:headerReference w:type="default" r:id="rId65"/>
          <w:footerReference w:type="even" r:id="rId66"/>
          <w:footerReference w:type="default" r:id="rId67"/>
          <w:headerReference w:type="first" r:id="rId68"/>
          <w:footerReference w:type="first" r:id="rId69"/>
          <w:pgSz w:w="11906" w:h="16838"/>
          <w:pgMar w:top="1418" w:right="1418" w:bottom="1418" w:left="1418" w:header="567" w:footer="283" w:gutter="0"/>
          <w:cols w:space="708"/>
          <w:docGrid w:linePitch="360"/>
        </w:sectPr>
      </w:pPr>
    </w:p>
    <w:p w14:paraId="383B5C33" w14:textId="31533978" w:rsidR="00C40111" w:rsidRPr="005A5D7E" w:rsidRDefault="00C40111" w:rsidP="00B96F59">
      <w:pPr>
        <w:pStyle w:val="Heading2"/>
        <w:numPr>
          <w:ilvl w:val="0"/>
          <w:numId w:val="0"/>
        </w:numPr>
        <w:ind w:left="794" w:hanging="794"/>
      </w:pPr>
      <w:bookmarkStart w:id="45" w:name="_Toc114642148"/>
      <w:bookmarkStart w:id="46" w:name="_Toc209446384"/>
      <w:r w:rsidRPr="005A5D7E">
        <w:lastRenderedPageBreak/>
        <w:t>Appendix A: Method for pest risk analysis</w:t>
      </w:r>
      <w:bookmarkEnd w:id="45"/>
      <w:bookmarkEnd w:id="46"/>
    </w:p>
    <w:p w14:paraId="584CD83C" w14:textId="09181AB2" w:rsidR="00C40111" w:rsidRPr="005D7AEC" w:rsidRDefault="00C40111" w:rsidP="00C40111">
      <w:pPr>
        <w:rPr>
          <w:rFonts w:asciiTheme="minorHAnsi" w:hAnsiTheme="minorHAnsi" w:cstheme="minorHAnsi"/>
          <w:strike/>
          <w:color w:val="000000" w:themeColor="text1"/>
        </w:rPr>
      </w:pPr>
      <w:r w:rsidRPr="005D7AEC">
        <w:rPr>
          <w:rFonts w:asciiTheme="minorHAnsi" w:hAnsiTheme="minorHAnsi" w:cstheme="minorHAnsi"/>
          <w:color w:val="000000" w:themeColor="text1"/>
        </w:rPr>
        <w:t xml:space="preserve">This section sets out the method for the pest risk analysis (PRA) used by the Department of Agriculture, Fisheries and Forestry (the department). This method is consistent with the International Standards for Phytosanitary Measures (ISPMs), including ISPM 2: </w:t>
      </w:r>
      <w:r w:rsidRPr="005D7AEC">
        <w:rPr>
          <w:rFonts w:asciiTheme="minorHAnsi" w:hAnsiTheme="minorHAnsi" w:cstheme="minorHAnsi"/>
          <w:i/>
          <w:iCs/>
          <w:color w:val="000000" w:themeColor="text1"/>
        </w:rPr>
        <w:t>Framework for pest risk analysis</w:t>
      </w:r>
      <w:r w:rsidRPr="005D7AEC">
        <w:rPr>
          <w:rFonts w:asciiTheme="minorHAnsi" w:hAnsiTheme="minorHAnsi" w:cstheme="minorHAnsi"/>
          <w:color w:val="000000" w:themeColor="text1"/>
        </w:rPr>
        <w:t xml:space="preserve"> </w:t>
      </w:r>
      <w:r w:rsidR="00F61971" w:rsidRPr="005D7AEC">
        <w:rPr>
          <w:rFonts w:asciiTheme="minorHAnsi" w:hAnsiTheme="minorHAnsi" w:cstheme="minorHAnsi"/>
          <w:color w:val="000000" w:themeColor="text1"/>
        </w:rPr>
        <w:t>(</w:t>
      </w:r>
      <w:r w:rsidRPr="005D7AEC">
        <w:rPr>
          <w:rFonts w:asciiTheme="minorHAnsi" w:hAnsiTheme="minorHAnsi" w:cstheme="minorHAnsi"/>
          <w:color w:val="000000" w:themeColor="text1"/>
        </w:rPr>
        <w:t>FAO 20</w:t>
      </w:r>
      <w:r w:rsidR="00F61971" w:rsidRPr="005D7AEC">
        <w:rPr>
          <w:rFonts w:asciiTheme="minorHAnsi" w:hAnsiTheme="minorHAnsi" w:cstheme="minorHAnsi"/>
          <w:color w:val="000000" w:themeColor="text1"/>
        </w:rPr>
        <w:t>19a)</w:t>
      </w:r>
      <w:r w:rsidRPr="005D7AEC">
        <w:rPr>
          <w:rFonts w:asciiTheme="minorHAnsi" w:hAnsiTheme="minorHAnsi" w:cstheme="minorHAnsi"/>
          <w:color w:val="000000" w:themeColor="text1"/>
        </w:rPr>
        <w:t xml:space="preserve"> and ISPM 11: </w:t>
      </w:r>
      <w:r w:rsidRPr="005D7AEC">
        <w:rPr>
          <w:rFonts w:asciiTheme="minorHAnsi" w:hAnsiTheme="minorHAnsi" w:cstheme="minorHAnsi"/>
          <w:i/>
          <w:iCs/>
          <w:color w:val="000000" w:themeColor="text1"/>
        </w:rPr>
        <w:t>Pest risk analysis for quarantine pests</w:t>
      </w:r>
      <w:r w:rsidRPr="005D7AEC">
        <w:rPr>
          <w:rFonts w:asciiTheme="minorHAnsi" w:hAnsiTheme="minorHAnsi" w:cstheme="minorHAnsi"/>
          <w:color w:val="000000" w:themeColor="text1"/>
        </w:rPr>
        <w:t xml:space="preserve"> </w:t>
      </w:r>
      <w:bookmarkStart w:id="47" w:name="_Hlk114210291"/>
      <w:r w:rsidR="00F61971" w:rsidRPr="005D7AEC">
        <w:rPr>
          <w:rFonts w:asciiTheme="minorHAnsi" w:hAnsiTheme="minorHAnsi" w:cstheme="minorHAnsi"/>
          <w:color w:val="000000" w:themeColor="text1"/>
        </w:rPr>
        <w:t>(FAO 2019b)</w:t>
      </w:r>
      <w:bookmarkEnd w:id="47"/>
      <w:r w:rsidRPr="005D7AEC">
        <w:rPr>
          <w:rFonts w:asciiTheme="minorHAnsi" w:hAnsiTheme="minorHAnsi" w:cstheme="minorHAnsi"/>
          <w:color w:val="000000" w:themeColor="text1"/>
        </w:rPr>
        <w:t xml:space="preserve"> and the WTO Agreement on the Application of Sanitary and Phytosanitary Measures </w:t>
      </w:r>
      <w:r w:rsidR="00CD6AB4" w:rsidRPr="005D7AEC">
        <w:rPr>
          <w:rFonts w:asciiTheme="minorHAnsi" w:hAnsiTheme="minorHAnsi" w:cstheme="minorHAnsi"/>
          <w:color w:val="000000" w:themeColor="text1"/>
        </w:rPr>
        <w:t>(</w:t>
      </w:r>
      <w:r w:rsidRPr="005D7AEC">
        <w:rPr>
          <w:rFonts w:asciiTheme="minorHAnsi" w:hAnsiTheme="minorHAnsi" w:cstheme="minorHAnsi"/>
          <w:color w:val="000000" w:themeColor="text1"/>
        </w:rPr>
        <w:t>WTO 1995</w:t>
      </w:r>
      <w:r w:rsidR="00CD6AB4" w:rsidRPr="005D7AEC">
        <w:rPr>
          <w:rFonts w:asciiTheme="minorHAnsi" w:hAnsiTheme="minorHAnsi" w:cstheme="minorHAnsi"/>
          <w:color w:val="000000" w:themeColor="text1"/>
        </w:rPr>
        <w:t>)</w:t>
      </w:r>
      <w:r w:rsidRPr="005D7AEC">
        <w:rPr>
          <w:rFonts w:asciiTheme="minorHAnsi" w:hAnsiTheme="minorHAnsi" w:cstheme="minorHAnsi"/>
          <w:color w:val="000000" w:themeColor="text1"/>
        </w:rPr>
        <w:t>.</w:t>
      </w:r>
    </w:p>
    <w:p w14:paraId="1710491F" w14:textId="55568D06"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A PRA is ‘the process of evaluating biological or other scientific and economic evidence to determine whether an organism is a pest, whether it should be regulated, and the strength of any phytosanitary measures to be taken against it’ </w:t>
      </w:r>
      <w:bookmarkStart w:id="48" w:name="_Hlk112672564"/>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bookmarkEnd w:id="48"/>
      <w:r w:rsidRPr="005D7AEC">
        <w:rPr>
          <w:rFonts w:asciiTheme="minorHAnsi" w:hAnsiTheme="minorHAnsi" w:cstheme="minorHAnsi"/>
        </w:rPr>
        <w:t xml:space="preserve">. A pest is 'any species, strain or biotype of plant, animal, or pathogenic agent, injurious to plants or plant products' </w:t>
      </w:r>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r w:rsidRPr="005D7AEC">
        <w:rPr>
          <w:rFonts w:asciiTheme="minorHAnsi" w:hAnsiTheme="minorHAnsi" w:cstheme="minorHAnsi"/>
        </w:rPr>
        <w:t xml:space="preserve">. A ‘quarantine pest’ is 'a pest of potential economic importance to the area endangered thereby and not yet present there, or present but not widely distributed and being officially controlled' </w:t>
      </w:r>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r w:rsidRPr="005D7AEC">
        <w:rPr>
          <w:rFonts w:asciiTheme="minorHAnsi" w:hAnsiTheme="minorHAnsi" w:cstheme="minorHAnsi"/>
        </w:rPr>
        <w:t>.</w:t>
      </w:r>
    </w:p>
    <w:p w14:paraId="66D1DD23"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Biosecurity risk consists of 2 major components: the likelihood of a pest entering, establishing and spreading in Australia for a defined import pathway; and the consequences should this happen. These 2 components are combined to give an overall estimate of the pest risk for the defined import pathway.</w:t>
      </w:r>
    </w:p>
    <w:p w14:paraId="1C1D6E5E"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Unrestricted risk is estimated </w:t>
      </w:r>
      <w:proofErr w:type="gramStart"/>
      <w:r w:rsidRPr="005D7AEC">
        <w:rPr>
          <w:rFonts w:asciiTheme="minorHAnsi" w:hAnsiTheme="minorHAnsi" w:cstheme="minorHAnsi"/>
        </w:rPr>
        <w:t>taking into account</w:t>
      </w:r>
      <w:proofErr w:type="gramEnd"/>
      <w:r w:rsidRPr="005D7AEC">
        <w:rPr>
          <w:rFonts w:asciiTheme="minorHAnsi" w:hAnsiTheme="minorHAnsi" w:cstheme="minorHAnsi"/>
        </w:rPr>
        <w:t>, where applicable, the existing commercial production practices of the exporting country and procedures that occur on arrival in Australia. These procedures include verification by the department that the consignment received is as described on the commercial documents and its integrity has been maintained.</w:t>
      </w:r>
    </w:p>
    <w:p w14:paraId="301FE025" w14:textId="13B3E554"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Restricted risk is estimated with phytosanitary measure(s) applied. A phytosanitary measure is ‘any legislation, regulation or official procedure having the purpose to prevent the introduction or spread of quarantine pests, or to limit the economic impact of regulated non-quarantine pests’ </w:t>
      </w:r>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r w:rsidRPr="005D7AEC">
        <w:rPr>
          <w:rFonts w:asciiTheme="minorHAnsi" w:hAnsiTheme="minorHAnsi" w:cstheme="minorHAnsi"/>
        </w:rPr>
        <w:t>.</w:t>
      </w:r>
    </w:p>
    <w:p w14:paraId="51E6B6AB" w14:textId="77777777" w:rsidR="00C40111" w:rsidRPr="005D7AEC" w:rsidRDefault="00C40111" w:rsidP="00C40111">
      <w:pPr>
        <w:rPr>
          <w:rFonts w:asciiTheme="minorHAnsi" w:hAnsiTheme="minorHAnsi" w:cstheme="minorHAnsi"/>
          <w:color w:val="000000" w:themeColor="text1"/>
        </w:rPr>
      </w:pPr>
      <w:r w:rsidRPr="005D7AEC">
        <w:rPr>
          <w:rFonts w:asciiTheme="minorHAnsi" w:hAnsiTheme="minorHAnsi" w:cstheme="minorHAnsi"/>
          <w:color w:val="000000" w:themeColor="text1"/>
        </w:rPr>
        <w:t>A PRA is conducted in 3 consecutive stages: initiation (A1), pest risk assessment (A2) and pest risk management (A3).</w:t>
      </w:r>
    </w:p>
    <w:p w14:paraId="1AFAA60D" w14:textId="77777777" w:rsidR="00C40111" w:rsidRDefault="00C40111" w:rsidP="00F85722">
      <w:pPr>
        <w:pStyle w:val="Heading3-Appendix"/>
        <w:numPr>
          <w:ilvl w:val="0"/>
          <w:numId w:val="5"/>
        </w:numPr>
        <w:tabs>
          <w:tab w:val="num" w:pos="720"/>
        </w:tabs>
        <w:ind w:left="357" w:hanging="357"/>
      </w:pPr>
      <w:r>
        <w:t>Stage 1: Initiation</w:t>
      </w:r>
    </w:p>
    <w:p w14:paraId="1CC0F1BA"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Initiation identifies the pest(s) and pathway(s) that are of biosecurity concern and should be considered for risk analysis in relation to the identified PRA area.</w:t>
      </w:r>
    </w:p>
    <w:p w14:paraId="31063E78" w14:textId="57AAB264" w:rsidR="00C40111" w:rsidRPr="005D7AEC" w:rsidRDefault="00C40111" w:rsidP="00C40111">
      <w:pPr>
        <w:rPr>
          <w:rFonts w:asciiTheme="minorHAnsi" w:hAnsiTheme="minorHAnsi" w:cstheme="minorHAnsi"/>
          <w:color w:val="000000" w:themeColor="text1"/>
        </w:rPr>
      </w:pPr>
      <w:r w:rsidRPr="005D7AEC">
        <w:rPr>
          <w:rFonts w:asciiTheme="minorHAnsi" w:hAnsiTheme="minorHAnsi" w:cstheme="minorHAnsi"/>
          <w:color w:val="000000" w:themeColor="text1"/>
        </w:rPr>
        <w:t xml:space="preserve">A pathway is ‘any means that allows the entry or spread of a pest’ </w:t>
      </w:r>
      <w:r w:rsidR="00D14268" w:rsidRPr="005D7AEC">
        <w:rPr>
          <w:rFonts w:asciiTheme="minorHAnsi" w:hAnsiTheme="minorHAnsi" w:cstheme="minorHAnsi"/>
          <w:color w:val="000000" w:themeColor="text1"/>
        </w:rPr>
        <w:t>(</w:t>
      </w:r>
      <w:r w:rsidR="00DF17F9">
        <w:rPr>
          <w:rFonts w:asciiTheme="minorHAnsi" w:hAnsiTheme="minorHAnsi" w:cstheme="minorHAnsi"/>
          <w:color w:val="000000" w:themeColor="text1"/>
        </w:rPr>
        <w:t>FAO 2024</w:t>
      </w:r>
      <w:r w:rsidR="00D14268" w:rsidRPr="005D7AEC">
        <w:rPr>
          <w:rFonts w:asciiTheme="minorHAnsi" w:hAnsiTheme="minorHAnsi" w:cstheme="minorHAnsi"/>
          <w:color w:val="000000" w:themeColor="text1"/>
        </w:rPr>
        <w:t>)</w:t>
      </w:r>
      <w:r w:rsidRPr="005D7AEC">
        <w:rPr>
          <w:rFonts w:asciiTheme="minorHAnsi" w:hAnsiTheme="minorHAnsi" w:cstheme="minorHAnsi"/>
          <w:color w:val="000000" w:themeColor="text1"/>
        </w:rPr>
        <w:t>. For this risk analysis, the ‘pathway’ being assessed is defined in Chapter 1 (section 1.2.2).</w:t>
      </w:r>
    </w:p>
    <w:p w14:paraId="57974986"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61EC81E7" w14:textId="4EE01A9D" w:rsidR="00C40111" w:rsidRPr="005D7AEC" w:rsidRDefault="00C40111" w:rsidP="00C40111">
      <w:pPr>
        <w:autoSpaceDE w:val="0"/>
        <w:autoSpaceDN w:val="0"/>
        <w:adjustRightInd w:val="0"/>
        <w:spacing w:line="240" w:lineRule="auto"/>
        <w:rPr>
          <w:rFonts w:asciiTheme="minorHAnsi" w:hAnsiTheme="minorHAnsi" w:cstheme="minorHAnsi"/>
          <w:color w:val="000000" w:themeColor="text1"/>
        </w:rPr>
      </w:pPr>
      <w:r w:rsidRPr="005D7AEC">
        <w:rPr>
          <w:rFonts w:asciiTheme="minorHAnsi" w:hAnsiTheme="minorHAnsi" w:cstheme="minorHAnsi"/>
          <w:color w:val="000000" w:themeColor="text1"/>
        </w:rPr>
        <w:t xml:space="preserve">According to ISPM 11 </w:t>
      </w:r>
      <w:r w:rsidR="00A36952" w:rsidRPr="005D7AEC">
        <w:rPr>
          <w:rFonts w:asciiTheme="minorHAnsi" w:hAnsiTheme="minorHAnsi" w:cstheme="minorHAnsi"/>
        </w:rPr>
        <w:t>(FAO 2019b)</w:t>
      </w:r>
      <w:r w:rsidRPr="005D7AEC">
        <w:rPr>
          <w:rFonts w:asciiTheme="minorHAnsi" w:hAnsiTheme="minorHAnsi" w:cstheme="minorHAnsi"/>
          <w:color w:val="000000" w:themeColor="text1"/>
        </w:rPr>
        <w:t xml:space="preserve">, the PRA process may be initiated </w:t>
      </w:r>
      <w:proofErr w:type="gramStart"/>
      <w:r w:rsidRPr="005D7AEC">
        <w:rPr>
          <w:rFonts w:asciiTheme="minorHAnsi" w:hAnsiTheme="minorHAnsi" w:cstheme="minorHAnsi"/>
          <w:color w:val="000000" w:themeColor="text1"/>
        </w:rPr>
        <w:t>as a result of</w:t>
      </w:r>
      <w:proofErr w:type="gramEnd"/>
      <w:r w:rsidRPr="005D7AEC">
        <w:rPr>
          <w:rFonts w:asciiTheme="minorHAnsi" w:hAnsiTheme="minorHAnsi" w:cstheme="minorHAnsi"/>
          <w:color w:val="000000" w:themeColor="text1"/>
        </w:rPr>
        <w:t>:</w:t>
      </w:r>
    </w:p>
    <w:p w14:paraId="49406E28"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the identification of a pathway that presents a potential pest hazard. For example, international trade is requested for a commodity not previously imported into the country or a commodity from a new area or new country of origin</w:t>
      </w:r>
    </w:p>
    <w:p w14:paraId="47CEDC4F"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lastRenderedPageBreak/>
        <w:t>the identification of a pest that may require phytosanitary measures. For example, a new pest risk is identified by scientific research, a pest is repeatedly intercepted, a request is made to import an organism, or an organism is identified as a vector of other pests</w:t>
      </w:r>
    </w:p>
    <w:p w14:paraId="65E68C21"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the review or revision of a policy. For example, a country’s decision is taken to review phytosanitary regulations, requirements or operations or a new treatment or loss of a treatment system, a new process, or new information impacts on an earlier decision.</w:t>
      </w:r>
    </w:p>
    <w:p w14:paraId="589AA820" w14:textId="77777777" w:rsidR="00C40111" w:rsidRPr="005D7AEC" w:rsidRDefault="00C40111" w:rsidP="00C40111">
      <w:pPr>
        <w:rPr>
          <w:rFonts w:asciiTheme="minorHAnsi" w:hAnsiTheme="minorHAnsi" w:cstheme="minorHAnsi"/>
          <w:color w:val="000000" w:themeColor="text1"/>
        </w:rPr>
      </w:pPr>
      <w:r w:rsidRPr="005D7AEC">
        <w:rPr>
          <w:rFonts w:asciiTheme="minorHAnsi" w:hAnsiTheme="minorHAnsi" w:cstheme="minorHAnsi"/>
          <w:color w:val="000000" w:themeColor="text1"/>
        </w:rPr>
        <w:t>The basis for the initiation of this risk analysis is defined in Chapter 1 (section 1.2.1).</w:t>
      </w:r>
    </w:p>
    <w:p w14:paraId="4030C12C" w14:textId="77777777" w:rsidR="00C40111" w:rsidRPr="005D7AEC" w:rsidRDefault="00C40111" w:rsidP="00C40111">
      <w:pPr>
        <w:spacing w:before="120" w:after="120"/>
        <w:rPr>
          <w:rFonts w:asciiTheme="minorHAnsi" w:hAnsiTheme="minorHAnsi" w:cstheme="minorHAnsi"/>
          <w:color w:val="000000" w:themeColor="text1"/>
        </w:rPr>
      </w:pPr>
      <w:r w:rsidRPr="005D7AEC">
        <w:rPr>
          <w:rFonts w:asciiTheme="minorHAnsi" w:hAnsiTheme="minorHAnsi" w:cstheme="minorHAnsi"/>
          <w:color w:val="000000" w:themeColor="text1"/>
        </w:rPr>
        <w:t>The primary elements in the initiation stage</w:t>
      </w:r>
      <w:r w:rsidRPr="005D7AEC">
        <w:rPr>
          <w:rFonts w:asciiTheme="minorHAnsi" w:hAnsiTheme="minorHAnsi" w:cstheme="minorHAnsi"/>
        </w:rPr>
        <w:t xml:space="preserve"> </w:t>
      </w:r>
      <w:r w:rsidRPr="005D7AEC">
        <w:rPr>
          <w:rFonts w:asciiTheme="minorHAnsi" w:hAnsiTheme="minorHAnsi" w:cstheme="minorHAnsi"/>
          <w:color w:val="000000" w:themeColor="text1"/>
        </w:rPr>
        <w:t>are:</w:t>
      </w:r>
    </w:p>
    <w:p w14:paraId="296F7DE4"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identity of the pests</w:t>
      </w:r>
    </w:p>
    <w:p w14:paraId="353D638E"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 xml:space="preserve">potential association </w:t>
      </w:r>
      <w:r w:rsidRPr="005D7AEC">
        <w:rPr>
          <w:rFonts w:asciiTheme="minorHAnsi" w:hAnsiTheme="minorHAnsi" w:cstheme="minorHAnsi"/>
          <w:color w:val="000000" w:themeColor="text1"/>
        </w:rPr>
        <w:t>of each pest with the pathway being assessed</w:t>
      </w:r>
      <w:r w:rsidRPr="005D7AEC">
        <w:rPr>
          <w:rFonts w:asciiTheme="minorHAnsi" w:hAnsiTheme="minorHAnsi" w:cstheme="minorHAnsi"/>
        </w:rPr>
        <w:t>.</w:t>
      </w:r>
    </w:p>
    <w:p w14:paraId="0F20FC41"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The identity of the pests is presented at species level by the species’ scientific name in most instances, but a lower taxonomic level may be used where appropriate. Synonyms are provided where the current scientific name differs from that provided by the exporting country’s National Plant Protection Organisation (NPPO) or where the cited literature used a different scientific name.</w:t>
      </w:r>
    </w:p>
    <w:p w14:paraId="7F7A0FE4"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The potential association of each pest with the pathway being assessed considers information on:</w:t>
      </w:r>
    </w:p>
    <w:p w14:paraId="08C0AC92" w14:textId="77777777" w:rsidR="00C40111" w:rsidRPr="005D7AEC" w:rsidRDefault="00C40111" w:rsidP="00F85722">
      <w:pPr>
        <w:pStyle w:val="ListBullet2"/>
        <w:numPr>
          <w:ilvl w:val="1"/>
          <w:numId w:val="1"/>
        </w:numPr>
        <w:tabs>
          <w:tab w:val="clear" w:pos="643"/>
          <w:tab w:val="num" w:pos="794"/>
        </w:tabs>
        <w:ind w:left="794" w:hanging="397"/>
        <w:rPr>
          <w:rFonts w:asciiTheme="minorHAnsi" w:hAnsiTheme="minorHAnsi" w:cstheme="minorHAnsi"/>
        </w:rPr>
      </w:pPr>
      <w:r w:rsidRPr="005D7AEC">
        <w:rPr>
          <w:rFonts w:asciiTheme="minorHAnsi" w:hAnsiTheme="minorHAnsi" w:cstheme="minorHAnsi"/>
        </w:rPr>
        <w:t>association of the pest with the host plant/commodity and</w:t>
      </w:r>
    </w:p>
    <w:p w14:paraId="62A91190" w14:textId="77777777" w:rsidR="00C40111" w:rsidRDefault="00C40111" w:rsidP="00F85722">
      <w:pPr>
        <w:pStyle w:val="ListBullet2"/>
        <w:numPr>
          <w:ilvl w:val="1"/>
          <w:numId w:val="1"/>
        </w:numPr>
        <w:tabs>
          <w:tab w:val="clear" w:pos="643"/>
          <w:tab w:val="num" w:pos="794"/>
        </w:tabs>
        <w:ind w:left="794" w:hanging="397"/>
      </w:pPr>
      <w:r w:rsidRPr="005D7AEC">
        <w:rPr>
          <w:rFonts w:asciiTheme="minorHAnsi" w:hAnsiTheme="minorHAnsi" w:cstheme="minorHAnsi"/>
        </w:rPr>
        <w:t>the presence or absence of the pest in the exporting country/region relevant to the pathway being assessed.</w:t>
      </w:r>
    </w:p>
    <w:p w14:paraId="0B13A7D1" w14:textId="77777777" w:rsidR="00C40111" w:rsidRDefault="00C40111" w:rsidP="00F85722">
      <w:pPr>
        <w:pStyle w:val="Heading3-Appendix"/>
        <w:numPr>
          <w:ilvl w:val="0"/>
          <w:numId w:val="5"/>
        </w:numPr>
        <w:ind w:left="357" w:hanging="357"/>
      </w:pPr>
      <w:r>
        <w:t>Stage 2: Pest risk assessment</w:t>
      </w:r>
    </w:p>
    <w:p w14:paraId="0C19C2FD"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The process for pest risk assessment includes 2 sequential steps:</w:t>
      </w:r>
    </w:p>
    <w:p w14:paraId="535A1104"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pest categorisation (A2.1)</w:t>
      </w:r>
    </w:p>
    <w:p w14:paraId="414BADA1" w14:textId="463B8B42"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further pest risk assessment</w:t>
      </w:r>
      <w:r w:rsidR="0057414A" w:rsidRPr="005D7AEC">
        <w:rPr>
          <w:rFonts w:asciiTheme="minorHAnsi" w:hAnsiTheme="minorHAnsi" w:cstheme="minorHAnsi"/>
        </w:rPr>
        <w:t xml:space="preserve">, which includes </w:t>
      </w:r>
      <w:r w:rsidRPr="005D7AEC">
        <w:rPr>
          <w:rFonts w:asciiTheme="minorHAnsi" w:hAnsiTheme="minorHAnsi" w:cstheme="minorHAnsi"/>
        </w:rPr>
        <w:t>evaluation of the likelihood</w:t>
      </w:r>
      <w:r w:rsidR="00656762" w:rsidRPr="005D7AEC">
        <w:rPr>
          <w:rFonts w:asciiTheme="minorHAnsi" w:hAnsiTheme="minorHAnsi" w:cstheme="minorHAnsi"/>
        </w:rPr>
        <w:t>s</w:t>
      </w:r>
      <w:r w:rsidRPr="005D7AEC">
        <w:rPr>
          <w:rFonts w:asciiTheme="minorHAnsi" w:hAnsiTheme="minorHAnsi" w:cstheme="minorHAnsi"/>
        </w:rPr>
        <w:t xml:space="preserve"> of the introduction (entry and establishment) and spread</w:t>
      </w:r>
      <w:r w:rsidR="003C09D7" w:rsidRPr="005D7AEC">
        <w:rPr>
          <w:rFonts w:asciiTheme="minorHAnsi" w:hAnsiTheme="minorHAnsi" w:cstheme="minorHAnsi"/>
        </w:rPr>
        <w:t xml:space="preserve"> </w:t>
      </w:r>
      <w:r w:rsidR="0057414A" w:rsidRPr="005D7AEC">
        <w:rPr>
          <w:rFonts w:asciiTheme="minorHAnsi" w:hAnsiTheme="minorHAnsi" w:cstheme="minorHAnsi"/>
        </w:rPr>
        <w:t>of a pest (A2.2)</w:t>
      </w:r>
      <w:r w:rsidR="00656762" w:rsidRPr="005D7AEC">
        <w:rPr>
          <w:rFonts w:asciiTheme="minorHAnsi" w:hAnsiTheme="minorHAnsi" w:cstheme="minorHAnsi"/>
        </w:rPr>
        <w:t>,</w:t>
      </w:r>
      <w:r w:rsidRPr="005D7AEC">
        <w:rPr>
          <w:rFonts w:asciiTheme="minorHAnsi" w:hAnsiTheme="minorHAnsi" w:cstheme="minorHAnsi"/>
        </w:rPr>
        <w:t xml:space="preserve"> </w:t>
      </w:r>
      <w:r w:rsidR="00656762" w:rsidRPr="005D7AEC">
        <w:rPr>
          <w:rFonts w:asciiTheme="minorHAnsi" w:hAnsiTheme="minorHAnsi" w:cstheme="minorHAnsi"/>
        </w:rPr>
        <w:t>and</w:t>
      </w:r>
      <w:r w:rsidRPr="005D7AEC">
        <w:rPr>
          <w:rFonts w:asciiTheme="minorHAnsi" w:hAnsiTheme="minorHAnsi" w:cstheme="minorHAnsi"/>
        </w:rPr>
        <w:t xml:space="preserve"> </w:t>
      </w:r>
      <w:r w:rsidR="0057414A" w:rsidRPr="005D7AEC">
        <w:rPr>
          <w:rFonts w:asciiTheme="minorHAnsi" w:hAnsiTheme="minorHAnsi" w:cstheme="minorHAnsi"/>
        </w:rPr>
        <w:t xml:space="preserve">evaluation of </w:t>
      </w:r>
      <w:r w:rsidRPr="005D7AEC">
        <w:rPr>
          <w:rFonts w:asciiTheme="minorHAnsi" w:hAnsiTheme="minorHAnsi" w:cstheme="minorHAnsi"/>
        </w:rPr>
        <w:t>the magnitude of the potential consequences (A2.3).</w:t>
      </w:r>
    </w:p>
    <w:p w14:paraId="0F50D7E7" w14:textId="77777777" w:rsidR="00C40111" w:rsidRDefault="00C40111" w:rsidP="00F85722">
      <w:pPr>
        <w:pStyle w:val="Heading4-Appendix"/>
        <w:numPr>
          <w:ilvl w:val="0"/>
          <w:numId w:val="4"/>
        </w:numPr>
        <w:tabs>
          <w:tab w:val="num" w:pos="720"/>
        </w:tabs>
      </w:pPr>
      <w:r>
        <w:t>Pest categorisation</w:t>
      </w:r>
    </w:p>
    <w:p w14:paraId="2B77674D" w14:textId="77777777" w:rsidR="00C40111" w:rsidRPr="005D7AEC" w:rsidRDefault="00C40111" w:rsidP="00C40111">
      <w:pPr>
        <w:rPr>
          <w:rFonts w:asciiTheme="minorHAnsi" w:hAnsiTheme="minorHAnsi" w:cstheme="minorHAnsi"/>
          <w:color w:val="000000" w:themeColor="text1"/>
        </w:rPr>
      </w:pPr>
      <w:r w:rsidRPr="005D7AEC">
        <w:rPr>
          <w:rFonts w:asciiTheme="minorHAnsi" w:hAnsiTheme="minorHAnsi" w:cstheme="minorHAnsi"/>
          <w:color w:val="000000" w:themeColor="text1"/>
        </w:rPr>
        <w:t>Pest categorisation examines the pests identified in the initiation stage (A1) to determine which of these pests meet the definition of a quarantine pest and require further pest risk assessment.</w:t>
      </w:r>
    </w:p>
    <w:p w14:paraId="1EC2B929" w14:textId="067CA5F1" w:rsidR="00C40111" w:rsidRPr="005D7AEC" w:rsidRDefault="00C40111" w:rsidP="00C40111">
      <w:pPr>
        <w:rPr>
          <w:rFonts w:asciiTheme="minorHAnsi" w:hAnsiTheme="minorHAnsi" w:cstheme="minorHAnsi"/>
        </w:rPr>
      </w:pPr>
      <w:bookmarkStart w:id="49" w:name="_Hlk87176742"/>
      <w:r w:rsidRPr="005D7AEC">
        <w:rPr>
          <w:rFonts w:asciiTheme="minorHAnsi" w:hAnsiTheme="minorHAnsi" w:cstheme="minorHAnsi"/>
        </w:rPr>
        <w:t xml:space="preserve">ISPM 11 </w:t>
      </w:r>
      <w:r w:rsidR="00A36952" w:rsidRPr="005D7AEC">
        <w:rPr>
          <w:rFonts w:asciiTheme="minorHAnsi" w:hAnsiTheme="minorHAnsi" w:cstheme="minorHAnsi"/>
        </w:rPr>
        <w:t>(FAO 2019b)</w:t>
      </w:r>
      <w:r w:rsidRPr="005D7AEC">
        <w:rPr>
          <w:rFonts w:asciiTheme="minorHAnsi" w:hAnsiTheme="minorHAnsi" w:cstheme="minorHAnsi"/>
        </w:rPr>
        <w:t xml:space="preserve"> states that '</w:t>
      </w:r>
      <w:r w:rsidRPr="005D7AEC">
        <w:rPr>
          <w:rFonts w:asciiTheme="minorHAnsi" w:hAnsiTheme="minorHAnsi" w:cstheme="minorHAnsi"/>
          <w:i/>
          <w:iCs/>
        </w:rPr>
        <w:t xml:space="preserve">The opportunity to eliminate an organism or organisms from consideration before in-depth examination is undertaken is a valuable characteristic of the categorisation process. An advantage of pest categorisation is that it can be done with relatively little information; </w:t>
      </w:r>
      <w:proofErr w:type="gramStart"/>
      <w:r w:rsidRPr="005D7AEC">
        <w:rPr>
          <w:rFonts w:asciiTheme="minorHAnsi" w:hAnsiTheme="minorHAnsi" w:cstheme="minorHAnsi"/>
          <w:i/>
          <w:iCs/>
        </w:rPr>
        <w:t>however</w:t>
      </w:r>
      <w:proofErr w:type="gramEnd"/>
      <w:r w:rsidRPr="005D7AEC">
        <w:rPr>
          <w:rFonts w:asciiTheme="minorHAnsi" w:hAnsiTheme="minorHAnsi" w:cstheme="minorHAnsi"/>
          <w:i/>
          <w:iCs/>
        </w:rPr>
        <w:t xml:space="preserve"> information should be sufficient to adequately carry out the categorisation</w:t>
      </w:r>
      <w:r w:rsidRPr="005D7AEC">
        <w:rPr>
          <w:rFonts w:asciiTheme="minorHAnsi" w:hAnsiTheme="minorHAnsi" w:cstheme="minorHAnsi"/>
        </w:rPr>
        <w:t xml:space="preserve">'.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potential to enter, its potential to establish and spread in the PRA area. For a pest to cause economic consequences, the pest will need to enter, establish and spread in the PRA area. Therefore, pests that do not have potential to enter on the pathway being </w:t>
      </w:r>
      <w:proofErr w:type="gramStart"/>
      <w:r w:rsidRPr="005D7AEC">
        <w:rPr>
          <w:rFonts w:asciiTheme="minorHAnsi" w:hAnsiTheme="minorHAnsi" w:cstheme="minorHAnsi"/>
        </w:rPr>
        <w:t>assessed, or</w:t>
      </w:r>
      <w:proofErr w:type="gramEnd"/>
      <w:r w:rsidRPr="005D7AEC">
        <w:rPr>
          <w:rFonts w:asciiTheme="minorHAnsi" w:hAnsiTheme="minorHAnsi" w:cstheme="minorHAnsi"/>
        </w:rPr>
        <w:t xml:space="preserve"> have potential to enter but do not have potential to establish and spread in the PRA area, are not considered further. The potential for economic consequences is then </w:t>
      </w:r>
      <w:r w:rsidRPr="005D7AEC">
        <w:rPr>
          <w:rFonts w:asciiTheme="minorHAnsi" w:hAnsiTheme="minorHAnsi" w:cstheme="minorHAnsi"/>
        </w:rPr>
        <w:lastRenderedPageBreak/>
        <w:t>assessed for pests that have potential to enter, establish and spread in the PRA area. Further pest risk assessments are then undertaken for pests that have potential to cause economic consequences, i.e., pests that meet the criteria for a quarantine pest.</w:t>
      </w:r>
    </w:p>
    <w:p w14:paraId="2F46189C" w14:textId="77777777" w:rsidR="00C40111" w:rsidRPr="005D7AEC" w:rsidRDefault="00C40111" w:rsidP="00C40111">
      <w:pPr>
        <w:spacing w:before="120" w:after="120"/>
        <w:rPr>
          <w:rFonts w:asciiTheme="minorHAnsi" w:hAnsiTheme="minorHAnsi" w:cstheme="minorHAnsi"/>
        </w:rPr>
      </w:pPr>
      <w:r w:rsidRPr="005D7AEC">
        <w:rPr>
          <w:rFonts w:asciiTheme="minorHAnsi" w:hAnsiTheme="minorHAnsi" w:cstheme="minorHAnsi"/>
        </w:rPr>
        <w:t xml:space="preserve">Pest categorisation uses the following primary elements to identify the quarantine pests </w:t>
      </w:r>
      <w:r w:rsidRPr="005D7AEC">
        <w:rPr>
          <w:rFonts w:asciiTheme="minorHAnsi" w:hAnsiTheme="minorHAnsi" w:cstheme="minorHAnsi"/>
          <w:color w:val="000000" w:themeColor="text1"/>
        </w:rPr>
        <w:t xml:space="preserve">and to screen out some pests from further consideration where appropriate </w:t>
      </w:r>
      <w:r w:rsidRPr="005D7AEC">
        <w:rPr>
          <w:rFonts w:asciiTheme="minorHAnsi" w:hAnsiTheme="minorHAnsi" w:cstheme="minorHAnsi"/>
        </w:rPr>
        <w:t xml:space="preserve">for the pathway </w:t>
      </w:r>
      <w:r w:rsidRPr="005D7AEC">
        <w:rPr>
          <w:rFonts w:asciiTheme="minorHAnsi" w:hAnsiTheme="minorHAnsi" w:cstheme="minorHAnsi"/>
          <w:color w:val="000000" w:themeColor="text1"/>
        </w:rPr>
        <w:t>being assessed:</w:t>
      </w:r>
    </w:p>
    <w:bookmarkEnd w:id="49"/>
    <w:p w14:paraId="2F2AF3C9"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presence or absence and regulatory status in the PRA area</w:t>
      </w:r>
    </w:p>
    <w:p w14:paraId="1DD73B11"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potential for entry, establishment and spread in the PRA area</w:t>
      </w:r>
    </w:p>
    <w:p w14:paraId="6501B4DE" w14:textId="77777777" w:rsidR="00C40111" w:rsidRPr="005D7AEC" w:rsidRDefault="00C40111" w:rsidP="00C40111">
      <w:pPr>
        <w:pStyle w:val="ListBullet"/>
        <w:rPr>
          <w:rFonts w:asciiTheme="minorHAnsi" w:hAnsiTheme="minorHAnsi" w:cstheme="minorHAnsi"/>
          <w:color w:val="000000" w:themeColor="text1"/>
        </w:rPr>
      </w:pPr>
      <w:bookmarkStart w:id="50" w:name="_Hlk87178230"/>
      <w:r w:rsidRPr="005D7AEC">
        <w:rPr>
          <w:rFonts w:asciiTheme="minorHAnsi" w:hAnsiTheme="minorHAnsi" w:cstheme="minorHAnsi"/>
          <w:color w:val="000000" w:themeColor="text1"/>
        </w:rPr>
        <w:t>potential for economic consequences in the PRA area</w:t>
      </w:r>
      <w:bookmarkEnd w:id="50"/>
      <w:r w:rsidRPr="005D7AEC">
        <w:rPr>
          <w:rFonts w:asciiTheme="minorHAnsi" w:hAnsiTheme="minorHAnsi" w:cstheme="minorHAnsi"/>
          <w:color w:val="000000" w:themeColor="text1"/>
        </w:rPr>
        <w:t>.</w:t>
      </w:r>
    </w:p>
    <w:p w14:paraId="0D84A39C" w14:textId="77777777" w:rsidR="00C40111" w:rsidRDefault="00C40111" w:rsidP="00F85722">
      <w:pPr>
        <w:pStyle w:val="Heading4-Appendix"/>
        <w:numPr>
          <w:ilvl w:val="0"/>
          <w:numId w:val="4"/>
        </w:numPr>
        <w:tabs>
          <w:tab w:val="num" w:pos="720"/>
        </w:tabs>
      </w:pPr>
      <w:r>
        <w:t>Assessment of the likelihood of entry, establishment and spread</w:t>
      </w:r>
    </w:p>
    <w:p w14:paraId="34854DEC" w14:textId="01EA3D13"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ISPM 11 </w:t>
      </w:r>
      <w:r w:rsidR="00A36952" w:rsidRPr="005D7AEC">
        <w:rPr>
          <w:rFonts w:asciiTheme="minorHAnsi" w:hAnsiTheme="minorHAnsi" w:cstheme="minorHAnsi"/>
        </w:rPr>
        <w:t>(FAO 2019b)</w:t>
      </w:r>
      <w:r w:rsidRPr="005D7AEC">
        <w:rPr>
          <w:rFonts w:asciiTheme="minorHAnsi" w:hAnsiTheme="minorHAnsi" w:cstheme="minorHAnsi"/>
        </w:rPr>
        <w:t xml:space="preserve"> provides details of how to assess the ‘probability of entry’, ‘probability of establishment’ and ‘probability of spread’ of a pest. The SPS Agreement </w:t>
      </w:r>
      <w:r w:rsidR="005B252B" w:rsidRPr="005D7AEC">
        <w:rPr>
          <w:rFonts w:asciiTheme="minorHAnsi" w:hAnsiTheme="minorHAnsi" w:cstheme="minorHAnsi"/>
        </w:rPr>
        <w:t>(</w:t>
      </w:r>
      <w:r w:rsidRPr="005D7AEC">
        <w:rPr>
          <w:rFonts w:asciiTheme="minorHAnsi" w:hAnsiTheme="minorHAnsi" w:cstheme="minorHAnsi"/>
        </w:rPr>
        <w:t>WTO 1995</w:t>
      </w:r>
      <w:r w:rsidR="005B252B" w:rsidRPr="005D7AEC">
        <w:rPr>
          <w:rFonts w:asciiTheme="minorHAnsi" w:hAnsiTheme="minorHAnsi" w:cstheme="minorHAnsi"/>
        </w:rPr>
        <w:t>)</w:t>
      </w:r>
      <w:r w:rsidRPr="005D7AEC">
        <w:rPr>
          <w:rFonts w:asciiTheme="minorHAnsi" w:hAnsiTheme="minorHAnsi" w:cstheme="minorHAnsi"/>
        </w:rPr>
        <w:t xml:space="preserve"> uses the term ‘likelihood’ rather than ‘probability’ for these estimates. In qualitative PRAs, the department uses the term ‘likelihood’ as the descriptor. The use of the term ‘probability’ is limited to the direct quotation of ISPM definitions.</w:t>
      </w:r>
    </w:p>
    <w:p w14:paraId="790B1DB0"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A summary of the assessment process is given here, followed by a description of the qualitative methodology used in this risk analysis.</w:t>
      </w:r>
    </w:p>
    <w:p w14:paraId="3A7EE9AA" w14:textId="77777777" w:rsidR="00C40111" w:rsidRPr="00CA1531" w:rsidRDefault="00C40111" w:rsidP="00F85722">
      <w:pPr>
        <w:pStyle w:val="Heading5-Appendix"/>
        <w:numPr>
          <w:ilvl w:val="0"/>
          <w:numId w:val="6"/>
        </w:numPr>
        <w:ind w:left="357" w:hanging="357"/>
      </w:pPr>
      <w:r w:rsidRPr="00CA1531">
        <w:t>Likelihood of entry</w:t>
      </w:r>
    </w:p>
    <w:p w14:paraId="31D6FAFF"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The likelihood of entry describes the likelihood that a quarantine pest will enter Australia </w:t>
      </w:r>
      <w:r w:rsidRPr="005D7AEC">
        <w:rPr>
          <w:rFonts w:asciiTheme="minorHAnsi" w:hAnsiTheme="minorHAnsi" w:cstheme="minorHAnsi"/>
          <w:color w:val="000000" w:themeColor="text1"/>
        </w:rPr>
        <w:t>when</w:t>
      </w:r>
      <w:r w:rsidRPr="005D7AEC">
        <w:rPr>
          <w:rFonts w:asciiTheme="minorHAnsi" w:hAnsiTheme="minorHAnsi" w:cstheme="minorHAnsi"/>
          <w:strike/>
        </w:rPr>
        <w:t xml:space="preserve"> </w:t>
      </w:r>
      <w:r w:rsidRPr="005D7AEC">
        <w:rPr>
          <w:rFonts w:asciiTheme="minorHAnsi" w:hAnsiTheme="minorHAnsi" w:cstheme="minorHAnsi"/>
        </w:rPr>
        <w:t xml:space="preserve">a given commodity </w:t>
      </w:r>
      <w:r w:rsidRPr="005D7AEC">
        <w:rPr>
          <w:rFonts w:asciiTheme="minorHAnsi" w:hAnsiTheme="minorHAnsi" w:cstheme="minorHAnsi"/>
          <w:color w:val="000000" w:themeColor="text1"/>
        </w:rPr>
        <w:t>is imported</w:t>
      </w:r>
      <w:r w:rsidRPr="005D7AEC">
        <w:rPr>
          <w:rFonts w:asciiTheme="minorHAnsi" w:hAnsiTheme="minorHAnsi" w:cstheme="minorHAnsi"/>
        </w:rPr>
        <w:t>, be distributed in a viable state in the PRA area and subsequently be transferred to a host.</w:t>
      </w:r>
    </w:p>
    <w:p w14:paraId="1F67D31E" w14:textId="77777777" w:rsidR="00C40111" w:rsidRPr="005D7AEC" w:rsidRDefault="00C40111" w:rsidP="00C40111">
      <w:pPr>
        <w:rPr>
          <w:rFonts w:asciiTheme="minorHAnsi" w:hAnsiTheme="minorHAnsi" w:cstheme="minorHAnsi"/>
        </w:rPr>
      </w:pPr>
      <w:proofErr w:type="gramStart"/>
      <w:r w:rsidRPr="005D7AEC">
        <w:rPr>
          <w:rFonts w:asciiTheme="minorHAnsi" w:hAnsiTheme="minorHAnsi" w:cstheme="minorHAnsi"/>
        </w:rPr>
        <w:t>For the purpose of</w:t>
      </w:r>
      <w:proofErr w:type="gramEnd"/>
      <w:r w:rsidRPr="005D7AEC">
        <w:rPr>
          <w:rFonts w:asciiTheme="minorHAnsi" w:hAnsiTheme="minorHAnsi" w:cstheme="minorHAnsi"/>
        </w:rPr>
        <w:t xml:space="preserve"> considering the likelihood of entry, the department divides this step into 2 components:</w:t>
      </w:r>
    </w:p>
    <w:p w14:paraId="6D1AEE80" w14:textId="239CF18D" w:rsidR="00C40111" w:rsidRPr="005D7AEC" w:rsidRDefault="00C40111" w:rsidP="00C40111">
      <w:pPr>
        <w:pStyle w:val="ListBullet"/>
        <w:jc w:val="both"/>
        <w:rPr>
          <w:rFonts w:asciiTheme="minorHAnsi" w:hAnsiTheme="minorHAnsi" w:cstheme="minorHAnsi"/>
        </w:rPr>
      </w:pPr>
      <w:r w:rsidRPr="005D7AEC">
        <w:rPr>
          <w:rStyle w:val="Strong"/>
          <w:rFonts w:asciiTheme="minorHAnsi" w:hAnsiTheme="minorHAnsi" w:cstheme="minorHAnsi"/>
        </w:rPr>
        <w:t xml:space="preserve">Likelihood of </w:t>
      </w:r>
      <w:bookmarkStart w:id="51" w:name="_Hlk143005285"/>
      <w:r w:rsidR="008D39F0" w:rsidRPr="005D7AEC">
        <w:rPr>
          <w:rFonts w:asciiTheme="minorHAnsi" w:hAnsiTheme="minorHAnsi" w:cstheme="minorHAnsi"/>
          <w:b/>
          <w:bCs/>
        </w:rPr>
        <w:t xml:space="preserve">importation </w:t>
      </w:r>
      <w:r w:rsidR="008D39F0" w:rsidRPr="005D7AEC">
        <w:rPr>
          <w:rFonts w:asciiTheme="minorHAnsi" w:hAnsiTheme="minorHAnsi" w:cstheme="minorHAnsi"/>
        </w:rPr>
        <w:t>– the</w:t>
      </w:r>
      <w:r w:rsidR="008D39F0" w:rsidRPr="005D7AEC">
        <w:rPr>
          <w:rFonts w:asciiTheme="minorHAnsi" w:hAnsiTheme="minorHAnsi" w:cstheme="minorHAnsi"/>
          <w:b/>
          <w:bCs/>
        </w:rPr>
        <w:t xml:space="preserve"> </w:t>
      </w:r>
      <w:bookmarkEnd w:id="51"/>
      <w:r w:rsidRPr="005D7AEC">
        <w:rPr>
          <w:rFonts w:asciiTheme="minorHAnsi" w:hAnsiTheme="minorHAnsi" w:cstheme="minorHAnsi"/>
        </w:rPr>
        <w:t>likelihood that a pest will arrive in Australia in a viable state when a given commodity is imported</w:t>
      </w:r>
    </w:p>
    <w:p w14:paraId="3D3CA514" w14:textId="7A9D192F" w:rsidR="00C40111" w:rsidRPr="005D7AEC" w:rsidRDefault="00C40111" w:rsidP="00C40111">
      <w:pPr>
        <w:pStyle w:val="ListBullet"/>
        <w:jc w:val="both"/>
        <w:rPr>
          <w:rFonts w:asciiTheme="minorHAnsi" w:hAnsiTheme="minorHAnsi" w:cstheme="minorHAnsi"/>
        </w:rPr>
      </w:pPr>
      <w:r w:rsidRPr="005D7AEC">
        <w:rPr>
          <w:rStyle w:val="Strong"/>
          <w:rFonts w:asciiTheme="minorHAnsi" w:hAnsiTheme="minorHAnsi" w:cstheme="minorHAnsi"/>
        </w:rPr>
        <w:t xml:space="preserve">Likelihood of </w:t>
      </w:r>
      <w:bookmarkStart w:id="52" w:name="_Hlk143005303"/>
      <w:r w:rsidR="008D39F0" w:rsidRPr="005D7AEC">
        <w:rPr>
          <w:rFonts w:asciiTheme="minorHAnsi" w:hAnsiTheme="minorHAnsi" w:cstheme="minorHAnsi"/>
          <w:b/>
          <w:bCs/>
        </w:rPr>
        <w:t xml:space="preserve">distribution </w:t>
      </w:r>
      <w:r w:rsidR="008D39F0" w:rsidRPr="005D7AEC">
        <w:rPr>
          <w:rFonts w:asciiTheme="minorHAnsi" w:hAnsiTheme="minorHAnsi" w:cstheme="minorHAnsi"/>
        </w:rPr>
        <w:t>– the</w:t>
      </w:r>
      <w:r w:rsidR="008D39F0" w:rsidRPr="005D7AEC">
        <w:rPr>
          <w:rFonts w:asciiTheme="minorHAnsi" w:hAnsiTheme="minorHAnsi" w:cstheme="minorHAnsi"/>
          <w:b/>
          <w:bCs/>
        </w:rPr>
        <w:t xml:space="preserve"> </w:t>
      </w:r>
      <w:bookmarkEnd w:id="52"/>
      <w:r w:rsidRPr="005D7AEC">
        <w:rPr>
          <w:rFonts w:asciiTheme="minorHAnsi" w:hAnsiTheme="minorHAnsi" w:cstheme="minorHAnsi"/>
        </w:rPr>
        <w:t xml:space="preserve">likelihood that the pest will be distributed in a viable state, </w:t>
      </w:r>
      <w:proofErr w:type="gramStart"/>
      <w:r w:rsidRPr="005D7AEC">
        <w:rPr>
          <w:rFonts w:asciiTheme="minorHAnsi" w:hAnsiTheme="minorHAnsi" w:cstheme="minorHAnsi"/>
        </w:rPr>
        <w:t>as a result of</w:t>
      </w:r>
      <w:proofErr w:type="gramEnd"/>
      <w:r w:rsidRPr="005D7AEC">
        <w:rPr>
          <w:rFonts w:asciiTheme="minorHAnsi" w:hAnsiTheme="minorHAnsi" w:cstheme="minorHAnsi"/>
        </w:rPr>
        <w:t xml:space="preserve"> the processing, sale or disposal of the commodity, in the PRA area and subsequently transfer to a susceptible part of a host.</w:t>
      </w:r>
    </w:p>
    <w:p w14:paraId="5A95BE6A"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Factors to be considered in the likelihood of importation may include:</w:t>
      </w:r>
    </w:p>
    <w:p w14:paraId="3DB6D3A8"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likelihood of the pest being associated with the pathway at origin</w:t>
      </w:r>
    </w:p>
    <w:p w14:paraId="29E2A422"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prevalence of the pest in the source area</w:t>
      </w:r>
    </w:p>
    <w:p w14:paraId="76BF667E"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occurrence of the pest in a life-stage that would be associated with the commodity</w:t>
      </w:r>
    </w:p>
    <w:p w14:paraId="27CBEE2E"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mode of trade (for example, bulk, packed)</w:t>
      </w:r>
    </w:p>
    <w:p w14:paraId="557D1EAB"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volume and frequency of movement along each pathway</w:t>
      </w:r>
    </w:p>
    <w:p w14:paraId="3C0E7CA9"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seasonal timing of imports</w:t>
      </w:r>
    </w:p>
    <w:p w14:paraId="12D12083"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pest management, cultural and commercial procedures applied at the place of origin (for example, application of plant protection products, handling, culling, and grading)</w:t>
      </w:r>
    </w:p>
    <w:p w14:paraId="7BD8EF25"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lastRenderedPageBreak/>
        <w:t>likelihood of survival of the pest during transport or storage</w:t>
      </w:r>
    </w:p>
    <w:p w14:paraId="4C5B4910"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speed and conditions of transport and duration and conditions of storage compared with the duration of the life cycle of the pest</w:t>
      </w:r>
    </w:p>
    <w:p w14:paraId="650ED6EF"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vulnerability of the life-stages of the pest during transport or storage</w:t>
      </w:r>
    </w:p>
    <w:p w14:paraId="05586CCA"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prevalence of the pest likely to be associated with a consignment</w:t>
      </w:r>
    </w:p>
    <w:p w14:paraId="2C522C51"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commercial procedures (for example, refrigeration) applied to consignments during transport and storage in the country of origin, and during transport to Australia</w:t>
      </w:r>
    </w:p>
    <w:p w14:paraId="677AFC56"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likelihood of pest surviving existing pest management procedures.</w:t>
      </w:r>
    </w:p>
    <w:p w14:paraId="742F5212"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Factors to be considered in the likelihood of distribution may include:</w:t>
      </w:r>
    </w:p>
    <w:p w14:paraId="566C6CC8"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commercial procedures (for example, refrigeration) applied to consignments during distribution in Australia</w:t>
      </w:r>
    </w:p>
    <w:p w14:paraId="18961265"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dispersal mechanisms of the pest, including vectors, to allow movement from the pathway to a suitable host</w:t>
      </w:r>
    </w:p>
    <w:p w14:paraId="504C6915"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whether the imported commodity is to be sent to a few or many destination points in the PRA area</w:t>
      </w:r>
    </w:p>
    <w:p w14:paraId="1E6833E8"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proximity of entry, transit and destination points to suitable hosts</w:t>
      </w:r>
    </w:p>
    <w:p w14:paraId="1E9C06A0"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time of year at which import takes place</w:t>
      </w:r>
    </w:p>
    <w:p w14:paraId="62B6FC91"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intended use of the commodity (for example, for planting, processing or consumption)</w:t>
      </w:r>
    </w:p>
    <w:p w14:paraId="21043BB7"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risks from by-products and waste.</w:t>
      </w:r>
    </w:p>
    <w:p w14:paraId="3A73AAAE" w14:textId="77777777" w:rsidR="00C40111" w:rsidRDefault="00C40111" w:rsidP="00F85722">
      <w:pPr>
        <w:pStyle w:val="Heading5-Appendix"/>
        <w:numPr>
          <w:ilvl w:val="0"/>
          <w:numId w:val="6"/>
        </w:numPr>
        <w:tabs>
          <w:tab w:val="num" w:pos="720"/>
        </w:tabs>
        <w:ind w:left="357" w:hanging="357"/>
      </w:pPr>
      <w:r>
        <w:t>Likelihood of establishment</w:t>
      </w:r>
    </w:p>
    <w:p w14:paraId="0267AED4" w14:textId="426E94BC"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Establishment is defined as the ‘perpetuation for the foreseeable future, of a pest within an area after entry’ </w:t>
      </w:r>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r w:rsidRPr="005D7AEC">
        <w:rPr>
          <w:rFonts w:asciiTheme="minorHAnsi" w:hAnsiTheme="minorHAnsi" w:cstheme="minorHAnsi"/>
        </w:rPr>
        <w:t xml:space="preserve">. </w:t>
      </w:r>
      <w:proofErr w:type="gramStart"/>
      <w:r w:rsidRPr="005D7AEC">
        <w:rPr>
          <w:rFonts w:asciiTheme="minorHAnsi" w:hAnsiTheme="minorHAnsi" w:cstheme="minorHAnsi"/>
        </w:rPr>
        <w:t>In order to</w:t>
      </w:r>
      <w:proofErr w:type="gramEnd"/>
      <w:r w:rsidRPr="005D7AEC">
        <w:rPr>
          <w:rFonts w:asciiTheme="minorHAnsi" w:hAnsiTheme="minorHAnsi" w:cstheme="minorHAnsi"/>
        </w:rPr>
        <w:t xml:space="preserve">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5EAAB7C8"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Factors to be considered in the likelihood of establishment in the PRA area may include:</w:t>
      </w:r>
    </w:p>
    <w:p w14:paraId="56595969"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availability of suitable hosts, alternate hosts and vectors in the PRA areas</w:t>
      </w:r>
    </w:p>
    <w:p w14:paraId="3CC7F540"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prevalence of hosts and alternate hosts in the PRA area</w:t>
      </w:r>
    </w:p>
    <w:p w14:paraId="5E186580"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whether hosts and alternate hosts occur within sufficient geographic proximity to allow the pest to complete its life cycle</w:t>
      </w:r>
    </w:p>
    <w:p w14:paraId="68FAC3C0"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whether there are other plant species, which could prove to be suitable hosts in the absence of usual host species</w:t>
      </w:r>
    </w:p>
    <w:p w14:paraId="77349E4C"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whether a vector, if needed for dispersal of the pest, is already present in the PRA area or likely to be introduced</w:t>
      </w:r>
    </w:p>
    <w:p w14:paraId="38A9CBFC"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suitability of environment in the PRA area</w:t>
      </w:r>
    </w:p>
    <w:p w14:paraId="65035E7B"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 xml:space="preserve">factors in the environment in the PRA area (for example, suitability of climate, soil, pest and host competition) that are critical to the development of the pest, its host and if </w:t>
      </w:r>
      <w:r w:rsidRPr="005D7AEC">
        <w:rPr>
          <w:rFonts w:asciiTheme="minorHAnsi" w:hAnsiTheme="minorHAnsi" w:cstheme="minorHAnsi"/>
        </w:rPr>
        <w:lastRenderedPageBreak/>
        <w:t>applicable its vector, and to their ability to survive periods of climatic stress and complete their life cycles</w:t>
      </w:r>
    </w:p>
    <w:p w14:paraId="4D4C9004"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cultural practices and control measures in the PRA area that may influence the ability of the pest to establish</w:t>
      </w:r>
    </w:p>
    <w:p w14:paraId="0D3DC28C"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other characteristics of the pest</w:t>
      </w:r>
    </w:p>
    <w:p w14:paraId="155D2737"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reproductive strategy of the pest and method of pest survival</w:t>
      </w:r>
    </w:p>
    <w:p w14:paraId="31B61EDB"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potential for adaptation of the pest</w:t>
      </w:r>
    </w:p>
    <w:p w14:paraId="32CA820A"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minimum population needed for establishment.</w:t>
      </w:r>
    </w:p>
    <w:p w14:paraId="1DEB823E" w14:textId="77777777" w:rsidR="00C40111" w:rsidRDefault="00C40111" w:rsidP="00F85722">
      <w:pPr>
        <w:pStyle w:val="Heading5-Appendix"/>
        <w:numPr>
          <w:ilvl w:val="0"/>
          <w:numId w:val="6"/>
        </w:numPr>
        <w:tabs>
          <w:tab w:val="num" w:pos="720"/>
        </w:tabs>
        <w:ind w:left="357" w:hanging="357"/>
      </w:pPr>
      <w:r>
        <w:t>Likelihood of spread</w:t>
      </w:r>
    </w:p>
    <w:p w14:paraId="6EF0385F" w14:textId="49C51D70"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Spread is defined as ‘the expansion of the geographical distribution of a pest within an area’ </w:t>
      </w:r>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r w:rsidRPr="005D7AEC">
        <w:rPr>
          <w:rFonts w:asciiTheme="minorHAnsi" w:hAnsiTheme="minorHAnsi" w:cstheme="minorHAnsi"/>
        </w:rPr>
        <w:t xml:space="preserve">. The likelihood of spread considers the factors relevant to the movement of the pest, after establishment on a host plant or plants, to other susceptible host plants of the same or different species in other areas. </w:t>
      </w:r>
      <w:proofErr w:type="gramStart"/>
      <w:r w:rsidRPr="005D7AEC">
        <w:rPr>
          <w:rFonts w:asciiTheme="minorHAnsi" w:hAnsiTheme="minorHAnsi" w:cstheme="minorHAnsi"/>
        </w:rPr>
        <w:t>In order to</w:t>
      </w:r>
      <w:proofErr w:type="gramEnd"/>
      <w:r w:rsidRPr="005D7AEC">
        <w:rPr>
          <w:rFonts w:asciiTheme="minorHAnsi" w:hAnsiTheme="minorHAnsi" w:cstheme="minorHAnsi"/>
        </w:rPr>
        <w:t xml:space="preserve">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10AF8907"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Factors to be considered in the likelihood of spread may include:</w:t>
      </w:r>
    </w:p>
    <w:p w14:paraId="39289667"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suitability of the natural and/or managed environment for natural spread of the pest</w:t>
      </w:r>
    </w:p>
    <w:p w14:paraId="651EC47C"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presence of natural barriers</w:t>
      </w:r>
    </w:p>
    <w:p w14:paraId="6864A56E"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potential for movement with commodities, conveyances or by vectors</w:t>
      </w:r>
    </w:p>
    <w:p w14:paraId="782B6BBD"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intended use of the commodity</w:t>
      </w:r>
    </w:p>
    <w:p w14:paraId="34D11863"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potential vectors of the pest in the PRA area</w:t>
      </w:r>
    </w:p>
    <w:p w14:paraId="54A16900"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potential natural enemies of the pest in the PRA area.</w:t>
      </w:r>
    </w:p>
    <w:p w14:paraId="4F461970" w14:textId="77777777" w:rsidR="00C40111" w:rsidRDefault="00C40111" w:rsidP="00F85722">
      <w:pPr>
        <w:pStyle w:val="Heading5-Appendix"/>
        <w:numPr>
          <w:ilvl w:val="0"/>
          <w:numId w:val="6"/>
        </w:numPr>
        <w:tabs>
          <w:tab w:val="num" w:pos="720"/>
        </w:tabs>
        <w:ind w:left="357" w:hanging="357"/>
      </w:pPr>
      <w:r>
        <w:t>Assigning likelihoods for entry, establishment and spread</w:t>
      </w:r>
    </w:p>
    <w:p w14:paraId="4F4AC1DE" w14:textId="0DF6ADAE"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Likelihoods are assigned to each step of entry, establishment and spread. Six qualitative likelihood descriptors are used: High; Moderate; Low; Very Low; Extremely Low; and Negligible. Definitions for these descriptors and their indicative ranges are given in </w:t>
      </w:r>
      <w:r w:rsidRPr="005D7AEC">
        <w:rPr>
          <w:rFonts w:asciiTheme="minorHAnsi" w:hAnsiTheme="minorHAnsi" w:cstheme="minorHAnsi"/>
        </w:rPr>
        <w:fldChar w:fldCharType="begin"/>
      </w:r>
      <w:r w:rsidRPr="005D7AEC">
        <w:rPr>
          <w:rFonts w:asciiTheme="minorHAnsi" w:hAnsiTheme="minorHAnsi" w:cstheme="minorHAnsi"/>
        </w:rPr>
        <w:instrText xml:space="preserve"> REF _Ref524354931 \h  \* MERGEFORMAT </w:instrText>
      </w:r>
      <w:r w:rsidRPr="005D7AEC">
        <w:rPr>
          <w:rFonts w:asciiTheme="minorHAnsi" w:hAnsiTheme="minorHAnsi" w:cstheme="minorHAnsi"/>
        </w:rPr>
      </w:r>
      <w:r w:rsidRPr="005D7AEC">
        <w:rPr>
          <w:rFonts w:asciiTheme="minorHAnsi" w:hAnsiTheme="minorHAnsi" w:cstheme="minorHAnsi"/>
        </w:rPr>
        <w:fldChar w:fldCharType="separate"/>
      </w:r>
      <w:r w:rsidR="00391357" w:rsidRPr="005D7AEC">
        <w:rPr>
          <w:rFonts w:asciiTheme="minorHAnsi" w:hAnsiTheme="minorHAnsi" w:cstheme="minorHAnsi"/>
        </w:rPr>
        <w:t xml:space="preserve">Table </w:t>
      </w:r>
      <w:r w:rsidR="00391357" w:rsidRPr="005D7AEC">
        <w:rPr>
          <w:rFonts w:asciiTheme="minorHAnsi" w:hAnsiTheme="minorHAnsi" w:cstheme="minorHAnsi"/>
          <w:noProof/>
        </w:rPr>
        <w:t>A</w:t>
      </w:r>
      <w:r w:rsidR="00391357" w:rsidRPr="005D7AEC">
        <w:rPr>
          <w:rFonts w:asciiTheme="minorHAnsi" w:hAnsiTheme="minorHAnsi" w:cstheme="minorHAnsi"/>
        </w:rPr>
        <w:t>.</w:t>
      </w:r>
      <w:r w:rsidR="00391357">
        <w:rPr>
          <w:rFonts w:asciiTheme="minorHAnsi" w:hAnsiTheme="minorHAnsi" w:cstheme="minorHAnsi"/>
        </w:rPr>
        <w:t>1</w:t>
      </w:r>
      <w:r w:rsidRPr="005D7AEC">
        <w:rPr>
          <w:rFonts w:asciiTheme="minorHAnsi" w:hAnsiTheme="minorHAnsi" w:cstheme="minorHAnsi"/>
        </w:rPr>
        <w:fldChar w:fldCharType="end"/>
      </w:r>
      <w:r w:rsidRPr="005D7AEC">
        <w:rPr>
          <w:rFonts w:asciiTheme="minorHAnsi" w:hAnsiTheme="minorHAnsi" w:cstheme="minorHAnsi"/>
        </w:rPr>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01FC35DF" w14:textId="3EF36CF2" w:rsidR="00C40111" w:rsidRPr="005D7AEC" w:rsidRDefault="00C40111" w:rsidP="00C40111">
      <w:pPr>
        <w:pStyle w:val="Tablecaption"/>
        <w:rPr>
          <w:rFonts w:asciiTheme="minorHAnsi" w:hAnsiTheme="minorHAnsi" w:cstheme="minorHAnsi"/>
        </w:rPr>
      </w:pPr>
      <w:bookmarkStart w:id="53" w:name="_Ref524354931"/>
      <w:bookmarkStart w:id="54" w:name="_Ref457826303"/>
      <w:bookmarkStart w:id="55" w:name="_Toc6906414"/>
      <w:bookmarkStart w:id="56" w:name="_Toc112674176"/>
      <w:bookmarkStart w:id="57" w:name="_Toc209446388"/>
      <w:r w:rsidRPr="005D7AEC">
        <w:rPr>
          <w:rFonts w:asciiTheme="minorHAnsi" w:hAnsiTheme="minorHAnsi" w:cstheme="minorHAnsi"/>
        </w:rPr>
        <w:t>Table A.</w:t>
      </w:r>
      <w:r w:rsidR="002B4E46" w:rsidRPr="005D7AEC">
        <w:rPr>
          <w:rFonts w:asciiTheme="minorHAnsi" w:hAnsiTheme="minorHAnsi" w:cstheme="minorHAnsi"/>
        </w:rPr>
        <w:fldChar w:fldCharType="begin"/>
      </w:r>
      <w:r w:rsidR="002B4E46" w:rsidRPr="005D7AEC">
        <w:rPr>
          <w:rFonts w:asciiTheme="minorHAnsi" w:hAnsiTheme="minorHAnsi" w:cstheme="minorHAnsi"/>
        </w:rPr>
        <w:instrText xml:space="preserve"> SEQ Table \* ARABIC \s 2 </w:instrText>
      </w:r>
      <w:r w:rsidR="002B4E46" w:rsidRPr="005D7AEC">
        <w:rPr>
          <w:rFonts w:asciiTheme="minorHAnsi" w:hAnsiTheme="minorHAnsi" w:cstheme="minorHAnsi"/>
        </w:rPr>
        <w:fldChar w:fldCharType="separate"/>
      </w:r>
      <w:r w:rsidR="00391357">
        <w:rPr>
          <w:rFonts w:asciiTheme="minorHAnsi" w:hAnsiTheme="minorHAnsi" w:cstheme="minorHAnsi"/>
          <w:noProof/>
        </w:rPr>
        <w:t>1</w:t>
      </w:r>
      <w:r w:rsidR="002B4E46" w:rsidRPr="005D7AEC">
        <w:rPr>
          <w:rFonts w:asciiTheme="minorHAnsi" w:hAnsiTheme="minorHAnsi" w:cstheme="minorHAnsi"/>
        </w:rPr>
        <w:fldChar w:fldCharType="end"/>
      </w:r>
      <w:bookmarkEnd w:id="53"/>
      <w:r w:rsidRPr="005D7AEC">
        <w:rPr>
          <w:rFonts w:asciiTheme="minorHAnsi" w:hAnsiTheme="minorHAnsi" w:cstheme="minorHAnsi"/>
        </w:rPr>
        <w:t xml:space="preserve"> Nomenclature of likelihoods</w:t>
      </w:r>
      <w:bookmarkEnd w:id="54"/>
      <w:bookmarkEnd w:id="55"/>
      <w:bookmarkEnd w:id="56"/>
      <w:bookmarkEnd w:id="57"/>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C40111" w:rsidRPr="005D7AEC" w14:paraId="33A38A5F" w14:textId="77777777" w:rsidTr="00205EC0">
        <w:tc>
          <w:tcPr>
            <w:tcW w:w="1051" w:type="pct"/>
            <w:tcBorders>
              <w:top w:val="single" w:sz="4" w:space="0" w:color="auto"/>
              <w:bottom w:val="single" w:sz="4" w:space="0" w:color="auto"/>
            </w:tcBorders>
          </w:tcPr>
          <w:p w14:paraId="43AB65C8" w14:textId="77777777" w:rsidR="00C40111" w:rsidRPr="005D7AEC" w:rsidRDefault="00C40111" w:rsidP="00205EC0">
            <w:pPr>
              <w:pStyle w:val="TableHeading"/>
              <w:rPr>
                <w:rFonts w:asciiTheme="minorHAnsi" w:hAnsiTheme="minorHAnsi" w:cstheme="minorHAnsi"/>
              </w:rPr>
            </w:pPr>
            <w:r w:rsidRPr="005D7AEC">
              <w:rPr>
                <w:rFonts w:asciiTheme="minorHAnsi" w:hAnsiTheme="minorHAnsi" w:cstheme="minorHAnsi"/>
              </w:rPr>
              <w:t>Likelihood</w:t>
            </w:r>
          </w:p>
        </w:tc>
        <w:tc>
          <w:tcPr>
            <w:tcW w:w="2282" w:type="pct"/>
            <w:tcBorders>
              <w:top w:val="single" w:sz="4" w:space="0" w:color="auto"/>
              <w:bottom w:val="single" w:sz="4" w:space="0" w:color="auto"/>
            </w:tcBorders>
          </w:tcPr>
          <w:p w14:paraId="216C8539" w14:textId="77777777" w:rsidR="00C40111" w:rsidRPr="005D7AEC" w:rsidRDefault="00C40111" w:rsidP="00205EC0">
            <w:pPr>
              <w:pStyle w:val="TableHeading"/>
              <w:rPr>
                <w:rFonts w:asciiTheme="minorHAnsi" w:hAnsiTheme="minorHAnsi" w:cstheme="minorHAnsi"/>
              </w:rPr>
            </w:pPr>
            <w:r w:rsidRPr="005D7AEC">
              <w:rPr>
                <w:rFonts w:asciiTheme="minorHAnsi" w:hAnsiTheme="minorHAnsi" w:cstheme="minorHAnsi"/>
              </w:rPr>
              <w:t>Descriptive definition</w:t>
            </w:r>
          </w:p>
        </w:tc>
        <w:tc>
          <w:tcPr>
            <w:tcW w:w="1667" w:type="pct"/>
            <w:tcBorders>
              <w:top w:val="single" w:sz="4" w:space="0" w:color="auto"/>
              <w:bottom w:val="single" w:sz="4" w:space="0" w:color="auto"/>
            </w:tcBorders>
          </w:tcPr>
          <w:p w14:paraId="5B3FA4D6" w14:textId="77777777" w:rsidR="00C40111" w:rsidRPr="005D7AEC" w:rsidRDefault="00C40111" w:rsidP="00205EC0">
            <w:pPr>
              <w:pStyle w:val="TableHeading"/>
              <w:rPr>
                <w:rFonts w:asciiTheme="minorHAnsi" w:hAnsiTheme="minorHAnsi" w:cstheme="minorHAnsi"/>
              </w:rPr>
            </w:pPr>
            <w:r w:rsidRPr="005D7AEC">
              <w:rPr>
                <w:rFonts w:asciiTheme="minorHAnsi" w:hAnsiTheme="minorHAnsi" w:cstheme="minorHAnsi"/>
              </w:rPr>
              <w:t>Indicative range</w:t>
            </w:r>
          </w:p>
        </w:tc>
      </w:tr>
      <w:tr w:rsidR="00C40111" w:rsidRPr="005D7AEC" w14:paraId="00BD8F7B" w14:textId="77777777" w:rsidTr="00205EC0">
        <w:tc>
          <w:tcPr>
            <w:tcW w:w="1051" w:type="pct"/>
            <w:tcBorders>
              <w:top w:val="single" w:sz="4" w:space="0" w:color="auto"/>
            </w:tcBorders>
          </w:tcPr>
          <w:p w14:paraId="2400362E"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High</w:t>
            </w:r>
          </w:p>
        </w:tc>
        <w:tc>
          <w:tcPr>
            <w:tcW w:w="2282" w:type="pct"/>
            <w:tcBorders>
              <w:top w:val="single" w:sz="4" w:space="0" w:color="auto"/>
            </w:tcBorders>
          </w:tcPr>
          <w:p w14:paraId="372B4A1E"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The event would be very likely to occur</w:t>
            </w:r>
          </w:p>
        </w:tc>
        <w:tc>
          <w:tcPr>
            <w:tcW w:w="1667" w:type="pct"/>
            <w:tcBorders>
              <w:top w:val="single" w:sz="4" w:space="0" w:color="auto"/>
            </w:tcBorders>
          </w:tcPr>
          <w:p w14:paraId="12C73EB6"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0.7 &lt; to ≤ 1</w:t>
            </w:r>
          </w:p>
        </w:tc>
      </w:tr>
      <w:tr w:rsidR="00C40111" w:rsidRPr="005D7AEC" w14:paraId="774B2133" w14:textId="77777777" w:rsidTr="00205EC0">
        <w:tc>
          <w:tcPr>
            <w:tcW w:w="1051" w:type="pct"/>
          </w:tcPr>
          <w:p w14:paraId="0336207A"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Moderate</w:t>
            </w:r>
          </w:p>
        </w:tc>
        <w:tc>
          <w:tcPr>
            <w:tcW w:w="2282" w:type="pct"/>
          </w:tcPr>
          <w:p w14:paraId="4E88A40A"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The event would occur with an even likelihood</w:t>
            </w:r>
          </w:p>
        </w:tc>
        <w:tc>
          <w:tcPr>
            <w:tcW w:w="1667" w:type="pct"/>
          </w:tcPr>
          <w:p w14:paraId="6B09F00D"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0.3 &lt; to ≤ 0.7</w:t>
            </w:r>
          </w:p>
        </w:tc>
      </w:tr>
      <w:tr w:rsidR="00C40111" w:rsidRPr="005D7AEC" w14:paraId="21AC3D98" w14:textId="77777777" w:rsidTr="00205EC0">
        <w:tc>
          <w:tcPr>
            <w:tcW w:w="1051" w:type="pct"/>
          </w:tcPr>
          <w:p w14:paraId="184592BF"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Low</w:t>
            </w:r>
          </w:p>
        </w:tc>
        <w:tc>
          <w:tcPr>
            <w:tcW w:w="2282" w:type="pct"/>
          </w:tcPr>
          <w:p w14:paraId="401B6E8C"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The event would be unlikely to occur</w:t>
            </w:r>
          </w:p>
        </w:tc>
        <w:tc>
          <w:tcPr>
            <w:tcW w:w="1667" w:type="pct"/>
          </w:tcPr>
          <w:p w14:paraId="776CBD6F"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0.05 &lt; to ≤ 0.3</w:t>
            </w:r>
          </w:p>
        </w:tc>
      </w:tr>
      <w:tr w:rsidR="00C40111" w:rsidRPr="005D7AEC" w14:paraId="7F311E7B" w14:textId="77777777" w:rsidTr="00205EC0">
        <w:tc>
          <w:tcPr>
            <w:tcW w:w="1051" w:type="pct"/>
          </w:tcPr>
          <w:p w14:paraId="67C3A3D8"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Very Low</w:t>
            </w:r>
          </w:p>
        </w:tc>
        <w:tc>
          <w:tcPr>
            <w:tcW w:w="2282" w:type="pct"/>
          </w:tcPr>
          <w:p w14:paraId="57717513"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The event would be very unlikely to occur</w:t>
            </w:r>
          </w:p>
        </w:tc>
        <w:tc>
          <w:tcPr>
            <w:tcW w:w="1667" w:type="pct"/>
          </w:tcPr>
          <w:p w14:paraId="36A5516A"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0.001 &lt; to ≤ 0.05</w:t>
            </w:r>
          </w:p>
        </w:tc>
      </w:tr>
      <w:tr w:rsidR="00C40111" w:rsidRPr="005D7AEC" w14:paraId="1BE64CBF" w14:textId="77777777" w:rsidTr="00205EC0">
        <w:tc>
          <w:tcPr>
            <w:tcW w:w="1051" w:type="pct"/>
          </w:tcPr>
          <w:p w14:paraId="1A6B3FC2"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Extremely Low</w:t>
            </w:r>
          </w:p>
        </w:tc>
        <w:tc>
          <w:tcPr>
            <w:tcW w:w="2282" w:type="pct"/>
          </w:tcPr>
          <w:p w14:paraId="1F79BEAF"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The event would be extremely unlikely to occur</w:t>
            </w:r>
          </w:p>
        </w:tc>
        <w:tc>
          <w:tcPr>
            <w:tcW w:w="1667" w:type="pct"/>
          </w:tcPr>
          <w:p w14:paraId="1C9504CF"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0.000001 &lt; to ≤ 0.001</w:t>
            </w:r>
          </w:p>
        </w:tc>
      </w:tr>
      <w:tr w:rsidR="00C40111" w:rsidRPr="005D7AEC" w14:paraId="3C4354BD" w14:textId="77777777" w:rsidTr="00205EC0">
        <w:tc>
          <w:tcPr>
            <w:tcW w:w="1051" w:type="pct"/>
          </w:tcPr>
          <w:p w14:paraId="6D1B032A"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Negligible</w:t>
            </w:r>
          </w:p>
        </w:tc>
        <w:tc>
          <w:tcPr>
            <w:tcW w:w="2282" w:type="pct"/>
          </w:tcPr>
          <w:p w14:paraId="405562E9"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The event would almost certainly not occur</w:t>
            </w:r>
          </w:p>
        </w:tc>
        <w:tc>
          <w:tcPr>
            <w:tcW w:w="1667" w:type="pct"/>
          </w:tcPr>
          <w:p w14:paraId="26C059D7" w14:textId="77777777" w:rsidR="00C40111" w:rsidRPr="005D7AEC" w:rsidRDefault="00C40111" w:rsidP="00205EC0">
            <w:pPr>
              <w:pStyle w:val="TableText"/>
              <w:rPr>
                <w:rFonts w:asciiTheme="minorHAnsi" w:hAnsiTheme="minorHAnsi" w:cstheme="minorHAnsi"/>
              </w:rPr>
            </w:pPr>
            <w:r w:rsidRPr="005D7AEC">
              <w:rPr>
                <w:rFonts w:asciiTheme="minorHAnsi" w:hAnsiTheme="minorHAnsi" w:cstheme="minorHAnsi"/>
              </w:rPr>
              <w:t>0 &lt; to ≤ 0.000001</w:t>
            </w:r>
          </w:p>
        </w:tc>
      </w:tr>
    </w:tbl>
    <w:p w14:paraId="7E16A302" w14:textId="77777777" w:rsidR="00C40111" w:rsidRDefault="00C40111" w:rsidP="00F85722">
      <w:pPr>
        <w:pStyle w:val="Heading5-Appendix"/>
        <w:numPr>
          <w:ilvl w:val="0"/>
          <w:numId w:val="6"/>
        </w:numPr>
        <w:tabs>
          <w:tab w:val="num" w:pos="720"/>
        </w:tabs>
        <w:ind w:left="357" w:hanging="357"/>
      </w:pPr>
      <w:r>
        <w:lastRenderedPageBreak/>
        <w:t>Combining likelihoods</w:t>
      </w:r>
    </w:p>
    <w:p w14:paraId="45788773" w14:textId="1914918C" w:rsidR="00C40111" w:rsidRPr="004D2A4C" w:rsidRDefault="00C40111" w:rsidP="00C40111">
      <w:pPr>
        <w:rPr>
          <w:rFonts w:asciiTheme="minorHAnsi" w:hAnsiTheme="minorHAnsi" w:cstheme="minorHAnsi"/>
        </w:rPr>
      </w:pPr>
      <w:r w:rsidRPr="004D2A4C">
        <w:rPr>
          <w:rFonts w:asciiTheme="minorHAnsi" w:hAnsiTheme="minorHAnsi" w:cstheme="minorHAnsi"/>
        </w:rPr>
        <w:t>The likelihood of entry is determined by combining the likelihood that the pest will be imported into the PRA area and the likelihood that the pest will be distributed within the PRA area, using a matrix of rules (</w:t>
      </w:r>
      <w:r w:rsidRPr="004D2A4C">
        <w:rPr>
          <w:rFonts w:asciiTheme="minorHAnsi" w:hAnsiTheme="minorHAnsi" w:cstheme="minorHAnsi"/>
        </w:rPr>
        <w:fldChar w:fldCharType="begin"/>
      </w:r>
      <w:r w:rsidRPr="004D2A4C">
        <w:rPr>
          <w:rFonts w:asciiTheme="minorHAnsi" w:hAnsiTheme="minorHAnsi" w:cstheme="minorHAnsi"/>
        </w:rPr>
        <w:instrText xml:space="preserve"> REF _Ref524354947 \h  \* MERGEFORMAT </w:instrText>
      </w:r>
      <w:r w:rsidRPr="004D2A4C">
        <w:rPr>
          <w:rFonts w:asciiTheme="minorHAnsi" w:hAnsiTheme="minorHAnsi" w:cstheme="minorHAnsi"/>
        </w:rPr>
      </w:r>
      <w:r w:rsidRPr="004D2A4C">
        <w:rPr>
          <w:rFonts w:asciiTheme="minorHAnsi" w:hAnsiTheme="minorHAnsi" w:cstheme="minorHAnsi"/>
        </w:rPr>
        <w:fldChar w:fldCharType="separate"/>
      </w:r>
      <w:r w:rsidR="00391357" w:rsidRPr="004D2A4C">
        <w:rPr>
          <w:rFonts w:asciiTheme="minorHAnsi" w:hAnsiTheme="minorHAnsi" w:cstheme="minorHAnsi"/>
        </w:rPr>
        <w:t xml:space="preserve">Table </w:t>
      </w:r>
      <w:r w:rsidR="00391357" w:rsidRPr="004D2A4C">
        <w:rPr>
          <w:rFonts w:asciiTheme="minorHAnsi" w:hAnsiTheme="minorHAnsi" w:cstheme="minorHAnsi"/>
          <w:noProof/>
        </w:rPr>
        <w:t>A.</w:t>
      </w:r>
      <w:r w:rsidR="00391357">
        <w:rPr>
          <w:rFonts w:asciiTheme="minorHAnsi" w:hAnsiTheme="minorHAnsi" w:cstheme="minorHAnsi"/>
          <w:noProof/>
        </w:rPr>
        <w:t>2</w:t>
      </w:r>
      <w:r w:rsidRPr="004D2A4C">
        <w:rPr>
          <w:rFonts w:asciiTheme="minorHAnsi" w:hAnsiTheme="minorHAnsi" w:cstheme="minorHAnsi"/>
        </w:rPr>
        <w:fldChar w:fldCharType="end"/>
      </w:r>
      <w:r w:rsidRPr="004D2A4C">
        <w:rPr>
          <w:rFonts w:asciiTheme="minorHAnsi" w:hAnsiTheme="minorHAnsi" w:cstheme="minorHAnsi"/>
        </w:rP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3BF12D34"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2E600958" w14:textId="77777777" w:rsidR="00C40111" w:rsidRPr="004D2A4C" w:rsidRDefault="00C40111" w:rsidP="00C40111">
      <w:pPr>
        <w:tabs>
          <w:tab w:val="left" w:pos="4395"/>
        </w:tabs>
        <w:rPr>
          <w:rFonts w:asciiTheme="minorHAnsi" w:hAnsiTheme="minorHAnsi" w:cstheme="minorHAnsi"/>
        </w:rPr>
      </w:pPr>
      <w:r w:rsidRPr="004D2A4C">
        <w:rPr>
          <w:rFonts w:asciiTheme="minorHAnsi" w:hAnsiTheme="minorHAnsi" w:cstheme="minorHAnsi"/>
        </w:rPr>
        <w:t>importation x distribution = entry [E]</w:t>
      </w:r>
      <w:r w:rsidRPr="004D2A4C">
        <w:rPr>
          <w:rFonts w:asciiTheme="minorHAnsi" w:hAnsiTheme="minorHAnsi" w:cstheme="minorHAnsi"/>
        </w:rPr>
        <w:tab/>
      </w:r>
      <w:r w:rsidRPr="004D2A4C">
        <w:rPr>
          <w:rStyle w:val="Strong"/>
          <w:rFonts w:asciiTheme="minorHAnsi" w:hAnsiTheme="minorHAnsi" w:cstheme="minorHAnsi"/>
        </w:rPr>
        <w:t>Low x Moderate = Low</w:t>
      </w:r>
    </w:p>
    <w:p w14:paraId="35534C90" w14:textId="77777777" w:rsidR="00C40111" w:rsidRPr="004D2A4C" w:rsidRDefault="00C40111" w:rsidP="00C40111">
      <w:pPr>
        <w:tabs>
          <w:tab w:val="left" w:pos="4395"/>
        </w:tabs>
        <w:rPr>
          <w:rFonts w:asciiTheme="minorHAnsi" w:hAnsiTheme="minorHAnsi" w:cstheme="minorHAnsi"/>
        </w:rPr>
      </w:pPr>
      <w:r w:rsidRPr="004D2A4C">
        <w:rPr>
          <w:rFonts w:asciiTheme="minorHAnsi" w:hAnsiTheme="minorHAnsi" w:cstheme="minorHAnsi"/>
        </w:rPr>
        <w:t>entry x establishment = [EE]</w:t>
      </w:r>
      <w:r w:rsidRPr="004D2A4C">
        <w:rPr>
          <w:rFonts w:asciiTheme="minorHAnsi" w:hAnsiTheme="minorHAnsi" w:cstheme="minorHAnsi"/>
        </w:rPr>
        <w:tab/>
      </w:r>
      <w:r w:rsidRPr="004D2A4C">
        <w:rPr>
          <w:rStyle w:val="Strong"/>
          <w:rFonts w:asciiTheme="minorHAnsi" w:hAnsiTheme="minorHAnsi" w:cstheme="minorHAnsi"/>
        </w:rPr>
        <w:t>Low x High = Low</w:t>
      </w:r>
    </w:p>
    <w:p w14:paraId="57ACF0C0" w14:textId="77777777" w:rsidR="00C40111" w:rsidRPr="004D2A4C" w:rsidRDefault="00C40111" w:rsidP="00C40111">
      <w:pPr>
        <w:tabs>
          <w:tab w:val="left" w:pos="4395"/>
        </w:tabs>
        <w:rPr>
          <w:rStyle w:val="Strong"/>
          <w:rFonts w:asciiTheme="minorHAnsi" w:hAnsiTheme="minorHAnsi" w:cstheme="minorHAnsi"/>
        </w:rPr>
      </w:pPr>
      <w:r w:rsidRPr="004D2A4C">
        <w:rPr>
          <w:rFonts w:asciiTheme="minorHAnsi" w:hAnsiTheme="minorHAnsi" w:cstheme="minorHAnsi"/>
        </w:rPr>
        <w:t>[EE] x spread = [EES]</w:t>
      </w:r>
      <w:r w:rsidRPr="004D2A4C">
        <w:rPr>
          <w:rFonts w:asciiTheme="minorHAnsi" w:hAnsiTheme="minorHAnsi" w:cstheme="minorHAnsi"/>
        </w:rPr>
        <w:tab/>
      </w:r>
      <w:r w:rsidRPr="004D2A4C">
        <w:rPr>
          <w:rStyle w:val="Strong"/>
          <w:rFonts w:asciiTheme="minorHAnsi" w:hAnsiTheme="minorHAnsi" w:cstheme="minorHAnsi"/>
        </w:rPr>
        <w:t>Low x Very Low = Very Low</w:t>
      </w:r>
    </w:p>
    <w:p w14:paraId="209CD7AF" w14:textId="14D1FB93" w:rsidR="00C40111" w:rsidRPr="004D2A4C" w:rsidRDefault="00C40111" w:rsidP="00C40111">
      <w:pPr>
        <w:pStyle w:val="Tablecaption"/>
        <w:rPr>
          <w:rFonts w:asciiTheme="minorHAnsi" w:hAnsiTheme="minorHAnsi" w:cstheme="minorHAnsi"/>
        </w:rPr>
      </w:pPr>
      <w:bookmarkStart w:id="58" w:name="_Ref524354947"/>
      <w:bookmarkStart w:id="59" w:name="_Ref457826328"/>
      <w:bookmarkStart w:id="60" w:name="_Toc6906415"/>
      <w:bookmarkStart w:id="61" w:name="_Toc112674177"/>
      <w:bookmarkStart w:id="62" w:name="_Toc209446389"/>
      <w:r w:rsidRPr="004D2A4C">
        <w:rPr>
          <w:rFonts w:asciiTheme="minorHAnsi" w:hAnsiTheme="minorHAnsi" w:cstheme="minorHAnsi"/>
        </w:rPr>
        <w:t>Table A.</w:t>
      </w:r>
      <w:r w:rsidR="002B4E46" w:rsidRPr="004D2A4C">
        <w:rPr>
          <w:rFonts w:asciiTheme="minorHAnsi" w:hAnsiTheme="minorHAnsi" w:cstheme="minorHAnsi"/>
        </w:rPr>
        <w:fldChar w:fldCharType="begin"/>
      </w:r>
      <w:r w:rsidR="002B4E46" w:rsidRPr="004D2A4C">
        <w:rPr>
          <w:rFonts w:asciiTheme="minorHAnsi" w:hAnsiTheme="minorHAnsi" w:cstheme="minorHAnsi"/>
        </w:rPr>
        <w:instrText xml:space="preserve"> SEQ Table \* ARABIC \s 2 </w:instrText>
      </w:r>
      <w:r w:rsidR="002B4E46" w:rsidRPr="004D2A4C">
        <w:rPr>
          <w:rFonts w:asciiTheme="minorHAnsi" w:hAnsiTheme="minorHAnsi" w:cstheme="minorHAnsi"/>
        </w:rPr>
        <w:fldChar w:fldCharType="separate"/>
      </w:r>
      <w:r w:rsidR="00391357">
        <w:rPr>
          <w:rFonts w:asciiTheme="minorHAnsi" w:hAnsiTheme="minorHAnsi" w:cstheme="minorHAnsi"/>
          <w:noProof/>
        </w:rPr>
        <w:t>2</w:t>
      </w:r>
      <w:r w:rsidR="002B4E46" w:rsidRPr="004D2A4C">
        <w:rPr>
          <w:rFonts w:asciiTheme="minorHAnsi" w:hAnsiTheme="minorHAnsi" w:cstheme="minorHAnsi"/>
        </w:rPr>
        <w:fldChar w:fldCharType="end"/>
      </w:r>
      <w:bookmarkEnd w:id="58"/>
      <w:r w:rsidRPr="004D2A4C">
        <w:rPr>
          <w:rFonts w:asciiTheme="minorHAnsi" w:hAnsiTheme="minorHAnsi" w:cstheme="minorHAnsi"/>
        </w:rPr>
        <w:t xml:space="preserve"> Matrix of rules for combining likelihoods</w:t>
      </w:r>
      <w:bookmarkEnd w:id="59"/>
      <w:bookmarkEnd w:id="60"/>
      <w:bookmarkEnd w:id="61"/>
      <w:bookmarkEnd w:id="62"/>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C40111" w14:paraId="7B80AC8D" w14:textId="77777777" w:rsidTr="00205EC0">
        <w:trPr>
          <w:cantSplit/>
          <w:trHeight w:val="75"/>
        </w:trPr>
        <w:tc>
          <w:tcPr>
            <w:tcW w:w="698" w:type="pct"/>
            <w:tcBorders>
              <w:top w:val="single" w:sz="8" w:space="0" w:color="auto"/>
              <w:left w:val="single" w:sz="8" w:space="0" w:color="auto"/>
              <w:bottom w:val="nil"/>
              <w:right w:val="nil"/>
              <w:tl2br w:val="single" w:sz="4" w:space="0" w:color="C0C0C0"/>
            </w:tcBorders>
          </w:tcPr>
          <w:p w14:paraId="3C0B1790" w14:textId="77777777" w:rsidR="00C40111" w:rsidRPr="004D2A4C" w:rsidRDefault="00C40111" w:rsidP="00205EC0">
            <w:pPr>
              <w:pStyle w:val="TableText"/>
              <w:rPr>
                <w:rFonts w:asciiTheme="minorHAnsi" w:hAnsiTheme="minorHAnsi" w:cstheme="minorHAnsi"/>
              </w:rPr>
            </w:pPr>
          </w:p>
        </w:tc>
        <w:tc>
          <w:tcPr>
            <w:tcW w:w="717" w:type="pct"/>
            <w:tcBorders>
              <w:top w:val="single" w:sz="8" w:space="0" w:color="auto"/>
              <w:left w:val="nil"/>
              <w:bottom w:val="single" w:sz="8" w:space="0" w:color="C0C0C0"/>
            </w:tcBorders>
          </w:tcPr>
          <w:p w14:paraId="1093B1A1"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High</w:t>
            </w:r>
          </w:p>
        </w:tc>
        <w:tc>
          <w:tcPr>
            <w:tcW w:w="717" w:type="pct"/>
            <w:tcBorders>
              <w:top w:val="single" w:sz="8" w:space="0" w:color="auto"/>
              <w:bottom w:val="single" w:sz="8" w:space="0" w:color="C0C0C0"/>
            </w:tcBorders>
          </w:tcPr>
          <w:p w14:paraId="0D121774"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Moderate</w:t>
            </w:r>
          </w:p>
        </w:tc>
        <w:tc>
          <w:tcPr>
            <w:tcW w:w="717" w:type="pct"/>
            <w:tcBorders>
              <w:top w:val="single" w:sz="8" w:space="0" w:color="auto"/>
              <w:bottom w:val="single" w:sz="8" w:space="0" w:color="C0C0C0"/>
            </w:tcBorders>
          </w:tcPr>
          <w:p w14:paraId="0A1A65D5"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Low</w:t>
            </w:r>
          </w:p>
        </w:tc>
        <w:tc>
          <w:tcPr>
            <w:tcW w:w="717" w:type="pct"/>
            <w:tcBorders>
              <w:top w:val="single" w:sz="8" w:space="0" w:color="auto"/>
              <w:bottom w:val="single" w:sz="8" w:space="0" w:color="C0C0C0"/>
            </w:tcBorders>
          </w:tcPr>
          <w:p w14:paraId="31C141B2"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Very Low</w:t>
            </w:r>
          </w:p>
        </w:tc>
        <w:tc>
          <w:tcPr>
            <w:tcW w:w="717" w:type="pct"/>
            <w:tcBorders>
              <w:top w:val="single" w:sz="8" w:space="0" w:color="auto"/>
              <w:bottom w:val="single" w:sz="8" w:space="0" w:color="C0C0C0"/>
            </w:tcBorders>
          </w:tcPr>
          <w:p w14:paraId="5E020EAC"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Extremely Low</w:t>
            </w:r>
          </w:p>
        </w:tc>
        <w:tc>
          <w:tcPr>
            <w:tcW w:w="716" w:type="pct"/>
            <w:tcBorders>
              <w:top w:val="single" w:sz="8" w:space="0" w:color="auto"/>
              <w:bottom w:val="single" w:sz="8" w:space="0" w:color="C0C0C0"/>
              <w:right w:val="single" w:sz="8" w:space="0" w:color="auto"/>
            </w:tcBorders>
          </w:tcPr>
          <w:p w14:paraId="0FF9C17E"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Negligible</w:t>
            </w:r>
          </w:p>
        </w:tc>
      </w:tr>
      <w:tr w:rsidR="00C40111" w14:paraId="2336265A" w14:textId="77777777" w:rsidTr="00205EC0">
        <w:trPr>
          <w:cantSplit/>
        </w:trPr>
        <w:tc>
          <w:tcPr>
            <w:tcW w:w="698" w:type="pct"/>
            <w:tcBorders>
              <w:top w:val="nil"/>
              <w:left w:val="single" w:sz="8" w:space="0" w:color="auto"/>
              <w:bottom w:val="single" w:sz="8" w:space="0" w:color="C0C0C0"/>
            </w:tcBorders>
            <w:vAlign w:val="center"/>
          </w:tcPr>
          <w:p w14:paraId="12689CC1"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High</w:t>
            </w:r>
          </w:p>
        </w:tc>
        <w:tc>
          <w:tcPr>
            <w:tcW w:w="717" w:type="pct"/>
            <w:tcBorders>
              <w:top w:val="single" w:sz="8" w:space="0" w:color="C0C0C0"/>
              <w:bottom w:val="single" w:sz="8" w:space="0" w:color="C0C0C0"/>
            </w:tcBorders>
            <w:shd w:val="clear" w:color="auto" w:fill="FF99CC"/>
            <w:vAlign w:val="center"/>
          </w:tcPr>
          <w:p w14:paraId="52525195"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High</w:t>
            </w:r>
          </w:p>
        </w:tc>
        <w:tc>
          <w:tcPr>
            <w:tcW w:w="717" w:type="pct"/>
            <w:tcBorders>
              <w:top w:val="single" w:sz="8" w:space="0" w:color="C0C0C0"/>
            </w:tcBorders>
            <w:shd w:val="clear" w:color="auto" w:fill="FFCC99"/>
            <w:vAlign w:val="center"/>
          </w:tcPr>
          <w:p w14:paraId="3B10A72F"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Moderate</w:t>
            </w:r>
          </w:p>
        </w:tc>
        <w:tc>
          <w:tcPr>
            <w:tcW w:w="717" w:type="pct"/>
            <w:tcBorders>
              <w:top w:val="single" w:sz="8" w:space="0" w:color="C0C0C0"/>
            </w:tcBorders>
            <w:shd w:val="clear" w:color="auto" w:fill="FFFF99"/>
            <w:vAlign w:val="center"/>
          </w:tcPr>
          <w:p w14:paraId="08EA78B0"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Low</w:t>
            </w:r>
          </w:p>
        </w:tc>
        <w:tc>
          <w:tcPr>
            <w:tcW w:w="717" w:type="pct"/>
            <w:tcBorders>
              <w:top w:val="single" w:sz="8" w:space="0" w:color="C0C0C0"/>
            </w:tcBorders>
            <w:shd w:val="clear" w:color="auto" w:fill="CCFFCC"/>
            <w:vAlign w:val="center"/>
          </w:tcPr>
          <w:p w14:paraId="2624BDC6"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Very Low</w:t>
            </w:r>
          </w:p>
        </w:tc>
        <w:tc>
          <w:tcPr>
            <w:tcW w:w="717" w:type="pct"/>
            <w:tcBorders>
              <w:top w:val="single" w:sz="8" w:space="0" w:color="C0C0C0"/>
            </w:tcBorders>
            <w:shd w:val="clear" w:color="auto" w:fill="CCFFFF"/>
            <w:vAlign w:val="center"/>
          </w:tcPr>
          <w:p w14:paraId="6A91137E"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5AA5BC50" w14:textId="77777777" w:rsidR="00C40111" w:rsidRPr="004D2A4C" w:rsidRDefault="00C40111" w:rsidP="00205EC0">
            <w:pPr>
              <w:pStyle w:val="TableText"/>
              <w:rPr>
                <w:rFonts w:asciiTheme="minorHAnsi" w:hAnsiTheme="minorHAnsi" w:cstheme="minorHAnsi"/>
                <w:snapToGrid w:val="0"/>
                <w:szCs w:val="18"/>
              </w:rPr>
            </w:pPr>
            <w:r w:rsidRPr="004D2A4C">
              <w:rPr>
                <w:rFonts w:asciiTheme="minorHAnsi" w:hAnsiTheme="minorHAnsi" w:cstheme="minorHAnsi"/>
                <w:snapToGrid w:val="0"/>
                <w:szCs w:val="18"/>
              </w:rPr>
              <w:t>Negligible</w:t>
            </w:r>
          </w:p>
        </w:tc>
      </w:tr>
      <w:tr w:rsidR="00C40111" w14:paraId="6D057694"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6F6A03A3"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Moderate</w:t>
            </w:r>
          </w:p>
        </w:tc>
        <w:tc>
          <w:tcPr>
            <w:tcW w:w="717" w:type="pct"/>
            <w:tcBorders>
              <w:top w:val="single" w:sz="8" w:space="0" w:color="C0C0C0"/>
              <w:left w:val="nil"/>
              <w:bottom w:val="single" w:sz="8" w:space="0" w:color="C0C0C0"/>
            </w:tcBorders>
            <w:vAlign w:val="center"/>
          </w:tcPr>
          <w:p w14:paraId="511A8637"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bottom w:val="single" w:sz="8" w:space="0" w:color="C0C0C0"/>
            </w:tcBorders>
            <w:shd w:val="clear" w:color="auto" w:fill="FFFF99"/>
            <w:vAlign w:val="center"/>
          </w:tcPr>
          <w:p w14:paraId="019BCB85"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Low</w:t>
            </w:r>
          </w:p>
        </w:tc>
        <w:tc>
          <w:tcPr>
            <w:tcW w:w="717" w:type="pct"/>
            <w:shd w:val="clear" w:color="auto" w:fill="FFFF99"/>
            <w:vAlign w:val="center"/>
          </w:tcPr>
          <w:p w14:paraId="50DB5122"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Low</w:t>
            </w:r>
          </w:p>
        </w:tc>
        <w:tc>
          <w:tcPr>
            <w:tcW w:w="717" w:type="pct"/>
            <w:shd w:val="clear" w:color="auto" w:fill="CCFFCC"/>
            <w:vAlign w:val="center"/>
          </w:tcPr>
          <w:p w14:paraId="08C45874"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Very Low</w:t>
            </w:r>
          </w:p>
        </w:tc>
        <w:tc>
          <w:tcPr>
            <w:tcW w:w="717" w:type="pct"/>
            <w:shd w:val="clear" w:color="auto" w:fill="CCFFFF"/>
            <w:vAlign w:val="center"/>
          </w:tcPr>
          <w:p w14:paraId="6F820393"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69D00966" w14:textId="77777777" w:rsidR="00C40111" w:rsidRPr="004D2A4C" w:rsidRDefault="00C40111" w:rsidP="00205EC0">
            <w:pPr>
              <w:pStyle w:val="TableText"/>
              <w:rPr>
                <w:rFonts w:asciiTheme="minorHAnsi" w:hAnsiTheme="minorHAnsi" w:cstheme="minorHAnsi"/>
                <w:snapToGrid w:val="0"/>
                <w:szCs w:val="18"/>
              </w:rPr>
            </w:pPr>
            <w:r w:rsidRPr="004D2A4C">
              <w:rPr>
                <w:rFonts w:asciiTheme="minorHAnsi" w:hAnsiTheme="minorHAnsi" w:cstheme="minorHAnsi"/>
                <w:snapToGrid w:val="0"/>
                <w:szCs w:val="18"/>
              </w:rPr>
              <w:t>Negligible</w:t>
            </w:r>
          </w:p>
        </w:tc>
      </w:tr>
      <w:tr w:rsidR="00C40111" w14:paraId="0503A414"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05A2F485"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Low</w:t>
            </w:r>
          </w:p>
        </w:tc>
        <w:tc>
          <w:tcPr>
            <w:tcW w:w="717" w:type="pct"/>
            <w:tcBorders>
              <w:top w:val="single" w:sz="8" w:space="0" w:color="C0C0C0"/>
              <w:left w:val="nil"/>
              <w:bottom w:val="single" w:sz="8" w:space="0" w:color="C0C0C0"/>
              <w:right w:val="nil"/>
            </w:tcBorders>
            <w:vAlign w:val="center"/>
          </w:tcPr>
          <w:p w14:paraId="578B4365"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14A5528F"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bottom w:val="single" w:sz="8" w:space="0" w:color="C0C0C0"/>
            </w:tcBorders>
            <w:shd w:val="clear" w:color="auto" w:fill="CCFFCC"/>
            <w:vAlign w:val="center"/>
          </w:tcPr>
          <w:p w14:paraId="255CFBC3"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Very Low</w:t>
            </w:r>
          </w:p>
        </w:tc>
        <w:tc>
          <w:tcPr>
            <w:tcW w:w="717" w:type="pct"/>
            <w:shd w:val="clear" w:color="auto" w:fill="CCFFCC"/>
            <w:vAlign w:val="center"/>
          </w:tcPr>
          <w:p w14:paraId="7B332A13"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Very Low</w:t>
            </w:r>
          </w:p>
        </w:tc>
        <w:tc>
          <w:tcPr>
            <w:tcW w:w="717" w:type="pct"/>
            <w:shd w:val="clear" w:color="auto" w:fill="CCFFFF"/>
            <w:vAlign w:val="center"/>
          </w:tcPr>
          <w:p w14:paraId="74E20A9E"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1EBE4902" w14:textId="77777777" w:rsidR="00C40111" w:rsidRPr="004D2A4C" w:rsidRDefault="00C40111" w:rsidP="00205EC0">
            <w:pPr>
              <w:pStyle w:val="TableText"/>
              <w:rPr>
                <w:rFonts w:asciiTheme="minorHAnsi" w:hAnsiTheme="minorHAnsi" w:cstheme="minorHAnsi"/>
                <w:snapToGrid w:val="0"/>
                <w:szCs w:val="18"/>
              </w:rPr>
            </w:pPr>
            <w:r w:rsidRPr="004D2A4C">
              <w:rPr>
                <w:rFonts w:asciiTheme="minorHAnsi" w:hAnsiTheme="minorHAnsi" w:cstheme="minorHAnsi"/>
                <w:snapToGrid w:val="0"/>
                <w:szCs w:val="18"/>
              </w:rPr>
              <w:t>Negligible</w:t>
            </w:r>
          </w:p>
        </w:tc>
      </w:tr>
      <w:tr w:rsidR="00C40111" w14:paraId="14E7EBA2"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77BA3847"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Very Low</w:t>
            </w:r>
          </w:p>
        </w:tc>
        <w:tc>
          <w:tcPr>
            <w:tcW w:w="717" w:type="pct"/>
            <w:tcBorders>
              <w:top w:val="single" w:sz="8" w:space="0" w:color="C0C0C0"/>
              <w:left w:val="nil"/>
              <w:bottom w:val="single" w:sz="8" w:space="0" w:color="C0C0C0"/>
              <w:right w:val="nil"/>
            </w:tcBorders>
            <w:vAlign w:val="center"/>
          </w:tcPr>
          <w:p w14:paraId="3E0DF1A8"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37FC893B"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6E29760C"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bottom w:val="single" w:sz="8" w:space="0" w:color="C0C0C0"/>
            </w:tcBorders>
            <w:shd w:val="clear" w:color="auto" w:fill="CCFFFF"/>
            <w:vAlign w:val="center"/>
          </w:tcPr>
          <w:p w14:paraId="47A28D7D"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Extremely Low</w:t>
            </w:r>
          </w:p>
        </w:tc>
        <w:tc>
          <w:tcPr>
            <w:tcW w:w="717" w:type="pct"/>
            <w:shd w:val="clear" w:color="auto" w:fill="CCFFFF"/>
            <w:vAlign w:val="center"/>
          </w:tcPr>
          <w:p w14:paraId="421ADA3D"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1B332A3B" w14:textId="77777777" w:rsidR="00C40111" w:rsidRPr="004D2A4C" w:rsidRDefault="00C40111" w:rsidP="00205EC0">
            <w:pPr>
              <w:pStyle w:val="TableText"/>
              <w:rPr>
                <w:rFonts w:asciiTheme="minorHAnsi" w:hAnsiTheme="minorHAnsi" w:cstheme="minorHAnsi"/>
                <w:snapToGrid w:val="0"/>
                <w:szCs w:val="18"/>
              </w:rPr>
            </w:pPr>
            <w:r w:rsidRPr="004D2A4C">
              <w:rPr>
                <w:rFonts w:asciiTheme="minorHAnsi" w:hAnsiTheme="minorHAnsi" w:cstheme="minorHAnsi"/>
                <w:snapToGrid w:val="0"/>
                <w:szCs w:val="18"/>
              </w:rPr>
              <w:t>Negligible</w:t>
            </w:r>
          </w:p>
        </w:tc>
      </w:tr>
      <w:tr w:rsidR="00C40111" w14:paraId="2054ACE7"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2047634C"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Extremely Low</w:t>
            </w:r>
          </w:p>
        </w:tc>
        <w:tc>
          <w:tcPr>
            <w:tcW w:w="717" w:type="pct"/>
            <w:tcBorders>
              <w:top w:val="single" w:sz="8" w:space="0" w:color="C0C0C0"/>
              <w:left w:val="nil"/>
              <w:bottom w:val="single" w:sz="8" w:space="0" w:color="C0C0C0"/>
              <w:right w:val="nil"/>
            </w:tcBorders>
            <w:vAlign w:val="center"/>
          </w:tcPr>
          <w:p w14:paraId="6DB90BFC"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6F0DB748"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7C3D455B"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559AAC2B"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bottom w:val="single" w:sz="8" w:space="0" w:color="C0C0C0"/>
            </w:tcBorders>
            <w:shd w:val="clear" w:color="auto" w:fill="F2F2F2" w:themeFill="background1" w:themeFillShade="F2"/>
            <w:vAlign w:val="center"/>
          </w:tcPr>
          <w:p w14:paraId="29CBCE0E" w14:textId="77777777" w:rsidR="00C40111" w:rsidRPr="004D2A4C" w:rsidRDefault="00C40111" w:rsidP="00205EC0">
            <w:pPr>
              <w:pStyle w:val="TableText"/>
              <w:rPr>
                <w:rFonts w:asciiTheme="minorHAnsi" w:hAnsiTheme="minorHAnsi" w:cstheme="minorHAnsi"/>
                <w:snapToGrid w:val="0"/>
              </w:rPr>
            </w:pPr>
            <w:r w:rsidRPr="004D2A4C">
              <w:rPr>
                <w:rFonts w:asciiTheme="minorHAnsi" w:hAnsiTheme="minorHAnsi" w:cstheme="minorHAnsi"/>
                <w:snapToGrid w:val="0"/>
              </w:rPr>
              <w:t>Negligible</w:t>
            </w:r>
          </w:p>
        </w:tc>
        <w:tc>
          <w:tcPr>
            <w:tcW w:w="716" w:type="pct"/>
            <w:tcBorders>
              <w:right w:val="single" w:sz="8" w:space="0" w:color="auto"/>
            </w:tcBorders>
            <w:shd w:val="clear" w:color="auto" w:fill="F2F2F2" w:themeFill="background1" w:themeFillShade="F2"/>
            <w:vAlign w:val="center"/>
          </w:tcPr>
          <w:p w14:paraId="0AACC029" w14:textId="77777777" w:rsidR="00C40111" w:rsidRPr="004D2A4C" w:rsidRDefault="00C40111" w:rsidP="00205EC0">
            <w:pPr>
              <w:pStyle w:val="TableText"/>
              <w:rPr>
                <w:rFonts w:asciiTheme="minorHAnsi" w:hAnsiTheme="minorHAnsi" w:cstheme="minorHAnsi"/>
                <w:snapToGrid w:val="0"/>
                <w:szCs w:val="18"/>
              </w:rPr>
            </w:pPr>
            <w:r w:rsidRPr="004D2A4C">
              <w:rPr>
                <w:rFonts w:asciiTheme="minorHAnsi" w:hAnsiTheme="minorHAnsi" w:cstheme="minorHAnsi"/>
                <w:snapToGrid w:val="0"/>
                <w:szCs w:val="18"/>
              </w:rPr>
              <w:t>Negligible</w:t>
            </w:r>
          </w:p>
        </w:tc>
      </w:tr>
      <w:tr w:rsidR="00C40111" w14:paraId="79A9F7AE" w14:textId="77777777" w:rsidTr="00205EC0">
        <w:trPr>
          <w:cantSplit/>
        </w:trPr>
        <w:tc>
          <w:tcPr>
            <w:tcW w:w="698" w:type="pct"/>
            <w:tcBorders>
              <w:top w:val="single" w:sz="8" w:space="0" w:color="C0C0C0"/>
              <w:left w:val="single" w:sz="8" w:space="0" w:color="auto"/>
              <w:bottom w:val="single" w:sz="8" w:space="0" w:color="auto"/>
              <w:right w:val="nil"/>
            </w:tcBorders>
            <w:vAlign w:val="center"/>
          </w:tcPr>
          <w:p w14:paraId="6B79E2BF"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Negligible</w:t>
            </w:r>
          </w:p>
        </w:tc>
        <w:tc>
          <w:tcPr>
            <w:tcW w:w="717" w:type="pct"/>
            <w:tcBorders>
              <w:top w:val="single" w:sz="8" w:space="0" w:color="C0C0C0"/>
              <w:left w:val="nil"/>
              <w:bottom w:val="single" w:sz="8" w:space="0" w:color="auto"/>
              <w:right w:val="nil"/>
            </w:tcBorders>
            <w:vAlign w:val="center"/>
          </w:tcPr>
          <w:p w14:paraId="3DFCA881"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20D94517"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4A3C503B"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06DECF37"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auto"/>
            </w:tcBorders>
            <w:vAlign w:val="center"/>
          </w:tcPr>
          <w:p w14:paraId="2CC0140C"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w:t>
            </w:r>
          </w:p>
        </w:tc>
        <w:tc>
          <w:tcPr>
            <w:tcW w:w="716" w:type="pct"/>
            <w:tcBorders>
              <w:bottom w:val="single" w:sz="8" w:space="0" w:color="auto"/>
              <w:right w:val="single" w:sz="8" w:space="0" w:color="auto"/>
            </w:tcBorders>
            <w:shd w:val="clear" w:color="auto" w:fill="F2F2F2" w:themeFill="background1" w:themeFillShade="F2"/>
            <w:vAlign w:val="center"/>
          </w:tcPr>
          <w:p w14:paraId="5FCDEA7F" w14:textId="77777777" w:rsidR="00C40111" w:rsidRPr="004D2A4C" w:rsidRDefault="00C40111" w:rsidP="00205EC0">
            <w:pPr>
              <w:pStyle w:val="TableText"/>
              <w:rPr>
                <w:rFonts w:asciiTheme="minorHAnsi" w:hAnsiTheme="minorHAnsi" w:cstheme="minorHAnsi"/>
                <w:szCs w:val="18"/>
              </w:rPr>
            </w:pPr>
            <w:r w:rsidRPr="004D2A4C">
              <w:rPr>
                <w:rFonts w:asciiTheme="minorHAnsi" w:hAnsiTheme="minorHAnsi" w:cstheme="minorHAnsi"/>
                <w:snapToGrid w:val="0"/>
                <w:szCs w:val="18"/>
              </w:rPr>
              <w:t>Negligible</w:t>
            </w:r>
          </w:p>
        </w:tc>
      </w:tr>
    </w:tbl>
    <w:p w14:paraId="088FBD7C" w14:textId="77777777" w:rsidR="00C40111" w:rsidRDefault="00C40111" w:rsidP="00C40111">
      <w:pPr>
        <w:pStyle w:val="Heading5"/>
      </w:pPr>
      <w:r>
        <w:t>Time and volume of trade</w:t>
      </w:r>
    </w:p>
    <w:p w14:paraId="0D64E77C"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One factor affecting the likelihood of entry is the volume and duration of trade. If all other conditions remain the same, the overall likelihood of entry will increase as time passes and the overall volume of trade increases.</w:t>
      </w:r>
    </w:p>
    <w:p w14:paraId="731144AE"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The department normally considers the likelihood of entry </w:t>
      </w:r>
      <w:proofErr w:type="gramStart"/>
      <w:r w:rsidRPr="004D2A4C">
        <w:rPr>
          <w:rFonts w:asciiTheme="minorHAnsi" w:hAnsiTheme="minorHAnsi" w:cstheme="minorHAnsi"/>
        </w:rPr>
        <w:t>on the basis of</w:t>
      </w:r>
      <w:proofErr w:type="gramEnd"/>
      <w:r w:rsidRPr="004D2A4C">
        <w:rPr>
          <w:rFonts w:asciiTheme="minorHAnsi" w:hAnsiTheme="minorHAnsi" w:cstheme="minorHAnsi"/>
        </w:rPr>
        <w:t xml:space="preserve"> the estimated volume of one year’s trade. This is a convenient value for the analysis that is relatively easy to estimate and allows for expert consideration of seasonal variations in pest presence, incidence and behaviour to be </w:t>
      </w:r>
      <w:proofErr w:type="gramStart"/>
      <w:r w:rsidRPr="004D2A4C">
        <w:rPr>
          <w:rFonts w:asciiTheme="minorHAnsi" w:hAnsiTheme="minorHAnsi" w:cstheme="minorHAnsi"/>
        </w:rPr>
        <w:t>taken into account</w:t>
      </w:r>
      <w:proofErr w:type="gramEnd"/>
      <w:r w:rsidRPr="004D2A4C">
        <w:rPr>
          <w:rFonts w:asciiTheme="minorHAnsi" w:hAnsiTheme="minorHAnsi" w:cstheme="minorHAnsi"/>
        </w:rPr>
        <w:t xml:space="preserve">. The consideration of the likelihood of entry, establishment and spread and subsequent consequences </w:t>
      </w:r>
      <w:proofErr w:type="gramStart"/>
      <w:r w:rsidRPr="004D2A4C">
        <w:rPr>
          <w:rFonts w:asciiTheme="minorHAnsi" w:hAnsiTheme="minorHAnsi" w:cstheme="minorHAnsi"/>
        </w:rPr>
        <w:t>takes into account</w:t>
      </w:r>
      <w:proofErr w:type="gramEnd"/>
      <w:r w:rsidRPr="004D2A4C">
        <w:rPr>
          <w:rFonts w:asciiTheme="minorHAnsi" w:hAnsiTheme="minorHAnsi" w:cstheme="minorHAnsi"/>
        </w:rPr>
        <w:t xml:space="preserve"> events that might happen over </w:t>
      </w:r>
      <w:proofErr w:type="gramStart"/>
      <w:r w:rsidRPr="004D2A4C">
        <w:rPr>
          <w:rFonts w:asciiTheme="minorHAnsi" w:hAnsiTheme="minorHAnsi" w:cstheme="minorHAnsi"/>
        </w:rPr>
        <w:t>a number of</w:t>
      </w:r>
      <w:proofErr w:type="gramEnd"/>
      <w:r w:rsidRPr="004D2A4C">
        <w:rPr>
          <w:rFonts w:asciiTheme="minorHAnsi" w:hAnsiTheme="minorHAnsi" w:cstheme="minorHAnsi"/>
        </w:rPr>
        <w:t xml:space="preserve"> years even though only one year’s volume of trade is being considered. This difference reflects biological and </w:t>
      </w:r>
      <w:r w:rsidRPr="004D2A4C">
        <w:rPr>
          <w:rFonts w:asciiTheme="minorHAnsi" w:hAnsiTheme="minorHAnsi" w:cstheme="minorHAnsi"/>
        </w:rPr>
        <w:lastRenderedPageBreak/>
        <w:t>ecological facts, for example where a pest or disease may establish in the year of import but spread may take many years.</w:t>
      </w:r>
    </w:p>
    <w:p w14:paraId="7884AFBC" w14:textId="77777777" w:rsidR="00C40111" w:rsidRDefault="00C40111" w:rsidP="00C40111">
      <w:r w:rsidRPr="004D2A4C">
        <w:rPr>
          <w:rFonts w:asciiTheme="minorHAnsi" w:hAnsiTheme="minorHAnsi" w:cstheme="minorHAnsi"/>
        </w:rPr>
        <w:t xml:space="preserve">The use of a </w:t>
      </w:r>
      <w:proofErr w:type="gramStart"/>
      <w:r w:rsidRPr="004D2A4C">
        <w:rPr>
          <w:rFonts w:asciiTheme="minorHAnsi" w:hAnsiTheme="minorHAnsi" w:cstheme="minorHAnsi"/>
        </w:rPr>
        <w:t>one year</w:t>
      </w:r>
      <w:proofErr w:type="gramEnd"/>
      <w:r w:rsidRPr="004D2A4C">
        <w:rPr>
          <w:rFonts w:asciiTheme="minorHAnsi" w:hAnsiTheme="minorHAnsi" w:cstheme="minorHAnsi"/>
        </w:rPr>
        <w:t xml:space="preserve"> volume of trade has been </w:t>
      </w:r>
      <w:proofErr w:type="gramStart"/>
      <w:r w:rsidRPr="004D2A4C">
        <w:rPr>
          <w:rFonts w:asciiTheme="minorHAnsi" w:hAnsiTheme="minorHAnsi" w:cstheme="minorHAnsi"/>
        </w:rPr>
        <w:t>taken into account</w:t>
      </w:r>
      <w:proofErr w:type="gramEnd"/>
      <w:r w:rsidRPr="004D2A4C">
        <w:rPr>
          <w:rFonts w:asciiTheme="minorHAnsi" w:hAnsiTheme="minorHAnsi" w:cstheme="minorHAnsi"/>
        </w:rPr>
        <w:t xml:space="preserve">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387C8B99" w14:textId="77777777" w:rsidR="00C40111" w:rsidRDefault="00C40111" w:rsidP="00F85722">
      <w:pPr>
        <w:pStyle w:val="Heading4-Appendix"/>
        <w:numPr>
          <w:ilvl w:val="0"/>
          <w:numId w:val="4"/>
        </w:numPr>
        <w:tabs>
          <w:tab w:val="num" w:pos="720"/>
        </w:tabs>
      </w:pPr>
      <w:r>
        <w:t>Assessment of potential consequences</w:t>
      </w:r>
    </w:p>
    <w:p w14:paraId="1D043A5C" w14:textId="77777777" w:rsidR="00C40111" w:rsidRPr="004D2A4C" w:rsidRDefault="00C40111" w:rsidP="00C40111">
      <w:pPr>
        <w:rPr>
          <w:rFonts w:asciiTheme="minorHAnsi" w:hAnsiTheme="minorHAnsi" w:cstheme="minorHAnsi"/>
          <w:color w:val="000000" w:themeColor="text1"/>
        </w:rPr>
      </w:pPr>
      <w:r w:rsidRPr="004D2A4C">
        <w:rPr>
          <w:rFonts w:asciiTheme="minorHAnsi" w:hAnsiTheme="minorHAnsi" w:cstheme="minorHAnsi"/>
          <w:color w:val="000000" w:themeColor="text1"/>
        </w:rPr>
        <w:t xml:space="preserve">In estimating the potential consequences of a pest if the pest were to enter, establish and spread in Australia, the department uses a 2-step process. In the first step, a qualitative descriptor of the impact is assigned to each of the direct and indirect criteria in terms of the </w:t>
      </w:r>
      <w:r w:rsidRPr="004D2A4C">
        <w:rPr>
          <w:rStyle w:val="Emphasis"/>
          <w:rFonts w:asciiTheme="minorHAnsi" w:hAnsiTheme="minorHAnsi" w:cstheme="minorHAnsi"/>
          <w:color w:val="000000" w:themeColor="text1"/>
        </w:rPr>
        <w:t>level of impact</w:t>
      </w:r>
      <w:r w:rsidRPr="004D2A4C">
        <w:rPr>
          <w:rFonts w:asciiTheme="minorHAnsi" w:hAnsiTheme="minorHAnsi" w:cstheme="minorHAnsi"/>
          <w:color w:val="000000" w:themeColor="text1"/>
        </w:rPr>
        <w:t xml:space="preserve"> and the </w:t>
      </w:r>
      <w:r w:rsidRPr="004D2A4C">
        <w:rPr>
          <w:rStyle w:val="Emphasis"/>
          <w:rFonts w:asciiTheme="minorHAnsi" w:hAnsiTheme="minorHAnsi" w:cstheme="minorHAnsi"/>
          <w:color w:val="000000" w:themeColor="text1"/>
        </w:rPr>
        <w:t>magnitude of impact</w:t>
      </w:r>
      <w:r w:rsidRPr="004D2A4C">
        <w:rPr>
          <w:rFonts w:asciiTheme="minorHAnsi" w:hAnsiTheme="minorHAnsi" w:cstheme="minorHAnsi"/>
          <w:color w:val="000000" w:themeColor="text1"/>
        </w:rPr>
        <w:t>. The second step involves combining the impacts for each of the criteria to obtain an ‘overall consequences’ estimation.</w:t>
      </w:r>
    </w:p>
    <w:p w14:paraId="463FA3BA" w14:textId="77777777" w:rsidR="00C40111" w:rsidRPr="004D2A4C" w:rsidRDefault="00C40111" w:rsidP="00C40111">
      <w:pPr>
        <w:rPr>
          <w:rFonts w:asciiTheme="minorHAnsi" w:hAnsiTheme="minorHAnsi" w:cstheme="minorHAnsi"/>
          <w:b/>
          <w:bCs/>
        </w:rPr>
      </w:pPr>
      <w:r w:rsidRPr="004D2A4C">
        <w:rPr>
          <w:rStyle w:val="Strong"/>
          <w:rFonts w:asciiTheme="minorHAnsi" w:hAnsiTheme="minorHAnsi" w:cstheme="minorHAnsi"/>
        </w:rPr>
        <w:t>Step 1: Assessing direct and indirect impacts</w:t>
      </w:r>
    </w:p>
    <w:p w14:paraId="1278FB47"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Direct pest impacts are considered in the context of the impacts on:</w:t>
      </w:r>
    </w:p>
    <w:p w14:paraId="464C8B10" w14:textId="77777777" w:rsidR="00C40111" w:rsidRPr="004D2A4C" w:rsidRDefault="00C40111" w:rsidP="00C40111">
      <w:pPr>
        <w:pStyle w:val="ListBullet"/>
        <w:rPr>
          <w:rFonts w:asciiTheme="minorHAnsi" w:hAnsiTheme="minorHAnsi" w:cstheme="minorHAnsi"/>
        </w:rPr>
      </w:pPr>
      <w:bookmarkStart w:id="63" w:name="_Ref524354990"/>
      <w:bookmarkStart w:id="64" w:name="_Toc6906416"/>
      <w:r w:rsidRPr="004D2A4C">
        <w:rPr>
          <w:rFonts w:asciiTheme="minorHAnsi" w:hAnsiTheme="minorHAnsi" w:cstheme="minorHAnsi"/>
        </w:rPr>
        <w:t>the life or health of plants and plant products</w:t>
      </w:r>
    </w:p>
    <w:p w14:paraId="017FCE77" w14:textId="77777777" w:rsidR="00C40111" w:rsidRPr="004D2A4C" w:rsidRDefault="00C40111" w:rsidP="00C40111">
      <w:pPr>
        <w:pStyle w:val="ListBullet"/>
        <w:numPr>
          <w:ilvl w:val="0"/>
          <w:numId w:val="0"/>
        </w:numPr>
        <w:ind w:left="397"/>
        <w:rPr>
          <w:rFonts w:asciiTheme="minorHAnsi" w:hAnsiTheme="minorHAnsi" w:cstheme="minorHAnsi"/>
        </w:rPr>
      </w:pPr>
      <w:r w:rsidRPr="004D2A4C">
        <w:rPr>
          <w:rFonts w:asciiTheme="minorHAnsi" w:hAnsiTheme="minorHAnsi" w:cstheme="minorHAnsi"/>
        </w:rPr>
        <w:t>This may include pest impacts on the life or health of the plants and production effects (yield or quality) either at harvest or during storage.</w:t>
      </w:r>
    </w:p>
    <w:p w14:paraId="1F20630E" w14:textId="77777777" w:rsidR="00C40111" w:rsidRPr="004D2A4C" w:rsidRDefault="00C40111" w:rsidP="00F85722">
      <w:pPr>
        <w:pStyle w:val="ListBullet2"/>
        <w:numPr>
          <w:ilvl w:val="1"/>
          <w:numId w:val="1"/>
        </w:numPr>
        <w:tabs>
          <w:tab w:val="clear" w:pos="643"/>
          <w:tab w:val="num" w:pos="794"/>
        </w:tabs>
        <w:ind w:left="794" w:hanging="397"/>
        <w:rPr>
          <w:rFonts w:asciiTheme="minorHAnsi" w:hAnsiTheme="minorHAnsi" w:cstheme="minorHAnsi"/>
        </w:rPr>
      </w:pPr>
      <w:r w:rsidRPr="004D2A4C">
        <w:rPr>
          <w:rFonts w:asciiTheme="minorHAnsi" w:hAnsiTheme="minorHAnsi" w:cstheme="minorHAnsi"/>
        </w:rPr>
        <w:t>Where applicable, pest impacts on the life or health of humans or of animals and animal products may also be considered.</w:t>
      </w:r>
    </w:p>
    <w:p w14:paraId="3884CFED" w14:textId="77777777" w:rsidR="00C40111" w:rsidRPr="004D2A4C" w:rsidRDefault="00C40111" w:rsidP="00C40111">
      <w:pPr>
        <w:pStyle w:val="ListBullet"/>
        <w:rPr>
          <w:rFonts w:asciiTheme="minorHAnsi" w:hAnsiTheme="minorHAnsi" w:cstheme="minorHAnsi"/>
        </w:rPr>
      </w:pPr>
      <w:r w:rsidRPr="004D2A4C">
        <w:rPr>
          <w:rFonts w:asciiTheme="minorHAnsi" w:hAnsiTheme="minorHAnsi" w:cstheme="minorHAnsi"/>
        </w:rPr>
        <w:t>other aspects of the environment.</w:t>
      </w:r>
    </w:p>
    <w:p w14:paraId="5A299325"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Indirect pest </w:t>
      </w:r>
      <w:r w:rsidRPr="004D2A4C">
        <w:rPr>
          <w:rFonts w:asciiTheme="minorHAnsi" w:hAnsiTheme="minorHAnsi" w:cstheme="minorHAnsi"/>
          <w:color w:val="000000" w:themeColor="text1"/>
        </w:rPr>
        <w:t>impacts</w:t>
      </w:r>
      <w:r w:rsidRPr="004D2A4C">
        <w:rPr>
          <w:rFonts w:asciiTheme="minorHAnsi" w:hAnsiTheme="minorHAnsi" w:cstheme="minorHAnsi"/>
        </w:rPr>
        <w:t xml:space="preserve"> are considered in the context of the </w:t>
      </w:r>
      <w:r w:rsidRPr="004D2A4C">
        <w:rPr>
          <w:rFonts w:asciiTheme="minorHAnsi" w:hAnsiTheme="minorHAnsi" w:cstheme="minorHAnsi"/>
          <w:color w:val="000000" w:themeColor="text1"/>
        </w:rPr>
        <w:t>impacts</w:t>
      </w:r>
      <w:r w:rsidRPr="004D2A4C">
        <w:rPr>
          <w:rFonts w:asciiTheme="minorHAnsi" w:hAnsiTheme="minorHAnsi" w:cstheme="minorHAnsi"/>
        </w:rPr>
        <w:t xml:space="preserve"> on:</w:t>
      </w:r>
    </w:p>
    <w:p w14:paraId="07FEE516"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color w:val="000000" w:themeColor="text1"/>
        </w:rPr>
        <w:t>eradication and control</w:t>
      </w:r>
    </w:p>
    <w:p w14:paraId="58A72D05" w14:textId="77777777" w:rsidR="00C40111" w:rsidRPr="004D2A4C" w:rsidRDefault="00C40111" w:rsidP="00C40111">
      <w:pPr>
        <w:pStyle w:val="ListBullet"/>
        <w:numPr>
          <w:ilvl w:val="0"/>
          <w:numId w:val="0"/>
        </w:numPr>
        <w:ind w:left="397"/>
        <w:rPr>
          <w:rFonts w:asciiTheme="minorHAnsi" w:hAnsiTheme="minorHAnsi" w:cstheme="minorHAnsi"/>
          <w:color w:val="000000" w:themeColor="text1"/>
        </w:rPr>
      </w:pPr>
      <w:r w:rsidRPr="004D2A4C">
        <w:rPr>
          <w:rFonts w:asciiTheme="minorHAnsi" w:hAnsiTheme="minorHAnsi" w:cstheme="minorHAnsi"/>
          <w:color w:val="000000" w:themeColor="text1"/>
        </w:rPr>
        <w:t xml:space="preserve">This may include pest impacts on new or modified </w:t>
      </w:r>
      <w:r w:rsidRPr="004D2A4C">
        <w:rPr>
          <w:rFonts w:asciiTheme="minorHAnsi" w:hAnsiTheme="minorHAnsi" w:cstheme="minorHAnsi"/>
        </w:rPr>
        <w:t>eradication, control</w:t>
      </w:r>
      <w:r w:rsidRPr="004D2A4C">
        <w:rPr>
          <w:rFonts w:asciiTheme="minorHAnsi" w:hAnsiTheme="minorHAnsi" w:cstheme="minorHAnsi"/>
          <w:color w:val="000000" w:themeColor="text1"/>
        </w:rPr>
        <w:t>, surveillance or monitoring and compensation strategies or programs.</w:t>
      </w:r>
    </w:p>
    <w:p w14:paraId="20770338"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rPr>
        <w:t>domestic trade</w:t>
      </w:r>
    </w:p>
    <w:p w14:paraId="10C32C20" w14:textId="77777777" w:rsidR="00C40111" w:rsidRPr="004D2A4C" w:rsidRDefault="00C40111" w:rsidP="00C40111">
      <w:pPr>
        <w:pStyle w:val="ListBullet"/>
        <w:numPr>
          <w:ilvl w:val="0"/>
          <w:numId w:val="0"/>
        </w:numPr>
        <w:ind w:left="397"/>
        <w:rPr>
          <w:rFonts w:asciiTheme="minorHAnsi" w:hAnsiTheme="minorHAnsi" w:cstheme="minorHAnsi"/>
          <w:color w:val="000000" w:themeColor="text1"/>
        </w:rPr>
      </w:pPr>
      <w:r w:rsidRPr="004D2A4C">
        <w:rPr>
          <w:rFonts w:asciiTheme="minorHAnsi" w:hAnsiTheme="minorHAnsi" w:cstheme="minorHAnsi"/>
          <w:color w:val="000000" w:themeColor="text1"/>
        </w:rPr>
        <w:t xml:space="preserve">This may include pest impacts on domestic trade or industry, including changes in domestic consumer demand </w:t>
      </w:r>
      <w:r w:rsidRPr="004D2A4C">
        <w:rPr>
          <w:rFonts w:asciiTheme="minorHAnsi" w:hAnsiTheme="minorHAnsi" w:cstheme="minorHAnsi"/>
        </w:rPr>
        <w:t>for a product resulting from quality changes</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color w:val="000000" w:themeColor="text1"/>
        </w:rPr>
        <w:t>and effects on other industries supplying inputs to, or using outputs from, directly affected industries.</w:t>
      </w:r>
    </w:p>
    <w:p w14:paraId="2A80849E" w14:textId="77777777" w:rsidR="00C40111" w:rsidRPr="004D2A4C" w:rsidRDefault="00C40111" w:rsidP="00C40111">
      <w:pPr>
        <w:pStyle w:val="ListBullet"/>
        <w:rPr>
          <w:rFonts w:asciiTheme="minorHAnsi" w:hAnsiTheme="minorHAnsi" w:cstheme="minorHAnsi"/>
        </w:rPr>
      </w:pPr>
      <w:r w:rsidRPr="004D2A4C">
        <w:rPr>
          <w:rFonts w:asciiTheme="minorHAnsi" w:hAnsiTheme="minorHAnsi" w:cstheme="minorHAnsi"/>
        </w:rPr>
        <w:t>international trade</w:t>
      </w:r>
    </w:p>
    <w:p w14:paraId="1F6C75B2" w14:textId="77777777" w:rsidR="00C40111" w:rsidRPr="004D2A4C" w:rsidRDefault="00C40111" w:rsidP="00C40111">
      <w:pPr>
        <w:pStyle w:val="ListBullet"/>
        <w:numPr>
          <w:ilvl w:val="0"/>
          <w:numId w:val="0"/>
        </w:numPr>
        <w:ind w:left="397"/>
        <w:rPr>
          <w:rFonts w:asciiTheme="minorHAnsi" w:hAnsiTheme="minorHAnsi" w:cstheme="minorHAnsi"/>
        </w:rPr>
      </w:pPr>
      <w:r w:rsidRPr="004D2A4C">
        <w:rPr>
          <w:rFonts w:asciiTheme="minorHAnsi" w:hAnsiTheme="minorHAnsi" w:cstheme="minorHAnsi"/>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1EEBEE68"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color w:val="000000" w:themeColor="text1"/>
        </w:rPr>
        <w:t xml:space="preserve">non-commercial and </w:t>
      </w:r>
      <w:r w:rsidRPr="004D2A4C">
        <w:rPr>
          <w:rFonts w:asciiTheme="minorHAnsi" w:hAnsiTheme="minorHAnsi" w:cstheme="minorHAnsi"/>
        </w:rPr>
        <w:t>environment</w:t>
      </w:r>
    </w:p>
    <w:p w14:paraId="5C25BCDC" w14:textId="77777777" w:rsidR="00C40111" w:rsidRPr="004D2A4C" w:rsidRDefault="00C40111" w:rsidP="00C40111">
      <w:pPr>
        <w:pStyle w:val="ListBullet"/>
        <w:numPr>
          <w:ilvl w:val="0"/>
          <w:numId w:val="0"/>
        </w:numPr>
        <w:ind w:left="397"/>
        <w:rPr>
          <w:rFonts w:asciiTheme="minorHAnsi" w:hAnsiTheme="minorHAnsi" w:cstheme="minorHAnsi"/>
          <w:color w:val="000000" w:themeColor="text1"/>
        </w:rPr>
      </w:pPr>
      <w:r w:rsidRPr="004D2A4C">
        <w:rPr>
          <w:rFonts w:asciiTheme="minorHAnsi" w:hAnsiTheme="minorHAnsi" w:cstheme="minorHAnsi"/>
          <w:color w:val="000000" w:themeColor="text1"/>
        </w:rPr>
        <w:t>This may include pest impacts on the community and environment, including reduced tourism, reduced rural and regional economic viability, loss of social amenity, and any ‘side effects’ of control measures.</w:t>
      </w:r>
    </w:p>
    <w:p w14:paraId="2ECB1CCA"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lastRenderedPageBreak/>
        <w:t xml:space="preserve">For </w:t>
      </w:r>
      <w:r w:rsidRPr="004D2A4C">
        <w:rPr>
          <w:rFonts w:asciiTheme="minorHAnsi" w:hAnsiTheme="minorHAnsi" w:cstheme="minorHAnsi"/>
          <w:color w:val="000000" w:themeColor="text1"/>
        </w:rPr>
        <w:t>each</w:t>
      </w:r>
      <w:r w:rsidRPr="004D2A4C">
        <w:rPr>
          <w:rFonts w:asciiTheme="minorHAnsi" w:hAnsiTheme="minorHAnsi" w:cstheme="minorHAnsi"/>
        </w:rPr>
        <w:t xml:space="preserve"> of these </w:t>
      </w:r>
      <w:r w:rsidRPr="004D2A4C">
        <w:rPr>
          <w:rFonts w:asciiTheme="minorHAnsi" w:hAnsiTheme="minorHAnsi" w:cstheme="minorHAnsi"/>
          <w:color w:val="000000" w:themeColor="text1"/>
        </w:rPr>
        <w:t xml:space="preserve">direct and indirect </w:t>
      </w:r>
      <w:r w:rsidRPr="004D2A4C">
        <w:rPr>
          <w:rFonts w:asciiTheme="minorHAnsi" w:hAnsiTheme="minorHAnsi" w:cstheme="minorHAnsi"/>
        </w:rPr>
        <w:t xml:space="preserve">criteria, the </w:t>
      </w:r>
      <w:r w:rsidRPr="004D2A4C">
        <w:rPr>
          <w:rFonts w:asciiTheme="minorHAnsi" w:hAnsiTheme="minorHAnsi" w:cstheme="minorHAnsi"/>
          <w:color w:val="000000" w:themeColor="text1"/>
        </w:rPr>
        <w:t xml:space="preserve">level of impact is </w:t>
      </w:r>
      <w:r w:rsidRPr="004D2A4C">
        <w:rPr>
          <w:rFonts w:asciiTheme="minorHAnsi" w:hAnsiTheme="minorHAnsi" w:cstheme="minorHAnsi"/>
        </w:rPr>
        <w:t>estimated over 4 geographic levels, defined as:</w:t>
      </w:r>
    </w:p>
    <w:p w14:paraId="411C3531" w14:textId="77777777" w:rsidR="00C40111" w:rsidRPr="004D2A4C" w:rsidRDefault="00C40111" w:rsidP="00C40111">
      <w:pPr>
        <w:pStyle w:val="ListBullet"/>
        <w:rPr>
          <w:rFonts w:asciiTheme="minorHAnsi" w:hAnsiTheme="minorHAnsi" w:cstheme="minorHAnsi"/>
        </w:rPr>
      </w:pPr>
      <w:r w:rsidRPr="004D2A4C">
        <w:rPr>
          <w:rStyle w:val="Strong"/>
          <w:rFonts w:asciiTheme="minorHAnsi" w:hAnsiTheme="minorHAnsi" w:cstheme="minorHAnsi"/>
        </w:rPr>
        <w:t>Local</w:t>
      </w:r>
      <w:r w:rsidRPr="004D2A4C">
        <w:rPr>
          <w:rFonts w:asciiTheme="minorHAnsi" w:hAnsiTheme="minorHAnsi" w:cstheme="minorHAnsi"/>
        </w:rPr>
        <w:t>–an aggregate of households or enterprises (a rural community, a town or a local government area)</w:t>
      </w:r>
    </w:p>
    <w:p w14:paraId="72318166" w14:textId="77777777" w:rsidR="00C40111" w:rsidRPr="004D2A4C" w:rsidRDefault="00C40111" w:rsidP="00C40111">
      <w:pPr>
        <w:pStyle w:val="ListBullet"/>
        <w:rPr>
          <w:rFonts w:asciiTheme="minorHAnsi" w:hAnsiTheme="minorHAnsi" w:cstheme="minorHAnsi"/>
        </w:rPr>
      </w:pPr>
      <w:r w:rsidRPr="004D2A4C">
        <w:rPr>
          <w:rStyle w:val="Strong"/>
          <w:rFonts w:asciiTheme="minorHAnsi" w:hAnsiTheme="minorHAnsi" w:cstheme="minorHAnsi"/>
        </w:rPr>
        <w:t>District</w:t>
      </w:r>
      <w:r w:rsidRPr="004D2A4C">
        <w:rPr>
          <w:rFonts w:asciiTheme="minorHAnsi" w:hAnsiTheme="minorHAnsi" w:cstheme="minorHAnsi"/>
        </w:rPr>
        <w:t>–a geographically or geopolitically associated collection of aggregates (generally a recognised section of a state or territory, such as ‘Far North Queensland’)</w:t>
      </w:r>
    </w:p>
    <w:p w14:paraId="703E15C5" w14:textId="77777777" w:rsidR="00C40111" w:rsidRPr="004D2A4C" w:rsidRDefault="00C40111" w:rsidP="00C40111">
      <w:pPr>
        <w:pStyle w:val="ListBullet"/>
        <w:rPr>
          <w:rFonts w:asciiTheme="minorHAnsi" w:hAnsiTheme="minorHAnsi" w:cstheme="minorHAnsi"/>
        </w:rPr>
      </w:pPr>
      <w:r w:rsidRPr="004D2A4C">
        <w:rPr>
          <w:rStyle w:val="Strong"/>
          <w:rFonts w:asciiTheme="minorHAnsi" w:hAnsiTheme="minorHAnsi" w:cstheme="minorHAnsi"/>
        </w:rPr>
        <w:t>Regional</w:t>
      </w:r>
      <w:r w:rsidRPr="004D2A4C">
        <w:rPr>
          <w:rFonts w:asciiTheme="minorHAnsi" w:hAnsiTheme="minorHAnsi" w:cstheme="minorHAnsi"/>
        </w:rPr>
        <w:t>–a geographically or geopolitically associated collection of districts in a geographic area (generally a state or territory, although there may be exceptions with larger states such as Western Australia)</w:t>
      </w:r>
    </w:p>
    <w:p w14:paraId="18D6202E" w14:textId="77777777" w:rsidR="00C40111" w:rsidRPr="004D2A4C" w:rsidRDefault="00C40111" w:rsidP="00C40111">
      <w:pPr>
        <w:pStyle w:val="ListBullet"/>
        <w:rPr>
          <w:rFonts w:asciiTheme="minorHAnsi" w:hAnsiTheme="minorHAnsi" w:cstheme="minorHAnsi"/>
        </w:rPr>
      </w:pPr>
      <w:r w:rsidRPr="004D2A4C">
        <w:rPr>
          <w:rStyle w:val="Strong"/>
          <w:rFonts w:asciiTheme="minorHAnsi" w:hAnsiTheme="minorHAnsi" w:cstheme="minorHAnsi"/>
        </w:rPr>
        <w:t>National</w:t>
      </w:r>
      <w:r w:rsidRPr="004D2A4C">
        <w:rPr>
          <w:rFonts w:asciiTheme="minorHAnsi" w:hAnsiTheme="minorHAnsi" w:cstheme="minorHAnsi"/>
        </w:rPr>
        <w:t>–Australia wide (Australian mainland states and territories and Tasmania).</w:t>
      </w:r>
    </w:p>
    <w:p w14:paraId="699D30B1"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For each criterion, the magnitude of </w:t>
      </w:r>
      <w:r w:rsidRPr="004D2A4C">
        <w:rPr>
          <w:rFonts w:asciiTheme="minorHAnsi" w:hAnsiTheme="minorHAnsi" w:cstheme="minorHAnsi"/>
          <w:color w:val="000000" w:themeColor="text1"/>
        </w:rPr>
        <w:t xml:space="preserve">impact </w:t>
      </w:r>
      <w:r w:rsidRPr="004D2A4C">
        <w:rPr>
          <w:rFonts w:asciiTheme="minorHAnsi" w:hAnsiTheme="minorHAnsi" w:cstheme="minorHAnsi"/>
        </w:rPr>
        <w:t xml:space="preserve">at each of these </w:t>
      </w:r>
      <w:r w:rsidRPr="004D2A4C">
        <w:rPr>
          <w:rFonts w:asciiTheme="minorHAnsi" w:hAnsiTheme="minorHAnsi" w:cstheme="minorHAnsi"/>
          <w:color w:val="000000" w:themeColor="text1"/>
        </w:rPr>
        <w:t>geographic</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rPr>
        <w:t>levels is described using 4 categories, defined as:</w:t>
      </w:r>
    </w:p>
    <w:p w14:paraId="4E61E80B" w14:textId="77777777" w:rsidR="00C40111" w:rsidRPr="004D2A4C" w:rsidRDefault="00C40111" w:rsidP="00C40111">
      <w:pPr>
        <w:pStyle w:val="ListBullet"/>
        <w:rPr>
          <w:rFonts w:asciiTheme="minorHAnsi" w:hAnsiTheme="minorHAnsi" w:cstheme="minorHAnsi"/>
          <w:color w:val="000000" w:themeColor="text1"/>
        </w:rPr>
      </w:pPr>
      <w:r w:rsidRPr="004D2A4C">
        <w:rPr>
          <w:rStyle w:val="Strong"/>
          <w:rFonts w:asciiTheme="minorHAnsi" w:hAnsiTheme="minorHAnsi" w:cstheme="minorHAnsi"/>
          <w:color w:val="000000" w:themeColor="text1"/>
        </w:rPr>
        <w:t xml:space="preserve">Unlikely to be </w:t>
      </w:r>
      <w:r w:rsidRPr="004D2A4C">
        <w:rPr>
          <w:rStyle w:val="Strong"/>
          <w:rFonts w:asciiTheme="minorHAnsi" w:hAnsiTheme="minorHAnsi" w:cstheme="minorHAnsi"/>
        </w:rPr>
        <w:t>discernible</w:t>
      </w:r>
      <w:r w:rsidRPr="004D2A4C">
        <w:rPr>
          <w:rFonts w:asciiTheme="minorHAnsi" w:hAnsiTheme="minorHAnsi" w:cstheme="minorHAnsi"/>
        </w:rPr>
        <w:t xml:space="preserve">–pest impact </w:t>
      </w:r>
      <w:r w:rsidRPr="004D2A4C">
        <w:rPr>
          <w:rFonts w:asciiTheme="minorHAnsi" w:hAnsiTheme="minorHAnsi" w:cstheme="minorHAnsi"/>
          <w:color w:val="000000" w:themeColor="text1"/>
        </w:rPr>
        <w:t>is not usually distinguishable from normal day-to-day variation in the criterion</w:t>
      </w:r>
    </w:p>
    <w:p w14:paraId="1D0FBD7F" w14:textId="77777777" w:rsidR="00C40111" w:rsidRPr="004D2A4C" w:rsidRDefault="00C40111" w:rsidP="00C40111">
      <w:pPr>
        <w:pStyle w:val="ListBullet"/>
        <w:rPr>
          <w:rFonts w:asciiTheme="minorHAnsi" w:hAnsiTheme="minorHAnsi" w:cstheme="minorHAnsi"/>
        </w:rPr>
      </w:pPr>
      <w:r w:rsidRPr="004D2A4C">
        <w:rPr>
          <w:rStyle w:val="Strong"/>
          <w:rFonts w:asciiTheme="minorHAnsi" w:hAnsiTheme="minorHAnsi" w:cstheme="minorHAnsi"/>
        </w:rPr>
        <w:t>Minor significance</w:t>
      </w:r>
      <w:r w:rsidRPr="004D2A4C">
        <w:rPr>
          <w:rFonts w:asciiTheme="minorHAnsi" w:hAnsiTheme="minorHAnsi" w:cstheme="minorHAnsi"/>
        </w:rP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7FE58042" w14:textId="77777777" w:rsidR="00C40111" w:rsidRPr="004D2A4C" w:rsidRDefault="00C40111" w:rsidP="00C40111">
      <w:pPr>
        <w:pStyle w:val="ListBullet"/>
        <w:rPr>
          <w:rFonts w:asciiTheme="minorHAnsi" w:hAnsiTheme="minorHAnsi" w:cstheme="minorHAnsi"/>
        </w:rPr>
      </w:pPr>
      <w:proofErr w:type="gramStart"/>
      <w:r w:rsidRPr="004D2A4C">
        <w:rPr>
          <w:rFonts w:asciiTheme="minorHAnsi" w:hAnsiTheme="minorHAnsi" w:cstheme="minorHAnsi"/>
          <w:b/>
        </w:rPr>
        <w:t>Significant</w:t>
      </w:r>
      <w:r w:rsidRPr="004D2A4C">
        <w:rPr>
          <w:rFonts w:asciiTheme="minorHAnsi" w:hAnsiTheme="minorHAnsi" w:cstheme="minorHAnsi"/>
        </w:rPr>
        <w:t>–expected</w:t>
      </w:r>
      <w:proofErr w:type="gramEnd"/>
      <w:r w:rsidRPr="004D2A4C">
        <w:rPr>
          <w:rFonts w:asciiTheme="minorHAnsi" w:hAnsiTheme="minorHAnsi" w:cstheme="minorHAnsi"/>
        </w:rPr>
        <w:t xml:space="preserve">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22765CFD" w14:textId="77777777" w:rsidR="00C40111" w:rsidRPr="004D2A4C" w:rsidRDefault="00C40111" w:rsidP="00C40111">
      <w:pPr>
        <w:pStyle w:val="ListBullet"/>
        <w:rPr>
          <w:rFonts w:asciiTheme="minorHAnsi" w:hAnsiTheme="minorHAnsi" w:cstheme="minorHAnsi"/>
        </w:rPr>
      </w:pPr>
      <w:r w:rsidRPr="004D2A4C">
        <w:rPr>
          <w:rFonts w:asciiTheme="minorHAnsi" w:hAnsiTheme="minorHAnsi" w:cstheme="minorHAnsi"/>
          <w:b/>
        </w:rPr>
        <w:t>Major significance</w:t>
      </w:r>
      <w:r w:rsidRPr="004D2A4C">
        <w:rPr>
          <w:rFonts w:asciiTheme="minorHAnsi" w:hAnsiTheme="minorHAnsi" w:cstheme="minorHAnsi"/>
        </w:rPr>
        <w:t>–expected to threaten the economic viability through a large increase in mortality/morbidity of hosts, or a large decrease in production. Expected to severely or irreversibly damage the intrinsic ‘value’ of non-commercial criteria.</w:t>
      </w:r>
    </w:p>
    <w:p w14:paraId="31DA16E0" w14:textId="70AC3941" w:rsidR="00C40111" w:rsidRPr="004D2A4C" w:rsidRDefault="00C40111" w:rsidP="00C40111">
      <w:pPr>
        <w:rPr>
          <w:rFonts w:asciiTheme="minorHAnsi" w:hAnsiTheme="minorHAnsi" w:cstheme="minorHAnsi"/>
          <w:color w:val="000000" w:themeColor="text1"/>
        </w:rPr>
      </w:pPr>
      <w:r w:rsidRPr="004D2A4C">
        <w:rPr>
          <w:rFonts w:asciiTheme="minorHAnsi" w:hAnsiTheme="minorHAnsi" w:cstheme="minorHAnsi"/>
          <w:color w:val="000000" w:themeColor="text1"/>
        </w:rPr>
        <w:t xml:space="preserve">Each individual direct or indirect impact is given an </w:t>
      </w:r>
      <w:r w:rsidRPr="004D2A4C">
        <w:rPr>
          <w:rFonts w:asciiTheme="minorHAnsi" w:hAnsiTheme="minorHAnsi" w:cstheme="minorHAnsi"/>
        </w:rPr>
        <w:t xml:space="preserve">impact score (A–G) using </w:t>
      </w:r>
      <w:r w:rsidRPr="004D2A4C">
        <w:rPr>
          <w:rFonts w:asciiTheme="minorHAnsi" w:hAnsiTheme="minorHAnsi" w:cstheme="minorHAnsi"/>
          <w:color w:val="000000" w:themeColor="text1"/>
        </w:rPr>
        <w:t xml:space="preserve">the decision rules in </w:t>
      </w:r>
      <w:r w:rsidRPr="004D2A4C">
        <w:rPr>
          <w:rFonts w:asciiTheme="minorHAnsi" w:hAnsiTheme="minorHAnsi" w:cstheme="minorHAnsi"/>
          <w:color w:val="000000" w:themeColor="text1"/>
        </w:rPr>
        <w:fldChar w:fldCharType="begin"/>
      </w:r>
      <w:r w:rsidRPr="004D2A4C">
        <w:rPr>
          <w:rFonts w:asciiTheme="minorHAnsi" w:hAnsiTheme="minorHAnsi" w:cstheme="minorHAnsi"/>
          <w:color w:val="000000" w:themeColor="text1"/>
        </w:rPr>
        <w:instrText xml:space="preserve"> REF _Ref90446454 \h </w:instrText>
      </w:r>
      <w:r w:rsidR="004D2A4C">
        <w:rPr>
          <w:rFonts w:asciiTheme="minorHAnsi" w:hAnsiTheme="minorHAnsi" w:cstheme="minorHAnsi"/>
          <w:color w:val="000000" w:themeColor="text1"/>
        </w:rPr>
        <w:instrText xml:space="preserve"> \* MERGEFORMAT </w:instrText>
      </w:r>
      <w:r w:rsidRPr="004D2A4C">
        <w:rPr>
          <w:rFonts w:asciiTheme="minorHAnsi" w:hAnsiTheme="minorHAnsi" w:cstheme="minorHAnsi"/>
          <w:color w:val="000000" w:themeColor="text1"/>
        </w:rPr>
      </w:r>
      <w:r w:rsidRPr="004D2A4C">
        <w:rPr>
          <w:rFonts w:asciiTheme="minorHAnsi" w:hAnsiTheme="minorHAnsi" w:cstheme="minorHAnsi"/>
          <w:color w:val="000000" w:themeColor="text1"/>
        </w:rPr>
        <w:fldChar w:fldCharType="separate"/>
      </w:r>
      <w:r w:rsidR="00391357" w:rsidRPr="004D2A4C">
        <w:rPr>
          <w:rFonts w:asciiTheme="minorHAnsi" w:hAnsiTheme="minorHAnsi" w:cstheme="minorHAnsi"/>
        </w:rPr>
        <w:t>Figure A.</w:t>
      </w:r>
      <w:r w:rsidR="00391357">
        <w:rPr>
          <w:rFonts w:asciiTheme="minorHAnsi" w:hAnsiTheme="minorHAnsi" w:cstheme="minorHAnsi"/>
          <w:noProof/>
        </w:rPr>
        <w:t>1</w:t>
      </w:r>
      <w:r w:rsidRPr="004D2A4C">
        <w:rPr>
          <w:rFonts w:asciiTheme="minorHAnsi" w:hAnsiTheme="minorHAnsi" w:cstheme="minorHAnsi"/>
          <w:color w:val="000000" w:themeColor="text1"/>
        </w:rPr>
        <w:fldChar w:fldCharType="end"/>
      </w:r>
      <w:r w:rsidRPr="004D2A4C">
        <w:rPr>
          <w:rFonts w:asciiTheme="minorHAnsi" w:hAnsiTheme="minorHAnsi" w:cstheme="minorHAnsi"/>
          <w:color w:val="000000" w:themeColor="text1"/>
        </w:rPr>
        <w:t xml:space="preserve">. This is done by determining which of the shaded cells with bold font in </w:t>
      </w:r>
      <w:r w:rsidRPr="004D2A4C">
        <w:rPr>
          <w:rFonts w:asciiTheme="minorHAnsi" w:hAnsiTheme="minorHAnsi" w:cstheme="minorHAnsi"/>
          <w:color w:val="000000" w:themeColor="text1"/>
        </w:rPr>
        <w:fldChar w:fldCharType="begin"/>
      </w:r>
      <w:r w:rsidRPr="004D2A4C">
        <w:rPr>
          <w:rFonts w:asciiTheme="minorHAnsi" w:hAnsiTheme="minorHAnsi" w:cstheme="minorHAnsi"/>
          <w:color w:val="000000" w:themeColor="text1"/>
        </w:rPr>
        <w:instrText xml:space="preserve"> REF _Ref90446454 \h </w:instrText>
      </w:r>
      <w:r w:rsidR="004D2A4C">
        <w:rPr>
          <w:rFonts w:asciiTheme="minorHAnsi" w:hAnsiTheme="minorHAnsi" w:cstheme="minorHAnsi"/>
          <w:color w:val="000000" w:themeColor="text1"/>
        </w:rPr>
        <w:instrText xml:space="preserve"> \* MERGEFORMAT </w:instrText>
      </w:r>
      <w:r w:rsidRPr="004D2A4C">
        <w:rPr>
          <w:rFonts w:asciiTheme="minorHAnsi" w:hAnsiTheme="minorHAnsi" w:cstheme="minorHAnsi"/>
          <w:color w:val="000000" w:themeColor="text1"/>
        </w:rPr>
      </w:r>
      <w:r w:rsidRPr="004D2A4C">
        <w:rPr>
          <w:rFonts w:asciiTheme="minorHAnsi" w:hAnsiTheme="minorHAnsi" w:cstheme="minorHAnsi"/>
          <w:color w:val="000000" w:themeColor="text1"/>
        </w:rPr>
        <w:fldChar w:fldCharType="separate"/>
      </w:r>
      <w:r w:rsidR="00391357" w:rsidRPr="004D2A4C">
        <w:rPr>
          <w:rFonts w:asciiTheme="minorHAnsi" w:hAnsiTheme="minorHAnsi" w:cstheme="minorHAnsi"/>
        </w:rPr>
        <w:t>Figure A.</w:t>
      </w:r>
      <w:r w:rsidR="00391357">
        <w:rPr>
          <w:rFonts w:asciiTheme="minorHAnsi" w:hAnsiTheme="minorHAnsi" w:cstheme="minorHAnsi"/>
          <w:noProof/>
        </w:rPr>
        <w:t>1</w:t>
      </w:r>
      <w:r w:rsidRPr="004D2A4C">
        <w:rPr>
          <w:rFonts w:asciiTheme="minorHAnsi" w:hAnsiTheme="minorHAnsi" w:cstheme="minorHAnsi"/>
          <w:color w:val="000000" w:themeColor="text1"/>
        </w:rPr>
        <w:fldChar w:fldCharType="end"/>
      </w:r>
      <w:r w:rsidRPr="004D2A4C">
        <w:rPr>
          <w:rFonts w:asciiTheme="minorHAnsi" w:hAnsiTheme="minorHAnsi" w:cstheme="minorHAnsi"/>
          <w:color w:val="000000" w:themeColor="text1"/>
        </w:rPr>
        <w:t xml:space="preserve"> correspond to the level and magnitude of the </w:t>
      </w:r>
      <w:proofErr w:type="gramStart"/>
      <w:r w:rsidRPr="004D2A4C">
        <w:rPr>
          <w:rFonts w:asciiTheme="minorHAnsi" w:hAnsiTheme="minorHAnsi" w:cstheme="minorHAnsi"/>
          <w:color w:val="000000" w:themeColor="text1"/>
        </w:rPr>
        <w:t>particular impact</w:t>
      </w:r>
      <w:proofErr w:type="gramEnd"/>
      <w:r w:rsidRPr="004D2A4C">
        <w:rPr>
          <w:rFonts w:asciiTheme="minorHAnsi" w:hAnsiTheme="minorHAnsi" w:cstheme="minorHAnsi"/>
          <w:color w:val="000000" w:themeColor="text1"/>
        </w:rPr>
        <w:t>.</w:t>
      </w:r>
    </w:p>
    <w:p w14:paraId="16AC555C" w14:textId="77777777" w:rsidR="00C40111" w:rsidRPr="004D2A4C" w:rsidRDefault="00C40111" w:rsidP="00C40111">
      <w:pPr>
        <w:rPr>
          <w:rFonts w:asciiTheme="minorHAnsi" w:hAnsiTheme="minorHAnsi" w:cstheme="minorHAnsi"/>
          <w:color w:val="000000" w:themeColor="text1"/>
        </w:rPr>
      </w:pPr>
      <w:r w:rsidRPr="004D2A4C">
        <w:rPr>
          <w:rFonts w:asciiTheme="minorHAnsi" w:hAnsiTheme="minorHAnsi" w:cstheme="minorHAnsi"/>
          <w:color w:val="000000" w:themeColor="text1"/>
        </w:rPr>
        <w:t>The following are considered during this process:</w:t>
      </w:r>
    </w:p>
    <w:p w14:paraId="6C5376EC"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color w:val="000000" w:themeColor="text1"/>
        </w:rPr>
        <w:t>At each geographic level below 'National', an impact more serious than ‘Minor significance’ is considered at least 'Minor significance' at the level above. For example, a ‘Significant’ impact at the state or territory level is considered equivalent to at least a ‘Minor significance’ impact at the national level.</w:t>
      </w:r>
    </w:p>
    <w:p w14:paraId="59062708"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color w:val="000000" w:themeColor="text1"/>
        </w:rPr>
        <w:t>If the impact of a pest at a given level is in multiple states or territories, districts or regions or local areas, it is considered to represent at least the same magnitude of impact at the next highest geographic level. For example, a ‘Minor significance’ impact in multiple states or territories represents a ‘Minor significance’ impact at the national level.</w:t>
      </w:r>
      <w:bookmarkStart w:id="65" w:name="_Ref17718804"/>
    </w:p>
    <w:p w14:paraId="5C143BF1"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color w:val="000000" w:themeColor="text1"/>
        </w:rPr>
        <w:t>The geographic distribution of an impact does not necessarily determine the impact. For example, an outbreak could occur on one orchard/farm, but the impact could potentially still be considered at a state or national level.</w:t>
      </w:r>
    </w:p>
    <w:p w14:paraId="0F4C64D2" w14:textId="018B9900" w:rsidR="00C40111" w:rsidRPr="004D2A4C" w:rsidRDefault="00C40111" w:rsidP="00C40111">
      <w:pPr>
        <w:pStyle w:val="Caption"/>
        <w:rPr>
          <w:rFonts w:asciiTheme="minorHAnsi" w:hAnsiTheme="minorHAnsi" w:cstheme="minorHAnsi"/>
        </w:rPr>
      </w:pPr>
      <w:bookmarkStart w:id="66" w:name="_Ref90446454"/>
      <w:r w:rsidRPr="004D2A4C">
        <w:rPr>
          <w:rFonts w:asciiTheme="minorHAnsi" w:hAnsiTheme="minorHAnsi" w:cstheme="minorHAnsi"/>
        </w:rPr>
        <w:lastRenderedPageBreak/>
        <w:t>Figure A.</w:t>
      </w:r>
      <w:r w:rsidR="00451D7F" w:rsidRPr="004D2A4C">
        <w:rPr>
          <w:rFonts w:asciiTheme="minorHAnsi" w:hAnsiTheme="minorHAnsi" w:cstheme="minorHAnsi"/>
        </w:rPr>
        <w:fldChar w:fldCharType="begin"/>
      </w:r>
      <w:r w:rsidR="00451D7F" w:rsidRPr="004D2A4C">
        <w:rPr>
          <w:rFonts w:asciiTheme="minorHAnsi" w:hAnsiTheme="minorHAnsi" w:cstheme="minorHAnsi"/>
        </w:rPr>
        <w:instrText xml:space="preserve"> SEQ Figure \* ARABIC \s 2 </w:instrText>
      </w:r>
      <w:r w:rsidR="00451D7F" w:rsidRPr="004D2A4C">
        <w:rPr>
          <w:rFonts w:asciiTheme="minorHAnsi" w:hAnsiTheme="minorHAnsi" w:cstheme="minorHAnsi"/>
        </w:rPr>
        <w:fldChar w:fldCharType="separate"/>
      </w:r>
      <w:r w:rsidR="00391357">
        <w:rPr>
          <w:rFonts w:asciiTheme="minorHAnsi" w:hAnsiTheme="minorHAnsi" w:cstheme="minorHAnsi"/>
          <w:noProof/>
        </w:rPr>
        <w:t>1</w:t>
      </w:r>
      <w:r w:rsidR="00451D7F" w:rsidRPr="004D2A4C">
        <w:rPr>
          <w:rFonts w:asciiTheme="minorHAnsi" w:hAnsiTheme="minorHAnsi" w:cstheme="minorHAnsi"/>
          <w:noProof/>
        </w:rPr>
        <w:fldChar w:fldCharType="end"/>
      </w:r>
      <w:bookmarkEnd w:id="66"/>
      <w:r w:rsidRPr="004D2A4C">
        <w:rPr>
          <w:rFonts w:asciiTheme="minorHAnsi" w:hAnsiTheme="minorHAnsi" w:cstheme="minorHAnsi"/>
        </w:rPr>
        <w:t xml:space="preserve"> Decision rules for determining the impact score for each direct and indirect criterion, based on the </w:t>
      </w:r>
      <w:r w:rsidRPr="004D2A4C">
        <w:rPr>
          <w:rFonts w:asciiTheme="minorHAnsi" w:hAnsiTheme="minorHAnsi" w:cstheme="minorHAnsi"/>
          <w:i/>
          <w:iCs/>
        </w:rPr>
        <w:t>level of impact</w:t>
      </w:r>
      <w:r w:rsidRPr="004D2A4C">
        <w:rPr>
          <w:rFonts w:asciiTheme="minorHAnsi" w:hAnsiTheme="minorHAnsi" w:cstheme="minorHAnsi"/>
        </w:rPr>
        <w:t xml:space="preserve"> and the </w:t>
      </w:r>
      <w:r w:rsidRPr="004D2A4C">
        <w:rPr>
          <w:rFonts w:asciiTheme="minorHAnsi" w:hAnsiTheme="minorHAnsi" w:cstheme="minorHAnsi"/>
          <w:i/>
          <w:iCs/>
        </w:rPr>
        <w:t>magnitude of impact</w:t>
      </w:r>
    </w:p>
    <w:p w14:paraId="00C47EB8" w14:textId="0A632166" w:rsidR="00C40111" w:rsidRDefault="00F91246" w:rsidP="00C40111">
      <w:pPr>
        <w:pStyle w:val="FigureTableNoteSource"/>
      </w:pPr>
      <w:r>
        <w:rPr>
          <w:noProof/>
        </w:rPr>
        <w:drawing>
          <wp:inline distT="0" distB="0" distL="0" distR="0" wp14:anchorId="6D024580" wp14:editId="58155EC9">
            <wp:extent cx="5761355" cy="5053965"/>
            <wp:effectExtent l="0" t="0" r="0" b="0"/>
            <wp:docPr id="34986548" name="Picture 1" descr="A diagrammatic representation of the direct and indirect impact score assessment of a pest over 4 geographical levels (from left to right)-local, district, regional and national. The measure of impact for each criterion is converted to an alphabetic score, denoted by increasing impact from A ('Unlikely to be discernible' in the lower region of the figure) to G ('Major significance' in the upper reg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6548" name="Picture 1" descr="A diagrammatic representation of the direct and indirect impact score assessment of a pest over 4 geographical levels (from left to right)-local, district, regional and national. The measure of impact for each criterion is converted to an alphabetic score, denoted by increasing impact from A ('Unlikely to be discernible' in the lower region of the figure) to G ('Major significance' in the upper region of the 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1355" cy="5053965"/>
                    </a:xfrm>
                    <a:prstGeom prst="rect">
                      <a:avLst/>
                    </a:prstGeom>
                    <a:noFill/>
                  </pic:spPr>
                </pic:pic>
              </a:graphicData>
            </a:graphic>
          </wp:inline>
        </w:drawing>
      </w:r>
    </w:p>
    <w:p w14:paraId="0D3E15B0" w14:textId="77777777" w:rsidR="00C40111" w:rsidRDefault="00C40111" w:rsidP="00C40111">
      <w:pPr>
        <w:pStyle w:val="FigureTableNoteSource"/>
      </w:pPr>
      <w:r>
        <w:t>For each criterion:</w:t>
      </w:r>
    </w:p>
    <w:p w14:paraId="21D2C74C" w14:textId="77777777" w:rsidR="00C40111" w:rsidRDefault="00C40111" w:rsidP="00F85722">
      <w:pPr>
        <w:pStyle w:val="FigureTableNoteSource"/>
        <w:numPr>
          <w:ilvl w:val="0"/>
          <w:numId w:val="7"/>
        </w:numPr>
        <w:rPr>
          <w:rStyle w:val="Emphasis"/>
          <w:i w:val="0"/>
          <w:iCs w:val="0"/>
        </w:rPr>
      </w:pPr>
      <w:r>
        <w:t xml:space="preserve">the </w:t>
      </w:r>
      <w:r>
        <w:rPr>
          <w:rStyle w:val="Emphasis"/>
        </w:rPr>
        <w:t>level of impact is estimated over 4 geographic levels: local, district, regional and national</w:t>
      </w:r>
    </w:p>
    <w:p w14:paraId="2E348318" w14:textId="77777777" w:rsidR="00C40111" w:rsidRDefault="00C40111" w:rsidP="00F85722">
      <w:pPr>
        <w:pStyle w:val="FigureTableNoteSource"/>
        <w:numPr>
          <w:ilvl w:val="0"/>
          <w:numId w:val="7"/>
        </w:numPr>
      </w:pPr>
      <w:r>
        <w:t xml:space="preserve">the </w:t>
      </w:r>
      <w:r>
        <w:rPr>
          <w:i/>
          <w:iCs/>
        </w:rPr>
        <w:t xml:space="preserve">magnitude of impact </w:t>
      </w:r>
      <w:r>
        <w:t>at each of the 4 geographic levels is described using 4 categories: unlikely to be discernible, minor significance, significant and major significance</w:t>
      </w:r>
    </w:p>
    <w:p w14:paraId="2F95EEB3" w14:textId="77777777" w:rsidR="00C40111" w:rsidRPr="009E5354" w:rsidRDefault="00C40111" w:rsidP="00F85722">
      <w:pPr>
        <w:pStyle w:val="FigureTableNoteSource"/>
        <w:numPr>
          <w:ilvl w:val="0"/>
          <w:numId w:val="7"/>
        </w:numPr>
      </w:pPr>
      <w:r>
        <w:t>an impact score (A–G) is assigned by determining which of the shaded cells with bold font correspond to the level and magnitude of impact.</w:t>
      </w:r>
    </w:p>
    <w:p w14:paraId="25F302FC" w14:textId="335D6B82" w:rsidR="00C40111" w:rsidRPr="004D2A4C" w:rsidRDefault="00C40111" w:rsidP="00C40111">
      <w:pPr>
        <w:rPr>
          <w:rStyle w:val="Strong"/>
          <w:rFonts w:asciiTheme="minorHAnsi" w:hAnsiTheme="minorHAnsi" w:cstheme="minorHAnsi"/>
        </w:rPr>
      </w:pPr>
      <w:r w:rsidRPr="004D2A4C">
        <w:rPr>
          <w:rStyle w:val="Strong"/>
          <w:rFonts w:asciiTheme="minorHAnsi" w:hAnsiTheme="minorHAnsi" w:cstheme="minorHAnsi"/>
        </w:rPr>
        <w:t>Step</w:t>
      </w:r>
      <w:r w:rsidR="00D14268" w:rsidRPr="004D2A4C">
        <w:rPr>
          <w:rStyle w:val="Strong"/>
          <w:rFonts w:asciiTheme="minorHAnsi" w:hAnsiTheme="minorHAnsi" w:cstheme="minorHAnsi"/>
        </w:rPr>
        <w:t xml:space="preserve"> </w:t>
      </w:r>
      <w:r w:rsidRPr="004D2A4C">
        <w:rPr>
          <w:rStyle w:val="Strong"/>
          <w:rFonts w:asciiTheme="minorHAnsi" w:hAnsiTheme="minorHAnsi" w:cstheme="minorHAnsi"/>
        </w:rPr>
        <w:t>2: Combining direct and indirect impacts</w:t>
      </w:r>
    </w:p>
    <w:p w14:paraId="76C65758" w14:textId="4A7B0AD2" w:rsidR="00C40111" w:rsidRPr="004D2A4C" w:rsidRDefault="00C40111" w:rsidP="00C40111">
      <w:pPr>
        <w:jc w:val="both"/>
        <w:rPr>
          <w:rFonts w:asciiTheme="minorHAnsi" w:hAnsiTheme="minorHAnsi" w:cstheme="minorHAnsi"/>
          <w:color w:val="000000" w:themeColor="text1"/>
        </w:rPr>
      </w:pPr>
      <w:r w:rsidRPr="004D2A4C">
        <w:rPr>
          <w:rFonts w:asciiTheme="minorHAnsi" w:hAnsiTheme="minorHAnsi" w:cstheme="minorHAnsi"/>
        </w:rPr>
        <w:t xml:space="preserve">The overall consequence for each pest </w:t>
      </w:r>
      <w:r w:rsidRPr="004D2A4C">
        <w:rPr>
          <w:rFonts w:asciiTheme="minorHAnsi" w:hAnsiTheme="minorHAnsi" w:cstheme="minorHAnsi"/>
          <w:color w:val="000000" w:themeColor="text1"/>
        </w:rPr>
        <w:t xml:space="preserve">or each group of pests </w:t>
      </w:r>
      <w:r w:rsidRPr="004D2A4C">
        <w:rPr>
          <w:rFonts w:asciiTheme="minorHAnsi" w:hAnsiTheme="minorHAnsi" w:cstheme="minorHAnsi"/>
        </w:rPr>
        <w:t xml:space="preserve">is achieved by combining the impact scores (A–G) for each direct and indirect </w:t>
      </w:r>
      <w:r w:rsidRPr="004D2A4C">
        <w:rPr>
          <w:rFonts w:asciiTheme="minorHAnsi" w:hAnsiTheme="minorHAnsi" w:cstheme="minorHAnsi"/>
          <w:color w:val="000000" w:themeColor="text1"/>
        </w:rPr>
        <w:t>criterion</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rPr>
        <w:t xml:space="preserve">using </w:t>
      </w:r>
      <w:r w:rsidRPr="004D2A4C">
        <w:rPr>
          <w:rFonts w:asciiTheme="minorHAnsi" w:hAnsiTheme="minorHAnsi" w:cstheme="minorHAnsi"/>
          <w:color w:val="000000" w:themeColor="text1"/>
        </w:rPr>
        <w:t>the</w:t>
      </w:r>
      <w:r w:rsidRPr="004D2A4C">
        <w:rPr>
          <w:rFonts w:asciiTheme="minorHAnsi" w:hAnsiTheme="minorHAnsi" w:cstheme="minorHAnsi"/>
        </w:rPr>
        <w:t xml:space="preserve"> decision rules </w:t>
      </w:r>
      <w:r w:rsidRPr="004D2A4C">
        <w:rPr>
          <w:rFonts w:asciiTheme="minorHAnsi" w:hAnsiTheme="minorHAnsi" w:cstheme="minorHAnsi"/>
          <w:color w:val="000000" w:themeColor="text1"/>
        </w:rPr>
        <w:t>in</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rPr>
        <w:fldChar w:fldCharType="begin"/>
      </w:r>
      <w:r w:rsidRPr="004D2A4C">
        <w:rPr>
          <w:rFonts w:asciiTheme="minorHAnsi" w:hAnsiTheme="minorHAnsi" w:cstheme="minorHAnsi"/>
        </w:rPr>
        <w:instrText xml:space="preserve"> REF _Ref524355002 \h  \* MERGEFORMAT </w:instrText>
      </w:r>
      <w:r w:rsidRPr="004D2A4C">
        <w:rPr>
          <w:rFonts w:asciiTheme="minorHAnsi" w:hAnsiTheme="minorHAnsi" w:cstheme="minorHAnsi"/>
        </w:rPr>
      </w:r>
      <w:r w:rsidRPr="004D2A4C">
        <w:rPr>
          <w:rFonts w:asciiTheme="minorHAnsi" w:hAnsiTheme="minorHAnsi" w:cstheme="minorHAnsi"/>
        </w:rPr>
        <w:fldChar w:fldCharType="separate"/>
      </w:r>
      <w:r w:rsidR="00391357" w:rsidRPr="004D2A4C">
        <w:rPr>
          <w:rFonts w:asciiTheme="minorHAnsi" w:hAnsiTheme="minorHAnsi" w:cstheme="minorHAnsi"/>
        </w:rPr>
        <w:t xml:space="preserve">Table </w:t>
      </w:r>
      <w:r w:rsidR="00391357" w:rsidRPr="004D2A4C">
        <w:rPr>
          <w:rFonts w:asciiTheme="minorHAnsi" w:hAnsiTheme="minorHAnsi" w:cstheme="minorHAnsi"/>
          <w:noProof/>
        </w:rPr>
        <w:t>A.</w:t>
      </w:r>
      <w:r w:rsidR="00391357" w:rsidRPr="00391357">
        <w:rPr>
          <w:rFonts w:asciiTheme="minorHAnsi" w:hAnsiTheme="minorHAnsi" w:cstheme="minorHAnsi"/>
          <w:noProof/>
          <w:color w:val="000000" w:themeColor="text1"/>
        </w:rPr>
        <w:t>3</w:t>
      </w:r>
      <w:r w:rsidRPr="004D2A4C">
        <w:rPr>
          <w:rFonts w:asciiTheme="minorHAnsi" w:hAnsiTheme="minorHAnsi" w:cstheme="minorHAnsi"/>
        </w:rPr>
        <w:fldChar w:fldCharType="end"/>
      </w:r>
      <w:r w:rsidRPr="004D2A4C">
        <w:rPr>
          <w:rFonts w:asciiTheme="minorHAnsi" w:hAnsiTheme="minorHAnsi" w:cstheme="minorHAnsi"/>
        </w:rPr>
        <w:t xml:space="preserve">. These rules are mutually exclusive and are assessed in numerical order until one applies. </w:t>
      </w:r>
      <w:r w:rsidRPr="004D2A4C">
        <w:rPr>
          <w:rFonts w:asciiTheme="minorHAnsi" w:hAnsiTheme="minorHAnsi" w:cstheme="minorHAnsi"/>
          <w:color w:val="000000" w:themeColor="text1"/>
        </w:rPr>
        <w:t>For example, if the first rule does not apply, the second rule is considered, and so on.</w:t>
      </w:r>
    </w:p>
    <w:p w14:paraId="3211D2B4" w14:textId="52F68E56" w:rsidR="00C40111" w:rsidRPr="004D2A4C" w:rsidRDefault="00C40111" w:rsidP="00C40111">
      <w:pPr>
        <w:pStyle w:val="Tablecaption"/>
        <w:rPr>
          <w:rFonts w:asciiTheme="minorHAnsi" w:hAnsiTheme="minorHAnsi" w:cstheme="minorHAnsi"/>
        </w:rPr>
      </w:pPr>
      <w:bookmarkStart w:id="67" w:name="_Ref524355002"/>
      <w:bookmarkStart w:id="68" w:name="_Toc6906417"/>
      <w:bookmarkStart w:id="69" w:name="_Toc112674178"/>
      <w:bookmarkStart w:id="70" w:name="_Toc209446390"/>
      <w:bookmarkEnd w:id="63"/>
      <w:bookmarkEnd w:id="64"/>
      <w:bookmarkEnd w:id="65"/>
      <w:r w:rsidRPr="004D2A4C">
        <w:rPr>
          <w:rFonts w:asciiTheme="minorHAnsi" w:hAnsiTheme="minorHAnsi" w:cstheme="minorHAnsi"/>
        </w:rPr>
        <w:lastRenderedPageBreak/>
        <w:t>Table A.</w:t>
      </w:r>
      <w:r w:rsidR="002B4E46" w:rsidRPr="004D2A4C">
        <w:rPr>
          <w:rFonts w:asciiTheme="minorHAnsi" w:hAnsiTheme="minorHAnsi" w:cstheme="minorHAnsi"/>
        </w:rPr>
        <w:fldChar w:fldCharType="begin"/>
      </w:r>
      <w:r w:rsidR="002B4E46" w:rsidRPr="004D2A4C">
        <w:rPr>
          <w:rFonts w:asciiTheme="minorHAnsi" w:hAnsiTheme="minorHAnsi" w:cstheme="minorHAnsi"/>
        </w:rPr>
        <w:instrText xml:space="preserve"> SEQ Table \* ARABIC \s 2 </w:instrText>
      </w:r>
      <w:r w:rsidR="002B4E46" w:rsidRPr="004D2A4C">
        <w:rPr>
          <w:rFonts w:asciiTheme="minorHAnsi" w:hAnsiTheme="minorHAnsi" w:cstheme="minorHAnsi"/>
        </w:rPr>
        <w:fldChar w:fldCharType="separate"/>
      </w:r>
      <w:r w:rsidR="00391357">
        <w:rPr>
          <w:rFonts w:asciiTheme="minorHAnsi" w:hAnsiTheme="minorHAnsi" w:cstheme="minorHAnsi"/>
          <w:noProof/>
        </w:rPr>
        <w:t>3</w:t>
      </w:r>
      <w:r w:rsidR="002B4E46" w:rsidRPr="004D2A4C">
        <w:rPr>
          <w:rFonts w:asciiTheme="minorHAnsi" w:hAnsiTheme="minorHAnsi" w:cstheme="minorHAnsi"/>
        </w:rPr>
        <w:fldChar w:fldCharType="end"/>
      </w:r>
      <w:bookmarkEnd w:id="67"/>
      <w:r w:rsidRPr="004D2A4C">
        <w:rPr>
          <w:rFonts w:asciiTheme="minorHAnsi" w:hAnsiTheme="minorHAnsi" w:cstheme="minorHAnsi"/>
        </w:rPr>
        <w:t xml:space="preserve"> Decision rules for determining the overall consequence rating for each pest</w:t>
      </w:r>
      <w:bookmarkEnd w:id="68"/>
      <w:bookmarkEnd w:id="69"/>
      <w:bookmarkEnd w:id="70"/>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C40111" w:rsidRPr="004D2A4C" w14:paraId="20E4964F" w14:textId="77777777" w:rsidTr="00205EC0">
        <w:trPr>
          <w:trHeight w:val="414"/>
        </w:trPr>
        <w:tc>
          <w:tcPr>
            <w:tcW w:w="440" w:type="pct"/>
            <w:tcBorders>
              <w:top w:val="single" w:sz="4" w:space="0" w:color="auto"/>
              <w:bottom w:val="single" w:sz="4" w:space="0" w:color="auto"/>
            </w:tcBorders>
          </w:tcPr>
          <w:p w14:paraId="70CD0BB2" w14:textId="77777777" w:rsidR="00C40111" w:rsidRPr="004D2A4C" w:rsidRDefault="00C40111" w:rsidP="00205EC0">
            <w:pPr>
              <w:pStyle w:val="TableHeading"/>
              <w:rPr>
                <w:rFonts w:asciiTheme="minorHAnsi" w:hAnsiTheme="minorHAnsi" w:cstheme="minorHAnsi"/>
              </w:rPr>
            </w:pPr>
            <w:r w:rsidRPr="004D2A4C">
              <w:rPr>
                <w:rFonts w:asciiTheme="minorHAnsi" w:hAnsiTheme="minorHAnsi" w:cstheme="minorHAnsi"/>
              </w:rPr>
              <w:t>Rule</w:t>
            </w:r>
          </w:p>
        </w:tc>
        <w:tc>
          <w:tcPr>
            <w:tcW w:w="3206" w:type="pct"/>
            <w:tcBorders>
              <w:top w:val="single" w:sz="4" w:space="0" w:color="auto"/>
              <w:bottom w:val="single" w:sz="4" w:space="0" w:color="auto"/>
            </w:tcBorders>
          </w:tcPr>
          <w:p w14:paraId="0546905F" w14:textId="77777777" w:rsidR="00C40111" w:rsidRPr="004D2A4C" w:rsidRDefault="00C40111" w:rsidP="00205EC0">
            <w:pPr>
              <w:pStyle w:val="TableHeading"/>
              <w:rPr>
                <w:rFonts w:asciiTheme="minorHAnsi" w:hAnsiTheme="minorHAnsi" w:cstheme="minorHAnsi"/>
              </w:rPr>
            </w:pPr>
            <w:r w:rsidRPr="004D2A4C">
              <w:rPr>
                <w:rFonts w:asciiTheme="minorHAnsi" w:hAnsiTheme="minorHAnsi" w:cstheme="minorHAnsi"/>
              </w:rPr>
              <w:t>The impact scores for consequences of direct and indirect criteria</w:t>
            </w:r>
          </w:p>
        </w:tc>
        <w:tc>
          <w:tcPr>
            <w:tcW w:w="1354" w:type="pct"/>
            <w:tcBorders>
              <w:top w:val="single" w:sz="4" w:space="0" w:color="auto"/>
              <w:bottom w:val="single" w:sz="4" w:space="0" w:color="auto"/>
            </w:tcBorders>
          </w:tcPr>
          <w:p w14:paraId="7F1D44C8" w14:textId="77777777" w:rsidR="00C40111" w:rsidRPr="004D2A4C" w:rsidRDefault="00C40111" w:rsidP="00205EC0">
            <w:pPr>
              <w:pStyle w:val="TableHeading"/>
              <w:rPr>
                <w:rFonts w:asciiTheme="minorHAnsi" w:hAnsiTheme="minorHAnsi" w:cstheme="minorHAnsi"/>
              </w:rPr>
            </w:pPr>
            <w:r w:rsidRPr="004D2A4C">
              <w:rPr>
                <w:rFonts w:asciiTheme="minorHAnsi" w:hAnsiTheme="minorHAnsi" w:cstheme="minorHAnsi"/>
              </w:rPr>
              <w:t>Overall consequence rating</w:t>
            </w:r>
          </w:p>
        </w:tc>
      </w:tr>
      <w:tr w:rsidR="00C40111" w:rsidRPr="004D2A4C" w14:paraId="61931862" w14:textId="77777777" w:rsidTr="00205EC0">
        <w:trPr>
          <w:trHeight w:val="414"/>
        </w:trPr>
        <w:tc>
          <w:tcPr>
            <w:tcW w:w="440" w:type="pct"/>
            <w:tcBorders>
              <w:top w:val="single" w:sz="4" w:space="0" w:color="auto"/>
              <w:bottom w:val="nil"/>
            </w:tcBorders>
          </w:tcPr>
          <w:p w14:paraId="7C670CAB"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1</w:t>
            </w:r>
          </w:p>
        </w:tc>
        <w:tc>
          <w:tcPr>
            <w:tcW w:w="3206" w:type="pct"/>
            <w:tcBorders>
              <w:top w:val="single" w:sz="4" w:space="0" w:color="auto"/>
              <w:bottom w:val="nil"/>
            </w:tcBorders>
          </w:tcPr>
          <w:p w14:paraId="185DF043"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Any criterion has an impact of ‘G’; or</w:t>
            </w:r>
            <w:r w:rsidRPr="004D2A4C">
              <w:rPr>
                <w:rFonts w:asciiTheme="minorHAnsi" w:hAnsiTheme="minorHAnsi" w:cstheme="minorHAnsi"/>
              </w:rPr>
              <w:br/>
              <w:t>more than one criterion has an impact of ‘F’; or</w:t>
            </w:r>
            <w:r w:rsidRPr="004D2A4C">
              <w:rPr>
                <w:rFonts w:asciiTheme="minorHAnsi" w:hAnsiTheme="minorHAnsi" w:cstheme="minorHAnsi"/>
              </w:rPr>
              <w:br/>
              <w:t>a single criterion has an impact of ‘F’ and each remaining criterion an ‘E’.</w:t>
            </w:r>
          </w:p>
        </w:tc>
        <w:tc>
          <w:tcPr>
            <w:tcW w:w="1354" w:type="pct"/>
            <w:tcBorders>
              <w:top w:val="single" w:sz="4" w:space="0" w:color="auto"/>
              <w:bottom w:val="nil"/>
            </w:tcBorders>
          </w:tcPr>
          <w:p w14:paraId="66D702CB"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Extreme</w:t>
            </w:r>
          </w:p>
        </w:tc>
      </w:tr>
      <w:tr w:rsidR="00C40111" w:rsidRPr="004D2A4C" w14:paraId="4DE2C94C" w14:textId="77777777" w:rsidTr="00205EC0">
        <w:trPr>
          <w:trHeight w:val="414"/>
        </w:trPr>
        <w:tc>
          <w:tcPr>
            <w:tcW w:w="440" w:type="pct"/>
            <w:tcBorders>
              <w:top w:val="nil"/>
              <w:bottom w:val="nil"/>
            </w:tcBorders>
          </w:tcPr>
          <w:p w14:paraId="631B645B"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2</w:t>
            </w:r>
          </w:p>
        </w:tc>
        <w:tc>
          <w:tcPr>
            <w:tcW w:w="3206" w:type="pct"/>
            <w:tcBorders>
              <w:top w:val="nil"/>
              <w:bottom w:val="nil"/>
            </w:tcBorders>
          </w:tcPr>
          <w:p w14:paraId="2CE5E175"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A single criterion has an impact of ‘F’; or</w:t>
            </w:r>
            <w:r w:rsidRPr="004D2A4C">
              <w:rPr>
                <w:rFonts w:asciiTheme="minorHAnsi" w:hAnsiTheme="minorHAnsi" w:cstheme="minorHAnsi"/>
              </w:rPr>
              <w:br/>
              <w:t>all criteria have an impact of ‘E’.</w:t>
            </w:r>
          </w:p>
        </w:tc>
        <w:tc>
          <w:tcPr>
            <w:tcW w:w="1354" w:type="pct"/>
            <w:tcBorders>
              <w:top w:val="nil"/>
              <w:bottom w:val="nil"/>
            </w:tcBorders>
          </w:tcPr>
          <w:p w14:paraId="0A071CA6"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High</w:t>
            </w:r>
          </w:p>
        </w:tc>
      </w:tr>
      <w:tr w:rsidR="00C40111" w:rsidRPr="004D2A4C" w14:paraId="586730D7" w14:textId="77777777" w:rsidTr="00205EC0">
        <w:trPr>
          <w:trHeight w:val="414"/>
        </w:trPr>
        <w:tc>
          <w:tcPr>
            <w:tcW w:w="440" w:type="pct"/>
            <w:tcBorders>
              <w:top w:val="nil"/>
              <w:bottom w:val="nil"/>
            </w:tcBorders>
          </w:tcPr>
          <w:p w14:paraId="10513CE8"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3</w:t>
            </w:r>
          </w:p>
        </w:tc>
        <w:tc>
          <w:tcPr>
            <w:tcW w:w="3206" w:type="pct"/>
            <w:tcBorders>
              <w:top w:val="nil"/>
              <w:bottom w:val="nil"/>
            </w:tcBorders>
          </w:tcPr>
          <w:p w14:paraId="179A5106"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One or more criteria have an impact of ‘E’; or</w:t>
            </w:r>
            <w:r w:rsidRPr="004D2A4C">
              <w:rPr>
                <w:rFonts w:asciiTheme="minorHAnsi" w:hAnsiTheme="minorHAnsi" w:cstheme="minorHAnsi"/>
              </w:rPr>
              <w:br/>
              <w:t>all criteria have an impact of ‘D’.</w:t>
            </w:r>
          </w:p>
        </w:tc>
        <w:tc>
          <w:tcPr>
            <w:tcW w:w="1354" w:type="pct"/>
            <w:tcBorders>
              <w:top w:val="nil"/>
              <w:bottom w:val="nil"/>
            </w:tcBorders>
          </w:tcPr>
          <w:p w14:paraId="16230443"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Moderate</w:t>
            </w:r>
          </w:p>
        </w:tc>
      </w:tr>
      <w:tr w:rsidR="00C40111" w:rsidRPr="004D2A4C" w14:paraId="36142188" w14:textId="77777777" w:rsidTr="00205EC0">
        <w:trPr>
          <w:trHeight w:val="414"/>
        </w:trPr>
        <w:tc>
          <w:tcPr>
            <w:tcW w:w="440" w:type="pct"/>
            <w:tcBorders>
              <w:top w:val="nil"/>
              <w:bottom w:val="nil"/>
            </w:tcBorders>
          </w:tcPr>
          <w:p w14:paraId="09C99248"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4</w:t>
            </w:r>
          </w:p>
        </w:tc>
        <w:tc>
          <w:tcPr>
            <w:tcW w:w="3206" w:type="pct"/>
            <w:tcBorders>
              <w:top w:val="nil"/>
              <w:bottom w:val="nil"/>
            </w:tcBorders>
          </w:tcPr>
          <w:p w14:paraId="14FD9665"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One or more criteria have an impact of ‘D’; or</w:t>
            </w:r>
            <w:r w:rsidRPr="004D2A4C">
              <w:rPr>
                <w:rFonts w:asciiTheme="minorHAnsi" w:hAnsiTheme="minorHAnsi" w:cstheme="minorHAnsi"/>
              </w:rPr>
              <w:br/>
              <w:t>all criteria have an impact of ‘C’.</w:t>
            </w:r>
          </w:p>
        </w:tc>
        <w:tc>
          <w:tcPr>
            <w:tcW w:w="1354" w:type="pct"/>
            <w:tcBorders>
              <w:top w:val="nil"/>
              <w:bottom w:val="nil"/>
            </w:tcBorders>
          </w:tcPr>
          <w:p w14:paraId="5F7F6A0B"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Low</w:t>
            </w:r>
          </w:p>
        </w:tc>
      </w:tr>
      <w:tr w:rsidR="00C40111" w:rsidRPr="004D2A4C" w14:paraId="7CEAC57E" w14:textId="77777777" w:rsidTr="00205EC0">
        <w:trPr>
          <w:trHeight w:val="414"/>
        </w:trPr>
        <w:tc>
          <w:tcPr>
            <w:tcW w:w="440" w:type="pct"/>
            <w:tcBorders>
              <w:top w:val="nil"/>
              <w:bottom w:val="nil"/>
            </w:tcBorders>
          </w:tcPr>
          <w:p w14:paraId="3D5729B6"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5</w:t>
            </w:r>
          </w:p>
        </w:tc>
        <w:tc>
          <w:tcPr>
            <w:tcW w:w="3206" w:type="pct"/>
            <w:tcBorders>
              <w:top w:val="nil"/>
              <w:bottom w:val="nil"/>
            </w:tcBorders>
          </w:tcPr>
          <w:p w14:paraId="53E7F3A6"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One or more criteria have an impact of ‘C’; or</w:t>
            </w:r>
            <w:r w:rsidRPr="004D2A4C">
              <w:rPr>
                <w:rFonts w:asciiTheme="minorHAnsi" w:hAnsiTheme="minorHAnsi" w:cstheme="minorHAnsi"/>
              </w:rPr>
              <w:br/>
              <w:t>all criteria have an impact of ‘B’.</w:t>
            </w:r>
          </w:p>
        </w:tc>
        <w:tc>
          <w:tcPr>
            <w:tcW w:w="1354" w:type="pct"/>
            <w:tcBorders>
              <w:top w:val="nil"/>
              <w:bottom w:val="nil"/>
            </w:tcBorders>
          </w:tcPr>
          <w:p w14:paraId="047AFA8E"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Very Low</w:t>
            </w:r>
          </w:p>
        </w:tc>
      </w:tr>
      <w:tr w:rsidR="00C40111" w:rsidRPr="004D2A4C" w14:paraId="0F589A63" w14:textId="77777777" w:rsidTr="00205EC0">
        <w:trPr>
          <w:trHeight w:val="414"/>
        </w:trPr>
        <w:tc>
          <w:tcPr>
            <w:tcW w:w="440" w:type="pct"/>
            <w:tcBorders>
              <w:top w:val="nil"/>
              <w:bottom w:val="single" w:sz="4" w:space="0" w:color="auto"/>
            </w:tcBorders>
          </w:tcPr>
          <w:p w14:paraId="55A75D8C"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6</w:t>
            </w:r>
          </w:p>
        </w:tc>
        <w:tc>
          <w:tcPr>
            <w:tcW w:w="3206" w:type="pct"/>
            <w:tcBorders>
              <w:top w:val="nil"/>
              <w:bottom w:val="single" w:sz="4" w:space="0" w:color="auto"/>
            </w:tcBorders>
          </w:tcPr>
          <w:p w14:paraId="0C3D26AB" w14:textId="77777777" w:rsidR="000A1085"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One or more but not all criteria have an impact of ‘B’, and</w:t>
            </w:r>
            <w:r w:rsidR="000A1085" w:rsidRPr="004D2A4C">
              <w:rPr>
                <w:rFonts w:asciiTheme="minorHAnsi" w:hAnsiTheme="minorHAnsi" w:cstheme="minorHAnsi"/>
              </w:rPr>
              <w:t xml:space="preserve"> </w:t>
            </w:r>
            <w:r w:rsidRPr="004D2A4C">
              <w:rPr>
                <w:rFonts w:asciiTheme="minorHAnsi" w:hAnsiTheme="minorHAnsi" w:cstheme="minorHAnsi"/>
              </w:rPr>
              <w:t>all remaining criteria have an impact of ‘A’; or</w:t>
            </w:r>
          </w:p>
          <w:p w14:paraId="10BC978F" w14:textId="21011C5B" w:rsidR="00C40111" w:rsidRPr="004D2A4C" w:rsidRDefault="00C40111" w:rsidP="00205EC0">
            <w:pPr>
              <w:pStyle w:val="TableText"/>
              <w:keepNext/>
              <w:rPr>
                <w:rFonts w:asciiTheme="minorHAnsi" w:hAnsiTheme="minorHAnsi" w:cstheme="minorHAnsi"/>
                <w:highlight w:val="yellow"/>
              </w:rPr>
            </w:pPr>
            <w:r w:rsidRPr="004D2A4C">
              <w:rPr>
                <w:rFonts w:asciiTheme="minorHAnsi" w:hAnsiTheme="minorHAnsi" w:cstheme="minorHAnsi"/>
              </w:rPr>
              <w:t>all criteria have an impact of ‘A’.</w:t>
            </w:r>
          </w:p>
        </w:tc>
        <w:tc>
          <w:tcPr>
            <w:tcW w:w="1354" w:type="pct"/>
            <w:tcBorders>
              <w:top w:val="nil"/>
              <w:bottom w:val="single" w:sz="4" w:space="0" w:color="auto"/>
            </w:tcBorders>
          </w:tcPr>
          <w:p w14:paraId="2E0EF84E"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w:t>
            </w:r>
          </w:p>
        </w:tc>
      </w:tr>
    </w:tbl>
    <w:p w14:paraId="55277778" w14:textId="77777777" w:rsidR="00C40111" w:rsidRDefault="00C40111" w:rsidP="00F85722">
      <w:pPr>
        <w:pStyle w:val="Heading4-Appendix"/>
        <w:numPr>
          <w:ilvl w:val="0"/>
          <w:numId w:val="4"/>
        </w:numPr>
        <w:tabs>
          <w:tab w:val="num" w:pos="720"/>
        </w:tabs>
      </w:pPr>
      <w:r>
        <w:t>Estimation of the unrestricted risk</w:t>
      </w:r>
    </w:p>
    <w:p w14:paraId="661F1693" w14:textId="1C5CA475" w:rsidR="00C40111" w:rsidRPr="004D2A4C" w:rsidRDefault="00C40111" w:rsidP="00C40111">
      <w:pPr>
        <w:rPr>
          <w:rFonts w:asciiTheme="minorHAnsi" w:hAnsiTheme="minorHAnsi" w:cstheme="minorHAnsi"/>
        </w:rPr>
      </w:pPr>
      <w:r w:rsidRPr="004D2A4C">
        <w:rPr>
          <w:rFonts w:asciiTheme="minorHAnsi" w:hAnsiTheme="minorHAnsi" w:cstheme="minorHAnsi"/>
        </w:rPr>
        <w:t>Once the assessment of the likelihood of entry, establishment and spread and for potential consequences are completed, the unrestricted risk can be determined for each pest or each group of pests. This is determined by using a risk estimation matrix (</w:t>
      </w:r>
      <w:r w:rsidRPr="004D2A4C">
        <w:rPr>
          <w:rFonts w:asciiTheme="minorHAnsi" w:hAnsiTheme="minorHAnsi" w:cstheme="minorHAnsi"/>
        </w:rPr>
        <w:fldChar w:fldCharType="begin"/>
      </w:r>
      <w:r w:rsidRPr="004D2A4C">
        <w:rPr>
          <w:rFonts w:asciiTheme="minorHAnsi" w:hAnsiTheme="minorHAnsi" w:cstheme="minorHAnsi"/>
        </w:rPr>
        <w:instrText xml:space="preserve"> REF _Ref524355015 \h  \* MERGEFORMAT </w:instrText>
      </w:r>
      <w:r w:rsidRPr="004D2A4C">
        <w:rPr>
          <w:rFonts w:asciiTheme="minorHAnsi" w:hAnsiTheme="minorHAnsi" w:cstheme="minorHAnsi"/>
        </w:rPr>
      </w:r>
      <w:r w:rsidRPr="004D2A4C">
        <w:rPr>
          <w:rFonts w:asciiTheme="minorHAnsi" w:hAnsiTheme="minorHAnsi" w:cstheme="minorHAnsi"/>
        </w:rPr>
        <w:fldChar w:fldCharType="separate"/>
      </w:r>
      <w:r w:rsidR="00391357" w:rsidRPr="004D2A4C">
        <w:rPr>
          <w:rFonts w:asciiTheme="minorHAnsi" w:hAnsiTheme="minorHAnsi" w:cstheme="minorHAnsi"/>
        </w:rPr>
        <w:t xml:space="preserve">Table </w:t>
      </w:r>
      <w:r w:rsidR="00391357" w:rsidRPr="004D2A4C">
        <w:rPr>
          <w:rFonts w:asciiTheme="minorHAnsi" w:hAnsiTheme="minorHAnsi" w:cstheme="minorHAnsi"/>
          <w:noProof/>
        </w:rPr>
        <w:t>A.</w:t>
      </w:r>
      <w:r w:rsidR="00391357">
        <w:rPr>
          <w:rFonts w:asciiTheme="minorHAnsi" w:hAnsiTheme="minorHAnsi" w:cstheme="minorHAnsi"/>
          <w:noProof/>
        </w:rPr>
        <w:t>4</w:t>
      </w:r>
      <w:r w:rsidRPr="004D2A4C">
        <w:rPr>
          <w:rFonts w:asciiTheme="minorHAnsi" w:hAnsiTheme="minorHAnsi" w:cstheme="minorHAnsi"/>
        </w:rPr>
        <w:fldChar w:fldCharType="end"/>
      </w:r>
      <w:r w:rsidRPr="004D2A4C">
        <w:rPr>
          <w:rFonts w:asciiTheme="minorHAnsi" w:hAnsiTheme="minorHAnsi" w:cstheme="minorHAnsi"/>
        </w:rPr>
        <w:t>) to combine the estimates of the likelihood of entry, establishment and spread and the overall consequences of pest establishment and spread.</w:t>
      </w:r>
    </w:p>
    <w:p w14:paraId="51B1F964" w14:textId="56E2297F"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w:t>
      </w:r>
      <w:proofErr w:type="gramStart"/>
      <w:r w:rsidRPr="004D2A4C">
        <w:rPr>
          <w:rFonts w:asciiTheme="minorHAnsi" w:hAnsiTheme="minorHAnsi" w:cstheme="minorHAnsi"/>
        </w:rPr>
        <w:t>High</w:t>
      </w:r>
      <w:proofErr w:type="gramEnd"/>
      <w:r w:rsidRPr="004D2A4C">
        <w:rPr>
          <w:rFonts w:asciiTheme="minorHAnsi" w:hAnsiTheme="minorHAnsi" w:cstheme="minorHAnsi"/>
        </w:rPr>
        <w:t xml:space="preserve"> likelihood combined with Low consequences—the matrix is not symmetrical. For example, the former combination would give an unrestricted risk rating of Moderate, whereas the latter would give a Low rating.</w:t>
      </w:r>
    </w:p>
    <w:p w14:paraId="33B95210" w14:textId="26E5D03B" w:rsidR="00C40111" w:rsidRPr="004D2A4C" w:rsidRDefault="00C40111" w:rsidP="00C40111">
      <w:pPr>
        <w:pStyle w:val="Tablecaption"/>
        <w:rPr>
          <w:rFonts w:asciiTheme="minorHAnsi" w:hAnsiTheme="minorHAnsi" w:cstheme="minorHAnsi"/>
        </w:rPr>
      </w:pPr>
      <w:bookmarkStart w:id="71" w:name="_Ref524355015"/>
      <w:bookmarkStart w:id="72" w:name="_Toc6906418"/>
      <w:bookmarkStart w:id="73" w:name="_Toc112674179"/>
      <w:bookmarkStart w:id="74" w:name="_Toc209446391"/>
      <w:r w:rsidRPr="004D2A4C">
        <w:rPr>
          <w:rFonts w:asciiTheme="minorHAnsi" w:hAnsiTheme="minorHAnsi" w:cstheme="minorHAnsi"/>
        </w:rPr>
        <w:t>Table A.</w:t>
      </w:r>
      <w:r w:rsidR="002B4E46" w:rsidRPr="004D2A4C">
        <w:rPr>
          <w:rFonts w:asciiTheme="minorHAnsi" w:hAnsiTheme="minorHAnsi" w:cstheme="minorHAnsi"/>
        </w:rPr>
        <w:fldChar w:fldCharType="begin"/>
      </w:r>
      <w:r w:rsidR="002B4E46" w:rsidRPr="004D2A4C">
        <w:rPr>
          <w:rFonts w:asciiTheme="minorHAnsi" w:hAnsiTheme="minorHAnsi" w:cstheme="minorHAnsi"/>
        </w:rPr>
        <w:instrText xml:space="preserve"> SEQ Table \* ARABIC \s 2 </w:instrText>
      </w:r>
      <w:r w:rsidR="002B4E46" w:rsidRPr="004D2A4C">
        <w:rPr>
          <w:rFonts w:asciiTheme="minorHAnsi" w:hAnsiTheme="minorHAnsi" w:cstheme="minorHAnsi"/>
        </w:rPr>
        <w:fldChar w:fldCharType="separate"/>
      </w:r>
      <w:r w:rsidR="00391357">
        <w:rPr>
          <w:rFonts w:asciiTheme="minorHAnsi" w:hAnsiTheme="minorHAnsi" w:cstheme="minorHAnsi"/>
          <w:noProof/>
        </w:rPr>
        <w:t>4</w:t>
      </w:r>
      <w:r w:rsidR="002B4E46" w:rsidRPr="004D2A4C">
        <w:rPr>
          <w:rFonts w:asciiTheme="minorHAnsi" w:hAnsiTheme="minorHAnsi" w:cstheme="minorHAnsi"/>
        </w:rPr>
        <w:fldChar w:fldCharType="end"/>
      </w:r>
      <w:bookmarkEnd w:id="71"/>
      <w:r w:rsidRPr="004D2A4C">
        <w:rPr>
          <w:rFonts w:asciiTheme="minorHAnsi" w:hAnsiTheme="minorHAnsi" w:cstheme="minorHAnsi"/>
        </w:rPr>
        <w:t xml:space="preserve"> Risk estimation matrix</w:t>
      </w:r>
      <w:bookmarkEnd w:id="72"/>
      <w:bookmarkEnd w:id="73"/>
      <w:bookmarkEnd w:id="74"/>
    </w:p>
    <w:tbl>
      <w:tblPr>
        <w:tblW w:w="5000" w:type="pct"/>
        <w:tblLook w:val="0000" w:firstRow="0" w:lastRow="0" w:firstColumn="0" w:lastColumn="0" w:noHBand="0" w:noVBand="0"/>
      </w:tblPr>
      <w:tblGrid>
        <w:gridCol w:w="1438"/>
        <w:gridCol w:w="1270"/>
        <w:gridCol w:w="1270"/>
        <w:gridCol w:w="1272"/>
        <w:gridCol w:w="1270"/>
        <w:gridCol w:w="1270"/>
        <w:gridCol w:w="1270"/>
      </w:tblGrid>
      <w:tr w:rsidR="00C40111" w:rsidRPr="004D2A4C" w14:paraId="43631E18" w14:textId="77777777" w:rsidTr="00205EC0">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678DF665"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vAlign w:val="bottom"/>
          </w:tcPr>
          <w:p w14:paraId="4C325E93"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Consequences of pest entry, establishment and spread</w:t>
            </w:r>
          </w:p>
        </w:tc>
      </w:tr>
      <w:tr w:rsidR="00C40111" w:rsidRPr="004D2A4C" w14:paraId="6AAA6AC0" w14:textId="77777777" w:rsidTr="00205EC0">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4C865FC0" w14:textId="77777777" w:rsidR="00C40111" w:rsidRPr="004D2A4C" w:rsidRDefault="00C40111" w:rsidP="00205EC0">
            <w:pPr>
              <w:pStyle w:val="TableText"/>
              <w:keepNext/>
              <w:rPr>
                <w:rFonts w:asciiTheme="minorHAnsi" w:hAnsiTheme="minorHAnsi" w:cstheme="minorHAnsi"/>
                <w:color w:val="FFFFFF" w:themeColor="background1"/>
              </w:rPr>
            </w:pPr>
          </w:p>
        </w:tc>
        <w:tc>
          <w:tcPr>
            <w:tcW w:w="701" w:type="pct"/>
            <w:tcBorders>
              <w:top w:val="single" w:sz="4" w:space="0" w:color="BFBFBF" w:themeColor="background1" w:themeShade="BF"/>
              <w:left w:val="nil"/>
              <w:bottom w:val="single" w:sz="8" w:space="0" w:color="C0C0C0"/>
            </w:tcBorders>
            <w:vAlign w:val="bottom"/>
          </w:tcPr>
          <w:p w14:paraId="5A142B34"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 xml:space="preserve">Negligible </w:t>
            </w:r>
          </w:p>
        </w:tc>
        <w:tc>
          <w:tcPr>
            <w:tcW w:w="701" w:type="pct"/>
            <w:tcBorders>
              <w:top w:val="single" w:sz="4" w:space="0" w:color="BFBFBF" w:themeColor="background1" w:themeShade="BF"/>
              <w:bottom w:val="single" w:sz="8" w:space="0" w:color="C0C0C0"/>
            </w:tcBorders>
            <w:vAlign w:val="bottom"/>
          </w:tcPr>
          <w:p w14:paraId="52CA5DA7"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Very Low</w:t>
            </w:r>
          </w:p>
        </w:tc>
        <w:tc>
          <w:tcPr>
            <w:tcW w:w="702" w:type="pct"/>
            <w:tcBorders>
              <w:top w:val="single" w:sz="4" w:space="0" w:color="BFBFBF" w:themeColor="background1" w:themeShade="BF"/>
              <w:bottom w:val="single" w:sz="8" w:space="0" w:color="C0C0C0"/>
            </w:tcBorders>
            <w:vAlign w:val="bottom"/>
          </w:tcPr>
          <w:p w14:paraId="3877C1DC"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 xml:space="preserve">Low </w:t>
            </w:r>
          </w:p>
        </w:tc>
        <w:tc>
          <w:tcPr>
            <w:tcW w:w="701" w:type="pct"/>
            <w:tcBorders>
              <w:top w:val="single" w:sz="4" w:space="0" w:color="BFBFBF" w:themeColor="background1" w:themeShade="BF"/>
              <w:bottom w:val="single" w:sz="8" w:space="0" w:color="C0C0C0"/>
            </w:tcBorders>
            <w:vAlign w:val="bottom"/>
          </w:tcPr>
          <w:p w14:paraId="6554E7DE"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Moderate</w:t>
            </w:r>
          </w:p>
        </w:tc>
        <w:tc>
          <w:tcPr>
            <w:tcW w:w="701" w:type="pct"/>
            <w:tcBorders>
              <w:top w:val="single" w:sz="4" w:space="0" w:color="BFBFBF" w:themeColor="background1" w:themeShade="BF"/>
              <w:bottom w:val="single" w:sz="8" w:space="0" w:color="C0C0C0"/>
            </w:tcBorders>
            <w:vAlign w:val="bottom"/>
          </w:tcPr>
          <w:p w14:paraId="05500C6A"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High</w:t>
            </w:r>
          </w:p>
        </w:tc>
        <w:tc>
          <w:tcPr>
            <w:tcW w:w="701" w:type="pct"/>
            <w:tcBorders>
              <w:top w:val="single" w:sz="4" w:space="0" w:color="BFBFBF" w:themeColor="background1" w:themeShade="BF"/>
              <w:bottom w:val="single" w:sz="8" w:space="0" w:color="C0C0C0"/>
              <w:right w:val="single" w:sz="4" w:space="0" w:color="auto"/>
            </w:tcBorders>
            <w:vAlign w:val="bottom"/>
          </w:tcPr>
          <w:p w14:paraId="6AF8ED09"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 xml:space="preserve">Extreme </w:t>
            </w:r>
          </w:p>
        </w:tc>
      </w:tr>
      <w:tr w:rsidR="00C40111" w:rsidRPr="004D2A4C" w14:paraId="7CF5DDA4"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6CE4AF4"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531E2823"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46F6BB14" w14:textId="77777777" w:rsidR="00C40111" w:rsidRPr="004D2A4C" w:rsidRDefault="00C40111" w:rsidP="00205EC0">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0273CB7B"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2F51DFAA"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72FE3627"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1D706C42"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Extreme risk</w:t>
            </w:r>
          </w:p>
        </w:tc>
      </w:tr>
      <w:tr w:rsidR="00C40111" w:rsidRPr="004D2A4C" w14:paraId="1C92E1FE"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F44C938"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CE8783C"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D595842" w14:textId="77777777" w:rsidR="00C40111" w:rsidRPr="004D2A4C" w:rsidRDefault="00C40111" w:rsidP="00205EC0">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779BBA3C"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2C447CF8"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5A7B0298"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3C1F6C84"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Extreme risk</w:t>
            </w:r>
          </w:p>
        </w:tc>
      </w:tr>
      <w:tr w:rsidR="00C40111" w:rsidRPr="004D2A4C" w14:paraId="5670CDC5"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9F47F2D"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3BFBA23"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D54B3EC"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5872B18" w14:textId="77777777" w:rsidR="00C40111" w:rsidRPr="004D2A4C" w:rsidRDefault="00C40111" w:rsidP="00205EC0">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D8D00B3"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560A9B8"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585BD7C0"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High risk</w:t>
            </w:r>
          </w:p>
        </w:tc>
      </w:tr>
      <w:tr w:rsidR="00C40111" w:rsidRPr="004D2A4C" w14:paraId="4951256A"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092E36C"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E2B6C71"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2EC0C75"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4A6C36F"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CA47ED9" w14:textId="77777777" w:rsidR="00C40111" w:rsidRPr="004D2A4C" w:rsidRDefault="00C40111" w:rsidP="00205EC0">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DA318B0"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4F6C0D9"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Moderate risk</w:t>
            </w:r>
          </w:p>
        </w:tc>
      </w:tr>
      <w:tr w:rsidR="00C40111" w:rsidRPr="004D2A4C" w14:paraId="0A64F868"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9153284"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D3FD814"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5516736"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EF14454"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8D72FD2"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25254F3" w14:textId="77777777" w:rsidR="00C40111" w:rsidRPr="004D2A4C" w:rsidRDefault="00C40111" w:rsidP="00205EC0">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2B919099"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Low risk</w:t>
            </w:r>
          </w:p>
        </w:tc>
      </w:tr>
      <w:tr w:rsidR="00C40111" w:rsidRPr="004D2A4C" w14:paraId="19841E2F" w14:textId="77777777" w:rsidTr="00205EC0">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E9A6873" w14:textId="77777777" w:rsidR="00C40111" w:rsidRPr="004D2A4C" w:rsidRDefault="00C40111" w:rsidP="00205EC0">
            <w:pPr>
              <w:pStyle w:val="TableText"/>
              <w:rPr>
                <w:rFonts w:asciiTheme="minorHAnsi" w:hAnsiTheme="minorHAnsi" w:cstheme="minorHAnsi"/>
              </w:rPr>
            </w:pPr>
            <w:r w:rsidRPr="004D2A4C">
              <w:rPr>
                <w:rFonts w:asciiTheme="minorHAnsi" w:hAnsiTheme="minorHAnsi" w:cstheme="minorHAnsi"/>
              </w:rP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64A5E63B"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B7E5933"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930C55B"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F100700"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4E98E20" w14:textId="77777777" w:rsidR="00C40111" w:rsidRPr="004D2A4C" w:rsidRDefault="00C40111" w:rsidP="00205EC0">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1EFE36AC" w14:textId="77777777" w:rsidR="00C40111" w:rsidRPr="004D2A4C" w:rsidRDefault="00C40111" w:rsidP="00205EC0">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r>
    </w:tbl>
    <w:p w14:paraId="7C869F4D" w14:textId="77777777" w:rsidR="00C40111" w:rsidRDefault="00C40111" w:rsidP="00F85722">
      <w:pPr>
        <w:pStyle w:val="Heading4-Appendix"/>
        <w:numPr>
          <w:ilvl w:val="0"/>
          <w:numId w:val="4"/>
        </w:numPr>
        <w:tabs>
          <w:tab w:val="num" w:pos="720"/>
        </w:tabs>
      </w:pPr>
      <w:r>
        <w:t>The appropriate level of protection (ALOP) for Australia</w:t>
      </w:r>
    </w:p>
    <w:p w14:paraId="539A4FF2"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The SPS Agreement defines the concept of an ‘appropriate level of sanitary or phytosanitary protection (ALOP)’ as the level of protection deemed appropriate by the WTO Member establishing a </w:t>
      </w:r>
      <w:r w:rsidRPr="004D2A4C">
        <w:rPr>
          <w:rFonts w:asciiTheme="minorHAnsi" w:hAnsiTheme="minorHAnsi" w:cstheme="minorHAnsi"/>
        </w:rPr>
        <w:lastRenderedPageBreak/>
        <w:t>sanitary or phytosanitary measure to protect human, animal or plant life or health within its territory.</w:t>
      </w:r>
    </w:p>
    <w:p w14:paraId="61F9E43C" w14:textId="29A8F948"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Pr="004D2A4C">
        <w:rPr>
          <w:rFonts w:asciiTheme="minorHAnsi" w:hAnsiTheme="minorHAnsi" w:cstheme="minorHAnsi"/>
        </w:rPr>
        <w:fldChar w:fldCharType="begin"/>
      </w:r>
      <w:r w:rsidRPr="004D2A4C">
        <w:rPr>
          <w:rFonts w:asciiTheme="minorHAnsi" w:hAnsiTheme="minorHAnsi" w:cstheme="minorHAnsi"/>
        </w:rPr>
        <w:instrText xml:space="preserve"> REF _Ref524355015 \h  \* MERGEFORMAT </w:instrText>
      </w:r>
      <w:r w:rsidRPr="004D2A4C">
        <w:rPr>
          <w:rFonts w:asciiTheme="minorHAnsi" w:hAnsiTheme="minorHAnsi" w:cstheme="minorHAnsi"/>
        </w:rPr>
      </w:r>
      <w:r w:rsidRPr="004D2A4C">
        <w:rPr>
          <w:rFonts w:asciiTheme="minorHAnsi" w:hAnsiTheme="minorHAnsi" w:cstheme="minorHAnsi"/>
        </w:rPr>
        <w:fldChar w:fldCharType="separate"/>
      </w:r>
      <w:r w:rsidR="00391357" w:rsidRPr="004D2A4C">
        <w:rPr>
          <w:rFonts w:asciiTheme="minorHAnsi" w:hAnsiTheme="minorHAnsi" w:cstheme="minorHAnsi"/>
        </w:rPr>
        <w:t xml:space="preserve">Table </w:t>
      </w:r>
      <w:r w:rsidR="00391357" w:rsidRPr="004D2A4C">
        <w:rPr>
          <w:rFonts w:asciiTheme="minorHAnsi" w:hAnsiTheme="minorHAnsi" w:cstheme="minorHAnsi"/>
          <w:noProof/>
        </w:rPr>
        <w:t>A.</w:t>
      </w:r>
      <w:r w:rsidR="00391357">
        <w:rPr>
          <w:rFonts w:asciiTheme="minorHAnsi" w:hAnsiTheme="minorHAnsi" w:cstheme="minorHAnsi"/>
          <w:noProof/>
        </w:rPr>
        <w:t>4</w:t>
      </w:r>
      <w:r w:rsidRPr="004D2A4C">
        <w:rPr>
          <w:rFonts w:asciiTheme="minorHAnsi" w:hAnsiTheme="minorHAnsi" w:cstheme="minorHAnsi"/>
        </w:rPr>
        <w:fldChar w:fldCharType="end"/>
      </w:r>
      <w:r w:rsidRPr="004D2A4C">
        <w:rPr>
          <w:rFonts w:asciiTheme="minorHAnsi" w:hAnsiTheme="minorHAnsi" w:cstheme="minorHAnsi"/>
        </w:rPr>
        <w:t xml:space="preserve"> marked ‘Very Low risk’ represents the ALOP for Australia.</w:t>
      </w:r>
    </w:p>
    <w:p w14:paraId="4AB5AC29" w14:textId="77777777" w:rsidR="00C40111" w:rsidRDefault="00C40111" w:rsidP="00F85722">
      <w:pPr>
        <w:pStyle w:val="Heading4-Appendix"/>
        <w:numPr>
          <w:ilvl w:val="0"/>
          <w:numId w:val="4"/>
        </w:numPr>
        <w:tabs>
          <w:tab w:val="num" w:pos="720"/>
        </w:tabs>
      </w:pPr>
      <w:bookmarkStart w:id="75" w:name="_Ref524681905"/>
      <w:r>
        <w:t>Adoption of outcomes from previous assessments</w:t>
      </w:r>
      <w:bookmarkEnd w:id="75"/>
    </w:p>
    <w:p w14:paraId="369A7CFB"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Outcomes of previous risk assessments have been adopted in this assessment for pests for which the risk profile is assessed as comparable to previously assessed situations.</w:t>
      </w:r>
    </w:p>
    <w:p w14:paraId="5FB98C16"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4D2A4C">
        <w:rPr>
          <w:rFonts w:asciiTheme="minorHAnsi" w:hAnsiTheme="minorHAnsi" w:cstheme="minorHAnsi"/>
          <w:color w:val="000000" w:themeColor="text1"/>
        </w:rPr>
        <w:t xml:space="preserve">the ways the imported produce will be distributed within Australia </w:t>
      </w:r>
      <w:proofErr w:type="gramStart"/>
      <w:r w:rsidRPr="004D2A4C">
        <w:rPr>
          <w:rFonts w:asciiTheme="minorHAnsi" w:hAnsiTheme="minorHAnsi" w:cstheme="minorHAnsi"/>
          <w:color w:val="000000" w:themeColor="text1"/>
        </w:rPr>
        <w:t>as a result of</w:t>
      </w:r>
      <w:proofErr w:type="gramEnd"/>
      <w:r w:rsidRPr="004D2A4C">
        <w:rPr>
          <w:rFonts w:asciiTheme="minorHAnsi" w:hAnsiTheme="minorHAnsi" w:cstheme="minorHAnsi"/>
          <w:color w:val="000000" w:themeColor="text1"/>
        </w:rPr>
        <w:t xml:space="preserve"> the processing, sale or disposal of the imported produc</w:t>
      </w:r>
      <w:r w:rsidRPr="004D2A4C">
        <w:rPr>
          <w:rFonts w:asciiTheme="minorHAnsi" w:hAnsiTheme="minorHAnsi" w:cstheme="minorHAnsi"/>
        </w:rPr>
        <w:t xml:space="preserve">e, and the time of year when importation </w:t>
      </w:r>
      <w:r w:rsidRPr="004D2A4C">
        <w:rPr>
          <w:rFonts w:asciiTheme="minorHAnsi" w:hAnsiTheme="minorHAnsi" w:cstheme="minorHAnsi"/>
          <w:color w:val="000000" w:themeColor="text1"/>
        </w:rPr>
        <w:t>occurs</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color w:val="000000" w:themeColor="text1"/>
        </w:rPr>
        <w:t>and</w:t>
      </w:r>
      <w:r w:rsidRPr="004D2A4C">
        <w:rPr>
          <w:rFonts w:asciiTheme="minorHAnsi" w:hAnsiTheme="minorHAnsi" w:cstheme="minorHAnsi"/>
        </w:rPr>
        <w:t xml:space="preserve"> the availability and susceptibility of hosts at that time. After comparing these factors and reviewing the latest literature, previously determined ratings may be adopted if the department considers the likelihoods for the pathway being assessed to be comparable to those assigned in the previous assessment(s), and there is no new information to suggest that the ratings assigned in the previous assessment(s) have changed.</w:t>
      </w:r>
    </w:p>
    <w:p w14:paraId="6C401F33" w14:textId="1005DB23" w:rsidR="00C40111" w:rsidRPr="004D2A4C" w:rsidRDefault="00C40111" w:rsidP="00C40111">
      <w:pPr>
        <w:rPr>
          <w:rFonts w:asciiTheme="minorHAnsi" w:hAnsiTheme="minorHAnsi" w:cstheme="minorHAnsi"/>
        </w:rPr>
      </w:pPr>
      <w:r w:rsidRPr="004D2A4C">
        <w:rPr>
          <w:rFonts w:asciiTheme="minorHAnsi" w:hAnsiTheme="minorHAnsi" w:cstheme="minorHAnsi"/>
        </w:rPr>
        <w:t>The likelihood</w:t>
      </w:r>
      <w:r w:rsidR="003044D9" w:rsidRPr="004D2A4C">
        <w:rPr>
          <w:rFonts w:asciiTheme="minorHAnsi" w:hAnsiTheme="minorHAnsi" w:cstheme="minorHAnsi"/>
        </w:rPr>
        <w:t>s</w:t>
      </w:r>
      <w:r w:rsidRPr="004D2A4C">
        <w:rPr>
          <w:rFonts w:asciiTheme="minorHAnsi" w:hAnsiTheme="minorHAnsi" w:cstheme="minorHAnsi"/>
        </w:rPr>
        <w:t xml:space="preserve"> of establishment and of spread of a pest species in the PRA area will be comparable between risk assessments, regardless of the </w:t>
      </w:r>
      <w:r w:rsidRPr="004D2A4C">
        <w:rPr>
          <w:rFonts w:asciiTheme="minorHAnsi" w:hAnsiTheme="minorHAnsi" w:cstheme="minorHAnsi"/>
          <w:color w:val="000000" w:themeColor="text1"/>
        </w:rPr>
        <w:t xml:space="preserve">import </w:t>
      </w:r>
      <w:r w:rsidRPr="004D2A4C">
        <w:rPr>
          <w:rFonts w:asciiTheme="minorHAnsi" w:hAnsiTheme="minorHAnsi" w:cstheme="minorHAnsi"/>
        </w:rPr>
        <w:t xml:space="preserve">pathway through which the pest </w:t>
      </w:r>
      <w:r w:rsidRPr="004D2A4C">
        <w:rPr>
          <w:rFonts w:asciiTheme="minorHAnsi" w:hAnsiTheme="minorHAnsi" w:cstheme="minorHAnsi"/>
          <w:color w:val="000000" w:themeColor="text1"/>
        </w:rPr>
        <w:t>has entered the PRA area</w:t>
      </w:r>
      <w:r w:rsidRPr="004D2A4C">
        <w:rPr>
          <w:rFonts w:asciiTheme="minorHAnsi" w:hAnsiTheme="minorHAnsi" w:cstheme="minorHAnsi"/>
        </w:rPr>
        <w:t>. This is because these likelihoods relate specifically to conditions and events that occur in the PRA area and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4D2A4C">
        <w:rPr>
          <w:rFonts w:asciiTheme="minorHAnsi" w:hAnsiTheme="minorHAnsi" w:cstheme="minorHAnsi"/>
        </w:rPr>
        <w:t xml:space="preserve"> may be adopted with confidence.</w:t>
      </w:r>
    </w:p>
    <w:p w14:paraId="72F9E75A" w14:textId="77777777" w:rsidR="00C40111" w:rsidRDefault="00C40111" w:rsidP="00F85722">
      <w:pPr>
        <w:pStyle w:val="Heading4-Appendix"/>
        <w:numPr>
          <w:ilvl w:val="0"/>
          <w:numId w:val="4"/>
        </w:numPr>
        <w:tabs>
          <w:tab w:val="num" w:pos="720"/>
        </w:tabs>
      </w:pPr>
      <w:bookmarkStart w:id="76" w:name="_Ref524681882"/>
      <w:bookmarkStart w:id="77" w:name="_Ref51070313"/>
      <w:r>
        <w:t>Application of Group PRA</w:t>
      </w:r>
      <w:bookmarkEnd w:id="76"/>
      <w:r>
        <w:t xml:space="preserve">s </w:t>
      </w:r>
      <w:r w:rsidRPr="00474449">
        <w:t>to this risk analysis</w:t>
      </w:r>
      <w:bookmarkEnd w:id="77"/>
    </w:p>
    <w:p w14:paraId="782D6366"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The Group PRAs that were applied to this risk analysis are:</w:t>
      </w:r>
    </w:p>
    <w:p w14:paraId="004B3C11" w14:textId="282CEF5D"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color w:val="000000" w:themeColor="text1"/>
        </w:rPr>
        <w:t xml:space="preserve">the </w:t>
      </w:r>
      <w:r w:rsidRPr="004D2A4C">
        <w:rPr>
          <w:rFonts w:asciiTheme="minorHAnsi" w:hAnsiTheme="minorHAnsi" w:cstheme="minorHAnsi"/>
          <w:i/>
          <w:color w:val="000000" w:themeColor="text1"/>
        </w:rPr>
        <w:t xml:space="preserve">Final group pest risk analysis for thrips and </w:t>
      </w:r>
      <w:proofErr w:type="spellStart"/>
      <w:r w:rsidRPr="004D2A4C">
        <w:rPr>
          <w:rFonts w:asciiTheme="minorHAnsi" w:hAnsiTheme="minorHAnsi" w:cstheme="minorHAnsi"/>
          <w:i/>
          <w:color w:val="000000" w:themeColor="text1"/>
        </w:rPr>
        <w:t>orthotospoviruses</w:t>
      </w:r>
      <w:proofErr w:type="spellEnd"/>
      <w:r w:rsidRPr="004D2A4C">
        <w:rPr>
          <w:rFonts w:asciiTheme="minorHAnsi" w:hAnsiTheme="minorHAnsi" w:cstheme="minorHAnsi"/>
          <w:i/>
          <w:color w:val="000000" w:themeColor="text1"/>
        </w:rPr>
        <w:t xml:space="preserve"> on fresh fruit, vegetable, </w:t>
      </w:r>
      <w:proofErr w:type="gramStart"/>
      <w:r w:rsidRPr="004D2A4C">
        <w:rPr>
          <w:rFonts w:asciiTheme="minorHAnsi" w:hAnsiTheme="minorHAnsi" w:cstheme="minorHAnsi"/>
          <w:i/>
          <w:color w:val="000000" w:themeColor="text1"/>
        </w:rPr>
        <w:t>cut-flower</w:t>
      </w:r>
      <w:proofErr w:type="gramEnd"/>
      <w:r w:rsidRPr="004D2A4C">
        <w:rPr>
          <w:rFonts w:asciiTheme="minorHAnsi" w:hAnsiTheme="minorHAnsi" w:cstheme="minorHAnsi"/>
          <w:i/>
          <w:color w:val="000000" w:themeColor="text1"/>
        </w:rPr>
        <w:t xml:space="preserve"> and foliage imports</w:t>
      </w:r>
      <w:r w:rsidRPr="004D2A4C">
        <w:rPr>
          <w:rFonts w:asciiTheme="minorHAnsi" w:hAnsiTheme="minorHAnsi" w:cstheme="minorHAnsi"/>
          <w:color w:val="000000" w:themeColor="text1"/>
        </w:rPr>
        <w:t xml:space="preserve"> (thrips Group PRA) </w:t>
      </w:r>
      <w:r w:rsidR="00050AD9" w:rsidRPr="004D2A4C">
        <w:rPr>
          <w:rFonts w:asciiTheme="minorHAnsi" w:hAnsiTheme="minorHAnsi" w:cstheme="minorHAnsi"/>
          <w:color w:val="000000" w:themeColor="text1"/>
        </w:rPr>
        <w:t>(</w:t>
      </w:r>
      <w:r w:rsidRPr="004D2A4C">
        <w:rPr>
          <w:rFonts w:asciiTheme="minorHAnsi" w:hAnsiTheme="minorHAnsi" w:cstheme="minorHAnsi"/>
          <w:color w:val="000000" w:themeColor="text1"/>
        </w:rPr>
        <w:t>DAWR 2017</w:t>
      </w:r>
      <w:r w:rsidR="00050AD9" w:rsidRPr="004D2A4C">
        <w:rPr>
          <w:rFonts w:asciiTheme="minorHAnsi" w:hAnsiTheme="minorHAnsi" w:cstheme="minorHAnsi"/>
          <w:color w:val="000000" w:themeColor="text1"/>
        </w:rPr>
        <w:t>)</w:t>
      </w:r>
      <w:r w:rsidRPr="004D2A4C">
        <w:rPr>
          <w:rFonts w:asciiTheme="minorHAnsi" w:hAnsiTheme="minorHAnsi" w:cstheme="minorHAnsi"/>
          <w:color w:val="000000" w:themeColor="text1"/>
        </w:rPr>
        <w:t>.</w:t>
      </w:r>
    </w:p>
    <w:p w14:paraId="614BFCF7" w14:textId="55EDD74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 xml:space="preserve">the </w:t>
      </w:r>
      <w:r w:rsidRPr="004D2A4C">
        <w:rPr>
          <w:rFonts w:asciiTheme="minorHAnsi" w:hAnsiTheme="minorHAnsi" w:cstheme="minorHAnsi"/>
          <w:i/>
        </w:rPr>
        <w:t xml:space="preserve">Final group pest risk analysis for mealybugs and the viruses they transmit on fresh fruit, vegetable, </w:t>
      </w:r>
      <w:proofErr w:type="gramStart"/>
      <w:r w:rsidRPr="004D2A4C">
        <w:rPr>
          <w:rFonts w:asciiTheme="minorHAnsi" w:hAnsiTheme="minorHAnsi" w:cstheme="minorHAnsi"/>
          <w:i/>
        </w:rPr>
        <w:t>cut-flower</w:t>
      </w:r>
      <w:proofErr w:type="gramEnd"/>
      <w:r w:rsidRPr="004D2A4C">
        <w:rPr>
          <w:rFonts w:asciiTheme="minorHAnsi" w:hAnsiTheme="minorHAnsi" w:cstheme="minorHAnsi"/>
          <w:i/>
        </w:rPr>
        <w:t xml:space="preserve"> and foliage imports</w:t>
      </w:r>
      <w:r w:rsidRPr="004D2A4C">
        <w:rPr>
          <w:rFonts w:asciiTheme="minorHAnsi" w:hAnsiTheme="minorHAnsi" w:cstheme="minorHAnsi"/>
        </w:rPr>
        <w:t xml:space="preserve"> (mealybugs Group PRA) </w:t>
      </w:r>
      <w:r w:rsidR="00050AD9" w:rsidRPr="004D2A4C">
        <w:rPr>
          <w:rFonts w:asciiTheme="minorHAnsi" w:hAnsiTheme="minorHAnsi" w:cstheme="minorHAnsi"/>
        </w:rPr>
        <w:t>(</w:t>
      </w:r>
      <w:r w:rsidRPr="004D2A4C">
        <w:rPr>
          <w:rFonts w:asciiTheme="minorHAnsi" w:hAnsiTheme="minorHAnsi" w:cstheme="minorHAnsi"/>
        </w:rPr>
        <w:t>DAWR 2019</w:t>
      </w:r>
      <w:r w:rsidR="00050AD9" w:rsidRPr="004D2A4C">
        <w:rPr>
          <w:rFonts w:asciiTheme="minorHAnsi" w:hAnsiTheme="minorHAnsi" w:cstheme="minorHAnsi"/>
        </w:rPr>
        <w:t>)</w:t>
      </w:r>
      <w:r w:rsidRPr="004D2A4C">
        <w:rPr>
          <w:rFonts w:asciiTheme="minorHAnsi" w:hAnsiTheme="minorHAnsi" w:cstheme="minorHAnsi"/>
        </w:rPr>
        <w:t>.</w:t>
      </w:r>
    </w:p>
    <w:p w14:paraId="3B3470B1" w14:textId="131BD3FB"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lastRenderedPageBreak/>
        <w:t xml:space="preserve">the </w:t>
      </w:r>
      <w:r w:rsidRPr="004D2A4C">
        <w:rPr>
          <w:rFonts w:asciiTheme="minorHAnsi" w:hAnsiTheme="minorHAnsi" w:cstheme="minorHAnsi"/>
          <w:i/>
        </w:rPr>
        <w:t xml:space="preserve">Final group pest risk analysis for soft and hard scale insects on fresh fruit, vegetable, </w:t>
      </w:r>
      <w:proofErr w:type="gramStart"/>
      <w:r w:rsidRPr="004D2A4C">
        <w:rPr>
          <w:rFonts w:asciiTheme="minorHAnsi" w:hAnsiTheme="minorHAnsi" w:cstheme="minorHAnsi"/>
          <w:i/>
        </w:rPr>
        <w:t>cut-flower</w:t>
      </w:r>
      <w:proofErr w:type="gramEnd"/>
      <w:r w:rsidRPr="004D2A4C">
        <w:rPr>
          <w:rFonts w:asciiTheme="minorHAnsi" w:hAnsiTheme="minorHAnsi" w:cstheme="minorHAnsi"/>
          <w:i/>
        </w:rPr>
        <w:t xml:space="preserve"> and foliage imports</w:t>
      </w:r>
      <w:r w:rsidRPr="004D2A4C">
        <w:rPr>
          <w:rFonts w:asciiTheme="minorHAnsi" w:hAnsiTheme="minorHAnsi" w:cstheme="minorHAnsi"/>
        </w:rPr>
        <w:t xml:space="preserve"> (scales Group PRA) </w:t>
      </w:r>
      <w:r w:rsidR="00050AD9" w:rsidRPr="004D2A4C">
        <w:rPr>
          <w:rFonts w:asciiTheme="minorHAnsi" w:hAnsiTheme="minorHAnsi" w:cstheme="minorHAnsi"/>
        </w:rPr>
        <w:t>(</w:t>
      </w:r>
      <w:r w:rsidRPr="004D2A4C">
        <w:rPr>
          <w:rFonts w:asciiTheme="minorHAnsi" w:hAnsiTheme="minorHAnsi" w:cstheme="minorHAnsi"/>
        </w:rPr>
        <w:t>DAWE 2021</w:t>
      </w:r>
      <w:r w:rsidR="00050AD9" w:rsidRPr="004D2A4C">
        <w:rPr>
          <w:rFonts w:asciiTheme="minorHAnsi" w:hAnsiTheme="minorHAnsi" w:cstheme="minorHAnsi"/>
        </w:rPr>
        <w:t>)</w:t>
      </w:r>
      <w:r w:rsidRPr="004D2A4C">
        <w:rPr>
          <w:rFonts w:asciiTheme="minorHAnsi" w:hAnsiTheme="minorHAnsi" w:cstheme="minorHAnsi"/>
        </w:rPr>
        <w:t>.</w:t>
      </w:r>
    </w:p>
    <w:p w14:paraId="65D3F9CF" w14:textId="7DC60A0C"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The Group PRA approach is consistent with relevant international standards and requirements–including ISPM 2: </w:t>
      </w:r>
      <w:r w:rsidRPr="004D2A4C">
        <w:rPr>
          <w:rFonts w:asciiTheme="minorHAnsi" w:hAnsiTheme="minorHAnsi" w:cstheme="minorHAnsi"/>
          <w:i/>
          <w:iCs/>
        </w:rPr>
        <w:t>Framework for Pest Risk Analysis</w:t>
      </w:r>
      <w:r w:rsidRPr="004D2A4C">
        <w:rPr>
          <w:rFonts w:asciiTheme="minorHAnsi" w:hAnsiTheme="minorHAnsi" w:cstheme="minorHAnsi"/>
        </w:rPr>
        <w:t xml:space="preserve"> </w:t>
      </w:r>
      <w:r w:rsidR="008F5F34" w:rsidRPr="004D2A4C">
        <w:rPr>
          <w:rFonts w:asciiTheme="minorHAnsi" w:hAnsiTheme="minorHAnsi" w:cstheme="minorHAnsi"/>
        </w:rPr>
        <w:t>(FAO 2019a)</w:t>
      </w:r>
      <w:r w:rsidRPr="004D2A4C">
        <w:rPr>
          <w:rFonts w:asciiTheme="minorHAnsi" w:hAnsiTheme="minorHAnsi" w:cstheme="minorHAnsi"/>
        </w:rPr>
        <w:t xml:space="preserve">, ISPM 11: Pest Risk Analysis for Quarantine Pests </w:t>
      </w:r>
      <w:r w:rsidR="008F5F34" w:rsidRPr="004D2A4C">
        <w:rPr>
          <w:rFonts w:asciiTheme="minorHAnsi" w:hAnsiTheme="minorHAnsi" w:cstheme="minorHAnsi"/>
        </w:rPr>
        <w:t>(FAO 2019b)</w:t>
      </w:r>
      <w:r w:rsidRPr="004D2A4C">
        <w:rPr>
          <w:rFonts w:asciiTheme="minorHAnsi" w:hAnsiTheme="minorHAnsi" w:cstheme="minorHAnsi"/>
        </w:rPr>
        <w:t xml:space="preserve"> and the SPS Agreement </w:t>
      </w:r>
      <w:r w:rsidR="00292E60" w:rsidRPr="004D2A4C">
        <w:rPr>
          <w:rFonts w:asciiTheme="minorHAnsi" w:hAnsiTheme="minorHAnsi" w:cstheme="minorHAnsi"/>
        </w:rPr>
        <w:t>(</w:t>
      </w:r>
      <w:r w:rsidRPr="004D2A4C">
        <w:rPr>
          <w:rFonts w:asciiTheme="minorHAnsi" w:hAnsiTheme="minorHAnsi" w:cstheme="minorHAnsi"/>
        </w:rPr>
        <w:t>WTO 1995</w:t>
      </w:r>
      <w:r w:rsidR="00292E60" w:rsidRPr="004D2A4C">
        <w:rPr>
          <w:rFonts w:asciiTheme="minorHAnsi" w:hAnsiTheme="minorHAnsi" w:cstheme="minorHAnsi"/>
        </w:rPr>
        <w:t>)</w:t>
      </w:r>
      <w:r w:rsidRPr="004D2A4C">
        <w:rPr>
          <w:rFonts w:asciiTheme="minorHAnsi" w:hAnsiTheme="minorHAnsi" w:cstheme="minorHAnsi"/>
        </w:rPr>
        <w:t>. ISPM 2 states that ‘Specific organisms may … be analysed individually, or in groups where individual species share common biological characteristics.’</w:t>
      </w:r>
    </w:p>
    <w:p w14:paraId="10236D4B" w14:textId="2EBB7FFF"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Risk estimates derived from a Group PRA are ‘indicative’ in character. This is because the likelihood of entry (the combined likelihoods of importation and distribution) can be influenced by a range of pathway-specific factors, as explained in section </w:t>
      </w:r>
      <w:r w:rsidRPr="004D2A4C">
        <w:rPr>
          <w:rFonts w:asciiTheme="minorHAnsi" w:hAnsiTheme="minorHAnsi" w:cstheme="minorHAnsi"/>
        </w:rPr>
        <w:fldChar w:fldCharType="begin"/>
      </w:r>
      <w:r w:rsidRPr="004D2A4C">
        <w:rPr>
          <w:rFonts w:asciiTheme="minorHAnsi" w:hAnsiTheme="minorHAnsi" w:cstheme="minorHAnsi"/>
        </w:rPr>
        <w:instrText xml:space="preserve"> REF _Ref524681905 \r \h  \* MERGEFORMAT </w:instrText>
      </w:r>
      <w:r w:rsidRPr="004D2A4C">
        <w:rPr>
          <w:rFonts w:asciiTheme="minorHAnsi" w:hAnsiTheme="minorHAnsi" w:cstheme="minorHAnsi"/>
        </w:rPr>
      </w:r>
      <w:r w:rsidRPr="004D2A4C">
        <w:rPr>
          <w:rFonts w:asciiTheme="minorHAnsi" w:hAnsiTheme="minorHAnsi" w:cstheme="minorHAnsi"/>
        </w:rPr>
        <w:fldChar w:fldCharType="separate"/>
      </w:r>
      <w:r w:rsidR="00391357">
        <w:rPr>
          <w:rFonts w:asciiTheme="minorHAnsi" w:hAnsiTheme="minorHAnsi" w:cstheme="minorHAnsi"/>
        </w:rPr>
        <w:t>A2.6</w:t>
      </w:r>
      <w:r w:rsidRPr="004D2A4C">
        <w:rPr>
          <w:rFonts w:asciiTheme="minorHAnsi" w:hAnsiTheme="minorHAnsi" w:cstheme="minorHAnsi"/>
        </w:rPr>
        <w:fldChar w:fldCharType="end"/>
      </w:r>
      <w:r w:rsidRPr="004D2A4C">
        <w:rPr>
          <w:rFonts w:asciiTheme="minorHAnsi" w:hAnsiTheme="minorHAnsi" w:cstheme="minorHAnsi"/>
        </w:rPr>
        <w:t>. Therefore, the indicative likelihood of entry from a Group PRA needs to be verified on a case-by-case basis.</w:t>
      </w:r>
    </w:p>
    <w:p w14:paraId="3A2489B9" w14:textId="6C092EE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In contrast, and as noted in section </w:t>
      </w:r>
      <w:r w:rsidRPr="004D2A4C">
        <w:rPr>
          <w:rFonts w:asciiTheme="minorHAnsi" w:hAnsiTheme="minorHAnsi" w:cstheme="minorHAnsi"/>
        </w:rPr>
        <w:fldChar w:fldCharType="begin"/>
      </w:r>
      <w:r w:rsidRPr="004D2A4C">
        <w:rPr>
          <w:rFonts w:asciiTheme="minorHAnsi" w:hAnsiTheme="minorHAnsi" w:cstheme="minorHAnsi"/>
        </w:rPr>
        <w:instrText xml:space="preserve"> REF _Ref524681905 \r \h  \* MERGEFORMAT </w:instrText>
      </w:r>
      <w:r w:rsidRPr="004D2A4C">
        <w:rPr>
          <w:rFonts w:asciiTheme="minorHAnsi" w:hAnsiTheme="minorHAnsi" w:cstheme="minorHAnsi"/>
        </w:rPr>
      </w:r>
      <w:r w:rsidRPr="004D2A4C">
        <w:rPr>
          <w:rFonts w:asciiTheme="minorHAnsi" w:hAnsiTheme="minorHAnsi" w:cstheme="minorHAnsi"/>
        </w:rPr>
        <w:fldChar w:fldCharType="separate"/>
      </w:r>
      <w:r w:rsidR="00391357">
        <w:rPr>
          <w:rFonts w:asciiTheme="minorHAnsi" w:hAnsiTheme="minorHAnsi" w:cstheme="minorHAnsi"/>
        </w:rPr>
        <w:t>A2.6</w:t>
      </w:r>
      <w:r w:rsidRPr="004D2A4C">
        <w:rPr>
          <w:rFonts w:asciiTheme="minorHAnsi" w:hAnsiTheme="minorHAnsi" w:cstheme="minorHAnsi"/>
        </w:rPr>
        <w:fldChar w:fldCharType="end"/>
      </w:r>
      <w:r w:rsidRPr="004D2A4C">
        <w:rPr>
          <w:rFonts w:asciiTheme="minorHAnsi" w:hAnsiTheme="minorHAnsi" w:cstheme="minorHAnsi"/>
        </w:rP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26C44FE1"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54394420"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Application of Group policy involves identification of up to 3 species of each relevant group associated with the import pathway. However, if any other quarantine pests or regulated articles not included in this risk analysis and/or in the relevant group policies are detected at pre-export or on arrival in Australia, the relevant Group policy will also apply.</w:t>
      </w:r>
    </w:p>
    <w:p w14:paraId="33F77437" w14:textId="77777777" w:rsidR="00C40111" w:rsidRDefault="00C40111" w:rsidP="00F85722">
      <w:pPr>
        <w:pStyle w:val="Heading3-Appendix"/>
        <w:numPr>
          <w:ilvl w:val="0"/>
          <w:numId w:val="5"/>
        </w:numPr>
        <w:tabs>
          <w:tab w:val="num" w:pos="720"/>
        </w:tabs>
        <w:ind w:left="357" w:hanging="357"/>
      </w:pPr>
      <w:bookmarkStart w:id="78" w:name="_Toc389741444"/>
      <w:bookmarkStart w:id="79" w:name="_Toc6906042"/>
      <w:r>
        <w:t>Stage 3: Pest risk management</w:t>
      </w:r>
      <w:bookmarkEnd w:id="78"/>
      <w:bookmarkEnd w:id="79"/>
    </w:p>
    <w:p w14:paraId="37322DBC"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Pest risk management describes the process of identifying and implementing phytosanitary measures to manage risks to achieve the ALOP for Australia, while ensuring that any negative effects on trade are minimised.</w:t>
      </w:r>
    </w:p>
    <w:p w14:paraId="1B115147"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0267CB51" w14:textId="36EC28F3"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ISPM 11 </w:t>
      </w:r>
      <w:r w:rsidR="00D83A7F" w:rsidRPr="004D2A4C">
        <w:rPr>
          <w:rFonts w:asciiTheme="minorHAnsi" w:hAnsiTheme="minorHAnsi" w:cstheme="minorHAnsi"/>
        </w:rPr>
        <w:t xml:space="preserve">(FAO 2019b) </w:t>
      </w:r>
      <w:r w:rsidRPr="004D2A4C">
        <w:rPr>
          <w:rFonts w:asciiTheme="minorHAnsi" w:hAnsiTheme="minorHAnsi" w:cstheme="minorHAnsi"/>
        </w:rPr>
        <w:t>provides details on the identification and selection of appropriate risk management options and notes that the choice of measures should be based on their effectiveness in reducing the likelihood of entry of the pest.</w:t>
      </w:r>
    </w:p>
    <w:p w14:paraId="62EF9094"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lastRenderedPageBreak/>
        <w:t>Examples given of measures commonly applied to traded commodities include:</w:t>
      </w:r>
    </w:p>
    <w:p w14:paraId="1B8A79C7" w14:textId="7777777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2A6E8303" w14:textId="7777777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6CA4DB03" w14:textId="7777777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options ensuring that the area, place or site of production or crop is free from the pest—for example, pest-free area, pest-free place of production or pest-free production site</w:t>
      </w:r>
    </w:p>
    <w:p w14:paraId="0B72E287" w14:textId="7777777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options for other types of pathways—for example, consider natural spread, measures for human travellers and their baggage, cleaning or disinfestations of contaminated machinery</w:t>
      </w:r>
    </w:p>
    <w:p w14:paraId="5168FFD4" w14:textId="7777777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options within the importing country—for example, surveillance and eradication programs</w:t>
      </w:r>
    </w:p>
    <w:p w14:paraId="3F7FEA36" w14:textId="37BBBE16" w:rsidR="00634925" w:rsidRPr="004D2A4C" w:rsidRDefault="00C40111" w:rsidP="00B56499">
      <w:pPr>
        <w:pStyle w:val="ListBullet"/>
        <w:tabs>
          <w:tab w:val="left" w:pos="1878"/>
        </w:tabs>
        <w:jc w:val="both"/>
        <w:rPr>
          <w:rFonts w:asciiTheme="minorHAnsi" w:hAnsiTheme="minorHAnsi" w:cstheme="minorHAnsi"/>
        </w:rPr>
      </w:pPr>
      <w:r w:rsidRPr="004D2A4C">
        <w:rPr>
          <w:rFonts w:asciiTheme="minorHAnsi" w:hAnsiTheme="minorHAnsi" w:cstheme="minorHAnsi"/>
        </w:rPr>
        <w:t>prohibition of commodities—if no satisfactory measure can be found</w:t>
      </w:r>
      <w:r w:rsidR="00B76C44" w:rsidRPr="004D2A4C">
        <w:rPr>
          <w:rFonts w:asciiTheme="minorHAnsi" w:hAnsiTheme="minorHAnsi" w:cstheme="minorHAnsi"/>
        </w:rPr>
        <w:t>.</w:t>
      </w:r>
    </w:p>
    <w:p w14:paraId="21987DE8" w14:textId="798562C2" w:rsidR="00B76C44" w:rsidRPr="00B76C44" w:rsidRDefault="00B76C44" w:rsidP="00B76C44">
      <w:pPr>
        <w:tabs>
          <w:tab w:val="left" w:pos="1878"/>
        </w:tabs>
        <w:rPr>
          <w:lang w:val="en-US"/>
        </w:rPr>
        <w:sectPr w:rsidR="00B76C44" w:rsidRPr="00B76C44">
          <w:headerReference w:type="even" r:id="rId71"/>
          <w:headerReference w:type="default" r:id="rId72"/>
          <w:footerReference w:type="even" r:id="rId73"/>
          <w:footerReference w:type="default" r:id="rId74"/>
          <w:headerReference w:type="first" r:id="rId75"/>
          <w:footerReference w:type="first" r:id="rId76"/>
          <w:pgSz w:w="11906" w:h="16838"/>
          <w:pgMar w:top="1418" w:right="1418" w:bottom="1418" w:left="1418" w:header="567" w:footer="283" w:gutter="0"/>
          <w:cols w:space="708"/>
          <w:docGrid w:linePitch="360"/>
        </w:sectPr>
      </w:pPr>
      <w:r>
        <w:rPr>
          <w:lang w:val="en-US"/>
        </w:rPr>
        <w:tab/>
      </w:r>
    </w:p>
    <w:p w14:paraId="147A5084" w14:textId="2B861143" w:rsidR="00684F28" w:rsidRDefault="00D0393D" w:rsidP="00B96F59">
      <w:pPr>
        <w:pStyle w:val="Heading2"/>
        <w:numPr>
          <w:ilvl w:val="0"/>
          <w:numId w:val="0"/>
        </w:numPr>
        <w:ind w:left="794" w:hanging="794"/>
      </w:pPr>
      <w:bookmarkStart w:id="80" w:name="_Toc114642149"/>
      <w:bookmarkStart w:id="81" w:name="_Toc209446385"/>
      <w:r>
        <w:lastRenderedPageBreak/>
        <w:t>Glossary</w:t>
      </w:r>
      <w:r w:rsidR="00DF5FEC">
        <w:t>, acronyms and abbreviations</w:t>
      </w:r>
      <w:bookmarkEnd w:id="80"/>
      <w:bookmarkEnd w:id="81"/>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684F28" w:rsidRPr="00684F28" w14:paraId="3BFAEAE9" w14:textId="77777777" w:rsidTr="00FA2565">
        <w:trPr>
          <w:cantSplit/>
          <w:tblHeader/>
        </w:trPr>
        <w:tc>
          <w:tcPr>
            <w:tcW w:w="1509" w:type="pct"/>
            <w:tcBorders>
              <w:top w:val="single" w:sz="4" w:space="0" w:color="auto"/>
              <w:bottom w:val="single" w:sz="4" w:space="0" w:color="auto"/>
            </w:tcBorders>
          </w:tcPr>
          <w:p w14:paraId="38CAFAF2" w14:textId="77777777" w:rsidR="00684F28" w:rsidRPr="008A3870" w:rsidRDefault="00684F28" w:rsidP="00684F28">
            <w:pPr>
              <w:keepNext/>
              <w:spacing w:before="60" w:after="60" w:line="240" w:lineRule="auto"/>
              <w:rPr>
                <w:rFonts w:asciiTheme="minorHAnsi" w:hAnsiTheme="minorHAnsi" w:cstheme="minorHAnsi"/>
                <w:b/>
                <w:sz w:val="18"/>
              </w:rPr>
            </w:pPr>
            <w:r w:rsidRPr="008A3870">
              <w:rPr>
                <w:rFonts w:asciiTheme="minorHAnsi" w:hAnsiTheme="minorHAnsi" w:cstheme="minorHAnsi"/>
                <w:b/>
                <w:sz w:val="18"/>
              </w:rPr>
              <w:t>Term or abbreviation</w:t>
            </w:r>
          </w:p>
        </w:tc>
        <w:tc>
          <w:tcPr>
            <w:tcW w:w="3491" w:type="pct"/>
            <w:tcBorders>
              <w:top w:val="single" w:sz="4" w:space="0" w:color="auto"/>
              <w:bottom w:val="single" w:sz="4" w:space="0" w:color="auto"/>
            </w:tcBorders>
          </w:tcPr>
          <w:p w14:paraId="5E09E09E" w14:textId="77777777" w:rsidR="00684F28" w:rsidRPr="008A3870" w:rsidRDefault="00684F28" w:rsidP="00684F28">
            <w:pPr>
              <w:keepNext/>
              <w:spacing w:before="60" w:after="60" w:line="240" w:lineRule="auto"/>
              <w:rPr>
                <w:rFonts w:asciiTheme="minorHAnsi" w:hAnsiTheme="minorHAnsi" w:cstheme="minorHAnsi"/>
                <w:b/>
                <w:sz w:val="18"/>
              </w:rPr>
            </w:pPr>
            <w:r w:rsidRPr="008A3870">
              <w:rPr>
                <w:rFonts w:asciiTheme="minorHAnsi" w:hAnsiTheme="minorHAnsi" w:cstheme="minorHAnsi"/>
                <w:b/>
                <w:sz w:val="18"/>
              </w:rPr>
              <w:t>Definition</w:t>
            </w:r>
          </w:p>
        </w:tc>
      </w:tr>
      <w:tr w:rsidR="00684F28" w:rsidRPr="00684F28" w14:paraId="1B9DC1BB" w14:textId="77777777" w:rsidTr="00FA2565">
        <w:tc>
          <w:tcPr>
            <w:tcW w:w="1509" w:type="pct"/>
            <w:tcBorders>
              <w:top w:val="single" w:sz="4" w:space="0" w:color="auto"/>
            </w:tcBorders>
          </w:tcPr>
          <w:p w14:paraId="2412BA7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ACT</w:t>
            </w:r>
          </w:p>
        </w:tc>
        <w:tc>
          <w:tcPr>
            <w:tcW w:w="3491" w:type="pct"/>
            <w:tcBorders>
              <w:top w:val="single" w:sz="4" w:space="0" w:color="auto"/>
            </w:tcBorders>
          </w:tcPr>
          <w:p w14:paraId="7D896968"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Australian Capital Territory</w:t>
            </w:r>
          </w:p>
        </w:tc>
      </w:tr>
      <w:tr w:rsidR="00684F28" w:rsidRPr="00684F28" w14:paraId="1F255EAA" w14:textId="77777777" w:rsidTr="00FA2565">
        <w:tc>
          <w:tcPr>
            <w:tcW w:w="1509" w:type="pct"/>
          </w:tcPr>
          <w:p w14:paraId="0E1DDBA8"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Additional declaration</w:t>
            </w:r>
          </w:p>
        </w:tc>
        <w:tc>
          <w:tcPr>
            <w:tcW w:w="3491" w:type="pct"/>
          </w:tcPr>
          <w:p w14:paraId="2A8082C4" w14:textId="6DBC4721"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statement that is required by an importing country to be entered on a phytosanitary certificate and which provides specific additional information on a consignment in relation to regulated pests</w:t>
            </w:r>
            <w:r w:rsidR="0002171F" w:rsidRPr="008A3870">
              <w:rPr>
                <w:rFonts w:asciiTheme="minorHAnsi" w:hAnsiTheme="minorHAnsi" w:cstheme="minorHAnsi"/>
                <w:sz w:val="18"/>
              </w:rPr>
              <w:t xml:space="preserve"> or regulated articles</w:t>
            </w:r>
            <w:r w:rsidRPr="008A3870">
              <w:rPr>
                <w:rFonts w:asciiTheme="minorHAnsi" w:hAnsiTheme="minorHAnsi" w:cstheme="minorHAnsi"/>
                <w:sz w:val="18"/>
              </w:rPr>
              <w:t xml:space="preserve"> (</w:t>
            </w:r>
            <w:r w:rsidR="00DF17F9">
              <w:rPr>
                <w:rFonts w:asciiTheme="minorHAnsi" w:hAnsiTheme="minorHAnsi" w:cstheme="minorHAnsi"/>
                <w:sz w:val="18"/>
              </w:rPr>
              <w:t>FAO 2024</w:t>
            </w:r>
            <w:r w:rsidRPr="008A3870">
              <w:rPr>
                <w:rFonts w:asciiTheme="minorHAnsi" w:hAnsiTheme="minorHAnsi" w:cstheme="minorHAnsi"/>
                <w:sz w:val="18"/>
              </w:rPr>
              <w:t>).</w:t>
            </w:r>
          </w:p>
        </w:tc>
      </w:tr>
      <w:tr w:rsidR="00684F28" w:rsidRPr="00684F28" w14:paraId="08C4DBBE" w14:textId="77777777" w:rsidTr="00FA2565">
        <w:tc>
          <w:tcPr>
            <w:tcW w:w="1509" w:type="pct"/>
          </w:tcPr>
          <w:p w14:paraId="77AD61D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Appropriate level of protection (ALOP)</w:t>
            </w:r>
          </w:p>
        </w:tc>
        <w:tc>
          <w:tcPr>
            <w:tcW w:w="3491" w:type="pct"/>
          </w:tcPr>
          <w:p w14:paraId="518F7D40" w14:textId="076756E9"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level of protection deemed appropriate by the Member establishing a sanitary or phytosanitary measure to protect human, animal or plant life or health within its territory</w:t>
            </w:r>
            <w:r w:rsidR="00B773D5" w:rsidRPr="008A3870">
              <w:rPr>
                <w:rFonts w:asciiTheme="minorHAnsi" w:hAnsiTheme="minorHAnsi" w:cstheme="minorHAnsi"/>
                <w:sz w:val="18"/>
              </w:rPr>
              <w:t xml:space="preserve"> (WTO 1995)</w:t>
            </w:r>
            <w:r w:rsidRPr="008A3870">
              <w:rPr>
                <w:rFonts w:asciiTheme="minorHAnsi" w:hAnsiTheme="minorHAnsi" w:cstheme="minorHAnsi"/>
                <w:sz w:val="18"/>
              </w:rPr>
              <w:t>.</w:t>
            </w:r>
          </w:p>
        </w:tc>
      </w:tr>
      <w:tr w:rsidR="00684F28" w:rsidRPr="00684F28" w14:paraId="69EB5A83" w14:textId="77777777" w:rsidTr="00FA2565">
        <w:tc>
          <w:tcPr>
            <w:tcW w:w="1509" w:type="pct"/>
          </w:tcPr>
          <w:p w14:paraId="032EB33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Appropriate level of protection (ALOP) for Australia</w:t>
            </w:r>
          </w:p>
        </w:tc>
        <w:tc>
          <w:tcPr>
            <w:tcW w:w="3491" w:type="pct"/>
          </w:tcPr>
          <w:p w14:paraId="319CDD8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w:t>
            </w:r>
            <w:r w:rsidRPr="008A3870">
              <w:rPr>
                <w:rFonts w:asciiTheme="minorHAnsi" w:hAnsiTheme="minorHAnsi" w:cstheme="minorHAnsi"/>
                <w:i/>
                <w:sz w:val="18"/>
              </w:rPr>
              <w:t>Biosecurity Act 2015</w:t>
            </w:r>
            <w:r w:rsidRPr="008A3870">
              <w:rPr>
                <w:rFonts w:asciiTheme="minorHAnsi" w:hAnsiTheme="minorHAnsi" w:cstheme="minorHAnsi"/>
                <w:sz w:val="18"/>
              </w:rPr>
              <w:t xml:space="preserve"> defines the appropriate level of protection (or ALOP) for Australia as a high level of sanitary and phytosanitary protection aimed at reducing biosecurity risks to very low, but not to zero.</w:t>
            </w:r>
          </w:p>
        </w:tc>
      </w:tr>
      <w:tr w:rsidR="00684F28" w:rsidRPr="00684F28" w14:paraId="6C6B8452" w14:textId="77777777" w:rsidTr="00FA2565">
        <w:tc>
          <w:tcPr>
            <w:tcW w:w="1509" w:type="pct"/>
          </w:tcPr>
          <w:p w14:paraId="04FC359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Area</w:t>
            </w:r>
          </w:p>
        </w:tc>
        <w:tc>
          <w:tcPr>
            <w:tcW w:w="3491" w:type="pct"/>
          </w:tcPr>
          <w:p w14:paraId="5AA0F889" w14:textId="3B652253"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officially defined country, part of a country or all or parts of several countries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4E802896" w14:textId="77777777" w:rsidTr="00FA2565">
        <w:tc>
          <w:tcPr>
            <w:tcW w:w="1509" w:type="pct"/>
          </w:tcPr>
          <w:p w14:paraId="73C034D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Area of low pest prevalence</w:t>
            </w:r>
          </w:p>
        </w:tc>
        <w:tc>
          <w:tcPr>
            <w:tcW w:w="3491" w:type="pct"/>
          </w:tcPr>
          <w:p w14:paraId="2FB85ACD" w14:textId="60524694"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area, whether </w:t>
            </w:r>
            <w:proofErr w:type="gramStart"/>
            <w:r w:rsidRPr="008A3870">
              <w:rPr>
                <w:rFonts w:asciiTheme="minorHAnsi" w:hAnsiTheme="minorHAnsi" w:cstheme="minorHAnsi"/>
                <w:sz w:val="18"/>
              </w:rPr>
              <w:t>all of</w:t>
            </w:r>
            <w:proofErr w:type="gramEnd"/>
            <w:r w:rsidRPr="008A3870">
              <w:rPr>
                <w:rFonts w:asciiTheme="minorHAnsi" w:hAnsiTheme="minorHAnsi" w:cstheme="minorHAnsi"/>
                <w:sz w:val="18"/>
              </w:rPr>
              <w:t xml:space="preserve"> a country, part of a country, or all parts of several countries, as identified by the competent authorities, in which a specific </w:t>
            </w:r>
            <w:r w:rsidR="00C51921" w:rsidRPr="008A3870">
              <w:rPr>
                <w:rFonts w:asciiTheme="minorHAnsi" w:hAnsiTheme="minorHAnsi" w:cstheme="minorHAnsi"/>
                <w:sz w:val="18"/>
              </w:rPr>
              <w:t xml:space="preserve">pest is present at low </w:t>
            </w:r>
            <w:proofErr w:type="gramStart"/>
            <w:r w:rsidR="00C51921" w:rsidRPr="008A3870">
              <w:rPr>
                <w:rFonts w:asciiTheme="minorHAnsi" w:hAnsiTheme="minorHAnsi" w:cstheme="minorHAnsi"/>
                <w:sz w:val="18"/>
              </w:rPr>
              <w:t>levels</w:t>
            </w:r>
            <w:proofErr w:type="gramEnd"/>
            <w:r w:rsidR="00C51921" w:rsidRPr="008A3870">
              <w:rPr>
                <w:rFonts w:asciiTheme="minorHAnsi" w:hAnsiTheme="minorHAnsi" w:cstheme="minorHAnsi"/>
                <w:sz w:val="18"/>
              </w:rPr>
              <w:t xml:space="preserve"> and which is subject to effective surveillance or control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DB12623" w14:textId="77777777" w:rsidTr="00FA2565">
        <w:tc>
          <w:tcPr>
            <w:tcW w:w="1509" w:type="pct"/>
          </w:tcPr>
          <w:p w14:paraId="25A1F29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Arthropod</w:t>
            </w:r>
          </w:p>
        </w:tc>
        <w:tc>
          <w:tcPr>
            <w:tcW w:w="3491" w:type="pct"/>
          </w:tcPr>
          <w:p w14:paraId="50E4342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largest phylum of animals, including the insects, arachnids and crustaceans.</w:t>
            </w:r>
          </w:p>
        </w:tc>
      </w:tr>
      <w:tr w:rsidR="00684F28" w:rsidRPr="00684F28" w14:paraId="676CFAE8" w14:textId="77777777" w:rsidTr="00FA2565">
        <w:tc>
          <w:tcPr>
            <w:tcW w:w="1509" w:type="pct"/>
          </w:tcPr>
          <w:p w14:paraId="7010FD7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Asexual reproduction</w:t>
            </w:r>
          </w:p>
        </w:tc>
        <w:tc>
          <w:tcPr>
            <w:tcW w:w="3491" w:type="pct"/>
          </w:tcPr>
          <w:p w14:paraId="56D93FA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development of a new individual from a single cell or group of cells in the absence of meiosis.</w:t>
            </w:r>
          </w:p>
        </w:tc>
      </w:tr>
      <w:tr w:rsidR="00684F28" w:rsidRPr="00684F28" w14:paraId="5311A7D6" w14:textId="77777777" w:rsidTr="00FA2565">
        <w:tc>
          <w:tcPr>
            <w:tcW w:w="1509" w:type="pct"/>
          </w:tcPr>
          <w:p w14:paraId="5AE28A6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color w:val="000000" w:themeColor="text1"/>
                <w:sz w:val="18"/>
              </w:rPr>
              <w:t>Australian territory</w:t>
            </w:r>
          </w:p>
        </w:tc>
        <w:tc>
          <w:tcPr>
            <w:tcW w:w="3491" w:type="pct"/>
          </w:tcPr>
          <w:p w14:paraId="3FE5198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color w:val="000000" w:themeColor="text1"/>
                <w:sz w:val="18"/>
              </w:rPr>
              <w:t xml:space="preserve">Australian territory as referenced in the </w:t>
            </w:r>
            <w:r w:rsidRPr="008A3870">
              <w:rPr>
                <w:rFonts w:asciiTheme="minorHAnsi" w:hAnsiTheme="minorHAnsi" w:cstheme="minorHAnsi"/>
                <w:i/>
                <w:color w:val="000000" w:themeColor="text1"/>
                <w:sz w:val="18"/>
              </w:rPr>
              <w:t>Biosecurity Act 2015</w:t>
            </w:r>
            <w:r w:rsidRPr="008A3870">
              <w:rPr>
                <w:rFonts w:asciiTheme="minorHAnsi" w:hAnsiTheme="minorHAnsi" w:cstheme="minorHAnsi"/>
                <w:color w:val="000000" w:themeColor="text1"/>
                <w:sz w:val="18"/>
              </w:rPr>
              <w:t xml:space="preserve"> refers to Australia, Christmas Island and Cocos (Keeling) Islands and any external Territory to which that provision extends.</w:t>
            </w:r>
          </w:p>
        </w:tc>
      </w:tr>
      <w:tr w:rsidR="00684F28" w:rsidRPr="00684F28" w14:paraId="239C41DE" w14:textId="77777777" w:rsidTr="00FA2565">
        <w:tc>
          <w:tcPr>
            <w:tcW w:w="1509" w:type="pct"/>
          </w:tcPr>
          <w:p w14:paraId="67609B6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BA</w:t>
            </w:r>
          </w:p>
        </w:tc>
        <w:tc>
          <w:tcPr>
            <w:tcW w:w="3491" w:type="pct"/>
          </w:tcPr>
          <w:p w14:paraId="00359B8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Biosecurity Advice</w:t>
            </w:r>
          </w:p>
        </w:tc>
      </w:tr>
      <w:tr w:rsidR="00684F28" w:rsidRPr="00684F28" w14:paraId="300341B1" w14:textId="77777777" w:rsidTr="00FA2565">
        <w:tc>
          <w:tcPr>
            <w:tcW w:w="1509" w:type="pct"/>
          </w:tcPr>
          <w:p w14:paraId="3C97A17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BICON</w:t>
            </w:r>
          </w:p>
        </w:tc>
        <w:tc>
          <w:tcPr>
            <w:tcW w:w="3491" w:type="pct"/>
          </w:tcPr>
          <w:p w14:paraId="201B175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Australia's Biosecurity Import Conditions system</w:t>
            </w:r>
          </w:p>
          <w:p w14:paraId="4A5B6A21" w14:textId="77777777" w:rsidR="00684F28" w:rsidRPr="008A3870" w:rsidRDefault="00684F28" w:rsidP="00684F28">
            <w:pPr>
              <w:spacing w:before="60" w:after="60" w:line="240" w:lineRule="auto"/>
              <w:rPr>
                <w:rFonts w:asciiTheme="minorHAnsi" w:hAnsiTheme="minorHAnsi" w:cstheme="minorHAnsi"/>
                <w:sz w:val="18"/>
              </w:rPr>
            </w:pPr>
            <w:hyperlink r:id="rId77" w:history="1">
              <w:r w:rsidRPr="008A3870">
                <w:rPr>
                  <w:rFonts w:asciiTheme="minorHAnsi" w:hAnsiTheme="minorHAnsi" w:cstheme="minorHAnsi"/>
                  <w:color w:val="165788"/>
                  <w:sz w:val="18"/>
                  <w:u w:val="single"/>
                </w:rPr>
                <w:t>bicon.agriculture.gov.au/BiconWeb4.0</w:t>
              </w:r>
            </w:hyperlink>
          </w:p>
        </w:tc>
      </w:tr>
      <w:tr w:rsidR="00B773D5" w:rsidRPr="00684F28" w14:paraId="63280D19" w14:textId="77777777" w:rsidTr="00FA2565">
        <w:tc>
          <w:tcPr>
            <w:tcW w:w="1509" w:type="pct"/>
          </w:tcPr>
          <w:p w14:paraId="0666AF77" w14:textId="2A3D4D0F" w:rsidR="00B773D5" w:rsidRPr="008A3870" w:rsidRDefault="00B773D5"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Biological control agent</w:t>
            </w:r>
          </w:p>
        </w:tc>
        <w:tc>
          <w:tcPr>
            <w:tcW w:w="3491" w:type="pct"/>
          </w:tcPr>
          <w:p w14:paraId="2C66145D" w14:textId="46675C5B" w:rsidR="00B773D5" w:rsidRPr="008A3870" w:rsidRDefault="00B773D5"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natural enemy, antagonist or competitor, or other organism, used for pest control (</w:t>
            </w:r>
            <w:r w:rsidR="00DF17F9">
              <w:rPr>
                <w:rFonts w:asciiTheme="minorHAnsi" w:hAnsiTheme="minorHAnsi" w:cstheme="minorHAnsi"/>
                <w:sz w:val="18"/>
              </w:rPr>
              <w:t>FAO 2024</w:t>
            </w:r>
            <w:r w:rsidRPr="008A3870">
              <w:rPr>
                <w:rFonts w:asciiTheme="minorHAnsi" w:hAnsiTheme="minorHAnsi" w:cstheme="minorHAnsi"/>
                <w:sz w:val="18"/>
              </w:rPr>
              <w:t>).</w:t>
            </w:r>
          </w:p>
        </w:tc>
      </w:tr>
      <w:tr w:rsidR="00684F28" w:rsidRPr="00684F28" w14:paraId="5A7C9FE4" w14:textId="77777777" w:rsidTr="00FA2565">
        <w:tc>
          <w:tcPr>
            <w:tcW w:w="1509" w:type="pct"/>
          </w:tcPr>
          <w:p w14:paraId="07FBE4A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Biosecurity</w:t>
            </w:r>
          </w:p>
        </w:tc>
        <w:tc>
          <w:tcPr>
            <w:tcW w:w="3491" w:type="pct"/>
          </w:tcPr>
          <w:p w14:paraId="657F2A0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prevention of the entry, establishment or spread of unwanted pests and infectious disease agents to protect human, animal or plant health or life, and the environment.</w:t>
            </w:r>
          </w:p>
        </w:tc>
      </w:tr>
      <w:tr w:rsidR="00684F28" w:rsidRPr="00684F28" w14:paraId="076448EE" w14:textId="77777777" w:rsidTr="00FA2565">
        <w:tc>
          <w:tcPr>
            <w:tcW w:w="1509" w:type="pct"/>
          </w:tcPr>
          <w:p w14:paraId="7A0EDAF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Biosecurity import risk analysis (BIRA)</w:t>
            </w:r>
          </w:p>
        </w:tc>
        <w:tc>
          <w:tcPr>
            <w:tcW w:w="3491" w:type="pct"/>
          </w:tcPr>
          <w:p w14:paraId="26F45B6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w:t>
            </w:r>
            <w:r w:rsidRPr="008A3870">
              <w:rPr>
                <w:rFonts w:asciiTheme="minorHAnsi" w:hAnsiTheme="minorHAnsi" w:cstheme="minorHAnsi"/>
                <w:i/>
                <w:sz w:val="18"/>
              </w:rPr>
              <w:t>Biosecurity Act 2015</w:t>
            </w:r>
            <w:r w:rsidRPr="008A3870">
              <w:rPr>
                <w:rFonts w:asciiTheme="minorHAnsi" w:hAnsiTheme="minorHAnsi" w:cstheme="minorHAnsi"/>
                <w:sz w:val="18"/>
              </w:rP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684F28" w:rsidRPr="00684F28" w14:paraId="4FF5D02D" w14:textId="77777777" w:rsidTr="00FA2565">
        <w:tc>
          <w:tcPr>
            <w:tcW w:w="1509" w:type="pct"/>
          </w:tcPr>
          <w:p w14:paraId="2D4E8E4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Biosecurity measures</w:t>
            </w:r>
          </w:p>
        </w:tc>
        <w:tc>
          <w:tcPr>
            <w:tcW w:w="3491" w:type="pct"/>
          </w:tcPr>
          <w:p w14:paraId="39B42B8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w:t>
            </w:r>
            <w:r w:rsidRPr="008A3870">
              <w:rPr>
                <w:rFonts w:asciiTheme="minorHAnsi" w:hAnsiTheme="minorHAnsi" w:cstheme="minorHAnsi"/>
                <w:i/>
                <w:sz w:val="18"/>
              </w:rPr>
              <w:t>Biosecurity Act 2015</w:t>
            </w:r>
            <w:r w:rsidRPr="008A3870">
              <w:rPr>
                <w:rFonts w:asciiTheme="minorHAnsi" w:hAnsiTheme="minorHAnsi" w:cstheme="minorHAnsi"/>
                <w:sz w:val="18"/>
              </w:rP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684F28" w:rsidRPr="00684F28" w14:paraId="56E136CE" w14:textId="77777777" w:rsidTr="00FA2565">
        <w:tc>
          <w:tcPr>
            <w:tcW w:w="1509" w:type="pct"/>
          </w:tcPr>
          <w:p w14:paraId="24401FC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Biosecurity risk</w:t>
            </w:r>
          </w:p>
        </w:tc>
        <w:tc>
          <w:tcPr>
            <w:tcW w:w="3491" w:type="pct"/>
          </w:tcPr>
          <w:p w14:paraId="4B109998"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w:t>
            </w:r>
            <w:r w:rsidRPr="008A3870">
              <w:rPr>
                <w:rFonts w:asciiTheme="minorHAnsi" w:hAnsiTheme="minorHAnsi" w:cstheme="minorHAnsi"/>
                <w:i/>
                <w:sz w:val="18"/>
              </w:rPr>
              <w:t>Biosecurity Act 2015</w:t>
            </w:r>
            <w:r w:rsidRPr="008A3870">
              <w:rPr>
                <w:rFonts w:asciiTheme="minorHAnsi" w:hAnsiTheme="minorHAnsi" w:cstheme="minorHAnsi"/>
                <w:sz w:val="18"/>
              </w:rP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684F28" w:rsidRPr="00684F28" w14:paraId="5E2723EB" w14:textId="77777777" w:rsidTr="00FA2565">
        <w:tc>
          <w:tcPr>
            <w:tcW w:w="1509" w:type="pct"/>
          </w:tcPr>
          <w:p w14:paraId="19006DD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Calyx</w:t>
            </w:r>
          </w:p>
        </w:tc>
        <w:tc>
          <w:tcPr>
            <w:tcW w:w="3491" w:type="pct"/>
          </w:tcPr>
          <w:p w14:paraId="4082348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collective term referring to </w:t>
            </w:r>
            <w:proofErr w:type="gramStart"/>
            <w:r w:rsidRPr="008A3870">
              <w:rPr>
                <w:rFonts w:asciiTheme="minorHAnsi" w:hAnsiTheme="minorHAnsi" w:cstheme="minorHAnsi"/>
                <w:sz w:val="18"/>
              </w:rPr>
              <w:t>all of</w:t>
            </w:r>
            <w:proofErr w:type="gramEnd"/>
            <w:r w:rsidRPr="008A3870">
              <w:rPr>
                <w:rFonts w:asciiTheme="minorHAnsi" w:hAnsiTheme="minorHAnsi" w:cstheme="minorHAnsi"/>
                <w:sz w:val="18"/>
              </w:rPr>
              <w:t xml:space="preserve"> the sepals in a flower.</w:t>
            </w:r>
          </w:p>
        </w:tc>
      </w:tr>
      <w:tr w:rsidR="00684F28" w:rsidRPr="00684F28" w14:paraId="7C580140" w14:textId="77777777" w:rsidTr="00FA2565">
        <w:tc>
          <w:tcPr>
            <w:tcW w:w="1509" w:type="pct"/>
          </w:tcPr>
          <w:p w14:paraId="1E99E3A3"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lastRenderedPageBreak/>
              <w:t>Consignment</w:t>
            </w:r>
          </w:p>
        </w:tc>
        <w:tc>
          <w:tcPr>
            <w:tcW w:w="3491" w:type="pct"/>
          </w:tcPr>
          <w:p w14:paraId="10BEA1F5" w14:textId="19F96BDF"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quantity of plants, plant products or other articles being moved from one country to another and covered, when required, by a single phytosanitary certificate (a consignment may be composed of one or more commodities or lots)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DAF5E7E" w14:textId="77777777" w:rsidTr="00FA2565">
        <w:tc>
          <w:tcPr>
            <w:tcW w:w="1509" w:type="pct"/>
          </w:tcPr>
          <w:p w14:paraId="5734FED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Control (of a pest)</w:t>
            </w:r>
          </w:p>
        </w:tc>
        <w:tc>
          <w:tcPr>
            <w:tcW w:w="3491" w:type="pct"/>
          </w:tcPr>
          <w:p w14:paraId="272265FD" w14:textId="31D4EE53"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Suppression, containment or eradication of a pest population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748A5712" w14:textId="77777777" w:rsidTr="00FA2565">
        <w:tc>
          <w:tcPr>
            <w:tcW w:w="1509" w:type="pct"/>
          </w:tcPr>
          <w:p w14:paraId="7BC901D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Crawler</w:t>
            </w:r>
          </w:p>
        </w:tc>
        <w:tc>
          <w:tcPr>
            <w:tcW w:w="3491" w:type="pct"/>
          </w:tcPr>
          <w:p w14:paraId="69581E2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Intermediate mobile nymph stage of certain arthropods.</w:t>
            </w:r>
          </w:p>
        </w:tc>
      </w:tr>
      <w:tr w:rsidR="00C33F81" w:rsidRPr="00684F28" w14:paraId="3FC09A54" w14:textId="77777777" w:rsidTr="00FA2565">
        <w:tc>
          <w:tcPr>
            <w:tcW w:w="1509" w:type="pct"/>
          </w:tcPr>
          <w:p w14:paraId="5A41B27A" w14:textId="5D603EFB" w:rsidR="00C33F81" w:rsidRPr="008A3870" w:rsidRDefault="00C33F81"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CSIRO</w:t>
            </w:r>
          </w:p>
        </w:tc>
        <w:tc>
          <w:tcPr>
            <w:tcW w:w="3491" w:type="pct"/>
          </w:tcPr>
          <w:p w14:paraId="2568C7AA" w14:textId="5B60A2AA" w:rsidR="00C33F81" w:rsidRPr="008A3870" w:rsidRDefault="00C33F81"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Commonwealth Scientific and Industrial Research Organisation</w:t>
            </w:r>
          </w:p>
        </w:tc>
      </w:tr>
      <w:tr w:rsidR="00684F28" w:rsidRPr="00684F28" w14:paraId="576BA8C4" w14:textId="77777777" w:rsidTr="00FA2565">
        <w:tc>
          <w:tcPr>
            <w:tcW w:w="1509" w:type="pct"/>
          </w:tcPr>
          <w:p w14:paraId="7A3B4C9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Endangered area</w:t>
            </w:r>
          </w:p>
        </w:tc>
        <w:tc>
          <w:tcPr>
            <w:tcW w:w="3491" w:type="pct"/>
          </w:tcPr>
          <w:p w14:paraId="4FF725A2" w14:textId="177CA336"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area where ecological factors favour the establishment of a pest whose presence in the area will result in economically important loss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DCCDA82" w14:textId="77777777" w:rsidTr="00FA2565">
        <w:tc>
          <w:tcPr>
            <w:tcW w:w="1509" w:type="pct"/>
          </w:tcPr>
          <w:p w14:paraId="58365D2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Endemic</w:t>
            </w:r>
          </w:p>
        </w:tc>
        <w:tc>
          <w:tcPr>
            <w:tcW w:w="3491" w:type="pct"/>
          </w:tcPr>
          <w:p w14:paraId="38A0042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Belonging to, native to, or prevalent in a particular geography, area or environment.</w:t>
            </w:r>
          </w:p>
        </w:tc>
      </w:tr>
      <w:tr w:rsidR="00684F28" w:rsidRPr="00684F28" w14:paraId="6DA321F9" w14:textId="77777777" w:rsidTr="00FA2565">
        <w:tc>
          <w:tcPr>
            <w:tcW w:w="1509" w:type="pct"/>
          </w:tcPr>
          <w:p w14:paraId="66E794D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Entry (of a pest)</w:t>
            </w:r>
          </w:p>
        </w:tc>
        <w:tc>
          <w:tcPr>
            <w:tcW w:w="3491" w:type="pct"/>
          </w:tcPr>
          <w:p w14:paraId="5D465120" w14:textId="1AAB1C1E"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Movement of a pest into an area where it is not yet present, or present but not widely distributed and being officially controlled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79649C4" w14:textId="77777777" w:rsidTr="00FA2565">
        <w:tc>
          <w:tcPr>
            <w:tcW w:w="1509" w:type="pct"/>
          </w:tcPr>
          <w:p w14:paraId="265B362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EP</w:t>
            </w:r>
          </w:p>
        </w:tc>
        <w:tc>
          <w:tcPr>
            <w:tcW w:w="3491" w:type="pct"/>
          </w:tcPr>
          <w:p w14:paraId="143886C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Existing policy. This denotes that a pest species has previously been assessed in another policy published by the department.</w:t>
            </w:r>
          </w:p>
        </w:tc>
      </w:tr>
      <w:tr w:rsidR="00684F28" w:rsidRPr="00684F28" w14:paraId="57FBBD35" w14:textId="77777777" w:rsidTr="00FA2565">
        <w:tc>
          <w:tcPr>
            <w:tcW w:w="1509" w:type="pct"/>
          </w:tcPr>
          <w:p w14:paraId="3B98D22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Establishment (of a pest)</w:t>
            </w:r>
          </w:p>
        </w:tc>
        <w:tc>
          <w:tcPr>
            <w:tcW w:w="3491" w:type="pct"/>
          </w:tcPr>
          <w:p w14:paraId="70C1DB02" w14:textId="2672130C"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Perpetuation, for the foreseeable future, of a pest within an area after entry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5226E01" w14:textId="77777777" w:rsidTr="00FA2565">
        <w:tc>
          <w:tcPr>
            <w:tcW w:w="1509" w:type="pct"/>
          </w:tcPr>
          <w:p w14:paraId="6F96803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FAO</w:t>
            </w:r>
          </w:p>
        </w:tc>
        <w:tc>
          <w:tcPr>
            <w:tcW w:w="3491" w:type="pct"/>
          </w:tcPr>
          <w:p w14:paraId="7BC2397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Food and Agriculture Organization of the United Nations</w:t>
            </w:r>
          </w:p>
        </w:tc>
      </w:tr>
      <w:tr w:rsidR="00684F28" w:rsidRPr="00684F28" w14:paraId="6833D01B" w14:textId="77777777" w:rsidTr="00FA2565">
        <w:tc>
          <w:tcPr>
            <w:tcW w:w="1509" w:type="pct"/>
          </w:tcPr>
          <w:p w14:paraId="74E300F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Fresh</w:t>
            </w:r>
          </w:p>
        </w:tc>
        <w:tc>
          <w:tcPr>
            <w:tcW w:w="3491" w:type="pct"/>
          </w:tcPr>
          <w:p w14:paraId="43A9E7F1" w14:textId="2F3E3F3D"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Living; not dried, deep-frozen or otherwise conserved </w:t>
            </w:r>
            <w:r w:rsidR="00222120" w:rsidRPr="008A3870">
              <w:rPr>
                <w:rFonts w:asciiTheme="minorHAnsi" w:hAnsiTheme="minorHAnsi" w:cstheme="minorHAnsi"/>
                <w:sz w:val="18"/>
              </w:rPr>
              <w:t>(</w:t>
            </w:r>
            <w:r w:rsidR="00DF17F9">
              <w:rPr>
                <w:rFonts w:asciiTheme="minorHAnsi" w:hAnsiTheme="minorHAnsi" w:cstheme="minorHAnsi"/>
                <w:sz w:val="18"/>
              </w:rPr>
              <w:t>FAO 2024</w:t>
            </w:r>
            <w:r w:rsidR="00222120"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BBE5615" w14:textId="77777777" w:rsidTr="00FA2565">
        <w:tc>
          <w:tcPr>
            <w:tcW w:w="1509" w:type="pct"/>
          </w:tcPr>
          <w:p w14:paraId="26C3878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FSANZ</w:t>
            </w:r>
          </w:p>
        </w:tc>
        <w:tc>
          <w:tcPr>
            <w:tcW w:w="3491" w:type="pct"/>
          </w:tcPr>
          <w:p w14:paraId="3634341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Food Standards Australia New Zealand (</w:t>
            </w:r>
            <w:hyperlink r:id="rId78" w:history="1">
              <w:r w:rsidRPr="008A3870">
                <w:rPr>
                  <w:rFonts w:asciiTheme="minorHAnsi" w:hAnsiTheme="minorHAnsi" w:cstheme="minorHAnsi"/>
                  <w:color w:val="165788"/>
                  <w:sz w:val="18"/>
                  <w:u w:val="single"/>
                </w:rPr>
                <w:t>foodstandards.gov.au/Pages/default.aspx</w:t>
              </w:r>
            </w:hyperlink>
            <w:r w:rsidRPr="008A3870">
              <w:rPr>
                <w:rFonts w:asciiTheme="minorHAnsi" w:hAnsiTheme="minorHAnsi" w:cstheme="minorHAnsi"/>
                <w:sz w:val="18"/>
              </w:rPr>
              <w:t>) and the Australia New Zealand Food Standards Code (</w:t>
            </w:r>
            <w:hyperlink r:id="rId79" w:history="1">
              <w:r w:rsidRPr="008A3870">
                <w:rPr>
                  <w:rFonts w:asciiTheme="minorHAnsi" w:hAnsiTheme="minorHAnsi" w:cstheme="minorHAnsi"/>
                  <w:color w:val="165788"/>
                  <w:sz w:val="18"/>
                  <w:u w:val="single"/>
                </w:rPr>
                <w:t>foodstandards.gov.au/code/Pages/default.aspx</w:t>
              </w:r>
            </w:hyperlink>
            <w:r w:rsidRPr="008A3870">
              <w:rPr>
                <w:rFonts w:asciiTheme="minorHAnsi" w:hAnsiTheme="minorHAnsi" w:cstheme="minorHAnsi"/>
                <w:sz w:val="18"/>
              </w:rPr>
              <w:t>)</w:t>
            </w:r>
          </w:p>
        </w:tc>
      </w:tr>
      <w:tr w:rsidR="00684F28" w:rsidRPr="00684F28" w14:paraId="7F023E52" w14:textId="77777777" w:rsidTr="00FA2565">
        <w:tc>
          <w:tcPr>
            <w:tcW w:w="1509" w:type="pct"/>
          </w:tcPr>
          <w:p w14:paraId="1FF9184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Fumigation</w:t>
            </w:r>
          </w:p>
        </w:tc>
        <w:tc>
          <w:tcPr>
            <w:tcW w:w="3491" w:type="pct"/>
          </w:tcPr>
          <w:p w14:paraId="3226366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method of pest control that completely fills an area with gaseous pesticides to suffocate or poison the pests within.</w:t>
            </w:r>
          </w:p>
        </w:tc>
      </w:tr>
      <w:tr w:rsidR="00684F28" w:rsidRPr="00684F28" w14:paraId="79AC5B80" w14:textId="77777777" w:rsidTr="00FA2565">
        <w:tc>
          <w:tcPr>
            <w:tcW w:w="1509" w:type="pct"/>
          </w:tcPr>
          <w:p w14:paraId="141DCA6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Genus</w:t>
            </w:r>
          </w:p>
        </w:tc>
        <w:tc>
          <w:tcPr>
            <w:tcW w:w="3491" w:type="pct"/>
          </w:tcPr>
          <w:p w14:paraId="55E97EA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684F28" w:rsidRPr="00684F28" w14:paraId="0865510B" w14:textId="77777777" w:rsidTr="00FA2565">
        <w:tc>
          <w:tcPr>
            <w:tcW w:w="1509" w:type="pct"/>
          </w:tcPr>
          <w:p w14:paraId="643F3C5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Goods</w:t>
            </w:r>
          </w:p>
        </w:tc>
        <w:tc>
          <w:tcPr>
            <w:tcW w:w="3491" w:type="pct"/>
          </w:tcPr>
          <w:p w14:paraId="68FB367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w:t>
            </w:r>
            <w:r w:rsidRPr="008A3870">
              <w:rPr>
                <w:rFonts w:asciiTheme="minorHAnsi" w:hAnsiTheme="minorHAnsi" w:cstheme="minorHAnsi"/>
                <w:i/>
                <w:sz w:val="18"/>
              </w:rPr>
              <w:t>Biosecurity Act 2015</w:t>
            </w:r>
            <w:r w:rsidRPr="008A3870">
              <w:rPr>
                <w:rFonts w:asciiTheme="minorHAnsi" w:hAnsiTheme="minorHAnsi" w:cstheme="minorHAnsi"/>
                <w:sz w:val="18"/>
              </w:rPr>
              <w:t xml:space="preserve"> defines goods as an animal, a plant (whether moveable or not), a sample or specimen of a disease agent, a pest, mail or any other article, substance or thing (including, but not limited to, any kind of moveable property).</w:t>
            </w:r>
          </w:p>
        </w:tc>
      </w:tr>
      <w:tr w:rsidR="00684F28" w:rsidRPr="00684F28" w14:paraId="29FBF744" w14:textId="77777777" w:rsidTr="00FA2565">
        <w:tc>
          <w:tcPr>
            <w:tcW w:w="1509" w:type="pct"/>
          </w:tcPr>
          <w:p w14:paraId="77970EF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Host</w:t>
            </w:r>
          </w:p>
        </w:tc>
        <w:tc>
          <w:tcPr>
            <w:tcW w:w="3491" w:type="pct"/>
          </w:tcPr>
          <w:p w14:paraId="792560B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An organism that harbours a parasite, mutual partner, or commensal partner, typically providing nourishment and shelter.</w:t>
            </w:r>
          </w:p>
        </w:tc>
      </w:tr>
      <w:tr w:rsidR="00684F28" w:rsidRPr="00684F28" w14:paraId="6AB1B5C1" w14:textId="77777777" w:rsidTr="00FA2565">
        <w:tc>
          <w:tcPr>
            <w:tcW w:w="1509" w:type="pct"/>
          </w:tcPr>
          <w:p w14:paraId="4249BAC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Host range</w:t>
            </w:r>
          </w:p>
        </w:tc>
        <w:tc>
          <w:tcPr>
            <w:tcW w:w="3491" w:type="pct"/>
          </w:tcPr>
          <w:p w14:paraId="218E49CB" w14:textId="3F2707F4"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Species capable, under natural conditions, of sustaining a specific pest or other organism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3EAE4829" w14:textId="77777777" w:rsidTr="00FA2565">
        <w:tc>
          <w:tcPr>
            <w:tcW w:w="1509" w:type="pct"/>
          </w:tcPr>
          <w:p w14:paraId="3E96921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Import permit</w:t>
            </w:r>
          </w:p>
        </w:tc>
        <w:tc>
          <w:tcPr>
            <w:tcW w:w="3491" w:type="pct"/>
          </w:tcPr>
          <w:p w14:paraId="31705D0B" w14:textId="72E74E00"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Official document authorising importation of a commodity in accordance with specified phytosanitary import requirements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2B2F05F5" w14:textId="77777777" w:rsidTr="00FA2565">
        <w:tc>
          <w:tcPr>
            <w:tcW w:w="1509" w:type="pct"/>
          </w:tcPr>
          <w:p w14:paraId="3F132C9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Infection</w:t>
            </w:r>
          </w:p>
        </w:tc>
        <w:tc>
          <w:tcPr>
            <w:tcW w:w="3491" w:type="pct"/>
          </w:tcPr>
          <w:p w14:paraId="5DA201E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internal ‘endophytic’ colonisation of a plant, or plant organ, and is generally associated with the development of disease symptoms as the integrity of cells and/or biological processes are disrupted.</w:t>
            </w:r>
          </w:p>
        </w:tc>
      </w:tr>
      <w:tr w:rsidR="00684F28" w:rsidRPr="00684F28" w14:paraId="717943C0" w14:textId="77777777" w:rsidTr="00FA2565">
        <w:tc>
          <w:tcPr>
            <w:tcW w:w="1509" w:type="pct"/>
          </w:tcPr>
          <w:p w14:paraId="46044D1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Infestation (of a commodity)</w:t>
            </w:r>
          </w:p>
        </w:tc>
        <w:tc>
          <w:tcPr>
            <w:tcW w:w="3491" w:type="pct"/>
          </w:tcPr>
          <w:p w14:paraId="2E0E30F7" w14:textId="09DAA7D5"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Presence in a commodity of a living pest of the plant or plant product concerned. Infestation includes infection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971A4C2" w14:textId="77777777" w:rsidTr="00FA2565">
        <w:tc>
          <w:tcPr>
            <w:tcW w:w="1509" w:type="pct"/>
          </w:tcPr>
          <w:p w14:paraId="54291CA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Inspection</w:t>
            </w:r>
          </w:p>
        </w:tc>
        <w:tc>
          <w:tcPr>
            <w:tcW w:w="3491" w:type="pct"/>
          </w:tcPr>
          <w:p w14:paraId="483D0EE8" w14:textId="5D89FFD3"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Official visual examination of plants, plant products or other regulated articles to determine if pests are present or to determine compliance with phytosanitary regulations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7F8EBEA3" w14:textId="77777777" w:rsidTr="00FA2565">
        <w:tc>
          <w:tcPr>
            <w:tcW w:w="1509" w:type="pct"/>
          </w:tcPr>
          <w:p w14:paraId="47CA957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Intended use</w:t>
            </w:r>
          </w:p>
        </w:tc>
        <w:tc>
          <w:tcPr>
            <w:tcW w:w="3491" w:type="pct"/>
          </w:tcPr>
          <w:p w14:paraId="41D410A1" w14:textId="27BC220F"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Declared purpose for which plants, plant products, or other articles are imported, produced or used </w:t>
            </w:r>
            <w:r w:rsidR="00BC5DE1" w:rsidRPr="008A3870">
              <w:rPr>
                <w:rFonts w:asciiTheme="minorHAnsi" w:hAnsiTheme="minorHAnsi" w:cstheme="minorHAnsi"/>
                <w:sz w:val="18"/>
              </w:rPr>
              <w:t>(</w:t>
            </w:r>
            <w:r w:rsidR="00DF17F9">
              <w:rPr>
                <w:rFonts w:asciiTheme="minorHAnsi" w:hAnsiTheme="minorHAnsi" w:cstheme="minorHAnsi"/>
                <w:sz w:val="18"/>
              </w:rPr>
              <w:t>FAO 2024</w:t>
            </w:r>
            <w:r w:rsidR="00BC5DE1"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2C9AF5B" w14:textId="77777777" w:rsidTr="00FA2565">
        <w:tc>
          <w:tcPr>
            <w:tcW w:w="1509" w:type="pct"/>
          </w:tcPr>
          <w:p w14:paraId="22345E5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Interception (of a pest)</w:t>
            </w:r>
          </w:p>
        </w:tc>
        <w:tc>
          <w:tcPr>
            <w:tcW w:w="3491" w:type="pct"/>
          </w:tcPr>
          <w:p w14:paraId="4E14E608" w14:textId="212F25AC"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detection of a pest during inspection or testing of an imported consignment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3F69A117" w14:textId="77777777" w:rsidTr="00FA2565">
        <w:tc>
          <w:tcPr>
            <w:tcW w:w="1509" w:type="pct"/>
          </w:tcPr>
          <w:p w14:paraId="5E58DF7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lastRenderedPageBreak/>
              <w:t>International Plant Protection Convention (IPPC)</w:t>
            </w:r>
          </w:p>
        </w:tc>
        <w:tc>
          <w:tcPr>
            <w:tcW w:w="3491" w:type="pct"/>
          </w:tcPr>
          <w:p w14:paraId="1282CFC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lang w:val="en"/>
              </w:rPr>
              <w:t xml:space="preserve">The IPPC is an international plant health agreement, established in 1952, that aims to protect </w:t>
            </w:r>
            <w:proofErr w:type="gramStart"/>
            <w:r w:rsidRPr="008A3870">
              <w:rPr>
                <w:rFonts w:asciiTheme="minorHAnsi" w:hAnsiTheme="minorHAnsi" w:cstheme="minorHAnsi"/>
                <w:sz w:val="18"/>
                <w:lang w:val="en"/>
              </w:rPr>
              <w:t>cultivated and</w:t>
            </w:r>
            <w:proofErr w:type="gramEnd"/>
            <w:r w:rsidRPr="008A3870">
              <w:rPr>
                <w:rFonts w:asciiTheme="minorHAnsi" w:hAnsiTheme="minorHAnsi" w:cstheme="minorHAnsi"/>
                <w:sz w:val="18"/>
                <w:lang w:val="en"/>
              </w:rPr>
              <w:t xml:space="preserve"> wild plants by preventing the introduction and spread of pests. The IPPC provides an international framework for plant protection that includes developing International Standards for Phytosanitary Measures (ISPMs) for safeguarding plant resources.</w:t>
            </w:r>
          </w:p>
        </w:tc>
      </w:tr>
      <w:tr w:rsidR="00684F28" w:rsidRPr="00684F28" w14:paraId="1FC3BF60" w14:textId="77777777" w:rsidTr="00FA2565">
        <w:tc>
          <w:tcPr>
            <w:tcW w:w="1509" w:type="pct"/>
          </w:tcPr>
          <w:p w14:paraId="5255D81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International Standard for Phytosanitary Measures (ISPM)</w:t>
            </w:r>
          </w:p>
        </w:tc>
        <w:tc>
          <w:tcPr>
            <w:tcW w:w="3491" w:type="pct"/>
          </w:tcPr>
          <w:p w14:paraId="42505B1A" w14:textId="2787993F"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international standard adopted by the Conference of the Food and Agriculture Organization, the Interim Commission on Phytosanitary Measures or the Commission on Phytosanitary Measures, established under the IPPC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001F2AD" w14:textId="77777777" w:rsidTr="00FA2565">
        <w:tc>
          <w:tcPr>
            <w:tcW w:w="1509" w:type="pct"/>
          </w:tcPr>
          <w:p w14:paraId="339191E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Introduction (of a pest)</w:t>
            </w:r>
          </w:p>
        </w:tc>
        <w:tc>
          <w:tcPr>
            <w:tcW w:w="3491" w:type="pct"/>
          </w:tcPr>
          <w:p w14:paraId="729818F2" w14:textId="0931A7B8"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entry of a pest resulting in its establishment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769F8886" w14:textId="77777777" w:rsidTr="00FA2565">
        <w:tc>
          <w:tcPr>
            <w:tcW w:w="1509" w:type="pct"/>
          </w:tcPr>
          <w:p w14:paraId="75C7ACF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Larva</w:t>
            </w:r>
          </w:p>
        </w:tc>
        <w:tc>
          <w:tcPr>
            <w:tcW w:w="3491" w:type="pct"/>
          </w:tcPr>
          <w:p w14:paraId="0842681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juvenile form of animal with indirect development, undergoing metamorphosis (for example, insects or amphibians).</w:t>
            </w:r>
          </w:p>
        </w:tc>
      </w:tr>
      <w:tr w:rsidR="00684F28" w:rsidRPr="00684F28" w14:paraId="30A8765D" w14:textId="77777777" w:rsidTr="00FA2565">
        <w:trPr>
          <w:cantSplit/>
        </w:trPr>
        <w:tc>
          <w:tcPr>
            <w:tcW w:w="1509" w:type="pct"/>
          </w:tcPr>
          <w:p w14:paraId="614584E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Lot</w:t>
            </w:r>
          </w:p>
        </w:tc>
        <w:tc>
          <w:tcPr>
            <w:tcW w:w="3491" w:type="pct"/>
          </w:tcPr>
          <w:p w14:paraId="43084E16" w14:textId="6AEA3988" w:rsidR="00684F28" w:rsidRPr="008A3870" w:rsidRDefault="00684F28" w:rsidP="00684F28">
            <w:pPr>
              <w:spacing w:before="60" w:after="60" w:line="240" w:lineRule="auto"/>
              <w:rPr>
                <w:rFonts w:asciiTheme="minorHAnsi" w:hAnsiTheme="minorHAnsi" w:cstheme="minorHAnsi"/>
                <w:sz w:val="18"/>
              </w:rPr>
            </w:pPr>
            <w:proofErr w:type="gramStart"/>
            <w:r w:rsidRPr="008A3870">
              <w:rPr>
                <w:rFonts w:asciiTheme="minorHAnsi" w:hAnsiTheme="minorHAnsi" w:cstheme="minorHAnsi"/>
                <w:sz w:val="18"/>
              </w:rPr>
              <w:t>A number of</w:t>
            </w:r>
            <w:proofErr w:type="gramEnd"/>
            <w:r w:rsidRPr="008A3870">
              <w:rPr>
                <w:rFonts w:asciiTheme="minorHAnsi" w:hAnsiTheme="minorHAnsi" w:cstheme="minorHAnsi"/>
                <w:sz w:val="18"/>
              </w:rPr>
              <w:t xml:space="preserve"> units of a single commodity, identifiable by its homogeneity of composition, origin et cetera, forming part of a consignment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 Within this report a ‘lot’ refers to a quantity of fruit of a single variety, harvested from a single production site during a single pick and packed at one time.</w:t>
            </w:r>
          </w:p>
        </w:tc>
      </w:tr>
      <w:tr w:rsidR="00684F28" w:rsidRPr="00684F28" w14:paraId="06022FF6" w14:textId="77777777" w:rsidTr="00FA2565">
        <w:tc>
          <w:tcPr>
            <w:tcW w:w="1509" w:type="pct"/>
          </w:tcPr>
          <w:p w14:paraId="49D1957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Mature fruit</w:t>
            </w:r>
          </w:p>
        </w:tc>
        <w:tc>
          <w:tcPr>
            <w:tcW w:w="3491" w:type="pct"/>
          </w:tcPr>
          <w:p w14:paraId="0860D61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Commercial maturity is the start of the ripening process. The ripening process will then continue and provide a product that is acceptable to consumers. Maturity assessments include colour, starch, index, soluble solids content, flesh firmness, acidity, and ethylene production rate.</w:t>
            </w:r>
          </w:p>
        </w:tc>
      </w:tr>
      <w:tr w:rsidR="00684F28" w:rsidRPr="00684F28" w14:paraId="49A264C5" w14:textId="77777777" w:rsidTr="00FA2565">
        <w:tc>
          <w:tcPr>
            <w:tcW w:w="1509" w:type="pct"/>
          </w:tcPr>
          <w:p w14:paraId="1CF6B0A8"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National Plant Protection Organization (NPPO)</w:t>
            </w:r>
          </w:p>
        </w:tc>
        <w:tc>
          <w:tcPr>
            <w:tcW w:w="3491" w:type="pct"/>
          </w:tcPr>
          <w:p w14:paraId="3EE3F107" w14:textId="4ADDA783"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Official service established by a government to discharge the functions specified by the IPPC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F22F51F" w14:textId="77777777" w:rsidTr="00FA2565">
        <w:tc>
          <w:tcPr>
            <w:tcW w:w="1509" w:type="pct"/>
          </w:tcPr>
          <w:p w14:paraId="7600C17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NSW</w:t>
            </w:r>
          </w:p>
        </w:tc>
        <w:tc>
          <w:tcPr>
            <w:tcW w:w="3491" w:type="pct"/>
          </w:tcPr>
          <w:p w14:paraId="160BD62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New South Wales in Australia.</w:t>
            </w:r>
          </w:p>
        </w:tc>
      </w:tr>
      <w:tr w:rsidR="00684F28" w:rsidRPr="00684F28" w14:paraId="2A242F1B" w14:textId="77777777" w:rsidTr="00FA2565">
        <w:tc>
          <w:tcPr>
            <w:tcW w:w="1509" w:type="pct"/>
          </w:tcPr>
          <w:p w14:paraId="5B22A27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NT</w:t>
            </w:r>
          </w:p>
        </w:tc>
        <w:tc>
          <w:tcPr>
            <w:tcW w:w="3491" w:type="pct"/>
          </w:tcPr>
          <w:p w14:paraId="5AC09BC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Northern Territory of Australia.</w:t>
            </w:r>
          </w:p>
        </w:tc>
      </w:tr>
      <w:tr w:rsidR="00684F28" w:rsidRPr="00684F28" w14:paraId="0D659B22" w14:textId="77777777" w:rsidTr="00FA2565">
        <w:tc>
          <w:tcPr>
            <w:tcW w:w="1509" w:type="pct"/>
          </w:tcPr>
          <w:p w14:paraId="492FD92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Nymph</w:t>
            </w:r>
          </w:p>
        </w:tc>
        <w:tc>
          <w:tcPr>
            <w:tcW w:w="3491" w:type="pct"/>
          </w:tcPr>
          <w:p w14:paraId="4BAB804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immature form of some insect species that undergoes incomplete metamorphosis. It is not to be confused with larva, as its overall form is already that of the adult.</w:t>
            </w:r>
          </w:p>
        </w:tc>
      </w:tr>
      <w:tr w:rsidR="00684F28" w:rsidRPr="00684F28" w14:paraId="386D49FB" w14:textId="77777777" w:rsidTr="00FA2565">
        <w:tc>
          <w:tcPr>
            <w:tcW w:w="1509" w:type="pct"/>
          </w:tcPr>
          <w:p w14:paraId="0DFD31A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Official control</w:t>
            </w:r>
          </w:p>
        </w:tc>
        <w:tc>
          <w:tcPr>
            <w:tcW w:w="3491" w:type="pct"/>
          </w:tcPr>
          <w:p w14:paraId="4567C13E" w14:textId="4D1A8029"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24F31BD" w14:textId="77777777" w:rsidTr="00FA2565">
        <w:tc>
          <w:tcPr>
            <w:tcW w:w="1509" w:type="pct"/>
          </w:tcPr>
          <w:p w14:paraId="53BBEF9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Pathogen</w:t>
            </w:r>
          </w:p>
        </w:tc>
        <w:tc>
          <w:tcPr>
            <w:tcW w:w="3491" w:type="pct"/>
          </w:tcPr>
          <w:p w14:paraId="6BE3195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biological agent that can cause disease to its host.</w:t>
            </w:r>
          </w:p>
        </w:tc>
      </w:tr>
      <w:tr w:rsidR="00684F28" w:rsidRPr="00684F28" w14:paraId="3D83CCFC" w14:textId="77777777" w:rsidTr="00FA2565">
        <w:tc>
          <w:tcPr>
            <w:tcW w:w="1509" w:type="pct"/>
          </w:tcPr>
          <w:p w14:paraId="3333D62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Pathway</w:t>
            </w:r>
          </w:p>
        </w:tc>
        <w:tc>
          <w:tcPr>
            <w:tcW w:w="3491" w:type="pct"/>
          </w:tcPr>
          <w:p w14:paraId="66AAB237" w14:textId="5B9EF4A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Any means that </w:t>
            </w:r>
            <w:proofErr w:type="gramStart"/>
            <w:r w:rsidRPr="008A3870">
              <w:rPr>
                <w:rFonts w:asciiTheme="minorHAnsi" w:hAnsiTheme="minorHAnsi" w:cstheme="minorHAnsi"/>
                <w:sz w:val="18"/>
              </w:rPr>
              <w:t>allows</w:t>
            </w:r>
            <w:proofErr w:type="gramEnd"/>
            <w:r w:rsidRPr="008A3870">
              <w:rPr>
                <w:rFonts w:asciiTheme="minorHAnsi" w:hAnsiTheme="minorHAnsi" w:cstheme="minorHAnsi"/>
                <w:sz w:val="18"/>
              </w:rPr>
              <w:t xml:space="preserve"> the entry or spread of a pest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7CACC2E9" w14:textId="77777777" w:rsidTr="00FA2565">
        <w:tc>
          <w:tcPr>
            <w:tcW w:w="1509" w:type="pct"/>
          </w:tcPr>
          <w:p w14:paraId="045BB3B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w:t>
            </w:r>
          </w:p>
        </w:tc>
        <w:tc>
          <w:tcPr>
            <w:tcW w:w="3491" w:type="pct"/>
          </w:tcPr>
          <w:p w14:paraId="4D096677" w14:textId="6C312B1D"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Any species, strain or biotype of plant, animal, or pathogenic agent injurious to plants or plant products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8596CC4" w14:textId="77777777" w:rsidTr="00FA2565">
        <w:tc>
          <w:tcPr>
            <w:tcW w:w="1509" w:type="pct"/>
          </w:tcPr>
          <w:p w14:paraId="0ABE632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categorisation</w:t>
            </w:r>
          </w:p>
        </w:tc>
        <w:tc>
          <w:tcPr>
            <w:tcW w:w="3491" w:type="pct"/>
          </w:tcPr>
          <w:p w14:paraId="44ED8D7A" w14:textId="54DD8211"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process for determining whether a pest has or has not the characteristics of a quarantine pest or those of a regulated non-quarantine pest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p>
        </w:tc>
      </w:tr>
      <w:tr w:rsidR="00684F28" w:rsidRPr="00684F28" w14:paraId="44FCAB0D" w14:textId="77777777" w:rsidTr="00FA2565">
        <w:tc>
          <w:tcPr>
            <w:tcW w:w="1509" w:type="pct"/>
          </w:tcPr>
          <w:p w14:paraId="49AE872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free area (PFA)</w:t>
            </w:r>
          </w:p>
        </w:tc>
        <w:tc>
          <w:tcPr>
            <w:tcW w:w="3491" w:type="pct"/>
          </w:tcPr>
          <w:p w14:paraId="4784995F" w14:textId="61722DD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area in which a specific pest </w:t>
            </w:r>
            <w:r w:rsidR="00BC5DE1" w:rsidRPr="008A3870">
              <w:rPr>
                <w:rFonts w:asciiTheme="minorHAnsi" w:hAnsiTheme="minorHAnsi" w:cstheme="minorHAnsi"/>
                <w:sz w:val="18"/>
              </w:rPr>
              <w:t>is absent</w:t>
            </w:r>
            <w:r w:rsidRPr="008A3870">
              <w:rPr>
                <w:rFonts w:asciiTheme="minorHAnsi" w:hAnsiTheme="minorHAnsi" w:cstheme="minorHAnsi"/>
                <w:sz w:val="18"/>
              </w:rPr>
              <w:t xml:space="preserve"> as demonstrated by scientific evidence and in which, where appropriate, this condition is being officially maintained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7AF7A38B" w14:textId="77777777" w:rsidTr="00FA2565">
        <w:tc>
          <w:tcPr>
            <w:tcW w:w="1509" w:type="pct"/>
          </w:tcPr>
          <w:p w14:paraId="2C3AEDE3"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free place of production (PFPP)</w:t>
            </w:r>
          </w:p>
        </w:tc>
        <w:tc>
          <w:tcPr>
            <w:tcW w:w="3491" w:type="pct"/>
          </w:tcPr>
          <w:p w14:paraId="6BC4E0F9" w14:textId="0D5BE76C"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Place of production in which a specific pest </w:t>
            </w:r>
            <w:r w:rsidR="00B710A6" w:rsidRPr="008A3870">
              <w:rPr>
                <w:rFonts w:asciiTheme="minorHAnsi" w:hAnsiTheme="minorHAnsi" w:cstheme="minorHAnsi"/>
                <w:sz w:val="18"/>
              </w:rPr>
              <w:t>is absent</w:t>
            </w:r>
            <w:r w:rsidRPr="008A3870">
              <w:rPr>
                <w:rFonts w:asciiTheme="minorHAnsi" w:hAnsiTheme="minorHAnsi" w:cstheme="minorHAnsi"/>
                <w:sz w:val="18"/>
              </w:rPr>
              <w:t xml:space="preserve"> as demonstrated by scientific evidence and in which, where appropriate, this condition is being officially maintained for a defined period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52AC34B" w14:textId="77777777" w:rsidTr="00FA2565">
        <w:tc>
          <w:tcPr>
            <w:tcW w:w="1509" w:type="pct"/>
          </w:tcPr>
          <w:p w14:paraId="094A0BB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free production site (PFPS)</w:t>
            </w:r>
          </w:p>
        </w:tc>
        <w:tc>
          <w:tcPr>
            <w:tcW w:w="3491" w:type="pct"/>
          </w:tcPr>
          <w:p w14:paraId="78AFA3C5" w14:textId="71216B8A"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production site in which a specific pest is absent, as demonstrated by scientific evidence, and in which, where appropriate, this condition is being officially maintained for a defined period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2157E8DF" w14:textId="77777777" w:rsidTr="00FA2565">
        <w:tc>
          <w:tcPr>
            <w:tcW w:w="1509" w:type="pct"/>
          </w:tcPr>
          <w:p w14:paraId="5492B823"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risk analysis (PRA)</w:t>
            </w:r>
          </w:p>
        </w:tc>
        <w:tc>
          <w:tcPr>
            <w:tcW w:w="3491" w:type="pct"/>
          </w:tcPr>
          <w:p w14:paraId="1BAEF0C8" w14:textId="4AB0AAA0"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process of evaluating biological or other scientific and economic evidence to determine whether an organism is a pest, whether it should be regulated, and the strength of any phytosanitary measures to be taken against it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9925ABC" w14:textId="77777777" w:rsidTr="00FA2565">
        <w:tc>
          <w:tcPr>
            <w:tcW w:w="1509" w:type="pct"/>
          </w:tcPr>
          <w:p w14:paraId="448D800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risk assessment (for quarantine pests)</w:t>
            </w:r>
          </w:p>
        </w:tc>
        <w:tc>
          <w:tcPr>
            <w:tcW w:w="3491" w:type="pct"/>
          </w:tcPr>
          <w:p w14:paraId="0375CEFC" w14:textId="5946BD71"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Evaluation of the probability of the introduction and spread of a pest and of the magnitude of the associated potential economic consequences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1B4C1D4" w14:textId="77777777" w:rsidTr="00FA2565">
        <w:tc>
          <w:tcPr>
            <w:tcW w:w="1509" w:type="pct"/>
          </w:tcPr>
          <w:p w14:paraId="5EAFB92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lastRenderedPageBreak/>
              <w:t>Pest risk assessment (for regulated non-quarantine pests)</w:t>
            </w:r>
          </w:p>
        </w:tc>
        <w:tc>
          <w:tcPr>
            <w:tcW w:w="3491" w:type="pct"/>
          </w:tcPr>
          <w:p w14:paraId="16602694" w14:textId="373F786E"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Evaluation of the probability that a pest in plants for planting affects the intended use of those plants with an economically unacceptable impact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1A4E11A" w14:textId="77777777" w:rsidTr="00FA2565">
        <w:tc>
          <w:tcPr>
            <w:tcW w:w="1509" w:type="pct"/>
          </w:tcPr>
          <w:p w14:paraId="0E7C8F2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risk management (for quarantine pests)</w:t>
            </w:r>
          </w:p>
        </w:tc>
        <w:tc>
          <w:tcPr>
            <w:tcW w:w="3491" w:type="pct"/>
          </w:tcPr>
          <w:p w14:paraId="5B8B7F70" w14:textId="12C4EFD2"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Evaluation and selection of options to reduce the risk of introduction and spread of a pest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48AED9EE" w14:textId="77777777" w:rsidTr="00FA2565">
        <w:tc>
          <w:tcPr>
            <w:tcW w:w="1509" w:type="pct"/>
          </w:tcPr>
          <w:p w14:paraId="7D5C6E1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risk management (for regulated non-quarantine pests)</w:t>
            </w:r>
          </w:p>
        </w:tc>
        <w:tc>
          <w:tcPr>
            <w:tcW w:w="3491" w:type="pct"/>
          </w:tcPr>
          <w:p w14:paraId="5DF986A2" w14:textId="7DA154BB"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Evaluation and selection of options to reduce the risk that a pest in plants for planting causes an economically unacceptable impact on the intended use of those plants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9AB8B8B" w14:textId="77777777" w:rsidTr="00FA2565">
        <w:tc>
          <w:tcPr>
            <w:tcW w:w="1509" w:type="pct"/>
          </w:tcPr>
          <w:p w14:paraId="76EB5A9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status (in an area)</w:t>
            </w:r>
          </w:p>
        </w:tc>
        <w:tc>
          <w:tcPr>
            <w:tcW w:w="3491" w:type="pct"/>
          </w:tcPr>
          <w:p w14:paraId="3DFE8E72" w14:textId="786A0B08"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Presence or absence, at the present time, of a pest in an area, including where appropriate its distribution, as officially determined using expert judgement </w:t>
            </w:r>
            <w:proofErr w:type="gramStart"/>
            <w:r w:rsidRPr="008A3870">
              <w:rPr>
                <w:rFonts w:asciiTheme="minorHAnsi" w:hAnsiTheme="minorHAnsi" w:cstheme="minorHAnsi"/>
                <w:sz w:val="18"/>
              </w:rPr>
              <w:t>on the basis of</w:t>
            </w:r>
            <w:proofErr w:type="gramEnd"/>
            <w:r w:rsidRPr="008A3870">
              <w:rPr>
                <w:rFonts w:asciiTheme="minorHAnsi" w:hAnsiTheme="minorHAnsi" w:cstheme="minorHAnsi"/>
                <w:sz w:val="18"/>
              </w:rPr>
              <w:t xml:space="preserve"> current and historical pest records and other information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C3EEEFA" w14:textId="77777777" w:rsidTr="00FA2565">
        <w:tc>
          <w:tcPr>
            <w:tcW w:w="1509" w:type="pct"/>
          </w:tcPr>
          <w:p w14:paraId="7515556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Phytosanitary certificate</w:t>
            </w:r>
          </w:p>
        </w:tc>
        <w:tc>
          <w:tcPr>
            <w:tcW w:w="3491" w:type="pct"/>
          </w:tcPr>
          <w:p w14:paraId="4E7AE8B9" w14:textId="12C329A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official paper document or its official electronic equivalent, consistent with the model certificates of the IPPC, attesting that a consignment meets phytosanitary import requirements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46B838D8" w14:textId="77777777" w:rsidTr="00FA2565">
        <w:tc>
          <w:tcPr>
            <w:tcW w:w="1509" w:type="pct"/>
          </w:tcPr>
          <w:p w14:paraId="7562CAA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Phytosanitary certification</w:t>
            </w:r>
          </w:p>
        </w:tc>
        <w:tc>
          <w:tcPr>
            <w:tcW w:w="3491" w:type="pct"/>
          </w:tcPr>
          <w:p w14:paraId="6A046C36" w14:textId="795EBA8D"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Use of phytosanitary procedures leading to the issue of a phytosanitary certificate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40825B6" w14:textId="77777777" w:rsidTr="00FA2565">
        <w:tc>
          <w:tcPr>
            <w:tcW w:w="1509" w:type="pct"/>
          </w:tcPr>
          <w:p w14:paraId="24699F8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Phytosanitary measure</w:t>
            </w:r>
          </w:p>
        </w:tc>
        <w:tc>
          <w:tcPr>
            <w:tcW w:w="3491" w:type="pct"/>
          </w:tcPr>
          <w:p w14:paraId="03197E1F" w14:textId="047AB80C"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Phytosanitary relates to the health of plants. Any legislation, regulation or official procedure having the purpose to prevent the introduction or spread of quarantine pests, or to limit the economic impact of regulated non-quarantine pests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 xml:space="preserve">. In this risk analysis the term ‘phytosanitary measure’ and ‘risk management measure’ may be used interchangeably. </w:t>
            </w:r>
          </w:p>
        </w:tc>
      </w:tr>
      <w:tr w:rsidR="00684F28" w:rsidRPr="00684F28" w14:paraId="2A4BBC6F" w14:textId="77777777" w:rsidTr="00FA2565">
        <w:tc>
          <w:tcPr>
            <w:tcW w:w="1509" w:type="pct"/>
          </w:tcPr>
          <w:p w14:paraId="479B5E4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Phytosanitary procedure</w:t>
            </w:r>
          </w:p>
        </w:tc>
        <w:tc>
          <w:tcPr>
            <w:tcW w:w="3491" w:type="pct"/>
          </w:tcPr>
          <w:p w14:paraId="2E7DC718" w14:textId="7AAEB33B"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Any official method for implementing phytosanitary measures including the performance of inspections, tests, surveillance or treatments in connection with regulated pests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523F45B" w14:textId="77777777" w:rsidTr="00FA2565">
        <w:tc>
          <w:tcPr>
            <w:tcW w:w="1509" w:type="pct"/>
          </w:tcPr>
          <w:p w14:paraId="3688CA9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Phytosanitary regulation</w:t>
            </w:r>
          </w:p>
        </w:tc>
        <w:tc>
          <w:tcPr>
            <w:tcW w:w="3491" w:type="pct"/>
          </w:tcPr>
          <w:p w14:paraId="38CFC0CB" w14:textId="0BF39215"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Official rule to prevent the introduction or spread of quarantine pests, or to limit the economic impact of regulated non-quarantine pests, including establishment of procedures for phytosanitary certification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05078E6" w14:textId="77777777" w:rsidTr="00FA2565">
        <w:tc>
          <w:tcPr>
            <w:tcW w:w="1509" w:type="pct"/>
          </w:tcPr>
          <w:p w14:paraId="1F61FAE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Polyphagous</w:t>
            </w:r>
          </w:p>
        </w:tc>
        <w:tc>
          <w:tcPr>
            <w:tcW w:w="3491" w:type="pct"/>
          </w:tcPr>
          <w:p w14:paraId="0CE38AC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Feeding on a relatively large number of hosts from different plant family and/or genera.</w:t>
            </w:r>
          </w:p>
        </w:tc>
      </w:tr>
      <w:tr w:rsidR="00684F28" w:rsidRPr="00684F28" w14:paraId="5B2AD05E" w14:textId="77777777" w:rsidTr="00FA2565">
        <w:tc>
          <w:tcPr>
            <w:tcW w:w="1509" w:type="pct"/>
          </w:tcPr>
          <w:p w14:paraId="7A3AB94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PRA area</w:t>
            </w:r>
          </w:p>
        </w:tc>
        <w:tc>
          <w:tcPr>
            <w:tcW w:w="3491" w:type="pct"/>
          </w:tcPr>
          <w:p w14:paraId="39E32C64" w14:textId="6FDC144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Area in relation to which a pest risk analysis is conducted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4829863D" w14:textId="77777777" w:rsidTr="00FA2565">
        <w:tc>
          <w:tcPr>
            <w:tcW w:w="1509" w:type="pct"/>
          </w:tcPr>
          <w:p w14:paraId="0CA4FFF3"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Qld</w:t>
            </w:r>
          </w:p>
        </w:tc>
        <w:tc>
          <w:tcPr>
            <w:tcW w:w="3491" w:type="pct"/>
          </w:tcPr>
          <w:p w14:paraId="30FBD51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Queensland in Australia.</w:t>
            </w:r>
          </w:p>
        </w:tc>
      </w:tr>
      <w:tr w:rsidR="00684F28" w:rsidRPr="00684F28" w14:paraId="378EF774" w14:textId="77777777" w:rsidTr="00FA2565">
        <w:tc>
          <w:tcPr>
            <w:tcW w:w="1509" w:type="pct"/>
          </w:tcPr>
          <w:p w14:paraId="7C0FB5E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Quarantine</w:t>
            </w:r>
          </w:p>
        </w:tc>
        <w:tc>
          <w:tcPr>
            <w:tcW w:w="3491" w:type="pct"/>
          </w:tcPr>
          <w:p w14:paraId="01C32C81" w14:textId="2B2CC5C5"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Official confinement of regulated articles</w:t>
            </w:r>
            <w:r w:rsidR="003E054E" w:rsidRPr="008A3870">
              <w:rPr>
                <w:rFonts w:asciiTheme="minorHAnsi" w:hAnsiTheme="minorHAnsi" w:cstheme="minorHAnsi"/>
                <w:sz w:val="18"/>
              </w:rPr>
              <w:t>,</w:t>
            </w:r>
            <w:r w:rsidRPr="008A3870">
              <w:rPr>
                <w:rFonts w:asciiTheme="minorHAnsi" w:hAnsiTheme="minorHAnsi" w:cstheme="minorHAnsi"/>
                <w:sz w:val="18"/>
              </w:rPr>
              <w:t xml:space="preserve"> </w:t>
            </w:r>
            <w:r w:rsidR="003E054E" w:rsidRPr="008A3870">
              <w:rPr>
                <w:rFonts w:asciiTheme="minorHAnsi" w:hAnsiTheme="minorHAnsi" w:cstheme="minorHAnsi"/>
                <w:sz w:val="18"/>
              </w:rPr>
              <w:t xml:space="preserve">pests or beneficial organisms for inspection, testing, treatment, observation or research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B3DDEBA" w14:textId="77777777" w:rsidTr="00FA2565">
        <w:tc>
          <w:tcPr>
            <w:tcW w:w="1509" w:type="pct"/>
          </w:tcPr>
          <w:p w14:paraId="02B7E58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Quarantine pest</w:t>
            </w:r>
          </w:p>
        </w:tc>
        <w:tc>
          <w:tcPr>
            <w:tcW w:w="3491" w:type="pct"/>
          </w:tcPr>
          <w:p w14:paraId="63ED21FD" w14:textId="2D3EF07D"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pest of potential economic importance to the area endangered thereby and not yet present there, or present but not widely distributed and being officially controlled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0E64CE3" w14:textId="77777777" w:rsidTr="00FA2565">
        <w:tc>
          <w:tcPr>
            <w:tcW w:w="1509" w:type="pct"/>
          </w:tcPr>
          <w:p w14:paraId="2F963AB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Regulated article (RA)</w:t>
            </w:r>
          </w:p>
        </w:tc>
        <w:tc>
          <w:tcPr>
            <w:tcW w:w="3491" w:type="pct"/>
          </w:tcPr>
          <w:p w14:paraId="31569030" w14:textId="2F9EE415"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48455521" w14:textId="77777777" w:rsidTr="00FA2565">
        <w:tc>
          <w:tcPr>
            <w:tcW w:w="1509" w:type="pct"/>
          </w:tcPr>
          <w:p w14:paraId="7E209D4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Regulated non-quarantine pest</w:t>
            </w:r>
          </w:p>
        </w:tc>
        <w:tc>
          <w:tcPr>
            <w:tcW w:w="3491" w:type="pct"/>
          </w:tcPr>
          <w:p w14:paraId="443F379D" w14:textId="1DE8F3C0"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non-quarantine pest whose presence in plants for planting affects the intended use of those plants with an economically unacceptable impact and which is therefore regulated within the territory of the importing contracting party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01AD4BB" w14:textId="77777777" w:rsidTr="00FA2565">
        <w:tc>
          <w:tcPr>
            <w:tcW w:w="1509" w:type="pct"/>
          </w:tcPr>
          <w:p w14:paraId="26DFBDB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Regulated pest</w:t>
            </w:r>
          </w:p>
        </w:tc>
        <w:tc>
          <w:tcPr>
            <w:tcW w:w="3491" w:type="pct"/>
          </w:tcPr>
          <w:p w14:paraId="707CD596" w14:textId="68A61D7F"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quarantine pest or a regulated non-quarantine pest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7E05563" w14:textId="77777777" w:rsidTr="00FA2565">
        <w:tc>
          <w:tcPr>
            <w:tcW w:w="1509" w:type="pct"/>
          </w:tcPr>
          <w:p w14:paraId="205FB98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Restricted risk</w:t>
            </w:r>
          </w:p>
        </w:tc>
        <w:tc>
          <w:tcPr>
            <w:tcW w:w="3491" w:type="pct"/>
          </w:tcPr>
          <w:p w14:paraId="135CBD8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Restricted risk is the risk estimate when risk management measures are applied.</w:t>
            </w:r>
          </w:p>
        </w:tc>
      </w:tr>
      <w:tr w:rsidR="00684F28" w:rsidRPr="00684F28" w14:paraId="4FEBFB02" w14:textId="77777777" w:rsidTr="00FA2565">
        <w:tc>
          <w:tcPr>
            <w:tcW w:w="1509" w:type="pct"/>
          </w:tcPr>
          <w:p w14:paraId="2438934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Risk analysis</w:t>
            </w:r>
          </w:p>
        </w:tc>
        <w:tc>
          <w:tcPr>
            <w:tcW w:w="3491" w:type="pct"/>
          </w:tcPr>
          <w:p w14:paraId="2976DC3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684F28" w:rsidRPr="00684F28" w14:paraId="7F43EBA0" w14:textId="77777777" w:rsidTr="00FA2565">
        <w:tc>
          <w:tcPr>
            <w:tcW w:w="1509" w:type="pct"/>
          </w:tcPr>
          <w:p w14:paraId="2B09565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lastRenderedPageBreak/>
              <w:t>Risk management measure</w:t>
            </w:r>
          </w:p>
        </w:tc>
        <w:tc>
          <w:tcPr>
            <w:tcW w:w="3491" w:type="pct"/>
          </w:tcPr>
          <w:p w14:paraId="20412C0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684F28" w:rsidRPr="00684F28" w14:paraId="5D69051F" w14:textId="77777777" w:rsidTr="00FA2565">
        <w:tc>
          <w:tcPr>
            <w:tcW w:w="1509" w:type="pct"/>
          </w:tcPr>
          <w:p w14:paraId="6BB3517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SA</w:t>
            </w:r>
          </w:p>
        </w:tc>
        <w:tc>
          <w:tcPr>
            <w:tcW w:w="3491" w:type="pct"/>
          </w:tcPr>
          <w:p w14:paraId="5948EAE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South Australia.</w:t>
            </w:r>
          </w:p>
        </w:tc>
      </w:tr>
      <w:tr w:rsidR="00684F28" w:rsidRPr="00684F28" w14:paraId="31B3E589" w14:textId="77777777" w:rsidTr="00FA2565">
        <w:tc>
          <w:tcPr>
            <w:tcW w:w="1509" w:type="pct"/>
          </w:tcPr>
          <w:p w14:paraId="20F6689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Saprophyte</w:t>
            </w:r>
          </w:p>
        </w:tc>
        <w:tc>
          <w:tcPr>
            <w:tcW w:w="3491" w:type="pct"/>
          </w:tcPr>
          <w:p w14:paraId="2817BCD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An organism deriving its nourishment from dead organic matter.</w:t>
            </w:r>
          </w:p>
        </w:tc>
      </w:tr>
      <w:tr w:rsidR="00684F28" w:rsidRPr="00684F28" w14:paraId="4A82AB7B" w14:textId="77777777" w:rsidTr="00FA2565">
        <w:tc>
          <w:tcPr>
            <w:tcW w:w="1509" w:type="pct"/>
          </w:tcPr>
          <w:p w14:paraId="5D798E6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Spread (of a pest)</w:t>
            </w:r>
          </w:p>
        </w:tc>
        <w:tc>
          <w:tcPr>
            <w:tcW w:w="3491" w:type="pct"/>
          </w:tcPr>
          <w:p w14:paraId="1B594397" w14:textId="224D8722"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Expansion of the geographical distribution of a pest within an area </w:t>
            </w:r>
            <w:r w:rsidR="00C33F81" w:rsidRPr="008A3870">
              <w:rPr>
                <w:rFonts w:asciiTheme="minorHAnsi" w:hAnsiTheme="minorHAnsi" w:cstheme="minorHAnsi"/>
                <w:sz w:val="18"/>
              </w:rPr>
              <w:t>(</w:t>
            </w:r>
            <w:r w:rsidR="00DF17F9">
              <w:rPr>
                <w:rFonts w:asciiTheme="minorHAnsi" w:hAnsiTheme="minorHAnsi" w:cstheme="minorHAnsi"/>
                <w:sz w:val="18"/>
              </w:rPr>
              <w:t>FAO 2024</w:t>
            </w:r>
            <w:r w:rsidR="00C33F81"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A3C9CAB" w14:textId="77777777" w:rsidTr="00FA2565">
        <w:tc>
          <w:tcPr>
            <w:tcW w:w="1509" w:type="pct"/>
          </w:tcPr>
          <w:p w14:paraId="11F96D4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SPS Agreement</w:t>
            </w:r>
          </w:p>
        </w:tc>
        <w:tc>
          <w:tcPr>
            <w:tcW w:w="3491" w:type="pct"/>
          </w:tcPr>
          <w:p w14:paraId="28E2A76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WTO Agreement on the Application of Sanitary and Phytosanitary Measures.</w:t>
            </w:r>
          </w:p>
        </w:tc>
      </w:tr>
      <w:tr w:rsidR="00684F28" w:rsidRPr="00684F28" w14:paraId="531D53DB" w14:textId="77777777" w:rsidTr="00FA2565">
        <w:tc>
          <w:tcPr>
            <w:tcW w:w="1509" w:type="pct"/>
          </w:tcPr>
          <w:p w14:paraId="225310D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Stakeholders</w:t>
            </w:r>
          </w:p>
        </w:tc>
        <w:tc>
          <w:tcPr>
            <w:tcW w:w="3491" w:type="pct"/>
          </w:tcPr>
          <w:p w14:paraId="67B9848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Government agencies, individuals, community or industry groups or organizations, whether in Australia or overseas, including the proponent/applicant for a specific proposal, who have an interest in the policy issues.</w:t>
            </w:r>
          </w:p>
        </w:tc>
      </w:tr>
      <w:tr w:rsidR="00684F28" w:rsidRPr="00684F28" w14:paraId="36C50E22" w14:textId="77777777" w:rsidTr="00FA2565">
        <w:tc>
          <w:tcPr>
            <w:tcW w:w="1509" w:type="pct"/>
          </w:tcPr>
          <w:p w14:paraId="2726D03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Surveillance</w:t>
            </w:r>
          </w:p>
        </w:tc>
        <w:tc>
          <w:tcPr>
            <w:tcW w:w="3491" w:type="pct"/>
          </w:tcPr>
          <w:p w14:paraId="170F087B" w14:textId="7A6EC7C0"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official process which collects and records data on </w:t>
            </w:r>
            <w:r w:rsidR="00951526" w:rsidRPr="008A3870">
              <w:rPr>
                <w:rFonts w:asciiTheme="minorHAnsi" w:hAnsiTheme="minorHAnsi" w:cstheme="minorHAnsi"/>
                <w:sz w:val="18"/>
              </w:rPr>
              <w:t>pest presence or absence by survey,</w:t>
            </w:r>
            <w:r w:rsidRPr="008A3870">
              <w:rPr>
                <w:rFonts w:asciiTheme="minorHAnsi" w:hAnsiTheme="minorHAnsi" w:cstheme="minorHAnsi"/>
                <w:sz w:val="18"/>
              </w:rPr>
              <w:t xml:space="preserve"> monitoring or other procedures </w:t>
            </w:r>
            <w:r w:rsidR="00C33F81" w:rsidRPr="008A3870">
              <w:rPr>
                <w:rFonts w:asciiTheme="minorHAnsi" w:hAnsiTheme="minorHAnsi" w:cstheme="minorHAnsi"/>
                <w:sz w:val="18"/>
              </w:rPr>
              <w:t>(</w:t>
            </w:r>
            <w:r w:rsidR="00DF17F9">
              <w:rPr>
                <w:rFonts w:asciiTheme="minorHAnsi" w:hAnsiTheme="minorHAnsi" w:cstheme="minorHAnsi"/>
                <w:sz w:val="18"/>
              </w:rPr>
              <w:t>FAO 2024</w:t>
            </w:r>
            <w:r w:rsidR="00C33F81"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28E1126" w14:textId="77777777" w:rsidTr="00FA2565">
        <w:tc>
          <w:tcPr>
            <w:tcW w:w="1509" w:type="pct"/>
          </w:tcPr>
          <w:p w14:paraId="40BBF1B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Systems approach(es)</w:t>
            </w:r>
          </w:p>
        </w:tc>
        <w:tc>
          <w:tcPr>
            <w:tcW w:w="3491" w:type="pct"/>
          </w:tcPr>
          <w:p w14:paraId="0534B84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integration of different risk management measures, at least 2 of which act independently, and which cumulatively achieve the appropriate level of protection against regulated pests.</w:t>
            </w:r>
          </w:p>
        </w:tc>
      </w:tr>
      <w:tr w:rsidR="00684F28" w:rsidRPr="00684F28" w14:paraId="0BEB1E70" w14:textId="77777777" w:rsidTr="00FA2565">
        <w:tc>
          <w:tcPr>
            <w:tcW w:w="1509" w:type="pct"/>
          </w:tcPr>
          <w:p w14:paraId="2F34AFB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Tas.</w:t>
            </w:r>
          </w:p>
        </w:tc>
        <w:tc>
          <w:tcPr>
            <w:tcW w:w="3491" w:type="pct"/>
          </w:tcPr>
          <w:p w14:paraId="1346530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Tasmania in Australia.</w:t>
            </w:r>
          </w:p>
        </w:tc>
      </w:tr>
      <w:tr w:rsidR="00684F28" w:rsidRPr="00684F28" w14:paraId="5112CDFA" w14:textId="77777777" w:rsidTr="00FA2565">
        <w:tc>
          <w:tcPr>
            <w:tcW w:w="1509" w:type="pct"/>
          </w:tcPr>
          <w:p w14:paraId="55FB76B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Trash</w:t>
            </w:r>
          </w:p>
        </w:tc>
        <w:tc>
          <w:tcPr>
            <w:tcW w:w="3491" w:type="pct"/>
          </w:tcPr>
          <w:p w14:paraId="2B05537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Soil, splinters, twigs, leaves and other plant material, other than fruit as defined in the scope of this risk analysis.</w:t>
            </w:r>
          </w:p>
          <w:p w14:paraId="0660F7E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For example, stem and leaf material, seeds, soil, animal matter/parts or other extraneous material</w:t>
            </w:r>
          </w:p>
        </w:tc>
      </w:tr>
      <w:tr w:rsidR="00684F28" w:rsidRPr="00684F28" w14:paraId="052968AC" w14:textId="77777777" w:rsidTr="00FA2565">
        <w:tc>
          <w:tcPr>
            <w:tcW w:w="1509" w:type="pct"/>
          </w:tcPr>
          <w:p w14:paraId="5974DC17" w14:textId="055553EF"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Treatment</w:t>
            </w:r>
            <w:r w:rsidR="000E00C0" w:rsidRPr="008A3870">
              <w:rPr>
                <w:rFonts w:asciiTheme="minorHAnsi" w:hAnsiTheme="minorHAnsi" w:cstheme="minorHAnsi"/>
                <w:sz w:val="18"/>
              </w:rPr>
              <w:t xml:space="preserve"> (as a phytosanitary measure)</w:t>
            </w:r>
          </w:p>
        </w:tc>
        <w:tc>
          <w:tcPr>
            <w:tcW w:w="3491" w:type="pct"/>
          </w:tcPr>
          <w:p w14:paraId="732C4A40" w14:textId="10EB6218"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Official procedure for </w:t>
            </w:r>
            <w:r w:rsidR="000E00C0" w:rsidRPr="008A3870">
              <w:rPr>
                <w:rFonts w:asciiTheme="minorHAnsi" w:hAnsiTheme="minorHAnsi" w:cstheme="minorHAnsi"/>
                <w:sz w:val="18"/>
              </w:rPr>
              <w:t xml:space="preserve">killing, inactivating, removing, rendering infertile or devitalising regulated pests </w:t>
            </w:r>
            <w:r w:rsidR="00C33F81" w:rsidRPr="008A3870">
              <w:rPr>
                <w:rFonts w:asciiTheme="minorHAnsi" w:hAnsiTheme="minorHAnsi" w:cstheme="minorHAnsi"/>
                <w:sz w:val="18"/>
              </w:rPr>
              <w:t>(</w:t>
            </w:r>
            <w:r w:rsidR="00DF17F9">
              <w:rPr>
                <w:rFonts w:asciiTheme="minorHAnsi" w:hAnsiTheme="minorHAnsi" w:cstheme="minorHAnsi"/>
                <w:sz w:val="18"/>
              </w:rPr>
              <w:t>FAO 2024</w:t>
            </w:r>
            <w:r w:rsidR="00C33F81"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CFB7756" w14:textId="77777777" w:rsidTr="00FA2565">
        <w:tc>
          <w:tcPr>
            <w:tcW w:w="1509" w:type="pct"/>
          </w:tcPr>
          <w:p w14:paraId="20A145D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Unrestricted risk</w:t>
            </w:r>
          </w:p>
        </w:tc>
        <w:tc>
          <w:tcPr>
            <w:tcW w:w="3491" w:type="pct"/>
          </w:tcPr>
          <w:p w14:paraId="6601C55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Unrestricted risk estimates apply in the absence of risk management measures.</w:t>
            </w:r>
          </w:p>
        </w:tc>
      </w:tr>
      <w:tr w:rsidR="00684F28" w:rsidRPr="00684F28" w14:paraId="7F1044E1" w14:textId="77777777" w:rsidTr="00FA2565">
        <w:tc>
          <w:tcPr>
            <w:tcW w:w="1509" w:type="pct"/>
          </w:tcPr>
          <w:p w14:paraId="061DFFF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Vector</w:t>
            </w:r>
          </w:p>
        </w:tc>
        <w:tc>
          <w:tcPr>
            <w:tcW w:w="3491" w:type="pct"/>
          </w:tcPr>
          <w:p w14:paraId="47F0E1B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 this report, a vector is an organism that is capable of harbouring and spreading a pest from one host to another.</w:t>
            </w:r>
          </w:p>
        </w:tc>
      </w:tr>
      <w:tr w:rsidR="00684F28" w:rsidRPr="00684F28" w14:paraId="2E845D7F" w14:textId="77777777" w:rsidTr="00FA2565">
        <w:tc>
          <w:tcPr>
            <w:tcW w:w="1509" w:type="pct"/>
          </w:tcPr>
          <w:p w14:paraId="2E2F614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Viable</w:t>
            </w:r>
          </w:p>
        </w:tc>
        <w:tc>
          <w:tcPr>
            <w:tcW w:w="3491" w:type="pct"/>
          </w:tcPr>
          <w:p w14:paraId="6AB4A0A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Alive, able to germinate or capable of growth and/or development.</w:t>
            </w:r>
          </w:p>
        </w:tc>
      </w:tr>
      <w:tr w:rsidR="00684F28" w:rsidRPr="00684F28" w14:paraId="5F3D99C5" w14:textId="77777777" w:rsidTr="00FA2565">
        <w:tc>
          <w:tcPr>
            <w:tcW w:w="1509" w:type="pct"/>
          </w:tcPr>
          <w:p w14:paraId="27038C68"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Vic.</w:t>
            </w:r>
          </w:p>
        </w:tc>
        <w:tc>
          <w:tcPr>
            <w:tcW w:w="3491" w:type="pct"/>
          </w:tcPr>
          <w:p w14:paraId="4E2E3F4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Victoria in Australia.</w:t>
            </w:r>
          </w:p>
        </w:tc>
      </w:tr>
      <w:tr w:rsidR="00684F28" w:rsidRPr="00684F28" w14:paraId="7A42349E" w14:textId="77777777" w:rsidTr="00FA2565">
        <w:tc>
          <w:tcPr>
            <w:tcW w:w="1509" w:type="pct"/>
          </w:tcPr>
          <w:p w14:paraId="59410FC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WA</w:t>
            </w:r>
          </w:p>
        </w:tc>
        <w:tc>
          <w:tcPr>
            <w:tcW w:w="3491" w:type="pct"/>
          </w:tcPr>
          <w:p w14:paraId="30063C4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Western Australia.</w:t>
            </w:r>
          </w:p>
        </w:tc>
      </w:tr>
      <w:tr w:rsidR="00684F28" w:rsidRPr="00684F28" w14:paraId="727ADE01" w14:textId="77777777" w:rsidTr="00FA2565">
        <w:tc>
          <w:tcPr>
            <w:tcW w:w="1509" w:type="pct"/>
          </w:tcPr>
          <w:p w14:paraId="58E99BA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WTO</w:t>
            </w:r>
          </w:p>
        </w:tc>
        <w:tc>
          <w:tcPr>
            <w:tcW w:w="3491" w:type="pct"/>
          </w:tcPr>
          <w:p w14:paraId="1504C15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World Trade Organization</w:t>
            </w:r>
          </w:p>
        </w:tc>
      </w:tr>
    </w:tbl>
    <w:p w14:paraId="00730796" w14:textId="2A4FA491" w:rsidR="00684F28" w:rsidRPr="00684F28" w:rsidRDefault="00684F28" w:rsidP="00684F28">
      <w:pPr>
        <w:sectPr w:rsidR="00684F28" w:rsidRPr="00684F28" w:rsidSect="00736319">
          <w:headerReference w:type="even" r:id="rId80"/>
          <w:headerReference w:type="default" r:id="rId81"/>
          <w:footerReference w:type="even" r:id="rId82"/>
          <w:footerReference w:type="default" r:id="rId83"/>
          <w:headerReference w:type="first" r:id="rId84"/>
          <w:footerReference w:type="first" r:id="rId85"/>
          <w:pgSz w:w="11906" w:h="16838"/>
          <w:pgMar w:top="1418" w:right="1418" w:bottom="1418" w:left="1418" w:header="567" w:footer="283" w:gutter="0"/>
          <w:cols w:space="708"/>
          <w:docGrid w:linePitch="360"/>
        </w:sectPr>
      </w:pPr>
    </w:p>
    <w:p w14:paraId="57F6AF87" w14:textId="77777777" w:rsidR="00736319" w:rsidRDefault="00D0393D" w:rsidP="00B96F59">
      <w:pPr>
        <w:pStyle w:val="Heading2"/>
        <w:numPr>
          <w:ilvl w:val="0"/>
          <w:numId w:val="0"/>
        </w:numPr>
        <w:ind w:left="794" w:hanging="794"/>
      </w:pPr>
      <w:bookmarkStart w:id="82" w:name="_Toc114642150"/>
      <w:bookmarkStart w:id="83" w:name="_Toc209446386"/>
      <w:r>
        <w:lastRenderedPageBreak/>
        <w:t>References</w:t>
      </w:r>
      <w:bookmarkEnd w:id="82"/>
      <w:bookmarkEnd w:id="83"/>
    </w:p>
    <w:p w14:paraId="00E66BED" w14:textId="77777777" w:rsidR="009D2A7D" w:rsidRPr="008A3870" w:rsidRDefault="009D2A7D" w:rsidP="009D2A7D">
      <w:pPr>
        <w:pStyle w:val="EndNoteBibliography"/>
        <w:rPr>
          <w:rFonts w:asciiTheme="minorHAnsi" w:hAnsiTheme="minorHAnsi" w:cstheme="minorHAnsi"/>
        </w:rPr>
      </w:pPr>
      <w:r w:rsidRPr="008A3870">
        <w:rPr>
          <w:rFonts w:asciiTheme="minorHAnsi" w:hAnsiTheme="minorHAnsi" w:cstheme="minorHAnsi"/>
        </w:rPr>
        <w:t xml:space="preserve">Briese, D 2005, ‘Translating host-specificity test results into the real world: the need to harmonize the yin and yang of current testing procedures’, </w:t>
      </w:r>
      <w:r w:rsidRPr="008A3870">
        <w:rPr>
          <w:rFonts w:asciiTheme="minorHAnsi" w:hAnsiTheme="minorHAnsi" w:cstheme="minorHAnsi"/>
          <w:i/>
        </w:rPr>
        <w:t>Biological Control</w:t>
      </w:r>
      <w:r w:rsidRPr="008A3870">
        <w:rPr>
          <w:rFonts w:asciiTheme="minorHAnsi" w:hAnsiTheme="minorHAnsi" w:cstheme="minorHAnsi"/>
        </w:rPr>
        <w:t>, vol. 35, pp. 208-214.</w:t>
      </w:r>
    </w:p>
    <w:p w14:paraId="5283EED7" w14:textId="12466C57" w:rsidR="00BE03BC" w:rsidRPr="008A3870" w:rsidRDefault="00BE03BC" w:rsidP="009D2A7D">
      <w:pPr>
        <w:pStyle w:val="EndNoteBibliography"/>
        <w:rPr>
          <w:rFonts w:asciiTheme="minorHAnsi" w:hAnsiTheme="minorHAnsi" w:cstheme="minorHAnsi"/>
        </w:rPr>
      </w:pPr>
      <w:r w:rsidRPr="008A3870">
        <w:rPr>
          <w:rFonts w:asciiTheme="minorHAnsi" w:hAnsiTheme="minorHAnsi" w:cstheme="minorHAnsi"/>
        </w:rPr>
        <w:t xml:space="preserve">DAWE 2021, Final group pest risk analysis for soft and hard scale insects on fresh fruit, vegetable, cut-flower and foliage imports, Department of Agriculture, Water and the Environment, Canberra, available at </w:t>
      </w:r>
      <w:hyperlink r:id="rId86" w:history="1">
        <w:r w:rsidRPr="008A3870">
          <w:rPr>
            <w:rStyle w:val="Hyperlink"/>
            <w:rFonts w:asciiTheme="minorHAnsi" w:hAnsiTheme="minorHAnsi" w:cstheme="minorHAnsi"/>
          </w:rPr>
          <w:t>https://www.awe.gov.au/biosecurity-trade/policy/risk-analysis/group-pest-risk-analyses/scales</w:t>
        </w:r>
      </w:hyperlink>
      <w:r w:rsidRPr="008A3870">
        <w:rPr>
          <w:rFonts w:asciiTheme="minorHAnsi" w:hAnsiTheme="minorHAnsi" w:cstheme="minorHAnsi"/>
        </w:rPr>
        <w:t>.</w:t>
      </w:r>
    </w:p>
    <w:p w14:paraId="1A4B3077" w14:textId="273065B5" w:rsidR="00BE03BC" w:rsidRPr="008A3870" w:rsidRDefault="00BE03BC" w:rsidP="009D2A7D">
      <w:pPr>
        <w:pStyle w:val="EndNoteBibliography"/>
        <w:rPr>
          <w:rFonts w:asciiTheme="minorHAnsi" w:hAnsiTheme="minorHAnsi" w:cstheme="minorHAnsi"/>
        </w:rPr>
      </w:pPr>
      <w:r w:rsidRPr="008A3870">
        <w:rPr>
          <w:rFonts w:asciiTheme="minorHAnsi" w:hAnsiTheme="minorHAnsi" w:cstheme="minorHAnsi"/>
        </w:rPr>
        <w:t xml:space="preserve">DAWR 2017, Final group pest risk analysis for thrips and orthotospoviruses on fresh fruit, vegetable, cut-flower and foliage imports, Department of Agriculture and Water Resources, Canberra, available at </w:t>
      </w:r>
      <w:hyperlink r:id="rId87" w:history="1">
        <w:r w:rsidRPr="008A3870">
          <w:rPr>
            <w:rStyle w:val="Hyperlink"/>
            <w:rFonts w:asciiTheme="minorHAnsi" w:hAnsiTheme="minorHAnsi" w:cstheme="minorHAnsi"/>
          </w:rPr>
          <w:t>https://www.awe.gov.au/biosecurity-trade/policy/risk-analysis/group-pest-risk-analyses/group-pra-thrips-orthotospoviruses/final-report</w:t>
        </w:r>
      </w:hyperlink>
      <w:r w:rsidRPr="008A3870">
        <w:rPr>
          <w:rFonts w:asciiTheme="minorHAnsi" w:hAnsiTheme="minorHAnsi" w:cstheme="minorHAnsi"/>
        </w:rPr>
        <w:t>.</w:t>
      </w:r>
    </w:p>
    <w:p w14:paraId="2143B816" w14:textId="178460DE" w:rsidR="00BE03BC" w:rsidRPr="008A3870" w:rsidRDefault="00BE03BC" w:rsidP="009D2A7D">
      <w:pPr>
        <w:pStyle w:val="EndNoteBibliography"/>
        <w:rPr>
          <w:rFonts w:asciiTheme="minorHAnsi" w:hAnsiTheme="minorHAnsi" w:cstheme="minorHAnsi"/>
        </w:rPr>
      </w:pPr>
      <w:r w:rsidRPr="008A3870">
        <w:rPr>
          <w:rFonts w:asciiTheme="minorHAnsi" w:hAnsiTheme="minorHAnsi" w:cstheme="minorHAnsi"/>
        </w:rPr>
        <w:t xml:space="preserve">DAWE 2019, Final group pest risk analysis for mealybugs and the viruses they transmit on fresh fruit, vegetable, cut-flower and foliage imports, Department of Agriculture and Water Resources, Canberra, available at </w:t>
      </w:r>
      <w:hyperlink r:id="rId88" w:history="1">
        <w:r w:rsidRPr="008A3870">
          <w:rPr>
            <w:rStyle w:val="Hyperlink"/>
            <w:rFonts w:asciiTheme="minorHAnsi" w:hAnsiTheme="minorHAnsi" w:cstheme="minorHAnsi"/>
          </w:rPr>
          <w:t>https://www.awe.gov.au/biosecurity-trade/policy/risk-analysis/group-pest-risk-analyses/mealybugs/final-report</w:t>
        </w:r>
      </w:hyperlink>
      <w:r w:rsidRPr="008A3870">
        <w:rPr>
          <w:rFonts w:asciiTheme="minorHAnsi" w:hAnsiTheme="minorHAnsi" w:cstheme="minorHAnsi"/>
        </w:rPr>
        <w:t xml:space="preserve">. </w:t>
      </w:r>
    </w:p>
    <w:p w14:paraId="22C7208A" w14:textId="0E61C3E1" w:rsidR="009D2A7D" w:rsidRPr="008A3870" w:rsidRDefault="009D2A7D" w:rsidP="009D2A7D">
      <w:pPr>
        <w:pStyle w:val="EndNoteBibliography"/>
        <w:rPr>
          <w:rFonts w:asciiTheme="minorHAnsi" w:hAnsiTheme="minorHAnsi" w:cstheme="minorHAnsi"/>
        </w:rPr>
      </w:pPr>
      <w:r w:rsidRPr="008A3870">
        <w:rPr>
          <w:rFonts w:asciiTheme="minorHAnsi" w:hAnsiTheme="minorHAnsi" w:cstheme="minorHAnsi"/>
        </w:rPr>
        <w:t xml:space="preserve">FAO 2017, </w:t>
      </w:r>
      <w:r w:rsidRPr="008A3870">
        <w:rPr>
          <w:rFonts w:asciiTheme="minorHAnsi" w:hAnsiTheme="minorHAnsi" w:cstheme="minorHAnsi"/>
          <w:i/>
        </w:rPr>
        <w:t>International Standards for Phytosanitary Measures (ISPM) no. 3: Guidelines for the export, shipment, import and release of biological control agents and other beneficial organisms</w:t>
      </w:r>
      <w:r w:rsidRPr="008A3870">
        <w:rPr>
          <w:rFonts w:asciiTheme="minorHAnsi" w:hAnsiTheme="minorHAnsi" w:cstheme="minorHAnsi"/>
        </w:rPr>
        <w:t xml:space="preserve">, Food and Agriculture Organization of the United Nations, Rome, available at </w:t>
      </w:r>
      <w:bookmarkStart w:id="84" w:name="_Hlk112678256"/>
      <w:r w:rsidR="004D7335" w:rsidRPr="008A3870">
        <w:rPr>
          <w:rFonts w:asciiTheme="minorHAnsi" w:hAnsiTheme="minorHAnsi" w:cstheme="minorHAnsi"/>
        </w:rPr>
        <w:fldChar w:fldCharType="begin"/>
      </w:r>
      <w:r w:rsidR="004D7335" w:rsidRPr="008A3870">
        <w:rPr>
          <w:rFonts w:asciiTheme="minorHAnsi" w:hAnsiTheme="minorHAnsi" w:cstheme="minorHAnsi"/>
        </w:rPr>
        <w:instrText xml:space="preserve"> HYPERLINK "https://www.ippc.int/en/core-activities/standards-setting/ispms/" </w:instrText>
      </w:r>
      <w:r w:rsidR="004D7335" w:rsidRPr="008A3870">
        <w:rPr>
          <w:rFonts w:asciiTheme="minorHAnsi" w:hAnsiTheme="minorHAnsi" w:cstheme="minorHAnsi"/>
        </w:rPr>
      </w:r>
      <w:r w:rsidR="004D7335" w:rsidRPr="008A3870">
        <w:rPr>
          <w:rFonts w:asciiTheme="minorHAnsi" w:hAnsiTheme="minorHAnsi" w:cstheme="minorHAnsi"/>
        </w:rPr>
        <w:fldChar w:fldCharType="separate"/>
      </w:r>
      <w:r w:rsidR="004D7335" w:rsidRPr="008A3870">
        <w:rPr>
          <w:rStyle w:val="Hyperlink"/>
          <w:rFonts w:asciiTheme="minorHAnsi" w:hAnsiTheme="minorHAnsi" w:cstheme="minorHAnsi"/>
        </w:rPr>
        <w:t>https://www.ippc.int/en/core-activities/standards-setting/ispms/</w:t>
      </w:r>
      <w:r w:rsidR="004D7335" w:rsidRPr="008A3870">
        <w:rPr>
          <w:rFonts w:asciiTheme="minorHAnsi" w:hAnsiTheme="minorHAnsi" w:cstheme="minorHAnsi"/>
        </w:rPr>
        <w:fldChar w:fldCharType="end"/>
      </w:r>
      <w:bookmarkEnd w:id="84"/>
      <w:r w:rsidRPr="008A3870">
        <w:rPr>
          <w:rFonts w:asciiTheme="minorHAnsi" w:hAnsiTheme="minorHAnsi" w:cstheme="minorHAnsi"/>
        </w:rPr>
        <w:t>.</w:t>
      </w:r>
      <w:r w:rsidR="004D7335" w:rsidRPr="008A3870">
        <w:rPr>
          <w:rFonts w:asciiTheme="minorHAnsi" w:hAnsiTheme="minorHAnsi" w:cstheme="minorHAnsi"/>
        </w:rPr>
        <w:t xml:space="preserve"> </w:t>
      </w:r>
    </w:p>
    <w:p w14:paraId="4C3825E0" w14:textId="5AF14131" w:rsidR="009D2A7D" w:rsidRPr="008A3870" w:rsidRDefault="009D2A7D" w:rsidP="009D2A7D">
      <w:pPr>
        <w:pStyle w:val="EndNoteBibliography"/>
        <w:rPr>
          <w:rFonts w:asciiTheme="minorHAnsi" w:hAnsiTheme="minorHAnsi" w:cstheme="minorHAnsi"/>
        </w:rPr>
      </w:pPr>
      <w:r w:rsidRPr="008A3870">
        <w:rPr>
          <w:rFonts w:asciiTheme="minorHAnsi" w:hAnsiTheme="minorHAnsi" w:cstheme="minorHAnsi"/>
        </w:rPr>
        <w:t xml:space="preserve">FAO </w:t>
      </w:r>
      <w:r w:rsidR="00D21A8E" w:rsidRPr="008A3870">
        <w:rPr>
          <w:rFonts w:asciiTheme="minorHAnsi" w:hAnsiTheme="minorHAnsi" w:cstheme="minorHAnsi"/>
        </w:rPr>
        <w:t>2019a</w:t>
      </w:r>
      <w:r w:rsidRPr="008A3870">
        <w:rPr>
          <w:rFonts w:asciiTheme="minorHAnsi" w:hAnsiTheme="minorHAnsi" w:cstheme="minorHAnsi"/>
          <w:i/>
        </w:rPr>
        <w:t>, International Standards for Phytosanitary Measures (ISPM) no. 2: Framework for pest risk analysis</w:t>
      </w:r>
      <w:r w:rsidRPr="008A3870">
        <w:rPr>
          <w:rFonts w:asciiTheme="minorHAnsi" w:hAnsiTheme="minorHAnsi" w:cstheme="minorHAnsi"/>
        </w:rPr>
        <w:t xml:space="preserve">, Food and Agriculture Organization of the United Nations, Rome, available at </w:t>
      </w:r>
      <w:hyperlink r:id="rId89" w:history="1">
        <w:r w:rsidR="004D7335" w:rsidRPr="008A3870">
          <w:rPr>
            <w:rStyle w:val="Hyperlink"/>
            <w:rFonts w:asciiTheme="minorHAnsi" w:hAnsiTheme="minorHAnsi" w:cstheme="minorHAnsi"/>
            <w:lang w:val="en-AU"/>
          </w:rPr>
          <w:t>https://www.ippc.int/en/core-activities/standards-setting/ispms/</w:t>
        </w:r>
      </w:hyperlink>
      <w:r w:rsidRPr="008A3870">
        <w:rPr>
          <w:rFonts w:asciiTheme="minorHAnsi" w:hAnsiTheme="minorHAnsi" w:cstheme="minorHAnsi"/>
        </w:rPr>
        <w:t>.</w:t>
      </w:r>
    </w:p>
    <w:p w14:paraId="453B6B8D" w14:textId="0459BB27" w:rsidR="009D2A7D" w:rsidRPr="008A3870" w:rsidRDefault="009D2A7D" w:rsidP="009D2A7D">
      <w:pPr>
        <w:pStyle w:val="EndNoteBibliography"/>
        <w:rPr>
          <w:rFonts w:asciiTheme="minorHAnsi" w:hAnsiTheme="minorHAnsi" w:cstheme="minorHAnsi"/>
        </w:rPr>
      </w:pPr>
      <w:r w:rsidRPr="008A3870">
        <w:rPr>
          <w:rFonts w:asciiTheme="minorHAnsi" w:hAnsiTheme="minorHAnsi" w:cstheme="minorHAnsi"/>
        </w:rPr>
        <w:t xml:space="preserve">FAO </w:t>
      </w:r>
      <w:r w:rsidR="00B32D0B" w:rsidRPr="008A3870">
        <w:rPr>
          <w:rFonts w:asciiTheme="minorHAnsi" w:hAnsiTheme="minorHAnsi" w:cstheme="minorHAnsi"/>
        </w:rPr>
        <w:t>2019b</w:t>
      </w:r>
      <w:r w:rsidRPr="008A3870">
        <w:rPr>
          <w:rFonts w:asciiTheme="minorHAnsi" w:hAnsiTheme="minorHAnsi" w:cstheme="minorHAnsi"/>
        </w:rPr>
        <w:t xml:space="preserve">, </w:t>
      </w:r>
      <w:r w:rsidRPr="008A3870">
        <w:rPr>
          <w:rFonts w:asciiTheme="minorHAnsi" w:hAnsiTheme="minorHAnsi" w:cstheme="minorHAnsi"/>
          <w:i/>
        </w:rPr>
        <w:t>International Standards for Phytosanitary Measures (ISPM) no. 11: Pest risk analysis for quarantine pests</w:t>
      </w:r>
      <w:r w:rsidRPr="008A3870">
        <w:rPr>
          <w:rFonts w:asciiTheme="minorHAnsi" w:hAnsiTheme="minorHAnsi" w:cstheme="minorHAnsi"/>
        </w:rPr>
        <w:t xml:space="preserve">, Food and Agriculture Organization of the United Nations, Rome, available at </w:t>
      </w:r>
      <w:hyperlink r:id="rId90" w:history="1">
        <w:r w:rsidR="004D7335" w:rsidRPr="008A3870">
          <w:rPr>
            <w:rStyle w:val="Hyperlink"/>
            <w:rFonts w:asciiTheme="minorHAnsi" w:hAnsiTheme="minorHAnsi" w:cstheme="minorHAnsi"/>
            <w:lang w:val="en-AU"/>
          </w:rPr>
          <w:t>https://www.ippc.int/en/core-activities/standards-setting/ispms/</w:t>
        </w:r>
      </w:hyperlink>
      <w:r w:rsidRPr="008A3870">
        <w:rPr>
          <w:rFonts w:asciiTheme="minorHAnsi" w:hAnsiTheme="minorHAnsi" w:cstheme="minorHAnsi"/>
        </w:rPr>
        <w:t>.</w:t>
      </w:r>
    </w:p>
    <w:p w14:paraId="08EEEF3D" w14:textId="57C33400" w:rsidR="00D14268" w:rsidRDefault="003A0F4C" w:rsidP="009D2A7D">
      <w:pPr>
        <w:pStyle w:val="EndNoteBibliography"/>
        <w:rPr>
          <w:rFonts w:asciiTheme="minorHAnsi" w:hAnsiTheme="minorHAnsi" w:cstheme="minorHAnsi"/>
          <w:lang w:val="en-AU"/>
        </w:rPr>
      </w:pPr>
      <w:r w:rsidRPr="008A3870">
        <w:rPr>
          <w:rFonts w:asciiTheme="minorHAnsi" w:hAnsiTheme="minorHAnsi" w:cstheme="minorHAnsi"/>
          <w:lang w:val="en-AU"/>
        </w:rPr>
        <w:t>FAO 202</w:t>
      </w:r>
      <w:r w:rsidR="00DF17F9">
        <w:rPr>
          <w:rFonts w:asciiTheme="minorHAnsi" w:hAnsiTheme="minorHAnsi" w:cstheme="minorHAnsi"/>
          <w:lang w:val="en-AU"/>
        </w:rPr>
        <w:t>4</w:t>
      </w:r>
      <w:r w:rsidR="00D14268" w:rsidRPr="008A3870">
        <w:rPr>
          <w:rFonts w:asciiTheme="minorHAnsi" w:hAnsiTheme="minorHAnsi" w:cstheme="minorHAnsi"/>
          <w:lang w:val="en-AU"/>
        </w:rPr>
        <w:t xml:space="preserve">, </w:t>
      </w:r>
      <w:r w:rsidR="00D14268" w:rsidRPr="008A3870">
        <w:rPr>
          <w:rFonts w:asciiTheme="minorHAnsi" w:hAnsiTheme="minorHAnsi" w:cstheme="minorHAnsi"/>
          <w:i/>
          <w:lang w:val="en-AU"/>
        </w:rPr>
        <w:t>International Standards for Phytosanitary Measures (ISPM) no. 5: Glossary of phytosanitary terms</w:t>
      </w:r>
      <w:r w:rsidR="00D14268" w:rsidRPr="008A3870">
        <w:rPr>
          <w:rFonts w:asciiTheme="minorHAnsi" w:hAnsiTheme="minorHAnsi" w:cstheme="minorHAnsi"/>
          <w:lang w:val="en-AU"/>
        </w:rPr>
        <w:t xml:space="preserve">, Food and Agriculture Organization of the United Nations, Rome, available at </w:t>
      </w:r>
      <w:hyperlink r:id="rId91" w:history="1">
        <w:r w:rsidR="004D7335" w:rsidRPr="008A3870">
          <w:rPr>
            <w:rStyle w:val="Hyperlink"/>
            <w:rFonts w:asciiTheme="minorHAnsi" w:hAnsiTheme="minorHAnsi" w:cstheme="minorHAnsi"/>
            <w:lang w:val="en-AU"/>
          </w:rPr>
          <w:t>https://www.ippc.int/en/core-activities/standards-setting/ispms/</w:t>
        </w:r>
      </w:hyperlink>
      <w:r w:rsidR="00D14268" w:rsidRPr="008A3870">
        <w:rPr>
          <w:rFonts w:asciiTheme="minorHAnsi" w:hAnsiTheme="minorHAnsi" w:cstheme="minorHAnsi"/>
          <w:lang w:val="en-AU"/>
        </w:rPr>
        <w:t>.</w:t>
      </w:r>
    </w:p>
    <w:p w14:paraId="11E8F74C" w14:textId="4BD3C9C1" w:rsidR="006175AC" w:rsidRDefault="006175AC" w:rsidP="009D2A7D">
      <w:pPr>
        <w:pStyle w:val="EndNoteBibliography"/>
        <w:rPr>
          <w:rFonts w:asciiTheme="minorHAnsi" w:hAnsiTheme="minorHAnsi" w:cstheme="minorHAnsi"/>
          <w:noProof w:val="0"/>
          <w:lang w:val="en-AU"/>
        </w:rPr>
      </w:pPr>
      <w:r>
        <w:rPr>
          <w:rFonts w:asciiTheme="minorHAnsi" w:hAnsiTheme="minorHAnsi" w:cstheme="minorHAnsi"/>
        </w:rPr>
        <w:t>G</w:t>
      </w:r>
      <w:r w:rsidR="00B65F8A">
        <w:rPr>
          <w:rFonts w:asciiTheme="minorHAnsi" w:hAnsiTheme="minorHAnsi" w:cstheme="minorHAnsi"/>
        </w:rPr>
        <w:t xml:space="preserve">lobal </w:t>
      </w:r>
      <w:r>
        <w:rPr>
          <w:rFonts w:asciiTheme="minorHAnsi" w:hAnsiTheme="minorHAnsi" w:cstheme="minorHAnsi"/>
        </w:rPr>
        <w:t>I</w:t>
      </w:r>
      <w:r w:rsidR="00B65F8A">
        <w:rPr>
          <w:rFonts w:asciiTheme="minorHAnsi" w:hAnsiTheme="minorHAnsi" w:cstheme="minorHAnsi"/>
        </w:rPr>
        <w:t xml:space="preserve">nvasive </w:t>
      </w:r>
      <w:r>
        <w:rPr>
          <w:rFonts w:asciiTheme="minorHAnsi" w:hAnsiTheme="minorHAnsi" w:cstheme="minorHAnsi"/>
        </w:rPr>
        <w:t>S</w:t>
      </w:r>
      <w:r w:rsidR="00B65F8A">
        <w:rPr>
          <w:rFonts w:asciiTheme="minorHAnsi" w:hAnsiTheme="minorHAnsi" w:cstheme="minorHAnsi"/>
        </w:rPr>
        <w:t xml:space="preserve">pecies </w:t>
      </w:r>
      <w:r>
        <w:rPr>
          <w:rFonts w:asciiTheme="minorHAnsi" w:hAnsiTheme="minorHAnsi" w:cstheme="minorHAnsi"/>
        </w:rPr>
        <w:t>D</w:t>
      </w:r>
      <w:r w:rsidR="00B65F8A">
        <w:rPr>
          <w:rFonts w:asciiTheme="minorHAnsi" w:hAnsiTheme="minorHAnsi" w:cstheme="minorHAnsi"/>
        </w:rPr>
        <w:t>atabase (GISD)</w:t>
      </w:r>
      <w:r>
        <w:rPr>
          <w:rFonts w:asciiTheme="minorHAnsi" w:hAnsiTheme="minorHAnsi" w:cstheme="minorHAnsi"/>
        </w:rPr>
        <w:t xml:space="preserve"> 2024</w:t>
      </w:r>
      <w:r w:rsidR="00B65F8A">
        <w:rPr>
          <w:rFonts w:asciiTheme="minorHAnsi" w:hAnsiTheme="minorHAnsi" w:cstheme="minorHAnsi"/>
        </w:rPr>
        <w:t xml:space="preserve">, Species profile </w:t>
      </w:r>
      <w:r w:rsidR="00B65F8A" w:rsidRPr="00653B86">
        <w:rPr>
          <w:rFonts w:asciiTheme="minorHAnsi" w:hAnsiTheme="minorHAnsi" w:cstheme="minorHAnsi"/>
          <w:i/>
          <w:iCs/>
        </w:rPr>
        <w:t>Dolichandra unguis-cati</w:t>
      </w:r>
      <w:r w:rsidR="00B65F8A">
        <w:rPr>
          <w:rFonts w:asciiTheme="minorHAnsi" w:hAnsiTheme="minorHAnsi" w:cstheme="minorHAnsi"/>
        </w:rPr>
        <w:t>, available at</w:t>
      </w:r>
      <w:r w:rsidR="00653B86" w:rsidRPr="00653B86">
        <w:rPr>
          <w:noProof w:val="0"/>
          <w:lang w:val="en-AU"/>
        </w:rPr>
        <w:t xml:space="preserve"> </w:t>
      </w:r>
      <w:hyperlink r:id="rId92" w:history="1">
        <w:r w:rsidR="00653B86" w:rsidRPr="00505025">
          <w:rPr>
            <w:rStyle w:val="Hyperlink"/>
            <w:rFonts w:asciiTheme="minorHAnsi" w:hAnsiTheme="minorHAnsi" w:cstheme="minorHAnsi"/>
            <w:noProof w:val="0"/>
            <w:lang w:val="en-AU"/>
          </w:rPr>
          <w:t>https://www.iucngisd.org/gisd/speciesname/Macfadyena+unguis-cati</w:t>
        </w:r>
      </w:hyperlink>
      <w:r w:rsidR="00653B86">
        <w:rPr>
          <w:rFonts w:asciiTheme="minorHAnsi" w:hAnsiTheme="minorHAnsi" w:cstheme="minorHAnsi"/>
          <w:noProof w:val="0"/>
          <w:lang w:val="en-AU"/>
        </w:rPr>
        <w:t xml:space="preserve">. </w:t>
      </w:r>
    </w:p>
    <w:p w14:paraId="06F19CFF" w14:textId="173B6417" w:rsidR="00374AF5" w:rsidRPr="00374AF5" w:rsidRDefault="00374AF5" w:rsidP="00374AF5">
      <w:pPr>
        <w:pStyle w:val="EndNoteBibliography"/>
        <w:rPr>
          <w:rFonts w:asciiTheme="minorHAnsi" w:hAnsiTheme="minorHAnsi" w:cstheme="minorHAnsi"/>
        </w:rPr>
      </w:pPr>
      <w:r w:rsidRPr="00374AF5">
        <w:rPr>
          <w:rFonts w:asciiTheme="minorHAnsi" w:hAnsiTheme="minorHAnsi" w:cstheme="minorHAnsi"/>
        </w:rPr>
        <w:t>Shortus, M &amp; Dhileepan, K 2011</w:t>
      </w:r>
      <w:r>
        <w:rPr>
          <w:rFonts w:asciiTheme="minorHAnsi" w:hAnsiTheme="minorHAnsi" w:cstheme="minorHAnsi"/>
        </w:rPr>
        <w:t>,</w:t>
      </w:r>
      <w:r w:rsidRPr="00374AF5">
        <w:rPr>
          <w:rFonts w:asciiTheme="minorHAnsi" w:hAnsiTheme="minorHAnsi" w:cstheme="minorHAnsi"/>
        </w:rPr>
        <w:t xml:space="preserve"> </w:t>
      </w:r>
      <w:r>
        <w:rPr>
          <w:rFonts w:asciiTheme="minorHAnsi" w:hAnsiTheme="minorHAnsi" w:cstheme="minorHAnsi"/>
        </w:rPr>
        <w:t>‘</w:t>
      </w:r>
      <w:r w:rsidRPr="00374AF5">
        <w:rPr>
          <w:rFonts w:asciiTheme="minorHAnsi" w:hAnsiTheme="minorHAnsi" w:cstheme="minorHAnsi"/>
        </w:rPr>
        <w:t xml:space="preserve">Two varieties of the invasive liana, cat’s claw creeper, </w:t>
      </w:r>
      <w:r w:rsidRPr="00374AF5">
        <w:rPr>
          <w:rFonts w:asciiTheme="minorHAnsi" w:hAnsiTheme="minorHAnsi" w:cstheme="minorHAnsi"/>
          <w:i/>
        </w:rPr>
        <w:t>Macfadyena unguis-cati</w:t>
      </w:r>
      <w:r w:rsidRPr="00374AF5">
        <w:rPr>
          <w:rFonts w:asciiTheme="minorHAnsi" w:hAnsiTheme="minorHAnsi" w:cstheme="minorHAnsi"/>
        </w:rPr>
        <w:t xml:space="preserve"> (Bignoniaceae) in Queensland</w:t>
      </w:r>
      <w:r>
        <w:rPr>
          <w:rFonts w:asciiTheme="minorHAnsi" w:hAnsiTheme="minorHAnsi" w:cstheme="minorHAnsi"/>
        </w:rPr>
        <w:t>,</w:t>
      </w:r>
      <w:r w:rsidRPr="00374AF5">
        <w:rPr>
          <w:rFonts w:asciiTheme="minorHAnsi" w:hAnsiTheme="minorHAnsi" w:cstheme="minorHAnsi"/>
        </w:rPr>
        <w:t xml:space="preserve"> Australia</w:t>
      </w:r>
      <w:r>
        <w:rPr>
          <w:rFonts w:asciiTheme="minorHAnsi" w:hAnsiTheme="minorHAnsi" w:cstheme="minorHAnsi"/>
        </w:rPr>
        <w:t>’,</w:t>
      </w:r>
      <w:r w:rsidRPr="00374AF5">
        <w:rPr>
          <w:rFonts w:asciiTheme="minorHAnsi" w:hAnsiTheme="minorHAnsi" w:cstheme="minorHAnsi"/>
        </w:rPr>
        <w:t xml:space="preserve"> </w:t>
      </w:r>
      <w:r w:rsidRPr="00374AF5">
        <w:rPr>
          <w:rFonts w:asciiTheme="minorHAnsi" w:hAnsiTheme="minorHAnsi" w:cstheme="minorHAnsi"/>
          <w:i/>
        </w:rPr>
        <w:t xml:space="preserve">Proceedings of the Royal Society of Queensland, </w:t>
      </w:r>
      <w:r>
        <w:rPr>
          <w:rFonts w:asciiTheme="minorHAnsi" w:hAnsiTheme="minorHAnsi" w:cstheme="minorHAnsi"/>
          <w:iCs/>
        </w:rPr>
        <w:t xml:space="preserve">vol. </w:t>
      </w:r>
      <w:r w:rsidRPr="00374AF5">
        <w:rPr>
          <w:rFonts w:asciiTheme="minorHAnsi" w:hAnsiTheme="minorHAnsi" w:cstheme="minorHAnsi"/>
          <w:iCs/>
        </w:rPr>
        <w:t>116,</w:t>
      </w:r>
      <w:r w:rsidRPr="00374AF5">
        <w:rPr>
          <w:rFonts w:asciiTheme="minorHAnsi" w:hAnsiTheme="minorHAnsi" w:cstheme="minorHAnsi"/>
        </w:rPr>
        <w:t xml:space="preserve"> </w:t>
      </w:r>
      <w:r>
        <w:rPr>
          <w:rFonts w:asciiTheme="minorHAnsi" w:hAnsiTheme="minorHAnsi" w:cstheme="minorHAnsi"/>
        </w:rPr>
        <w:t xml:space="preserve">pp. </w:t>
      </w:r>
      <w:r w:rsidRPr="00374AF5">
        <w:rPr>
          <w:rFonts w:asciiTheme="minorHAnsi" w:hAnsiTheme="minorHAnsi" w:cstheme="minorHAnsi"/>
        </w:rPr>
        <w:t xml:space="preserve">13-20. </w:t>
      </w:r>
    </w:p>
    <w:p w14:paraId="43F8A4D1" w14:textId="11FBAA4F" w:rsidR="00A825D8" w:rsidRDefault="00A825D8" w:rsidP="009D2A7D">
      <w:pPr>
        <w:rPr>
          <w:rFonts w:asciiTheme="minorHAnsi" w:hAnsiTheme="minorHAnsi" w:cstheme="minorHAnsi"/>
        </w:rPr>
      </w:pPr>
      <w:r>
        <w:rPr>
          <w:rFonts w:asciiTheme="minorHAnsi" w:hAnsiTheme="minorHAnsi" w:cstheme="minorHAnsi"/>
        </w:rPr>
        <w:t xml:space="preserve">Weeds Australia 2025, </w:t>
      </w:r>
      <w:hyperlink r:id="rId93" w:history="1">
        <w:r w:rsidRPr="003926D1">
          <w:rPr>
            <w:rStyle w:val="Hyperlink"/>
            <w:rFonts w:asciiTheme="minorHAnsi" w:hAnsiTheme="minorHAnsi" w:cstheme="minorHAnsi"/>
          </w:rPr>
          <w:t>Cat’s Claw Vine profile</w:t>
        </w:r>
      </w:hyperlink>
      <w:r>
        <w:rPr>
          <w:rFonts w:asciiTheme="minorHAnsi" w:hAnsiTheme="minorHAnsi" w:cstheme="minorHAnsi"/>
        </w:rPr>
        <w:t>, Weeds Australia, accessed 17 February 2025.</w:t>
      </w:r>
    </w:p>
    <w:p w14:paraId="1399D412" w14:textId="39B731A7" w:rsidR="009D2A7D" w:rsidRPr="008A3870" w:rsidRDefault="009D2A7D" w:rsidP="009D2A7D">
      <w:pPr>
        <w:rPr>
          <w:rFonts w:asciiTheme="minorHAnsi" w:hAnsiTheme="minorHAnsi" w:cstheme="minorHAnsi"/>
        </w:rPr>
      </w:pPr>
      <w:r w:rsidRPr="008A3870">
        <w:rPr>
          <w:rFonts w:asciiTheme="minorHAnsi" w:hAnsiTheme="minorHAnsi" w:cstheme="minorHAnsi"/>
        </w:rPr>
        <w:t xml:space="preserve">WTO 1995, ‘The WTO agreement on the application of sanitary and phytosanitary measures (SPS Agreement)’, World Trade Organisation, Switzerland, available at  </w:t>
      </w:r>
      <w:hyperlink r:id="rId94" w:history="1">
        <w:r w:rsidR="004D7335" w:rsidRPr="008A3870">
          <w:rPr>
            <w:rStyle w:val="Hyperlink"/>
            <w:rFonts w:asciiTheme="minorHAnsi" w:hAnsiTheme="minorHAnsi" w:cstheme="minorHAnsi"/>
          </w:rPr>
          <w:t>https://www.wto.org/english/tratop_e/sps_e/spsagr_e.htm</w:t>
        </w:r>
      </w:hyperlink>
      <w:r w:rsidRPr="008A3870">
        <w:rPr>
          <w:rFonts w:asciiTheme="minorHAnsi" w:hAnsiTheme="minorHAnsi" w:cstheme="minorHAnsi"/>
        </w:rPr>
        <w:t>.</w:t>
      </w:r>
      <w:r w:rsidR="004D7335" w:rsidRPr="008A3870">
        <w:rPr>
          <w:rFonts w:asciiTheme="minorHAnsi" w:hAnsiTheme="minorHAnsi" w:cstheme="minorHAnsi"/>
        </w:rPr>
        <w:t xml:space="preserve"> </w:t>
      </w:r>
    </w:p>
    <w:p w14:paraId="53F6BC75" w14:textId="3D6FB102" w:rsidR="003F28C7" w:rsidRPr="008A3870" w:rsidRDefault="003F28C7" w:rsidP="009D2A7D">
      <w:pPr>
        <w:pStyle w:val="EndNoteBibliography"/>
        <w:rPr>
          <w:rFonts w:asciiTheme="minorHAnsi" w:hAnsiTheme="minorHAnsi" w:cstheme="minorHAnsi"/>
        </w:rPr>
      </w:pPr>
    </w:p>
    <w:sectPr w:rsidR="003F28C7" w:rsidRPr="008A3870" w:rsidSect="00736319">
      <w:headerReference w:type="even" r:id="rId95"/>
      <w:headerReference w:type="default" r:id="rId96"/>
      <w:footerReference w:type="even" r:id="rId97"/>
      <w:footerReference w:type="default" r:id="rId98"/>
      <w:headerReference w:type="first" r:id="rId99"/>
      <w:footerReference w:type="first" r:id="rId10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E2138" w14:textId="77777777" w:rsidR="00DE76B0" w:rsidRDefault="00DE76B0">
      <w:pPr>
        <w:spacing w:after="0" w:line="240" w:lineRule="auto"/>
      </w:pPr>
      <w:r>
        <w:separator/>
      </w:r>
    </w:p>
  </w:endnote>
  <w:endnote w:type="continuationSeparator" w:id="0">
    <w:p w14:paraId="3CBA478D" w14:textId="77777777" w:rsidR="00DE76B0" w:rsidRDefault="00DE76B0">
      <w:pPr>
        <w:spacing w:after="0" w:line="240" w:lineRule="auto"/>
      </w:pPr>
      <w:r>
        <w:continuationSeparator/>
      </w:r>
    </w:p>
  </w:endnote>
  <w:endnote w:type="continuationNotice" w:id="1">
    <w:p w14:paraId="2FD1BFED" w14:textId="77777777" w:rsidR="00DE76B0" w:rsidRDefault="00DE76B0">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BD5DF" w14:textId="3DC86D7A" w:rsidR="00DE7269" w:rsidRDefault="00DE7269">
    <w:pPr>
      <w:pStyle w:val="Footer"/>
    </w:pPr>
    <w:r>
      <w:rPr>
        <w:noProof/>
      </w:rPr>
      <mc:AlternateContent>
        <mc:Choice Requires="wps">
          <w:drawing>
            <wp:anchor distT="0" distB="0" distL="0" distR="0" simplePos="0" relativeHeight="251658274" behindDoc="0" locked="0" layoutInCell="1" allowOverlap="1" wp14:anchorId="4D1CA55B" wp14:editId="26CC2681">
              <wp:simplePos x="635" y="635"/>
              <wp:positionH relativeFrom="page">
                <wp:align>center</wp:align>
              </wp:positionH>
              <wp:positionV relativeFrom="page">
                <wp:align>bottom</wp:align>
              </wp:positionV>
              <wp:extent cx="551815" cy="404495"/>
              <wp:effectExtent l="0" t="0" r="635" b="0"/>
              <wp:wrapNone/>
              <wp:docPr id="36268109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900C066" w14:textId="6CE1C9C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CA55B" id="_x0000_t202" coordsize="21600,21600" o:spt="202" path="m,l,21600r21600,l21600,xe">
              <v:stroke joinstyle="miter"/>
              <v:path gradientshapeok="t" o:connecttype="rect"/>
            </v:shapetype>
            <v:shape id="Text Box 35" o:spid="_x0000_s1028" type="#_x0000_t202" alt="OFFICIAL" style="position:absolute;left:0;text-align:left;margin-left:0;margin-top:0;width:43.45pt;height:31.8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900C066" w14:textId="6CE1C9C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669F9" w14:textId="59294DC9" w:rsidR="00DE7269" w:rsidRDefault="00DE7269">
    <w:pPr>
      <w:pStyle w:val="Footer"/>
    </w:pPr>
    <w:r>
      <w:rPr>
        <w:noProof/>
      </w:rPr>
      <mc:AlternateContent>
        <mc:Choice Requires="wps">
          <w:drawing>
            <wp:anchor distT="0" distB="0" distL="0" distR="0" simplePos="0" relativeHeight="251658283" behindDoc="0" locked="0" layoutInCell="1" allowOverlap="1" wp14:anchorId="2099F741" wp14:editId="388AA352">
              <wp:simplePos x="635" y="635"/>
              <wp:positionH relativeFrom="page">
                <wp:align>center</wp:align>
              </wp:positionH>
              <wp:positionV relativeFrom="page">
                <wp:align>bottom</wp:align>
              </wp:positionV>
              <wp:extent cx="551815" cy="404495"/>
              <wp:effectExtent l="0" t="0" r="635" b="0"/>
              <wp:wrapNone/>
              <wp:docPr id="882168473"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3ED637F" w14:textId="550ED9E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9F741" id="_x0000_t202" coordsize="21600,21600" o:spt="202" path="m,l,21600r21600,l21600,xe">
              <v:stroke joinstyle="miter"/>
              <v:path gradientshapeok="t" o:connecttype="rect"/>
            </v:shapetype>
            <v:shape id="Text Box 44" o:spid="_x0000_s1046" type="#_x0000_t202" alt="OFFICIAL" style="position:absolute;left:0;text-align:left;margin-left:0;margin-top:0;width:43.45pt;height:31.85pt;z-index:2516582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G/DEBA4CAAAd&#10;BAAADgAAAAAAAAAAAAAAAAAuAgAAZHJzL2Uyb0RvYy54bWxQSwECLQAUAAYACAAAACEAH1WiDdsA&#10;AAADAQAADwAAAAAAAAAAAAAAAABoBAAAZHJzL2Rvd25yZXYueG1sUEsFBgAAAAAEAAQA8wAAAHAF&#10;AAAAAA==&#10;" filled="f" stroked="f">
              <v:textbox style="mso-fit-shape-to-text:t" inset="0,0,0,15pt">
                <w:txbxContent>
                  <w:p w14:paraId="53ED637F" w14:textId="550ED9E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B29DB" w14:textId="2AD9FFD3" w:rsidR="00DE7269" w:rsidRDefault="00DE7269">
    <w:pPr>
      <w:pStyle w:val="Footer"/>
    </w:pPr>
    <w:r>
      <w:rPr>
        <w:noProof/>
      </w:rPr>
      <mc:AlternateContent>
        <mc:Choice Requires="wps">
          <w:drawing>
            <wp:anchor distT="0" distB="0" distL="0" distR="0" simplePos="0" relativeHeight="251658284" behindDoc="0" locked="0" layoutInCell="1" allowOverlap="1" wp14:anchorId="08380EE8" wp14:editId="672CF754">
              <wp:simplePos x="901065" y="10320020"/>
              <wp:positionH relativeFrom="page">
                <wp:align>center</wp:align>
              </wp:positionH>
              <wp:positionV relativeFrom="page">
                <wp:align>bottom</wp:align>
              </wp:positionV>
              <wp:extent cx="551815" cy="404495"/>
              <wp:effectExtent l="0" t="0" r="635" b="0"/>
              <wp:wrapNone/>
              <wp:docPr id="1229137952"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B8592FF" w14:textId="0E651C9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380EE8" id="_x0000_t202" coordsize="21600,21600" o:spt="202" path="m,l,21600r21600,l21600,xe">
              <v:stroke joinstyle="miter"/>
              <v:path gradientshapeok="t" o:connecttype="rect"/>
            </v:shapetype>
            <v:shape id="Text Box 45" o:spid="_x0000_s1047" type="#_x0000_t202" alt="OFFICIAL" style="position:absolute;left:0;text-align:left;margin-left:0;margin-top:0;width:43.45pt;height:31.85pt;z-index:251658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3B8592FF" w14:textId="0E651C9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F56ED" w14:textId="666E9D6F" w:rsidR="00DE7269" w:rsidRDefault="00DE7269">
    <w:pPr>
      <w:pStyle w:val="Footer"/>
    </w:pPr>
    <w:r>
      <w:rPr>
        <w:noProof/>
      </w:rPr>
      <mc:AlternateContent>
        <mc:Choice Requires="wps">
          <w:drawing>
            <wp:anchor distT="0" distB="0" distL="0" distR="0" simplePos="0" relativeHeight="251658282" behindDoc="0" locked="0" layoutInCell="1" allowOverlap="1" wp14:anchorId="3C9AA323" wp14:editId="45BEF377">
              <wp:simplePos x="635" y="635"/>
              <wp:positionH relativeFrom="page">
                <wp:align>center</wp:align>
              </wp:positionH>
              <wp:positionV relativeFrom="page">
                <wp:align>bottom</wp:align>
              </wp:positionV>
              <wp:extent cx="551815" cy="404495"/>
              <wp:effectExtent l="0" t="0" r="635" b="0"/>
              <wp:wrapNone/>
              <wp:docPr id="112315892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E15F688" w14:textId="4B9F6F9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AA323" id="_x0000_t202" coordsize="21600,21600" o:spt="202" path="m,l,21600r21600,l21600,xe">
              <v:stroke joinstyle="miter"/>
              <v:path gradientshapeok="t" o:connecttype="rect"/>
            </v:shapetype>
            <v:shape id="Text Box 43" o:spid="_x0000_s1049" type="#_x0000_t202" alt="OFFICIAL" style="position:absolute;left:0;text-align:left;margin-left:0;margin-top:0;width:43.45pt;height:31.8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NC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dPp5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wxE0IPAgAA&#10;HQQAAA4AAAAAAAAAAAAAAAAALgIAAGRycy9lMm9Eb2MueG1sUEsBAi0AFAAGAAgAAAAhAB9Vog3b&#10;AAAAAwEAAA8AAAAAAAAAAAAAAAAAaQQAAGRycy9kb3ducmV2LnhtbFBLBQYAAAAABAAEAPMAAABx&#10;BQAAAAA=&#10;" filled="f" stroked="f">
              <v:textbox style="mso-fit-shape-to-text:t" inset="0,0,0,15pt">
                <w:txbxContent>
                  <w:p w14:paraId="1E15F688" w14:textId="4B9F6F9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2FB5" w14:textId="71E8979B" w:rsidR="00DE7269" w:rsidRDefault="00DE7269">
    <w:pPr>
      <w:pStyle w:val="Footer"/>
    </w:pPr>
    <w:r>
      <w:rPr>
        <w:noProof/>
      </w:rPr>
      <mc:AlternateContent>
        <mc:Choice Requires="wps">
          <w:drawing>
            <wp:anchor distT="0" distB="0" distL="0" distR="0" simplePos="0" relativeHeight="251658286" behindDoc="0" locked="0" layoutInCell="1" allowOverlap="1" wp14:anchorId="030CF885" wp14:editId="7A6C6800">
              <wp:simplePos x="635" y="635"/>
              <wp:positionH relativeFrom="page">
                <wp:align>center</wp:align>
              </wp:positionH>
              <wp:positionV relativeFrom="page">
                <wp:align>bottom</wp:align>
              </wp:positionV>
              <wp:extent cx="551815" cy="404495"/>
              <wp:effectExtent l="0" t="0" r="635" b="0"/>
              <wp:wrapNone/>
              <wp:docPr id="1051637835"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0D8D7B2" w14:textId="19D7782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0CF885" id="_x0000_t202" coordsize="21600,21600" o:spt="202" path="m,l,21600r21600,l21600,xe">
              <v:stroke joinstyle="miter"/>
              <v:path gradientshapeok="t" o:connecttype="rect"/>
            </v:shapetype>
            <v:shape id="Text Box 47" o:spid="_x0000_s1052" type="#_x0000_t202" alt="OFFICIAL" style="position:absolute;left:0;text-align:left;margin-left:0;margin-top:0;width:43.45pt;height:31.85pt;z-index:2516582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uJDwIAAB0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HVza4kPAgAA&#10;HQQAAA4AAAAAAAAAAAAAAAAALgIAAGRycy9lMm9Eb2MueG1sUEsBAi0AFAAGAAgAAAAhAB9Vog3b&#10;AAAAAwEAAA8AAAAAAAAAAAAAAAAAaQQAAGRycy9kb3ducmV2LnhtbFBLBQYAAAAABAAEAPMAAABx&#10;BQAAAAA=&#10;" filled="f" stroked="f">
              <v:textbox style="mso-fit-shape-to-text:t" inset="0,0,0,15pt">
                <w:txbxContent>
                  <w:p w14:paraId="00D8D7B2" w14:textId="19D7782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BC1F9" w14:textId="1CE4225E" w:rsidR="009D2A7D" w:rsidRDefault="00DE7269">
    <w:pPr>
      <w:pStyle w:val="Footer"/>
      <w:tabs>
        <w:tab w:val="clear" w:pos="4536"/>
        <w:tab w:val="center" w:pos="9072"/>
      </w:tabs>
      <w:jc w:val="left"/>
    </w:pPr>
    <w:r>
      <w:rPr>
        <w:noProof/>
      </w:rPr>
      <mc:AlternateContent>
        <mc:Choice Requires="wps">
          <w:drawing>
            <wp:anchor distT="0" distB="0" distL="0" distR="0" simplePos="0" relativeHeight="251658287" behindDoc="0" locked="0" layoutInCell="1" allowOverlap="1" wp14:anchorId="770729D7" wp14:editId="4A6488EB">
              <wp:simplePos x="901065" y="10320020"/>
              <wp:positionH relativeFrom="page">
                <wp:align>center</wp:align>
              </wp:positionH>
              <wp:positionV relativeFrom="page">
                <wp:align>bottom</wp:align>
              </wp:positionV>
              <wp:extent cx="551815" cy="404495"/>
              <wp:effectExtent l="0" t="0" r="635" b="0"/>
              <wp:wrapNone/>
              <wp:docPr id="1128663857"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BC6CE6D" w14:textId="04EA01D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0729D7" id="_x0000_t202" coordsize="21600,21600" o:spt="202" path="m,l,21600r21600,l21600,xe">
              <v:stroke joinstyle="miter"/>
              <v:path gradientshapeok="t" o:connecttype="rect"/>
            </v:shapetype>
            <v:shape id="Text Box 48" o:spid="_x0000_s1053" type="#_x0000_t202" alt="OFFICIAL" style="position:absolute;margin-left:0;margin-top:0;width:43.45pt;height:31.85pt;z-index:2516582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jM2bQPAgAA&#10;HQQAAA4AAAAAAAAAAAAAAAAALgIAAGRycy9lMm9Eb2MueG1sUEsBAi0AFAAGAAgAAAAhAB9Vog3b&#10;AAAAAwEAAA8AAAAAAAAAAAAAAAAAaQQAAGRycy9kb3ducmV2LnhtbFBLBQYAAAAABAAEAPMAAABx&#10;BQAAAAA=&#10;" filled="f" stroked="f">
              <v:textbox style="mso-fit-shape-to-text:t" inset="0,0,0,15pt">
                <w:txbxContent>
                  <w:p w14:paraId="2BC6CE6D" w14:textId="04EA01D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r w:rsidR="009D2A7D">
      <w:t xml:space="preserve">Department of Agriculture, </w:t>
    </w:r>
    <w:r w:rsidR="00A05558">
      <w:t>Fisheries and Forestry</w:t>
    </w:r>
    <w:r w:rsidR="009D2A7D">
      <w:tab/>
    </w:r>
    <w:r w:rsidR="009D2A7D">
      <w:fldChar w:fldCharType="begin"/>
    </w:r>
    <w:r w:rsidR="009D2A7D">
      <w:instrText xml:space="preserve"> PAGE   \* MERGEFORMAT </w:instrText>
    </w:r>
    <w:r w:rsidR="009D2A7D">
      <w:fldChar w:fldCharType="separate"/>
    </w:r>
    <w:r w:rsidR="00732E8F">
      <w:rPr>
        <w:noProof/>
      </w:rPr>
      <w:t>4</w:t>
    </w:r>
    <w:r w:rsidR="009D2A7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F011C" w14:textId="2A784994" w:rsidR="00DE7269" w:rsidRDefault="00DE7269">
    <w:pPr>
      <w:pStyle w:val="Footer"/>
    </w:pPr>
    <w:r>
      <w:rPr>
        <w:noProof/>
      </w:rPr>
      <mc:AlternateContent>
        <mc:Choice Requires="wps">
          <w:drawing>
            <wp:anchor distT="0" distB="0" distL="0" distR="0" simplePos="0" relativeHeight="251658285" behindDoc="0" locked="0" layoutInCell="1" allowOverlap="1" wp14:anchorId="63AB7620" wp14:editId="2EC85E91">
              <wp:simplePos x="635" y="635"/>
              <wp:positionH relativeFrom="page">
                <wp:align>center</wp:align>
              </wp:positionH>
              <wp:positionV relativeFrom="page">
                <wp:align>bottom</wp:align>
              </wp:positionV>
              <wp:extent cx="551815" cy="404495"/>
              <wp:effectExtent l="0" t="0" r="635" b="0"/>
              <wp:wrapNone/>
              <wp:docPr id="966938178"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B315CD" w14:textId="2958138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AB7620" id="_x0000_t202" coordsize="21600,21600" o:spt="202" path="m,l,21600r21600,l21600,xe">
              <v:stroke joinstyle="miter"/>
              <v:path gradientshapeok="t" o:connecttype="rect"/>
            </v:shapetype>
            <v:shape id="Text Box 46" o:spid="_x0000_s1055" type="#_x0000_t202" alt="OFFICIAL" style="position:absolute;left:0;text-align:left;margin-left:0;margin-top:0;width:43.45pt;height:31.85pt;z-index:2516582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F+ykg8PAgAA&#10;HQQAAA4AAAAAAAAAAAAAAAAALgIAAGRycy9lMm9Eb2MueG1sUEsBAi0AFAAGAAgAAAAhAB9Vog3b&#10;AAAAAwEAAA8AAAAAAAAAAAAAAAAAaQQAAGRycy9kb3ducmV2LnhtbFBLBQYAAAAABAAEAPMAAABx&#10;BQAAAAA=&#10;" filled="f" stroked="f">
              <v:textbox style="mso-fit-shape-to-text:t" inset="0,0,0,15pt">
                <w:txbxContent>
                  <w:p w14:paraId="18B315CD" w14:textId="2958138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9C12" w14:textId="44CB6831" w:rsidR="00DE7269" w:rsidRDefault="00DE7269">
    <w:pPr>
      <w:pStyle w:val="Footer"/>
    </w:pPr>
    <w:r>
      <w:rPr>
        <w:noProof/>
      </w:rPr>
      <mc:AlternateContent>
        <mc:Choice Requires="wps">
          <w:drawing>
            <wp:anchor distT="0" distB="0" distL="0" distR="0" simplePos="0" relativeHeight="251658289" behindDoc="0" locked="0" layoutInCell="1" allowOverlap="1" wp14:anchorId="4A690315" wp14:editId="3D77AA56">
              <wp:simplePos x="635" y="635"/>
              <wp:positionH relativeFrom="page">
                <wp:align>center</wp:align>
              </wp:positionH>
              <wp:positionV relativeFrom="page">
                <wp:align>bottom</wp:align>
              </wp:positionV>
              <wp:extent cx="551815" cy="404495"/>
              <wp:effectExtent l="0" t="0" r="635" b="0"/>
              <wp:wrapNone/>
              <wp:docPr id="970164257"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FDB55A" w14:textId="46231A3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690315" id="_x0000_t202" coordsize="21600,21600" o:spt="202" path="m,l,21600r21600,l21600,xe">
              <v:stroke joinstyle="miter"/>
              <v:path gradientshapeok="t" o:connecttype="rect"/>
            </v:shapetype>
            <v:shape id="Text Box 50" o:spid="_x0000_s1058" type="#_x0000_t202" alt="OFFICIAL" style="position:absolute;left:0;text-align:left;margin-left:0;margin-top:0;width:43.45pt;height:31.85pt;z-index:251658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9M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9PN0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Jshn0wPAgAA&#10;HQQAAA4AAAAAAAAAAAAAAAAALgIAAGRycy9lMm9Eb2MueG1sUEsBAi0AFAAGAAgAAAAhAB9Vog3b&#10;AAAAAwEAAA8AAAAAAAAAAAAAAAAAaQQAAGRycy9kb3ducmV2LnhtbFBLBQYAAAAABAAEAPMAAABx&#10;BQAAAAA=&#10;" filled="f" stroked="f">
              <v:textbox style="mso-fit-shape-to-text:t" inset="0,0,0,15pt">
                <w:txbxContent>
                  <w:p w14:paraId="5EFDB55A" w14:textId="46231A3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64E17" w14:textId="69312FFC" w:rsidR="00DE7269" w:rsidRDefault="00DE7269">
    <w:pPr>
      <w:pStyle w:val="Footer"/>
    </w:pPr>
    <w:r>
      <w:rPr>
        <w:noProof/>
      </w:rPr>
      <mc:AlternateContent>
        <mc:Choice Requires="wps">
          <w:drawing>
            <wp:anchor distT="0" distB="0" distL="0" distR="0" simplePos="0" relativeHeight="251658290" behindDoc="0" locked="0" layoutInCell="1" allowOverlap="1" wp14:anchorId="1F0ACA77" wp14:editId="52184780">
              <wp:simplePos x="901065" y="10320020"/>
              <wp:positionH relativeFrom="page">
                <wp:align>center</wp:align>
              </wp:positionH>
              <wp:positionV relativeFrom="page">
                <wp:align>bottom</wp:align>
              </wp:positionV>
              <wp:extent cx="551815" cy="404495"/>
              <wp:effectExtent l="0" t="0" r="635" b="0"/>
              <wp:wrapNone/>
              <wp:docPr id="2079358009"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860C2C" w14:textId="4D8DC8C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0ACA77" id="_x0000_t202" coordsize="21600,21600" o:spt="202" path="m,l,21600r21600,l21600,xe">
              <v:stroke joinstyle="miter"/>
              <v:path gradientshapeok="t" o:connecttype="rect"/>
            </v:shapetype>
            <v:shape id="Text Box 51" o:spid="_x0000_s1059" type="#_x0000_t202" alt="OFFICIAL" style="position:absolute;left:0;text-align:left;margin-left:0;margin-top:0;width:43.45pt;height:31.85pt;z-index:251658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2ni1xEAIA&#10;AB0EAAAOAAAAAAAAAAAAAAAAAC4CAABkcnMvZTJvRG9jLnhtbFBLAQItABQABgAIAAAAIQAfVaIN&#10;2wAAAAMBAAAPAAAAAAAAAAAAAAAAAGoEAABkcnMvZG93bnJldi54bWxQSwUGAAAAAAQABADzAAAA&#10;cgUAAAAA&#10;" filled="f" stroked="f">
              <v:textbox style="mso-fit-shape-to-text:t" inset="0,0,0,15pt">
                <w:txbxContent>
                  <w:p w14:paraId="4C860C2C" w14:textId="4D8DC8C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06D59" w14:textId="01E9D439" w:rsidR="00DE7269" w:rsidRDefault="00DE7269">
    <w:pPr>
      <w:pStyle w:val="Footer"/>
    </w:pPr>
    <w:r>
      <w:rPr>
        <w:noProof/>
      </w:rPr>
      <mc:AlternateContent>
        <mc:Choice Requires="wps">
          <w:drawing>
            <wp:anchor distT="0" distB="0" distL="0" distR="0" simplePos="0" relativeHeight="251658288" behindDoc="0" locked="0" layoutInCell="1" allowOverlap="1" wp14:anchorId="027F3320" wp14:editId="447442EF">
              <wp:simplePos x="635" y="635"/>
              <wp:positionH relativeFrom="page">
                <wp:align>center</wp:align>
              </wp:positionH>
              <wp:positionV relativeFrom="page">
                <wp:align>bottom</wp:align>
              </wp:positionV>
              <wp:extent cx="551815" cy="404495"/>
              <wp:effectExtent l="0" t="0" r="635" b="0"/>
              <wp:wrapNone/>
              <wp:docPr id="91719723"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A2900D" w14:textId="267D32BE"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7F3320" id="_x0000_t202" coordsize="21600,21600" o:spt="202" path="m,l,21600r21600,l21600,xe">
              <v:stroke joinstyle="miter"/>
              <v:path gradientshapeok="t" o:connecttype="rect"/>
            </v:shapetype>
            <v:shape id="Text Box 49" o:spid="_x0000_s1061" type="#_x0000_t202" alt="OFFICIAL" style="position:absolute;left:0;text-align:left;margin-left:0;margin-top:0;width:43.45pt;height:31.85pt;z-index:25165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B2C/A4CAAAd&#10;BAAADgAAAAAAAAAAAAAAAAAuAgAAZHJzL2Uyb0RvYy54bWxQSwECLQAUAAYACAAAACEAH1WiDdsA&#10;AAADAQAADwAAAAAAAAAAAAAAAABoBAAAZHJzL2Rvd25yZXYueG1sUEsFBgAAAAAEAAQA8wAAAHAF&#10;AAAAAA==&#10;" filled="f" stroked="f">
              <v:textbox style="mso-fit-shape-to-text:t" inset="0,0,0,15pt">
                <w:txbxContent>
                  <w:p w14:paraId="7BA2900D" w14:textId="267D32BE"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ABDB" w14:textId="28302EF7" w:rsidR="00DE7269" w:rsidRDefault="00DE7269">
    <w:pPr>
      <w:pStyle w:val="Footer"/>
    </w:pPr>
    <w:r>
      <w:rPr>
        <w:noProof/>
      </w:rPr>
      <mc:AlternateContent>
        <mc:Choice Requires="wps">
          <w:drawing>
            <wp:anchor distT="0" distB="0" distL="0" distR="0" simplePos="0" relativeHeight="251658292" behindDoc="0" locked="0" layoutInCell="1" allowOverlap="1" wp14:anchorId="5B867260" wp14:editId="2EEC0D26">
              <wp:simplePos x="635" y="635"/>
              <wp:positionH relativeFrom="page">
                <wp:align>center</wp:align>
              </wp:positionH>
              <wp:positionV relativeFrom="page">
                <wp:align>bottom</wp:align>
              </wp:positionV>
              <wp:extent cx="551815" cy="404495"/>
              <wp:effectExtent l="0" t="0" r="635" b="0"/>
              <wp:wrapNone/>
              <wp:docPr id="993536767"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5F63A1" w14:textId="717DD66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867260" id="_x0000_t202" coordsize="21600,21600" o:spt="202" path="m,l,21600r21600,l21600,xe">
              <v:stroke joinstyle="miter"/>
              <v:path gradientshapeok="t" o:connecttype="rect"/>
            </v:shapetype>
            <v:shape id="Text Box 53" o:spid="_x0000_s1064" type="#_x0000_t202" alt="OFFICIAL" style="position:absolute;left:0;text-align:left;margin-left:0;margin-top:0;width:43.45pt;height:31.85pt;z-index:251658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GiiHgEPAgAA&#10;HQQAAA4AAAAAAAAAAAAAAAAALgIAAGRycy9lMm9Eb2MueG1sUEsBAi0AFAAGAAgAAAAhAB9Vog3b&#10;AAAAAwEAAA8AAAAAAAAAAAAAAAAAaQQAAGRycy9kb3ducmV2LnhtbFBLBQYAAAAABAAEAPMAAABx&#10;BQAAAAA=&#10;" filled="f" stroked="f">
              <v:textbox style="mso-fit-shape-to-text:t" inset="0,0,0,15pt">
                <w:txbxContent>
                  <w:p w14:paraId="075F63A1" w14:textId="717DD66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7AE0" w14:textId="43358BE2" w:rsidR="009D2A7D" w:rsidRDefault="00DE7269">
    <w:pPr>
      <w:pStyle w:val="Footer"/>
      <w:tabs>
        <w:tab w:val="clear" w:pos="4536"/>
        <w:tab w:val="center" w:pos="9072"/>
      </w:tabs>
      <w:jc w:val="left"/>
    </w:pPr>
    <w:r>
      <w:rPr>
        <w:noProof/>
      </w:rPr>
      <mc:AlternateContent>
        <mc:Choice Requires="wps">
          <w:drawing>
            <wp:anchor distT="0" distB="0" distL="0" distR="0" simplePos="0" relativeHeight="251658275" behindDoc="0" locked="0" layoutInCell="1" allowOverlap="1" wp14:anchorId="784441CE" wp14:editId="72CC103E">
              <wp:simplePos x="901065" y="10320020"/>
              <wp:positionH relativeFrom="page">
                <wp:align>center</wp:align>
              </wp:positionH>
              <wp:positionV relativeFrom="page">
                <wp:align>bottom</wp:align>
              </wp:positionV>
              <wp:extent cx="551815" cy="404495"/>
              <wp:effectExtent l="0" t="0" r="635" b="0"/>
              <wp:wrapNone/>
              <wp:docPr id="930342639"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5604D0E" w14:textId="6A78EBD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4441CE" id="_x0000_t202" coordsize="21600,21600" o:spt="202" path="m,l,21600r21600,l21600,xe">
              <v:stroke joinstyle="miter"/>
              <v:path gradientshapeok="t" o:connecttype="rect"/>
            </v:shapetype>
            <v:shape id="Text Box 36" o:spid="_x0000_s1029" type="#_x0000_t202" alt="OFFICIAL" style="position:absolute;margin-left:0;margin-top:0;width:43.45pt;height:31.85pt;z-index:251658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55604D0E" w14:textId="6A78EBD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E4FF" w14:textId="022297BA" w:rsidR="009D2A7D" w:rsidRDefault="00DE7269">
    <w:pPr>
      <w:pStyle w:val="Footer"/>
      <w:tabs>
        <w:tab w:val="clear" w:pos="4536"/>
        <w:tab w:val="right" w:pos="9072"/>
        <w:tab w:val="left" w:pos="14034"/>
      </w:tabs>
      <w:spacing w:before="120"/>
      <w:jc w:val="left"/>
    </w:pPr>
    <w:r>
      <w:rPr>
        <w:noProof/>
      </w:rPr>
      <mc:AlternateContent>
        <mc:Choice Requires="wps">
          <w:drawing>
            <wp:anchor distT="0" distB="0" distL="0" distR="0" simplePos="0" relativeHeight="251658293" behindDoc="0" locked="0" layoutInCell="1" allowOverlap="1" wp14:anchorId="04237EC2" wp14:editId="46412424">
              <wp:simplePos x="898497" y="10241280"/>
              <wp:positionH relativeFrom="page">
                <wp:align>center</wp:align>
              </wp:positionH>
              <wp:positionV relativeFrom="page">
                <wp:align>bottom</wp:align>
              </wp:positionV>
              <wp:extent cx="551815" cy="404495"/>
              <wp:effectExtent l="0" t="0" r="635" b="0"/>
              <wp:wrapNone/>
              <wp:docPr id="629926489"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A7BB56" w14:textId="20CAB10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237EC2" id="_x0000_t202" coordsize="21600,21600" o:spt="202" path="m,l,21600r21600,l21600,xe">
              <v:stroke joinstyle="miter"/>
              <v:path gradientshapeok="t" o:connecttype="rect"/>
            </v:shapetype>
            <v:shape id="Text Box 54" o:spid="_x0000_s1065" type="#_x0000_t202" alt="OFFICIAL" style="position:absolute;margin-left:0;margin-top:0;width:43.45pt;height:31.85pt;z-index:251658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AUdrDwPAgAA&#10;HQQAAA4AAAAAAAAAAAAAAAAALgIAAGRycy9lMm9Eb2MueG1sUEsBAi0AFAAGAAgAAAAhAB9Vog3b&#10;AAAAAwEAAA8AAAAAAAAAAAAAAAAAaQQAAGRycy9kb3ducmV2LnhtbFBLBQYAAAAABAAEAPMAAABx&#10;BQAAAAA=&#10;" filled="f" stroked="f">
              <v:textbox style="mso-fit-shape-to-text:t" inset="0,0,0,15pt">
                <w:txbxContent>
                  <w:p w14:paraId="3FA7BB56" w14:textId="20CAB10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r w:rsidR="009D2A7D">
      <w:t xml:space="preserve">Department of Agriculture, </w:t>
    </w:r>
    <w:r w:rsidR="00A05558">
      <w:t>Fisheries and Forestry</w:t>
    </w:r>
    <w:r w:rsidR="009D2A7D">
      <w:tab/>
    </w:r>
    <w:r w:rsidR="009D2A7D">
      <w:fldChar w:fldCharType="begin"/>
    </w:r>
    <w:r w:rsidR="009D2A7D">
      <w:instrText xml:space="preserve"> PAGE   \* MERGEFORMAT </w:instrText>
    </w:r>
    <w:r w:rsidR="009D2A7D">
      <w:fldChar w:fldCharType="separate"/>
    </w:r>
    <w:r w:rsidR="00732E8F">
      <w:rPr>
        <w:noProof/>
      </w:rPr>
      <w:t>23</w:t>
    </w:r>
    <w:r w:rsidR="009D2A7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E19AC" w14:textId="0E03B3F9" w:rsidR="00DE7269" w:rsidRDefault="00DE7269">
    <w:pPr>
      <w:pStyle w:val="Footer"/>
    </w:pPr>
    <w:r>
      <w:rPr>
        <w:noProof/>
      </w:rPr>
      <mc:AlternateContent>
        <mc:Choice Requires="wps">
          <w:drawing>
            <wp:anchor distT="0" distB="0" distL="0" distR="0" simplePos="0" relativeHeight="251658291" behindDoc="0" locked="0" layoutInCell="1" allowOverlap="1" wp14:anchorId="3F1C0397" wp14:editId="7B2AD42A">
              <wp:simplePos x="635" y="635"/>
              <wp:positionH relativeFrom="page">
                <wp:align>center</wp:align>
              </wp:positionH>
              <wp:positionV relativeFrom="page">
                <wp:align>bottom</wp:align>
              </wp:positionV>
              <wp:extent cx="551815" cy="404495"/>
              <wp:effectExtent l="0" t="0" r="635" b="0"/>
              <wp:wrapNone/>
              <wp:docPr id="2122473138"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0A7665" w14:textId="226CF2A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1C0397" id="_x0000_t202" coordsize="21600,21600" o:spt="202" path="m,l,21600r21600,l21600,xe">
              <v:stroke joinstyle="miter"/>
              <v:path gradientshapeok="t" o:connecttype="rect"/>
            </v:shapetype>
            <v:shape id="Text Box 52" o:spid="_x0000_s1067" type="#_x0000_t202" alt="OFFICIAL" style="position:absolute;left:0;text-align:left;margin-left:0;margin-top:0;width:43.45pt;height:31.85pt;z-index:251658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T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Uv7NTQnnMrBuHBv+abD2lvmwwtzuGEcBFUb&#10;nvGQCvqKwtmipAX342/+mI/EY5SSHhVTUYOSpkR9M7iQKK7JcJNRJ6O4yxc5xs1BPwDqsMAnYXky&#10;0euCmkzpQL+hntexEIaY4ViuovVkPoRRuvgeuFivUxLqyLKwNTvLI3TkK5L5OrwxZ8+MB1zVE0xy&#10;YuU74sfceNPb9SEg/WkrkduRyDPlqMG01/N7iSL/9T9lXV/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qzxkw4CAAAd&#10;BAAADgAAAAAAAAAAAAAAAAAuAgAAZHJzL2Uyb0RvYy54bWxQSwECLQAUAAYACAAAACEAH1WiDdsA&#10;AAADAQAADwAAAAAAAAAAAAAAAABoBAAAZHJzL2Rvd25yZXYueG1sUEsFBgAAAAAEAAQA8wAAAHAF&#10;AAAAAA==&#10;" filled="f" stroked="f">
              <v:textbox style="mso-fit-shape-to-text:t" inset="0,0,0,15pt">
                <w:txbxContent>
                  <w:p w14:paraId="6E0A7665" w14:textId="226CF2A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FD90" w14:textId="7B58E77F" w:rsidR="00DE7269" w:rsidRDefault="00DE7269">
    <w:pPr>
      <w:pStyle w:val="Footer"/>
    </w:pPr>
    <w:r>
      <w:rPr>
        <w:noProof/>
      </w:rPr>
      <mc:AlternateContent>
        <mc:Choice Requires="wps">
          <w:drawing>
            <wp:anchor distT="0" distB="0" distL="0" distR="0" simplePos="0" relativeHeight="251658295" behindDoc="0" locked="0" layoutInCell="1" allowOverlap="1" wp14:anchorId="1CB5EAF3" wp14:editId="7192F432">
              <wp:simplePos x="635" y="635"/>
              <wp:positionH relativeFrom="page">
                <wp:align>center</wp:align>
              </wp:positionH>
              <wp:positionV relativeFrom="page">
                <wp:align>bottom</wp:align>
              </wp:positionV>
              <wp:extent cx="551815" cy="404495"/>
              <wp:effectExtent l="0" t="0" r="635" b="0"/>
              <wp:wrapNone/>
              <wp:docPr id="931191152"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6F477B" w14:textId="2116109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B5EAF3" id="_x0000_t202" coordsize="21600,21600" o:spt="202" path="m,l,21600r21600,l21600,xe">
              <v:stroke joinstyle="miter"/>
              <v:path gradientshapeok="t" o:connecttype="rect"/>
            </v:shapetype>
            <v:shape id="Text Box 56" o:spid="_x0000_s1070" type="#_x0000_t202" alt="OFFICIAL" style="position:absolute;left:0;text-align:left;margin-left:0;margin-top:0;width:43.45pt;height:31.85pt;z-index:2516582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lY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fnUfg3NCadyMC7cW77psPaW+fDCHG4YB0HV&#10;hmc8pIK+onC2KGnB/fibP+Yj8RilpEfFVNSgpClR3wwuJIprMtxk1Mko7vJFjnFz0A+AOizwSVie&#10;TPS6oCZTOtBvqOd1LIQhZjiWq2g9mQ9hlC6+By7W65SEOrIsbM3O8ggd+Ypkvg5vzNkz4wFX9QST&#10;nFj5jvgxN970dn0ISH/aSuR2JPJMOWow7fX8XqLIf/1PWddXvfoJ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c+6JWA4CAAAd&#10;BAAADgAAAAAAAAAAAAAAAAAuAgAAZHJzL2Uyb0RvYy54bWxQSwECLQAUAAYACAAAACEAH1WiDdsA&#10;AAADAQAADwAAAAAAAAAAAAAAAABoBAAAZHJzL2Rvd25yZXYueG1sUEsFBgAAAAAEAAQA8wAAAHAF&#10;AAAAAA==&#10;" filled="f" stroked="f">
              <v:textbox style="mso-fit-shape-to-text:t" inset="0,0,0,15pt">
                <w:txbxContent>
                  <w:p w14:paraId="2D6F477B" w14:textId="2116109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8D0E6" w14:textId="389E69CE" w:rsidR="00DE7269" w:rsidRDefault="00DE7269">
    <w:pPr>
      <w:pStyle w:val="Footer"/>
    </w:pPr>
    <w:r>
      <w:rPr>
        <w:noProof/>
      </w:rPr>
      <mc:AlternateContent>
        <mc:Choice Requires="wps">
          <w:drawing>
            <wp:anchor distT="0" distB="0" distL="0" distR="0" simplePos="0" relativeHeight="251658296" behindDoc="0" locked="0" layoutInCell="1" allowOverlap="1" wp14:anchorId="304DE8D8" wp14:editId="41BD709A">
              <wp:simplePos x="635" y="635"/>
              <wp:positionH relativeFrom="page">
                <wp:align>center</wp:align>
              </wp:positionH>
              <wp:positionV relativeFrom="page">
                <wp:align>bottom</wp:align>
              </wp:positionV>
              <wp:extent cx="551815" cy="404495"/>
              <wp:effectExtent l="0" t="0" r="635" b="0"/>
              <wp:wrapNone/>
              <wp:docPr id="597317469"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5462A1" w14:textId="78586C2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4DE8D8" id="_x0000_t202" coordsize="21600,21600" o:spt="202" path="m,l,21600r21600,l21600,xe">
              <v:stroke joinstyle="miter"/>
              <v:path gradientshapeok="t" o:connecttype="rect"/>
            </v:shapetype>
            <v:shape id="Text Box 57" o:spid="_x0000_s1071" type="#_x0000_t202" alt="OFFICIAL" style="position:absolute;left:0;text-align:left;margin-left:0;margin-top:0;width:43.45pt;height:31.85pt;z-index:251658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tl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ZUPBWOri3UR5oK4bRw7+Sqpdpr4cOLQNowDUKq&#10;Dc90aAN9xeFscdYA/vibP+YT8RTlrCfFVNySpDkz3ywtJIprNHA0tsko7vJZTnG77x6AdFjQk3Ay&#10;meTFYEZTI3RvpOdlLEQhYSWVq/h2NB/CSbr0HqRaLlMS6ciJsLYbJyN05CuS+Tq8CXRnxgOt6glG&#10;OYnyHfGn3HjTu+U+EP1pK1ciz5STBtNez+8livzX/5R1fdWLnwA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eUTtlDQIAAB0E&#10;AAAOAAAAAAAAAAAAAAAAAC4CAABkcnMvZTJvRG9jLnhtbFBLAQItABQABgAIAAAAIQAfVaIN2wAA&#10;AAMBAAAPAAAAAAAAAAAAAAAAAGcEAABkcnMvZG93bnJldi54bWxQSwUGAAAAAAQABADzAAAAbwUA&#10;AAAA&#10;" filled="f" stroked="f">
              <v:textbox style="mso-fit-shape-to-text:t" inset="0,0,0,15pt">
                <w:txbxContent>
                  <w:p w14:paraId="185462A1" w14:textId="78586C2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F33B" w14:textId="3A608412" w:rsidR="00DE7269" w:rsidRDefault="00DE7269">
    <w:pPr>
      <w:pStyle w:val="Footer"/>
    </w:pPr>
    <w:r>
      <w:rPr>
        <w:noProof/>
      </w:rPr>
      <mc:AlternateContent>
        <mc:Choice Requires="wps">
          <w:drawing>
            <wp:anchor distT="0" distB="0" distL="0" distR="0" simplePos="0" relativeHeight="251658294" behindDoc="0" locked="0" layoutInCell="1" allowOverlap="1" wp14:anchorId="23B7827A" wp14:editId="0F451200">
              <wp:simplePos x="635" y="635"/>
              <wp:positionH relativeFrom="page">
                <wp:align>center</wp:align>
              </wp:positionH>
              <wp:positionV relativeFrom="page">
                <wp:align>bottom</wp:align>
              </wp:positionV>
              <wp:extent cx="551815" cy="404495"/>
              <wp:effectExtent l="0" t="0" r="635" b="0"/>
              <wp:wrapNone/>
              <wp:docPr id="727724661"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D5A4B2D" w14:textId="2C02B33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B7827A" id="_x0000_t202" coordsize="21600,21600" o:spt="202" path="m,l,21600r21600,l21600,xe">
              <v:stroke joinstyle="miter"/>
              <v:path gradientshapeok="t" o:connecttype="rect"/>
            </v:shapetype>
            <v:shape id="Text Box 55" o:spid="_x0000_s1073" type="#_x0000_t202" alt="OFFICIAL" style="position:absolute;left:0;text-align:left;margin-left:0;margin-top:0;width:43.45pt;height:31.85pt;z-index:2516582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4e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4t/G9rdQH3EqB8PCveWrFmuvmQ9PzOGGcRBU&#10;bXjEQyroKgoni5IG3O+P/DEficcoJR0qpqIGJU2J+mlwIVFco+FGY5uM4iaf5Rg3e30HqMMCn4Tl&#10;yUSvC2o0pQP9gnpexkIYYoZjuYpuR/MuDNLF98DFcpmSUEeWhbXZWB6hI1+RzOf+hTl7Yjzgqh5g&#10;lBMr3xA/5Mab3i73AelPW4ncDkSeKEcNpr2e3ksU+ev/lHV51Ys/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MQvXh4PAgAA&#10;HQQAAA4AAAAAAAAAAAAAAAAALgIAAGRycy9lMm9Eb2MueG1sUEsBAi0AFAAGAAgAAAAhAB9Vog3b&#10;AAAAAwEAAA8AAAAAAAAAAAAAAAAAaQQAAGRycy9kb3ducmV2LnhtbFBLBQYAAAAABAAEAPMAAABx&#10;BQAAAAA=&#10;" filled="f" stroked="f">
              <v:textbox style="mso-fit-shape-to-text:t" inset="0,0,0,15pt">
                <w:txbxContent>
                  <w:p w14:paraId="1D5A4B2D" w14:textId="2C02B33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5643" w14:textId="558B953E" w:rsidR="00DE7269" w:rsidRDefault="00DE7269">
    <w:pPr>
      <w:pStyle w:val="Footer"/>
    </w:pPr>
    <w:r>
      <w:rPr>
        <w:noProof/>
      </w:rPr>
      <mc:AlternateContent>
        <mc:Choice Requires="wps">
          <w:drawing>
            <wp:anchor distT="0" distB="0" distL="0" distR="0" simplePos="0" relativeHeight="251658298" behindDoc="0" locked="0" layoutInCell="1" allowOverlap="1" wp14:anchorId="66E95FA9" wp14:editId="68C70E22">
              <wp:simplePos x="635" y="635"/>
              <wp:positionH relativeFrom="page">
                <wp:align>center</wp:align>
              </wp:positionH>
              <wp:positionV relativeFrom="page">
                <wp:align>bottom</wp:align>
              </wp:positionV>
              <wp:extent cx="551815" cy="404495"/>
              <wp:effectExtent l="0" t="0" r="635" b="0"/>
              <wp:wrapNone/>
              <wp:docPr id="442153306"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4353597" w14:textId="2855A52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E95FA9" id="_x0000_t202" coordsize="21600,21600" o:spt="202" path="m,l,21600r21600,l21600,xe">
              <v:stroke joinstyle="miter"/>
              <v:path gradientshapeok="t" o:connecttype="rect"/>
            </v:shapetype>
            <v:shape id="Text Box 59" o:spid="_x0000_s1076" type="#_x0000_t202" alt="OFFICIAL" style="position:absolute;left:0;text-align:left;margin-left:0;margin-top:0;width:43.45pt;height:31.85pt;z-index:2516582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2d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DZL4jK4t1EfaCuFEuHdy1VLvtfDhRSAxTIuQ&#10;asMzHdpAX3E4W5w1gD/+5o/5BDxFOetJMRW3JGnOzDdLhERxjQaOxjYZxV0+yylu990DkA4LehJO&#10;JpO8GMxoaoTujfS8jI0oJKykdhXfjuZDOEmX3oNUy2VKIh05EdZ242QsHfGKYL4ObwLdGfFAVD3B&#10;KCdRvgP+lBtverfcB4I/sXIF8gw5aTDxen4vUeS//qes66te/AQ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dvH2dDQIAAB0E&#10;AAAOAAAAAAAAAAAAAAAAAC4CAABkcnMvZTJvRG9jLnhtbFBLAQItABQABgAIAAAAIQAfVaIN2wAA&#10;AAMBAAAPAAAAAAAAAAAAAAAAAGcEAABkcnMvZG93bnJldi54bWxQSwUGAAAAAAQABADzAAAAbwUA&#10;AAAA&#10;" filled="f" stroked="f">
              <v:textbox style="mso-fit-shape-to-text:t" inset="0,0,0,15pt">
                <w:txbxContent>
                  <w:p w14:paraId="24353597" w14:textId="2855A52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BCE39" w14:textId="614795FE" w:rsidR="00DE7269" w:rsidRDefault="00DE7269">
    <w:pPr>
      <w:pStyle w:val="Footer"/>
    </w:pPr>
    <w:r>
      <w:rPr>
        <w:noProof/>
      </w:rPr>
      <mc:AlternateContent>
        <mc:Choice Requires="wps">
          <w:drawing>
            <wp:anchor distT="0" distB="0" distL="0" distR="0" simplePos="0" relativeHeight="251658299" behindDoc="0" locked="0" layoutInCell="1" allowOverlap="1" wp14:anchorId="12522D95" wp14:editId="5061FC7B">
              <wp:simplePos x="635" y="635"/>
              <wp:positionH relativeFrom="page">
                <wp:align>center</wp:align>
              </wp:positionH>
              <wp:positionV relativeFrom="page">
                <wp:align>bottom</wp:align>
              </wp:positionV>
              <wp:extent cx="551815" cy="404495"/>
              <wp:effectExtent l="0" t="0" r="635" b="0"/>
              <wp:wrapNone/>
              <wp:docPr id="663488324"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7D3884" w14:textId="2AEDE9F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522D95" id="_x0000_t202" coordsize="21600,21600" o:spt="202" path="m,l,21600r21600,l21600,xe">
              <v:stroke joinstyle="miter"/>
              <v:path gradientshapeok="t" o:connecttype="rect"/>
            </v:shapetype>
            <v:shape id="Text Box 60" o:spid="_x0000_s1077" type="#_x0000_t202" alt="OFFICIAL" style="position:absolute;left:0;text-align:left;margin-left:0;margin-top:0;width:43.45pt;height:31.85pt;z-index:251658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g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8APPoA4CAAAd&#10;BAAADgAAAAAAAAAAAAAAAAAuAgAAZHJzL2Uyb0RvYy54bWxQSwECLQAUAAYACAAAACEAH1WiDdsA&#10;AAADAQAADwAAAAAAAAAAAAAAAABoBAAAZHJzL2Rvd25yZXYueG1sUEsFBgAAAAAEAAQA8wAAAHAF&#10;AAAAAA==&#10;" filled="f" stroked="f">
              <v:textbox style="mso-fit-shape-to-text:t" inset="0,0,0,15pt">
                <w:txbxContent>
                  <w:p w14:paraId="3C7D3884" w14:textId="2AEDE9F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8CD5" w14:textId="53EAFA84" w:rsidR="00DE7269" w:rsidRDefault="00DE7269">
    <w:pPr>
      <w:pStyle w:val="Footer"/>
    </w:pPr>
    <w:r>
      <w:rPr>
        <w:noProof/>
      </w:rPr>
      <mc:AlternateContent>
        <mc:Choice Requires="wps">
          <w:drawing>
            <wp:anchor distT="0" distB="0" distL="0" distR="0" simplePos="0" relativeHeight="251658297" behindDoc="0" locked="0" layoutInCell="1" allowOverlap="1" wp14:anchorId="78997C2E" wp14:editId="7666D0F7">
              <wp:simplePos x="635" y="635"/>
              <wp:positionH relativeFrom="page">
                <wp:align>center</wp:align>
              </wp:positionH>
              <wp:positionV relativeFrom="page">
                <wp:align>bottom</wp:align>
              </wp:positionV>
              <wp:extent cx="551815" cy="404495"/>
              <wp:effectExtent l="0" t="0" r="635" b="0"/>
              <wp:wrapNone/>
              <wp:docPr id="443047110"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5CED03" w14:textId="7CFD91A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997C2E" id="_x0000_t202" coordsize="21600,21600" o:spt="202" path="m,l,21600r21600,l21600,xe">
              <v:stroke joinstyle="miter"/>
              <v:path gradientshapeok="t" o:connecttype="rect"/>
            </v:shapetype>
            <v:shape id="Text Box 58" o:spid="_x0000_s1079" type="#_x0000_t202" alt="OFFICIAL" style="position:absolute;left:0;text-align:left;margin-left:0;margin-top:0;width:43.45pt;height:31.85pt;z-index:2516582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rb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Rr6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p9qtsPAgAA&#10;HQQAAA4AAAAAAAAAAAAAAAAALgIAAGRycy9lMm9Eb2MueG1sUEsBAi0AFAAGAAgAAAAhAB9Vog3b&#10;AAAAAwEAAA8AAAAAAAAAAAAAAAAAaQQAAGRycy9kb3ducmV2LnhtbFBLBQYAAAAABAAEAPMAAABx&#10;BQAAAAA=&#10;" filled="f" stroked="f">
              <v:textbox style="mso-fit-shape-to-text:t" inset="0,0,0,15pt">
                <w:txbxContent>
                  <w:p w14:paraId="795CED03" w14:textId="7CFD91A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73A5D" w14:textId="68FB8FAC" w:rsidR="00DE7269" w:rsidRDefault="00DE7269">
    <w:pPr>
      <w:pStyle w:val="Footer"/>
    </w:pPr>
    <w:r>
      <w:rPr>
        <w:noProof/>
      </w:rPr>
      <mc:AlternateContent>
        <mc:Choice Requires="wps">
          <w:drawing>
            <wp:anchor distT="0" distB="0" distL="0" distR="0" simplePos="0" relativeHeight="251658301" behindDoc="0" locked="0" layoutInCell="1" allowOverlap="1" wp14:anchorId="15C3B019" wp14:editId="0F058FB4">
              <wp:simplePos x="635" y="635"/>
              <wp:positionH relativeFrom="page">
                <wp:align>center</wp:align>
              </wp:positionH>
              <wp:positionV relativeFrom="page">
                <wp:align>bottom</wp:align>
              </wp:positionV>
              <wp:extent cx="551815" cy="404495"/>
              <wp:effectExtent l="0" t="0" r="635" b="0"/>
              <wp:wrapNone/>
              <wp:docPr id="81195786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1F94215" w14:textId="6269082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C3B019" id="_x0000_t202" coordsize="21600,21600" o:spt="202" path="m,l,21600r21600,l21600,xe">
              <v:stroke joinstyle="miter"/>
              <v:path gradientshapeok="t" o:connecttype="rect"/>
            </v:shapetype>
            <v:shape id="Text Box 62" o:spid="_x0000_s1082" type="#_x0000_t202" alt="OFFICIAL" style="position:absolute;left:0;text-align:left;margin-left:0;margin-top:0;width:43.45pt;height:31.85pt;z-index:2516583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IQDwIAAB0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jI9dj+1uojziVg2Hh3vJVi7XXzIdn5nDDOAiq&#10;NjzhIRV0FYWTRUkD7vdn/piPxGOUkg4VU1GDkqZE/TS4kCiu0XCjsU1GcZvPcoybvb4H1GGBT8Ly&#10;ZKLXBTWa0oF+RT0vYyEMMcOxXEW3o3kfBunie+BiuUxJqCPLwtpsLI/Qka9I5kv/ypw9MR5wVY8w&#10;yomV74gfcuNNb5f7gPSnrURuByJPlKMG015P7yWK/O1/yrq86sUf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M/0hAPAgAA&#10;HQQAAA4AAAAAAAAAAAAAAAAALgIAAGRycy9lMm9Eb2MueG1sUEsBAi0AFAAGAAgAAAAhAB9Vog3b&#10;AAAAAwEAAA8AAAAAAAAAAAAAAAAAaQQAAGRycy9kb3ducmV2LnhtbFBLBQYAAAAABAAEAPMAAABx&#10;BQAAAAA=&#10;" filled="f" stroked="f">
              <v:textbox style="mso-fit-shape-to-text:t" inset="0,0,0,15pt">
                <w:txbxContent>
                  <w:p w14:paraId="51F94215" w14:textId="6269082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9B201" w14:textId="0AAD08A8" w:rsidR="00DE7269" w:rsidRDefault="00DE7269">
    <w:pPr>
      <w:pStyle w:val="Footer"/>
    </w:pPr>
    <w:r>
      <w:rPr>
        <w:noProof/>
      </w:rPr>
      <mc:AlternateContent>
        <mc:Choice Requires="wps">
          <w:drawing>
            <wp:anchor distT="0" distB="0" distL="0" distR="0" simplePos="0" relativeHeight="251658302" behindDoc="0" locked="0" layoutInCell="1" allowOverlap="1" wp14:anchorId="2B31C4FD" wp14:editId="1FDDD305">
              <wp:simplePos x="635" y="635"/>
              <wp:positionH relativeFrom="page">
                <wp:align>center</wp:align>
              </wp:positionH>
              <wp:positionV relativeFrom="page">
                <wp:align>bottom</wp:align>
              </wp:positionV>
              <wp:extent cx="551815" cy="404495"/>
              <wp:effectExtent l="0" t="0" r="635" b="0"/>
              <wp:wrapNone/>
              <wp:docPr id="1308214973"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EEFC9C" w14:textId="355DC47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31C4FD" id="_x0000_t202" coordsize="21600,21600" o:spt="202" path="m,l,21600r21600,l21600,xe">
              <v:stroke joinstyle="miter"/>
              <v:path gradientshapeok="t" o:connecttype="rect"/>
            </v:shapetype>
            <v:shape id="Text Box 63" o:spid="_x0000_s1083" type="#_x0000_t202" alt="OFFICIAL" style="position:absolute;left:0;text-align:left;margin-left:0;margin-top:0;width:43.45pt;height:31.85pt;z-index:2516583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At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Rr6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J6AYC0PAgAA&#10;HQQAAA4AAAAAAAAAAAAAAAAALgIAAGRycy9lMm9Eb2MueG1sUEsBAi0AFAAGAAgAAAAhAB9Vog3b&#10;AAAAAwEAAA8AAAAAAAAAAAAAAAAAaQQAAGRycy9kb3ducmV2LnhtbFBLBQYAAAAABAAEAPMAAABx&#10;BQAAAAA=&#10;" filled="f" stroked="f">
              <v:textbox style="mso-fit-shape-to-text:t" inset="0,0,0,15pt">
                <w:txbxContent>
                  <w:p w14:paraId="52EEFC9C" w14:textId="355DC47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68E1" w14:textId="5F9914F7" w:rsidR="00DE7269" w:rsidRDefault="00DE7269">
    <w:pPr>
      <w:pStyle w:val="Footer"/>
    </w:pPr>
    <w:r>
      <w:rPr>
        <w:noProof/>
      </w:rPr>
      <mc:AlternateContent>
        <mc:Choice Requires="wps">
          <w:drawing>
            <wp:anchor distT="0" distB="0" distL="0" distR="0" simplePos="0" relativeHeight="251658273" behindDoc="0" locked="0" layoutInCell="1" allowOverlap="1" wp14:anchorId="0EC62BB0" wp14:editId="0613F9FB">
              <wp:simplePos x="635" y="635"/>
              <wp:positionH relativeFrom="page">
                <wp:align>center</wp:align>
              </wp:positionH>
              <wp:positionV relativeFrom="page">
                <wp:align>bottom</wp:align>
              </wp:positionV>
              <wp:extent cx="551815" cy="404495"/>
              <wp:effectExtent l="0" t="0" r="635" b="0"/>
              <wp:wrapNone/>
              <wp:docPr id="132871466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ADA3ED4" w14:textId="11A907B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C62BB0" id="_x0000_t202" coordsize="21600,21600" o:spt="202" path="m,l,21600r21600,l21600,xe">
              <v:stroke joinstyle="miter"/>
              <v:path gradientshapeok="t" o:connecttype="rect"/>
            </v:shapetype>
            <v:shape id="Text Box 34" o:spid="_x0000_s1031" type="#_x0000_t202" alt="OFFICIAL" style="position:absolute;left:0;text-align:left;margin-left:0;margin-top:0;width:43.45pt;height:31.85pt;z-index:251658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2ADA3ED4" w14:textId="11A907B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BDC1" w14:textId="7A9013CD" w:rsidR="00DE7269" w:rsidRDefault="00DE7269">
    <w:pPr>
      <w:pStyle w:val="Footer"/>
    </w:pPr>
    <w:r>
      <w:rPr>
        <w:noProof/>
      </w:rPr>
      <mc:AlternateContent>
        <mc:Choice Requires="wps">
          <w:drawing>
            <wp:anchor distT="0" distB="0" distL="0" distR="0" simplePos="0" relativeHeight="251658300" behindDoc="0" locked="0" layoutInCell="1" allowOverlap="1" wp14:anchorId="045488C0" wp14:editId="391D6864">
              <wp:simplePos x="635" y="635"/>
              <wp:positionH relativeFrom="page">
                <wp:align>center</wp:align>
              </wp:positionH>
              <wp:positionV relativeFrom="page">
                <wp:align>bottom</wp:align>
              </wp:positionV>
              <wp:extent cx="551815" cy="404495"/>
              <wp:effectExtent l="0" t="0" r="635" b="0"/>
              <wp:wrapNone/>
              <wp:docPr id="715065462"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390DD3" w14:textId="50D4273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5488C0" id="_x0000_t202" coordsize="21600,21600" o:spt="202" path="m,l,21600r21600,l21600,xe">
              <v:stroke joinstyle="miter"/>
              <v:path gradientshapeok="t" o:connecttype="rect"/>
            </v:shapetype>
            <v:shape id="Text Box 61" o:spid="_x0000_s1085" type="#_x0000_t202" alt="OFFICIAL" style="position:absolute;left:0;text-align:left;margin-left:0;margin-top:0;width:43.45pt;height:31.85pt;z-index:251658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WDw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kfnY/g7qE07lYFi4t3zdYu0N8+GFOdwwDoKq&#10;Dc94SAVdReFsUdKA+/kvf8xH4jFKSYeKqahBSVOivhtcSBTXaLjR2CWjmOe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Nn+K5YPAgAA&#10;HQQAAA4AAAAAAAAAAAAAAAAALgIAAGRycy9lMm9Eb2MueG1sUEsBAi0AFAAGAAgAAAAhAB9Vog3b&#10;AAAAAwEAAA8AAAAAAAAAAAAAAAAAaQQAAGRycy9kb3ducmV2LnhtbFBLBQYAAAAABAAEAPMAAABx&#10;BQAAAAA=&#10;" filled="f" stroked="f">
              <v:textbox style="mso-fit-shape-to-text:t" inset="0,0,0,15pt">
                <w:txbxContent>
                  <w:p w14:paraId="3D390DD3" w14:textId="50D4273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14729" w14:textId="7975DC92" w:rsidR="00DE7269" w:rsidRDefault="00DE7269">
    <w:pPr>
      <w:pStyle w:val="Footer"/>
    </w:pPr>
    <w:r>
      <w:rPr>
        <w:noProof/>
      </w:rPr>
      <mc:AlternateContent>
        <mc:Choice Requires="wps">
          <w:drawing>
            <wp:anchor distT="0" distB="0" distL="0" distR="0" simplePos="0" relativeHeight="251658304" behindDoc="0" locked="0" layoutInCell="1" allowOverlap="1" wp14:anchorId="399BD722" wp14:editId="6A82048D">
              <wp:simplePos x="635" y="635"/>
              <wp:positionH relativeFrom="page">
                <wp:align>center</wp:align>
              </wp:positionH>
              <wp:positionV relativeFrom="page">
                <wp:align>bottom</wp:align>
              </wp:positionV>
              <wp:extent cx="551815" cy="404495"/>
              <wp:effectExtent l="0" t="0" r="635" b="0"/>
              <wp:wrapNone/>
              <wp:docPr id="1190787177"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24A7277" w14:textId="5D162D3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BD722" id="_x0000_t202" coordsize="21600,21600" o:spt="202" path="m,l,21600r21600,l21600,xe">
              <v:stroke joinstyle="miter"/>
              <v:path gradientshapeok="t" o:connecttype="rect"/>
            </v:shapetype>
            <v:shape id="Text Box 65" o:spid="_x0000_s1088" type="#_x0000_t202" alt="OFFICIAL" style="position:absolute;left:0;text-align:left;margin-left:0;margin-top:0;width:43.45pt;height:31.85pt;z-index:25165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uzDwIAAB0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kzW7MPAgAA&#10;HQQAAA4AAAAAAAAAAAAAAAAALgIAAGRycy9lMm9Eb2MueG1sUEsBAi0AFAAGAAgAAAAhAB9Vog3b&#10;AAAAAwEAAA8AAAAAAAAAAAAAAAAAaQQAAGRycy9kb3ducmV2LnhtbFBLBQYAAAAABAAEAPMAAABx&#10;BQAAAAA=&#10;" filled="f" stroked="f">
              <v:textbox style="mso-fit-shape-to-text:t" inset="0,0,0,15pt">
                <w:txbxContent>
                  <w:p w14:paraId="624A7277" w14:textId="5D162D3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F01B" w14:textId="7CBCD046" w:rsidR="00DE7269" w:rsidRDefault="00DE7269">
    <w:pPr>
      <w:pStyle w:val="Footer"/>
    </w:pPr>
    <w:r>
      <w:rPr>
        <w:noProof/>
      </w:rPr>
      <mc:AlternateContent>
        <mc:Choice Requires="wps">
          <w:drawing>
            <wp:anchor distT="0" distB="0" distL="0" distR="0" simplePos="0" relativeHeight="251658305" behindDoc="0" locked="0" layoutInCell="1" allowOverlap="1" wp14:anchorId="728F0A08" wp14:editId="4B57554B">
              <wp:simplePos x="635" y="635"/>
              <wp:positionH relativeFrom="page">
                <wp:align>center</wp:align>
              </wp:positionH>
              <wp:positionV relativeFrom="page">
                <wp:align>bottom</wp:align>
              </wp:positionV>
              <wp:extent cx="551815" cy="404495"/>
              <wp:effectExtent l="0" t="0" r="635" b="0"/>
              <wp:wrapNone/>
              <wp:docPr id="175082852"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1F4FDD" w14:textId="1E47D63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8F0A08" id="_x0000_t202" coordsize="21600,21600" o:spt="202" path="m,l,21600r21600,l21600,xe">
              <v:stroke joinstyle="miter"/>
              <v:path gradientshapeok="t" o:connecttype="rect"/>
            </v:shapetype>
            <v:shape id="Text Box 66" o:spid="_x0000_s1089" type="#_x0000_t202" alt="OFFICIAL" style="position:absolute;left:0;text-align:left;margin-left:0;margin-top:0;width:43.45pt;height:31.85pt;z-index:2516583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EjOmOEAIA&#10;AB0EAAAOAAAAAAAAAAAAAAAAAC4CAABkcnMvZTJvRG9jLnhtbFBLAQItABQABgAIAAAAIQAfVaIN&#10;2wAAAAMBAAAPAAAAAAAAAAAAAAAAAGoEAABkcnMvZG93bnJldi54bWxQSwUGAAAAAAQABADzAAAA&#10;cgUAAAAA&#10;" filled="f" stroked="f">
              <v:textbox style="mso-fit-shape-to-text:t" inset="0,0,0,15pt">
                <w:txbxContent>
                  <w:p w14:paraId="7A1F4FDD" w14:textId="1E47D63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FF65" w14:textId="0D36CA8B" w:rsidR="00DE7269" w:rsidRDefault="00DE7269">
    <w:pPr>
      <w:pStyle w:val="Footer"/>
    </w:pPr>
    <w:r>
      <w:rPr>
        <w:noProof/>
      </w:rPr>
      <mc:AlternateContent>
        <mc:Choice Requires="wps">
          <w:drawing>
            <wp:anchor distT="0" distB="0" distL="0" distR="0" simplePos="0" relativeHeight="251658303" behindDoc="0" locked="0" layoutInCell="1" allowOverlap="1" wp14:anchorId="0A04F16E" wp14:editId="121095A5">
              <wp:simplePos x="635" y="635"/>
              <wp:positionH relativeFrom="page">
                <wp:align>center</wp:align>
              </wp:positionH>
              <wp:positionV relativeFrom="page">
                <wp:align>bottom</wp:align>
              </wp:positionV>
              <wp:extent cx="551815" cy="404495"/>
              <wp:effectExtent l="0" t="0" r="635" b="0"/>
              <wp:wrapNone/>
              <wp:docPr id="97809428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7481C0" w14:textId="6FA2870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4F16E" id="_x0000_t202" coordsize="21600,21600" o:spt="202" path="m,l,21600r21600,l21600,xe">
              <v:stroke joinstyle="miter"/>
              <v:path gradientshapeok="t" o:connecttype="rect"/>
            </v:shapetype>
            <v:shape id="Text Box 64" o:spid="_x0000_s1091" type="#_x0000_t202" alt="OFFICIAL" style="position:absolute;left:0;text-align:left;margin-left:0;margin-top:0;width:43.45pt;height:31.85pt;z-index:2516583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g9GAw4CAAAd&#10;BAAADgAAAAAAAAAAAAAAAAAuAgAAZHJzL2Uyb0RvYy54bWxQSwECLQAUAAYACAAAACEAH1WiDdsA&#10;AAADAQAADwAAAAAAAAAAAAAAAABoBAAAZHJzL2Rvd25yZXYueG1sUEsFBgAAAAAEAAQA8wAAAHAF&#10;AAAAAA==&#10;" filled="f" stroked="f">
              <v:textbox style="mso-fit-shape-to-text:t" inset="0,0,0,15pt">
                <w:txbxContent>
                  <w:p w14:paraId="6B7481C0" w14:textId="6FA2870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19C2" w14:textId="345EC422" w:rsidR="00DE7269" w:rsidRDefault="00DE7269">
    <w:pPr>
      <w:pStyle w:val="Footer"/>
    </w:pPr>
    <w:r>
      <w:rPr>
        <w:noProof/>
      </w:rPr>
      <mc:AlternateContent>
        <mc:Choice Requires="wps">
          <w:drawing>
            <wp:anchor distT="0" distB="0" distL="0" distR="0" simplePos="0" relativeHeight="251658277" behindDoc="0" locked="0" layoutInCell="1" allowOverlap="1" wp14:anchorId="32970EAA" wp14:editId="23818845">
              <wp:simplePos x="635" y="635"/>
              <wp:positionH relativeFrom="page">
                <wp:align>center</wp:align>
              </wp:positionH>
              <wp:positionV relativeFrom="page">
                <wp:align>bottom</wp:align>
              </wp:positionV>
              <wp:extent cx="551815" cy="404495"/>
              <wp:effectExtent l="0" t="0" r="635" b="0"/>
              <wp:wrapNone/>
              <wp:docPr id="144021469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BFE2E4" w14:textId="137009D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970EAA" id="_x0000_t202" coordsize="21600,21600" o:spt="202" path="m,l,21600r21600,l21600,xe">
              <v:stroke joinstyle="miter"/>
              <v:path gradientshapeok="t" o:connecttype="rect"/>
            </v:shapetype>
            <v:shape id="Text Box 38" o:spid="_x0000_s1034" type="#_x0000_t202" alt="OFFICIAL" style="position:absolute;left:0;text-align:left;margin-left:0;margin-top:0;width:43.45pt;height:31.8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23BFE2E4" w14:textId="137009D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0475" w14:textId="58712C28" w:rsidR="009D2A7D" w:rsidRDefault="00DE7269">
    <w:pPr>
      <w:pStyle w:val="Footer"/>
      <w:tabs>
        <w:tab w:val="clear" w:pos="4536"/>
        <w:tab w:val="center" w:pos="9072"/>
      </w:tabs>
      <w:jc w:val="left"/>
    </w:pPr>
    <w:r>
      <w:rPr>
        <w:noProof/>
      </w:rPr>
      <mc:AlternateContent>
        <mc:Choice Requires="wps">
          <w:drawing>
            <wp:anchor distT="0" distB="0" distL="0" distR="0" simplePos="0" relativeHeight="251658278" behindDoc="0" locked="0" layoutInCell="1" allowOverlap="1" wp14:anchorId="08B7EDA0" wp14:editId="64BE82D9">
              <wp:simplePos x="901065" y="10320020"/>
              <wp:positionH relativeFrom="page">
                <wp:align>center</wp:align>
              </wp:positionH>
              <wp:positionV relativeFrom="page">
                <wp:align>bottom</wp:align>
              </wp:positionV>
              <wp:extent cx="551815" cy="404495"/>
              <wp:effectExtent l="0" t="0" r="635" b="0"/>
              <wp:wrapNone/>
              <wp:docPr id="1879846122"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712DC9" w14:textId="11F66C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7EDA0" id="_x0000_t202" coordsize="21600,21600" o:spt="202" path="m,l,21600r21600,l21600,xe">
              <v:stroke joinstyle="miter"/>
              <v:path gradientshapeok="t" o:connecttype="rect"/>
            </v:shapetype>
            <v:shape id="Text Box 39" o:spid="_x0000_s1035" type="#_x0000_t202" alt="OFFICIAL" style="position:absolute;margin-left:0;margin-top:0;width:43.45pt;height:31.85pt;z-index:251658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75712DC9" w14:textId="11F66C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2F293" w14:textId="536E8332" w:rsidR="00DE7269" w:rsidRDefault="00DE7269">
    <w:pPr>
      <w:pStyle w:val="Footer"/>
    </w:pPr>
    <w:r>
      <w:rPr>
        <w:noProof/>
      </w:rPr>
      <mc:AlternateContent>
        <mc:Choice Requires="wps">
          <w:drawing>
            <wp:anchor distT="0" distB="0" distL="0" distR="0" simplePos="0" relativeHeight="251658276" behindDoc="0" locked="0" layoutInCell="1" allowOverlap="1" wp14:anchorId="51AC0149" wp14:editId="47B4434A">
              <wp:simplePos x="635" y="635"/>
              <wp:positionH relativeFrom="page">
                <wp:align>center</wp:align>
              </wp:positionH>
              <wp:positionV relativeFrom="page">
                <wp:align>bottom</wp:align>
              </wp:positionV>
              <wp:extent cx="551815" cy="404495"/>
              <wp:effectExtent l="0" t="0" r="635" b="0"/>
              <wp:wrapNone/>
              <wp:docPr id="1707976180"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D12018" w14:textId="44C91B8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C0149" id="_x0000_t202" coordsize="21600,21600" o:spt="202" path="m,l,21600r21600,l21600,xe">
              <v:stroke joinstyle="miter"/>
              <v:path gradientshapeok="t" o:connecttype="rect"/>
            </v:shapetype>
            <v:shape id="Text Box 37" o:spid="_x0000_s1037" type="#_x0000_t202" alt="OFFICIAL" style="position:absolute;left:0;text-align:left;margin-left:0;margin-top:0;width:43.45pt;height:31.85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6FD12018" w14:textId="44C91B8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E4569" w14:textId="71AB5C53" w:rsidR="00DE7269" w:rsidRDefault="00DE7269">
    <w:pPr>
      <w:pStyle w:val="Footer"/>
    </w:pPr>
    <w:r>
      <w:rPr>
        <w:noProof/>
      </w:rPr>
      <mc:AlternateContent>
        <mc:Choice Requires="wps">
          <w:drawing>
            <wp:anchor distT="0" distB="0" distL="0" distR="0" simplePos="0" relativeHeight="251658280" behindDoc="0" locked="0" layoutInCell="1" allowOverlap="1" wp14:anchorId="5601CD11" wp14:editId="24120A92">
              <wp:simplePos x="635" y="635"/>
              <wp:positionH relativeFrom="page">
                <wp:align>center</wp:align>
              </wp:positionH>
              <wp:positionV relativeFrom="page">
                <wp:align>bottom</wp:align>
              </wp:positionV>
              <wp:extent cx="551815" cy="404495"/>
              <wp:effectExtent l="0" t="0" r="635" b="0"/>
              <wp:wrapNone/>
              <wp:docPr id="147687127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D521E8" w14:textId="138282E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01CD11" id="_x0000_t202" coordsize="21600,21600" o:spt="202" path="m,l,21600r21600,l21600,xe">
              <v:stroke joinstyle="miter"/>
              <v:path gradientshapeok="t" o:connecttype="rect"/>
            </v:shapetype>
            <v:shape id="Text Box 41" o:spid="_x0000_s1040" type="#_x0000_t202" alt="OFFICIAL" style="position:absolute;left:0;text-align:left;margin-left:0;margin-top:0;width:43.45pt;height:31.8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fxNpw4CAAAd&#10;BAAADgAAAAAAAAAAAAAAAAAuAgAAZHJzL2Uyb0RvYy54bWxQSwECLQAUAAYACAAAACEAH1WiDdsA&#10;AAADAQAADwAAAAAAAAAAAAAAAABoBAAAZHJzL2Rvd25yZXYueG1sUEsFBgAAAAAEAAQA8wAAAHAF&#10;AAAAAA==&#10;" filled="f" stroked="f">
              <v:textbox style="mso-fit-shape-to-text:t" inset="0,0,0,15pt">
                <w:txbxContent>
                  <w:p w14:paraId="28D521E8" w14:textId="138282E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22EF" w14:textId="7F1F8C9E" w:rsidR="00DE7269" w:rsidRDefault="00DE7269">
    <w:pPr>
      <w:pStyle w:val="Footer"/>
    </w:pPr>
    <w:r>
      <w:rPr>
        <w:noProof/>
      </w:rPr>
      <mc:AlternateContent>
        <mc:Choice Requires="wps">
          <w:drawing>
            <wp:anchor distT="0" distB="0" distL="0" distR="0" simplePos="0" relativeHeight="251658281" behindDoc="0" locked="0" layoutInCell="1" allowOverlap="1" wp14:anchorId="78628780" wp14:editId="57CED840">
              <wp:simplePos x="901065" y="10320020"/>
              <wp:positionH relativeFrom="page">
                <wp:align>center</wp:align>
              </wp:positionH>
              <wp:positionV relativeFrom="page">
                <wp:align>bottom</wp:align>
              </wp:positionV>
              <wp:extent cx="551815" cy="404495"/>
              <wp:effectExtent l="0" t="0" r="635" b="0"/>
              <wp:wrapNone/>
              <wp:docPr id="1565617961"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78BFC4" w14:textId="3661A70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628780" id="_x0000_t202" coordsize="21600,21600" o:spt="202" path="m,l,21600r21600,l21600,xe">
              <v:stroke joinstyle="miter"/>
              <v:path gradientshapeok="t" o:connecttype="rect"/>
            </v:shapetype>
            <v:shape id="Text Box 42" o:spid="_x0000_s1041" type="#_x0000_t202" alt="OFFICIAL" style="position:absolute;left:0;text-align:left;margin-left:0;margin-top:0;width:43.45pt;height:31.85pt;z-index:2516582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5F78BFC4" w14:textId="3661A70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89BE" w14:textId="612C8320" w:rsidR="00DE7269" w:rsidRDefault="00DE7269">
    <w:pPr>
      <w:pStyle w:val="Footer"/>
    </w:pPr>
    <w:r>
      <w:rPr>
        <w:noProof/>
      </w:rPr>
      <mc:AlternateContent>
        <mc:Choice Requires="wps">
          <w:drawing>
            <wp:anchor distT="0" distB="0" distL="0" distR="0" simplePos="0" relativeHeight="251658279" behindDoc="0" locked="0" layoutInCell="1" allowOverlap="1" wp14:anchorId="03AF4D7A" wp14:editId="74E38E40">
              <wp:simplePos x="635" y="635"/>
              <wp:positionH relativeFrom="page">
                <wp:align>center</wp:align>
              </wp:positionH>
              <wp:positionV relativeFrom="page">
                <wp:align>bottom</wp:align>
              </wp:positionV>
              <wp:extent cx="551815" cy="404495"/>
              <wp:effectExtent l="0" t="0" r="635" b="0"/>
              <wp:wrapNone/>
              <wp:docPr id="882121712"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6967FF4" w14:textId="76B785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F4D7A" id="_x0000_t202" coordsize="21600,21600" o:spt="202" path="m,l,21600r21600,l21600,xe">
              <v:stroke joinstyle="miter"/>
              <v:path gradientshapeok="t" o:connecttype="rect"/>
            </v:shapetype>
            <v:shape id="Text Box 40" o:spid="_x0000_s1043" type="#_x0000_t202" alt="OFFICIAL" style="position:absolute;left:0;text-align:left;margin-left:0;margin-top:0;width:43.45pt;height:31.8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26967FF4" w14:textId="76B785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4F385" w14:textId="77777777" w:rsidR="00DE76B0" w:rsidRDefault="00DE76B0">
      <w:pPr>
        <w:spacing w:after="0" w:line="240" w:lineRule="auto"/>
      </w:pPr>
      <w:r>
        <w:separator/>
      </w:r>
    </w:p>
  </w:footnote>
  <w:footnote w:type="continuationSeparator" w:id="0">
    <w:p w14:paraId="54DD2EB3" w14:textId="77777777" w:rsidR="00DE76B0" w:rsidRDefault="00DE76B0">
      <w:pPr>
        <w:spacing w:after="0" w:line="240" w:lineRule="auto"/>
      </w:pPr>
      <w:r>
        <w:continuationSeparator/>
      </w:r>
    </w:p>
  </w:footnote>
  <w:footnote w:type="continuationNotice" w:id="1">
    <w:p w14:paraId="1A4315E2" w14:textId="77777777" w:rsidR="00DE76B0" w:rsidRDefault="00DE76B0">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71731" w14:textId="4CD95639" w:rsidR="00DE7269" w:rsidRDefault="00DE7269">
    <w:pPr>
      <w:pStyle w:val="Header"/>
    </w:pPr>
    <w:r>
      <w:rPr>
        <w:noProof/>
      </w:rPr>
      <mc:AlternateContent>
        <mc:Choice Requires="wps">
          <w:drawing>
            <wp:anchor distT="0" distB="0" distL="0" distR="0" simplePos="0" relativeHeight="251658241" behindDoc="0" locked="0" layoutInCell="1" allowOverlap="1" wp14:anchorId="3038FAAA" wp14:editId="5A7C8A2A">
              <wp:simplePos x="635" y="635"/>
              <wp:positionH relativeFrom="page">
                <wp:align>center</wp:align>
              </wp:positionH>
              <wp:positionV relativeFrom="page">
                <wp:align>top</wp:align>
              </wp:positionV>
              <wp:extent cx="551815" cy="404495"/>
              <wp:effectExtent l="0" t="0" r="635" b="14605"/>
              <wp:wrapNone/>
              <wp:docPr id="12648769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6B3EFCE" w14:textId="100382C3"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38FAAA"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6B3EFCE" w14:textId="100382C3"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5647" w14:textId="22D11874" w:rsidR="00DE7269" w:rsidRDefault="00DE7269">
    <w:pPr>
      <w:pStyle w:val="Header"/>
    </w:pPr>
    <w:r>
      <w:rPr>
        <w:noProof/>
      </w:rPr>
      <mc:AlternateContent>
        <mc:Choice Requires="wps">
          <w:drawing>
            <wp:anchor distT="0" distB="0" distL="0" distR="0" simplePos="0" relativeHeight="251658250" behindDoc="0" locked="0" layoutInCell="1" allowOverlap="1" wp14:anchorId="34C0C147" wp14:editId="0DEEA34C">
              <wp:simplePos x="635" y="635"/>
              <wp:positionH relativeFrom="page">
                <wp:align>center</wp:align>
              </wp:positionH>
              <wp:positionV relativeFrom="page">
                <wp:align>top</wp:align>
              </wp:positionV>
              <wp:extent cx="551815" cy="404495"/>
              <wp:effectExtent l="0" t="0" r="635" b="14605"/>
              <wp:wrapNone/>
              <wp:docPr id="40258986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78341F" w14:textId="4774533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C0C147" id="_x0000_t202" coordsize="21600,21600" o:spt="202" path="m,l,21600r21600,l21600,xe">
              <v:stroke joinstyle="miter"/>
              <v:path gradientshapeok="t" o:connecttype="rect"/>
            </v:shapetype>
            <v:shape id="Text Box 11" o:spid="_x0000_s1044" type="#_x0000_t202" alt="OFFICIAL" style="position:absolute;left:0;text-align:left;margin-left:0;margin-top:0;width:43.45pt;height:31.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3D78341F" w14:textId="4774533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C2B7" w14:textId="4AA3CFCA" w:rsidR="009D2A7D" w:rsidRDefault="00DE7269">
    <w:pPr>
      <w:pStyle w:val="Header"/>
      <w:tabs>
        <w:tab w:val="clear" w:pos="4820"/>
        <w:tab w:val="center" w:pos="8505"/>
      </w:tabs>
      <w:jc w:val="left"/>
    </w:pPr>
    <w:r>
      <w:rPr>
        <w:i/>
        <w:iCs/>
        <w:noProof/>
      </w:rPr>
      <mc:AlternateContent>
        <mc:Choice Requires="wps">
          <w:drawing>
            <wp:anchor distT="0" distB="0" distL="0" distR="0" simplePos="0" relativeHeight="251658251" behindDoc="0" locked="0" layoutInCell="1" allowOverlap="1" wp14:anchorId="08B9BE41" wp14:editId="6116C924">
              <wp:simplePos x="901065" y="360680"/>
              <wp:positionH relativeFrom="page">
                <wp:align>center</wp:align>
              </wp:positionH>
              <wp:positionV relativeFrom="page">
                <wp:align>top</wp:align>
              </wp:positionV>
              <wp:extent cx="551815" cy="404495"/>
              <wp:effectExtent l="0" t="0" r="635" b="14605"/>
              <wp:wrapNone/>
              <wp:docPr id="822819763"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C7B070" w14:textId="2DC8B47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B9BE41" id="_x0000_t202" coordsize="21600,21600" o:spt="202" path="m,l,21600r21600,l21600,xe">
              <v:stroke joinstyle="miter"/>
              <v:path gradientshapeok="t" o:connecttype="rect"/>
            </v:shapetype>
            <v:shape id="Text Box 12" o:spid="_x0000_s1045" type="#_x0000_t202" alt="OFFICIAL" style="position:absolute;margin-left:0;margin-top:0;width:43.45pt;height:31.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Du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nY/g7qE07lYFi4t3zdYu0N8+GFOdwwDoKq&#10;Dc94SAVdReFsUdKA+/kvf8xH4jFKSYeKqahBSVOivhtcSBRXMop5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vhIDuDgIAAB0E&#10;AAAOAAAAAAAAAAAAAAAAAC4CAABkcnMvZTJvRG9jLnhtbFBLAQItABQABgAIAAAAIQD8pn6y2gAA&#10;AAMBAAAPAAAAAAAAAAAAAAAAAGgEAABkcnMvZG93bnJldi54bWxQSwUGAAAAAAQABADzAAAAbwUA&#10;AAAA&#10;" filled="f" stroked="f">
              <v:textbox style="mso-fit-shape-to-text:t" inset="0,15pt,0,0">
                <w:txbxContent>
                  <w:p w14:paraId="5EC7B070" w14:textId="2DC8B47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1819FE" w:rsidRPr="00B57ECF">
      <w:rPr>
        <w:i/>
        <w:iCs/>
      </w:rPr>
      <w:t>Neoramulariopsis</w:t>
    </w:r>
    <w:proofErr w:type="spellEnd"/>
    <w:r w:rsidR="001819FE" w:rsidRPr="00B57ECF">
      <w:rPr>
        <w:i/>
        <w:iCs/>
      </w:rPr>
      <w:t xml:space="preserve"> unguis-cati</w:t>
    </w:r>
    <w:r w:rsidR="001819FE" w:rsidRPr="00B57ECF">
      <w:t xml:space="preserve"> </w:t>
    </w:r>
    <w:r w:rsidR="00F971C7">
      <w:t>final</w:t>
    </w:r>
    <w:r w:rsidR="001819FE" w:rsidRPr="00B57ECF">
      <w:t xml:space="preserve"> risk analysis</w:t>
    </w:r>
    <w:r w:rsidR="009D2A7D">
      <w:tab/>
    </w:r>
    <w:r w:rsidR="00AB0C2A">
      <w:t>Maps</w:t>
    </w:r>
    <w:r w:rsidR="007A502E">
      <w:t xml:space="preserve"> of Australia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1F02" w14:textId="6894781E" w:rsidR="00DE7269" w:rsidRDefault="00DE7269">
    <w:pPr>
      <w:pStyle w:val="Header"/>
    </w:pPr>
    <w:r>
      <w:rPr>
        <w:noProof/>
      </w:rPr>
      <mc:AlternateContent>
        <mc:Choice Requires="wps">
          <w:drawing>
            <wp:anchor distT="0" distB="0" distL="0" distR="0" simplePos="0" relativeHeight="251658249" behindDoc="0" locked="0" layoutInCell="1" allowOverlap="1" wp14:anchorId="77F8C27A" wp14:editId="2ECA3B1D">
              <wp:simplePos x="635" y="635"/>
              <wp:positionH relativeFrom="page">
                <wp:align>center</wp:align>
              </wp:positionH>
              <wp:positionV relativeFrom="page">
                <wp:align>top</wp:align>
              </wp:positionV>
              <wp:extent cx="551815" cy="404495"/>
              <wp:effectExtent l="0" t="0" r="635" b="14605"/>
              <wp:wrapNone/>
              <wp:docPr id="42527218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1BE5CB" w14:textId="6A4B4C7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8C27A" id="_x0000_t202" coordsize="21600,21600" o:spt="202" path="m,l,21600r21600,l21600,xe">
              <v:stroke joinstyle="miter"/>
              <v:path gradientshapeok="t" o:connecttype="rect"/>
            </v:shapetype>
            <v:shape id="Text Box 10" o:spid="_x0000_s1048" type="#_x0000_t202" alt="OFFICIAL" style="position:absolute;left:0;text-align:left;margin-left:0;margin-top:0;width:43.45pt;height:31.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L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U7H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X0nwyw8CAAAd&#10;BAAADgAAAAAAAAAAAAAAAAAuAgAAZHJzL2Uyb0RvYy54bWxQSwECLQAUAAYACAAAACEA/KZ+stoA&#10;AAADAQAADwAAAAAAAAAAAAAAAABpBAAAZHJzL2Rvd25yZXYueG1sUEsFBgAAAAAEAAQA8wAAAHAF&#10;AAAAAA==&#10;" filled="f" stroked="f">
              <v:textbox style="mso-fit-shape-to-text:t" inset="0,15pt,0,0">
                <w:txbxContent>
                  <w:p w14:paraId="151BE5CB" w14:textId="6A4B4C7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8142" w14:textId="5C1AA2C2" w:rsidR="00DE7269" w:rsidRDefault="00DE7269">
    <w:pPr>
      <w:pStyle w:val="Header"/>
    </w:pPr>
    <w:r>
      <w:rPr>
        <w:noProof/>
      </w:rPr>
      <mc:AlternateContent>
        <mc:Choice Requires="wps">
          <w:drawing>
            <wp:anchor distT="0" distB="0" distL="0" distR="0" simplePos="0" relativeHeight="251658253" behindDoc="0" locked="0" layoutInCell="1" allowOverlap="1" wp14:anchorId="49EC3827" wp14:editId="66135992">
              <wp:simplePos x="635" y="635"/>
              <wp:positionH relativeFrom="page">
                <wp:align>center</wp:align>
              </wp:positionH>
              <wp:positionV relativeFrom="page">
                <wp:align>top</wp:align>
              </wp:positionV>
              <wp:extent cx="551815" cy="404495"/>
              <wp:effectExtent l="0" t="0" r="635" b="14605"/>
              <wp:wrapNone/>
              <wp:docPr id="203976871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5CCEA6" w14:textId="5B70988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EC3827" id="_x0000_t202" coordsize="21600,21600" o:spt="202" path="m,l,21600r21600,l21600,xe">
              <v:stroke joinstyle="miter"/>
              <v:path gradientshapeok="t" o:connecttype="rect"/>
            </v:shapetype>
            <v:shape id="Text Box 14" o:spid="_x0000_s1050" type="#_x0000_t202" alt="OFFICIAL" style="position:absolute;left:0;text-align:left;margin-left:0;margin-top:0;width:43.45pt;height:31.8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9G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c7G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cpfRg8CAAAd&#10;BAAADgAAAAAAAAAAAAAAAAAuAgAAZHJzL2Uyb0RvYy54bWxQSwECLQAUAAYACAAAACEA/KZ+stoA&#10;AAADAQAADwAAAAAAAAAAAAAAAABpBAAAZHJzL2Rvd25yZXYueG1sUEsFBgAAAAAEAAQA8wAAAHAF&#10;AAAAAA==&#10;" filled="f" stroked="f">
              <v:textbox style="mso-fit-shape-to-text:t" inset="0,15pt,0,0">
                <w:txbxContent>
                  <w:p w14:paraId="385CCEA6" w14:textId="5B70988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5" w:name="_Hlk171344271"/>
  <w:p w14:paraId="16287B30" w14:textId="04E2C592" w:rsidR="009D2A7D" w:rsidRDefault="00DE7269">
    <w:pPr>
      <w:pStyle w:val="Header"/>
      <w:tabs>
        <w:tab w:val="clear" w:pos="4820"/>
        <w:tab w:val="center" w:pos="8505"/>
      </w:tabs>
      <w:jc w:val="left"/>
    </w:pPr>
    <w:r>
      <w:rPr>
        <w:i/>
        <w:iCs/>
        <w:noProof/>
      </w:rPr>
      <mc:AlternateContent>
        <mc:Choice Requires="wps">
          <w:drawing>
            <wp:anchor distT="0" distB="0" distL="0" distR="0" simplePos="0" relativeHeight="251658254" behindDoc="0" locked="0" layoutInCell="1" allowOverlap="1" wp14:anchorId="391A15E2" wp14:editId="1F324B7E">
              <wp:simplePos x="901065" y="360680"/>
              <wp:positionH relativeFrom="page">
                <wp:align>center</wp:align>
              </wp:positionH>
              <wp:positionV relativeFrom="page">
                <wp:align>top</wp:align>
              </wp:positionV>
              <wp:extent cx="551815" cy="404495"/>
              <wp:effectExtent l="0" t="0" r="635" b="14605"/>
              <wp:wrapNone/>
              <wp:docPr id="121576419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B1E99A6" w14:textId="6FF9403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1A15E2" id="_x0000_t202" coordsize="21600,21600" o:spt="202" path="m,l,21600r21600,l21600,xe">
              <v:stroke joinstyle="miter"/>
              <v:path gradientshapeok="t" o:connecttype="rect"/>
            </v:shapetype>
            <v:shape id="Text Box 15" o:spid="_x0000_s1051" type="#_x0000_t202" alt="OFFICIAL" style="position:absolute;margin-left:0;margin-top:0;width:43.45pt;height:31.8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x17XsNAgAAHQQA&#10;AA4AAAAAAAAAAAAAAAAALgIAAGRycy9lMm9Eb2MueG1sUEsBAi0AFAAGAAgAAAAhAPymfrLaAAAA&#10;AwEAAA8AAAAAAAAAAAAAAAAAZwQAAGRycy9kb3ducmV2LnhtbFBLBQYAAAAABAAEAPMAAABuBQAA&#10;AAA=&#10;" filled="f" stroked="f">
              <v:textbox style="mso-fit-shape-to-text:t" inset="0,15pt,0,0">
                <w:txbxContent>
                  <w:p w14:paraId="4B1E99A6" w14:textId="6FF9403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B57ECF" w:rsidRPr="00B57ECF">
      <w:rPr>
        <w:i/>
        <w:iCs/>
      </w:rPr>
      <w:t>Neoramulariopsis</w:t>
    </w:r>
    <w:proofErr w:type="spellEnd"/>
    <w:r w:rsidR="00B57ECF" w:rsidRPr="00B57ECF">
      <w:rPr>
        <w:i/>
        <w:iCs/>
      </w:rPr>
      <w:t xml:space="preserve"> unguis-cati</w:t>
    </w:r>
    <w:r w:rsidR="00B57ECF" w:rsidRPr="00B57ECF">
      <w:t xml:space="preserve"> </w:t>
    </w:r>
    <w:r w:rsidR="00A61FE8">
      <w:t>final</w:t>
    </w:r>
    <w:r w:rsidR="00B57ECF" w:rsidRPr="00B57ECF">
      <w:t xml:space="preserve"> risk analysis</w:t>
    </w:r>
    <w:bookmarkEnd w:id="15"/>
    <w:r w:rsidR="009D2A7D">
      <w:tab/>
      <w:t>Summary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2C29D" w14:textId="09675453" w:rsidR="00DE7269" w:rsidRDefault="00DE7269">
    <w:pPr>
      <w:pStyle w:val="Header"/>
    </w:pPr>
    <w:r>
      <w:rPr>
        <w:noProof/>
      </w:rPr>
      <mc:AlternateContent>
        <mc:Choice Requires="wps">
          <w:drawing>
            <wp:anchor distT="0" distB="0" distL="0" distR="0" simplePos="0" relativeHeight="251658252" behindDoc="0" locked="0" layoutInCell="1" allowOverlap="1" wp14:anchorId="748DEAD3" wp14:editId="546DC53C">
              <wp:simplePos x="635" y="635"/>
              <wp:positionH relativeFrom="page">
                <wp:align>center</wp:align>
              </wp:positionH>
              <wp:positionV relativeFrom="page">
                <wp:align>top</wp:align>
              </wp:positionV>
              <wp:extent cx="551815" cy="404495"/>
              <wp:effectExtent l="0" t="0" r="635" b="14605"/>
              <wp:wrapNone/>
              <wp:docPr id="196645956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5EFF07" w14:textId="236A8F1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DEAD3" id="_x0000_t202" coordsize="21600,21600" o:spt="202" path="m,l,21600r21600,l21600,xe">
              <v:stroke joinstyle="miter"/>
              <v:path gradientshapeok="t" o:connecttype="rect"/>
            </v:shapetype>
            <v:shape id="Text Box 13" o:spid="_x0000_s1054" type="#_x0000_t202" alt="OFFICIAL" style="position:absolute;left:0;text-align:left;margin-left:0;margin-top:0;width:43.45pt;height:31.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rMpxhg8CAAAd&#10;BAAADgAAAAAAAAAAAAAAAAAuAgAAZHJzL2Uyb0RvYy54bWxQSwECLQAUAAYACAAAACEA/KZ+stoA&#10;AAADAQAADwAAAAAAAAAAAAAAAABpBAAAZHJzL2Rvd25yZXYueG1sUEsFBgAAAAAEAAQA8wAAAHAF&#10;AAAAAA==&#10;" filled="f" stroked="f">
              <v:textbox style="mso-fit-shape-to-text:t" inset="0,15pt,0,0">
                <w:txbxContent>
                  <w:p w14:paraId="3C5EFF07" w14:textId="236A8F1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A1B9" w14:textId="54FAEC90" w:rsidR="00DE7269" w:rsidRDefault="00DE7269">
    <w:pPr>
      <w:pStyle w:val="Header"/>
    </w:pPr>
    <w:r>
      <w:rPr>
        <w:noProof/>
      </w:rPr>
      <mc:AlternateContent>
        <mc:Choice Requires="wps">
          <w:drawing>
            <wp:anchor distT="0" distB="0" distL="0" distR="0" simplePos="0" relativeHeight="251658256" behindDoc="0" locked="0" layoutInCell="1" allowOverlap="1" wp14:anchorId="0165BDA8" wp14:editId="4FA977A2">
              <wp:simplePos x="635" y="635"/>
              <wp:positionH relativeFrom="page">
                <wp:align>center</wp:align>
              </wp:positionH>
              <wp:positionV relativeFrom="page">
                <wp:align>top</wp:align>
              </wp:positionV>
              <wp:extent cx="551815" cy="404495"/>
              <wp:effectExtent l="0" t="0" r="635" b="14605"/>
              <wp:wrapNone/>
              <wp:docPr id="180436296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0C2DD2A" w14:textId="3EAB5E1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5BDA8" id="_x0000_t202" coordsize="21600,21600" o:spt="202" path="m,l,21600r21600,l21600,xe">
              <v:stroke joinstyle="miter"/>
              <v:path gradientshapeok="t" o:connecttype="rect"/>
            </v:shapetype>
            <v:shape id="Text Box 17" o:spid="_x0000_s1056" type="#_x0000_t202" alt="OFFICIAL" style="position:absolute;left:0;text-align:left;margin-left:0;margin-top:0;width:43.45pt;height:31.8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fmKuDDgIAAB0E&#10;AAAOAAAAAAAAAAAAAAAAAC4CAABkcnMvZTJvRG9jLnhtbFBLAQItABQABgAIAAAAIQD8pn6y2gAA&#10;AAMBAAAPAAAAAAAAAAAAAAAAAGgEAABkcnMvZG93bnJldi54bWxQSwUGAAAAAAQABADzAAAAbwUA&#10;AAAA&#10;" filled="f" stroked="f">
              <v:textbox style="mso-fit-shape-to-text:t" inset="0,15pt,0,0">
                <w:txbxContent>
                  <w:p w14:paraId="30C2DD2A" w14:textId="3EAB5E1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1D6C" w14:textId="39524128" w:rsidR="009D2A7D" w:rsidRDefault="00DE7269">
    <w:pPr>
      <w:pStyle w:val="Header"/>
      <w:tabs>
        <w:tab w:val="clear" w:pos="4820"/>
        <w:tab w:val="center" w:pos="8505"/>
      </w:tabs>
      <w:jc w:val="left"/>
    </w:pPr>
    <w:r>
      <w:rPr>
        <w:i/>
        <w:iCs/>
        <w:noProof/>
      </w:rPr>
      <mc:AlternateContent>
        <mc:Choice Requires="wps">
          <w:drawing>
            <wp:anchor distT="0" distB="0" distL="0" distR="0" simplePos="0" relativeHeight="251658257" behindDoc="0" locked="0" layoutInCell="1" allowOverlap="1" wp14:anchorId="648E6B09" wp14:editId="45544407">
              <wp:simplePos x="901065" y="360680"/>
              <wp:positionH relativeFrom="page">
                <wp:align>center</wp:align>
              </wp:positionH>
              <wp:positionV relativeFrom="page">
                <wp:align>top</wp:align>
              </wp:positionV>
              <wp:extent cx="551815" cy="404495"/>
              <wp:effectExtent l="0" t="0" r="635" b="14605"/>
              <wp:wrapNone/>
              <wp:docPr id="437419215"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721BDA5" w14:textId="047523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E6B09" id="_x0000_t202" coordsize="21600,21600" o:spt="202" path="m,l,21600r21600,l21600,xe">
              <v:stroke joinstyle="miter"/>
              <v:path gradientshapeok="t" o:connecttype="rect"/>
            </v:shapetype>
            <v:shape id="Text Box 18" o:spid="_x0000_s1057" type="#_x0000_t202" alt="OFFICIAL" style="position:absolute;margin-left:0;margin-top:0;width:43.45pt;height:31.8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m+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dz+1uojziVg2Hh3vJVi7XXzIcn5nDDOAiq&#10;NjziIRV0FYWTRUkD7vdH/piPxGOUkg4VU1GDkqZE/TS4kCiuZBQ3+SzHmxvd29Ewe30HqMMCn4Tl&#10;yYx5QY2mdKBfUM/LWAhDzHAsV9EwmndhkC6+By6Wy5SEOrIsrM3G8ggd+YpkPvcvzNkT4wFX9QCj&#10;nFj5hvghN/7p7XIfkP60lcjtQOSJctRg2uvpvUSRv76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yJxm+DgIAAB0E&#10;AAAOAAAAAAAAAAAAAAAAAC4CAABkcnMvZTJvRG9jLnhtbFBLAQItABQABgAIAAAAIQD8pn6y2gAA&#10;AAMBAAAPAAAAAAAAAAAAAAAAAGgEAABkcnMvZG93bnJldi54bWxQSwUGAAAAAAQABADzAAAAbwUA&#10;AAAA&#10;" filled="f" stroked="f">
              <v:textbox style="mso-fit-shape-to-text:t" inset="0,15pt,0,0">
                <w:txbxContent>
                  <w:p w14:paraId="1721BDA5" w14:textId="047523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9F419E">
      <w:rPr>
        <w:i/>
        <w:iCs/>
      </w:rPr>
      <w:t>Neoramulariopsis</w:t>
    </w:r>
    <w:proofErr w:type="spellEnd"/>
    <w:r w:rsidR="009F419E" w:rsidRPr="009F419E">
      <w:rPr>
        <w:i/>
        <w:iCs/>
      </w:rPr>
      <w:t xml:space="preserve"> unguis-cati</w:t>
    </w:r>
    <w:r w:rsidR="009F419E" w:rsidRPr="009F419E">
      <w:t xml:space="preserve"> </w:t>
    </w:r>
    <w:r w:rsidR="00A61FE8">
      <w:t>final</w:t>
    </w:r>
    <w:r w:rsidR="009F419E" w:rsidRPr="009F419E">
      <w:t xml:space="preserve"> risk analysis</w:t>
    </w:r>
    <w:r w:rsidR="009D2A7D">
      <w:tab/>
      <w:t>Introduction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7E115" w14:textId="0AC22465" w:rsidR="00DE7269" w:rsidRDefault="00DE7269">
    <w:pPr>
      <w:pStyle w:val="Header"/>
    </w:pPr>
    <w:r>
      <w:rPr>
        <w:noProof/>
      </w:rPr>
      <mc:AlternateContent>
        <mc:Choice Requires="wps">
          <w:drawing>
            <wp:anchor distT="0" distB="0" distL="0" distR="0" simplePos="0" relativeHeight="251658255" behindDoc="0" locked="0" layoutInCell="1" allowOverlap="1" wp14:anchorId="53CA8909" wp14:editId="0D957987">
              <wp:simplePos x="635" y="635"/>
              <wp:positionH relativeFrom="page">
                <wp:align>center</wp:align>
              </wp:positionH>
              <wp:positionV relativeFrom="page">
                <wp:align>top</wp:align>
              </wp:positionV>
              <wp:extent cx="551815" cy="404495"/>
              <wp:effectExtent l="0" t="0" r="635" b="14605"/>
              <wp:wrapNone/>
              <wp:docPr id="17340625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F91FCD" w14:textId="0245D76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CA8909" id="_x0000_t202" coordsize="21600,21600" o:spt="202" path="m,l,21600r21600,l21600,xe">
              <v:stroke joinstyle="miter"/>
              <v:path gradientshapeok="t" o:connecttype="rect"/>
            </v:shapetype>
            <v:shape id="Text Box 16" o:spid="_x0000_s1060" type="#_x0000_t202" alt="OFFICIAL" style="position:absolute;left:0;text-align:left;margin-left:0;margin-top:0;width:43.45pt;height:31.8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F1Dw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fp2P4W6iNO5WBYuLd81WLtNfPhiTncMA6C&#10;qg2PeEgFXUXhZFHSgPv9kT/mI/EYpaRDxVTUoKQpUT8NLiSKKxnFTT7L8eZG93Y0zF7fAeqwwCdh&#10;eTJjXlCjKR3oF9TzMhbCEDMcy1U0jOZdGKSL74GL5TIloY4sC2uzsTxCR74imc/9C3P2xHjAVT3A&#10;KCdWviF+yI1/ervcB6Q/bSVyOxB5ohw1mPZ6ei9R5K/vKevyqhd/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a2VhdQ8CAAAd&#10;BAAADgAAAAAAAAAAAAAAAAAuAgAAZHJzL2Uyb0RvYy54bWxQSwECLQAUAAYACAAAACEA/KZ+stoA&#10;AAADAQAADwAAAAAAAAAAAAAAAABpBAAAZHJzL2Rvd25yZXYueG1sUEsFBgAAAAAEAAQA8wAAAHAF&#10;AAAAAA==&#10;" filled="f" stroked="f">
              <v:textbox style="mso-fit-shape-to-text:t" inset="0,15pt,0,0">
                <w:txbxContent>
                  <w:p w14:paraId="3AF91FCD" w14:textId="0245D76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6813" w14:textId="75006CED" w:rsidR="00DE7269" w:rsidRDefault="00DE7269">
    <w:pPr>
      <w:pStyle w:val="Header"/>
    </w:pPr>
    <w:r>
      <w:rPr>
        <w:noProof/>
      </w:rPr>
      <mc:AlternateContent>
        <mc:Choice Requires="wps">
          <w:drawing>
            <wp:anchor distT="0" distB="0" distL="0" distR="0" simplePos="0" relativeHeight="251658259" behindDoc="0" locked="0" layoutInCell="1" allowOverlap="1" wp14:anchorId="6E0E0F33" wp14:editId="1AEBCD4D">
              <wp:simplePos x="635" y="635"/>
              <wp:positionH relativeFrom="page">
                <wp:align>center</wp:align>
              </wp:positionH>
              <wp:positionV relativeFrom="page">
                <wp:align>top</wp:align>
              </wp:positionV>
              <wp:extent cx="551815" cy="404495"/>
              <wp:effectExtent l="0" t="0" r="635" b="14605"/>
              <wp:wrapNone/>
              <wp:docPr id="197104792"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E6C229" w14:textId="27B3953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0E0F33" id="_x0000_t202" coordsize="21600,21600" o:spt="202" path="m,l,21600r21600,l21600,xe">
              <v:stroke joinstyle="miter"/>
              <v:path gradientshapeok="t" o:connecttype="rect"/>
            </v:shapetype>
            <v:shape id="Text Box 20" o:spid="_x0000_s1062" type="#_x0000_t202" alt="OFFICIAL" style="position:absolute;left:0;text-align:left;margin-left:0;margin-top:0;width:43.45pt;height:31.8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sRsEDg8CAAAd&#10;BAAADgAAAAAAAAAAAAAAAAAuAgAAZHJzL2Uyb0RvYy54bWxQSwECLQAUAAYACAAAACEA/KZ+stoA&#10;AAADAQAADwAAAAAAAAAAAAAAAABpBAAAZHJzL2Rvd25yZXYueG1sUEsFBgAAAAAEAAQA8wAAAHAF&#10;AAAAAA==&#10;" filled="f" stroked="f">
              <v:textbox style="mso-fit-shape-to-text:t" inset="0,15pt,0,0">
                <w:txbxContent>
                  <w:p w14:paraId="58E6C229" w14:textId="27B3953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35DE" w14:textId="48CDA34C" w:rsidR="009D2A7D" w:rsidRDefault="00DE7269">
    <w:pPr>
      <w:pStyle w:val="Header"/>
      <w:tabs>
        <w:tab w:val="clear" w:pos="4820"/>
        <w:tab w:val="center" w:pos="8505"/>
      </w:tabs>
      <w:jc w:val="left"/>
    </w:pPr>
    <w:r>
      <w:rPr>
        <w:noProof/>
      </w:rPr>
      <mc:AlternateContent>
        <mc:Choice Requires="wps">
          <w:drawing>
            <wp:anchor distT="0" distB="0" distL="0" distR="0" simplePos="0" relativeHeight="251658242" behindDoc="0" locked="0" layoutInCell="1" allowOverlap="1" wp14:anchorId="2CF4B409" wp14:editId="09C6A2BB">
              <wp:simplePos x="901065" y="360680"/>
              <wp:positionH relativeFrom="page">
                <wp:align>center</wp:align>
              </wp:positionH>
              <wp:positionV relativeFrom="page">
                <wp:align>top</wp:align>
              </wp:positionV>
              <wp:extent cx="551815" cy="404495"/>
              <wp:effectExtent l="0" t="0" r="635" b="14605"/>
              <wp:wrapNone/>
              <wp:docPr id="9942193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EB7D55" w14:textId="0D340FE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4B409"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8EB7D55" w14:textId="0D340FE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r w:rsidR="00A37233">
      <w:rPr>
        <w:noProof/>
      </w:rPr>
      <w:drawing>
        <wp:inline distT="0" distB="0" distL="0" distR="0" wp14:anchorId="771C6955" wp14:editId="109E3111">
          <wp:extent cx="2121535" cy="621665"/>
          <wp:effectExtent l="0" t="0" r="0" b="6985"/>
          <wp:docPr id="2" name="Picture 2" descr="Australian Government Department of Agriculture, Fisheries and Forestry c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Agriculture, Fisheries and Forestry cre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21665"/>
                  </a:xfrm>
                  <a:prstGeom prst="rect">
                    <a:avLst/>
                  </a:prstGeom>
                  <a:noFill/>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F8EA" w14:textId="2C5FB49D" w:rsidR="009D2A7D" w:rsidRDefault="00DE7269">
    <w:pPr>
      <w:pStyle w:val="Header"/>
      <w:tabs>
        <w:tab w:val="clear" w:pos="4820"/>
        <w:tab w:val="center" w:pos="8505"/>
        <w:tab w:val="center" w:pos="13041"/>
      </w:tabs>
      <w:jc w:val="left"/>
    </w:pPr>
    <w:r>
      <w:rPr>
        <w:i/>
        <w:iCs/>
        <w:noProof/>
      </w:rPr>
      <mc:AlternateContent>
        <mc:Choice Requires="wps">
          <w:drawing>
            <wp:anchor distT="0" distB="0" distL="0" distR="0" simplePos="0" relativeHeight="251658260" behindDoc="0" locked="0" layoutInCell="1" allowOverlap="1" wp14:anchorId="73C76D20" wp14:editId="60D02A42">
              <wp:simplePos x="898497" y="357809"/>
              <wp:positionH relativeFrom="page">
                <wp:align>center</wp:align>
              </wp:positionH>
              <wp:positionV relativeFrom="page">
                <wp:align>top</wp:align>
              </wp:positionV>
              <wp:extent cx="551815" cy="404495"/>
              <wp:effectExtent l="0" t="0" r="635" b="14605"/>
              <wp:wrapNone/>
              <wp:docPr id="731372337"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32B0AEB" w14:textId="154E96BE"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C76D20" id="_x0000_t202" coordsize="21600,21600" o:spt="202" path="m,l,21600r21600,l21600,xe">
              <v:stroke joinstyle="miter"/>
              <v:path gradientshapeok="t" o:connecttype="rect"/>
            </v:shapetype>
            <v:shape id="Text Box 21" o:spid="_x0000_s1063" type="#_x0000_t202" alt="OFFICIAL" style="position:absolute;margin-left:0;margin-top:0;width:43.45pt;height:31.8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3KS2Mw8CAAAd&#10;BAAADgAAAAAAAAAAAAAAAAAuAgAAZHJzL2Uyb0RvYy54bWxQSwECLQAUAAYACAAAACEA/KZ+stoA&#10;AAADAQAADwAAAAAAAAAAAAAAAABpBAAAZHJzL2Rvd25yZXYueG1sUEsFBgAAAAAEAAQA8wAAAHAF&#10;AAAAAA==&#10;" filled="f" stroked="f">
              <v:textbox style="mso-fit-shape-to-text:t" inset="0,15pt,0,0">
                <w:txbxContent>
                  <w:p w14:paraId="332B0AEB" w14:textId="154E96BE"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B57ECF">
      <w:rPr>
        <w:i/>
        <w:iCs/>
      </w:rPr>
      <w:t>Neoramulariopsis</w:t>
    </w:r>
    <w:proofErr w:type="spellEnd"/>
    <w:r w:rsidR="009F419E" w:rsidRPr="00B57ECF">
      <w:rPr>
        <w:i/>
        <w:iCs/>
      </w:rPr>
      <w:t xml:space="preserve"> unguis-cati</w:t>
    </w:r>
    <w:r w:rsidR="009F419E" w:rsidRPr="00B57ECF">
      <w:t xml:space="preserve"> </w:t>
    </w:r>
    <w:r w:rsidR="00A61FE8">
      <w:t>final</w:t>
    </w:r>
    <w:r w:rsidR="009F419E" w:rsidRPr="00B57ECF">
      <w:t xml:space="preserve"> risk analysis</w:t>
    </w:r>
    <w:r w:rsidR="009D2A7D">
      <w:tab/>
      <w:t>Method &amp; assessment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F5EA" w14:textId="239A6424" w:rsidR="00DE7269" w:rsidRDefault="00DE7269">
    <w:pPr>
      <w:pStyle w:val="Header"/>
    </w:pPr>
    <w:r>
      <w:rPr>
        <w:noProof/>
      </w:rPr>
      <mc:AlternateContent>
        <mc:Choice Requires="wps">
          <w:drawing>
            <wp:anchor distT="0" distB="0" distL="0" distR="0" simplePos="0" relativeHeight="251658258" behindDoc="0" locked="0" layoutInCell="1" allowOverlap="1" wp14:anchorId="2530BF78" wp14:editId="2BDC2D77">
              <wp:simplePos x="635" y="635"/>
              <wp:positionH relativeFrom="page">
                <wp:align>center</wp:align>
              </wp:positionH>
              <wp:positionV relativeFrom="page">
                <wp:align>top</wp:align>
              </wp:positionV>
              <wp:extent cx="551815" cy="404495"/>
              <wp:effectExtent l="0" t="0" r="635" b="14605"/>
              <wp:wrapNone/>
              <wp:docPr id="171757308"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5716AFE" w14:textId="0B22502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0BF78" id="_x0000_t202" coordsize="21600,21600" o:spt="202" path="m,l,21600r21600,l21600,xe">
              <v:stroke joinstyle="miter"/>
              <v:path gradientshapeok="t" o:connecttype="rect"/>
            </v:shapetype>
            <v:shape id="Text Box 19" o:spid="_x0000_s1066" type="#_x0000_t202" alt="OFFICIAL" style="position:absolute;left:0;text-align:left;margin-left:0;margin-top:0;width:43.45pt;height:31.8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Ia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xaf291CfcSoHw8K95ZsWa2+ZDy/M4YZxEFRt&#10;eMZDKugqCqNFSQPux9/8MR+JxyglHSqmogYlTYn6ZnAhUVzJKO7yRY43N7n3k2GO+gFQhwU+CcuT&#10;GfOCmkzpQL+hntexEIaY4ViuomEyH8IgXXwPXKzXKQl1ZFnYmp3lETryFcl87d+YsyPjAVf1BJOc&#10;WPmO+CE3/unt+hiQ/rSVyO1A5Eg5ajDtdXwvUeS/3lPW9VW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nUEhoNAgAAHQQA&#10;AA4AAAAAAAAAAAAAAAAALgIAAGRycy9lMm9Eb2MueG1sUEsBAi0AFAAGAAgAAAAhAPymfrLaAAAA&#10;AwEAAA8AAAAAAAAAAAAAAAAAZwQAAGRycy9kb3ducmV2LnhtbFBLBQYAAAAABAAEAPMAAABuBQAA&#10;AAA=&#10;" filled="f" stroked="f">
              <v:textbox style="mso-fit-shape-to-text:t" inset="0,15pt,0,0">
                <w:txbxContent>
                  <w:p w14:paraId="25716AFE" w14:textId="0B22502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2BD23" w14:textId="2588BB43" w:rsidR="00DE7269" w:rsidRDefault="00DE7269">
    <w:pPr>
      <w:pStyle w:val="Header"/>
    </w:pPr>
    <w:r>
      <w:rPr>
        <w:noProof/>
      </w:rPr>
      <mc:AlternateContent>
        <mc:Choice Requires="wps">
          <w:drawing>
            <wp:anchor distT="0" distB="0" distL="0" distR="0" simplePos="0" relativeHeight="251658262" behindDoc="0" locked="0" layoutInCell="1" allowOverlap="1" wp14:anchorId="38E7C78B" wp14:editId="0D4D5A08">
              <wp:simplePos x="635" y="635"/>
              <wp:positionH relativeFrom="page">
                <wp:align>center</wp:align>
              </wp:positionH>
              <wp:positionV relativeFrom="page">
                <wp:align>top</wp:align>
              </wp:positionV>
              <wp:extent cx="551815" cy="404495"/>
              <wp:effectExtent l="0" t="0" r="635" b="14605"/>
              <wp:wrapNone/>
              <wp:docPr id="183021694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DA0737" w14:textId="6553A84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E7C78B" id="_x0000_t202" coordsize="21600,21600" o:spt="202" path="m,l,21600r21600,l21600,xe">
              <v:stroke joinstyle="miter"/>
              <v:path gradientshapeok="t" o:connecttype="rect"/>
            </v:shapetype>
            <v:shape id="Text Box 23" o:spid="_x0000_s1068" type="#_x0000_t202" alt="OFFICIAL" style="position:absolute;left:0;text-align:left;margin-left:0;margin-top:0;width:43.45pt;height:31.8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dh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ZYfDq2v4P6hFM5GBbuLV+3WHvDfHhhDjeMg6Bq&#10;wzMeUkFXUThblDTgfv7LH/OReIxS0qFiKmpQ0pSo7wYXEsWVjOI2n+d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DqndhDgIAAB0E&#10;AAAOAAAAAAAAAAAAAAAAAC4CAABkcnMvZTJvRG9jLnhtbFBLAQItABQABgAIAAAAIQD8pn6y2gAA&#10;AAMBAAAPAAAAAAAAAAAAAAAAAGgEAABkcnMvZG93bnJldi54bWxQSwUGAAAAAAQABADzAAAAbwUA&#10;AAAA&#10;" filled="f" stroked="f">
              <v:textbox style="mso-fit-shape-to-text:t" inset="0,15pt,0,0">
                <w:txbxContent>
                  <w:p w14:paraId="36DA0737" w14:textId="6553A84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FB3E3" w14:textId="0984AF84" w:rsidR="009D2A7D" w:rsidRDefault="00DE7269">
    <w:pPr>
      <w:pStyle w:val="Header"/>
      <w:tabs>
        <w:tab w:val="clear" w:pos="4820"/>
        <w:tab w:val="center" w:pos="8505"/>
        <w:tab w:val="center" w:pos="13041"/>
      </w:tabs>
      <w:jc w:val="left"/>
    </w:pPr>
    <w:r>
      <w:rPr>
        <w:i/>
        <w:iCs/>
        <w:noProof/>
      </w:rPr>
      <mc:AlternateContent>
        <mc:Choice Requires="wps">
          <w:drawing>
            <wp:anchor distT="0" distB="0" distL="0" distR="0" simplePos="0" relativeHeight="251658263" behindDoc="0" locked="0" layoutInCell="1" allowOverlap="1" wp14:anchorId="68D4D3EB" wp14:editId="483DB179">
              <wp:simplePos x="635" y="635"/>
              <wp:positionH relativeFrom="page">
                <wp:align>center</wp:align>
              </wp:positionH>
              <wp:positionV relativeFrom="page">
                <wp:align>top</wp:align>
              </wp:positionV>
              <wp:extent cx="551815" cy="404495"/>
              <wp:effectExtent l="0" t="0" r="635" b="14605"/>
              <wp:wrapNone/>
              <wp:docPr id="12040393"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76790B3" w14:textId="5B2725E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D4D3EB" id="_x0000_t202" coordsize="21600,21600" o:spt="202" path="m,l,21600r21600,l21600,xe">
              <v:stroke joinstyle="miter"/>
              <v:path gradientshapeok="t" o:connecttype="rect"/>
            </v:shapetype>
            <v:shape id="Text Box 24" o:spid="_x0000_s1069" type="#_x0000_t202" alt="OFFICIAL" style="position:absolute;margin-left:0;margin-top:0;width:43.45pt;height:31.8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Vc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4l/H9rdQH3EqB8PCveWrFmuvmQ9PzOGGcRBU&#10;bXjEQyroKgoni5IG3O+P/DEficcoJR0qpqIGJU2J+mlwIVFcyShu8lmONze6t6Nh9voOUIcFPgnL&#10;kxnzghpN6UC/oJ6XsRCGmOFYrqJhNO/CIF18D1wslykJdWRZWJuN5RE68hXJfO5fmLMnxgOu6gFG&#10;ObHyDfFDbvzT2+U+IP1pK5HbgcgT5ajBtNfTe4kif31PWZdXvfgD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uFcVcDgIAAB0E&#10;AAAOAAAAAAAAAAAAAAAAAC4CAABkcnMvZTJvRG9jLnhtbFBLAQItABQABgAIAAAAIQD8pn6y2gAA&#10;AAMBAAAPAAAAAAAAAAAAAAAAAGgEAABkcnMvZG93bnJldi54bWxQSwUGAAAAAAQABADzAAAAbwUA&#10;AAAA&#10;" filled="f" stroked="f">
              <v:textbox style="mso-fit-shape-to-text:t" inset="0,15pt,0,0">
                <w:txbxContent>
                  <w:p w14:paraId="776790B3" w14:textId="5B2725E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B57ECF">
      <w:rPr>
        <w:i/>
        <w:iCs/>
      </w:rPr>
      <w:t>Neoramulariopsis</w:t>
    </w:r>
    <w:proofErr w:type="spellEnd"/>
    <w:r w:rsidR="009F419E" w:rsidRPr="00B57ECF">
      <w:rPr>
        <w:i/>
        <w:iCs/>
      </w:rPr>
      <w:t xml:space="preserve"> unguis-cati</w:t>
    </w:r>
    <w:r w:rsidR="009F419E" w:rsidRPr="00B57ECF">
      <w:t xml:space="preserve"> </w:t>
    </w:r>
    <w:r w:rsidR="00A61FE8">
      <w:t>final</w:t>
    </w:r>
    <w:r w:rsidR="009F419E" w:rsidRPr="00B57ECF">
      <w:t xml:space="preserve"> risk analysis</w:t>
    </w:r>
    <w:r w:rsidR="009D2A7D">
      <w:tab/>
      <w:t>Conclusion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347E" w14:textId="6EA0AFE4" w:rsidR="00DE7269" w:rsidRDefault="00DE7269">
    <w:pPr>
      <w:pStyle w:val="Header"/>
    </w:pPr>
    <w:r>
      <w:rPr>
        <w:noProof/>
      </w:rPr>
      <mc:AlternateContent>
        <mc:Choice Requires="wps">
          <w:drawing>
            <wp:anchor distT="0" distB="0" distL="0" distR="0" simplePos="0" relativeHeight="251658261" behindDoc="0" locked="0" layoutInCell="1" allowOverlap="1" wp14:anchorId="4A6906FC" wp14:editId="7AB66AAB">
              <wp:simplePos x="635" y="635"/>
              <wp:positionH relativeFrom="page">
                <wp:align>center</wp:align>
              </wp:positionH>
              <wp:positionV relativeFrom="page">
                <wp:align>top</wp:align>
              </wp:positionV>
              <wp:extent cx="551815" cy="404495"/>
              <wp:effectExtent l="0" t="0" r="635" b="14605"/>
              <wp:wrapNone/>
              <wp:docPr id="56566251"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5CE39C9" w14:textId="738BAA8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906FC" id="_x0000_t202" coordsize="21600,21600" o:spt="202" path="m,l,21600r21600,l21600,xe">
              <v:stroke joinstyle="miter"/>
              <v:path gradientshapeok="t" o:connecttype="rect"/>
            </v:shapetype>
            <v:shape id="Text Box 22" o:spid="_x0000_s1072" type="#_x0000_t202" alt="OFFICIAL" style="position:absolute;left:0;text-align:left;margin-left:0;margin-top:0;width:43.45pt;height:31.8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2X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8eux/S3UR5zKwbBwb/mqxdpr5sMzc7hhHARV&#10;G57wkAq6isLJoqQB9/szf8xH4jFKSYeKqahBSVOifhpcSBRXMorbfJbjzY3u7WiYvb4H1GGBT8Ly&#10;ZMa8oEZTOtCvqOdlLIQhZjiWq2gYzfswSBffAxfLZUpCHVkW1mZjeYSOfEUyX/pX5uyJ8YCreoRR&#10;Tqx8R/yQG//0drkPSH/aSuR2IPJEOWow7fX0XqLI395T1uVV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3V72XDgIAAB0E&#10;AAAOAAAAAAAAAAAAAAAAAC4CAABkcnMvZTJvRG9jLnhtbFBLAQItABQABgAIAAAAIQD8pn6y2gAA&#10;AAMBAAAPAAAAAAAAAAAAAAAAAGgEAABkcnMvZG93bnJldi54bWxQSwUGAAAAAAQABADzAAAAbwUA&#10;AAAA&#10;" filled="f" stroked="f">
              <v:textbox style="mso-fit-shape-to-text:t" inset="0,15pt,0,0">
                <w:txbxContent>
                  <w:p w14:paraId="25CE39C9" w14:textId="738BAA8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8611D" w14:textId="496C6E09" w:rsidR="00DE7269" w:rsidRDefault="00DE7269">
    <w:pPr>
      <w:pStyle w:val="Header"/>
    </w:pPr>
    <w:r>
      <w:rPr>
        <w:noProof/>
      </w:rPr>
      <mc:AlternateContent>
        <mc:Choice Requires="wps">
          <w:drawing>
            <wp:anchor distT="0" distB="0" distL="0" distR="0" simplePos="0" relativeHeight="251658265" behindDoc="0" locked="0" layoutInCell="1" allowOverlap="1" wp14:anchorId="0BE8EE6B" wp14:editId="4D8BC09E">
              <wp:simplePos x="635" y="635"/>
              <wp:positionH relativeFrom="page">
                <wp:align>center</wp:align>
              </wp:positionH>
              <wp:positionV relativeFrom="page">
                <wp:align>top</wp:align>
              </wp:positionV>
              <wp:extent cx="551815" cy="404495"/>
              <wp:effectExtent l="0" t="0" r="635" b="14605"/>
              <wp:wrapNone/>
              <wp:docPr id="23086882"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708893" w14:textId="00342761"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E8EE6B" id="_x0000_t202" coordsize="21600,21600" o:spt="202" path="m,l,21600r21600,l21600,xe">
              <v:stroke joinstyle="miter"/>
              <v:path gradientshapeok="t" o:connecttype="rect"/>
            </v:shapetype>
            <v:shape id="Text Box 26" o:spid="_x0000_s1074" type="#_x0000_t202" alt="OFFICIAL" style="position:absolute;left:0;text-align:left;margin-left:0;margin-top:0;width:43.45pt;height:31.8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Ys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ZYfD62v4P6hFM5GBbuLV+3WHvDfHhhDjeMg6Bq&#10;wzMeUkFXUThblDTgfv7LH/OReIxS0qFiKmpQ0pSo7wYXEsWVjOI2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wKfYsDgIAAB0E&#10;AAAOAAAAAAAAAAAAAAAAAC4CAABkcnMvZTJvRG9jLnhtbFBLAQItABQABgAIAAAAIQD8pn6y2gAA&#10;AAMBAAAPAAAAAAAAAAAAAAAAAGgEAABkcnMvZG93bnJldi54bWxQSwUGAAAAAAQABADzAAAAbwUA&#10;AAAA&#10;" filled="f" stroked="f">
              <v:textbox style="mso-fit-shape-to-text:t" inset="0,15pt,0,0">
                <w:txbxContent>
                  <w:p w14:paraId="28708893" w14:textId="00342761"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9AEDF" w14:textId="5FC62AFB" w:rsidR="009D2A7D" w:rsidRDefault="00DE7269">
    <w:pPr>
      <w:pStyle w:val="Header"/>
      <w:tabs>
        <w:tab w:val="clear" w:pos="4820"/>
        <w:tab w:val="center" w:pos="8505"/>
        <w:tab w:val="center" w:pos="13041"/>
      </w:tabs>
      <w:jc w:val="left"/>
    </w:pPr>
    <w:r>
      <w:rPr>
        <w:i/>
        <w:iCs/>
        <w:noProof/>
      </w:rPr>
      <mc:AlternateContent>
        <mc:Choice Requires="wps">
          <w:drawing>
            <wp:anchor distT="0" distB="0" distL="0" distR="0" simplePos="0" relativeHeight="251658266" behindDoc="0" locked="0" layoutInCell="1" allowOverlap="1" wp14:anchorId="2FDCBEE0" wp14:editId="00E2A581">
              <wp:simplePos x="635" y="635"/>
              <wp:positionH relativeFrom="page">
                <wp:align>center</wp:align>
              </wp:positionH>
              <wp:positionV relativeFrom="page">
                <wp:align>top</wp:align>
              </wp:positionV>
              <wp:extent cx="551815" cy="404495"/>
              <wp:effectExtent l="0" t="0" r="635" b="14605"/>
              <wp:wrapNone/>
              <wp:docPr id="561630130"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46EB979" w14:textId="66CE3D1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DCBEE0" id="_x0000_t202" coordsize="21600,21600" o:spt="202" path="m,l,21600r21600,l21600,xe">
              <v:stroke joinstyle="miter"/>
              <v:path gradientshapeok="t" o:connecttype="rect"/>
            </v:shapetype>
            <v:shape id="Text Box 27" o:spid="_x0000_s1075" type="#_x0000_t202" alt="OFFICIAL" style="position:absolute;margin-left:0;margin-top:0;width:43.45pt;height:31.85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QR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Hxsfwf1CadyMCzcW75usfaG+fDCHG4YB0HV&#10;hmc8pIKuonC2KGnA/fyXP+Yj8RilpEPFVNSgpClR3w0uJIorGcU8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dlkQRDgIAAB0E&#10;AAAOAAAAAAAAAAAAAAAAAC4CAABkcnMvZTJvRG9jLnhtbFBLAQItABQABgAIAAAAIQD8pn6y2gAA&#10;AAMBAAAPAAAAAAAAAAAAAAAAAGgEAABkcnMvZG93bnJldi54bWxQSwUGAAAAAAQABADzAAAAbwUA&#10;AAAA&#10;" filled="f" stroked="f">
              <v:textbox style="mso-fit-shape-to-text:t" inset="0,15pt,0,0">
                <w:txbxContent>
                  <w:p w14:paraId="446EB979" w14:textId="66CE3D1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B57ECF">
      <w:rPr>
        <w:i/>
        <w:iCs/>
      </w:rPr>
      <w:t>Neoramulariopsis</w:t>
    </w:r>
    <w:proofErr w:type="spellEnd"/>
    <w:r w:rsidR="009F419E" w:rsidRPr="00B57ECF">
      <w:rPr>
        <w:i/>
        <w:iCs/>
      </w:rPr>
      <w:t xml:space="preserve"> unguis-cati</w:t>
    </w:r>
    <w:r w:rsidR="009F419E" w:rsidRPr="00B57ECF">
      <w:t xml:space="preserve"> </w:t>
    </w:r>
    <w:r w:rsidR="00A61FE8">
      <w:t>final</w:t>
    </w:r>
    <w:r w:rsidR="009F419E" w:rsidRPr="00B57ECF">
      <w:t xml:space="preserve"> risk analysis</w:t>
    </w:r>
    <w:r w:rsidR="009D2A7D">
      <w:tab/>
      <w:t>Appendix 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4B22C" w14:textId="424E1AF1" w:rsidR="00DE7269" w:rsidRDefault="00DE7269">
    <w:pPr>
      <w:pStyle w:val="Header"/>
    </w:pPr>
    <w:r>
      <w:rPr>
        <w:noProof/>
      </w:rPr>
      <mc:AlternateContent>
        <mc:Choice Requires="wps">
          <w:drawing>
            <wp:anchor distT="0" distB="0" distL="0" distR="0" simplePos="0" relativeHeight="251658264" behindDoc="0" locked="0" layoutInCell="1" allowOverlap="1" wp14:anchorId="5C60DC9A" wp14:editId="6C3E900A">
              <wp:simplePos x="635" y="635"/>
              <wp:positionH relativeFrom="page">
                <wp:align>center</wp:align>
              </wp:positionH>
              <wp:positionV relativeFrom="page">
                <wp:align>top</wp:align>
              </wp:positionV>
              <wp:extent cx="551815" cy="404495"/>
              <wp:effectExtent l="0" t="0" r="635" b="14605"/>
              <wp:wrapNone/>
              <wp:docPr id="204713367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B551F32" w14:textId="4B9AA50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60DC9A" id="_x0000_t202" coordsize="21600,21600" o:spt="202" path="m,l,21600r21600,l21600,xe">
              <v:stroke joinstyle="miter"/>
              <v:path gradientshapeok="t" o:connecttype="rect"/>
            </v:shapetype>
            <v:shape id="Text Box 25" o:spid="_x0000_s1078" type="#_x0000_t202" alt="OFFICIAL" style="position:absolute;left:0;text-align:left;margin-left:0;margin-top:0;width:43.45pt;height:31.8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lS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yH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ZBUlSDgIAAB0E&#10;AAAOAAAAAAAAAAAAAAAAAC4CAABkcnMvZTJvRG9jLnhtbFBLAQItABQABgAIAAAAIQD8pn6y2gAA&#10;AAMBAAAPAAAAAAAAAAAAAAAAAGgEAABkcnMvZG93bnJldi54bWxQSwUGAAAAAAQABADzAAAAbwUA&#10;AAAA&#10;" filled="f" stroked="f">
              <v:textbox style="mso-fit-shape-to-text:t" inset="0,15pt,0,0">
                <w:txbxContent>
                  <w:p w14:paraId="3B551F32" w14:textId="4B9AA50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6AB0" w14:textId="5188D720" w:rsidR="00DE7269" w:rsidRDefault="00DE7269">
    <w:pPr>
      <w:pStyle w:val="Header"/>
    </w:pPr>
    <w:r>
      <w:rPr>
        <w:noProof/>
      </w:rPr>
      <mc:AlternateContent>
        <mc:Choice Requires="wps">
          <w:drawing>
            <wp:anchor distT="0" distB="0" distL="0" distR="0" simplePos="0" relativeHeight="251658268" behindDoc="0" locked="0" layoutInCell="1" allowOverlap="1" wp14:anchorId="42BA81DC" wp14:editId="1D1B09B5">
              <wp:simplePos x="635" y="635"/>
              <wp:positionH relativeFrom="page">
                <wp:align>center</wp:align>
              </wp:positionH>
              <wp:positionV relativeFrom="page">
                <wp:align>top</wp:align>
              </wp:positionV>
              <wp:extent cx="551815" cy="404495"/>
              <wp:effectExtent l="0" t="0" r="635" b="14605"/>
              <wp:wrapNone/>
              <wp:docPr id="642092997"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BC5DB9A" w14:textId="60865E9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BA81DC" id="_x0000_t202" coordsize="21600,21600" o:spt="202" path="m,l,21600r21600,l21600,xe">
              <v:stroke joinstyle="miter"/>
              <v:path gradientshapeok="t" o:connecttype="rect"/>
            </v:shapetype>
            <v:shape id="Text Box 29" o:spid="_x0000_s1080" type="#_x0000_t202" alt="OFFICIAL" style="position:absolute;left:0;text-align:left;margin-left:0;margin-top:0;width:43.45pt;height:31.8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bfDg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uZT+3uozziVg2Hh3vJNi7W3zIcX5nDDOAiq&#10;NjzjIRV0FYXRoqQB9+Nv/piPxGOUkg4VU1GDkqZEfTO4kCiuZBR3+SLHm5vc+8kwR/0AqMMCn4Tl&#10;yYx5QU2mdKDfUM/rWAhDzHAsV9EwmQ9hkC6+By7W65SEOrIsbM3O8ggd+YpkvvZvzNmR8YCreoJJ&#10;Tqx8R/yQG//0dn0MSH/aSuR2IHKkHDWY9jq+lyjyX+8p6/qqVz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3hubfDgIAAB0E&#10;AAAOAAAAAAAAAAAAAAAAAC4CAABkcnMvZTJvRG9jLnhtbFBLAQItABQABgAIAAAAIQD8pn6y2gAA&#10;AAMBAAAPAAAAAAAAAAAAAAAAAGgEAABkcnMvZG93bnJldi54bWxQSwUGAAAAAAQABADzAAAAbwUA&#10;AAAA&#10;" filled="f" stroked="f">
              <v:textbox style="mso-fit-shape-to-text:t" inset="0,15pt,0,0">
                <w:txbxContent>
                  <w:p w14:paraId="2BC5DB9A" w14:textId="60865E9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AC9C" w14:textId="09B1BE38" w:rsidR="009D2A7D" w:rsidRDefault="00DE7269">
    <w:pPr>
      <w:pStyle w:val="Header"/>
      <w:tabs>
        <w:tab w:val="clear" w:pos="4820"/>
        <w:tab w:val="center" w:pos="8505"/>
        <w:tab w:val="center" w:pos="13041"/>
      </w:tabs>
      <w:jc w:val="left"/>
    </w:pPr>
    <w:r>
      <w:rPr>
        <w:i/>
        <w:iCs/>
        <w:noProof/>
      </w:rPr>
      <mc:AlternateContent>
        <mc:Choice Requires="wps">
          <w:drawing>
            <wp:anchor distT="0" distB="0" distL="0" distR="0" simplePos="0" relativeHeight="251658269" behindDoc="0" locked="0" layoutInCell="1" allowOverlap="1" wp14:anchorId="6E8D076E" wp14:editId="66CADFD9">
              <wp:simplePos x="635" y="635"/>
              <wp:positionH relativeFrom="page">
                <wp:align>center</wp:align>
              </wp:positionH>
              <wp:positionV relativeFrom="page">
                <wp:align>top</wp:align>
              </wp:positionV>
              <wp:extent cx="551815" cy="404495"/>
              <wp:effectExtent l="0" t="0" r="635" b="14605"/>
              <wp:wrapNone/>
              <wp:docPr id="24803902"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4366BD7" w14:textId="76D4012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8D076E" id="_x0000_t202" coordsize="21600,21600" o:spt="202" path="m,l,21600r21600,l21600,xe">
              <v:stroke joinstyle="miter"/>
              <v:path gradientshapeok="t" o:connecttype="rect"/>
            </v:shapetype>
            <v:shape id="Text Box 30" o:spid="_x0000_s1081" type="#_x0000_t202" alt="OFFICIAL" style="position:absolute;margin-left:0;margin-top:0;width:43.45pt;height:31.85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Ti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jUzt76E+41QOhoV7yzct1t4yH16Yww3jIKja&#10;8IyHVNBVFEaLkgbcj7/5Yz4Sj1FKOlRMRQ1KmhL1zeBCoriSUdzlixxvbnLvJ8Mc9QOgDgt8EpYn&#10;M+YFNZnSgX5DPa9jIQwxw7FcRcNkPoRBuvgeuFivUxLqyLKwNTvLI3TkK5L52r8xZ0fGA67qCSY5&#10;sfId8UNu/NPb9TEg/WkrkduByJFy1GDa6/heosh/vaes66te/QQ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No5VOINAgAAHQQA&#10;AA4AAAAAAAAAAAAAAAAALgIAAGRycy9lMm9Eb2MueG1sUEsBAi0AFAAGAAgAAAAhAPymfrLaAAAA&#10;AwEAAA8AAAAAAAAAAAAAAAAAZwQAAGRycy9kb3ducmV2LnhtbFBLBQYAAAAABAAEAPMAAABuBQAA&#10;AAA=&#10;" filled="f" stroked="f">
              <v:textbox style="mso-fit-shape-to-text:t" inset="0,15pt,0,0">
                <w:txbxContent>
                  <w:p w14:paraId="44366BD7" w14:textId="76D4012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B57ECF">
      <w:rPr>
        <w:i/>
        <w:iCs/>
      </w:rPr>
      <w:t>Neoramulariopsis</w:t>
    </w:r>
    <w:proofErr w:type="spellEnd"/>
    <w:r w:rsidR="009F419E" w:rsidRPr="00B57ECF">
      <w:rPr>
        <w:i/>
        <w:iCs/>
      </w:rPr>
      <w:t xml:space="preserve"> unguis-cati</w:t>
    </w:r>
    <w:r w:rsidR="009F419E" w:rsidRPr="00B57ECF">
      <w:t xml:space="preserve"> </w:t>
    </w:r>
    <w:r w:rsidR="00A61FE8">
      <w:t>final</w:t>
    </w:r>
    <w:r w:rsidR="009F419E" w:rsidRPr="00B57ECF">
      <w:t xml:space="preserve"> risk analysis</w:t>
    </w:r>
    <w:r w:rsidR="009D2A7D">
      <w:tab/>
    </w:r>
    <w:r w:rsidR="00F90DF4">
      <w:t>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019F9" w14:textId="20B4A2E1" w:rsidR="00DE7269" w:rsidRDefault="00DE7269">
    <w:pPr>
      <w:pStyle w:val="Header"/>
    </w:pPr>
    <w:r>
      <w:rPr>
        <w:noProof/>
      </w:rPr>
      <mc:AlternateContent>
        <mc:Choice Requires="wps">
          <w:drawing>
            <wp:anchor distT="0" distB="0" distL="0" distR="0" simplePos="0" relativeHeight="251658240" behindDoc="0" locked="0" layoutInCell="1" allowOverlap="1" wp14:anchorId="22FB3801" wp14:editId="4491DCC3">
              <wp:simplePos x="635" y="635"/>
              <wp:positionH relativeFrom="page">
                <wp:align>center</wp:align>
              </wp:positionH>
              <wp:positionV relativeFrom="page">
                <wp:align>top</wp:align>
              </wp:positionV>
              <wp:extent cx="551815" cy="404495"/>
              <wp:effectExtent l="0" t="0" r="635" b="14605"/>
              <wp:wrapNone/>
              <wp:docPr id="15680491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FCE39E5" w14:textId="258FFB7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FB3801"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7FCE39E5" w14:textId="258FFB7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2CB91" w14:textId="506BC59C" w:rsidR="00DE7269" w:rsidRDefault="00DE7269">
    <w:pPr>
      <w:pStyle w:val="Header"/>
    </w:pPr>
    <w:r>
      <w:rPr>
        <w:noProof/>
      </w:rPr>
      <mc:AlternateContent>
        <mc:Choice Requires="wps">
          <w:drawing>
            <wp:anchor distT="0" distB="0" distL="0" distR="0" simplePos="0" relativeHeight="251658267" behindDoc="0" locked="0" layoutInCell="1" allowOverlap="1" wp14:anchorId="18DA6B27" wp14:editId="79862878">
              <wp:simplePos x="635" y="635"/>
              <wp:positionH relativeFrom="page">
                <wp:align>center</wp:align>
              </wp:positionH>
              <wp:positionV relativeFrom="page">
                <wp:align>top</wp:align>
              </wp:positionV>
              <wp:extent cx="551815" cy="404495"/>
              <wp:effectExtent l="0" t="0" r="635" b="14605"/>
              <wp:wrapNone/>
              <wp:docPr id="1469842763"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7AA639" w14:textId="5F47AB0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DA6B27" id="_x0000_t202" coordsize="21600,21600" o:spt="202" path="m,l,21600r21600,l21600,xe">
              <v:stroke joinstyle="miter"/>
              <v:path gradientshapeok="t" o:connecttype="rect"/>
            </v:shapetype>
            <v:shape id="Text Box 28" o:spid="_x0000_s1084" type="#_x0000_t202" alt="OFFICIAL" style="position:absolute;left:0;text-align:left;margin-left:0;margin-top:0;width:43.45pt;height:31.8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gf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yH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qhsgfDgIAAB0E&#10;AAAOAAAAAAAAAAAAAAAAAC4CAABkcnMvZTJvRG9jLnhtbFBLAQItABQABgAIAAAAIQD8pn6y2gAA&#10;AAMBAAAPAAAAAAAAAAAAAAAAAGgEAABkcnMvZG93bnJldi54bWxQSwUGAAAAAAQABADzAAAAbwUA&#10;AAAA&#10;" filled="f" stroked="f">
              <v:textbox style="mso-fit-shape-to-text:t" inset="0,15pt,0,0">
                <w:txbxContent>
                  <w:p w14:paraId="3F7AA639" w14:textId="5F47AB0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2096B" w14:textId="2D051C97" w:rsidR="00DE7269" w:rsidRDefault="00DE7269">
    <w:pPr>
      <w:pStyle w:val="Header"/>
    </w:pPr>
    <w:r>
      <w:rPr>
        <w:noProof/>
      </w:rPr>
      <mc:AlternateContent>
        <mc:Choice Requires="wps">
          <w:drawing>
            <wp:anchor distT="0" distB="0" distL="0" distR="0" simplePos="0" relativeHeight="251658271" behindDoc="0" locked="0" layoutInCell="1" allowOverlap="1" wp14:anchorId="7B6F567F" wp14:editId="0E7E23C6">
              <wp:simplePos x="635" y="635"/>
              <wp:positionH relativeFrom="page">
                <wp:align>center</wp:align>
              </wp:positionH>
              <wp:positionV relativeFrom="page">
                <wp:align>top</wp:align>
              </wp:positionV>
              <wp:extent cx="551815" cy="404495"/>
              <wp:effectExtent l="0" t="0" r="635" b="14605"/>
              <wp:wrapNone/>
              <wp:docPr id="205411485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BB9F012" w14:textId="473BAFC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F567F" id="_x0000_t202" coordsize="21600,21600" o:spt="202" path="m,l,21600r21600,l21600,xe">
              <v:stroke joinstyle="miter"/>
              <v:path gradientshapeok="t" o:connecttype="rect"/>
            </v:shapetype>
            <v:shape id="Text Box 32" o:spid="_x0000_s1086" type="#_x0000_t202" alt="OFFICIAL" style="position:absolute;left:0;text-align:left;margin-left:0;margin-top:0;width:43.45pt;height:31.85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O2Kb3wNAgAAHQQA&#10;AA4AAAAAAAAAAAAAAAAALgIAAGRycy9lMm9Eb2MueG1sUEsBAi0AFAAGAAgAAAAhAPymfrLaAAAA&#10;AwEAAA8AAAAAAAAAAAAAAAAAZwQAAGRycy9kb3ducmV2LnhtbFBLBQYAAAAABAAEAPMAAABuBQAA&#10;AAA=&#10;" filled="f" stroked="f">
              <v:textbox style="mso-fit-shape-to-text:t" inset="0,15pt,0,0">
                <w:txbxContent>
                  <w:p w14:paraId="1BB9F012" w14:textId="473BAFC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0808" w14:textId="38268FD8" w:rsidR="00F90DF4" w:rsidRDefault="00DE7269">
    <w:pPr>
      <w:pStyle w:val="Header"/>
      <w:tabs>
        <w:tab w:val="clear" w:pos="4820"/>
        <w:tab w:val="center" w:pos="8505"/>
        <w:tab w:val="center" w:pos="13041"/>
      </w:tabs>
      <w:jc w:val="left"/>
    </w:pPr>
    <w:r>
      <w:rPr>
        <w:i/>
        <w:iCs/>
        <w:noProof/>
      </w:rPr>
      <mc:AlternateContent>
        <mc:Choice Requires="wps">
          <w:drawing>
            <wp:anchor distT="0" distB="0" distL="0" distR="0" simplePos="0" relativeHeight="251658272" behindDoc="0" locked="0" layoutInCell="1" allowOverlap="1" wp14:anchorId="5FCFB82B" wp14:editId="2FE3F35C">
              <wp:simplePos x="635" y="635"/>
              <wp:positionH relativeFrom="page">
                <wp:align>center</wp:align>
              </wp:positionH>
              <wp:positionV relativeFrom="page">
                <wp:align>top</wp:align>
              </wp:positionV>
              <wp:extent cx="551815" cy="404495"/>
              <wp:effectExtent l="0" t="0" r="635" b="14605"/>
              <wp:wrapNone/>
              <wp:docPr id="1808318010"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1A27B1" w14:textId="1871761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CFB82B" id="_x0000_t202" coordsize="21600,21600" o:spt="202" path="m,l,21600r21600,l21600,xe">
              <v:stroke joinstyle="miter"/>
              <v:path gradientshapeok="t" o:connecttype="rect"/>
            </v:shapetype>
            <v:shape id="Text Box 33" o:spid="_x0000_s1087" type="#_x0000_t202" alt="OFFICIAL" style="position:absolute;margin-left:0;margin-top:0;width:43.45pt;height:31.8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1B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Prc/hbqI07lYFi4t3zVYu018+GZOdwwDoKq&#10;DU94SAVdReFkUdKA+/2ZP+Yj8RilpEPFVNSgpClRPw0uJIorGcVtPsvx5kb3djTMXt8D6rDAJ2F5&#10;MmNeUKMpHehX1PMyFsIQMxzLVTSM5n0YpIvvgYvlMiWhjiwLa7OxPEJHviKZL/0rc/bEeMBVPcIo&#10;J1a+I37IjX96u9wHpD9tJXI7EHmiHDWY9np6L1Hkb+8p6/KqF3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ANd1BDgIAAB0E&#10;AAAOAAAAAAAAAAAAAAAAAC4CAABkcnMvZTJvRG9jLnhtbFBLAQItABQABgAIAAAAIQD8pn6y2gAA&#10;AAMBAAAPAAAAAAAAAAAAAAAAAGgEAABkcnMvZG93bnJldi54bWxQSwUGAAAAAAQABADzAAAAbwUA&#10;AAAA&#10;" filled="f" stroked="f">
              <v:textbox style="mso-fit-shape-to-text:t" inset="0,15pt,0,0">
                <w:txbxContent>
                  <w:p w14:paraId="3A1A27B1" w14:textId="1871761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B57ECF">
      <w:rPr>
        <w:i/>
        <w:iCs/>
      </w:rPr>
      <w:t>Neoramulariopsis</w:t>
    </w:r>
    <w:proofErr w:type="spellEnd"/>
    <w:r w:rsidR="009F419E" w:rsidRPr="00B57ECF">
      <w:rPr>
        <w:i/>
        <w:iCs/>
      </w:rPr>
      <w:t xml:space="preserve"> unguis-cati</w:t>
    </w:r>
    <w:r w:rsidR="009F419E" w:rsidRPr="00B57ECF">
      <w:t xml:space="preserve"> </w:t>
    </w:r>
    <w:r w:rsidR="00A61FE8">
      <w:t>final</w:t>
    </w:r>
    <w:r w:rsidR="009F419E" w:rsidRPr="00B57ECF">
      <w:t xml:space="preserve"> risk analysis</w:t>
    </w:r>
    <w:r w:rsidR="00F90DF4">
      <w:tab/>
      <w:t>References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3177" w14:textId="02DB2AC9" w:rsidR="00DE7269" w:rsidRDefault="00DE7269">
    <w:pPr>
      <w:pStyle w:val="Header"/>
    </w:pPr>
    <w:r>
      <w:rPr>
        <w:noProof/>
      </w:rPr>
      <mc:AlternateContent>
        <mc:Choice Requires="wps">
          <w:drawing>
            <wp:anchor distT="0" distB="0" distL="0" distR="0" simplePos="0" relativeHeight="251658270" behindDoc="0" locked="0" layoutInCell="1" allowOverlap="1" wp14:anchorId="39F271F7" wp14:editId="7B31BF0F">
              <wp:simplePos x="635" y="635"/>
              <wp:positionH relativeFrom="page">
                <wp:align>center</wp:align>
              </wp:positionH>
              <wp:positionV relativeFrom="page">
                <wp:align>top</wp:align>
              </wp:positionV>
              <wp:extent cx="551815" cy="404495"/>
              <wp:effectExtent l="0" t="0" r="635" b="14605"/>
              <wp:wrapNone/>
              <wp:docPr id="1955347173"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84B34B" w14:textId="49DF11C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F271F7" id="_x0000_t202" coordsize="21600,21600" o:spt="202" path="m,l,21600r21600,l21600,xe">
              <v:stroke joinstyle="miter"/>
              <v:path gradientshapeok="t" o:connecttype="rect"/>
            </v:shapetype>
            <v:shape id="Text Box 31" o:spid="_x0000_s1090" type="#_x0000_t202" alt="OFFICIAL" style="position:absolute;left:0;text-align:left;margin-left:0;margin-top:0;width:43.45pt;height:31.8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WKDw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o6tr+F+ohTORgW7i1ftVh7zXx4Zg43jIOg&#10;asMTHlJBV1E4WZQ04H5/5o/5SDxGKelQMRU1KGlK1E+DC4niSkZxm89yvLnRvR0Ns9f3gDos8ElY&#10;nsyYF9RoSgf6FfW8jIUwxAzHchUNo3kfBunie+BiuUxJqCPLwtpsLI/Qka9I5kv/ypw9MR5wVY8w&#10;yomV74gfcuOf3i73AelPW4ncDkSeKEcNpr2e3ksU+dt7yrq86sUf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WXelig8CAAAd&#10;BAAADgAAAAAAAAAAAAAAAAAuAgAAZHJzL2Uyb0RvYy54bWxQSwECLQAUAAYACAAAACEA/KZ+stoA&#10;AAADAQAADwAAAAAAAAAAAAAAAABpBAAAZHJzL2Rvd25yZXYueG1sUEsFBgAAAAAEAAQA8wAAAHAF&#10;AAAAAA==&#10;" filled="f" stroked="f">
              <v:textbox style="mso-fit-shape-to-text:t" inset="0,15pt,0,0">
                <w:txbxContent>
                  <w:p w14:paraId="3C84B34B" w14:textId="49DF11C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E933C" w14:textId="217EABB4" w:rsidR="00DE7269" w:rsidRDefault="00DE7269">
    <w:pPr>
      <w:pStyle w:val="Header"/>
    </w:pPr>
    <w:r>
      <w:rPr>
        <w:noProof/>
      </w:rPr>
      <mc:AlternateContent>
        <mc:Choice Requires="wps">
          <w:drawing>
            <wp:anchor distT="0" distB="0" distL="0" distR="0" simplePos="0" relativeHeight="251658244" behindDoc="0" locked="0" layoutInCell="1" allowOverlap="1" wp14:anchorId="33DDC35B" wp14:editId="797F2431">
              <wp:simplePos x="635" y="635"/>
              <wp:positionH relativeFrom="page">
                <wp:align>center</wp:align>
              </wp:positionH>
              <wp:positionV relativeFrom="page">
                <wp:align>top</wp:align>
              </wp:positionV>
              <wp:extent cx="551815" cy="404495"/>
              <wp:effectExtent l="0" t="0" r="635" b="14605"/>
              <wp:wrapNone/>
              <wp:docPr id="78579243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B1B24A" w14:textId="6D11B1F2"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DDC35B"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65B1B24A" w14:textId="6D11B1F2"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224B" w14:textId="138DEA5D" w:rsidR="009D2A7D" w:rsidRDefault="00DE7269">
    <w:pPr>
      <w:pStyle w:val="Header"/>
      <w:tabs>
        <w:tab w:val="clear" w:pos="4820"/>
        <w:tab w:val="center" w:pos="8505"/>
      </w:tabs>
      <w:jc w:val="left"/>
    </w:pPr>
    <w:r>
      <w:rPr>
        <w:noProof/>
      </w:rPr>
      <mc:AlternateContent>
        <mc:Choice Requires="wps">
          <w:drawing>
            <wp:anchor distT="0" distB="0" distL="0" distR="0" simplePos="0" relativeHeight="251658245" behindDoc="0" locked="0" layoutInCell="1" allowOverlap="1" wp14:anchorId="31771421" wp14:editId="64AA1205">
              <wp:simplePos x="901065" y="360680"/>
              <wp:positionH relativeFrom="page">
                <wp:align>center</wp:align>
              </wp:positionH>
              <wp:positionV relativeFrom="page">
                <wp:align>top</wp:align>
              </wp:positionV>
              <wp:extent cx="551815" cy="404495"/>
              <wp:effectExtent l="0" t="0" r="635" b="14605"/>
              <wp:wrapNone/>
              <wp:docPr id="66620361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EBDA5F8" w14:textId="4C9508A3"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771421" id="_x0000_t202" coordsize="21600,21600" o:spt="202" path="m,l,21600r21600,l21600,xe">
              <v:stroke joinstyle="miter"/>
              <v:path gradientshapeok="t" o:connecttype="rect"/>
            </v:shapetype>
            <v:shape id="Text Box 6" o:spid="_x0000_s1033" type="#_x0000_t202" alt="OFFICIAL" style="position:absolute;margin-left:0;margin-top:0;width:43.45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7EBDA5F8" w14:textId="4C9508A3"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88F42" w14:textId="13FE653E" w:rsidR="00DE7269" w:rsidRDefault="00DE7269">
    <w:pPr>
      <w:pStyle w:val="Header"/>
    </w:pPr>
    <w:r>
      <w:rPr>
        <w:noProof/>
      </w:rPr>
      <mc:AlternateContent>
        <mc:Choice Requires="wps">
          <w:drawing>
            <wp:anchor distT="0" distB="0" distL="0" distR="0" simplePos="0" relativeHeight="251658243" behindDoc="0" locked="0" layoutInCell="1" allowOverlap="1" wp14:anchorId="0DAD134A" wp14:editId="1223C4B3">
              <wp:simplePos x="635" y="635"/>
              <wp:positionH relativeFrom="page">
                <wp:align>center</wp:align>
              </wp:positionH>
              <wp:positionV relativeFrom="page">
                <wp:align>top</wp:align>
              </wp:positionV>
              <wp:extent cx="551815" cy="404495"/>
              <wp:effectExtent l="0" t="0" r="635" b="14605"/>
              <wp:wrapNone/>
              <wp:docPr id="126985865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73CB7B6" w14:textId="4F60AAC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AD134A" id="_x0000_t202" coordsize="21600,21600" o:spt="202" path="m,l,21600r21600,l21600,xe">
              <v:stroke joinstyle="miter"/>
              <v:path gradientshapeok="t" o:connecttype="rect"/>
            </v:shapetype>
            <v:shape id="Text Box 4" o:spid="_x0000_s1036"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573CB7B6" w14:textId="4F60AAC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CDC1" w14:textId="2240DDAE" w:rsidR="002A326D" w:rsidRDefault="00DE7269">
    <w:pPr>
      <w:pStyle w:val="Header"/>
    </w:pPr>
    <w:r>
      <w:rPr>
        <w:noProof/>
      </w:rPr>
      <mc:AlternateContent>
        <mc:Choice Requires="wps">
          <w:drawing>
            <wp:anchor distT="0" distB="0" distL="0" distR="0" simplePos="0" relativeHeight="251658247" behindDoc="0" locked="0" layoutInCell="1" allowOverlap="1" wp14:anchorId="783C12F4" wp14:editId="52D3CCBA">
              <wp:simplePos x="635" y="635"/>
              <wp:positionH relativeFrom="page">
                <wp:align>center</wp:align>
              </wp:positionH>
              <wp:positionV relativeFrom="page">
                <wp:align>top</wp:align>
              </wp:positionV>
              <wp:extent cx="551815" cy="404495"/>
              <wp:effectExtent l="0" t="0" r="635" b="14605"/>
              <wp:wrapNone/>
              <wp:docPr id="36147518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1A7C5E" w14:textId="0B21FED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3C12F4" id="_x0000_t202" coordsize="21600,21600" o:spt="202" path="m,l,21600r21600,l21600,xe">
              <v:stroke joinstyle="miter"/>
              <v:path gradientshapeok="t" o:connecttype="rect"/>
            </v:shapetype>
            <v:shape id="Text Box 8" o:spid="_x0000_s1038" type="#_x0000_t202" alt="OFFICIAL" style="position:absolute;left:0;text-align:left;margin-left:0;margin-top:0;width:43.45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581A7C5E" w14:textId="0B21FED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AAB37" w14:textId="7D950B3A" w:rsidR="002A326D" w:rsidRDefault="00DE7269" w:rsidP="00C54718">
    <w:pPr>
      <w:pStyle w:val="Header"/>
      <w:rPr>
        <w:b/>
      </w:rPr>
    </w:pPr>
    <w:r>
      <w:rPr>
        <w:b/>
        <w:noProof/>
      </w:rPr>
      <mc:AlternateContent>
        <mc:Choice Requires="wps">
          <w:drawing>
            <wp:anchor distT="0" distB="0" distL="0" distR="0" simplePos="0" relativeHeight="251658248" behindDoc="0" locked="0" layoutInCell="1" allowOverlap="1" wp14:anchorId="37CC214A" wp14:editId="105FAF82">
              <wp:simplePos x="901065" y="360680"/>
              <wp:positionH relativeFrom="page">
                <wp:align>center</wp:align>
              </wp:positionH>
              <wp:positionV relativeFrom="page">
                <wp:align>top</wp:align>
              </wp:positionV>
              <wp:extent cx="551815" cy="404495"/>
              <wp:effectExtent l="0" t="0" r="635" b="14605"/>
              <wp:wrapNone/>
              <wp:docPr id="10497191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CF662EB" w14:textId="733DC07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CC214A" id="_x0000_t202" coordsize="21600,21600" o:spt="202" path="m,l,21600r21600,l21600,xe">
              <v:stroke joinstyle="miter"/>
              <v:path gradientshapeok="t" o:connecttype="rect"/>
            </v:shapetype>
            <v:shape id="Text Box 9" o:spid="_x0000_s1039" type="#_x0000_t202" alt="OFFICIAL" style="position:absolute;left:0;text-align:left;margin-left:0;margin-top:0;width:43.45pt;height:31.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Gj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7r+O7W+hPuJUDoaFe8tXLdZeMx+emMMN4yCo&#10;2vCIh1TQVRROFiUNuN8f+WM+Eo9RSjpUTEUNSpoS9dPgQqK4klHc5LMcb250b0fD7PUdoA4LfBKW&#10;JzPmBTWa0oF+QT0vYyEMMcOxXEXDaN6FQbr4HrhYLlMS6siysDYbyyN05CuS+dy/MGdPjAdc1QOM&#10;cmLlG+KH3Pint8t9QPrTViK3A5EnylGDaa+n9xJF/vqesi6vevEH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cBwGjDgIAAB0E&#10;AAAOAAAAAAAAAAAAAAAAAC4CAABkcnMvZTJvRG9jLnhtbFBLAQItABQABgAIAAAAIQD8pn6y2gAA&#10;AAMBAAAPAAAAAAAAAAAAAAAAAGgEAABkcnMvZG93bnJldi54bWxQSwUGAAAAAAQABADzAAAAbwUA&#10;AAAA&#10;" filled="f" stroked="f">
              <v:textbox style="mso-fit-shape-to-text:t" inset="0,15pt,0,0">
                <w:txbxContent>
                  <w:p w14:paraId="5CF662EB" w14:textId="733DC07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r w:rsidR="002A326D" w:rsidRPr="00D552E1">
      <w:rPr>
        <w:b/>
      </w:rPr>
      <w:ptab w:relativeTo="margin" w:alignment="left" w:leader="none"/>
    </w:r>
    <w:r w:rsidR="002A326D">
      <w:rPr>
        <w:b/>
      </w:rPr>
      <w:ptab w:relativeTo="margin" w:alignment="left" w:leader="none"/>
    </w:r>
    <w:fldSimple w:instr="STYLEREF  &quot;Heading 1&quot;  \* MERGEFORMAT">
      <w:r w:rsidR="002B47FE">
        <w:rPr>
          <w:noProof/>
        </w:rPr>
        <w:t>Final risk analysis report for the release of Neoramulariopsis unguis-cati for the biological control of Dolichandra unguis-cati</w:t>
      </w:r>
    </w:fldSimple>
  </w:p>
  <w:p w14:paraId="21E72FDA" w14:textId="77777777" w:rsidR="002A326D" w:rsidRPr="003E176F" w:rsidRDefault="002A326D" w:rsidP="003E176F">
    <w:pPr>
      <w:pStyle w:val="Header"/>
    </w:pPr>
    <w:r>
      <w:t xml:space="preserve">Table of contents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29ED" w14:textId="4664C0AF" w:rsidR="002A326D" w:rsidRDefault="00DE7269">
    <w:pPr>
      <w:pStyle w:val="Header"/>
    </w:pPr>
    <w:r>
      <w:rPr>
        <w:noProof/>
      </w:rPr>
      <mc:AlternateContent>
        <mc:Choice Requires="wps">
          <w:drawing>
            <wp:anchor distT="0" distB="0" distL="0" distR="0" simplePos="0" relativeHeight="251658246" behindDoc="0" locked="0" layoutInCell="1" allowOverlap="1" wp14:anchorId="7C55B200" wp14:editId="521C717C">
              <wp:simplePos x="635" y="635"/>
              <wp:positionH relativeFrom="page">
                <wp:align>center</wp:align>
              </wp:positionH>
              <wp:positionV relativeFrom="page">
                <wp:align>top</wp:align>
              </wp:positionV>
              <wp:extent cx="551815" cy="404495"/>
              <wp:effectExtent l="0" t="0" r="635" b="14605"/>
              <wp:wrapNone/>
              <wp:docPr id="162645445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D48F95" w14:textId="5495311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55B200" id="_x0000_t202" coordsize="21600,21600" o:spt="202" path="m,l,21600r21600,l21600,xe">
              <v:stroke joinstyle="miter"/>
              <v:path gradientshapeok="t" o:connecttype="rect"/>
            </v:shapetype>
            <v:shape id="Text Box 7" o:spid="_x0000_s1042"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6BD48F95" w14:textId="5495311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DC017AC"/>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8A7FD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38012A"/>
    <w:multiLevelType w:val="multilevel"/>
    <w:tmpl w:val="5882FBC4"/>
    <w:lvl w:ilvl="0">
      <w:start w:val="1"/>
      <w:numFmt w:val="decimal"/>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4"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53399E"/>
    <w:multiLevelType w:val="multilevel"/>
    <w:tmpl w:val="40A462FE"/>
    <w:numStyleLink w:val="heading"/>
  </w:abstractNum>
  <w:abstractNum w:abstractNumId="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2E7921E8"/>
    <w:multiLevelType w:val="multilevel"/>
    <w:tmpl w:val="DBBC36CC"/>
    <w:lvl w:ilvl="0">
      <w:start w:val="1"/>
      <w:numFmt w:val="decimal"/>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B2504F"/>
    <w:multiLevelType w:val="hybridMultilevel"/>
    <w:tmpl w:val="6C2AEE98"/>
    <w:lvl w:ilvl="0" w:tplc="16F04A8C">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2"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72EF18DD"/>
    <w:multiLevelType w:val="hybridMultilevel"/>
    <w:tmpl w:val="526676C2"/>
    <w:lvl w:ilvl="0" w:tplc="9048C5A2">
      <w:start w:val="1"/>
      <w:numFmt w:val="decimal"/>
      <w:pStyle w:val="Heading5-Appendix"/>
      <w:lvlText w:val="A%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5940649">
    <w:abstractNumId w:val="1"/>
  </w:num>
  <w:num w:numId="2" w16cid:durableId="703598071">
    <w:abstractNumId w:val="3"/>
  </w:num>
  <w:num w:numId="3" w16cid:durableId="2057965380">
    <w:abstractNumId w:val="8"/>
  </w:num>
  <w:num w:numId="4" w16cid:durableId="1001468289">
    <w:abstractNumId w:val="9"/>
  </w:num>
  <w:num w:numId="5" w16cid:durableId="1294214074">
    <w:abstractNumId w:val="10"/>
  </w:num>
  <w:num w:numId="6" w16cid:durableId="1017074514">
    <w:abstractNumId w:val="2"/>
  </w:num>
  <w:num w:numId="7" w16cid:durableId="991714432">
    <w:abstractNumId w:val="5"/>
  </w:num>
  <w:num w:numId="8" w16cid:durableId="2090692723">
    <w:abstractNumId w:val="13"/>
  </w:num>
  <w:num w:numId="9" w16cid:durableId="957762972">
    <w:abstractNumId w:val="11"/>
  </w:num>
  <w:num w:numId="10" w16cid:durableId="278878663">
    <w:abstractNumId w:val="4"/>
  </w:num>
  <w:num w:numId="11" w16cid:durableId="1626035690">
    <w:abstractNumId w:val="7"/>
  </w:num>
  <w:num w:numId="12" w16cid:durableId="845435209">
    <w:abstractNumId w:val="16"/>
  </w:num>
  <w:num w:numId="13" w16cid:durableId="879173648">
    <w:abstractNumId w:val="8"/>
  </w:num>
  <w:num w:numId="14" w16cid:durableId="1942830492">
    <w:abstractNumId w:val="14"/>
  </w:num>
  <w:num w:numId="15" w16cid:durableId="963730701">
    <w:abstractNumId w:val="12"/>
  </w:num>
  <w:num w:numId="16" w16cid:durableId="2134983185">
    <w:abstractNumId w:val="15"/>
  </w:num>
  <w:num w:numId="17" w16cid:durableId="1092160724">
    <w:abstractNumId w:val="6"/>
  </w:num>
  <w:num w:numId="18" w16cid:durableId="65610237">
    <w:abstractNumId w:val="0"/>
  </w:num>
  <w:num w:numId="19" w16cid:durableId="130639699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D0393D"/>
    <w:rsid w:val="00006924"/>
    <w:rsid w:val="000076A9"/>
    <w:rsid w:val="000207A3"/>
    <w:rsid w:val="0002094C"/>
    <w:rsid w:val="0002171F"/>
    <w:rsid w:val="000232E2"/>
    <w:rsid w:val="000239B6"/>
    <w:rsid w:val="00027426"/>
    <w:rsid w:val="000354C1"/>
    <w:rsid w:val="0004450F"/>
    <w:rsid w:val="00044566"/>
    <w:rsid w:val="00046D1E"/>
    <w:rsid w:val="00050AD9"/>
    <w:rsid w:val="000530D1"/>
    <w:rsid w:val="000654F2"/>
    <w:rsid w:val="00065767"/>
    <w:rsid w:val="00065E2A"/>
    <w:rsid w:val="00071484"/>
    <w:rsid w:val="00080083"/>
    <w:rsid w:val="000808FC"/>
    <w:rsid w:val="00083279"/>
    <w:rsid w:val="00090D68"/>
    <w:rsid w:val="000A1085"/>
    <w:rsid w:val="000A123A"/>
    <w:rsid w:val="000A4A5B"/>
    <w:rsid w:val="000A6360"/>
    <w:rsid w:val="000A7F63"/>
    <w:rsid w:val="000B3F86"/>
    <w:rsid w:val="000B676B"/>
    <w:rsid w:val="000B6F3A"/>
    <w:rsid w:val="000C195D"/>
    <w:rsid w:val="000C5E17"/>
    <w:rsid w:val="000C688F"/>
    <w:rsid w:val="000D3B57"/>
    <w:rsid w:val="000D3C00"/>
    <w:rsid w:val="000D5A24"/>
    <w:rsid w:val="000D5C0C"/>
    <w:rsid w:val="000D6C1F"/>
    <w:rsid w:val="000E00C0"/>
    <w:rsid w:val="000E136A"/>
    <w:rsid w:val="000E28D3"/>
    <w:rsid w:val="000E3922"/>
    <w:rsid w:val="000E7706"/>
    <w:rsid w:val="000F4C09"/>
    <w:rsid w:val="000F7715"/>
    <w:rsid w:val="00103073"/>
    <w:rsid w:val="001036D6"/>
    <w:rsid w:val="0012143F"/>
    <w:rsid w:val="00123056"/>
    <w:rsid w:val="00131C79"/>
    <w:rsid w:val="00133E30"/>
    <w:rsid w:val="00141238"/>
    <w:rsid w:val="001604BB"/>
    <w:rsid w:val="00161B09"/>
    <w:rsid w:val="00173CDC"/>
    <w:rsid w:val="001741D2"/>
    <w:rsid w:val="001819FE"/>
    <w:rsid w:val="00190871"/>
    <w:rsid w:val="00194489"/>
    <w:rsid w:val="00194EAB"/>
    <w:rsid w:val="00194F39"/>
    <w:rsid w:val="001971C7"/>
    <w:rsid w:val="001A3448"/>
    <w:rsid w:val="001A41FC"/>
    <w:rsid w:val="001B198B"/>
    <w:rsid w:val="001B5A2F"/>
    <w:rsid w:val="001C245A"/>
    <w:rsid w:val="001E332E"/>
    <w:rsid w:val="001E73EE"/>
    <w:rsid w:val="00202A01"/>
    <w:rsid w:val="00210126"/>
    <w:rsid w:val="00212D0B"/>
    <w:rsid w:val="00222120"/>
    <w:rsid w:val="0022256E"/>
    <w:rsid w:val="00222964"/>
    <w:rsid w:val="00223312"/>
    <w:rsid w:val="00225036"/>
    <w:rsid w:val="002329C9"/>
    <w:rsid w:val="0023570E"/>
    <w:rsid w:val="0023606E"/>
    <w:rsid w:val="00237C76"/>
    <w:rsid w:val="0025193F"/>
    <w:rsid w:val="0025213E"/>
    <w:rsid w:val="00263889"/>
    <w:rsid w:val="00265A5E"/>
    <w:rsid w:val="00275B0E"/>
    <w:rsid w:val="002764F5"/>
    <w:rsid w:val="00292E60"/>
    <w:rsid w:val="00292F88"/>
    <w:rsid w:val="002A0968"/>
    <w:rsid w:val="002A138D"/>
    <w:rsid w:val="002A326D"/>
    <w:rsid w:val="002A3372"/>
    <w:rsid w:val="002B47FE"/>
    <w:rsid w:val="002B4E46"/>
    <w:rsid w:val="002C0133"/>
    <w:rsid w:val="002C0431"/>
    <w:rsid w:val="002C0B80"/>
    <w:rsid w:val="002C1D03"/>
    <w:rsid w:val="002C34C4"/>
    <w:rsid w:val="002C6F6A"/>
    <w:rsid w:val="002D5662"/>
    <w:rsid w:val="002D76E7"/>
    <w:rsid w:val="002E0115"/>
    <w:rsid w:val="002E074C"/>
    <w:rsid w:val="002E17AB"/>
    <w:rsid w:val="002E55C8"/>
    <w:rsid w:val="002F25F9"/>
    <w:rsid w:val="003044D9"/>
    <w:rsid w:val="003046B4"/>
    <w:rsid w:val="003058E9"/>
    <w:rsid w:val="00310B5F"/>
    <w:rsid w:val="00311157"/>
    <w:rsid w:val="00311933"/>
    <w:rsid w:val="003203F0"/>
    <w:rsid w:val="00320ABB"/>
    <w:rsid w:val="0032188A"/>
    <w:rsid w:val="003317F2"/>
    <w:rsid w:val="00332442"/>
    <w:rsid w:val="00332919"/>
    <w:rsid w:val="00334140"/>
    <w:rsid w:val="003349B5"/>
    <w:rsid w:val="00340846"/>
    <w:rsid w:val="00343121"/>
    <w:rsid w:val="003433CA"/>
    <w:rsid w:val="003439A3"/>
    <w:rsid w:val="003469E9"/>
    <w:rsid w:val="003521F0"/>
    <w:rsid w:val="003537DF"/>
    <w:rsid w:val="003615BA"/>
    <w:rsid w:val="0036381D"/>
    <w:rsid w:val="00364694"/>
    <w:rsid w:val="0036505F"/>
    <w:rsid w:val="00374AF5"/>
    <w:rsid w:val="00375342"/>
    <w:rsid w:val="003761AF"/>
    <w:rsid w:val="0038049E"/>
    <w:rsid w:val="00380A61"/>
    <w:rsid w:val="00387BCE"/>
    <w:rsid w:val="00391357"/>
    <w:rsid w:val="003926D1"/>
    <w:rsid w:val="0039271F"/>
    <w:rsid w:val="003A0F4C"/>
    <w:rsid w:val="003C09D7"/>
    <w:rsid w:val="003C162C"/>
    <w:rsid w:val="003D1A1A"/>
    <w:rsid w:val="003D2034"/>
    <w:rsid w:val="003D2C36"/>
    <w:rsid w:val="003D2F21"/>
    <w:rsid w:val="003D4969"/>
    <w:rsid w:val="003E054E"/>
    <w:rsid w:val="003E0AD3"/>
    <w:rsid w:val="003E2C85"/>
    <w:rsid w:val="003E3BBA"/>
    <w:rsid w:val="003E5934"/>
    <w:rsid w:val="003F28C7"/>
    <w:rsid w:val="003F2C54"/>
    <w:rsid w:val="003F405A"/>
    <w:rsid w:val="004010C4"/>
    <w:rsid w:val="004029C7"/>
    <w:rsid w:val="00402DB7"/>
    <w:rsid w:val="00404B1A"/>
    <w:rsid w:val="00404FCF"/>
    <w:rsid w:val="00411C2E"/>
    <w:rsid w:val="00414FF0"/>
    <w:rsid w:val="004204C6"/>
    <w:rsid w:val="00423801"/>
    <w:rsid w:val="00427CE4"/>
    <w:rsid w:val="0043271B"/>
    <w:rsid w:val="0043319E"/>
    <w:rsid w:val="00433507"/>
    <w:rsid w:val="004366BF"/>
    <w:rsid w:val="00443D2E"/>
    <w:rsid w:val="00446AC3"/>
    <w:rsid w:val="00451D7F"/>
    <w:rsid w:val="004572D4"/>
    <w:rsid w:val="0046066B"/>
    <w:rsid w:val="00460783"/>
    <w:rsid w:val="00461CD5"/>
    <w:rsid w:val="0046687A"/>
    <w:rsid w:val="00467550"/>
    <w:rsid w:val="00467E35"/>
    <w:rsid w:val="00471465"/>
    <w:rsid w:val="00471F8F"/>
    <w:rsid w:val="00472B02"/>
    <w:rsid w:val="00472CFA"/>
    <w:rsid w:val="00473284"/>
    <w:rsid w:val="00475411"/>
    <w:rsid w:val="004914D3"/>
    <w:rsid w:val="00495D8A"/>
    <w:rsid w:val="0049780D"/>
    <w:rsid w:val="004C090F"/>
    <w:rsid w:val="004D043A"/>
    <w:rsid w:val="004D2A4C"/>
    <w:rsid w:val="004D7335"/>
    <w:rsid w:val="004E06A3"/>
    <w:rsid w:val="004E2840"/>
    <w:rsid w:val="004E3436"/>
    <w:rsid w:val="004E3796"/>
    <w:rsid w:val="004F6EA2"/>
    <w:rsid w:val="00505A52"/>
    <w:rsid w:val="005071CB"/>
    <w:rsid w:val="00507A17"/>
    <w:rsid w:val="00507CD4"/>
    <w:rsid w:val="00514564"/>
    <w:rsid w:val="0051733B"/>
    <w:rsid w:val="00532F00"/>
    <w:rsid w:val="0053679A"/>
    <w:rsid w:val="00537FE0"/>
    <w:rsid w:val="005444B1"/>
    <w:rsid w:val="00546F78"/>
    <w:rsid w:val="00547E7E"/>
    <w:rsid w:val="00562AE7"/>
    <w:rsid w:val="005704C3"/>
    <w:rsid w:val="0057414A"/>
    <w:rsid w:val="0057429D"/>
    <w:rsid w:val="00574E14"/>
    <w:rsid w:val="005808DE"/>
    <w:rsid w:val="0058238D"/>
    <w:rsid w:val="00586A92"/>
    <w:rsid w:val="00586D57"/>
    <w:rsid w:val="0058720E"/>
    <w:rsid w:val="005914B9"/>
    <w:rsid w:val="00592DAD"/>
    <w:rsid w:val="00593A46"/>
    <w:rsid w:val="005A5C18"/>
    <w:rsid w:val="005A5D7E"/>
    <w:rsid w:val="005A7F1F"/>
    <w:rsid w:val="005B252B"/>
    <w:rsid w:val="005B63AD"/>
    <w:rsid w:val="005D0044"/>
    <w:rsid w:val="005D059C"/>
    <w:rsid w:val="005D6AD4"/>
    <w:rsid w:val="005D7AEC"/>
    <w:rsid w:val="005E391E"/>
    <w:rsid w:val="005E3C5C"/>
    <w:rsid w:val="005E5B14"/>
    <w:rsid w:val="005F15DE"/>
    <w:rsid w:val="005F1701"/>
    <w:rsid w:val="005F2DE7"/>
    <w:rsid w:val="005F439E"/>
    <w:rsid w:val="00601359"/>
    <w:rsid w:val="00614A0A"/>
    <w:rsid w:val="00615DB9"/>
    <w:rsid w:val="006175AC"/>
    <w:rsid w:val="0063103A"/>
    <w:rsid w:val="00634925"/>
    <w:rsid w:val="006368C6"/>
    <w:rsid w:val="00637677"/>
    <w:rsid w:val="00640BBF"/>
    <w:rsid w:val="00645C24"/>
    <w:rsid w:val="00647A0E"/>
    <w:rsid w:val="00651AD6"/>
    <w:rsid w:val="00653B86"/>
    <w:rsid w:val="00654924"/>
    <w:rsid w:val="00656762"/>
    <w:rsid w:val="00657657"/>
    <w:rsid w:val="00661268"/>
    <w:rsid w:val="00661294"/>
    <w:rsid w:val="00664D86"/>
    <w:rsid w:val="0067097E"/>
    <w:rsid w:val="00671E12"/>
    <w:rsid w:val="00684F28"/>
    <w:rsid w:val="00686772"/>
    <w:rsid w:val="00686E96"/>
    <w:rsid w:val="006875EA"/>
    <w:rsid w:val="00691207"/>
    <w:rsid w:val="006A320E"/>
    <w:rsid w:val="006A5B5C"/>
    <w:rsid w:val="006A6249"/>
    <w:rsid w:val="006A6464"/>
    <w:rsid w:val="006A7313"/>
    <w:rsid w:val="006B0659"/>
    <w:rsid w:val="006B50FE"/>
    <w:rsid w:val="006B5196"/>
    <w:rsid w:val="006C22B5"/>
    <w:rsid w:val="006E14E8"/>
    <w:rsid w:val="006F157A"/>
    <w:rsid w:val="006F1726"/>
    <w:rsid w:val="006F29A0"/>
    <w:rsid w:val="006F43E2"/>
    <w:rsid w:val="007019D6"/>
    <w:rsid w:val="00704F80"/>
    <w:rsid w:val="00705621"/>
    <w:rsid w:val="00714FFC"/>
    <w:rsid w:val="00717643"/>
    <w:rsid w:val="00722E7F"/>
    <w:rsid w:val="0072396C"/>
    <w:rsid w:val="00730EB6"/>
    <w:rsid w:val="00732465"/>
    <w:rsid w:val="00732E8F"/>
    <w:rsid w:val="00732EC3"/>
    <w:rsid w:val="00732EC4"/>
    <w:rsid w:val="00735771"/>
    <w:rsid w:val="00736319"/>
    <w:rsid w:val="007369B8"/>
    <w:rsid w:val="00737821"/>
    <w:rsid w:val="00737EC9"/>
    <w:rsid w:val="0074081B"/>
    <w:rsid w:val="00756487"/>
    <w:rsid w:val="007635BE"/>
    <w:rsid w:val="00764774"/>
    <w:rsid w:val="00764C8E"/>
    <w:rsid w:val="007705CD"/>
    <w:rsid w:val="00774D6B"/>
    <w:rsid w:val="0078111B"/>
    <w:rsid w:val="00781CBF"/>
    <w:rsid w:val="007835B3"/>
    <w:rsid w:val="00791C8E"/>
    <w:rsid w:val="007A502E"/>
    <w:rsid w:val="007B4BAD"/>
    <w:rsid w:val="007C0A37"/>
    <w:rsid w:val="007C0D1B"/>
    <w:rsid w:val="007C1030"/>
    <w:rsid w:val="007C3530"/>
    <w:rsid w:val="007C76BA"/>
    <w:rsid w:val="007E0B2B"/>
    <w:rsid w:val="007E4AEA"/>
    <w:rsid w:val="007F143B"/>
    <w:rsid w:val="007F4D3B"/>
    <w:rsid w:val="007F4E48"/>
    <w:rsid w:val="007F518C"/>
    <w:rsid w:val="007F7C2B"/>
    <w:rsid w:val="0080379C"/>
    <w:rsid w:val="0080454C"/>
    <w:rsid w:val="008047E7"/>
    <w:rsid w:val="008054CA"/>
    <w:rsid w:val="00810FC3"/>
    <w:rsid w:val="008120ED"/>
    <w:rsid w:val="00821657"/>
    <w:rsid w:val="008219BF"/>
    <w:rsid w:val="00822613"/>
    <w:rsid w:val="0082339B"/>
    <w:rsid w:val="00824904"/>
    <w:rsid w:val="00825800"/>
    <w:rsid w:val="00826AA9"/>
    <w:rsid w:val="00827905"/>
    <w:rsid w:val="00832BC3"/>
    <w:rsid w:val="00834093"/>
    <w:rsid w:val="008351ED"/>
    <w:rsid w:val="00835A56"/>
    <w:rsid w:val="0083636A"/>
    <w:rsid w:val="00851E8C"/>
    <w:rsid w:val="00855FC6"/>
    <w:rsid w:val="008561F1"/>
    <w:rsid w:val="00857344"/>
    <w:rsid w:val="008621A8"/>
    <w:rsid w:val="0086247F"/>
    <w:rsid w:val="0086637D"/>
    <w:rsid w:val="00872B4E"/>
    <w:rsid w:val="00874D66"/>
    <w:rsid w:val="008769CD"/>
    <w:rsid w:val="008A3870"/>
    <w:rsid w:val="008A41FB"/>
    <w:rsid w:val="008A4397"/>
    <w:rsid w:val="008B2FC1"/>
    <w:rsid w:val="008C16EA"/>
    <w:rsid w:val="008C44AD"/>
    <w:rsid w:val="008C5346"/>
    <w:rsid w:val="008C686B"/>
    <w:rsid w:val="008D1D0E"/>
    <w:rsid w:val="008D39F0"/>
    <w:rsid w:val="008D6A07"/>
    <w:rsid w:val="008E0323"/>
    <w:rsid w:val="008F4E74"/>
    <w:rsid w:val="008F5F34"/>
    <w:rsid w:val="008F7136"/>
    <w:rsid w:val="0091716D"/>
    <w:rsid w:val="00921312"/>
    <w:rsid w:val="0092363E"/>
    <w:rsid w:val="0092491C"/>
    <w:rsid w:val="009265A6"/>
    <w:rsid w:val="009321CD"/>
    <w:rsid w:val="00934F3E"/>
    <w:rsid w:val="00943527"/>
    <w:rsid w:val="00944D3B"/>
    <w:rsid w:val="009468BA"/>
    <w:rsid w:val="00951384"/>
    <w:rsid w:val="00951526"/>
    <w:rsid w:val="009525DC"/>
    <w:rsid w:val="00953860"/>
    <w:rsid w:val="009639E3"/>
    <w:rsid w:val="00964C19"/>
    <w:rsid w:val="0096569A"/>
    <w:rsid w:val="00965F95"/>
    <w:rsid w:val="00967666"/>
    <w:rsid w:val="00970B10"/>
    <w:rsid w:val="00971A74"/>
    <w:rsid w:val="00972887"/>
    <w:rsid w:val="00973849"/>
    <w:rsid w:val="009811C1"/>
    <w:rsid w:val="00982940"/>
    <w:rsid w:val="0098384A"/>
    <w:rsid w:val="00987857"/>
    <w:rsid w:val="00987DC0"/>
    <w:rsid w:val="009974FE"/>
    <w:rsid w:val="009A1401"/>
    <w:rsid w:val="009A260F"/>
    <w:rsid w:val="009A3561"/>
    <w:rsid w:val="009A6369"/>
    <w:rsid w:val="009C25D9"/>
    <w:rsid w:val="009C5137"/>
    <w:rsid w:val="009D2A7D"/>
    <w:rsid w:val="009D64B4"/>
    <w:rsid w:val="009E22FC"/>
    <w:rsid w:val="009E302A"/>
    <w:rsid w:val="009E4088"/>
    <w:rsid w:val="009E5D5E"/>
    <w:rsid w:val="009F419E"/>
    <w:rsid w:val="00A00251"/>
    <w:rsid w:val="00A00B38"/>
    <w:rsid w:val="00A05558"/>
    <w:rsid w:val="00A112E1"/>
    <w:rsid w:val="00A11475"/>
    <w:rsid w:val="00A1170A"/>
    <w:rsid w:val="00A155D2"/>
    <w:rsid w:val="00A1590E"/>
    <w:rsid w:val="00A159AA"/>
    <w:rsid w:val="00A22C50"/>
    <w:rsid w:val="00A34BC3"/>
    <w:rsid w:val="00A36952"/>
    <w:rsid w:val="00A37233"/>
    <w:rsid w:val="00A401A2"/>
    <w:rsid w:val="00A44525"/>
    <w:rsid w:val="00A460DA"/>
    <w:rsid w:val="00A4626E"/>
    <w:rsid w:val="00A4637F"/>
    <w:rsid w:val="00A50C37"/>
    <w:rsid w:val="00A52399"/>
    <w:rsid w:val="00A52A70"/>
    <w:rsid w:val="00A61FE8"/>
    <w:rsid w:val="00A65715"/>
    <w:rsid w:val="00A82222"/>
    <w:rsid w:val="00A825D8"/>
    <w:rsid w:val="00A8392D"/>
    <w:rsid w:val="00A8419C"/>
    <w:rsid w:val="00A87250"/>
    <w:rsid w:val="00A8759C"/>
    <w:rsid w:val="00A9566F"/>
    <w:rsid w:val="00A9596B"/>
    <w:rsid w:val="00AA431D"/>
    <w:rsid w:val="00AA47DA"/>
    <w:rsid w:val="00AA6A2F"/>
    <w:rsid w:val="00AA7259"/>
    <w:rsid w:val="00AB087A"/>
    <w:rsid w:val="00AB0C2A"/>
    <w:rsid w:val="00AB66F3"/>
    <w:rsid w:val="00AB6F5F"/>
    <w:rsid w:val="00AC1CF3"/>
    <w:rsid w:val="00AD1F8D"/>
    <w:rsid w:val="00AE07EF"/>
    <w:rsid w:val="00AE35BE"/>
    <w:rsid w:val="00AF6A5A"/>
    <w:rsid w:val="00B03B30"/>
    <w:rsid w:val="00B07D3E"/>
    <w:rsid w:val="00B20BC6"/>
    <w:rsid w:val="00B20DC8"/>
    <w:rsid w:val="00B24D06"/>
    <w:rsid w:val="00B2543C"/>
    <w:rsid w:val="00B308CF"/>
    <w:rsid w:val="00B32D0B"/>
    <w:rsid w:val="00B35493"/>
    <w:rsid w:val="00B4082F"/>
    <w:rsid w:val="00B4490D"/>
    <w:rsid w:val="00B44B4D"/>
    <w:rsid w:val="00B450F5"/>
    <w:rsid w:val="00B45EBD"/>
    <w:rsid w:val="00B57ECF"/>
    <w:rsid w:val="00B60CAF"/>
    <w:rsid w:val="00B641CB"/>
    <w:rsid w:val="00B65F8A"/>
    <w:rsid w:val="00B70C98"/>
    <w:rsid w:val="00B710A6"/>
    <w:rsid w:val="00B74987"/>
    <w:rsid w:val="00B76C44"/>
    <w:rsid w:val="00B76EF4"/>
    <w:rsid w:val="00B77240"/>
    <w:rsid w:val="00B773D5"/>
    <w:rsid w:val="00B80487"/>
    <w:rsid w:val="00B825FF"/>
    <w:rsid w:val="00B94F74"/>
    <w:rsid w:val="00B96F59"/>
    <w:rsid w:val="00BA520E"/>
    <w:rsid w:val="00BA5364"/>
    <w:rsid w:val="00BB7202"/>
    <w:rsid w:val="00BB7782"/>
    <w:rsid w:val="00BC59FD"/>
    <w:rsid w:val="00BC5DE1"/>
    <w:rsid w:val="00BD1414"/>
    <w:rsid w:val="00BE03BC"/>
    <w:rsid w:val="00BE09EE"/>
    <w:rsid w:val="00BE0DE6"/>
    <w:rsid w:val="00BE199A"/>
    <w:rsid w:val="00BE51FC"/>
    <w:rsid w:val="00BE73C0"/>
    <w:rsid w:val="00BF09EE"/>
    <w:rsid w:val="00BF115A"/>
    <w:rsid w:val="00BF650E"/>
    <w:rsid w:val="00C00F7A"/>
    <w:rsid w:val="00C01537"/>
    <w:rsid w:val="00C15B4C"/>
    <w:rsid w:val="00C202A0"/>
    <w:rsid w:val="00C21661"/>
    <w:rsid w:val="00C21799"/>
    <w:rsid w:val="00C24C26"/>
    <w:rsid w:val="00C26127"/>
    <w:rsid w:val="00C31FF1"/>
    <w:rsid w:val="00C33F81"/>
    <w:rsid w:val="00C3450E"/>
    <w:rsid w:val="00C350C1"/>
    <w:rsid w:val="00C40111"/>
    <w:rsid w:val="00C43154"/>
    <w:rsid w:val="00C43C3E"/>
    <w:rsid w:val="00C43DDD"/>
    <w:rsid w:val="00C45C90"/>
    <w:rsid w:val="00C47323"/>
    <w:rsid w:val="00C47F1F"/>
    <w:rsid w:val="00C51921"/>
    <w:rsid w:val="00C51BF2"/>
    <w:rsid w:val="00C57E94"/>
    <w:rsid w:val="00C6367B"/>
    <w:rsid w:val="00C638D2"/>
    <w:rsid w:val="00C6395B"/>
    <w:rsid w:val="00C65958"/>
    <w:rsid w:val="00C66EAD"/>
    <w:rsid w:val="00C810FE"/>
    <w:rsid w:val="00C86601"/>
    <w:rsid w:val="00C86BBF"/>
    <w:rsid w:val="00C92132"/>
    <w:rsid w:val="00CA4C80"/>
    <w:rsid w:val="00CB6892"/>
    <w:rsid w:val="00CC3373"/>
    <w:rsid w:val="00CC5D07"/>
    <w:rsid w:val="00CD17CA"/>
    <w:rsid w:val="00CD5C29"/>
    <w:rsid w:val="00CD62AA"/>
    <w:rsid w:val="00CD6AB4"/>
    <w:rsid w:val="00CD74EF"/>
    <w:rsid w:val="00CE0E1B"/>
    <w:rsid w:val="00CE3D44"/>
    <w:rsid w:val="00CE4EF7"/>
    <w:rsid w:val="00CF50DF"/>
    <w:rsid w:val="00D00C46"/>
    <w:rsid w:val="00D0393D"/>
    <w:rsid w:val="00D100A2"/>
    <w:rsid w:val="00D12963"/>
    <w:rsid w:val="00D12F04"/>
    <w:rsid w:val="00D14268"/>
    <w:rsid w:val="00D21A8E"/>
    <w:rsid w:val="00D22B02"/>
    <w:rsid w:val="00D22F71"/>
    <w:rsid w:val="00D23E74"/>
    <w:rsid w:val="00D30FC5"/>
    <w:rsid w:val="00D32E87"/>
    <w:rsid w:val="00D4018C"/>
    <w:rsid w:val="00D436DC"/>
    <w:rsid w:val="00D462FA"/>
    <w:rsid w:val="00D52D94"/>
    <w:rsid w:val="00D54124"/>
    <w:rsid w:val="00D56EC8"/>
    <w:rsid w:val="00D5707E"/>
    <w:rsid w:val="00D64F62"/>
    <w:rsid w:val="00D71258"/>
    <w:rsid w:val="00D77678"/>
    <w:rsid w:val="00D83A7F"/>
    <w:rsid w:val="00DA3C18"/>
    <w:rsid w:val="00DB0960"/>
    <w:rsid w:val="00DB4F88"/>
    <w:rsid w:val="00DC0072"/>
    <w:rsid w:val="00DC44DC"/>
    <w:rsid w:val="00DD71D8"/>
    <w:rsid w:val="00DD7344"/>
    <w:rsid w:val="00DD7624"/>
    <w:rsid w:val="00DE119C"/>
    <w:rsid w:val="00DE7269"/>
    <w:rsid w:val="00DE76B0"/>
    <w:rsid w:val="00DF1010"/>
    <w:rsid w:val="00DF11D4"/>
    <w:rsid w:val="00DF17F9"/>
    <w:rsid w:val="00DF5FEC"/>
    <w:rsid w:val="00E02625"/>
    <w:rsid w:val="00E031C3"/>
    <w:rsid w:val="00E0394B"/>
    <w:rsid w:val="00E11553"/>
    <w:rsid w:val="00E12593"/>
    <w:rsid w:val="00E15C1D"/>
    <w:rsid w:val="00E15E40"/>
    <w:rsid w:val="00E17E37"/>
    <w:rsid w:val="00E228CA"/>
    <w:rsid w:val="00E25169"/>
    <w:rsid w:val="00E275A9"/>
    <w:rsid w:val="00E31B25"/>
    <w:rsid w:val="00E3695C"/>
    <w:rsid w:val="00E37340"/>
    <w:rsid w:val="00E3787B"/>
    <w:rsid w:val="00E429D7"/>
    <w:rsid w:val="00E45736"/>
    <w:rsid w:val="00E51EFB"/>
    <w:rsid w:val="00E77871"/>
    <w:rsid w:val="00E80EA1"/>
    <w:rsid w:val="00E82386"/>
    <w:rsid w:val="00E845A8"/>
    <w:rsid w:val="00E85720"/>
    <w:rsid w:val="00E92C90"/>
    <w:rsid w:val="00E93A5C"/>
    <w:rsid w:val="00EA2B66"/>
    <w:rsid w:val="00EA6368"/>
    <w:rsid w:val="00EA71BB"/>
    <w:rsid w:val="00EB1100"/>
    <w:rsid w:val="00EB3A67"/>
    <w:rsid w:val="00EB77B5"/>
    <w:rsid w:val="00EC4909"/>
    <w:rsid w:val="00EC4DED"/>
    <w:rsid w:val="00ED1AF8"/>
    <w:rsid w:val="00ED37AE"/>
    <w:rsid w:val="00ED7FED"/>
    <w:rsid w:val="00EE1ADE"/>
    <w:rsid w:val="00EE1F12"/>
    <w:rsid w:val="00EE2663"/>
    <w:rsid w:val="00EE311A"/>
    <w:rsid w:val="00EF09E2"/>
    <w:rsid w:val="00F01E67"/>
    <w:rsid w:val="00F01FB9"/>
    <w:rsid w:val="00F07DA9"/>
    <w:rsid w:val="00F1386C"/>
    <w:rsid w:val="00F22050"/>
    <w:rsid w:val="00F310E4"/>
    <w:rsid w:val="00F32651"/>
    <w:rsid w:val="00F412A4"/>
    <w:rsid w:val="00F42525"/>
    <w:rsid w:val="00F46278"/>
    <w:rsid w:val="00F518AA"/>
    <w:rsid w:val="00F51D42"/>
    <w:rsid w:val="00F55629"/>
    <w:rsid w:val="00F57C38"/>
    <w:rsid w:val="00F61971"/>
    <w:rsid w:val="00F646BD"/>
    <w:rsid w:val="00F66260"/>
    <w:rsid w:val="00F72D5E"/>
    <w:rsid w:val="00F72FA3"/>
    <w:rsid w:val="00F74DCD"/>
    <w:rsid w:val="00F763DE"/>
    <w:rsid w:val="00F82514"/>
    <w:rsid w:val="00F82F27"/>
    <w:rsid w:val="00F83EDE"/>
    <w:rsid w:val="00F85722"/>
    <w:rsid w:val="00F874C8"/>
    <w:rsid w:val="00F90DF4"/>
    <w:rsid w:val="00F91246"/>
    <w:rsid w:val="00F9184E"/>
    <w:rsid w:val="00F971C7"/>
    <w:rsid w:val="00F97361"/>
    <w:rsid w:val="00F97634"/>
    <w:rsid w:val="00FB012E"/>
    <w:rsid w:val="00FB131A"/>
    <w:rsid w:val="00FB5603"/>
    <w:rsid w:val="00FB6673"/>
    <w:rsid w:val="00FB779B"/>
    <w:rsid w:val="00FC2432"/>
    <w:rsid w:val="00FD0963"/>
    <w:rsid w:val="00FD1289"/>
    <w:rsid w:val="00FD173C"/>
    <w:rsid w:val="00FD1D33"/>
    <w:rsid w:val="00FD3B5B"/>
    <w:rsid w:val="00FE17FF"/>
    <w:rsid w:val="00FE1D57"/>
    <w:rsid w:val="00FE61B9"/>
    <w:rsid w:val="00FE6B3C"/>
    <w:rsid w:val="00FF161D"/>
    <w:rsid w:val="00FF30F8"/>
    <w:rsid w:val="49A04DE2"/>
    <w:rsid w:val="597D1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D0257"/>
  <w15:chartTrackingRefBased/>
  <w15:docId w15:val="{F5E8ED8A-753F-4C46-8935-828F03F48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semiHidden="1" w:uiPriority="12" w:qFormat="1"/>
    <w:lsdException w:name="heading 2" w:semiHidden="1" w:uiPriority="12" w:unhideWhenUsed="1" w:qFormat="1"/>
    <w:lsdException w:name="heading 3" w:semiHidden="1" w:uiPriority="13" w:unhideWhenUsed="1" w:qFormat="1"/>
    <w:lsdException w:name="heading 4" w:semiHidden="1" w:uiPriority="14" w:unhideWhenUsed="1" w:qFormat="1"/>
    <w:lsdException w:name="heading 5" w:semiHidden="1" w:uiPriority="15" w:unhideWhenUsed="1" w:qFormat="1"/>
    <w:lsdException w:name="heading 6" w:semiHidden="1" w:uiPriority="16"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8" w:unhideWhenUsed="1"/>
    <w:lsdException w:name="footer" w:semiHidden="1" w:uiPriority="27" w:unhideWhenUsed="1"/>
    <w:lsdException w:name="index heading" w:semiHidden="1" w:unhideWhenUsed="1"/>
    <w:lsdException w:name="caption" w:semiHidden="1" w:uiPriority="1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25"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4AD"/>
    <w:pPr>
      <w:spacing w:after="200" w:line="276" w:lineRule="auto"/>
    </w:pPr>
    <w:rPr>
      <w:rFonts w:eastAsiaTheme="minorHAnsi" w:cstheme="minorBidi"/>
      <w:sz w:val="22"/>
      <w:szCs w:val="22"/>
      <w:lang w:eastAsia="en-US"/>
    </w:rPr>
  </w:style>
  <w:style w:type="paragraph" w:styleId="Heading1">
    <w:name w:val="heading 1"/>
    <w:basedOn w:val="Normal"/>
    <w:next w:val="Normal"/>
    <w:link w:val="Heading1Char"/>
    <w:uiPriority w:val="12"/>
    <w:qFormat/>
    <w:rsid w:val="00F85722"/>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2"/>
    <w:qFormat/>
    <w:rsid w:val="002329C9"/>
    <w:pPr>
      <w:pageBreakBefore/>
      <w:numPr>
        <w:numId w:val="11"/>
      </w:numPr>
      <w:spacing w:after="120"/>
      <w:outlineLvl w:val="1"/>
    </w:pPr>
    <w:rPr>
      <w:rFonts w:ascii="Calibri" w:eastAsiaTheme="majorEastAsia" w:hAnsi="Calibri" w:cstheme="majorBidi"/>
      <w:b/>
      <w:bCs/>
      <w:color w:val="002855"/>
      <w:sz w:val="34"/>
      <w:szCs w:val="26"/>
      <w:lang w:eastAsia="en-US"/>
    </w:rPr>
  </w:style>
  <w:style w:type="paragraph" w:styleId="Heading3">
    <w:name w:val="heading 3"/>
    <w:next w:val="Normal"/>
    <w:link w:val="Heading3Char"/>
    <w:uiPriority w:val="13"/>
    <w:qFormat/>
    <w:rsid w:val="002329C9"/>
    <w:pPr>
      <w:keepNext/>
      <w:keepLines/>
      <w:numPr>
        <w:ilvl w:val="1"/>
        <w:numId w:val="11"/>
      </w:numPr>
      <w:spacing w:before="120" w:after="120"/>
      <w:outlineLvl w:val="2"/>
    </w:pPr>
    <w:rPr>
      <w:rFonts w:ascii="Calibri" w:eastAsiaTheme="minorHAnsi" w:hAnsi="Calibri" w:cstheme="minorBidi"/>
      <w:b/>
      <w:bCs/>
      <w:color w:val="005F86"/>
      <w:sz w:val="28"/>
      <w:szCs w:val="22"/>
      <w:lang w:eastAsia="en-US"/>
    </w:rPr>
  </w:style>
  <w:style w:type="paragraph" w:styleId="Heading4">
    <w:name w:val="heading 4"/>
    <w:next w:val="Normal"/>
    <w:link w:val="Heading4Char"/>
    <w:uiPriority w:val="14"/>
    <w:qFormat/>
    <w:rsid w:val="002329C9"/>
    <w:pPr>
      <w:keepNext/>
      <w:keepLines/>
      <w:numPr>
        <w:ilvl w:val="2"/>
        <w:numId w:val="11"/>
      </w:numPr>
      <w:spacing w:before="120" w:after="120"/>
      <w:outlineLvl w:val="3"/>
    </w:pPr>
    <w:rPr>
      <w:rFonts w:ascii="Calibri" w:eastAsiaTheme="minorHAnsi" w:hAnsi="Calibri" w:cstheme="minorBidi"/>
      <w:b/>
      <w:bCs/>
      <w:iCs/>
      <w:color w:val="000000"/>
      <w:sz w:val="24"/>
      <w:szCs w:val="22"/>
      <w:lang w:eastAsia="en-US"/>
    </w:rPr>
  </w:style>
  <w:style w:type="paragraph" w:styleId="Heading5">
    <w:name w:val="heading 5"/>
    <w:next w:val="Normal"/>
    <w:link w:val="Heading5Char"/>
    <w:uiPriority w:val="15"/>
    <w:qFormat/>
    <w:rsid w:val="00F85722"/>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16"/>
    <w:qFormat/>
    <w:rsid w:val="00F85722"/>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F85722"/>
    <w:pPr>
      <w:outlineLvl w:val="6"/>
    </w:pPr>
    <w:rPr>
      <w:rFonts w:asciiTheme="majorHAnsi" w:eastAsiaTheme="majorEastAsia" w:hAnsiTheme="majorHAnsi" w:cstheme="majorBidi"/>
      <w:i/>
      <w:color w:val="1F4D78"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F85722"/>
    <w:rPr>
      <w:sz w:val="20"/>
      <w:szCs w:val="20"/>
    </w:rPr>
  </w:style>
  <w:style w:type="character" w:customStyle="1" w:styleId="CommentTextChar">
    <w:name w:val="Comment Text Char"/>
    <w:basedOn w:val="DefaultParagraphFont"/>
    <w:link w:val="CommentText"/>
    <w:uiPriority w:val="99"/>
    <w:rsid w:val="008C44AD"/>
    <w:rPr>
      <w:rFonts w:eastAsiaTheme="minorHAnsi" w:cstheme="minorBidi"/>
      <w:lang w:eastAsia="en-US"/>
    </w:rPr>
  </w:style>
  <w:style w:type="paragraph" w:styleId="Header">
    <w:name w:val="header"/>
    <w:basedOn w:val="Normal"/>
    <w:link w:val="HeaderChar"/>
    <w:uiPriority w:val="28"/>
    <w:rsid w:val="00F85722"/>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28"/>
    <w:rsid w:val="00F85722"/>
    <w:rPr>
      <w:rFonts w:ascii="Calibri" w:eastAsiaTheme="minorHAnsi" w:hAnsi="Calibri" w:cstheme="minorBidi"/>
      <w:szCs w:val="22"/>
      <w:lang w:eastAsia="en-US"/>
    </w:rPr>
  </w:style>
  <w:style w:type="paragraph" w:styleId="Footer">
    <w:name w:val="footer"/>
    <w:basedOn w:val="Normal"/>
    <w:link w:val="FooterChar"/>
    <w:uiPriority w:val="27"/>
    <w:rsid w:val="00F85722"/>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27"/>
    <w:rsid w:val="00F85722"/>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F85722"/>
    <w:rPr>
      <w:sz w:val="16"/>
      <w:szCs w:val="16"/>
    </w:rPr>
  </w:style>
  <w:style w:type="paragraph" w:styleId="CommentSubject">
    <w:name w:val="annotation subject"/>
    <w:basedOn w:val="CommentText"/>
    <w:next w:val="CommentText"/>
    <w:link w:val="CommentSubjectChar"/>
    <w:uiPriority w:val="99"/>
    <w:semiHidden/>
    <w:unhideWhenUsed/>
    <w:rsid w:val="00F85722"/>
    <w:rPr>
      <w:b/>
      <w:bCs/>
    </w:rPr>
  </w:style>
  <w:style w:type="character" w:customStyle="1" w:styleId="CommentSubjectChar">
    <w:name w:val="Comment Subject Char"/>
    <w:basedOn w:val="CommentTextChar"/>
    <w:link w:val="CommentSubject"/>
    <w:uiPriority w:val="99"/>
    <w:semiHidden/>
    <w:rsid w:val="00F85722"/>
    <w:rPr>
      <w:rFonts w:eastAsiaTheme="minorHAnsi" w:cstheme="minorBidi"/>
      <w:b/>
      <w:bCs/>
      <w:lang w:eastAsia="en-US"/>
    </w:rPr>
  </w:style>
  <w:style w:type="paragraph" w:styleId="BalloonText">
    <w:name w:val="Balloon Text"/>
    <w:basedOn w:val="Normal"/>
    <w:link w:val="BalloonTextChar"/>
    <w:uiPriority w:val="99"/>
    <w:semiHidden/>
    <w:unhideWhenUsed/>
    <w:rsid w:val="00F85722"/>
    <w:rPr>
      <w:rFonts w:ascii="Calibri" w:hAnsi="Calibri"/>
      <w:sz w:val="18"/>
      <w:szCs w:val="18"/>
    </w:rPr>
  </w:style>
  <w:style w:type="character" w:customStyle="1" w:styleId="BalloonTextChar">
    <w:name w:val="Balloon Text Char"/>
    <w:basedOn w:val="DefaultParagraphFont"/>
    <w:link w:val="BalloonText"/>
    <w:uiPriority w:val="99"/>
    <w:semiHidden/>
    <w:rsid w:val="00F85722"/>
    <w:rPr>
      <w:rFonts w:ascii="Calibri" w:eastAsiaTheme="minorHAnsi" w:hAnsi="Calibri" w:cstheme="minorBidi"/>
      <w:sz w:val="18"/>
      <w:szCs w:val="18"/>
      <w:lang w:eastAsia="en-US"/>
    </w:rPr>
  </w:style>
  <w:style w:type="table" w:styleId="TableGrid">
    <w:name w:val="Table Grid"/>
    <w:basedOn w:val="TableNormal"/>
    <w:uiPriority w:val="59"/>
    <w:rsid w:val="00F8572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F85722"/>
    <w:rPr>
      <w:sz w:val="16"/>
    </w:rPr>
  </w:style>
  <w:style w:type="numbering" w:customStyle="1" w:styleId="Headings">
    <w:name w:val="Headings"/>
    <w:uiPriority w:val="99"/>
    <w:rsid w:val="00F85722"/>
    <w:pPr>
      <w:numPr>
        <w:numId w:val="3"/>
      </w:numPr>
    </w:pPr>
  </w:style>
  <w:style w:type="character" w:customStyle="1" w:styleId="Heading1Char">
    <w:name w:val="Heading 1 Char"/>
    <w:basedOn w:val="DefaultParagraphFont"/>
    <w:link w:val="Heading1"/>
    <w:uiPriority w:val="12"/>
    <w:rsid w:val="00F85722"/>
    <w:rPr>
      <w:rFonts w:ascii="Calibri" w:eastAsiaTheme="minorHAnsi" w:hAnsi="Calibri" w:cs="Calibri"/>
      <w:b/>
      <w:sz w:val="60"/>
      <w:szCs w:val="22"/>
      <w:lang w:eastAsia="en-US"/>
    </w:rPr>
  </w:style>
  <w:style w:type="paragraph" w:styleId="ListParagraph">
    <w:name w:val="List Paragraph"/>
    <w:basedOn w:val="Normal"/>
    <w:uiPriority w:val="99"/>
    <w:semiHidden/>
    <w:qFormat/>
    <w:rsid w:val="006F1726"/>
    <w:pPr>
      <w:ind w:left="720"/>
    </w:pPr>
  </w:style>
  <w:style w:type="character" w:customStyle="1" w:styleId="Heading2Char">
    <w:name w:val="Heading 2 Char"/>
    <w:basedOn w:val="DefaultParagraphFont"/>
    <w:link w:val="Heading2"/>
    <w:uiPriority w:val="12"/>
    <w:rsid w:val="002329C9"/>
    <w:rPr>
      <w:rFonts w:ascii="Calibri" w:eastAsiaTheme="majorEastAsia" w:hAnsi="Calibri" w:cstheme="majorBidi"/>
      <w:b/>
      <w:bCs/>
      <w:color w:val="002855"/>
      <w:sz w:val="34"/>
      <w:szCs w:val="26"/>
      <w:lang w:eastAsia="en-US"/>
    </w:rPr>
  </w:style>
  <w:style w:type="character" w:customStyle="1" w:styleId="Heading3Char">
    <w:name w:val="Heading 3 Char"/>
    <w:basedOn w:val="DefaultParagraphFont"/>
    <w:link w:val="Heading3"/>
    <w:uiPriority w:val="13"/>
    <w:rsid w:val="002329C9"/>
    <w:rPr>
      <w:rFonts w:ascii="Calibri" w:eastAsiaTheme="minorHAnsi" w:hAnsi="Calibri" w:cstheme="minorBidi"/>
      <w:b/>
      <w:bCs/>
      <w:color w:val="005F86"/>
      <w:sz w:val="28"/>
      <w:szCs w:val="22"/>
      <w:lang w:eastAsia="en-US"/>
    </w:rPr>
  </w:style>
  <w:style w:type="character" w:customStyle="1" w:styleId="Heading4Char">
    <w:name w:val="Heading 4 Char"/>
    <w:basedOn w:val="DefaultParagraphFont"/>
    <w:link w:val="Heading4"/>
    <w:uiPriority w:val="14"/>
    <w:rsid w:val="002329C9"/>
    <w:rPr>
      <w:rFonts w:ascii="Calibri" w:eastAsiaTheme="minorHAnsi" w:hAnsi="Calibri" w:cstheme="minorBidi"/>
      <w:b/>
      <w:bCs/>
      <w:iCs/>
      <w:color w:val="000000"/>
      <w:sz w:val="24"/>
      <w:szCs w:val="22"/>
      <w:lang w:eastAsia="en-US"/>
    </w:rPr>
  </w:style>
  <w:style w:type="character" w:customStyle="1" w:styleId="Heading5Char">
    <w:name w:val="Heading 5 Char"/>
    <w:basedOn w:val="DefaultParagraphFont"/>
    <w:link w:val="Heading5"/>
    <w:uiPriority w:val="15"/>
    <w:rsid w:val="00F85722"/>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F85722"/>
    <w:pPr>
      <w:ind w:left="709" w:right="567"/>
    </w:pPr>
    <w:rPr>
      <w:iCs/>
      <w:color w:val="000000"/>
    </w:rPr>
  </w:style>
  <w:style w:type="character" w:customStyle="1" w:styleId="QuoteChar">
    <w:name w:val="Quote Char"/>
    <w:basedOn w:val="DefaultParagraphFont"/>
    <w:link w:val="Quote"/>
    <w:uiPriority w:val="18"/>
    <w:rsid w:val="00F85722"/>
    <w:rPr>
      <w:rFonts w:eastAsiaTheme="minorHAnsi" w:cstheme="minorBidi"/>
      <w:iCs/>
      <w:color w:val="000000"/>
      <w:sz w:val="22"/>
      <w:szCs w:val="22"/>
      <w:lang w:eastAsia="en-US"/>
    </w:rPr>
  </w:style>
  <w:style w:type="paragraph" w:customStyle="1" w:styleId="BoxText">
    <w:name w:val="Box Text"/>
    <w:basedOn w:val="Normal"/>
    <w:uiPriority w:val="19"/>
    <w:semiHidden/>
    <w:qFormat/>
    <w:rsid w:val="00F85722"/>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7"/>
    <w:qFormat/>
    <w:rsid w:val="00F85722"/>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rsid w:val="00F85722"/>
    <w:pPr>
      <w:spacing w:line="240" w:lineRule="auto"/>
      <w:contextualSpacing/>
    </w:pPr>
    <w:rPr>
      <w:rFonts w:ascii="Calibri" w:hAnsi="Calibri"/>
      <w:sz w:val="18"/>
    </w:rPr>
  </w:style>
  <w:style w:type="paragraph" w:styleId="Title">
    <w:name w:val="Title"/>
    <w:basedOn w:val="Normal"/>
    <w:next w:val="Normal"/>
    <w:link w:val="TitleChar"/>
    <w:uiPriority w:val="10"/>
    <w:semiHidden/>
    <w:qFormat/>
    <w:rsid w:val="00F857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8C44AD"/>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23"/>
    <w:semiHidden/>
    <w:qFormat/>
    <w:rsid w:val="006F1726"/>
    <w:pPr>
      <w:spacing w:after="840" w:line="240" w:lineRule="auto"/>
    </w:pPr>
    <w:rPr>
      <w:rFonts w:ascii="Calibri" w:hAnsi="Calibri" w:cs="Calibri"/>
      <w:sz w:val="68"/>
      <w:szCs w:val="72"/>
    </w:rPr>
  </w:style>
  <w:style w:type="character" w:customStyle="1" w:styleId="SubtitleChar">
    <w:name w:val="Subtitle Char"/>
    <w:link w:val="Subtitle"/>
    <w:uiPriority w:val="23"/>
    <w:semiHidden/>
    <w:rsid w:val="008C44AD"/>
    <w:rPr>
      <w:rFonts w:ascii="Calibri" w:eastAsiaTheme="minorHAnsi" w:hAnsi="Calibri" w:cs="Calibri"/>
      <w:sz w:val="68"/>
      <w:szCs w:val="72"/>
      <w:lang w:eastAsia="en-US"/>
    </w:rPr>
  </w:style>
  <w:style w:type="paragraph" w:styleId="TOCHeading">
    <w:name w:val="TOC Heading"/>
    <w:next w:val="Normal"/>
    <w:uiPriority w:val="39"/>
    <w:qFormat/>
    <w:rsid w:val="002329C9"/>
    <w:rPr>
      <w:rFonts w:ascii="Calibri" w:eastAsiaTheme="majorEastAsia" w:hAnsi="Calibri" w:cstheme="majorBidi"/>
      <w:b/>
      <w:bCs/>
      <w:color w:val="002855"/>
      <w:sz w:val="34"/>
      <w:szCs w:val="28"/>
      <w:lang w:val="en-US" w:eastAsia="en-US"/>
    </w:rPr>
  </w:style>
  <w:style w:type="paragraph" w:styleId="TOC1">
    <w:name w:val="toc 1"/>
    <w:next w:val="Normal"/>
    <w:uiPriority w:val="39"/>
    <w:rsid w:val="00F85722"/>
    <w:pPr>
      <w:tabs>
        <w:tab w:val="left" w:pos="426"/>
        <w:tab w:val="right" w:leader="dot" w:pos="9072"/>
      </w:tabs>
      <w:spacing w:before="120" w:after="120"/>
      <w:ind w:left="851" w:hanging="851"/>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rsid w:val="00F85722"/>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rsid w:val="00F85722"/>
    <w:pPr>
      <w:tabs>
        <w:tab w:val="right" w:leader="dot" w:pos="9072"/>
      </w:tabs>
      <w:spacing w:before="120" w:after="120" w:line="240" w:lineRule="auto"/>
      <w:ind w:left="1361" w:hanging="907"/>
    </w:pPr>
    <w:rPr>
      <w:noProof/>
    </w:rPr>
  </w:style>
  <w:style w:type="character" w:styleId="Hyperlink">
    <w:name w:val="Hyperlink"/>
    <w:basedOn w:val="DefaultParagraphFont"/>
    <w:uiPriority w:val="99"/>
    <w:qFormat/>
    <w:rsid w:val="00F85722"/>
    <w:rPr>
      <w:color w:val="165788"/>
      <w:u w:val="single"/>
    </w:rPr>
  </w:style>
  <w:style w:type="paragraph" w:styleId="ListBullet">
    <w:name w:val="List Bullet"/>
    <w:uiPriority w:val="7"/>
    <w:qFormat/>
    <w:rsid w:val="00F85722"/>
    <w:pPr>
      <w:numPr>
        <w:numId w:val="14"/>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F85722"/>
    <w:pPr>
      <w:spacing w:before="120" w:after="120" w:line="240" w:lineRule="auto"/>
      <w:ind w:left="936" w:hanging="936"/>
    </w:pPr>
    <w:rPr>
      <w:rFonts w:asciiTheme="minorHAnsi" w:hAnsiTheme="minorHAnsi"/>
    </w:rPr>
  </w:style>
  <w:style w:type="paragraph" w:styleId="ListBullet2">
    <w:name w:val="List Bullet 2"/>
    <w:uiPriority w:val="8"/>
    <w:qFormat/>
    <w:rsid w:val="00F85722"/>
    <w:pPr>
      <w:numPr>
        <w:ilvl w:val="1"/>
        <w:numId w:val="14"/>
      </w:numPr>
      <w:spacing w:before="120" w:after="120"/>
    </w:pPr>
    <w:rPr>
      <w:rFonts w:eastAsiaTheme="minorHAnsi" w:cstheme="minorBidi"/>
      <w:sz w:val="22"/>
      <w:szCs w:val="22"/>
      <w:lang w:eastAsia="en-US"/>
    </w:rPr>
  </w:style>
  <w:style w:type="paragraph" w:styleId="ListNumber">
    <w:name w:val="List Number"/>
    <w:basedOn w:val="Normal"/>
    <w:uiPriority w:val="9"/>
    <w:qFormat/>
    <w:rsid w:val="00F85722"/>
    <w:pPr>
      <w:numPr>
        <w:numId w:val="15"/>
      </w:numPr>
      <w:spacing w:before="120" w:after="120" w:line="280" w:lineRule="atLeast"/>
    </w:pPr>
    <w:rPr>
      <w:szCs w:val="20"/>
    </w:rPr>
  </w:style>
  <w:style w:type="paragraph" w:styleId="ListNumber2">
    <w:name w:val="List Number 2"/>
    <w:uiPriority w:val="10"/>
    <w:qFormat/>
    <w:rsid w:val="00F85722"/>
    <w:pPr>
      <w:numPr>
        <w:ilvl w:val="1"/>
        <w:numId w:val="15"/>
      </w:numPr>
      <w:spacing w:before="120" w:after="120" w:line="264" w:lineRule="auto"/>
    </w:pPr>
    <w:rPr>
      <w:rFonts w:eastAsia="Times New Roman"/>
      <w:sz w:val="22"/>
      <w:szCs w:val="24"/>
      <w:lang w:eastAsia="en-US"/>
    </w:rPr>
  </w:style>
  <w:style w:type="paragraph" w:styleId="ListNumber3">
    <w:name w:val="List Number 3"/>
    <w:uiPriority w:val="11"/>
    <w:qFormat/>
    <w:rsid w:val="00F85722"/>
    <w:pPr>
      <w:numPr>
        <w:ilvl w:val="2"/>
        <w:numId w:val="15"/>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F8572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F85722"/>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F85722"/>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rsid w:val="00F85722"/>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F85722"/>
    <w:pPr>
      <w:keepNext/>
    </w:pPr>
    <w:rPr>
      <w:b/>
    </w:rPr>
  </w:style>
  <w:style w:type="character" w:styleId="PlaceholderText">
    <w:name w:val="Placeholder Text"/>
    <w:basedOn w:val="DefaultParagraphFont"/>
    <w:uiPriority w:val="99"/>
    <w:semiHidden/>
    <w:rsid w:val="00F85722"/>
    <w:rPr>
      <w:color w:val="808080"/>
    </w:rPr>
  </w:style>
  <w:style w:type="paragraph" w:customStyle="1" w:styleId="Author">
    <w:name w:val="Author"/>
    <w:basedOn w:val="Normal"/>
    <w:next w:val="Normal"/>
    <w:uiPriority w:val="24"/>
    <w:semiHidden/>
    <w:qFormat/>
    <w:rsid w:val="00F85722"/>
    <w:pPr>
      <w:spacing w:after="60"/>
    </w:pPr>
    <w:rPr>
      <w:b/>
      <w:sz w:val="28"/>
      <w:szCs w:val="28"/>
    </w:rPr>
  </w:style>
  <w:style w:type="paragraph" w:customStyle="1" w:styleId="AuthorOrganisationAffiliation">
    <w:name w:val="Author Organisation/Affiliation"/>
    <w:basedOn w:val="Normal"/>
    <w:next w:val="Normal"/>
    <w:uiPriority w:val="25"/>
    <w:semiHidden/>
    <w:qFormat/>
    <w:rsid w:val="00F85722"/>
    <w:pPr>
      <w:spacing w:after="720"/>
    </w:pPr>
  </w:style>
  <w:style w:type="character" w:styleId="Strong">
    <w:name w:val="Strong"/>
    <w:uiPriority w:val="22"/>
    <w:qFormat/>
    <w:rsid w:val="00F85722"/>
    <w:rPr>
      <w:b/>
      <w:bCs/>
    </w:rPr>
  </w:style>
  <w:style w:type="paragraph" w:customStyle="1" w:styleId="Glossary">
    <w:name w:val="Glossary"/>
    <w:basedOn w:val="Normal"/>
    <w:link w:val="GlossaryChar"/>
    <w:uiPriority w:val="28"/>
    <w:semiHidden/>
    <w:qFormat/>
    <w:rsid w:val="006F1726"/>
    <w:pPr>
      <w:spacing w:before="120" w:after="120"/>
      <w:ind w:left="2126" w:hanging="2126"/>
    </w:pPr>
    <w:rPr>
      <w:color w:val="000000"/>
    </w:rPr>
  </w:style>
  <w:style w:type="character" w:customStyle="1" w:styleId="GlossaryChar">
    <w:name w:val="Glossary Char"/>
    <w:link w:val="Glossary"/>
    <w:uiPriority w:val="28"/>
    <w:semiHidden/>
    <w:rsid w:val="008C44AD"/>
    <w:rPr>
      <w:rFonts w:eastAsiaTheme="minorHAnsi" w:cstheme="minorBidi"/>
      <w:color w:val="000000"/>
      <w:sz w:val="22"/>
      <w:szCs w:val="22"/>
      <w:lang w:eastAsia="en-US"/>
    </w:rPr>
  </w:style>
  <w:style w:type="character" w:styleId="Emphasis">
    <w:name w:val="Emphasis"/>
    <w:basedOn w:val="DefaultParagraphFont"/>
    <w:uiPriority w:val="11"/>
    <w:qFormat/>
    <w:rsid w:val="00F85722"/>
    <w:rPr>
      <w:i/>
      <w:iCs/>
    </w:rPr>
  </w:style>
  <w:style w:type="paragraph" w:styleId="TOAHeading">
    <w:name w:val="toa heading"/>
    <w:basedOn w:val="Heading1"/>
    <w:next w:val="Normal"/>
    <w:uiPriority w:val="99"/>
    <w:semiHidden/>
    <w:unhideWhenUsed/>
    <w:rsid w:val="00F85722"/>
    <w:pPr>
      <w:spacing w:before="120"/>
    </w:pPr>
    <w:rPr>
      <w:bCs/>
      <w:sz w:val="24"/>
    </w:rPr>
  </w:style>
  <w:style w:type="paragraph" w:styleId="NormalWeb">
    <w:name w:val="Normal (Web)"/>
    <w:basedOn w:val="Normal"/>
    <w:uiPriority w:val="99"/>
    <w:semiHidden/>
    <w:unhideWhenUsed/>
    <w:rsid w:val="00F85722"/>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semiHidden/>
    <w:qFormat/>
    <w:rsid w:val="00F85722"/>
    <w:pPr>
      <w:numPr>
        <w:numId w:val="8"/>
      </w:numPr>
    </w:pPr>
  </w:style>
  <w:style w:type="paragraph" w:customStyle="1" w:styleId="TableBullet">
    <w:name w:val="Table Bullet"/>
    <w:basedOn w:val="TableText"/>
    <w:uiPriority w:val="5"/>
    <w:semiHidden/>
    <w:qFormat/>
    <w:rsid w:val="00F85722"/>
    <w:pPr>
      <w:numPr>
        <w:numId w:val="17"/>
      </w:numPr>
    </w:pPr>
  </w:style>
  <w:style w:type="paragraph" w:styleId="DocumentMap">
    <w:name w:val="Document Map"/>
    <w:basedOn w:val="Normal"/>
    <w:link w:val="DocumentMapChar"/>
    <w:uiPriority w:val="99"/>
    <w:semiHidden/>
    <w:unhideWhenUsed/>
    <w:rsid w:val="00F857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5722"/>
    <w:rPr>
      <w:rFonts w:ascii="Tahoma" w:eastAsiaTheme="minorHAnsi" w:hAnsi="Tahoma" w:cs="Tahoma"/>
      <w:sz w:val="16"/>
      <w:szCs w:val="16"/>
      <w:lang w:eastAsia="en-US"/>
    </w:rPr>
  </w:style>
  <w:style w:type="paragraph" w:customStyle="1" w:styleId="TOCHeadingsamepage">
    <w:name w:val="TOC Heading (same page)"/>
    <w:basedOn w:val="TOCHeading"/>
    <w:next w:val="Normal"/>
    <w:uiPriority w:val="39"/>
    <w:rsid w:val="00F85722"/>
  </w:style>
  <w:style w:type="paragraph" w:customStyle="1" w:styleId="BoxHeading">
    <w:name w:val="Box Heading"/>
    <w:basedOn w:val="BoxText"/>
    <w:uiPriority w:val="20"/>
    <w:semiHidden/>
    <w:qFormat/>
    <w:rsid w:val="00F85722"/>
    <w:pPr>
      <w:spacing w:line="240" w:lineRule="auto"/>
    </w:pPr>
    <w:rPr>
      <w:b/>
    </w:rPr>
  </w:style>
  <w:style w:type="paragraph" w:customStyle="1" w:styleId="Picture">
    <w:name w:val="Picture"/>
    <w:basedOn w:val="Normal"/>
    <w:uiPriority w:val="17"/>
    <w:semiHidden/>
    <w:qFormat/>
    <w:rsid w:val="00F85722"/>
    <w:pPr>
      <w:spacing w:before="120" w:after="120" w:line="240" w:lineRule="auto"/>
    </w:pPr>
    <w:rPr>
      <w:noProof/>
      <w:lang w:eastAsia="en-AU"/>
    </w:rPr>
  </w:style>
  <w:style w:type="paragraph" w:customStyle="1" w:styleId="Securityclassification">
    <w:name w:val="Security classification"/>
    <w:basedOn w:val="Header"/>
    <w:next w:val="Header"/>
    <w:uiPriority w:val="21"/>
    <w:qFormat/>
    <w:rsid w:val="00F85722"/>
    <w:pPr>
      <w:spacing w:after="0"/>
    </w:pPr>
    <w:rPr>
      <w:b/>
      <w:caps/>
      <w:color w:val="FF0000"/>
      <w:sz w:val="36"/>
      <w:szCs w:val="36"/>
    </w:rPr>
  </w:style>
  <w:style w:type="paragraph" w:customStyle="1" w:styleId="DisseminationLimitingMarker">
    <w:name w:val="Dissemination Limiting Marker"/>
    <w:basedOn w:val="Header"/>
    <w:next w:val="Header"/>
    <w:uiPriority w:val="22"/>
    <w:qFormat/>
    <w:rsid w:val="00F85722"/>
    <w:pPr>
      <w:spacing w:after="0"/>
    </w:pPr>
    <w:rPr>
      <w:b/>
      <w:color w:val="FF0000"/>
      <w:sz w:val="36"/>
      <w:szCs w:val="36"/>
    </w:rPr>
  </w:style>
  <w:style w:type="paragraph" w:styleId="FootnoteText">
    <w:name w:val="footnote text"/>
    <w:basedOn w:val="Normal"/>
    <w:link w:val="FootnoteTextChar"/>
    <w:uiPriority w:val="99"/>
    <w:semiHidden/>
    <w:rsid w:val="00F85722"/>
    <w:pPr>
      <w:spacing w:after="60" w:line="264" w:lineRule="auto"/>
    </w:pPr>
    <w:rPr>
      <w:sz w:val="20"/>
      <w:szCs w:val="20"/>
    </w:rPr>
  </w:style>
  <w:style w:type="character" w:customStyle="1" w:styleId="FootnoteTextChar">
    <w:name w:val="Footnote Text Char"/>
    <w:basedOn w:val="DefaultParagraphFont"/>
    <w:link w:val="FootnoteText"/>
    <w:uiPriority w:val="99"/>
    <w:semiHidden/>
    <w:rsid w:val="008C44AD"/>
    <w:rPr>
      <w:rFonts w:eastAsiaTheme="minorHAnsi" w:cstheme="minorBidi"/>
      <w:lang w:eastAsia="en-US"/>
    </w:rPr>
  </w:style>
  <w:style w:type="character" w:styleId="FootnoteReference">
    <w:name w:val="footnote reference"/>
    <w:basedOn w:val="DefaultParagraphFont"/>
    <w:uiPriority w:val="99"/>
    <w:semiHidden/>
    <w:unhideWhenUsed/>
    <w:rsid w:val="00F85722"/>
    <w:rPr>
      <w:vertAlign w:val="superscript"/>
    </w:rPr>
  </w:style>
  <w:style w:type="paragraph" w:styleId="EndnoteText">
    <w:name w:val="endnote text"/>
    <w:basedOn w:val="Normal"/>
    <w:link w:val="EndnoteTextChar"/>
    <w:uiPriority w:val="25"/>
    <w:unhideWhenUsed/>
    <w:rsid w:val="00F85722"/>
    <w:pPr>
      <w:spacing w:before="120" w:after="240" w:line="240" w:lineRule="auto"/>
    </w:pPr>
    <w:rPr>
      <w:szCs w:val="20"/>
    </w:rPr>
  </w:style>
  <w:style w:type="character" w:customStyle="1" w:styleId="EndnoteTextChar">
    <w:name w:val="Endnote Text Char"/>
    <w:basedOn w:val="DefaultParagraphFont"/>
    <w:link w:val="EndnoteText"/>
    <w:uiPriority w:val="25"/>
    <w:rsid w:val="00F85722"/>
    <w:rPr>
      <w:rFonts w:eastAsiaTheme="minorHAnsi" w:cstheme="minorBidi"/>
      <w:sz w:val="22"/>
      <w:lang w:eastAsia="en-US"/>
    </w:rPr>
  </w:style>
  <w:style w:type="character" w:styleId="EndnoteReference">
    <w:name w:val="endnote reference"/>
    <w:basedOn w:val="DefaultParagraphFont"/>
    <w:uiPriority w:val="99"/>
    <w:semiHidden/>
    <w:unhideWhenUsed/>
    <w:rsid w:val="00F85722"/>
    <w:rPr>
      <w:vertAlign w:val="superscript"/>
    </w:rPr>
  </w:style>
  <w:style w:type="character" w:styleId="FollowedHyperlink">
    <w:name w:val="FollowedHyperlink"/>
    <w:basedOn w:val="DefaultParagraphFont"/>
    <w:uiPriority w:val="99"/>
    <w:semiHidden/>
    <w:unhideWhenUsed/>
    <w:rsid w:val="00F85722"/>
    <w:rPr>
      <w:color w:val="800080"/>
      <w:u w:val="single"/>
    </w:rPr>
  </w:style>
  <w:style w:type="paragraph" w:customStyle="1" w:styleId="BoxSource">
    <w:name w:val="Box Source"/>
    <w:basedOn w:val="FigureTableNoteSource"/>
    <w:uiPriority w:val="22"/>
    <w:semiHidden/>
    <w:qFormat/>
    <w:rsid w:val="00F85722"/>
    <w:pPr>
      <w:pBdr>
        <w:top w:val="single" w:sz="4" w:space="10" w:color="auto"/>
        <w:left w:val="single" w:sz="4" w:space="10" w:color="auto"/>
        <w:bottom w:val="single" w:sz="4" w:space="10" w:color="auto"/>
        <w:right w:val="single" w:sz="4" w:space="10" w:color="auto"/>
      </w:pBdr>
    </w:pPr>
    <w:rPr>
      <w:lang w:val="en-US"/>
    </w:rPr>
  </w:style>
  <w:style w:type="paragraph" w:customStyle="1" w:styleId="Heading2Nonumber">
    <w:name w:val="Heading 2 No number"/>
    <w:basedOn w:val="Heading2"/>
    <w:next w:val="Normal"/>
    <w:semiHidden/>
    <w:qFormat/>
    <w:rsid w:val="006F1726"/>
  </w:style>
  <w:style w:type="paragraph" w:customStyle="1" w:styleId="Heading1nonumbers">
    <w:name w:val="Heading 1 (no numbers)"/>
    <w:basedOn w:val="Heading1"/>
    <w:semiHidden/>
    <w:qFormat/>
    <w:rsid w:val="006F1726"/>
    <w:rPr>
      <w:lang w:val="en-US"/>
    </w:rPr>
  </w:style>
  <w:style w:type="numbering" w:customStyle="1" w:styleId="captions">
    <w:name w:val="captions"/>
    <w:uiPriority w:val="99"/>
    <w:rsid w:val="00F85722"/>
    <w:pPr>
      <w:numPr>
        <w:numId w:val="9"/>
      </w:numPr>
    </w:pPr>
  </w:style>
  <w:style w:type="paragraph" w:customStyle="1" w:styleId="TableText0">
    <w:name w:val="TableText"/>
    <w:basedOn w:val="Normal"/>
    <w:link w:val="TableTextChar0"/>
    <w:semiHidden/>
    <w:rsid w:val="006F1726"/>
    <w:pPr>
      <w:keepNext/>
      <w:spacing w:before="60" w:after="60" w:line="240" w:lineRule="auto"/>
    </w:pPr>
    <w:rPr>
      <w:rFonts w:ascii="Times New Roman" w:hAnsi="Times New Roman"/>
      <w:color w:val="000000"/>
      <w:sz w:val="16"/>
      <w:szCs w:val="20"/>
    </w:rPr>
  </w:style>
  <w:style w:type="character" w:customStyle="1" w:styleId="TableTextChar0">
    <w:name w:val="TableText Char"/>
    <w:link w:val="TableText0"/>
    <w:semiHidden/>
    <w:rsid w:val="008C44AD"/>
    <w:rPr>
      <w:rFonts w:ascii="Times New Roman" w:eastAsiaTheme="minorHAnsi" w:hAnsi="Times New Roman" w:cstheme="minorBidi"/>
      <w:color w:val="000000"/>
      <w:sz w:val="16"/>
      <w:lang w:eastAsia="en-US"/>
    </w:rPr>
  </w:style>
  <w:style w:type="paragraph" w:customStyle="1" w:styleId="TableNotes">
    <w:name w:val="TableNotes"/>
    <w:basedOn w:val="Normal"/>
    <w:link w:val="TableNotesChar"/>
    <w:semiHidden/>
    <w:rsid w:val="00F85722"/>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8C44AD"/>
    <w:rPr>
      <w:rFonts w:ascii="Arial Narrow" w:eastAsiaTheme="minorHAnsi" w:hAnsi="Arial Narrow" w:cstheme="minorBidi"/>
      <w:color w:val="000000"/>
      <w:sz w:val="16"/>
      <w:szCs w:val="22"/>
      <w:lang w:eastAsia="en-US"/>
    </w:rPr>
  </w:style>
  <w:style w:type="paragraph" w:customStyle="1" w:styleId="AQISNum">
    <w:name w:val="AQIS Num"/>
    <w:basedOn w:val="Normal"/>
    <w:next w:val="Normal"/>
    <w:link w:val="AQISNumChar"/>
    <w:semiHidden/>
    <w:rsid w:val="006F1726"/>
    <w:pPr>
      <w:numPr>
        <w:numId w:val="2"/>
      </w:numPr>
      <w:spacing w:before="60" w:after="0" w:line="280" w:lineRule="atLeast"/>
    </w:pPr>
    <w:rPr>
      <w:rFonts w:ascii="Times New Roman" w:hAnsi="Times New Roman"/>
      <w:sz w:val="24"/>
      <w:szCs w:val="20"/>
    </w:rPr>
  </w:style>
  <w:style w:type="character" w:customStyle="1" w:styleId="TableTextChar">
    <w:name w:val="Table Text Char"/>
    <w:basedOn w:val="DefaultParagraphFont"/>
    <w:link w:val="TableText"/>
    <w:rsid w:val="00F85722"/>
    <w:rPr>
      <w:rFonts w:eastAsiaTheme="minorHAnsi" w:cstheme="minorBidi"/>
      <w:sz w:val="18"/>
      <w:szCs w:val="22"/>
      <w:lang w:eastAsia="en-US"/>
    </w:rPr>
  </w:style>
  <w:style w:type="character" w:customStyle="1" w:styleId="AQISNumChar">
    <w:name w:val="AQIS Num Char"/>
    <w:link w:val="AQISNum"/>
    <w:semiHidden/>
    <w:rsid w:val="008C44AD"/>
    <w:rPr>
      <w:rFonts w:ascii="Times New Roman" w:eastAsiaTheme="minorHAnsi" w:hAnsi="Times New Roman" w:cstheme="minorBidi"/>
      <w:sz w:val="24"/>
      <w:lang w:eastAsia="en-US"/>
    </w:rPr>
  </w:style>
  <w:style w:type="paragraph" w:customStyle="1" w:styleId="Heading6plain">
    <w:name w:val="Heading 6 plain"/>
    <w:basedOn w:val="Heading5"/>
    <w:link w:val="Heading6plainChar"/>
    <w:semiHidden/>
    <w:qFormat/>
    <w:rsid w:val="006F1726"/>
    <w:rPr>
      <w:b w:val="0"/>
    </w:rPr>
  </w:style>
  <w:style w:type="character" w:customStyle="1" w:styleId="Heading6plainChar">
    <w:name w:val="Heading 6 plain Char"/>
    <w:basedOn w:val="Heading5Char"/>
    <w:link w:val="Heading6plain"/>
    <w:semiHidden/>
    <w:rsid w:val="008C44AD"/>
    <w:rPr>
      <w:rFonts w:ascii="Calibri" w:eastAsiaTheme="minorHAnsi" w:hAnsi="Calibri" w:cstheme="minorBidi"/>
      <w:b w:val="0"/>
      <w:sz w:val="22"/>
      <w:szCs w:val="22"/>
      <w:lang w:eastAsia="en-US"/>
    </w:rPr>
  </w:style>
  <w:style w:type="numbering" w:customStyle="1" w:styleId="List1">
    <w:name w:val="List1"/>
    <w:basedOn w:val="NoList"/>
    <w:uiPriority w:val="99"/>
    <w:rsid w:val="00F85722"/>
    <w:pPr>
      <w:numPr>
        <w:numId w:val="16"/>
      </w:numPr>
    </w:pPr>
  </w:style>
  <w:style w:type="character" w:customStyle="1" w:styleId="CaptionChar">
    <w:name w:val="Caption Char"/>
    <w:basedOn w:val="DefaultParagraphFont"/>
    <w:link w:val="Caption"/>
    <w:uiPriority w:val="17"/>
    <w:rsid w:val="00F85722"/>
    <w:rPr>
      <w:rFonts w:eastAsiaTheme="majorEastAsia" w:cstheme="majorBidi"/>
      <w:b/>
      <w:bCs/>
      <w:color w:val="595959" w:themeColor="text1" w:themeTint="A6"/>
      <w:szCs w:val="18"/>
      <w:lang w:eastAsia="en-US"/>
    </w:rPr>
  </w:style>
  <w:style w:type="paragraph" w:customStyle="1" w:styleId="Style1">
    <w:name w:val="Style1"/>
    <w:basedOn w:val="Heading3"/>
    <w:semiHidden/>
    <w:qFormat/>
    <w:rsid w:val="006F1726"/>
  </w:style>
  <w:style w:type="paragraph" w:customStyle="1" w:styleId="Heading3Nonumber">
    <w:name w:val="Heading 3 No number"/>
    <w:basedOn w:val="Heading3"/>
    <w:semiHidden/>
    <w:qFormat/>
    <w:rsid w:val="006F1726"/>
  </w:style>
  <w:style w:type="numbering" w:customStyle="1" w:styleId="listbullets">
    <w:name w:val="list bullets"/>
    <w:uiPriority w:val="99"/>
    <w:rsid w:val="00F85722"/>
    <w:pPr>
      <w:numPr>
        <w:numId w:val="14"/>
      </w:numPr>
    </w:pPr>
  </w:style>
  <w:style w:type="numbering" w:customStyle="1" w:styleId="ListNumber1">
    <w:name w:val="List Number1"/>
    <w:uiPriority w:val="99"/>
    <w:rsid w:val="00F85722"/>
    <w:pPr>
      <w:numPr>
        <w:numId w:val="15"/>
      </w:numPr>
    </w:pPr>
  </w:style>
  <w:style w:type="paragraph" w:customStyle="1" w:styleId="EndNoteBibliography">
    <w:name w:val="EndNote Bibliography"/>
    <w:basedOn w:val="Normal"/>
    <w:link w:val="EndNoteBibliographyChar"/>
    <w:uiPriority w:val="24"/>
    <w:rsid w:val="00F85722"/>
    <w:pPr>
      <w:spacing w:before="120" w:after="240" w:line="240" w:lineRule="auto"/>
    </w:pPr>
    <w:rPr>
      <w:noProof/>
      <w:lang w:val="en-US"/>
    </w:rPr>
  </w:style>
  <w:style w:type="character" w:customStyle="1" w:styleId="EndNoteBibliographyChar">
    <w:name w:val="EndNote Bibliography Char"/>
    <w:basedOn w:val="DefaultParagraphFont"/>
    <w:link w:val="EndNoteBibliography"/>
    <w:uiPriority w:val="24"/>
    <w:rsid w:val="00F85722"/>
    <w:rPr>
      <w:rFonts w:eastAsiaTheme="minorHAnsi" w:cstheme="minorBidi"/>
      <w:noProof/>
      <w:sz w:val="22"/>
      <w:szCs w:val="22"/>
      <w:lang w:val="en-US" w:eastAsia="en-US"/>
    </w:rPr>
  </w:style>
  <w:style w:type="character" w:styleId="UnresolvedMention">
    <w:name w:val="Unresolved Mention"/>
    <w:basedOn w:val="DefaultParagraphFont"/>
    <w:uiPriority w:val="99"/>
    <w:semiHidden/>
    <w:unhideWhenUsed/>
    <w:rsid w:val="00F85722"/>
    <w:rPr>
      <w:color w:val="605E5C"/>
      <w:shd w:val="clear" w:color="auto" w:fill="E1DFDD"/>
    </w:rPr>
  </w:style>
  <w:style w:type="paragraph" w:customStyle="1" w:styleId="Heading4-Appendix">
    <w:name w:val="Heading 4 - Appendix"/>
    <w:basedOn w:val="Heading4"/>
    <w:link w:val="Heading4-AppendixChar"/>
    <w:uiPriority w:val="15"/>
    <w:qFormat/>
    <w:rsid w:val="00DF11D4"/>
    <w:pPr>
      <w:tabs>
        <w:tab w:val="num" w:pos="720"/>
      </w:tabs>
      <w:ind w:left="360" w:hanging="360"/>
      <w:jc w:val="both"/>
    </w:pPr>
  </w:style>
  <w:style w:type="character" w:customStyle="1" w:styleId="Heading4-AppendixChar">
    <w:name w:val="Heading 4 - Appendix Char"/>
    <w:basedOn w:val="Heading4Char"/>
    <w:link w:val="Heading4-Appendix"/>
    <w:uiPriority w:val="15"/>
    <w:rsid w:val="00DF11D4"/>
    <w:rPr>
      <w:rFonts w:ascii="Calibri" w:eastAsiaTheme="minorHAnsi" w:hAnsi="Calibri" w:cstheme="minorBidi"/>
      <w:b/>
      <w:bCs/>
      <w:iCs/>
      <w:color w:val="C88F42"/>
      <w:sz w:val="24"/>
      <w:szCs w:val="22"/>
      <w:lang w:eastAsia="en-US"/>
    </w:rPr>
  </w:style>
  <w:style w:type="paragraph" w:customStyle="1" w:styleId="Heading5-Appendix">
    <w:name w:val="Heading 5 - Appendix"/>
    <w:basedOn w:val="Heading5"/>
    <w:qFormat/>
    <w:rsid w:val="00F85722"/>
    <w:pPr>
      <w:numPr>
        <w:numId w:val="12"/>
      </w:numPr>
    </w:pPr>
  </w:style>
  <w:style w:type="paragraph" w:customStyle="1" w:styleId="Heading3-Appendix">
    <w:name w:val="Heading 3 - Appendix"/>
    <w:basedOn w:val="Heading3"/>
    <w:link w:val="Heading3-AppendixChar"/>
    <w:uiPriority w:val="14"/>
    <w:qFormat/>
    <w:rsid w:val="00194F39"/>
    <w:pPr>
      <w:tabs>
        <w:tab w:val="num" w:pos="720"/>
      </w:tabs>
      <w:ind w:left="357" w:hanging="357"/>
      <w:jc w:val="both"/>
    </w:pPr>
  </w:style>
  <w:style w:type="character" w:customStyle="1" w:styleId="Heading3-AppendixChar">
    <w:name w:val="Heading 3 - Appendix Char"/>
    <w:basedOn w:val="Heading3Char"/>
    <w:link w:val="Heading3-Appendix"/>
    <w:uiPriority w:val="14"/>
    <w:rsid w:val="00194F39"/>
    <w:rPr>
      <w:rFonts w:ascii="Calibri" w:eastAsiaTheme="minorHAnsi" w:hAnsi="Calibri" w:cstheme="minorBidi"/>
      <w:b/>
      <w:bCs/>
      <w:color w:val="3C2639"/>
      <w:sz w:val="28"/>
      <w:szCs w:val="22"/>
      <w:lang w:eastAsia="en-US"/>
    </w:rPr>
  </w:style>
  <w:style w:type="paragraph" w:styleId="Revision">
    <w:name w:val="Revision"/>
    <w:hidden/>
    <w:uiPriority w:val="99"/>
    <w:semiHidden/>
    <w:rsid w:val="00B20BC6"/>
    <w:rPr>
      <w:rFonts w:eastAsia="Calibri"/>
      <w:sz w:val="22"/>
      <w:szCs w:val="22"/>
      <w:lang w:eastAsia="en-US"/>
    </w:rPr>
  </w:style>
  <w:style w:type="paragraph" w:customStyle="1" w:styleId="Tablecaption">
    <w:name w:val="Table caption"/>
    <w:basedOn w:val="Caption"/>
    <w:link w:val="TablecaptionChar"/>
    <w:qFormat/>
    <w:rsid w:val="00F85722"/>
    <w:pPr>
      <w:contextualSpacing/>
    </w:pPr>
  </w:style>
  <w:style w:type="character" w:customStyle="1" w:styleId="TablecaptionChar">
    <w:name w:val="Table caption Char"/>
    <w:basedOn w:val="CaptionChar"/>
    <w:link w:val="Tablecaption"/>
    <w:rsid w:val="00F85722"/>
    <w:rPr>
      <w:rFonts w:eastAsiaTheme="majorEastAsia" w:cstheme="majorBidi"/>
      <w:b/>
      <w:bCs/>
      <w:color w:val="595959" w:themeColor="text1" w:themeTint="A6"/>
      <w:szCs w:val="18"/>
      <w:lang w:eastAsia="en-US"/>
    </w:rPr>
  </w:style>
  <w:style w:type="character" w:customStyle="1" w:styleId="TableHeadingChar">
    <w:name w:val="Table Heading Char"/>
    <w:basedOn w:val="TableTextChar"/>
    <w:link w:val="TableHeading"/>
    <w:uiPriority w:val="14"/>
    <w:rsid w:val="00F85722"/>
    <w:rPr>
      <w:rFonts w:eastAsiaTheme="minorHAnsi" w:cstheme="minorBidi"/>
      <w:b/>
      <w:sz w:val="18"/>
      <w:szCs w:val="22"/>
      <w:lang w:eastAsia="en-US"/>
    </w:rPr>
  </w:style>
  <w:style w:type="character" w:customStyle="1" w:styleId="Calibribody11withitalics">
    <w:name w:val="Calibri (body) 11 with italics"/>
    <w:basedOn w:val="DefaultParagraphFont"/>
    <w:uiPriority w:val="1"/>
    <w:semiHidden/>
    <w:rsid w:val="00F85722"/>
    <w:rPr>
      <w:rFonts w:asciiTheme="minorHAnsi" w:hAnsiTheme="minorHAnsi"/>
      <w:i/>
    </w:rPr>
  </w:style>
  <w:style w:type="character" w:customStyle="1" w:styleId="Calibribody11inred">
    <w:name w:val="Calibri (body) 11 in red"/>
    <w:basedOn w:val="Calibribody11withitalics"/>
    <w:uiPriority w:val="1"/>
    <w:semiHidden/>
    <w:rsid w:val="00F85722"/>
    <w:rPr>
      <w:rFonts w:asciiTheme="minorHAnsi" w:hAnsiTheme="minorHAnsi"/>
      <w:i w:val="0"/>
      <w:sz w:val="22"/>
    </w:rPr>
  </w:style>
  <w:style w:type="character" w:customStyle="1" w:styleId="StyleItalic">
    <w:name w:val="Style Italic"/>
    <w:basedOn w:val="DefaultParagraphFont"/>
    <w:semiHidden/>
    <w:rsid w:val="00F85722"/>
    <w:rPr>
      <w:i/>
      <w:iCs/>
    </w:rPr>
  </w:style>
  <w:style w:type="character" w:customStyle="1" w:styleId="Cambria9withitalics">
    <w:name w:val="Cambria 9 with italics"/>
    <w:basedOn w:val="StyleItalic"/>
    <w:uiPriority w:val="1"/>
    <w:semiHidden/>
    <w:rsid w:val="00F85722"/>
    <w:rPr>
      <w:rFonts w:ascii="Cambria" w:hAnsi="Cambria"/>
      <w:i/>
      <w:iCs/>
      <w:color w:val="000000" w:themeColor="text1"/>
      <w:sz w:val="18"/>
    </w:rPr>
  </w:style>
  <w:style w:type="character" w:customStyle="1" w:styleId="Defaultparagraphfont-greenhighlighted">
    <w:name w:val="Default paragraph font - green highlighted"/>
    <w:basedOn w:val="DefaultParagraphFont"/>
    <w:uiPriority w:val="1"/>
    <w:semiHidden/>
    <w:rsid w:val="00F85722"/>
  </w:style>
  <w:style w:type="character" w:customStyle="1" w:styleId="Defaultparagraphfontinred">
    <w:name w:val="Default paragraph font in red"/>
    <w:basedOn w:val="DefaultParagraphFont"/>
    <w:uiPriority w:val="1"/>
    <w:semiHidden/>
    <w:rsid w:val="00F85722"/>
    <w:rPr>
      <w:color w:val="FF0000"/>
    </w:rPr>
  </w:style>
  <w:style w:type="character" w:customStyle="1" w:styleId="DefaultParagraphFontwithitalics">
    <w:name w:val="Default Paragraph Font with italics"/>
    <w:basedOn w:val="DefaultParagraphFont"/>
    <w:uiPriority w:val="1"/>
    <w:semiHidden/>
    <w:rsid w:val="00F85722"/>
    <w:rPr>
      <w:i/>
    </w:rPr>
  </w:style>
  <w:style w:type="paragraph" w:customStyle="1" w:styleId="EndNoteBibliographyTitle">
    <w:name w:val="EndNote Bibliography Title"/>
    <w:basedOn w:val="Normal"/>
    <w:link w:val="EndNoteBibliographyTitleChar"/>
    <w:semiHidden/>
    <w:rsid w:val="00F85722"/>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F85722"/>
    <w:rPr>
      <w:rFonts w:eastAsiaTheme="minorHAnsi" w:cstheme="minorBidi"/>
      <w:noProof/>
      <w:sz w:val="22"/>
      <w:szCs w:val="22"/>
      <w:lang w:val="en-US" w:eastAsia="en-US"/>
    </w:rPr>
  </w:style>
  <w:style w:type="numbering" w:customStyle="1" w:styleId="heading">
    <w:name w:val="heading"/>
    <w:uiPriority w:val="99"/>
    <w:rsid w:val="00F85722"/>
    <w:pPr>
      <w:numPr>
        <w:numId w:val="10"/>
      </w:numPr>
    </w:pPr>
  </w:style>
  <w:style w:type="character" w:customStyle="1" w:styleId="Heading4inred">
    <w:name w:val="Heading 4 in red"/>
    <w:basedOn w:val="DefaultParagraphFont"/>
    <w:uiPriority w:val="1"/>
    <w:semiHidden/>
    <w:rsid w:val="00F85722"/>
    <w:rPr>
      <w:color w:val="FF0000"/>
    </w:rPr>
  </w:style>
  <w:style w:type="character" w:customStyle="1" w:styleId="Heading5initalics">
    <w:name w:val="Heading 5 in italics"/>
    <w:basedOn w:val="Heading5Char"/>
    <w:uiPriority w:val="1"/>
    <w:semiHidden/>
    <w:rsid w:val="00F85722"/>
    <w:rPr>
      <w:rFonts w:asciiTheme="majorHAnsi" w:eastAsiaTheme="majorEastAsia" w:hAnsiTheme="majorHAnsi" w:cstheme="majorBidi"/>
      <w:b/>
      <w:i/>
      <w:color w:val="2E74B5" w:themeColor="accent1" w:themeShade="BF"/>
      <w:sz w:val="22"/>
      <w:szCs w:val="22"/>
      <w:lang w:eastAsia="en-US"/>
    </w:rPr>
  </w:style>
  <w:style w:type="character" w:customStyle="1" w:styleId="Heading6Char">
    <w:name w:val="Heading 6 Char"/>
    <w:basedOn w:val="DefaultParagraphFont"/>
    <w:link w:val="Heading6"/>
    <w:uiPriority w:val="16"/>
    <w:rsid w:val="00F85722"/>
    <w:rPr>
      <w:rFonts w:ascii="Calibri" w:eastAsiaTheme="majorEastAsia" w:hAnsi="Calibri" w:cstheme="majorBidi"/>
      <w:i/>
      <w:sz w:val="22"/>
      <w:szCs w:val="22"/>
      <w:lang w:eastAsia="en-US"/>
    </w:rPr>
  </w:style>
  <w:style w:type="character" w:customStyle="1" w:styleId="Heading7Char">
    <w:name w:val="Heading 7 Char"/>
    <w:basedOn w:val="DefaultParagraphFont"/>
    <w:link w:val="Heading7"/>
    <w:uiPriority w:val="9"/>
    <w:semiHidden/>
    <w:rsid w:val="00F85722"/>
    <w:rPr>
      <w:rFonts w:asciiTheme="majorHAnsi" w:eastAsiaTheme="majorEastAsia" w:hAnsiTheme="majorHAnsi" w:cstheme="majorBidi"/>
      <w:i/>
      <w:color w:val="1F4D78" w:themeColor="accent1" w:themeShade="7F"/>
      <w:sz w:val="22"/>
      <w:szCs w:val="22"/>
      <w:lang w:eastAsia="en-US"/>
    </w:rPr>
  </w:style>
  <w:style w:type="paragraph" w:customStyle="1" w:styleId="TableTitle">
    <w:name w:val="Table Title"/>
    <w:basedOn w:val="Caption"/>
    <w:link w:val="TableTitleChar"/>
    <w:semiHidden/>
    <w:qFormat/>
    <w:rsid w:val="00F85722"/>
    <w:rPr>
      <w:color w:val="000000" w:themeColor="text1"/>
      <w:sz w:val="18"/>
    </w:rPr>
  </w:style>
  <w:style w:type="character" w:customStyle="1" w:styleId="TableTitleChar">
    <w:name w:val="Table Title Char"/>
    <w:basedOn w:val="CaptionChar"/>
    <w:link w:val="TableTitle"/>
    <w:semiHidden/>
    <w:rsid w:val="00F85722"/>
    <w:rPr>
      <w:rFonts w:eastAsiaTheme="majorEastAsia" w:cstheme="majorBidi"/>
      <w:b/>
      <w:bCs/>
      <w:color w:val="000000" w:themeColor="text1"/>
      <w:sz w:val="18"/>
      <w:szCs w:val="18"/>
      <w:lang w:eastAsia="en-US"/>
    </w:rPr>
  </w:style>
  <w:style w:type="paragraph" w:customStyle="1" w:styleId="Mapheading">
    <w:name w:val="Map heading"/>
    <w:basedOn w:val="TableTitle"/>
    <w:link w:val="MapheadingChar"/>
    <w:uiPriority w:val="19"/>
    <w:qFormat/>
    <w:rsid w:val="00F85722"/>
    <w:rPr>
      <w:color w:val="595959" w:themeColor="text1" w:themeTint="A6"/>
    </w:rPr>
  </w:style>
  <w:style w:type="character" w:customStyle="1" w:styleId="MapheadingChar">
    <w:name w:val="Map heading Char"/>
    <w:basedOn w:val="TableTitleChar"/>
    <w:link w:val="Mapheading"/>
    <w:uiPriority w:val="19"/>
    <w:rsid w:val="00F85722"/>
    <w:rPr>
      <w:rFonts w:eastAsiaTheme="majorEastAsia" w:cstheme="majorBidi"/>
      <w:b/>
      <w:bCs/>
      <w:color w:val="595959" w:themeColor="text1" w:themeTint="A6"/>
      <w:sz w:val="18"/>
      <w:szCs w:val="18"/>
      <w:lang w:eastAsia="en-US"/>
    </w:rPr>
  </w:style>
  <w:style w:type="paragraph" w:customStyle="1" w:styleId="Normalsmall">
    <w:name w:val="Normal small"/>
    <w:qFormat/>
    <w:rsid w:val="00F85722"/>
    <w:pPr>
      <w:spacing w:after="120" w:line="276" w:lineRule="auto"/>
    </w:pPr>
    <w:rPr>
      <w:rFonts w:eastAsiaTheme="minorHAnsi" w:cstheme="minorBidi"/>
      <w:sz w:val="18"/>
      <w:szCs w:val="18"/>
      <w:lang w:eastAsia="en-US"/>
    </w:rPr>
  </w:style>
  <w:style w:type="table" w:customStyle="1" w:styleId="TableGrid10">
    <w:name w:val="Table Grid1"/>
    <w:basedOn w:val="TableNormal"/>
    <w:next w:val="TableGrid"/>
    <w:uiPriority w:val="59"/>
    <w:rsid w:val="00F8572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withitalics">
    <w:name w:val="Table text with italics"/>
    <w:basedOn w:val="Normal"/>
    <w:semiHidden/>
    <w:qFormat/>
    <w:rsid w:val="00F85722"/>
    <w:rPr>
      <w:i/>
      <w:sz w:val="18"/>
    </w:rPr>
  </w:style>
  <w:style w:type="paragraph" w:styleId="TOC9">
    <w:name w:val="toc 9"/>
    <w:basedOn w:val="Normal"/>
    <w:next w:val="Normal"/>
    <w:autoRedefine/>
    <w:uiPriority w:val="39"/>
    <w:semiHidden/>
    <w:unhideWhenUsed/>
    <w:rsid w:val="00F8572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35742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45669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www.awe.gov.au/" TargetMode="External"/><Relationship Id="rId42" Type="http://schemas.openxmlformats.org/officeDocument/2006/relationships/footer" Target="footer12.xml"/><Relationship Id="rId47" Type="http://schemas.openxmlformats.org/officeDocument/2006/relationships/footer" Target="footer14.xml"/><Relationship Id="rId63" Type="http://schemas.openxmlformats.org/officeDocument/2006/relationships/footer" Target="footer21.xml"/><Relationship Id="rId68" Type="http://schemas.openxmlformats.org/officeDocument/2006/relationships/header" Target="header24.xml"/><Relationship Id="rId84" Type="http://schemas.openxmlformats.org/officeDocument/2006/relationships/header" Target="header30.xml"/><Relationship Id="rId89" Type="http://schemas.openxmlformats.org/officeDocument/2006/relationships/hyperlink" Target="https://www.ippc.int/en/core-activities/standards-setting/ispms/" TargetMode="Externa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header" Target="header17.xml"/><Relationship Id="rId58" Type="http://schemas.openxmlformats.org/officeDocument/2006/relationships/header" Target="header19.xml"/><Relationship Id="rId74" Type="http://schemas.openxmlformats.org/officeDocument/2006/relationships/footer" Target="footer26.xml"/><Relationship Id="rId79" Type="http://schemas.openxmlformats.org/officeDocument/2006/relationships/hyperlink" Target="https://www.foodstandards.gov.au/code/Pages/default.aspx"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ippc.int/en/core-activities/standards-setting/ispms/" TargetMode="External"/><Relationship Id="rId95" Type="http://schemas.openxmlformats.org/officeDocument/2006/relationships/header" Target="header31.xml"/><Relationship Id="rId22" Type="http://schemas.openxmlformats.org/officeDocument/2006/relationships/hyperlink" Target="mailto:plantstakeholders@agriculture.gov.au" TargetMode="External"/><Relationship Id="rId27" Type="http://schemas.openxmlformats.org/officeDocument/2006/relationships/header" Target="header6.xml"/><Relationship Id="rId43" Type="http://schemas.openxmlformats.org/officeDocument/2006/relationships/image" Target="media/image5.png"/><Relationship Id="rId48" Type="http://schemas.openxmlformats.org/officeDocument/2006/relationships/header" Target="header15.xml"/><Relationship Id="rId64" Type="http://schemas.openxmlformats.org/officeDocument/2006/relationships/header" Target="header22.xml"/><Relationship Id="rId69" Type="http://schemas.openxmlformats.org/officeDocument/2006/relationships/footer" Target="footer24.xml"/><Relationship Id="rId80" Type="http://schemas.openxmlformats.org/officeDocument/2006/relationships/header" Target="header28.xml"/><Relationship Id="rId85" Type="http://schemas.openxmlformats.org/officeDocument/2006/relationships/footer" Target="footer30.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footer" Target="footer13.xml"/><Relationship Id="rId59" Type="http://schemas.openxmlformats.org/officeDocument/2006/relationships/header" Target="header20.xml"/><Relationship Id="rId67" Type="http://schemas.openxmlformats.org/officeDocument/2006/relationships/footer" Target="footer23.xml"/><Relationship Id="rId20" Type="http://schemas.openxmlformats.org/officeDocument/2006/relationships/hyperlink" Target="https://www.agriculture.gov.au/biosecurity-trade/policy/risk-analysis/biological-control-agents/risk-analyses" TargetMode="External"/><Relationship Id="rId41" Type="http://schemas.openxmlformats.org/officeDocument/2006/relationships/header" Target="header12.xml"/><Relationship Id="rId54" Type="http://schemas.openxmlformats.org/officeDocument/2006/relationships/footer" Target="footer16.xml"/><Relationship Id="rId62" Type="http://schemas.openxmlformats.org/officeDocument/2006/relationships/header" Target="header21.xml"/><Relationship Id="rId70" Type="http://schemas.openxmlformats.org/officeDocument/2006/relationships/image" Target="media/image6.png"/><Relationship Id="rId75" Type="http://schemas.openxmlformats.org/officeDocument/2006/relationships/header" Target="header27.xml"/><Relationship Id="rId83" Type="http://schemas.openxmlformats.org/officeDocument/2006/relationships/footer" Target="footer29.xml"/><Relationship Id="rId88" Type="http://schemas.openxmlformats.org/officeDocument/2006/relationships/hyperlink" Target="https://www.awe.gov.au/biosecurity-trade/policy/risk-analysis/group-pest-risk-analyses/mealybugs/final-report" TargetMode="External"/><Relationship Id="rId91" Type="http://schemas.openxmlformats.org/officeDocument/2006/relationships/hyperlink" Target="https://www.ippc.int/en/core-activities/standards-setting/ispms/" TargetMode="External"/><Relationship Id="rId96"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4.png"/><Relationship Id="rId49" Type="http://schemas.openxmlformats.org/officeDocument/2006/relationships/footer" Target="footer15.xml"/><Relationship Id="rId57" Type="http://schemas.openxmlformats.org/officeDocument/2006/relationships/footer" Target="footer18.xm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header" Target="header16.xml"/><Relationship Id="rId60" Type="http://schemas.openxmlformats.org/officeDocument/2006/relationships/footer" Target="footer19.xml"/><Relationship Id="rId65" Type="http://schemas.openxmlformats.org/officeDocument/2006/relationships/header" Target="header23.xml"/><Relationship Id="rId73" Type="http://schemas.openxmlformats.org/officeDocument/2006/relationships/footer" Target="footer25.xml"/><Relationship Id="rId78" Type="http://schemas.openxmlformats.org/officeDocument/2006/relationships/hyperlink" Target="https://www.foodstandards.gov.au/Pages/default.aspx" TargetMode="External"/><Relationship Id="rId81" Type="http://schemas.openxmlformats.org/officeDocument/2006/relationships/header" Target="header29.xml"/><Relationship Id="rId86" Type="http://schemas.openxmlformats.org/officeDocument/2006/relationships/hyperlink" Target="https://www.awe.gov.au/biosecurity-trade/policy/risk-analysis/group-pest-risk-analyses/scales" TargetMode="External"/><Relationship Id="rId94" Type="http://schemas.openxmlformats.org/officeDocument/2006/relationships/hyperlink" Target="https://www.wto.org/english/tratop_e/sps_e/spsagr_e.htm" TargetMode="External"/><Relationship Id="rId99" Type="http://schemas.openxmlformats.org/officeDocument/2006/relationships/header" Target="header33.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creativecommons.org/licenses/by/4.0/legalcode" TargetMode="Externa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hyperlink" Target="http://www.agriculture.gov.au/biosecurity/risk-analysis/guidelines" TargetMode="External"/><Relationship Id="rId55" Type="http://schemas.openxmlformats.org/officeDocument/2006/relationships/footer" Target="footer17.xml"/><Relationship Id="rId76" Type="http://schemas.openxmlformats.org/officeDocument/2006/relationships/footer" Target="footer27.xml"/><Relationship Id="rId97" Type="http://schemas.openxmlformats.org/officeDocument/2006/relationships/footer" Target="footer31.xml"/><Relationship Id="rId7" Type="http://schemas.openxmlformats.org/officeDocument/2006/relationships/settings" Target="settings.xml"/><Relationship Id="rId71" Type="http://schemas.openxmlformats.org/officeDocument/2006/relationships/header" Target="header25.xml"/><Relationship Id="rId92" Type="http://schemas.openxmlformats.org/officeDocument/2006/relationships/hyperlink" Target="https://www.iucngisd.org/gisd/speciesname/Macfadyena+unguis-cati" TargetMode="External"/><Relationship Id="rId2" Type="http://schemas.openxmlformats.org/officeDocument/2006/relationships/customXml" Target="../customXml/item2.xml"/><Relationship Id="rId29" Type="http://schemas.openxmlformats.org/officeDocument/2006/relationships/hyperlink" Target="https://www.business.qld.gov.au/industries/farms-fishing-forestry/agriculture/biosecurity/plants/invasive/restricted/cats-claw-creeper" TargetMode="External"/><Relationship Id="rId24" Type="http://schemas.openxmlformats.org/officeDocument/2006/relationships/header" Target="header5.xml"/><Relationship Id="rId40" Type="http://schemas.openxmlformats.org/officeDocument/2006/relationships/footer" Target="footer11.xml"/><Relationship Id="rId45" Type="http://schemas.openxmlformats.org/officeDocument/2006/relationships/header" Target="header14.xml"/><Relationship Id="rId66" Type="http://schemas.openxmlformats.org/officeDocument/2006/relationships/footer" Target="footer22.xml"/><Relationship Id="rId87" Type="http://schemas.openxmlformats.org/officeDocument/2006/relationships/hyperlink" Target="https://www.awe.gov.au/biosecurity-trade/policy/risk-analysis/group-pest-risk-analyses/group-pra-thrips-orthotospoviruses/final-report" TargetMode="External"/><Relationship Id="rId61" Type="http://schemas.openxmlformats.org/officeDocument/2006/relationships/footer" Target="footer20.xml"/><Relationship Id="rId82" Type="http://schemas.openxmlformats.org/officeDocument/2006/relationships/footer" Target="footer28.xm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header" Target="header18.xml"/><Relationship Id="rId77" Type="http://schemas.openxmlformats.org/officeDocument/2006/relationships/hyperlink" Target="https://bicon.agriculture.gov.au/BiconWeb4.0" TargetMode="External"/><Relationship Id="rId100" Type="http://schemas.openxmlformats.org/officeDocument/2006/relationships/footer" Target="footer33.xml"/><Relationship Id="rId8" Type="http://schemas.openxmlformats.org/officeDocument/2006/relationships/webSettings" Target="webSettings.xml"/><Relationship Id="rId51" Type="http://schemas.openxmlformats.org/officeDocument/2006/relationships/hyperlink" Target="https://www.agriculture.gov.au/biosecurity-trade/policy/risk-analysis/biological-control-agents/protocol_for_biological_control_agents" TargetMode="External"/><Relationship Id="rId72" Type="http://schemas.openxmlformats.org/officeDocument/2006/relationships/header" Target="header26.xml"/><Relationship Id="rId93" Type="http://schemas.openxmlformats.org/officeDocument/2006/relationships/hyperlink" Target="https://weeds.org.au/profiles/cats-claw-vine/" TargetMode="External"/><Relationship Id="rId98" Type="http://schemas.openxmlformats.org/officeDocument/2006/relationships/footer" Target="footer3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cbef77-f6d8-4dfe-89c8-c9451ce6f5f5">
      <Terms xmlns="http://schemas.microsoft.com/office/infopath/2007/PartnerControls"/>
    </lcf76f155ced4ddcb4097134ff3c332f>
    <TaxCatchAll xmlns="81c01dc6-2c49-4730-b140-874c95cac3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2986458A3CB84599A71B6AC9687E2E" ma:contentTypeVersion="18" ma:contentTypeDescription="Create a new document." ma:contentTypeScope="" ma:versionID="40f42a3dded3985b9ed0b26628ea6a29">
  <xsd:schema xmlns:xsd="http://www.w3.org/2001/XMLSchema" xmlns:xs="http://www.w3.org/2001/XMLSchema" xmlns:p="http://schemas.microsoft.com/office/2006/metadata/properties" xmlns:ns2="30cbef77-f6d8-4dfe-89c8-c9451ce6f5f5" xmlns:ns3="33cc31bb-d520-4822-af33-15f07349a5ff" xmlns:ns4="81c01dc6-2c49-4730-b140-874c95cac377" targetNamespace="http://schemas.microsoft.com/office/2006/metadata/properties" ma:root="true" ma:fieldsID="f1444b8ac4cbab9dca5e2768174c02f1" ns2:_="" ns3:_="" ns4:_="">
    <xsd:import namespace="30cbef77-f6d8-4dfe-89c8-c9451ce6f5f5"/>
    <xsd:import namespace="33cc31bb-d520-4822-af33-15f07349a5f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bef77-f6d8-4dfe-89c8-c9451ce6f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cc31bb-d520-4822-af33-15f07349a5f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cdcb545-6635-4a45-a053-5ef2ad3a1a1e}" ma:internalName="TaxCatchAll" ma:showField="CatchAllData" ma:web="33cc31bb-d520-4822-af33-15f07349a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780BA-C306-47E1-9A54-A2C7E1B0B1AC}">
  <ds:schemaRefs>
    <ds:schemaRef ds:uri="http://schemas.microsoft.com/office/2006/metadata/properties"/>
    <ds:schemaRef ds:uri="http://schemas.microsoft.com/office/infopath/2007/PartnerControls"/>
    <ds:schemaRef ds:uri="30cbef77-f6d8-4dfe-89c8-c9451ce6f5f5"/>
    <ds:schemaRef ds:uri="81c01dc6-2c49-4730-b140-874c95cac377"/>
  </ds:schemaRefs>
</ds:datastoreItem>
</file>

<file path=customXml/itemProps2.xml><?xml version="1.0" encoding="utf-8"?>
<ds:datastoreItem xmlns:ds="http://schemas.openxmlformats.org/officeDocument/2006/customXml" ds:itemID="{D7290638-0975-44D4-904F-C80DB41BD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bef77-f6d8-4dfe-89c8-c9451ce6f5f5"/>
    <ds:schemaRef ds:uri="33cc31bb-d520-4822-af33-15f07349a5f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E05E2E-DB91-42F5-A0D2-CEBF87AC20E8}">
  <ds:schemaRefs>
    <ds:schemaRef ds:uri="http://schemas.openxmlformats.org/officeDocument/2006/bibliography"/>
  </ds:schemaRefs>
</ds:datastoreItem>
</file>

<file path=customXml/itemProps4.xml><?xml version="1.0" encoding="utf-8"?>
<ds:datastoreItem xmlns:ds="http://schemas.openxmlformats.org/officeDocument/2006/customXml" ds:itemID="{D91E1D5C-43C5-40D2-8B46-474DBD707EFB}">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7</TotalTime>
  <Pages>36</Pages>
  <Words>12889</Words>
  <Characters>73470</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Neoramulariopsis unguis cati final risk analysis report</vt:lpstr>
    </vt:vector>
  </TitlesOfParts>
  <Company/>
  <LinksUpToDate>false</LinksUpToDate>
  <CharactersWithSpaces>86187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Neoramulariopsis unguis cati final risk analysis report</dc:title>
  <dc:subject/>
  <dc:creator>Department of Agriculture, Fisheries and Forestry</dc:creator>
  <cp:keywords/>
  <dc:description/>
  <cp:revision>23</cp:revision>
  <cp:lastPrinted>2025-11-04T23:19:00Z</cp:lastPrinted>
  <dcterms:created xsi:type="dcterms:W3CDTF">2025-09-02T23:23:00Z</dcterms:created>
  <dcterms:modified xsi:type="dcterms:W3CDTF">2025-11-05T21:56:00Z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lassificationContentMarkingHeaderShapeIds">
    <vt:lpwstr>5d7687da,4b647dae,5ed0eeb,4bb0815b,2ed63db0,27b575e1,60f1b9bb,158bac6e,641be88,19592375,17ff08a5,310b3bb3,7535caa9,79946687,487716e7,a55f832,6b8c64d9,1a127ccf,a3ccefc,bbf9498,2b97db31,35f21eb,6d16e4ef,b7b8c9</vt:lpwstr>
  </property>
  <property fmtid="{D5CDD505-2E9C-101B-9397-08002B2CF9AE}" pid="4" name="ClassificationContentMarkingHeaderShapeIds-1">
    <vt:lpwstr>7a04c7eb,1604722,2179cbb2,579c054b,26458fc5,17a7a3e,748c3ae5,7a6f4e23,6bc8be3a</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4f3293a6,159e1306,3773e6ef,65cda5f4,55d7eeaa,700c2cea,34941bf0,58074467,5d516f29,42f20b8b,3494d299,49432820,39a24e42,3eaeb84b,43460b31,577882b,39d38821,7bf07c39,7e825eb2,3b382aff,258bea59,2b603275,3780d970</vt:lpwstr>
  </property>
  <property fmtid="{D5CDD505-2E9C-101B-9397-08002B2CF9AE}" pid="8" name="ClassificationContentMarkingFooterShapeIds-1">
    <vt:lpwstr>239a575d,1a685cc6,1a5ab95a,278c0744,2a9f0876,30657e66,4df9c6bd,3a4c88cc,46f9f869,a6f8d64</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933d8be6-3c40-4052-87a2-9c2adcba8759_Enabled">
    <vt:lpwstr>true</vt:lpwstr>
  </property>
  <property fmtid="{D5CDD505-2E9C-101B-9397-08002B2CF9AE}" pid="12" name="MSIP_Label_933d8be6-3c40-4052-87a2-9c2adcba8759_SetDate">
    <vt:lpwstr>2024-08-15T01:14:45Z</vt:lpwstr>
  </property>
  <property fmtid="{D5CDD505-2E9C-101B-9397-08002B2CF9AE}" pid="13" name="MSIP_Label_933d8be6-3c40-4052-87a2-9c2adcba8759_Method">
    <vt:lpwstr>Privileged</vt:lpwstr>
  </property>
  <property fmtid="{D5CDD505-2E9C-101B-9397-08002B2CF9AE}" pid="14" name="MSIP_Label_933d8be6-3c40-4052-87a2-9c2adcba8759_Name">
    <vt:lpwstr>OFFICIAL</vt:lpwstr>
  </property>
  <property fmtid="{D5CDD505-2E9C-101B-9397-08002B2CF9AE}" pid="15" name="MSIP_Label_933d8be6-3c40-4052-87a2-9c2adcba8759_SiteId">
    <vt:lpwstr>2be67eb7-400c-4b3f-a5a1-1258c0da0696</vt:lpwstr>
  </property>
  <property fmtid="{D5CDD505-2E9C-101B-9397-08002B2CF9AE}" pid="16" name="MSIP_Label_933d8be6-3c40-4052-87a2-9c2adcba8759_ActionId">
    <vt:lpwstr>28e3fc03-4d4a-4bae-b833-7733b506828a</vt:lpwstr>
  </property>
  <property fmtid="{D5CDD505-2E9C-101B-9397-08002B2CF9AE}" pid="17" name="MSIP_Label_933d8be6-3c40-4052-87a2-9c2adcba8759_ContentBits">
    <vt:lpwstr>3</vt:lpwstr>
  </property>
  <property fmtid="{D5CDD505-2E9C-101B-9397-08002B2CF9AE}" pid="18" name="ContentTypeId">
    <vt:lpwstr>0x0101004C2986458A3CB84599A71B6AC9687E2E</vt:lpwstr>
  </property>
  <property fmtid="{D5CDD505-2E9C-101B-9397-08002B2CF9AE}" pid="19" name="MediaServiceImageTags">
    <vt:lpwstr/>
  </property>
</Properties>
</file>