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5B833" w14:textId="11350C20" w:rsidR="006C11D1" w:rsidRDefault="006C11D1" w:rsidP="006C11D1">
      <w:pPr>
        <w:pStyle w:val="Heading1"/>
      </w:pPr>
      <w:r w:rsidRPr="006C11D1">
        <w:t>Knowledge</w:t>
      </w:r>
      <w:r w:rsidR="0085769C">
        <w:t xml:space="preserve"> </w:t>
      </w:r>
      <w:r w:rsidRPr="006C11D1">
        <w:t>brokering and communications strategy</w:t>
      </w:r>
    </w:p>
    <w:p w14:paraId="5C78322F" w14:textId="77777777" w:rsidR="00074B9F" w:rsidRDefault="00074B9F" w:rsidP="00074B9F">
      <w:pPr>
        <w:pStyle w:val="Subtitle"/>
        <w:rPr>
          <w:b/>
        </w:rPr>
      </w:pPr>
      <w:r w:rsidRPr="00074B9F">
        <w:t>National Environmental Science Program</w:t>
      </w:r>
    </w:p>
    <w:p w14:paraId="22C4BB8B" w14:textId="09AA6BAE" w:rsidR="00764D6A" w:rsidRDefault="00B256F6">
      <w:pPr>
        <w:pStyle w:val="Picture"/>
      </w:pPr>
      <w:r w:rsidRPr="004D3DC1">
        <w:drawing>
          <wp:inline distT="0" distB="0" distL="0" distR="0" wp14:anchorId="26FDDB37" wp14:editId="6F2EDEC4">
            <wp:extent cx="5781675" cy="5781675"/>
            <wp:effectExtent l="0" t="0" r="0" b="0"/>
            <wp:docPr id="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81675" cy="5781675"/>
                    </a:xfrm>
                    <a:prstGeom prst="rect">
                      <a:avLst/>
                    </a:prstGeom>
                    <a:noFill/>
                    <a:ln w="9525">
                      <a:noFill/>
                      <a:miter lim="800000"/>
                      <a:headEnd/>
                      <a:tailEnd/>
                    </a:ln>
                  </pic:spPr>
                </pic:pic>
              </a:graphicData>
            </a:graphic>
          </wp:inline>
        </w:drawing>
      </w:r>
    </w:p>
    <w:p w14:paraId="705B8940" w14:textId="77777777" w:rsidR="00764D6A" w:rsidRDefault="00E91D72">
      <w:pPr>
        <w:pStyle w:val="Normalsmall"/>
      </w:pPr>
      <w:r>
        <w:br w:type="page"/>
      </w:r>
      <w:r>
        <w:lastRenderedPageBreak/>
        <w:t xml:space="preserve">© Commonwealth of Australia </w:t>
      </w:r>
      <w:r w:rsidR="00B97E61">
        <w:t>202</w:t>
      </w:r>
      <w:r w:rsidR="00D6626A">
        <w:t>1</w:t>
      </w:r>
    </w:p>
    <w:p w14:paraId="02AD6094" w14:textId="77777777" w:rsidR="00764D6A" w:rsidRDefault="00E91D72">
      <w:pPr>
        <w:pStyle w:val="Normalsmall"/>
        <w:rPr>
          <w:rStyle w:val="Strong"/>
        </w:rPr>
      </w:pPr>
      <w:r>
        <w:rPr>
          <w:rStyle w:val="Strong"/>
        </w:rPr>
        <w:t>Ownership of intellectual property rights</w:t>
      </w:r>
    </w:p>
    <w:p w14:paraId="505EB8D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CE647AE" w14:textId="77777777" w:rsidR="00764D6A" w:rsidRDefault="00E91D72">
      <w:pPr>
        <w:pStyle w:val="Normalsmall"/>
        <w:rPr>
          <w:rStyle w:val="Strong"/>
        </w:rPr>
      </w:pPr>
      <w:r>
        <w:rPr>
          <w:rStyle w:val="Strong"/>
        </w:rPr>
        <w:t>Creative Commons licence</w:t>
      </w:r>
    </w:p>
    <w:p w14:paraId="0958CFCE"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F28D366"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4C42C76C" w14:textId="77777777" w:rsidR="00764D6A" w:rsidRDefault="00E91D72">
      <w:pPr>
        <w:pStyle w:val="Normalsmall"/>
      </w:pPr>
      <w:r>
        <w:rPr>
          <w:noProof/>
          <w:lang w:eastAsia="en-AU"/>
        </w:rPr>
        <w:drawing>
          <wp:inline distT="0" distB="0" distL="0" distR="0" wp14:anchorId="2C193963" wp14:editId="5EBB5EF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8E94C22" w14:textId="77777777" w:rsidR="00764D6A" w:rsidRDefault="00E91D72">
      <w:pPr>
        <w:pStyle w:val="Normalsmall"/>
        <w:rPr>
          <w:rStyle w:val="Strong"/>
        </w:rPr>
      </w:pPr>
      <w:r>
        <w:rPr>
          <w:rStyle w:val="Strong"/>
        </w:rPr>
        <w:t>Cataloguing data</w:t>
      </w:r>
    </w:p>
    <w:p w14:paraId="691A7C48" w14:textId="3B1EE152" w:rsidR="00764D6A" w:rsidRDefault="00E91D72">
      <w:pPr>
        <w:pStyle w:val="Normalsmall"/>
      </w:pPr>
      <w:r>
        <w:t xml:space="preserve">This publication (and any material sourced from it) should be attributed as: </w:t>
      </w:r>
      <w:r w:rsidR="00733217" w:rsidRPr="00733217">
        <w:t>National Environmental Science Program 2021, Knowledge</w:t>
      </w:r>
      <w:r w:rsidR="0085769C">
        <w:t xml:space="preserve"> </w:t>
      </w:r>
      <w:r w:rsidR="00733217" w:rsidRPr="00733217">
        <w:t xml:space="preserve">brokering and communications </w:t>
      </w:r>
      <w:r w:rsidR="00A72BB8">
        <w:t>s</w:t>
      </w:r>
      <w:r w:rsidR="00733217" w:rsidRPr="00733217">
        <w:t>trategy</w:t>
      </w:r>
      <w:r>
        <w:t xml:space="preserve">, </w:t>
      </w:r>
      <w:r w:rsidR="00B5740E">
        <w:t>Department of Agriculture, Water and the Environment</w:t>
      </w:r>
      <w:r>
        <w:t xml:space="preserve">, Canberra, </w:t>
      </w:r>
      <w:r w:rsidR="00EE5A23">
        <w:t>March</w:t>
      </w:r>
      <w:r>
        <w:t>. CC BY 4.0.</w:t>
      </w:r>
    </w:p>
    <w:p w14:paraId="381EBE62" w14:textId="40A79576" w:rsidR="00764D6A" w:rsidRPr="00A72BB8" w:rsidRDefault="00E91D72">
      <w:pPr>
        <w:pStyle w:val="Normalsmall"/>
      </w:pPr>
      <w:r w:rsidRPr="00A72BB8">
        <w:t xml:space="preserve">ISBN </w:t>
      </w:r>
      <w:r w:rsidR="0035523A">
        <w:t>978</w:t>
      </w:r>
      <w:r w:rsidRPr="00A72BB8">
        <w:t>-</w:t>
      </w:r>
      <w:r w:rsidR="0035523A">
        <w:t>1</w:t>
      </w:r>
      <w:r w:rsidRPr="00A72BB8">
        <w:t>-</w:t>
      </w:r>
      <w:r w:rsidR="0035523A">
        <w:t>76003</w:t>
      </w:r>
      <w:r w:rsidRPr="00A72BB8">
        <w:t>-</w:t>
      </w:r>
      <w:r w:rsidR="0035523A">
        <w:t>408</w:t>
      </w:r>
      <w:r w:rsidRPr="00A72BB8">
        <w:t>-</w:t>
      </w:r>
      <w:r w:rsidR="0035523A">
        <w:t>5</w:t>
      </w:r>
    </w:p>
    <w:p w14:paraId="0E7A827B" w14:textId="4E70BB9B" w:rsidR="00764D6A" w:rsidRDefault="00E91D72">
      <w:pPr>
        <w:pStyle w:val="Normalsmall"/>
      </w:pPr>
      <w:r>
        <w:t xml:space="preserve">This publication is </w:t>
      </w:r>
      <w:r w:rsidRPr="00E20810">
        <w:t xml:space="preserve">available at </w:t>
      </w:r>
      <w:hyperlink r:id="rId15" w:history="1">
        <w:r w:rsidR="003331B3" w:rsidRPr="00CA07FB">
          <w:rPr>
            <w:rStyle w:val="Hyperlink"/>
          </w:rPr>
          <w:t>environment.gov.au/science/</w:t>
        </w:r>
        <w:proofErr w:type="spellStart"/>
        <w:r w:rsidR="003331B3" w:rsidRPr="00CA07FB">
          <w:rPr>
            <w:rStyle w:val="Hyperlink"/>
          </w:rPr>
          <w:t>nesp</w:t>
        </w:r>
        <w:proofErr w:type="spellEnd"/>
      </w:hyperlink>
      <w:r w:rsidRPr="00E20810">
        <w:t>.</w:t>
      </w:r>
    </w:p>
    <w:p w14:paraId="0CEC6A19" w14:textId="77777777" w:rsidR="00764D6A" w:rsidRDefault="00B5740E">
      <w:pPr>
        <w:pStyle w:val="Normalsmall"/>
        <w:spacing w:after="0"/>
      </w:pPr>
      <w:r>
        <w:t>Department of Agriculture, Water and the Environment</w:t>
      </w:r>
    </w:p>
    <w:p w14:paraId="64AF0A83" w14:textId="77777777" w:rsidR="00764D6A" w:rsidRDefault="00E91D72">
      <w:pPr>
        <w:pStyle w:val="Normalsmall"/>
        <w:spacing w:after="0"/>
      </w:pPr>
      <w:r>
        <w:t>GPO Box 858 Canberra ACT 2601</w:t>
      </w:r>
    </w:p>
    <w:p w14:paraId="2A331DBB" w14:textId="77777777" w:rsidR="00764D6A" w:rsidRDefault="00E91D72">
      <w:pPr>
        <w:pStyle w:val="Normalsmall"/>
        <w:spacing w:after="0"/>
      </w:pPr>
      <w:r>
        <w:t xml:space="preserve">Telephone </w:t>
      </w:r>
      <w:r w:rsidRPr="00773056">
        <w:t>1800 900 090</w:t>
      </w:r>
    </w:p>
    <w:p w14:paraId="0608561F" w14:textId="77777777" w:rsidR="00764D6A" w:rsidRDefault="00E91D72">
      <w:pPr>
        <w:pStyle w:val="Normalsmall"/>
      </w:pPr>
      <w:r w:rsidRPr="00E20810">
        <w:t xml:space="preserve">Web </w:t>
      </w:r>
      <w:hyperlink r:id="rId16" w:history="1">
        <w:r w:rsidR="00E20810" w:rsidRPr="00E20810">
          <w:rPr>
            <w:rStyle w:val="Hyperlink"/>
          </w:rPr>
          <w:t>awe.gov.au</w:t>
        </w:r>
      </w:hyperlink>
    </w:p>
    <w:p w14:paraId="08DC85CF" w14:textId="77777777" w:rsidR="007C358A" w:rsidRDefault="007C358A">
      <w:pPr>
        <w:pStyle w:val="Normalsmall"/>
      </w:pPr>
      <w:r>
        <w:rPr>
          <w:rStyle w:val="Strong"/>
        </w:rPr>
        <w:t>Disclaimer</w:t>
      </w:r>
    </w:p>
    <w:p w14:paraId="0F05FF90"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429F4FA" w14:textId="77777777" w:rsidR="00764D6A" w:rsidRPr="00460411" w:rsidRDefault="00E91D72">
      <w:pPr>
        <w:pStyle w:val="Normalsmall"/>
        <w:rPr>
          <w:rStyle w:val="Strong"/>
        </w:rPr>
      </w:pPr>
      <w:r w:rsidRPr="00460411">
        <w:rPr>
          <w:rStyle w:val="Strong"/>
        </w:rPr>
        <w:t>Acknowledgements</w:t>
      </w:r>
    </w:p>
    <w:p w14:paraId="08A80778" w14:textId="22B710F1" w:rsidR="00764D6A" w:rsidRDefault="00460411">
      <w:pPr>
        <w:pStyle w:val="Normalsmall"/>
      </w:pPr>
      <w:r w:rsidRPr="00460411">
        <w:t xml:space="preserve">The authors thank the National Environmental Science </w:t>
      </w:r>
      <w:r w:rsidR="002D5D93">
        <w:t>Program</w:t>
      </w:r>
      <w:r w:rsidR="002D5D93" w:rsidRPr="00460411">
        <w:t xml:space="preserve"> </w:t>
      </w:r>
      <w:r w:rsidR="00C5460C">
        <w:t>r</w:t>
      </w:r>
      <w:r w:rsidR="00C5460C" w:rsidRPr="00460411">
        <w:t xml:space="preserve">esearch </w:t>
      </w:r>
      <w:r w:rsidR="002D5D93">
        <w:t>h</w:t>
      </w:r>
      <w:r w:rsidRPr="00460411">
        <w:t>ubs for their input.</w:t>
      </w:r>
    </w:p>
    <w:p w14:paraId="6B0BCC26" w14:textId="4566E211" w:rsidR="0057635E" w:rsidRPr="0057635E" w:rsidRDefault="0057635E" w:rsidP="0057635E">
      <w:pPr>
        <w:pStyle w:val="Normalsmall"/>
        <w:rPr>
          <w:rStyle w:val="Strong"/>
        </w:rPr>
      </w:pPr>
      <w:r w:rsidRPr="0057635E">
        <w:rPr>
          <w:rStyle w:val="Strong"/>
        </w:rPr>
        <w:t>Document control</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57635E" w:rsidRPr="0057635E" w14:paraId="314B153E" w14:textId="77777777" w:rsidTr="00BE37AF">
        <w:trPr>
          <w:tblHeader/>
        </w:trPr>
        <w:tc>
          <w:tcPr>
            <w:tcW w:w="2265" w:type="dxa"/>
            <w:tcBorders>
              <w:top w:val="single" w:sz="4" w:space="0" w:color="auto"/>
              <w:bottom w:val="single" w:sz="4" w:space="0" w:color="auto"/>
            </w:tcBorders>
          </w:tcPr>
          <w:p w14:paraId="2641955B" w14:textId="77777777" w:rsidR="0057635E" w:rsidRPr="0057635E" w:rsidRDefault="0057635E" w:rsidP="003F1C8D">
            <w:pPr>
              <w:pStyle w:val="TableHeading"/>
            </w:pPr>
            <w:r w:rsidRPr="0057635E">
              <w:t>Version</w:t>
            </w:r>
          </w:p>
        </w:tc>
        <w:tc>
          <w:tcPr>
            <w:tcW w:w="2265" w:type="dxa"/>
            <w:tcBorders>
              <w:top w:val="single" w:sz="4" w:space="0" w:color="auto"/>
              <w:bottom w:val="single" w:sz="4" w:space="0" w:color="auto"/>
            </w:tcBorders>
          </w:tcPr>
          <w:p w14:paraId="3D0B7BF5" w14:textId="77777777" w:rsidR="0057635E" w:rsidRPr="0057635E" w:rsidRDefault="0057635E" w:rsidP="003F1C8D">
            <w:pPr>
              <w:pStyle w:val="TableHeading"/>
            </w:pPr>
            <w:r w:rsidRPr="0057635E">
              <w:t>Date of issue</w:t>
            </w:r>
          </w:p>
        </w:tc>
        <w:tc>
          <w:tcPr>
            <w:tcW w:w="2265" w:type="dxa"/>
            <w:tcBorders>
              <w:top w:val="single" w:sz="4" w:space="0" w:color="auto"/>
              <w:bottom w:val="single" w:sz="4" w:space="0" w:color="auto"/>
            </w:tcBorders>
          </w:tcPr>
          <w:p w14:paraId="7C9F2CCF" w14:textId="77777777" w:rsidR="0057635E" w:rsidRPr="0057635E" w:rsidRDefault="0057635E" w:rsidP="003F1C8D">
            <w:pPr>
              <w:pStyle w:val="TableHeading"/>
            </w:pPr>
            <w:r w:rsidRPr="0057635E">
              <w:t>Author</w:t>
            </w:r>
          </w:p>
        </w:tc>
        <w:tc>
          <w:tcPr>
            <w:tcW w:w="2265" w:type="dxa"/>
            <w:tcBorders>
              <w:top w:val="single" w:sz="4" w:space="0" w:color="auto"/>
              <w:bottom w:val="single" w:sz="4" w:space="0" w:color="auto"/>
            </w:tcBorders>
          </w:tcPr>
          <w:p w14:paraId="0186F3FE" w14:textId="77777777" w:rsidR="0057635E" w:rsidRPr="0057635E" w:rsidRDefault="0057635E" w:rsidP="003F1C8D">
            <w:pPr>
              <w:pStyle w:val="TableHeading"/>
            </w:pPr>
            <w:r w:rsidRPr="0057635E">
              <w:t>Reason for change</w:t>
            </w:r>
          </w:p>
        </w:tc>
      </w:tr>
      <w:tr w:rsidR="0057635E" w:rsidRPr="0057635E" w14:paraId="7C6896C7" w14:textId="77777777" w:rsidTr="00A07112">
        <w:tc>
          <w:tcPr>
            <w:tcW w:w="2265" w:type="dxa"/>
            <w:tcBorders>
              <w:top w:val="single" w:sz="4" w:space="0" w:color="auto"/>
              <w:bottom w:val="single" w:sz="4" w:space="0" w:color="auto"/>
            </w:tcBorders>
          </w:tcPr>
          <w:p w14:paraId="287AA752" w14:textId="77777777" w:rsidR="0057635E" w:rsidRPr="0057635E" w:rsidRDefault="0057635E" w:rsidP="003F1C8D">
            <w:pPr>
              <w:pStyle w:val="TableText"/>
            </w:pPr>
            <w:r w:rsidRPr="00A036D5">
              <w:t>1</w:t>
            </w:r>
            <w:r w:rsidRPr="0057635E">
              <w:t>.0</w:t>
            </w:r>
          </w:p>
        </w:tc>
        <w:tc>
          <w:tcPr>
            <w:tcW w:w="2265" w:type="dxa"/>
            <w:tcBorders>
              <w:top w:val="single" w:sz="4" w:space="0" w:color="auto"/>
              <w:bottom w:val="single" w:sz="4" w:space="0" w:color="auto"/>
            </w:tcBorders>
          </w:tcPr>
          <w:p w14:paraId="0471B1D2" w14:textId="6411A179" w:rsidR="0057635E" w:rsidRPr="0057635E" w:rsidRDefault="00A72BB8" w:rsidP="003F1C8D">
            <w:pPr>
              <w:pStyle w:val="TableText"/>
            </w:pPr>
            <w:r>
              <w:t>February</w:t>
            </w:r>
            <w:r w:rsidR="0085769C">
              <w:t> </w:t>
            </w:r>
            <w:r w:rsidR="0057635E" w:rsidRPr="0057635E">
              <w:t>2021</w:t>
            </w:r>
          </w:p>
        </w:tc>
        <w:tc>
          <w:tcPr>
            <w:tcW w:w="2265" w:type="dxa"/>
            <w:tcBorders>
              <w:top w:val="single" w:sz="4" w:space="0" w:color="auto"/>
              <w:bottom w:val="single" w:sz="4" w:space="0" w:color="auto"/>
            </w:tcBorders>
          </w:tcPr>
          <w:p w14:paraId="18BF89E3" w14:textId="35F864C6" w:rsidR="0057635E" w:rsidRPr="0057635E" w:rsidRDefault="00313F42" w:rsidP="003F1C8D">
            <w:pPr>
              <w:pStyle w:val="TableText"/>
            </w:pPr>
            <w:r>
              <w:t>Science Partnerships</w:t>
            </w:r>
          </w:p>
        </w:tc>
        <w:tc>
          <w:tcPr>
            <w:tcW w:w="2265" w:type="dxa"/>
            <w:tcBorders>
              <w:top w:val="single" w:sz="4" w:space="0" w:color="auto"/>
              <w:bottom w:val="single" w:sz="4" w:space="0" w:color="auto"/>
            </w:tcBorders>
          </w:tcPr>
          <w:p w14:paraId="07199B54" w14:textId="77777777" w:rsidR="0057635E" w:rsidRPr="0057635E" w:rsidRDefault="0057635E" w:rsidP="003F1C8D">
            <w:pPr>
              <w:pStyle w:val="TableText"/>
            </w:pPr>
            <w:r w:rsidRPr="0057635E">
              <w:t>First draft</w:t>
            </w:r>
          </w:p>
        </w:tc>
      </w:tr>
      <w:tr w:rsidR="00237E07" w:rsidRPr="0057635E" w14:paraId="27D9F575" w14:textId="77777777" w:rsidTr="006A37E3">
        <w:tc>
          <w:tcPr>
            <w:tcW w:w="2265" w:type="dxa"/>
            <w:tcBorders>
              <w:top w:val="single" w:sz="4" w:space="0" w:color="auto"/>
            </w:tcBorders>
          </w:tcPr>
          <w:p w14:paraId="26C4CB30" w14:textId="30A16EF6" w:rsidR="00237E07" w:rsidRPr="00A036D5" w:rsidRDefault="00237E07" w:rsidP="003F1C8D">
            <w:pPr>
              <w:pStyle w:val="TableText"/>
            </w:pPr>
            <w:r>
              <w:t>2.0</w:t>
            </w:r>
          </w:p>
        </w:tc>
        <w:tc>
          <w:tcPr>
            <w:tcW w:w="2265" w:type="dxa"/>
            <w:tcBorders>
              <w:top w:val="single" w:sz="4" w:space="0" w:color="auto"/>
            </w:tcBorders>
          </w:tcPr>
          <w:p w14:paraId="66B3A63C" w14:textId="245D055B" w:rsidR="00237E07" w:rsidRDefault="00237E07" w:rsidP="003F1C8D">
            <w:pPr>
              <w:pStyle w:val="TableText"/>
            </w:pPr>
            <w:r>
              <w:t>April 2021</w:t>
            </w:r>
          </w:p>
        </w:tc>
        <w:tc>
          <w:tcPr>
            <w:tcW w:w="2265" w:type="dxa"/>
            <w:tcBorders>
              <w:top w:val="single" w:sz="4" w:space="0" w:color="auto"/>
            </w:tcBorders>
          </w:tcPr>
          <w:p w14:paraId="14FD35AC" w14:textId="5F11C8C8" w:rsidR="00237E07" w:rsidRPr="0057635E" w:rsidRDefault="00313F42" w:rsidP="003F1C8D">
            <w:pPr>
              <w:pStyle w:val="TableText"/>
            </w:pPr>
            <w:r>
              <w:t>Science Partnership</w:t>
            </w:r>
            <w:r w:rsidR="0033379E">
              <w:t>s</w:t>
            </w:r>
          </w:p>
        </w:tc>
        <w:tc>
          <w:tcPr>
            <w:tcW w:w="2265" w:type="dxa"/>
            <w:tcBorders>
              <w:top w:val="single" w:sz="4" w:space="0" w:color="auto"/>
            </w:tcBorders>
          </w:tcPr>
          <w:p w14:paraId="5100D436" w14:textId="2ABDC1E0" w:rsidR="00237E07" w:rsidRPr="0057635E" w:rsidRDefault="00237E07" w:rsidP="003F1C8D">
            <w:pPr>
              <w:pStyle w:val="TableText"/>
            </w:pPr>
            <w:r>
              <w:t>Include hub input</w:t>
            </w:r>
          </w:p>
        </w:tc>
      </w:tr>
    </w:tbl>
    <w:p w14:paraId="652304D7" w14:textId="522B635C" w:rsidR="00764D6A" w:rsidRDefault="00764D6A">
      <w:pPr>
        <w:spacing w:after="0" w:line="240" w:lineRule="auto"/>
      </w:pP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Arial" w:hAnsi="Arial"/>
          <w:b/>
          <w:noProof/>
          <w:sz w:val="20"/>
        </w:rPr>
      </w:sdtEndPr>
      <w:sdtContent>
        <w:p w14:paraId="0B7DAB6A" w14:textId="2E926F92" w:rsidR="00764D6A" w:rsidRDefault="00E91D72" w:rsidP="009F0B46">
          <w:pPr>
            <w:pStyle w:val="TOCHeading"/>
          </w:pPr>
          <w:r>
            <w:t>Contents</w:t>
          </w:r>
        </w:p>
        <w:p w14:paraId="3717C07A" w14:textId="0C5848DA" w:rsidR="008A2A3B" w:rsidRDefault="00E91D72">
          <w:pPr>
            <w:pStyle w:val="TOC1"/>
            <w:rPr>
              <w:rFonts w:asciiTheme="minorHAnsi" w:eastAsiaTheme="minorEastAsia" w:hAnsiTheme="minorHAnsi"/>
              <w:b w:val="0"/>
              <w:sz w:val="22"/>
              <w:lang w:eastAsia="en-AU"/>
            </w:rPr>
          </w:pPr>
          <w:r>
            <w:rPr>
              <w:b w:val="0"/>
            </w:rPr>
            <w:fldChar w:fldCharType="begin"/>
          </w:r>
          <w:r>
            <w:rPr>
              <w:b w:val="0"/>
            </w:rPr>
            <w:instrText xml:space="preserve"> TOC \h \z \u \t "Heading 2,1,Heading 3,2,Style1,2,TOA Heading,1" </w:instrText>
          </w:r>
          <w:r>
            <w:rPr>
              <w:b w:val="0"/>
            </w:rPr>
            <w:fldChar w:fldCharType="separate"/>
          </w:r>
          <w:hyperlink w:anchor="_Toc74727286" w:history="1">
            <w:r w:rsidR="008A2A3B" w:rsidRPr="001F1101">
              <w:rPr>
                <w:rStyle w:val="Hyperlink"/>
              </w:rPr>
              <w:t>Acknowledgement of Country</w:t>
            </w:r>
            <w:r w:rsidR="008A2A3B">
              <w:rPr>
                <w:webHidden/>
              </w:rPr>
              <w:tab/>
            </w:r>
            <w:r w:rsidR="008A2A3B">
              <w:rPr>
                <w:webHidden/>
              </w:rPr>
              <w:fldChar w:fldCharType="begin"/>
            </w:r>
            <w:r w:rsidR="008A2A3B">
              <w:rPr>
                <w:webHidden/>
              </w:rPr>
              <w:instrText xml:space="preserve"> PAGEREF _Toc74727286 \h </w:instrText>
            </w:r>
            <w:r w:rsidR="008A2A3B">
              <w:rPr>
                <w:webHidden/>
              </w:rPr>
            </w:r>
            <w:r w:rsidR="008A2A3B">
              <w:rPr>
                <w:webHidden/>
              </w:rPr>
              <w:fldChar w:fldCharType="separate"/>
            </w:r>
            <w:r w:rsidR="008A2A3B">
              <w:rPr>
                <w:webHidden/>
              </w:rPr>
              <w:t>1</w:t>
            </w:r>
            <w:r w:rsidR="008A2A3B">
              <w:rPr>
                <w:webHidden/>
              </w:rPr>
              <w:fldChar w:fldCharType="end"/>
            </w:r>
          </w:hyperlink>
        </w:p>
        <w:p w14:paraId="253FE828" w14:textId="196FBDAB" w:rsidR="008A2A3B" w:rsidRDefault="00855E6D">
          <w:pPr>
            <w:pStyle w:val="TOC1"/>
            <w:rPr>
              <w:rFonts w:asciiTheme="minorHAnsi" w:eastAsiaTheme="minorEastAsia" w:hAnsiTheme="minorHAnsi"/>
              <w:b w:val="0"/>
              <w:sz w:val="22"/>
              <w:lang w:eastAsia="en-AU"/>
            </w:rPr>
          </w:pPr>
          <w:hyperlink w:anchor="_Toc74727287" w:history="1">
            <w:r w:rsidR="008A2A3B" w:rsidRPr="001F1101">
              <w:rPr>
                <w:rStyle w:val="Hyperlink"/>
              </w:rPr>
              <w:t>Background</w:t>
            </w:r>
            <w:r w:rsidR="008A2A3B">
              <w:rPr>
                <w:webHidden/>
              </w:rPr>
              <w:tab/>
            </w:r>
            <w:r w:rsidR="008A2A3B">
              <w:rPr>
                <w:webHidden/>
              </w:rPr>
              <w:fldChar w:fldCharType="begin"/>
            </w:r>
            <w:r w:rsidR="008A2A3B">
              <w:rPr>
                <w:webHidden/>
              </w:rPr>
              <w:instrText xml:space="preserve"> PAGEREF _Toc74727287 \h </w:instrText>
            </w:r>
            <w:r w:rsidR="008A2A3B">
              <w:rPr>
                <w:webHidden/>
              </w:rPr>
            </w:r>
            <w:r w:rsidR="008A2A3B">
              <w:rPr>
                <w:webHidden/>
              </w:rPr>
              <w:fldChar w:fldCharType="separate"/>
            </w:r>
            <w:r w:rsidR="008A2A3B">
              <w:rPr>
                <w:webHidden/>
              </w:rPr>
              <w:t>2</w:t>
            </w:r>
            <w:r w:rsidR="008A2A3B">
              <w:rPr>
                <w:webHidden/>
              </w:rPr>
              <w:fldChar w:fldCharType="end"/>
            </w:r>
          </w:hyperlink>
        </w:p>
        <w:p w14:paraId="1FBA0639" w14:textId="701001EB" w:rsidR="008A2A3B" w:rsidRDefault="00855E6D">
          <w:pPr>
            <w:pStyle w:val="TOC2"/>
            <w:rPr>
              <w:rFonts w:asciiTheme="minorHAnsi" w:eastAsiaTheme="minorEastAsia" w:hAnsiTheme="minorHAnsi"/>
              <w:sz w:val="22"/>
              <w:lang w:eastAsia="en-AU"/>
            </w:rPr>
          </w:pPr>
          <w:hyperlink w:anchor="_Toc74727288" w:history="1">
            <w:r w:rsidR="008A2A3B" w:rsidRPr="001F1101">
              <w:rPr>
                <w:rStyle w:val="Hyperlink"/>
              </w:rPr>
              <w:t>Strategy aims</w:t>
            </w:r>
            <w:r w:rsidR="008A2A3B">
              <w:rPr>
                <w:webHidden/>
              </w:rPr>
              <w:tab/>
            </w:r>
            <w:r w:rsidR="008A2A3B">
              <w:rPr>
                <w:webHidden/>
              </w:rPr>
              <w:fldChar w:fldCharType="begin"/>
            </w:r>
            <w:r w:rsidR="008A2A3B">
              <w:rPr>
                <w:webHidden/>
              </w:rPr>
              <w:instrText xml:space="preserve"> PAGEREF _Toc74727288 \h </w:instrText>
            </w:r>
            <w:r w:rsidR="008A2A3B">
              <w:rPr>
                <w:webHidden/>
              </w:rPr>
            </w:r>
            <w:r w:rsidR="008A2A3B">
              <w:rPr>
                <w:webHidden/>
              </w:rPr>
              <w:fldChar w:fldCharType="separate"/>
            </w:r>
            <w:r w:rsidR="008A2A3B">
              <w:rPr>
                <w:webHidden/>
              </w:rPr>
              <w:t>3</w:t>
            </w:r>
            <w:r w:rsidR="008A2A3B">
              <w:rPr>
                <w:webHidden/>
              </w:rPr>
              <w:fldChar w:fldCharType="end"/>
            </w:r>
          </w:hyperlink>
        </w:p>
        <w:p w14:paraId="3E8D7B52" w14:textId="19516EB2" w:rsidR="008A2A3B" w:rsidRDefault="00855E6D">
          <w:pPr>
            <w:pStyle w:val="TOC2"/>
            <w:rPr>
              <w:rFonts w:asciiTheme="minorHAnsi" w:eastAsiaTheme="minorEastAsia" w:hAnsiTheme="minorHAnsi"/>
              <w:sz w:val="22"/>
              <w:lang w:eastAsia="en-AU"/>
            </w:rPr>
          </w:pPr>
          <w:hyperlink w:anchor="_Toc74727289" w:history="1">
            <w:r w:rsidR="008A2A3B" w:rsidRPr="001F1101">
              <w:rPr>
                <w:rStyle w:val="Hyperlink"/>
              </w:rPr>
              <w:t>Communication objectives</w:t>
            </w:r>
            <w:r w:rsidR="008A2A3B">
              <w:rPr>
                <w:webHidden/>
              </w:rPr>
              <w:tab/>
            </w:r>
            <w:r w:rsidR="008A2A3B">
              <w:rPr>
                <w:webHidden/>
              </w:rPr>
              <w:fldChar w:fldCharType="begin"/>
            </w:r>
            <w:r w:rsidR="008A2A3B">
              <w:rPr>
                <w:webHidden/>
              </w:rPr>
              <w:instrText xml:space="preserve"> PAGEREF _Toc74727289 \h </w:instrText>
            </w:r>
            <w:r w:rsidR="008A2A3B">
              <w:rPr>
                <w:webHidden/>
              </w:rPr>
            </w:r>
            <w:r w:rsidR="008A2A3B">
              <w:rPr>
                <w:webHidden/>
              </w:rPr>
              <w:fldChar w:fldCharType="separate"/>
            </w:r>
            <w:r w:rsidR="008A2A3B">
              <w:rPr>
                <w:webHidden/>
              </w:rPr>
              <w:t>3</w:t>
            </w:r>
            <w:r w:rsidR="008A2A3B">
              <w:rPr>
                <w:webHidden/>
              </w:rPr>
              <w:fldChar w:fldCharType="end"/>
            </w:r>
          </w:hyperlink>
        </w:p>
        <w:p w14:paraId="54C0BE9F" w14:textId="3C8C135B" w:rsidR="008A2A3B" w:rsidRDefault="00855E6D">
          <w:pPr>
            <w:pStyle w:val="TOC1"/>
            <w:rPr>
              <w:rFonts w:asciiTheme="minorHAnsi" w:eastAsiaTheme="minorEastAsia" w:hAnsiTheme="minorHAnsi"/>
              <w:b w:val="0"/>
              <w:sz w:val="22"/>
              <w:lang w:eastAsia="en-AU"/>
            </w:rPr>
          </w:pPr>
          <w:hyperlink w:anchor="_Toc74727290" w:history="1">
            <w:r w:rsidR="008A2A3B" w:rsidRPr="001F1101">
              <w:rPr>
                <w:rStyle w:val="Hyperlink"/>
              </w:rPr>
              <w:t>Audiences</w:t>
            </w:r>
            <w:r w:rsidR="008A2A3B">
              <w:rPr>
                <w:webHidden/>
              </w:rPr>
              <w:tab/>
            </w:r>
            <w:r w:rsidR="008A2A3B">
              <w:rPr>
                <w:webHidden/>
              </w:rPr>
              <w:fldChar w:fldCharType="begin"/>
            </w:r>
            <w:r w:rsidR="008A2A3B">
              <w:rPr>
                <w:webHidden/>
              </w:rPr>
              <w:instrText xml:space="preserve"> PAGEREF _Toc74727290 \h </w:instrText>
            </w:r>
            <w:r w:rsidR="008A2A3B">
              <w:rPr>
                <w:webHidden/>
              </w:rPr>
            </w:r>
            <w:r w:rsidR="008A2A3B">
              <w:rPr>
                <w:webHidden/>
              </w:rPr>
              <w:fldChar w:fldCharType="separate"/>
            </w:r>
            <w:r w:rsidR="008A2A3B">
              <w:rPr>
                <w:webHidden/>
              </w:rPr>
              <w:t>4</w:t>
            </w:r>
            <w:r w:rsidR="008A2A3B">
              <w:rPr>
                <w:webHidden/>
              </w:rPr>
              <w:fldChar w:fldCharType="end"/>
            </w:r>
          </w:hyperlink>
        </w:p>
        <w:p w14:paraId="015DBEB2" w14:textId="2B2EFC1B" w:rsidR="008A2A3B" w:rsidRDefault="00855E6D">
          <w:pPr>
            <w:pStyle w:val="TOC1"/>
            <w:rPr>
              <w:rFonts w:asciiTheme="minorHAnsi" w:eastAsiaTheme="minorEastAsia" w:hAnsiTheme="minorHAnsi"/>
              <w:b w:val="0"/>
              <w:sz w:val="22"/>
              <w:lang w:eastAsia="en-AU"/>
            </w:rPr>
          </w:pPr>
          <w:hyperlink w:anchor="_Toc74727291" w:history="1">
            <w:r w:rsidR="008A2A3B" w:rsidRPr="001F1101">
              <w:rPr>
                <w:rStyle w:val="Hyperlink"/>
              </w:rPr>
              <w:t>Communication approach</w:t>
            </w:r>
            <w:r w:rsidR="008A2A3B">
              <w:rPr>
                <w:webHidden/>
              </w:rPr>
              <w:tab/>
            </w:r>
            <w:r w:rsidR="008A2A3B">
              <w:rPr>
                <w:webHidden/>
              </w:rPr>
              <w:fldChar w:fldCharType="begin"/>
            </w:r>
            <w:r w:rsidR="008A2A3B">
              <w:rPr>
                <w:webHidden/>
              </w:rPr>
              <w:instrText xml:space="preserve"> PAGEREF _Toc74727291 \h </w:instrText>
            </w:r>
            <w:r w:rsidR="008A2A3B">
              <w:rPr>
                <w:webHidden/>
              </w:rPr>
            </w:r>
            <w:r w:rsidR="008A2A3B">
              <w:rPr>
                <w:webHidden/>
              </w:rPr>
              <w:fldChar w:fldCharType="separate"/>
            </w:r>
            <w:r w:rsidR="008A2A3B">
              <w:rPr>
                <w:webHidden/>
              </w:rPr>
              <w:t>5</w:t>
            </w:r>
            <w:r w:rsidR="008A2A3B">
              <w:rPr>
                <w:webHidden/>
              </w:rPr>
              <w:fldChar w:fldCharType="end"/>
            </w:r>
          </w:hyperlink>
        </w:p>
        <w:p w14:paraId="0469597B" w14:textId="7CF7775B" w:rsidR="008A2A3B" w:rsidRDefault="00855E6D">
          <w:pPr>
            <w:pStyle w:val="TOC1"/>
            <w:rPr>
              <w:rFonts w:asciiTheme="minorHAnsi" w:eastAsiaTheme="minorEastAsia" w:hAnsiTheme="minorHAnsi"/>
              <w:b w:val="0"/>
              <w:sz w:val="22"/>
              <w:lang w:eastAsia="en-AU"/>
            </w:rPr>
          </w:pPr>
          <w:hyperlink w:anchor="_Toc74727292" w:history="1">
            <w:r w:rsidR="008A2A3B" w:rsidRPr="001F1101">
              <w:rPr>
                <w:rStyle w:val="Hyperlink"/>
              </w:rPr>
              <w:t>Key messages</w:t>
            </w:r>
            <w:r w:rsidR="008A2A3B">
              <w:rPr>
                <w:webHidden/>
              </w:rPr>
              <w:tab/>
            </w:r>
            <w:r w:rsidR="008A2A3B">
              <w:rPr>
                <w:webHidden/>
              </w:rPr>
              <w:fldChar w:fldCharType="begin"/>
            </w:r>
            <w:r w:rsidR="008A2A3B">
              <w:rPr>
                <w:webHidden/>
              </w:rPr>
              <w:instrText xml:space="preserve"> PAGEREF _Toc74727292 \h </w:instrText>
            </w:r>
            <w:r w:rsidR="008A2A3B">
              <w:rPr>
                <w:webHidden/>
              </w:rPr>
            </w:r>
            <w:r w:rsidR="008A2A3B">
              <w:rPr>
                <w:webHidden/>
              </w:rPr>
              <w:fldChar w:fldCharType="separate"/>
            </w:r>
            <w:r w:rsidR="008A2A3B">
              <w:rPr>
                <w:webHidden/>
              </w:rPr>
              <w:t>6</w:t>
            </w:r>
            <w:r w:rsidR="008A2A3B">
              <w:rPr>
                <w:webHidden/>
              </w:rPr>
              <w:fldChar w:fldCharType="end"/>
            </w:r>
          </w:hyperlink>
        </w:p>
        <w:p w14:paraId="589A7A9B" w14:textId="03260E58" w:rsidR="008A2A3B" w:rsidRDefault="00855E6D">
          <w:pPr>
            <w:pStyle w:val="TOC1"/>
            <w:rPr>
              <w:rFonts w:asciiTheme="minorHAnsi" w:eastAsiaTheme="minorEastAsia" w:hAnsiTheme="minorHAnsi"/>
              <w:b w:val="0"/>
              <w:sz w:val="22"/>
              <w:lang w:eastAsia="en-AU"/>
            </w:rPr>
          </w:pPr>
          <w:hyperlink w:anchor="_Toc74727293" w:history="1">
            <w:r w:rsidR="008A2A3B" w:rsidRPr="001F1101">
              <w:rPr>
                <w:rStyle w:val="Hyperlink"/>
              </w:rPr>
              <w:t>Knowledge-brokering goals</w:t>
            </w:r>
            <w:r w:rsidR="008A2A3B">
              <w:rPr>
                <w:webHidden/>
              </w:rPr>
              <w:tab/>
            </w:r>
            <w:r w:rsidR="008A2A3B">
              <w:rPr>
                <w:webHidden/>
              </w:rPr>
              <w:fldChar w:fldCharType="begin"/>
            </w:r>
            <w:r w:rsidR="008A2A3B">
              <w:rPr>
                <w:webHidden/>
              </w:rPr>
              <w:instrText xml:space="preserve"> PAGEREF _Toc74727293 \h </w:instrText>
            </w:r>
            <w:r w:rsidR="008A2A3B">
              <w:rPr>
                <w:webHidden/>
              </w:rPr>
            </w:r>
            <w:r w:rsidR="008A2A3B">
              <w:rPr>
                <w:webHidden/>
              </w:rPr>
              <w:fldChar w:fldCharType="separate"/>
            </w:r>
            <w:r w:rsidR="008A2A3B">
              <w:rPr>
                <w:webHidden/>
              </w:rPr>
              <w:t>8</w:t>
            </w:r>
            <w:r w:rsidR="008A2A3B">
              <w:rPr>
                <w:webHidden/>
              </w:rPr>
              <w:fldChar w:fldCharType="end"/>
            </w:r>
          </w:hyperlink>
        </w:p>
        <w:p w14:paraId="395E771D" w14:textId="4753A2D4" w:rsidR="008A2A3B" w:rsidRDefault="00855E6D">
          <w:pPr>
            <w:pStyle w:val="TOC1"/>
            <w:rPr>
              <w:rFonts w:asciiTheme="minorHAnsi" w:eastAsiaTheme="minorEastAsia" w:hAnsiTheme="minorHAnsi"/>
              <w:b w:val="0"/>
              <w:sz w:val="22"/>
              <w:lang w:eastAsia="en-AU"/>
            </w:rPr>
          </w:pPr>
          <w:hyperlink w:anchor="_Toc74727294" w:history="1">
            <w:r w:rsidR="008A2A3B" w:rsidRPr="001F1101">
              <w:rPr>
                <w:rStyle w:val="Hyperlink"/>
              </w:rPr>
              <w:t>Knowledge brokering and communication strategies</w:t>
            </w:r>
            <w:r w:rsidR="008A2A3B">
              <w:rPr>
                <w:webHidden/>
              </w:rPr>
              <w:tab/>
            </w:r>
            <w:r w:rsidR="008A2A3B">
              <w:rPr>
                <w:webHidden/>
              </w:rPr>
              <w:fldChar w:fldCharType="begin"/>
            </w:r>
            <w:r w:rsidR="008A2A3B">
              <w:rPr>
                <w:webHidden/>
              </w:rPr>
              <w:instrText xml:space="preserve"> PAGEREF _Toc74727294 \h </w:instrText>
            </w:r>
            <w:r w:rsidR="008A2A3B">
              <w:rPr>
                <w:webHidden/>
              </w:rPr>
            </w:r>
            <w:r w:rsidR="008A2A3B">
              <w:rPr>
                <w:webHidden/>
              </w:rPr>
              <w:fldChar w:fldCharType="separate"/>
            </w:r>
            <w:r w:rsidR="008A2A3B">
              <w:rPr>
                <w:webHidden/>
              </w:rPr>
              <w:t>9</w:t>
            </w:r>
            <w:r w:rsidR="008A2A3B">
              <w:rPr>
                <w:webHidden/>
              </w:rPr>
              <w:fldChar w:fldCharType="end"/>
            </w:r>
          </w:hyperlink>
        </w:p>
        <w:p w14:paraId="780C7636" w14:textId="526FE615" w:rsidR="008A2A3B" w:rsidRDefault="00855E6D">
          <w:pPr>
            <w:pStyle w:val="TOC1"/>
            <w:rPr>
              <w:rFonts w:asciiTheme="minorHAnsi" w:eastAsiaTheme="minorEastAsia" w:hAnsiTheme="minorHAnsi"/>
              <w:b w:val="0"/>
              <w:sz w:val="22"/>
              <w:lang w:eastAsia="en-AU"/>
            </w:rPr>
          </w:pPr>
          <w:hyperlink w:anchor="_Toc74727295" w:history="1">
            <w:r w:rsidR="008A2A3B" w:rsidRPr="001F1101">
              <w:rPr>
                <w:rStyle w:val="Hyperlink"/>
              </w:rPr>
              <w:t>Monitoring and evaluation</w:t>
            </w:r>
            <w:r w:rsidR="008A2A3B">
              <w:rPr>
                <w:webHidden/>
              </w:rPr>
              <w:tab/>
            </w:r>
            <w:r w:rsidR="008A2A3B">
              <w:rPr>
                <w:webHidden/>
              </w:rPr>
              <w:fldChar w:fldCharType="begin"/>
            </w:r>
            <w:r w:rsidR="008A2A3B">
              <w:rPr>
                <w:webHidden/>
              </w:rPr>
              <w:instrText xml:space="preserve"> PAGEREF _Toc74727295 \h </w:instrText>
            </w:r>
            <w:r w:rsidR="008A2A3B">
              <w:rPr>
                <w:webHidden/>
              </w:rPr>
            </w:r>
            <w:r w:rsidR="008A2A3B">
              <w:rPr>
                <w:webHidden/>
              </w:rPr>
              <w:fldChar w:fldCharType="separate"/>
            </w:r>
            <w:r w:rsidR="008A2A3B">
              <w:rPr>
                <w:webHidden/>
              </w:rPr>
              <w:t>10</w:t>
            </w:r>
            <w:r w:rsidR="008A2A3B">
              <w:rPr>
                <w:webHidden/>
              </w:rPr>
              <w:fldChar w:fldCharType="end"/>
            </w:r>
          </w:hyperlink>
        </w:p>
        <w:p w14:paraId="111FFE4A" w14:textId="618D0DB0" w:rsidR="008A2A3B" w:rsidRDefault="00855E6D">
          <w:pPr>
            <w:pStyle w:val="TOC1"/>
            <w:rPr>
              <w:rFonts w:asciiTheme="minorHAnsi" w:eastAsiaTheme="minorEastAsia" w:hAnsiTheme="minorHAnsi"/>
              <w:b w:val="0"/>
              <w:sz w:val="22"/>
              <w:lang w:eastAsia="en-AU"/>
            </w:rPr>
          </w:pPr>
          <w:hyperlink w:anchor="_Toc74727296" w:history="1">
            <w:r w:rsidR="008A2A3B" w:rsidRPr="001F1101">
              <w:rPr>
                <w:rStyle w:val="Hyperlink"/>
              </w:rPr>
              <w:t>Related materials</w:t>
            </w:r>
            <w:r w:rsidR="008A2A3B">
              <w:rPr>
                <w:webHidden/>
              </w:rPr>
              <w:tab/>
            </w:r>
            <w:r w:rsidR="008A2A3B">
              <w:rPr>
                <w:webHidden/>
              </w:rPr>
              <w:fldChar w:fldCharType="begin"/>
            </w:r>
            <w:r w:rsidR="008A2A3B">
              <w:rPr>
                <w:webHidden/>
              </w:rPr>
              <w:instrText xml:space="preserve"> PAGEREF _Toc74727296 \h </w:instrText>
            </w:r>
            <w:r w:rsidR="008A2A3B">
              <w:rPr>
                <w:webHidden/>
              </w:rPr>
            </w:r>
            <w:r w:rsidR="008A2A3B">
              <w:rPr>
                <w:webHidden/>
              </w:rPr>
              <w:fldChar w:fldCharType="separate"/>
            </w:r>
            <w:r w:rsidR="008A2A3B">
              <w:rPr>
                <w:webHidden/>
              </w:rPr>
              <w:t>11</w:t>
            </w:r>
            <w:r w:rsidR="008A2A3B">
              <w:rPr>
                <w:webHidden/>
              </w:rPr>
              <w:fldChar w:fldCharType="end"/>
            </w:r>
          </w:hyperlink>
        </w:p>
        <w:p w14:paraId="0CCE4E53" w14:textId="43C3516E" w:rsidR="00764D6A" w:rsidRDefault="00E91D72">
          <w:pPr>
            <w:rPr>
              <w:b/>
              <w:noProof/>
            </w:rPr>
          </w:pPr>
          <w:r>
            <w:rPr>
              <w:b/>
              <w:noProof/>
            </w:rPr>
            <w:fldChar w:fldCharType="end"/>
          </w:r>
        </w:p>
      </w:sdtContent>
    </w:sdt>
    <w:p w14:paraId="06154632" w14:textId="77777777" w:rsidR="00925AE3" w:rsidRDefault="00925AE3" w:rsidP="00925AE3">
      <w:pPr>
        <w:sectPr w:rsidR="00925AE3" w:rsidSect="00925AE3">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567" w:footer="283" w:gutter="0"/>
          <w:pgNumType w:fmt="lowerRoman" w:start="1"/>
          <w:cols w:space="708"/>
          <w:titlePg/>
          <w:docGrid w:linePitch="360"/>
        </w:sectPr>
      </w:pPr>
    </w:p>
    <w:p w14:paraId="0FD6EE6C" w14:textId="09417243" w:rsidR="009133DC" w:rsidRDefault="009133DC" w:rsidP="00B95F7F">
      <w:pPr>
        <w:pStyle w:val="Heading2"/>
      </w:pPr>
      <w:bookmarkStart w:id="0" w:name="_Toc74727286"/>
      <w:r w:rsidRPr="009133DC">
        <w:lastRenderedPageBreak/>
        <w:t>Acknowledgement of Country</w:t>
      </w:r>
      <w:bookmarkEnd w:id="0"/>
    </w:p>
    <w:p w14:paraId="0F944EDB" w14:textId="77777777" w:rsidR="0060309D" w:rsidRDefault="0060309D" w:rsidP="0060309D">
      <w:r>
        <w:t>We acknowledge the Traditional Owners of Country throughout Australia and their continuing connection to land, sea and community.</w:t>
      </w:r>
    </w:p>
    <w:p w14:paraId="47A1EA8B" w14:textId="6C910510" w:rsidR="0060309D" w:rsidRDefault="0060309D" w:rsidP="0060309D">
      <w:r>
        <w:t xml:space="preserve">We pay our respects to them and their cultures and to their </w:t>
      </w:r>
      <w:proofErr w:type="gramStart"/>
      <w:r>
        <w:t>elders</w:t>
      </w:r>
      <w:proofErr w:type="gramEnd"/>
      <w:r>
        <w:t xml:space="preserve"> past, present and emerging.</w:t>
      </w:r>
    </w:p>
    <w:p w14:paraId="4E9564BF" w14:textId="25804E99" w:rsidR="002F3345" w:rsidRDefault="0060309D" w:rsidP="0060309D">
      <w:r>
        <w:t>Our Indigenous research partnerships are a valued</w:t>
      </w:r>
      <w:r w:rsidR="00313F42">
        <w:t xml:space="preserve"> and respected</w:t>
      </w:r>
      <w:r>
        <w:t xml:space="preserve"> component of National Environmental Science Program (NESP) research.</w:t>
      </w:r>
    </w:p>
    <w:p w14:paraId="022FFDEE" w14:textId="325FE48F" w:rsidR="00AA66A4" w:rsidRDefault="00AA66A4" w:rsidP="00EB485F"/>
    <w:p w14:paraId="41DC818B" w14:textId="7982F6E5" w:rsidR="00EB485F" w:rsidRDefault="00CB0DD7" w:rsidP="00B95F7F">
      <w:pPr>
        <w:pStyle w:val="Heading2"/>
      </w:pPr>
      <w:bookmarkStart w:id="1" w:name="_Toc74727287"/>
      <w:r w:rsidRPr="00CB0DD7">
        <w:lastRenderedPageBreak/>
        <w:t>Background</w:t>
      </w:r>
      <w:bookmarkEnd w:id="1"/>
    </w:p>
    <w:p w14:paraId="472CE1BB" w14:textId="61514172" w:rsidR="00FD69DB" w:rsidRDefault="00FD69DB" w:rsidP="00FD69DB">
      <w:r>
        <w:t xml:space="preserve">The National Environmental Science Program (NESP) is the Australian Government’s enduring commitment to environment and climate research. </w:t>
      </w:r>
      <w:r w:rsidR="00EE5A23">
        <w:t xml:space="preserve">We </w:t>
      </w:r>
      <w:r>
        <w:t>manage the program on behalf of the Australian Government.</w:t>
      </w:r>
    </w:p>
    <w:p w14:paraId="123534CC" w14:textId="23A90D88" w:rsidR="00EB485F" w:rsidRDefault="00FD69DB" w:rsidP="00FD69DB">
      <w:r>
        <w:t>Our targeted research provides an evidence base for environmental decision</w:t>
      </w:r>
      <w:r w:rsidR="00AF61AC">
        <w:t>-</w:t>
      </w:r>
      <w:r>
        <w:t>makers and climate policymakers. Informed decision-making using the best research greatly improves our chances of protecting our environment, conserving our biodiversity and developing climate policies and services. The Australian Government invested more than $145</w:t>
      </w:r>
      <w:r w:rsidR="00E5332F">
        <w:t> </w:t>
      </w:r>
      <w:r>
        <w:t>million in NESP from 2014</w:t>
      </w:r>
      <w:r w:rsidR="00E5332F">
        <w:t>–</w:t>
      </w:r>
      <w:r>
        <w:t>15 to 2020</w:t>
      </w:r>
      <w:r w:rsidR="00E5332F">
        <w:t>–</w:t>
      </w:r>
      <w:r>
        <w:t>21. This funded 6</w:t>
      </w:r>
      <w:r w:rsidR="00C5460C">
        <w:t> </w:t>
      </w:r>
      <w:r>
        <w:t>research hubs, which are due to produce research until mid-2021:</w:t>
      </w:r>
    </w:p>
    <w:p w14:paraId="7A289AEB" w14:textId="32F7B1DE" w:rsidR="00C52FC0" w:rsidRDefault="00C52FC0" w:rsidP="00C52FC0">
      <w:pPr>
        <w:pStyle w:val="ListBullet"/>
      </w:pPr>
      <w:r>
        <w:t>Clean Air and Urban Landscapes Hub</w:t>
      </w:r>
    </w:p>
    <w:p w14:paraId="6517E688" w14:textId="77777777" w:rsidR="009D20FD" w:rsidRDefault="009D20FD" w:rsidP="009D20FD">
      <w:pPr>
        <w:pStyle w:val="ListBullet"/>
      </w:pPr>
      <w:r>
        <w:t>Earth Systems and Climate Change Hub</w:t>
      </w:r>
    </w:p>
    <w:p w14:paraId="02CC1E57" w14:textId="428FE232" w:rsidR="00C52FC0" w:rsidRDefault="00C52FC0" w:rsidP="00C52FC0">
      <w:pPr>
        <w:pStyle w:val="ListBullet"/>
      </w:pPr>
      <w:r>
        <w:t>Marine Biodiversity Hub</w:t>
      </w:r>
    </w:p>
    <w:p w14:paraId="1FFC4FEC" w14:textId="77777777" w:rsidR="009D20FD" w:rsidRDefault="009D20FD" w:rsidP="009D20FD">
      <w:pPr>
        <w:pStyle w:val="ListBullet"/>
      </w:pPr>
      <w:r>
        <w:t>Northern Australia Environmental Resources Hub</w:t>
      </w:r>
    </w:p>
    <w:p w14:paraId="6BB4918C" w14:textId="13616A5F" w:rsidR="00C52FC0" w:rsidRDefault="00C52FC0" w:rsidP="00C52FC0">
      <w:pPr>
        <w:pStyle w:val="ListBullet"/>
      </w:pPr>
      <w:r>
        <w:t>Threatened Species Recovery Hub</w:t>
      </w:r>
    </w:p>
    <w:p w14:paraId="0CB88151" w14:textId="4BF8C65D" w:rsidR="00FD69DB" w:rsidRDefault="00C52FC0" w:rsidP="00C52FC0">
      <w:pPr>
        <w:pStyle w:val="ListBullet"/>
      </w:pPr>
      <w:r>
        <w:t>Tropical Water Quality Hub.</w:t>
      </w:r>
    </w:p>
    <w:p w14:paraId="6B368063" w14:textId="6F9323F5" w:rsidR="00AE6CDB" w:rsidRDefault="00AE6CDB" w:rsidP="00AE6CDB">
      <w:r>
        <w:t xml:space="preserve">This initial investment also funded emerging priority research over the lifetime of the program. Research funded by the program has helped deliver many environmental outcomes. The high-level outcomes are showcased in the </w:t>
      </w:r>
      <w:r w:rsidRPr="00C55546">
        <w:rPr>
          <w:rStyle w:val="Emphasis"/>
        </w:rPr>
        <w:t>2020 Outcomes report</w:t>
      </w:r>
      <w:r>
        <w:t>.</w:t>
      </w:r>
    </w:p>
    <w:p w14:paraId="21DEB108" w14:textId="7FB9F65A" w:rsidR="00AE6CDB" w:rsidRDefault="00AE6CDB" w:rsidP="00AE6CDB">
      <w:r>
        <w:t xml:space="preserve">In early 2020 the Minister for the Environment, the Hon. </w:t>
      </w:r>
      <w:proofErr w:type="spellStart"/>
      <w:r>
        <w:t>Sussan</w:t>
      </w:r>
      <w:proofErr w:type="spellEnd"/>
      <w:r>
        <w:t xml:space="preserve"> Ley MP, announced a further $149</w:t>
      </w:r>
      <w:r w:rsidR="00E5332F">
        <w:t> </w:t>
      </w:r>
      <w:r>
        <w:t>million investment for the program over the next 7</w:t>
      </w:r>
      <w:r w:rsidR="00E5332F">
        <w:t> </w:t>
      </w:r>
      <w:r>
        <w:t>years (2020</w:t>
      </w:r>
      <w:r w:rsidR="00E5332F">
        <w:t>–</w:t>
      </w:r>
      <w:r>
        <w:t>21 to 2026</w:t>
      </w:r>
      <w:r w:rsidR="00E5332F">
        <w:t>–</w:t>
      </w:r>
      <w:r>
        <w:t>27). This fund</w:t>
      </w:r>
      <w:r w:rsidR="005F010D">
        <w:t>s</w:t>
      </w:r>
      <w:r>
        <w:t xml:space="preserve"> targeted research through 4</w:t>
      </w:r>
      <w:r w:rsidR="00E5332F">
        <w:t> </w:t>
      </w:r>
      <w:r>
        <w:t>new hubs:</w:t>
      </w:r>
    </w:p>
    <w:p w14:paraId="70ADC190" w14:textId="060C6238" w:rsidR="009D20FD" w:rsidRDefault="009D20FD" w:rsidP="009D20FD">
      <w:pPr>
        <w:pStyle w:val="ListBullet"/>
      </w:pPr>
      <w:r>
        <w:t>Climate Systems Hub</w:t>
      </w:r>
    </w:p>
    <w:p w14:paraId="510428D0" w14:textId="77777777" w:rsidR="009D20FD" w:rsidRDefault="009D20FD" w:rsidP="009D20FD">
      <w:pPr>
        <w:pStyle w:val="ListBullet"/>
      </w:pPr>
      <w:r>
        <w:t>Marine and Coastal Hub</w:t>
      </w:r>
    </w:p>
    <w:p w14:paraId="5FD19824" w14:textId="2F42CE65" w:rsidR="0015249F" w:rsidRDefault="0015249F" w:rsidP="0015249F">
      <w:pPr>
        <w:pStyle w:val="ListBullet"/>
      </w:pPr>
      <w:r>
        <w:t>Resilient Landscapes Hub</w:t>
      </w:r>
    </w:p>
    <w:p w14:paraId="06C691E5" w14:textId="279E86A9" w:rsidR="0015249F" w:rsidRDefault="0015249F" w:rsidP="0015249F">
      <w:pPr>
        <w:pStyle w:val="ListBullet"/>
      </w:pPr>
      <w:r>
        <w:t>Sustainable Communities and Waste Hub</w:t>
      </w:r>
      <w:r w:rsidR="009D20FD">
        <w:t>.</w:t>
      </w:r>
    </w:p>
    <w:p w14:paraId="62240580" w14:textId="25237DF3" w:rsidR="00BD5D81" w:rsidRDefault="00AF0CA1" w:rsidP="00AF0CA1">
      <w:r w:rsidRPr="00AF0CA1">
        <w:t>Hubs have national capability, but deliver through regional nodes, where appropriate. Each hub also conduct</w:t>
      </w:r>
      <w:r w:rsidR="00640AE4">
        <w:t>s</w:t>
      </w:r>
      <w:r w:rsidRPr="00AF0CA1">
        <w:t xml:space="preserve"> research to support cross-cutting </w:t>
      </w:r>
      <w:r w:rsidR="007B6554">
        <w:t>initiatives</w:t>
      </w:r>
      <w:r w:rsidRPr="00AF0CA1">
        <w:t xml:space="preserve"> that focus on management options for:</w:t>
      </w:r>
    </w:p>
    <w:p w14:paraId="3ED5AD59" w14:textId="66897240" w:rsidR="009D20FD" w:rsidRDefault="009D20FD" w:rsidP="009D20FD">
      <w:pPr>
        <w:pStyle w:val="ListBullet"/>
      </w:pPr>
      <w:r>
        <w:t>climate adaptation</w:t>
      </w:r>
    </w:p>
    <w:p w14:paraId="35BCFD9F" w14:textId="77777777" w:rsidR="009D20FD" w:rsidRDefault="009D20FD" w:rsidP="009D20FD">
      <w:pPr>
        <w:pStyle w:val="ListBullet"/>
      </w:pPr>
      <w:r>
        <w:t>protected places</w:t>
      </w:r>
    </w:p>
    <w:p w14:paraId="4575F588" w14:textId="77777777" w:rsidR="00AB1E2C" w:rsidRDefault="00AB1E2C" w:rsidP="00AB1E2C">
      <w:pPr>
        <w:pStyle w:val="ListBullet"/>
      </w:pPr>
      <w:r>
        <w:t>threatened and migratory species and ecological communities</w:t>
      </w:r>
    </w:p>
    <w:p w14:paraId="4C8EEF68" w14:textId="2E5A7B7A" w:rsidR="00AB1E2C" w:rsidRDefault="00AB1E2C" w:rsidP="00AB1E2C">
      <w:pPr>
        <w:pStyle w:val="ListBullet"/>
      </w:pPr>
      <w:r>
        <w:t>waste</w:t>
      </w:r>
      <w:r w:rsidR="009D20FD">
        <w:t>.</w:t>
      </w:r>
    </w:p>
    <w:p w14:paraId="4E4188A3" w14:textId="410CBB36" w:rsidR="00EA6D05" w:rsidRDefault="00EA6D05" w:rsidP="00EA6D05">
      <w:r>
        <w:t xml:space="preserve">A key focus for the </w:t>
      </w:r>
      <w:r w:rsidR="009D20FD">
        <w:t>second phase</w:t>
      </w:r>
      <w:r>
        <w:t xml:space="preserve"> of the program is close</w:t>
      </w:r>
      <w:r w:rsidR="009D20FD">
        <w:t>r</w:t>
      </w:r>
      <w:r>
        <w:t xml:space="preserve"> engage</w:t>
      </w:r>
      <w:r w:rsidR="009D20FD">
        <w:t>ment with</w:t>
      </w:r>
      <w:r>
        <w:t xml:space="preserve"> research end-users early in the program design, capturing and responding to their research needs. Hub </w:t>
      </w:r>
      <w:r w:rsidR="009D20FD">
        <w:t>l</w:t>
      </w:r>
      <w:r>
        <w:t xml:space="preserve">iaison </w:t>
      </w:r>
      <w:r w:rsidR="009D20FD">
        <w:t>o</w:t>
      </w:r>
      <w:r>
        <w:t>fficers and hubs should work with end</w:t>
      </w:r>
      <w:r w:rsidR="009D20FD">
        <w:t>-</w:t>
      </w:r>
      <w:r>
        <w:t>users to embed NESP research into policy-making. The program also link</w:t>
      </w:r>
      <w:r w:rsidR="00640AE4">
        <w:t>s</w:t>
      </w:r>
      <w:r>
        <w:t xml:space="preserve"> hub outcomes to the overarching NESP narrative, and those of the cross-cutting </w:t>
      </w:r>
      <w:r w:rsidR="007B6554">
        <w:t>initiatives</w:t>
      </w:r>
      <w:r>
        <w:t xml:space="preserve">. This must be managed from the outset of the </w:t>
      </w:r>
      <w:r w:rsidR="009D20FD">
        <w:t>second phase</w:t>
      </w:r>
      <w:r>
        <w:t xml:space="preserve"> by using consistent engagement with stakeholders, messaging, branding and templates provided by the department.</w:t>
      </w:r>
    </w:p>
    <w:p w14:paraId="412B4500" w14:textId="1C2CE23E" w:rsidR="00CB0DD7" w:rsidRDefault="00EA6D05" w:rsidP="00EA6D05">
      <w:r>
        <w:t>Program impacts are only possible with effective partnerships, communication and brokering between researchers, decision</w:t>
      </w:r>
      <w:r w:rsidR="00F6094D">
        <w:t>-</w:t>
      </w:r>
      <w:r>
        <w:t xml:space="preserve">makers, and other key stakeholders. Buy-in and adoption of this communication </w:t>
      </w:r>
      <w:r>
        <w:lastRenderedPageBreak/>
        <w:t xml:space="preserve">approach is needed by end-users and hubs. To this end, hubs </w:t>
      </w:r>
      <w:r w:rsidR="000E04CB">
        <w:t>are</w:t>
      </w:r>
      <w:r>
        <w:t xml:space="preserve"> required to build the overarching program communication narrative and objectives into their own strategies and tactics.</w:t>
      </w:r>
    </w:p>
    <w:p w14:paraId="255BF259" w14:textId="379FF823" w:rsidR="00CB4B8C" w:rsidRDefault="00C5433D" w:rsidP="00C5433D">
      <w:pPr>
        <w:pStyle w:val="Heading3"/>
        <w:ind w:left="0" w:firstLine="0"/>
      </w:pPr>
      <w:bookmarkStart w:id="2" w:name="_Toc74727288"/>
      <w:r w:rsidRPr="00C5433D">
        <w:t>Strategy aims</w:t>
      </w:r>
      <w:bookmarkEnd w:id="2"/>
    </w:p>
    <w:p w14:paraId="7D391072" w14:textId="77777777" w:rsidR="00AF3048" w:rsidRDefault="00AF3048" w:rsidP="00AF3048">
      <w:r>
        <w:t>NESP aims to inform environmental and climate decision-making by funding research to address national science and research priorities in environmental change.</w:t>
      </w:r>
    </w:p>
    <w:p w14:paraId="1138D463" w14:textId="46DBB820" w:rsidR="00AF3048" w:rsidRDefault="00AF3048" w:rsidP="00AF3048">
      <w:r>
        <w:t>The success of the program hinges on the ability of decision</w:t>
      </w:r>
      <w:r w:rsidR="00F6094D">
        <w:t>-</w:t>
      </w:r>
      <w:r>
        <w:t xml:space="preserve">makers to articulate their needs to researchers; the quality and usefulness of the </w:t>
      </w:r>
      <w:r w:rsidR="00A13120">
        <w:t xml:space="preserve">outcome-focused </w:t>
      </w:r>
      <w:r>
        <w:t>research outputs; and how effectively the outputs are communicated to their intended end-users.</w:t>
      </w:r>
    </w:p>
    <w:p w14:paraId="4C388DE4" w14:textId="7C3BC156" w:rsidR="00AF3048" w:rsidRDefault="00AF3048" w:rsidP="00AF3048">
      <w:r>
        <w:t xml:space="preserve">In implementing this strategy, </w:t>
      </w:r>
      <w:r w:rsidR="00EE5A23">
        <w:t>we</w:t>
      </w:r>
      <w:r>
        <w:t xml:space="preserve"> ensure alignment with the broader departmental </w:t>
      </w:r>
      <w:r w:rsidRPr="00B5291B">
        <w:rPr>
          <w:i/>
        </w:rPr>
        <w:t>Science strategic action plan</w:t>
      </w:r>
      <w:r>
        <w:t xml:space="preserve"> and activities of the Climate Adaptation and Resilience Division.</w:t>
      </w:r>
    </w:p>
    <w:p w14:paraId="194D35C8" w14:textId="72EF6389" w:rsidR="00CB4B8C" w:rsidRDefault="00AF3048" w:rsidP="00AF3048">
      <w:r>
        <w:t xml:space="preserve">The </w:t>
      </w:r>
      <w:r w:rsidR="009D20FD">
        <w:rPr>
          <w:rStyle w:val="Emphasis"/>
        </w:rPr>
        <w:t>NESP k</w:t>
      </w:r>
      <w:r w:rsidRPr="00CC7BC8">
        <w:rPr>
          <w:rStyle w:val="Emphasis"/>
        </w:rPr>
        <w:t>nowledge</w:t>
      </w:r>
      <w:r w:rsidR="009D20FD">
        <w:rPr>
          <w:rStyle w:val="Emphasis"/>
        </w:rPr>
        <w:t xml:space="preserve"> </w:t>
      </w:r>
      <w:r w:rsidRPr="00CC7BC8">
        <w:rPr>
          <w:rStyle w:val="Emphasis"/>
        </w:rPr>
        <w:t>brokering and communication</w:t>
      </w:r>
      <w:r w:rsidR="0085769C">
        <w:rPr>
          <w:rStyle w:val="Emphasis"/>
        </w:rPr>
        <w:t>s</w:t>
      </w:r>
      <w:r w:rsidRPr="00CC7BC8">
        <w:rPr>
          <w:rStyle w:val="Emphasis"/>
        </w:rPr>
        <w:t xml:space="preserve"> strategy</w:t>
      </w:r>
      <w:r>
        <w:t xml:space="preserve"> has been developed to inform the program</w:t>
      </w:r>
      <w:r w:rsidR="009D20FD">
        <w:t>,</w:t>
      </w:r>
      <w:r>
        <w:t xml:space="preserve"> but should be reviewed annually to ensure it aligns with current departmental and program priorities.</w:t>
      </w:r>
    </w:p>
    <w:p w14:paraId="6DEB3548" w14:textId="511B6354" w:rsidR="00C5433D" w:rsidRDefault="00932DE6" w:rsidP="00932DE6">
      <w:pPr>
        <w:pStyle w:val="Heading3"/>
      </w:pPr>
      <w:bookmarkStart w:id="3" w:name="_Toc74727289"/>
      <w:r w:rsidRPr="00932DE6">
        <w:t>Communication objectives</w:t>
      </w:r>
      <w:bookmarkEnd w:id="3"/>
    </w:p>
    <w:p w14:paraId="1CACFE05" w14:textId="48647D8B" w:rsidR="000A148B" w:rsidRDefault="000A148B" w:rsidP="000A148B">
      <w:r>
        <w:t xml:space="preserve">This strategy supports the closure of the </w:t>
      </w:r>
      <w:r w:rsidR="009D20FD">
        <w:t>first phase</w:t>
      </w:r>
      <w:r>
        <w:t xml:space="preserve"> (2014</w:t>
      </w:r>
      <w:r w:rsidR="00E5332F">
        <w:t>–</w:t>
      </w:r>
      <w:r>
        <w:t>15 to 2020</w:t>
      </w:r>
      <w:r w:rsidR="00E5332F">
        <w:t>–</w:t>
      </w:r>
      <w:r>
        <w:t>21) and position</w:t>
      </w:r>
      <w:r w:rsidR="00424F76">
        <w:t>s</w:t>
      </w:r>
      <w:r>
        <w:t xml:space="preserve"> the communication approach for the </w:t>
      </w:r>
      <w:r w:rsidR="00424F76">
        <w:t xml:space="preserve">second </w:t>
      </w:r>
      <w:r>
        <w:t>phase of the program (2020</w:t>
      </w:r>
      <w:r w:rsidR="00E5332F">
        <w:t>–</w:t>
      </w:r>
      <w:r>
        <w:t>21 to 2026</w:t>
      </w:r>
      <w:r w:rsidR="00E5332F">
        <w:t>–</w:t>
      </w:r>
      <w:r>
        <w:t>27).</w:t>
      </w:r>
    </w:p>
    <w:p w14:paraId="7968FB83" w14:textId="3399BA58" w:rsidR="00C5433D" w:rsidRDefault="000A148B" w:rsidP="000A148B">
      <w:r>
        <w:t>The communication objectives are to (in priority order):</w:t>
      </w:r>
    </w:p>
    <w:p w14:paraId="544717EC" w14:textId="3ADC2D6A" w:rsidR="005F7AF0" w:rsidRDefault="005F7AF0" w:rsidP="00BA7149">
      <w:pPr>
        <w:pStyle w:val="ListNumber"/>
      </w:pPr>
      <w:r>
        <w:t>engage end-users in the design, development and implementation of NESP-funded research and its outputs, enabling and encouraging uptake and use to inform policy development and environmental management</w:t>
      </w:r>
    </w:p>
    <w:p w14:paraId="466D9126" w14:textId="420B2612" w:rsidR="005F7AF0" w:rsidRDefault="005F7AF0" w:rsidP="00BA7149">
      <w:pPr>
        <w:pStyle w:val="ListNumber"/>
      </w:pPr>
      <w:r>
        <w:t>make NESP-funded research findings and products available, discoverable and searchable</w:t>
      </w:r>
    </w:p>
    <w:p w14:paraId="74664587" w14:textId="30A27287" w:rsidR="005F7AF0" w:rsidRDefault="005F7AF0" w:rsidP="00BA7149">
      <w:pPr>
        <w:pStyle w:val="ListNumber"/>
      </w:pPr>
      <w:r>
        <w:t>highlight how NESP is helping achieve Australian Government environmental priorities through applied research and informed decisions</w:t>
      </w:r>
    </w:p>
    <w:p w14:paraId="5B87AC53" w14:textId="6D4421D2" w:rsidR="00F80F99" w:rsidRDefault="005F7AF0" w:rsidP="00BA7149">
      <w:pPr>
        <w:pStyle w:val="ListNumber"/>
      </w:pPr>
      <w:r>
        <w:t>raise awareness of the work of the 4</w:t>
      </w:r>
      <w:r w:rsidR="009D20FD">
        <w:t> </w:t>
      </w:r>
      <w:r>
        <w:t xml:space="preserve">new hubs and their cross-cutting </w:t>
      </w:r>
      <w:r w:rsidR="007B6554">
        <w:t>initiative</w:t>
      </w:r>
      <w:r>
        <w:t>s.</w:t>
      </w:r>
    </w:p>
    <w:p w14:paraId="5CA711C4" w14:textId="468D71FC" w:rsidR="000A148B" w:rsidRDefault="00D37877" w:rsidP="00B95F7F">
      <w:pPr>
        <w:pStyle w:val="Heading2"/>
      </w:pPr>
      <w:bookmarkStart w:id="4" w:name="_Toc74727290"/>
      <w:r w:rsidRPr="00D37877">
        <w:lastRenderedPageBreak/>
        <w:t>Audiences</w:t>
      </w:r>
      <w:bookmarkEnd w:id="4"/>
    </w:p>
    <w:p w14:paraId="3BCDD580" w14:textId="5A667F24" w:rsidR="00CB4B8C" w:rsidRDefault="00C55546" w:rsidP="00EB485F">
      <w:r>
        <w:t>We have a diverse audience for our program’s communication activi</w:t>
      </w:r>
      <w:r w:rsidR="00C3108E">
        <w:t>ti</w:t>
      </w:r>
      <w:r>
        <w:t>es and products (</w:t>
      </w:r>
      <w:r w:rsidR="001A04DE">
        <w:fldChar w:fldCharType="begin"/>
      </w:r>
      <w:r w:rsidR="001A04DE">
        <w:instrText xml:space="preserve"> REF _Ref65743411 \h </w:instrText>
      </w:r>
      <w:r w:rsidR="001A04DE">
        <w:fldChar w:fldCharType="separate"/>
      </w:r>
      <w:r w:rsidR="007167F3">
        <w:t xml:space="preserve">Table </w:t>
      </w:r>
      <w:r w:rsidR="007167F3">
        <w:rPr>
          <w:noProof/>
        </w:rPr>
        <w:t>1</w:t>
      </w:r>
      <w:r w:rsidR="001A04DE">
        <w:fldChar w:fldCharType="end"/>
      </w:r>
      <w:r>
        <w:t>)</w:t>
      </w:r>
      <w:r w:rsidR="00CA0E27">
        <w:t>.</w:t>
      </w:r>
    </w:p>
    <w:p w14:paraId="648D8E90" w14:textId="7978E8BC" w:rsidR="00C55546" w:rsidRDefault="00C55546" w:rsidP="000739C0">
      <w:pPr>
        <w:pStyle w:val="Caption"/>
      </w:pPr>
      <w:bookmarkStart w:id="5" w:name="_Ref65743411"/>
      <w:bookmarkStart w:id="6" w:name="_Toc65757466"/>
      <w:r>
        <w:t xml:space="preserve">Table </w:t>
      </w:r>
      <w:r w:rsidR="00855E6D">
        <w:fldChar w:fldCharType="begin"/>
      </w:r>
      <w:r w:rsidR="00855E6D">
        <w:instrText xml:space="preserve"> SEQ Table \* ARABIC </w:instrText>
      </w:r>
      <w:r w:rsidR="00855E6D">
        <w:fldChar w:fldCharType="separate"/>
      </w:r>
      <w:r w:rsidR="007167F3">
        <w:rPr>
          <w:noProof/>
        </w:rPr>
        <w:t>1</w:t>
      </w:r>
      <w:r w:rsidR="00855E6D">
        <w:rPr>
          <w:noProof/>
        </w:rPr>
        <w:fldChar w:fldCharType="end"/>
      </w:r>
      <w:bookmarkEnd w:id="5"/>
      <w:r>
        <w:t xml:space="preserve"> Program audiences</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93F39" w14:paraId="01F6BD84" w14:textId="77777777" w:rsidTr="007465EC">
        <w:trPr>
          <w:cantSplit/>
          <w:tblHeader/>
        </w:trPr>
        <w:tc>
          <w:tcPr>
            <w:tcW w:w="3020" w:type="dxa"/>
            <w:tcBorders>
              <w:top w:val="single" w:sz="4" w:space="0" w:color="auto"/>
              <w:bottom w:val="single" w:sz="4" w:space="0" w:color="auto"/>
            </w:tcBorders>
          </w:tcPr>
          <w:p w14:paraId="478AEA89" w14:textId="33D70910" w:rsidR="00193F39" w:rsidRDefault="00193F39" w:rsidP="00193F39">
            <w:pPr>
              <w:pStyle w:val="TableHeading"/>
            </w:pPr>
            <w:r w:rsidRPr="00B7316C">
              <w:t>Government</w:t>
            </w:r>
          </w:p>
        </w:tc>
        <w:tc>
          <w:tcPr>
            <w:tcW w:w="3020" w:type="dxa"/>
            <w:tcBorders>
              <w:top w:val="single" w:sz="4" w:space="0" w:color="auto"/>
              <w:bottom w:val="single" w:sz="4" w:space="0" w:color="auto"/>
            </w:tcBorders>
          </w:tcPr>
          <w:p w14:paraId="37545BF7" w14:textId="5B838686" w:rsidR="00193F39" w:rsidRDefault="00193F39" w:rsidP="00193F39">
            <w:pPr>
              <w:pStyle w:val="TableHeading"/>
            </w:pPr>
            <w:r w:rsidRPr="00B7316C">
              <w:t>Primary</w:t>
            </w:r>
          </w:p>
        </w:tc>
        <w:tc>
          <w:tcPr>
            <w:tcW w:w="3020" w:type="dxa"/>
            <w:tcBorders>
              <w:top w:val="single" w:sz="4" w:space="0" w:color="auto"/>
              <w:bottom w:val="single" w:sz="4" w:space="0" w:color="auto"/>
            </w:tcBorders>
          </w:tcPr>
          <w:p w14:paraId="3A58F689" w14:textId="5FCCA91B" w:rsidR="00193F39" w:rsidRDefault="00193F39" w:rsidP="00193F39">
            <w:pPr>
              <w:pStyle w:val="TableHeading"/>
            </w:pPr>
            <w:r w:rsidRPr="00B7316C">
              <w:t>Secondary</w:t>
            </w:r>
          </w:p>
        </w:tc>
      </w:tr>
      <w:tr w:rsidR="008D70AF" w14:paraId="2D396B19" w14:textId="77777777" w:rsidTr="007465EC">
        <w:tc>
          <w:tcPr>
            <w:tcW w:w="3020" w:type="dxa"/>
            <w:tcBorders>
              <w:top w:val="single" w:sz="4" w:space="0" w:color="auto"/>
              <w:bottom w:val="single" w:sz="4" w:space="0" w:color="auto"/>
            </w:tcBorders>
          </w:tcPr>
          <w:p w14:paraId="21084F8D" w14:textId="77777777" w:rsidR="000B3F33" w:rsidRDefault="000B3F33" w:rsidP="00A95826">
            <w:pPr>
              <w:pStyle w:val="TableBullet1"/>
            </w:pPr>
            <w:r>
              <w:t>Ministers’ offices</w:t>
            </w:r>
          </w:p>
          <w:p w14:paraId="56E0A7C4" w14:textId="77777777" w:rsidR="000B3F33" w:rsidRDefault="000B3F33" w:rsidP="005F010D">
            <w:pPr>
              <w:pStyle w:val="TableBullet1"/>
            </w:pPr>
            <w:r>
              <w:t>Department staff</w:t>
            </w:r>
          </w:p>
          <w:p w14:paraId="68822833" w14:textId="6EB9BD7F" w:rsidR="001D0E72" w:rsidRDefault="001D0E72" w:rsidP="0029006B">
            <w:pPr>
              <w:pStyle w:val="TableBullet1"/>
            </w:pPr>
            <w:r>
              <w:t xml:space="preserve">State/territory and local governments, and </w:t>
            </w:r>
            <w:r w:rsidR="009D20FD">
              <w:t>n</w:t>
            </w:r>
            <w:r>
              <w:t xml:space="preserve">atural </w:t>
            </w:r>
            <w:r w:rsidR="009D20FD">
              <w:t>r</w:t>
            </w:r>
            <w:r>
              <w:t xml:space="preserve">esource </w:t>
            </w:r>
            <w:r w:rsidR="009D20FD">
              <w:t>m</w:t>
            </w:r>
            <w:r>
              <w:t>anagement regional managers</w:t>
            </w:r>
          </w:p>
          <w:p w14:paraId="71D118F6" w14:textId="6FA3585F" w:rsidR="008D70AF" w:rsidRDefault="000B3F33">
            <w:pPr>
              <w:pStyle w:val="TableBullet1"/>
            </w:pPr>
            <w:r>
              <w:t xml:space="preserve">Other </w:t>
            </w:r>
            <w:r w:rsidR="000E1335">
              <w:t xml:space="preserve">Commonwealth </w:t>
            </w:r>
            <w:r>
              <w:t>agencies</w:t>
            </w:r>
          </w:p>
        </w:tc>
        <w:tc>
          <w:tcPr>
            <w:tcW w:w="3020" w:type="dxa"/>
            <w:tcBorders>
              <w:top w:val="single" w:sz="4" w:space="0" w:color="auto"/>
              <w:bottom w:val="single" w:sz="4" w:space="0" w:color="auto"/>
            </w:tcBorders>
          </w:tcPr>
          <w:p w14:paraId="717DC10C" w14:textId="4CE60413" w:rsidR="00FC2917" w:rsidRDefault="00FC2917">
            <w:pPr>
              <w:pStyle w:val="TableBullet1"/>
            </w:pPr>
            <w:r>
              <w:t>Hubs</w:t>
            </w:r>
          </w:p>
          <w:p w14:paraId="0063DFC0" w14:textId="6283EF34" w:rsidR="00FC2917" w:rsidRDefault="00FC2917">
            <w:pPr>
              <w:pStyle w:val="TableBullet1"/>
            </w:pPr>
            <w:r>
              <w:t>Policy</w:t>
            </w:r>
            <w:r w:rsidR="009D20FD">
              <w:t>-</w:t>
            </w:r>
            <w:r>
              <w:t>makers</w:t>
            </w:r>
          </w:p>
          <w:p w14:paraId="128B7BEE" w14:textId="77777777" w:rsidR="00FC2917" w:rsidRDefault="00FC2917">
            <w:pPr>
              <w:pStyle w:val="TableBullet1"/>
            </w:pPr>
            <w:r>
              <w:t>Universities, research organisations, scientists and researchers</w:t>
            </w:r>
          </w:p>
          <w:p w14:paraId="783C4F37" w14:textId="77777777" w:rsidR="00FC2917" w:rsidRDefault="00FC2917">
            <w:pPr>
              <w:pStyle w:val="TableBullet1"/>
            </w:pPr>
            <w:r>
              <w:t>Indigenous land and sea managers</w:t>
            </w:r>
          </w:p>
          <w:p w14:paraId="3B9E0B77" w14:textId="745B51D4" w:rsidR="008D70AF" w:rsidRDefault="00FC2917">
            <w:pPr>
              <w:pStyle w:val="TableBullet1"/>
            </w:pPr>
            <w:r>
              <w:t>Industry including environmental, agricultur</w:t>
            </w:r>
            <w:r w:rsidR="009D20FD">
              <w:t>al</w:t>
            </w:r>
            <w:r>
              <w:t xml:space="preserve"> and</w:t>
            </w:r>
            <w:r w:rsidR="00E83EC2">
              <w:t>/or</w:t>
            </w:r>
            <w:r>
              <w:t xml:space="preserve"> financ</w:t>
            </w:r>
            <w:r w:rsidR="009D20FD">
              <w:t>ial</w:t>
            </w:r>
            <w:r>
              <w:t xml:space="preserve"> sector</w:t>
            </w:r>
            <w:r w:rsidR="009D20FD">
              <w:t>s</w:t>
            </w:r>
          </w:p>
          <w:p w14:paraId="7DB7956B" w14:textId="6E5F1717" w:rsidR="00274C54" w:rsidRDefault="00274C54">
            <w:pPr>
              <w:pStyle w:val="TableBullet1"/>
            </w:pPr>
            <w:r>
              <w:t>General public</w:t>
            </w:r>
          </w:p>
        </w:tc>
        <w:tc>
          <w:tcPr>
            <w:tcW w:w="3020" w:type="dxa"/>
            <w:tcBorders>
              <w:top w:val="single" w:sz="4" w:space="0" w:color="auto"/>
              <w:bottom w:val="single" w:sz="4" w:space="0" w:color="auto"/>
            </w:tcBorders>
          </w:tcPr>
          <w:p w14:paraId="7BC745AD" w14:textId="479AE77E" w:rsidR="00922647" w:rsidRDefault="00922647">
            <w:pPr>
              <w:pStyle w:val="TableBullet1"/>
            </w:pPr>
            <w:r>
              <w:t>Environment non-government organisations (NGOs)</w:t>
            </w:r>
          </w:p>
          <w:p w14:paraId="06EC2AFA" w14:textId="26C9094B" w:rsidR="008D70AF" w:rsidRDefault="00922647">
            <w:pPr>
              <w:pStyle w:val="TableBullet1"/>
            </w:pPr>
            <w:r>
              <w:t>Other portfolio ministers</w:t>
            </w:r>
          </w:p>
        </w:tc>
      </w:tr>
    </w:tbl>
    <w:p w14:paraId="6D276E1E" w14:textId="3294046B" w:rsidR="00687117" w:rsidRDefault="00E4787A" w:rsidP="00B95F7F">
      <w:pPr>
        <w:pStyle w:val="Heading2"/>
      </w:pPr>
      <w:bookmarkStart w:id="7" w:name="_Toc74727291"/>
      <w:r w:rsidRPr="00E4787A">
        <w:lastRenderedPageBreak/>
        <w:t>Communication approach</w:t>
      </w:r>
      <w:bookmarkEnd w:id="7"/>
    </w:p>
    <w:p w14:paraId="3DA5C21B" w14:textId="25CCD70E" w:rsidR="00687117" w:rsidRDefault="00E4787A" w:rsidP="00E4787A">
      <w:r w:rsidRPr="00E4787A">
        <w:t xml:space="preserve">Communication activities </w:t>
      </w:r>
      <w:r w:rsidR="009D20FD">
        <w:t>are</w:t>
      </w:r>
      <w:r w:rsidRPr="00E4787A">
        <w:t xml:space="preserve"> tailored according to each stage of the program:</w:t>
      </w:r>
    </w:p>
    <w:p w14:paraId="081E88AD" w14:textId="3E6304EF" w:rsidR="00E4787A" w:rsidRDefault="00E4787A" w:rsidP="00604BEA">
      <w:pPr>
        <w:pStyle w:val="ListNumber"/>
        <w:numPr>
          <w:ilvl w:val="0"/>
          <w:numId w:val="35"/>
        </w:numPr>
      </w:pPr>
      <w:r>
        <w:t>Closure</w:t>
      </w:r>
      <w:r w:rsidR="009D20FD">
        <w:t xml:space="preserve"> </w:t>
      </w:r>
      <w:r>
        <w:t>–</w:t>
      </w:r>
      <w:r w:rsidR="009D20FD">
        <w:t xml:space="preserve"> </w:t>
      </w:r>
      <w:r w:rsidR="00060F22">
        <w:t>wrapping</w:t>
      </w:r>
      <w:r>
        <w:t xml:space="preserve"> up the existing hubs from the first phase of NESP</w:t>
      </w:r>
    </w:p>
    <w:p w14:paraId="753950E8" w14:textId="73914E78" w:rsidR="00687117" w:rsidRDefault="00E4787A" w:rsidP="00E4787A">
      <w:pPr>
        <w:pStyle w:val="ListNumber"/>
      </w:pPr>
      <w:r>
        <w:t>Continuing program – encouraging development of partnerships and uptake of research, and highlighting hub projects, their outcomes and ‘good news’ stories.</w:t>
      </w:r>
    </w:p>
    <w:p w14:paraId="287C4A28" w14:textId="53170424" w:rsidR="00D16066" w:rsidRDefault="00D16066" w:rsidP="00D16066">
      <w:r>
        <w:t>Each phase may use a mix of existing departmental channels and products (</w:t>
      </w:r>
      <w:r>
        <w:fldChar w:fldCharType="begin"/>
      </w:r>
      <w:r>
        <w:instrText xml:space="preserve"> REF _Ref65743859 \h </w:instrText>
      </w:r>
      <w:r>
        <w:fldChar w:fldCharType="separate"/>
      </w:r>
      <w:r w:rsidR="007167F3">
        <w:t xml:space="preserve">Table </w:t>
      </w:r>
      <w:r w:rsidR="007167F3">
        <w:rPr>
          <w:noProof/>
        </w:rPr>
        <w:t>2</w:t>
      </w:r>
      <w:r>
        <w:fldChar w:fldCharType="end"/>
      </w:r>
      <w:r>
        <w:t>)</w:t>
      </w:r>
      <w:r w:rsidR="00DD6B3F">
        <w:t>.</w:t>
      </w:r>
    </w:p>
    <w:p w14:paraId="2CBEBF0D" w14:textId="67F04D01" w:rsidR="00D16066" w:rsidRDefault="00D16066" w:rsidP="000739C0">
      <w:pPr>
        <w:pStyle w:val="Caption"/>
      </w:pPr>
      <w:bookmarkStart w:id="8" w:name="_Ref65743859"/>
      <w:bookmarkStart w:id="9" w:name="_Toc65757467"/>
      <w:r>
        <w:t xml:space="preserve">Table </w:t>
      </w:r>
      <w:r w:rsidR="00855E6D">
        <w:fldChar w:fldCharType="begin"/>
      </w:r>
      <w:r w:rsidR="00855E6D">
        <w:instrText xml:space="preserve"> SEQ Table \* ARABIC </w:instrText>
      </w:r>
      <w:r w:rsidR="00855E6D">
        <w:fldChar w:fldCharType="separate"/>
      </w:r>
      <w:r w:rsidR="007167F3">
        <w:rPr>
          <w:noProof/>
        </w:rPr>
        <w:t>2</w:t>
      </w:r>
      <w:r w:rsidR="00855E6D">
        <w:rPr>
          <w:noProof/>
        </w:rPr>
        <w:fldChar w:fldCharType="end"/>
      </w:r>
      <w:bookmarkEnd w:id="8"/>
      <w:r w:rsidR="00A85A6B">
        <w:t xml:space="preserve"> C</w:t>
      </w:r>
      <w:r>
        <w:t>ommunication channels</w:t>
      </w:r>
      <w:bookmarkEnd w:id="9"/>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374"/>
      </w:tblGrid>
      <w:tr w:rsidR="005B71C2" w14:paraId="597FE229" w14:textId="77777777" w:rsidTr="002535EC">
        <w:tc>
          <w:tcPr>
            <w:tcW w:w="3261" w:type="dxa"/>
            <w:tcBorders>
              <w:top w:val="single" w:sz="4" w:space="0" w:color="auto"/>
              <w:bottom w:val="single" w:sz="4" w:space="0" w:color="auto"/>
            </w:tcBorders>
          </w:tcPr>
          <w:p w14:paraId="5D751D2E" w14:textId="376AE3B1" w:rsidR="005B71C2" w:rsidRDefault="005B71C2" w:rsidP="005B71C2">
            <w:pPr>
              <w:pStyle w:val="TableHeading"/>
            </w:pPr>
            <w:r w:rsidRPr="00947633">
              <w:t>Internal</w:t>
            </w:r>
          </w:p>
        </w:tc>
        <w:tc>
          <w:tcPr>
            <w:tcW w:w="5374" w:type="dxa"/>
            <w:tcBorders>
              <w:top w:val="single" w:sz="4" w:space="0" w:color="auto"/>
              <w:bottom w:val="single" w:sz="4" w:space="0" w:color="auto"/>
            </w:tcBorders>
          </w:tcPr>
          <w:p w14:paraId="70ED4513" w14:textId="1AADC815" w:rsidR="005B71C2" w:rsidRDefault="005B71C2" w:rsidP="005B71C2">
            <w:pPr>
              <w:pStyle w:val="TableHeading"/>
            </w:pPr>
            <w:r w:rsidRPr="00947633">
              <w:t>External</w:t>
            </w:r>
          </w:p>
        </w:tc>
      </w:tr>
      <w:tr w:rsidR="008032CF" w14:paraId="4D801A86" w14:textId="77777777" w:rsidTr="002535EC">
        <w:tc>
          <w:tcPr>
            <w:tcW w:w="3261" w:type="dxa"/>
            <w:tcBorders>
              <w:top w:val="single" w:sz="4" w:space="0" w:color="auto"/>
              <w:bottom w:val="single" w:sz="4" w:space="0" w:color="auto"/>
            </w:tcBorders>
          </w:tcPr>
          <w:p w14:paraId="3087243E" w14:textId="257F50E8" w:rsidR="00DA2797" w:rsidRPr="0040048F" w:rsidRDefault="00DA2797" w:rsidP="00A95826">
            <w:pPr>
              <w:pStyle w:val="TableBullet1"/>
              <w:rPr>
                <w:i/>
                <w:iCs/>
              </w:rPr>
            </w:pPr>
            <w:r w:rsidRPr="0040048F">
              <w:rPr>
                <w:i/>
                <w:iCs/>
              </w:rPr>
              <w:t>Secretary’s Newsletter</w:t>
            </w:r>
          </w:p>
          <w:p w14:paraId="4B86233B" w14:textId="68B218AA" w:rsidR="00DA2797" w:rsidRDefault="00DA2797" w:rsidP="005F010D">
            <w:pPr>
              <w:pStyle w:val="TableBullet1"/>
            </w:pPr>
            <w:r>
              <w:t>Intranet page updates</w:t>
            </w:r>
          </w:p>
          <w:p w14:paraId="74027DED" w14:textId="053FBFB9" w:rsidR="00DA2797" w:rsidRDefault="00DA2797" w:rsidP="0029006B">
            <w:pPr>
              <w:pStyle w:val="TableBullet1"/>
            </w:pPr>
            <w:r>
              <w:t>Events/conferences (</w:t>
            </w:r>
            <w:r w:rsidR="008F6977">
              <w:t>for example</w:t>
            </w:r>
            <w:r w:rsidR="009D20FD">
              <w:t>,</w:t>
            </w:r>
            <w:r>
              <w:t xml:space="preserve"> National Science Week, Outlook)</w:t>
            </w:r>
          </w:p>
          <w:p w14:paraId="1EA5D1BB" w14:textId="73D16B10" w:rsidR="00DA2797" w:rsidRDefault="00DA2797">
            <w:pPr>
              <w:pStyle w:val="TableBullet1"/>
            </w:pPr>
            <w:r>
              <w:t>Talking points/PowerPoint slides</w:t>
            </w:r>
          </w:p>
          <w:p w14:paraId="5A6BA44F" w14:textId="0C68D185" w:rsidR="00DA2797" w:rsidRDefault="00DA2797">
            <w:pPr>
              <w:pStyle w:val="TableBullet1"/>
            </w:pPr>
            <w:r w:rsidRPr="00DA2797">
              <w:rPr>
                <w:rStyle w:val="Emphasis"/>
              </w:rPr>
              <w:t>In</w:t>
            </w:r>
            <w:r w:rsidR="00BA304D">
              <w:rPr>
                <w:rStyle w:val="Emphasis"/>
              </w:rPr>
              <w:t> </w:t>
            </w:r>
            <w:r w:rsidRPr="00DA2797">
              <w:rPr>
                <w:rStyle w:val="Emphasis"/>
              </w:rPr>
              <w:t>AWE</w:t>
            </w:r>
            <w:r>
              <w:t xml:space="preserve"> articles</w:t>
            </w:r>
          </w:p>
          <w:p w14:paraId="1A142D44" w14:textId="54DCBD82" w:rsidR="008032CF" w:rsidRDefault="00DA2797">
            <w:pPr>
              <w:pStyle w:val="TableBullet1"/>
            </w:pPr>
            <w:r>
              <w:t>Science Network</w:t>
            </w:r>
          </w:p>
        </w:tc>
        <w:tc>
          <w:tcPr>
            <w:tcW w:w="5374" w:type="dxa"/>
            <w:tcBorders>
              <w:top w:val="single" w:sz="4" w:space="0" w:color="auto"/>
              <w:bottom w:val="single" w:sz="4" w:space="0" w:color="auto"/>
            </w:tcBorders>
          </w:tcPr>
          <w:p w14:paraId="4312CE5B" w14:textId="218695AB" w:rsidR="00DA2797" w:rsidRPr="00DA2797" w:rsidRDefault="00DA2797">
            <w:pPr>
              <w:pStyle w:val="TableBullet1"/>
              <w:rPr>
                <w:rStyle w:val="Emphasis"/>
              </w:rPr>
            </w:pPr>
            <w:r w:rsidRPr="00DA2797">
              <w:rPr>
                <w:rStyle w:val="Emphasis"/>
              </w:rPr>
              <w:t>NESP News</w:t>
            </w:r>
          </w:p>
          <w:p w14:paraId="43834DCD" w14:textId="3AE88DA8" w:rsidR="00DA2797" w:rsidRDefault="00DA2797">
            <w:pPr>
              <w:pStyle w:val="TableBullet1"/>
            </w:pPr>
            <w:r>
              <w:t>department’s website</w:t>
            </w:r>
          </w:p>
          <w:p w14:paraId="1F4C9C06" w14:textId="591CE660" w:rsidR="00DA2797" w:rsidRDefault="00DA2797">
            <w:pPr>
              <w:pStyle w:val="TableBullet1"/>
            </w:pPr>
            <w:r>
              <w:t>Social media posts, including with engaging images/videos using existing footage that shows on-the-ground work (not talking heads)</w:t>
            </w:r>
          </w:p>
          <w:p w14:paraId="590A50E5" w14:textId="79AACFAE" w:rsidR="00DA2797" w:rsidRDefault="00DA2797">
            <w:pPr>
              <w:pStyle w:val="TableBullet1"/>
            </w:pPr>
            <w:r>
              <w:t>Media releases/op-eds/articles (</w:t>
            </w:r>
            <w:r w:rsidR="008F6977">
              <w:t>for example</w:t>
            </w:r>
            <w:r w:rsidR="009D20FD">
              <w:t>,</w:t>
            </w:r>
            <w:r>
              <w:t xml:space="preserve"> </w:t>
            </w:r>
            <w:r w:rsidRPr="00DA2797">
              <w:rPr>
                <w:rStyle w:val="Emphasis"/>
              </w:rPr>
              <w:t>The Conversation</w:t>
            </w:r>
            <w:r>
              <w:t>)</w:t>
            </w:r>
          </w:p>
          <w:p w14:paraId="7BCE3C4D" w14:textId="28EE3E3F" w:rsidR="00DA2797" w:rsidRDefault="00DA2797">
            <w:pPr>
              <w:pStyle w:val="TableBullet1"/>
            </w:pPr>
            <w:r>
              <w:t>Events/conferences (</w:t>
            </w:r>
            <w:r w:rsidR="008F6977">
              <w:t>for example</w:t>
            </w:r>
            <w:r w:rsidR="009D20FD">
              <w:t>,</w:t>
            </w:r>
            <w:r>
              <w:t xml:space="preserve"> Outlook)</w:t>
            </w:r>
          </w:p>
          <w:p w14:paraId="31EC5161" w14:textId="77C11E49" w:rsidR="00DA2797" w:rsidRDefault="00DA2797">
            <w:pPr>
              <w:pStyle w:val="TableBullet1"/>
            </w:pPr>
            <w:r>
              <w:t>Ambassador for the Environment’s social media feeds (including to reach international NGOs)</w:t>
            </w:r>
          </w:p>
          <w:p w14:paraId="51FAD65F" w14:textId="0A06C1C3" w:rsidR="00DA2797" w:rsidRDefault="00DA2797">
            <w:pPr>
              <w:pStyle w:val="TableBullet1"/>
            </w:pPr>
            <w:r>
              <w:t>Articles in other departmental newsletters and web platforms (</w:t>
            </w:r>
            <w:r w:rsidR="008F6977">
              <w:t>for example</w:t>
            </w:r>
            <w:r w:rsidR="009D20FD">
              <w:t>,</w:t>
            </w:r>
            <w:r w:rsidR="008124AC">
              <w:t> </w:t>
            </w:r>
            <w:r w:rsidRPr="0040048F">
              <w:rPr>
                <w:i/>
                <w:iCs/>
              </w:rPr>
              <w:t>Water Matters</w:t>
            </w:r>
            <w:r>
              <w:t xml:space="preserve">, </w:t>
            </w:r>
            <w:r w:rsidRPr="0040048F">
              <w:rPr>
                <w:i/>
                <w:iCs/>
              </w:rPr>
              <w:t>Biosecurity Matters</w:t>
            </w:r>
            <w:r>
              <w:t>, Threatened Species Commissioner, National Landcare Program, Parks Australia)</w:t>
            </w:r>
          </w:p>
          <w:p w14:paraId="1EFED614" w14:textId="06FEE494" w:rsidR="00DA2797" w:rsidRDefault="00DA2797">
            <w:pPr>
              <w:pStyle w:val="TableBullet1"/>
            </w:pPr>
            <w:r>
              <w:t>Earned and targeted media placements (</w:t>
            </w:r>
            <w:r w:rsidR="008F6977">
              <w:t>for example</w:t>
            </w:r>
            <w:r w:rsidR="009D20FD">
              <w:t>,</w:t>
            </w:r>
            <w:r>
              <w:t xml:space="preserve"> by pitching stories to </w:t>
            </w:r>
            <w:r w:rsidRPr="0040048F">
              <w:rPr>
                <w:i/>
                <w:iCs/>
              </w:rPr>
              <w:t>Landline</w:t>
            </w:r>
            <w:r>
              <w:t xml:space="preserve"> and other science</w:t>
            </w:r>
            <w:r w:rsidR="00FB3B8E">
              <w:t>-</w:t>
            </w:r>
            <w:r>
              <w:t xml:space="preserve"> and industry-based TV</w:t>
            </w:r>
            <w:r w:rsidR="009F0B46">
              <w:t> </w:t>
            </w:r>
            <w:r>
              <w:t>programs)</w:t>
            </w:r>
          </w:p>
          <w:p w14:paraId="31676F65" w14:textId="46B3D214" w:rsidR="00DA2797" w:rsidRDefault="00DA2797">
            <w:pPr>
              <w:pStyle w:val="TableBullet1"/>
            </w:pPr>
            <w:r>
              <w:t xml:space="preserve">Sponsorship of at least </w:t>
            </w:r>
            <w:r w:rsidR="00FB3B8E">
              <w:t>1 </w:t>
            </w:r>
            <w:r>
              <w:t>conference or event that is most relevant to each of the priority target audiences and industries</w:t>
            </w:r>
          </w:p>
          <w:p w14:paraId="13195289" w14:textId="54BE3F13" w:rsidR="008032CF" w:rsidRDefault="00DA2797">
            <w:pPr>
              <w:pStyle w:val="TableBullet1"/>
            </w:pPr>
            <w:r>
              <w:t>Searchable repository of key research information, outputs and products</w:t>
            </w:r>
          </w:p>
        </w:tc>
      </w:tr>
    </w:tbl>
    <w:p w14:paraId="18E86654" w14:textId="5D7BF09A" w:rsidR="00E4787A" w:rsidRDefault="007A2262" w:rsidP="00B95F7F">
      <w:pPr>
        <w:pStyle w:val="Heading2"/>
      </w:pPr>
      <w:bookmarkStart w:id="10" w:name="_Toc74727292"/>
      <w:r w:rsidRPr="007A2262">
        <w:lastRenderedPageBreak/>
        <w:t>Key messages</w:t>
      </w:r>
      <w:bookmarkEnd w:id="10"/>
    </w:p>
    <w:p w14:paraId="04BBC59E" w14:textId="53731757" w:rsidR="00E4787A" w:rsidRDefault="00984803" w:rsidP="007A2262">
      <w:r>
        <w:t>Use t</w:t>
      </w:r>
      <w:r w:rsidR="007A2262" w:rsidRPr="007A2262">
        <w:t>he following messages as agreed standard words and themes for communication products:</w:t>
      </w:r>
    </w:p>
    <w:p w14:paraId="39F8C787" w14:textId="463E6893" w:rsidR="007A2262" w:rsidRDefault="007A2262" w:rsidP="007A2262">
      <w:pPr>
        <w:pStyle w:val="ListBullet"/>
      </w:pPr>
      <w:r w:rsidRPr="007A2262">
        <w:t>The National Environmental Science Program (NESP) is a long-term commitment by the Australian Government. The program funds environment</w:t>
      </w:r>
      <w:r w:rsidR="00E40FA3">
        <w:t>al</w:t>
      </w:r>
      <w:r w:rsidRPr="007A2262">
        <w:t xml:space="preserve"> and climate research.</w:t>
      </w:r>
    </w:p>
    <w:p w14:paraId="73896B55" w14:textId="20D8B919" w:rsidR="00516D73" w:rsidRDefault="00516D73" w:rsidP="00516D73">
      <w:pPr>
        <w:pStyle w:val="ListBullet2"/>
      </w:pPr>
      <w:r>
        <w:t xml:space="preserve">The first phase of NESP invested </w:t>
      </w:r>
      <w:r w:rsidRPr="00A7738D">
        <w:t>$145</w:t>
      </w:r>
      <w:r w:rsidR="009F0B46" w:rsidRPr="00A7738D">
        <w:t> </w:t>
      </w:r>
      <w:r w:rsidRPr="00A7738D">
        <w:t>million</w:t>
      </w:r>
      <w:r>
        <w:t xml:space="preserve"> from 2014–15 to 2020–21 into 6</w:t>
      </w:r>
      <w:r w:rsidR="009F0B46">
        <w:t> </w:t>
      </w:r>
      <w:r>
        <w:t>research hubs: the Clean Air and Urban Landscapes Hub, the Earth Systems and Climate Change Hub, the Marine Biodiversity Hub, the Threatened Species Recovery Hub, the Northern Australia Environmental Resources Hub and the Tropical Water Quality Hub.</w:t>
      </w:r>
    </w:p>
    <w:p w14:paraId="79E792DD" w14:textId="135E4127" w:rsidR="00516D73" w:rsidRDefault="00516D73" w:rsidP="00516D73">
      <w:pPr>
        <w:pStyle w:val="ListBullet2"/>
      </w:pPr>
      <w:r>
        <w:t xml:space="preserve">The second phase of NESP </w:t>
      </w:r>
      <w:r w:rsidR="00313F42">
        <w:t>invests</w:t>
      </w:r>
      <w:r>
        <w:t xml:space="preserve"> $149</w:t>
      </w:r>
      <w:r w:rsidR="009F0B46">
        <w:t> </w:t>
      </w:r>
      <w:r>
        <w:t>million from 2020</w:t>
      </w:r>
      <w:r w:rsidR="008124AC">
        <w:t>–</w:t>
      </w:r>
      <w:r>
        <w:t>21 to 2026</w:t>
      </w:r>
      <w:r w:rsidR="008124AC">
        <w:t>–</w:t>
      </w:r>
      <w:r>
        <w:t>27 into 4</w:t>
      </w:r>
      <w:r w:rsidR="009F0B46">
        <w:t> </w:t>
      </w:r>
      <w:r>
        <w:t>new research hubs: the Sustainable Communities and Waste Hub, the Climate Systems Hub, the Marine and Coastal Hub, and the Resilient Landscapes Hub.</w:t>
      </w:r>
    </w:p>
    <w:p w14:paraId="43FA1335" w14:textId="1E84CAB8" w:rsidR="00516D73" w:rsidRDefault="00516D73" w:rsidP="00516D73">
      <w:pPr>
        <w:pStyle w:val="ListBullet2"/>
      </w:pPr>
      <w:r>
        <w:t xml:space="preserve">The hubs deliver world-class, practical, </w:t>
      </w:r>
      <w:r w:rsidR="00C30A4E">
        <w:t>evidence</w:t>
      </w:r>
      <w:r>
        <w:t>-based research to inform decisions</w:t>
      </w:r>
      <w:r w:rsidR="00400BB8">
        <w:t xml:space="preserve">. This research </w:t>
      </w:r>
      <w:r w:rsidR="00313F42">
        <w:t>is</w:t>
      </w:r>
      <w:r>
        <w:t xml:space="preserve"> developed in partnership with local communities to sustainably manage the environment.</w:t>
      </w:r>
    </w:p>
    <w:p w14:paraId="6BBFB9E2" w14:textId="43EB2876" w:rsidR="00516D73" w:rsidRDefault="00516D73" w:rsidP="00516D73">
      <w:pPr>
        <w:pStyle w:val="ListBullet2"/>
      </w:pPr>
      <w:r>
        <w:t>The hubs bring together leading scientists to work with local communities, government and industry to deliver applied environmental science. This investment help</w:t>
      </w:r>
      <w:r w:rsidR="000E04CB">
        <w:t>s</w:t>
      </w:r>
      <w:r>
        <w:t xml:space="preserve"> build adaptation capacity and resilience in our natural environment and communities.</w:t>
      </w:r>
    </w:p>
    <w:p w14:paraId="43EB0DEC" w14:textId="24E115BF" w:rsidR="007A2262" w:rsidRDefault="00516D73" w:rsidP="00516D73">
      <w:pPr>
        <w:pStyle w:val="ListBullet2"/>
      </w:pPr>
      <w:r>
        <w:t xml:space="preserve">The </w:t>
      </w:r>
      <w:r w:rsidR="00424F76">
        <w:t xml:space="preserve">second </w:t>
      </w:r>
      <w:r>
        <w:t xml:space="preserve">phase of NESP </w:t>
      </w:r>
      <w:r w:rsidR="00313F42">
        <w:t>builds</w:t>
      </w:r>
      <w:r>
        <w:t xml:space="preserve"> on the foundations of past work.</w:t>
      </w:r>
    </w:p>
    <w:p w14:paraId="34333AD9" w14:textId="1525B3E7" w:rsidR="007A2262" w:rsidRDefault="002B28DC" w:rsidP="002B28DC">
      <w:pPr>
        <w:pStyle w:val="ListBullet"/>
      </w:pPr>
      <w:r w:rsidRPr="002B28DC">
        <w:t>NESP research hubs deliver world-class research to help ensure we care for Australia’s environment based on the best scientific evidence.</w:t>
      </w:r>
    </w:p>
    <w:p w14:paraId="3DD10312" w14:textId="22DC791D" w:rsidR="002B28DC" w:rsidRDefault="002B28DC" w:rsidP="002B28DC">
      <w:pPr>
        <w:pStyle w:val="ListBullet2"/>
      </w:pPr>
      <w:r>
        <w:t>NESP research has real impact through the partnerships and collaboration between policymakers and researchers</w:t>
      </w:r>
      <w:r w:rsidR="00E6238B">
        <w:t xml:space="preserve"> to deliver proven outcomes</w:t>
      </w:r>
      <w:r w:rsidR="00E16FAE">
        <w:t>.</w:t>
      </w:r>
    </w:p>
    <w:p w14:paraId="166FAF72" w14:textId="53EF85BE" w:rsidR="002B28DC" w:rsidRDefault="002B28DC" w:rsidP="002B28DC">
      <w:pPr>
        <w:pStyle w:val="ListBullet2"/>
      </w:pPr>
      <w:r>
        <w:t>NESP projects deliver collaborative, practical and applied research to inform decision-making and on-ground action.</w:t>
      </w:r>
    </w:p>
    <w:p w14:paraId="4B9D3CC6" w14:textId="7726C65E" w:rsidR="007A2262" w:rsidRDefault="002B28DC" w:rsidP="002B28DC">
      <w:pPr>
        <w:pStyle w:val="ListBullet2"/>
      </w:pPr>
      <w:r>
        <w:t>Environmental and agricultural decision</w:t>
      </w:r>
      <w:r w:rsidR="00F6094D">
        <w:t>-</w:t>
      </w:r>
      <w:r>
        <w:t>makers are key partners and are encouraged to articulate their needs to researchers; provide feedback on the quality and usefulness of the research outputs; and be engaged in the communication of how this information has informed policy.</w:t>
      </w:r>
    </w:p>
    <w:p w14:paraId="1D1FC1F8" w14:textId="67F612B0" w:rsidR="002B28DC" w:rsidRDefault="00653351" w:rsidP="00653351">
      <w:pPr>
        <w:pStyle w:val="ListBullet"/>
      </w:pPr>
      <w:r w:rsidRPr="00653351">
        <w:t xml:space="preserve">NESP research </w:t>
      </w:r>
      <w:r w:rsidR="00915200" w:rsidRPr="00915200">
        <w:t>listens to and prioritises the research needs of</w:t>
      </w:r>
      <w:r w:rsidRPr="00653351">
        <w:t xml:space="preserve"> Indigenous land and sea managers, weaves together Indigenous and western environmental knowledge systems and celebrates Indigenous-led approaches to strengthening and sharing knowledge.</w:t>
      </w:r>
    </w:p>
    <w:p w14:paraId="14A54140" w14:textId="0010144E" w:rsidR="00653351" w:rsidRDefault="00653351" w:rsidP="00653351">
      <w:pPr>
        <w:pStyle w:val="ListBullet2"/>
      </w:pPr>
      <w:r>
        <w:t>Indigenous partnerships and a deep respect for traditional knowledge are embedded into the program. NESP deepen</w:t>
      </w:r>
      <w:r w:rsidR="00A07112">
        <w:t>s</w:t>
      </w:r>
      <w:r>
        <w:t xml:space="preserve"> our shared leadership role in looking after Country and meeting our mutual aspirations for the future.</w:t>
      </w:r>
    </w:p>
    <w:p w14:paraId="22C4FD4F" w14:textId="4390C325" w:rsidR="00653351" w:rsidRDefault="00653351" w:rsidP="00653351">
      <w:pPr>
        <w:pStyle w:val="ListBullet2"/>
      </w:pPr>
      <w:r>
        <w:t>NESP addresses Indigenous environmental research needs as identified by Traditional Owners and Indigenous communities, and works with Indigenous people to build research capacity.</w:t>
      </w:r>
    </w:p>
    <w:p w14:paraId="3398CC45" w14:textId="3DB1B9A7" w:rsidR="002B28DC" w:rsidRDefault="00653351" w:rsidP="00653351">
      <w:pPr>
        <w:pStyle w:val="ListBullet2"/>
      </w:pPr>
      <w:r>
        <w:t>The hubs embed strong cultural capability as a key to working respectfully and effectively with Indigenous custodians and communities to achieve culturally fit-for-purpose, practical research outcomes.</w:t>
      </w:r>
    </w:p>
    <w:p w14:paraId="59DAB089" w14:textId="7695AE6F" w:rsidR="003F6A01" w:rsidRDefault="003F6A01" w:rsidP="003F6A01">
      <w:pPr>
        <w:pStyle w:val="ListBullet"/>
      </w:pPr>
      <w:r>
        <w:t>New and existing NESP research findings are available to use</w:t>
      </w:r>
      <w:r w:rsidR="006F22F2">
        <w:t xml:space="preserve">, </w:t>
      </w:r>
      <w:r>
        <w:t>accessible at Australian Government</w:t>
      </w:r>
      <w:r w:rsidR="00E24477">
        <w:t xml:space="preserve">, </w:t>
      </w:r>
      <w:r>
        <w:t>new and existing hub websites.</w:t>
      </w:r>
    </w:p>
    <w:p w14:paraId="0EC1DCC3" w14:textId="3A8AF3C7" w:rsidR="00653351" w:rsidRDefault="003F6A01" w:rsidP="007641B5">
      <w:pPr>
        <w:pStyle w:val="ListBullet"/>
        <w:keepNext/>
      </w:pPr>
      <w:r>
        <w:lastRenderedPageBreak/>
        <w:t>The environmental science priorities of the NESP</w:t>
      </w:r>
      <w:r w:rsidR="006A22F2">
        <w:t xml:space="preserve"> – </w:t>
      </w:r>
      <w:r>
        <w:t>as determined through consultation with end-users and other stakeholders</w:t>
      </w:r>
      <w:r w:rsidR="006A22F2">
        <w:t xml:space="preserve"> – </w:t>
      </w:r>
      <w:r>
        <w:t>are to:</w:t>
      </w:r>
    </w:p>
    <w:p w14:paraId="25B3C640" w14:textId="7FB6F287" w:rsidR="0086204F" w:rsidRDefault="002F1A64" w:rsidP="0086204F">
      <w:pPr>
        <w:pStyle w:val="ListBullet2"/>
      </w:pPr>
      <w:r>
        <w:t xml:space="preserve">deliver </w:t>
      </w:r>
      <w:r w:rsidR="0086204F">
        <w:t>new climate information to better predict extreme events and guide our interventions to preserve natural assets across Australia</w:t>
      </w:r>
    </w:p>
    <w:p w14:paraId="7CC93C8B" w14:textId="2883320F" w:rsidR="0086204F" w:rsidRDefault="002F1A64" w:rsidP="0086204F">
      <w:pPr>
        <w:pStyle w:val="ListBullet2"/>
      </w:pPr>
      <w:r>
        <w:t xml:space="preserve">build </w:t>
      </w:r>
      <w:r w:rsidR="0086204F">
        <w:t>Australia’s climate resilience by synthesising adaptation research across the program</w:t>
      </w:r>
    </w:p>
    <w:p w14:paraId="4F24A2A5" w14:textId="4C243D98" w:rsidR="0086204F" w:rsidRDefault="002F1A64" w:rsidP="0086204F">
      <w:pPr>
        <w:pStyle w:val="ListBullet2"/>
      </w:pPr>
      <w:r>
        <w:t xml:space="preserve">provide </w:t>
      </w:r>
      <w:r w:rsidR="0086204F">
        <w:t>critical information and management tools to look after our threatened and migratory species, ecological communities, and protected areas including the Great Barrier Reef and Kakadu National Park</w:t>
      </w:r>
    </w:p>
    <w:p w14:paraId="4B808169" w14:textId="255BC963" w:rsidR="0086204F" w:rsidRDefault="002F1A64" w:rsidP="0086204F">
      <w:pPr>
        <w:pStyle w:val="ListBullet2"/>
      </w:pPr>
      <w:r>
        <w:t xml:space="preserve">improve </w:t>
      </w:r>
      <w:r w:rsidR="0086204F">
        <w:t>our understanding of the impact of waste material on our communities and natural ecosystems to support action to address this waste</w:t>
      </w:r>
    </w:p>
    <w:p w14:paraId="1BF18172" w14:textId="4D499449" w:rsidR="0086204F" w:rsidRDefault="002F1A64" w:rsidP="0086204F">
      <w:pPr>
        <w:pStyle w:val="ListBullet2"/>
      </w:pPr>
      <w:r>
        <w:t xml:space="preserve">help </w:t>
      </w:r>
      <w:r w:rsidR="0086204F">
        <w:t>governments understand the implications of planning decisions on the liveability of communities</w:t>
      </w:r>
    </w:p>
    <w:p w14:paraId="1AFFC643" w14:textId="1ACA8CA3" w:rsidR="0086204F" w:rsidRDefault="002F1A64" w:rsidP="0086204F">
      <w:pPr>
        <w:pStyle w:val="ListBullet2"/>
      </w:pPr>
      <w:r>
        <w:t xml:space="preserve">help </w:t>
      </w:r>
      <w:r w:rsidR="0086204F">
        <w:t>provide industries with information that supports climate, water and waste management, and the circular economy</w:t>
      </w:r>
    </w:p>
    <w:p w14:paraId="6165B5A1" w14:textId="67821411" w:rsidR="0086204F" w:rsidRDefault="002F1A64" w:rsidP="0086204F">
      <w:pPr>
        <w:pStyle w:val="ListBullet2"/>
      </w:pPr>
      <w:r>
        <w:t xml:space="preserve">help </w:t>
      </w:r>
      <w:r w:rsidR="0086204F">
        <w:t>Indigenous communities ensure traditional ecological knowledge is incorporated in research that affects communities, land and cultural resources through delivering tangible, practical research co-designed by and for Indigenous communities</w:t>
      </w:r>
    </w:p>
    <w:p w14:paraId="15F5D1A9" w14:textId="0448BBA0" w:rsidR="0086204F" w:rsidRDefault="002F1A64" w:rsidP="0086204F">
      <w:pPr>
        <w:pStyle w:val="ListBullet2"/>
      </w:pPr>
      <w:r>
        <w:t xml:space="preserve">help </w:t>
      </w:r>
      <w:r w:rsidR="0086204F">
        <w:t xml:space="preserve">scientists develop knowledge, tools, data and products that can inform environmental </w:t>
      </w:r>
      <w:r w:rsidR="00612893">
        <w:t xml:space="preserve">and climate </w:t>
      </w:r>
      <w:r w:rsidR="0086204F">
        <w:t>decision-making by the Australian Government</w:t>
      </w:r>
    </w:p>
    <w:p w14:paraId="0B0ED7D6" w14:textId="735B3EEB" w:rsidR="005905D3" w:rsidRDefault="002F1A64" w:rsidP="00A1793D">
      <w:pPr>
        <w:pStyle w:val="ListBullet2"/>
      </w:pPr>
      <w:r>
        <w:t xml:space="preserve">help </w:t>
      </w:r>
      <w:r w:rsidR="0086204F">
        <w:t>communities create pathways that enable individual, family and community wellbeing in the environment.</w:t>
      </w:r>
    </w:p>
    <w:p w14:paraId="50EF3929" w14:textId="47D5DF96" w:rsidR="00653351" w:rsidRDefault="005905D3" w:rsidP="00B95F7F">
      <w:pPr>
        <w:pStyle w:val="Heading2"/>
      </w:pPr>
      <w:bookmarkStart w:id="11" w:name="_Toc74727293"/>
      <w:r w:rsidRPr="005905D3">
        <w:lastRenderedPageBreak/>
        <w:t>Knowledge</w:t>
      </w:r>
      <w:r w:rsidR="00BE6277">
        <w:t>-</w:t>
      </w:r>
      <w:r w:rsidRPr="005905D3">
        <w:t>brokering goals</w:t>
      </w:r>
      <w:bookmarkEnd w:id="11"/>
    </w:p>
    <w:p w14:paraId="678166C6" w14:textId="31F6A8DD" w:rsidR="002B28DC" w:rsidRDefault="00DC5F00" w:rsidP="00DC5F00">
      <w:pPr>
        <w:pStyle w:val="ListBullet"/>
      </w:pPr>
      <w:r w:rsidRPr="00DC5F00">
        <w:t>NESP enables and facilitates meaningful and efficient engagement between researchers and end-users, including:</w:t>
      </w:r>
    </w:p>
    <w:p w14:paraId="4B153AAB" w14:textId="23380728" w:rsidR="00DC5F00" w:rsidRDefault="00DC5F00" w:rsidP="00DC5F00">
      <w:pPr>
        <w:pStyle w:val="ListBullet2"/>
      </w:pPr>
      <w:r>
        <w:t xml:space="preserve">maximising collaboration across </w:t>
      </w:r>
      <w:r w:rsidR="00AB3BF4">
        <w:t>initiative</w:t>
      </w:r>
      <w:r>
        <w:t>s while minimising duplication of communication activities of hubs and other environmental research investments</w:t>
      </w:r>
    </w:p>
    <w:p w14:paraId="08789C26" w14:textId="0DA94E64" w:rsidR="00DC5F00" w:rsidRDefault="00DC5F00" w:rsidP="00DC5F00">
      <w:pPr>
        <w:pStyle w:val="ListBullet2"/>
      </w:pPr>
      <w:r>
        <w:t>ensuring that hubs develop and implement knowledge</w:t>
      </w:r>
      <w:r w:rsidR="006735DD">
        <w:t>-</w:t>
      </w:r>
      <w:r>
        <w:t>brokering and communication plans aligned to this strategy and the templates provided by NESP</w:t>
      </w:r>
    </w:p>
    <w:p w14:paraId="2642D3AA" w14:textId="753E79F9" w:rsidR="00DC5F00" w:rsidRDefault="00DC5F00" w:rsidP="00DC5F00">
      <w:pPr>
        <w:pStyle w:val="ListBullet2"/>
      </w:pPr>
      <w:r>
        <w:t>planning for data custodianship and other legacy issues so that NESP outputs are well known and accessible long after the initial funding period.</w:t>
      </w:r>
    </w:p>
    <w:p w14:paraId="30E88B86" w14:textId="57B6114D" w:rsidR="00E4787A" w:rsidRDefault="00A31DB2" w:rsidP="00A31DB2">
      <w:pPr>
        <w:pStyle w:val="ListBullet"/>
      </w:pPr>
      <w:r w:rsidRPr="00A31DB2">
        <w:t>NESP projects connect scientists, policy</w:t>
      </w:r>
      <w:r w:rsidR="00612893">
        <w:t>-</w:t>
      </w:r>
      <w:r w:rsidRPr="00A31DB2">
        <w:t>makers, industries, Indigenous people and communities:</w:t>
      </w:r>
    </w:p>
    <w:p w14:paraId="495ACE03" w14:textId="63BB269F" w:rsidR="00A31DB2" w:rsidRDefault="00A31DB2" w:rsidP="00A31DB2">
      <w:pPr>
        <w:pStyle w:val="ListBullet2"/>
      </w:pPr>
      <w:r>
        <w:t>NESP scientists work with end-users to co-design research that produces relevant, accessible and effectively communicated outputs</w:t>
      </w:r>
      <w:r w:rsidR="006A22F2">
        <w:t xml:space="preserve">, and assists </w:t>
      </w:r>
      <w:r w:rsidR="00612893">
        <w:t xml:space="preserve">environmental and climate </w:t>
      </w:r>
      <w:r w:rsidR="006A22F2">
        <w:t>decision-making</w:t>
      </w:r>
      <w:r>
        <w:t>.</w:t>
      </w:r>
    </w:p>
    <w:p w14:paraId="2B6BC4DE" w14:textId="0CABC1A0" w:rsidR="009B55D1" w:rsidRDefault="00A31DB2" w:rsidP="00A31DB2">
      <w:pPr>
        <w:pStyle w:val="ListBullet2"/>
      </w:pPr>
      <w:r>
        <w:t>NESP works with industries to apply the relevant research and highlight the value delivered for the Australian Government and the portfolio through the government’s investment in practical approaches to environmental challenges.</w:t>
      </w:r>
    </w:p>
    <w:p w14:paraId="4AE6A64A" w14:textId="567B8C3B" w:rsidR="00766972" w:rsidRDefault="00766972" w:rsidP="0040048F">
      <w:pPr>
        <w:pStyle w:val="ListBullet2"/>
      </w:pPr>
      <w:r>
        <w:t>NESP values Indigenous research partnerships and respects traditional knowledge. It works with Traditional Owners and communities to deliver culturally fit-for-purpose research and increase cultural capacity in the environmental research sector. Learning together and incorporating shared knowledge into NESP research provides a range of perspectives and acknowledges First Nation’s peoples’ expertise and continuing connection to land, sea and community.</w:t>
      </w:r>
    </w:p>
    <w:p w14:paraId="35B6C1D1" w14:textId="66EC24E0" w:rsidR="009B55D1" w:rsidRDefault="00766972" w:rsidP="0040048F">
      <w:pPr>
        <w:pStyle w:val="ListBullet2"/>
      </w:pPr>
      <w:r>
        <w:t xml:space="preserve">NESP works with communities to reduce the impact of plastic, support </w:t>
      </w:r>
      <w:r w:rsidR="00612893">
        <w:t xml:space="preserve">climate adaptation and </w:t>
      </w:r>
      <w:r>
        <w:t>sustainable people-environment interactions</w:t>
      </w:r>
      <w:r w:rsidR="00612893">
        <w:t xml:space="preserve">, </w:t>
      </w:r>
      <w:r>
        <w:t xml:space="preserve">and offer management options for hazardous substances and pollutants </w:t>
      </w:r>
      <w:r w:rsidR="00186D68">
        <w:t>through their lifecycle</w:t>
      </w:r>
      <w:r w:rsidR="006332C4">
        <w:t xml:space="preserve"> </w:t>
      </w:r>
      <w:r>
        <w:t>to minimise environmental and human</w:t>
      </w:r>
      <w:r w:rsidR="006A22F2">
        <w:t>-</w:t>
      </w:r>
      <w:r>
        <w:t>health impacts.</w:t>
      </w:r>
    </w:p>
    <w:p w14:paraId="3AF49455" w14:textId="662C1A27" w:rsidR="00766972" w:rsidRDefault="00FC0BAB" w:rsidP="00FC0BAB">
      <w:r w:rsidRPr="00FC0BAB">
        <w:t xml:space="preserve">To achieve these goals, NESP </w:t>
      </w:r>
      <w:r w:rsidR="00424F76">
        <w:t>to</w:t>
      </w:r>
      <w:r w:rsidR="00424F76" w:rsidRPr="00FC0BAB">
        <w:t xml:space="preserve"> </w:t>
      </w:r>
      <w:r w:rsidRPr="00FC0BAB">
        <w:t>adhere to the following principles and guidelines:</w:t>
      </w:r>
    </w:p>
    <w:p w14:paraId="496A0E66" w14:textId="57AFB18C" w:rsidR="009D5D0A" w:rsidRDefault="009D5D0A" w:rsidP="009D5D0A">
      <w:pPr>
        <w:pStyle w:val="ListBullet"/>
      </w:pPr>
      <w:r>
        <w:t xml:space="preserve">the department’s data management framework which refers to the </w:t>
      </w:r>
      <w:r w:rsidRPr="000B7910">
        <w:rPr>
          <w:rStyle w:val="Emphasis"/>
        </w:rPr>
        <w:t>Australian Research Data Commons' (ARDC) Findable, Accessible, Interoperable, Reusable (FAIR) data principles</w:t>
      </w:r>
      <w:r>
        <w:t xml:space="preserve"> and broader Australian Public Service whole-of-government data principles</w:t>
      </w:r>
    </w:p>
    <w:p w14:paraId="04B74B2E" w14:textId="1AE1922F" w:rsidR="009D5D0A" w:rsidRPr="000B7910" w:rsidRDefault="009D5D0A" w:rsidP="009D5D0A">
      <w:pPr>
        <w:pStyle w:val="ListBullet"/>
        <w:rPr>
          <w:rStyle w:val="Emphasis"/>
        </w:rPr>
      </w:pPr>
      <w:r w:rsidRPr="000B7910">
        <w:rPr>
          <w:rStyle w:val="Emphasis"/>
        </w:rPr>
        <w:t>Our knowledge our way in caring for Country: Indigenous-led approaches to strengthening and sharing knowledge for land and sea management</w:t>
      </w:r>
    </w:p>
    <w:p w14:paraId="05520A0C" w14:textId="40550DBB" w:rsidR="00766972" w:rsidRDefault="009D5D0A" w:rsidP="009D5D0A">
      <w:pPr>
        <w:pStyle w:val="ListBullet"/>
      </w:pPr>
      <w:r w:rsidRPr="000B7910">
        <w:rPr>
          <w:rStyle w:val="Emphasis"/>
        </w:rPr>
        <w:t>Three-category approach</w:t>
      </w:r>
      <w:r>
        <w:t xml:space="preserve"> to guide non-Indigenous researchers and practitioners, and support Indigenous engagement.</w:t>
      </w:r>
    </w:p>
    <w:p w14:paraId="7D729FE2" w14:textId="37E9B156" w:rsidR="00B6124F" w:rsidRDefault="00360E43" w:rsidP="00A1793D">
      <w:bookmarkStart w:id="12" w:name="_Hlk65566829"/>
      <w:r w:rsidRPr="00883A01">
        <w:t>Note:</w:t>
      </w:r>
      <w:r>
        <w:t xml:space="preserve"> </w:t>
      </w:r>
      <w:r w:rsidR="00883A01">
        <w:t>R</w:t>
      </w:r>
      <w:r>
        <w:t>efer to</w:t>
      </w:r>
      <w:r w:rsidR="007641B5">
        <w:t xml:space="preserve"> the</w:t>
      </w:r>
      <w:r>
        <w:t xml:space="preserve"> </w:t>
      </w:r>
      <w:hyperlink w:anchor="_Related_materials" w:history="1">
        <w:r w:rsidRPr="00360E43">
          <w:rPr>
            <w:rStyle w:val="Hyperlink"/>
          </w:rPr>
          <w:t>Related materials</w:t>
        </w:r>
      </w:hyperlink>
      <w:r>
        <w:t xml:space="preserve"> </w:t>
      </w:r>
      <w:r w:rsidR="00FF7115">
        <w:t xml:space="preserve">section </w:t>
      </w:r>
      <w:r w:rsidR="00402A9E">
        <w:t>for these principles and guidelines.</w:t>
      </w:r>
    </w:p>
    <w:p w14:paraId="4FA101E6" w14:textId="0C4F9492" w:rsidR="009D5D0A" w:rsidRDefault="00B6124F" w:rsidP="00B95F7F">
      <w:pPr>
        <w:pStyle w:val="Heading2"/>
      </w:pPr>
      <w:bookmarkStart w:id="13" w:name="_Toc74727294"/>
      <w:bookmarkEnd w:id="12"/>
      <w:r w:rsidRPr="00B6124F">
        <w:lastRenderedPageBreak/>
        <w:t>Knowledge</w:t>
      </w:r>
      <w:r w:rsidR="0085769C">
        <w:t xml:space="preserve"> </w:t>
      </w:r>
      <w:r w:rsidRPr="00B6124F">
        <w:t>brokering and communication strategies</w:t>
      </w:r>
      <w:bookmarkEnd w:id="13"/>
    </w:p>
    <w:p w14:paraId="359E617D" w14:textId="382E00EE" w:rsidR="004C4F9B" w:rsidRDefault="004C4F9B" w:rsidP="004C4F9B">
      <w:r>
        <w:t xml:space="preserve">The program’s success is highly dependent on the knowledge sharing between researchers and end-users. To achieve this, the </w:t>
      </w:r>
      <w:r w:rsidRPr="008878F7">
        <w:rPr>
          <w:rStyle w:val="Emphasis"/>
        </w:rPr>
        <w:t>NESP</w:t>
      </w:r>
      <w:r w:rsidRPr="007B050A">
        <w:rPr>
          <w:rStyle w:val="Emphasis"/>
        </w:rPr>
        <w:t xml:space="preserve"> grant opportunity guidelines</w:t>
      </w:r>
      <w:r>
        <w:t xml:space="preserve"> outline that each hub must commit to the development and implementation of a </w:t>
      </w:r>
      <w:r w:rsidR="0085769C">
        <w:rPr>
          <w:rStyle w:val="Emphasis"/>
          <w:i w:val="0"/>
          <w:iCs w:val="0"/>
        </w:rPr>
        <w:t>k</w:t>
      </w:r>
      <w:r w:rsidRPr="0040048F">
        <w:rPr>
          <w:rStyle w:val="Emphasis"/>
          <w:i w:val="0"/>
          <w:iCs w:val="0"/>
        </w:rPr>
        <w:t>nowledge</w:t>
      </w:r>
      <w:r w:rsidR="0085769C">
        <w:rPr>
          <w:rStyle w:val="Emphasis"/>
          <w:i w:val="0"/>
          <w:iCs w:val="0"/>
        </w:rPr>
        <w:t xml:space="preserve"> </w:t>
      </w:r>
      <w:r w:rsidRPr="0040048F">
        <w:rPr>
          <w:rStyle w:val="Emphasis"/>
          <w:i w:val="0"/>
          <w:iCs w:val="0"/>
        </w:rPr>
        <w:t>brokering strategy</w:t>
      </w:r>
      <w:r>
        <w:t xml:space="preserve"> and a </w:t>
      </w:r>
      <w:r w:rsidR="0085769C">
        <w:rPr>
          <w:rStyle w:val="Emphasis"/>
          <w:i w:val="0"/>
          <w:iCs w:val="0"/>
        </w:rPr>
        <w:t>c</w:t>
      </w:r>
      <w:r w:rsidRPr="0040048F">
        <w:rPr>
          <w:rStyle w:val="Emphasis"/>
          <w:i w:val="0"/>
          <w:iCs w:val="0"/>
        </w:rPr>
        <w:t>ommunication strategy</w:t>
      </w:r>
      <w:r w:rsidR="00EB7EFA" w:rsidRPr="00612E8D">
        <w:t>, along with</w:t>
      </w:r>
      <w:r>
        <w:t xml:space="preserve"> and their implementation. These must be completed within the timeframe specified in the funding agreement’s milestone schedule.</w:t>
      </w:r>
    </w:p>
    <w:p w14:paraId="180ED70C" w14:textId="0042FC4B" w:rsidR="004C4F9B" w:rsidRDefault="004C4F9B" w:rsidP="004C4F9B">
      <w:r>
        <w:t xml:space="preserve">Each hub’s strategy must be consistent with the </w:t>
      </w:r>
      <w:r w:rsidRPr="0040048F">
        <w:rPr>
          <w:i/>
          <w:iCs/>
        </w:rPr>
        <w:t>NESP knowledge</w:t>
      </w:r>
      <w:r w:rsidR="006735DD" w:rsidRPr="0040048F">
        <w:rPr>
          <w:i/>
          <w:iCs/>
        </w:rPr>
        <w:t>-</w:t>
      </w:r>
      <w:r w:rsidRPr="0040048F">
        <w:rPr>
          <w:i/>
          <w:iCs/>
        </w:rPr>
        <w:t>brokering and communication</w:t>
      </w:r>
      <w:r w:rsidR="0085769C">
        <w:rPr>
          <w:i/>
          <w:iCs/>
        </w:rPr>
        <w:t>s</w:t>
      </w:r>
      <w:r w:rsidRPr="0040048F">
        <w:rPr>
          <w:i/>
          <w:iCs/>
        </w:rPr>
        <w:t xml:space="preserve"> strategy</w:t>
      </w:r>
      <w:r>
        <w:t xml:space="preserve">. Further information regarding the aims and contents of these strategies are detailed in the </w:t>
      </w:r>
      <w:r w:rsidR="0085769C">
        <w:rPr>
          <w:rStyle w:val="Emphasis"/>
          <w:i w:val="0"/>
          <w:iCs w:val="0"/>
        </w:rPr>
        <w:t>hub k</w:t>
      </w:r>
      <w:r w:rsidRPr="0040048F">
        <w:rPr>
          <w:rStyle w:val="Emphasis"/>
          <w:i w:val="0"/>
          <w:iCs w:val="0"/>
        </w:rPr>
        <w:t>nowledge</w:t>
      </w:r>
      <w:r w:rsidR="0085769C">
        <w:rPr>
          <w:rStyle w:val="Emphasis"/>
          <w:i w:val="0"/>
          <w:iCs w:val="0"/>
        </w:rPr>
        <w:t xml:space="preserve"> </w:t>
      </w:r>
      <w:r w:rsidRPr="0040048F">
        <w:rPr>
          <w:rStyle w:val="Emphasis"/>
          <w:i w:val="0"/>
          <w:iCs w:val="0"/>
        </w:rPr>
        <w:t xml:space="preserve">brokering strategy </w:t>
      </w:r>
      <w:r>
        <w:t xml:space="preserve">and </w:t>
      </w:r>
      <w:r w:rsidR="0085769C" w:rsidRPr="0040048F">
        <w:rPr>
          <w:rStyle w:val="Emphasis"/>
          <w:i w:val="0"/>
        </w:rPr>
        <w:t>c</w:t>
      </w:r>
      <w:r w:rsidRPr="0040048F">
        <w:rPr>
          <w:rStyle w:val="Emphasis"/>
          <w:i w:val="0"/>
        </w:rPr>
        <w:t>ommunication strategy</w:t>
      </w:r>
      <w:r w:rsidRPr="0040048F">
        <w:rPr>
          <w:rStyle w:val="Emphasis"/>
          <w:i w:val="0"/>
          <w:iCs w:val="0"/>
        </w:rPr>
        <w:t xml:space="preserve"> template</w:t>
      </w:r>
      <w:r w:rsidR="0085769C">
        <w:t>s</w:t>
      </w:r>
      <w:r>
        <w:t>.</w:t>
      </w:r>
    </w:p>
    <w:p w14:paraId="0C5CAAA6" w14:textId="24D583C4" w:rsidR="004C4F9B" w:rsidRDefault="004C4F9B" w:rsidP="004C4F9B">
      <w:r>
        <w:t xml:space="preserve">The Science Partnerships team </w:t>
      </w:r>
      <w:r w:rsidR="00424F76">
        <w:t xml:space="preserve">is </w:t>
      </w:r>
      <w:r>
        <w:t>prepar</w:t>
      </w:r>
      <w:r w:rsidR="00424F76">
        <w:t>ing</w:t>
      </w:r>
      <w:r>
        <w:t xml:space="preserve"> a communication plan, outlining the specific activities that the department </w:t>
      </w:r>
      <w:r w:rsidR="00424F76">
        <w:t xml:space="preserve">plans to </w:t>
      </w:r>
      <w:r>
        <w:t xml:space="preserve">undertake to complement and build upon the work of the hubs, and contribute to achieving this strategy. The team </w:t>
      </w:r>
      <w:r w:rsidR="0085769C">
        <w:t xml:space="preserve">will </w:t>
      </w:r>
      <w:r>
        <w:t>circulate this plan to hubs to encourage collaboration across NESP.</w:t>
      </w:r>
    </w:p>
    <w:p w14:paraId="3071F3B4" w14:textId="177C6E62" w:rsidR="009D5D0A" w:rsidRDefault="004C4F9B" w:rsidP="004C4F9B">
      <w:r>
        <w:t>All NESP-related communication and knowledge</w:t>
      </w:r>
      <w:r w:rsidR="006735DD">
        <w:t>-</w:t>
      </w:r>
      <w:r>
        <w:t>brokering activities and materials must comply with</w:t>
      </w:r>
      <w:r w:rsidR="008124AC">
        <w:t> </w:t>
      </w:r>
      <w:r>
        <w:t>the:</w:t>
      </w:r>
    </w:p>
    <w:p w14:paraId="1A0C24EA" w14:textId="77777777" w:rsidR="004C4F9B" w:rsidRDefault="004C4F9B" w:rsidP="004C4F9B">
      <w:pPr>
        <w:pStyle w:val="ListBullet"/>
      </w:pPr>
      <w:r>
        <w:t xml:space="preserve">protocols detailed in the </w:t>
      </w:r>
      <w:r w:rsidRPr="00A9122E">
        <w:rPr>
          <w:rStyle w:val="Emphasis"/>
        </w:rPr>
        <w:t>NESP brand standards</w:t>
      </w:r>
    </w:p>
    <w:p w14:paraId="5EF0E705" w14:textId="4408F124" w:rsidR="004C4F9B" w:rsidRDefault="004C4F9B" w:rsidP="004C4F9B">
      <w:pPr>
        <w:pStyle w:val="ListBullet"/>
      </w:pPr>
      <w:r w:rsidRPr="00A9122E">
        <w:rPr>
          <w:rStyle w:val="Emphasis"/>
        </w:rPr>
        <w:t>Australian Government style manual</w:t>
      </w:r>
      <w:r>
        <w:t>.</w:t>
      </w:r>
    </w:p>
    <w:p w14:paraId="7D722584" w14:textId="32647EB7" w:rsidR="004C4F9B" w:rsidRDefault="00B16402" w:rsidP="00A1793D">
      <w:r w:rsidRPr="000F497B">
        <w:t>Note</w:t>
      </w:r>
      <w:r w:rsidRPr="00360E43">
        <w:rPr>
          <w:rStyle w:val="Strong"/>
        </w:rPr>
        <w:t>:</w:t>
      </w:r>
      <w:r>
        <w:t xml:space="preserve"> </w:t>
      </w:r>
      <w:r w:rsidR="000F497B">
        <w:t>R</w:t>
      </w:r>
      <w:r>
        <w:t>efer to</w:t>
      </w:r>
      <w:r w:rsidR="007641B5">
        <w:t xml:space="preserve"> the</w:t>
      </w:r>
      <w:r>
        <w:t xml:space="preserve"> </w:t>
      </w:r>
      <w:hyperlink w:anchor="_Related_materials" w:history="1">
        <w:r w:rsidRPr="00360E43">
          <w:rPr>
            <w:rStyle w:val="Hyperlink"/>
          </w:rPr>
          <w:t>Related materials</w:t>
        </w:r>
      </w:hyperlink>
      <w:r>
        <w:t xml:space="preserve"> </w:t>
      </w:r>
      <w:r w:rsidR="008124AC">
        <w:t xml:space="preserve">section </w:t>
      </w:r>
      <w:r>
        <w:t xml:space="preserve">for the </w:t>
      </w:r>
      <w:r w:rsidRPr="00A9122E">
        <w:rPr>
          <w:rStyle w:val="Emphasis"/>
        </w:rPr>
        <w:t>NESP brand standards</w:t>
      </w:r>
      <w:r>
        <w:t xml:space="preserve"> and </w:t>
      </w:r>
      <w:r w:rsidRPr="00A9122E">
        <w:rPr>
          <w:rStyle w:val="Emphasis"/>
        </w:rPr>
        <w:t>Australian Government style manual</w:t>
      </w:r>
      <w:r>
        <w:t>.</w:t>
      </w:r>
    </w:p>
    <w:p w14:paraId="20057F37" w14:textId="2E2CCABA" w:rsidR="009B55D1" w:rsidRDefault="006466A1" w:rsidP="00B95F7F">
      <w:pPr>
        <w:pStyle w:val="Heading2"/>
      </w:pPr>
      <w:bookmarkStart w:id="14" w:name="_Toc74727295"/>
      <w:r>
        <w:lastRenderedPageBreak/>
        <w:t>Monitoring and e</w:t>
      </w:r>
      <w:r w:rsidR="004C4F9B">
        <w:t>valuation</w:t>
      </w:r>
      <w:bookmarkEnd w:id="14"/>
    </w:p>
    <w:p w14:paraId="2F628A52" w14:textId="611D5976" w:rsidR="004C4F9B" w:rsidRDefault="004C4F9B" w:rsidP="004C4F9B">
      <w:r w:rsidRPr="004C4F9B">
        <w:t xml:space="preserve">NESP </w:t>
      </w:r>
      <w:r w:rsidR="006466A1">
        <w:t xml:space="preserve">knowledge brokering and </w:t>
      </w:r>
      <w:r w:rsidRPr="004C4F9B">
        <w:t xml:space="preserve">communication </w:t>
      </w:r>
      <w:r w:rsidR="0085769C">
        <w:t xml:space="preserve">activities </w:t>
      </w:r>
      <w:r w:rsidR="006466A1">
        <w:t>are</w:t>
      </w:r>
      <w:r w:rsidRPr="004C4F9B">
        <w:t xml:space="preserve"> evaluated in </w:t>
      </w:r>
      <w:r w:rsidR="006466A1">
        <w:t>accordance</w:t>
      </w:r>
      <w:r w:rsidR="006466A1" w:rsidRPr="004C4F9B">
        <w:t xml:space="preserve"> </w:t>
      </w:r>
      <w:r w:rsidRPr="004C4F9B">
        <w:t xml:space="preserve">with the </w:t>
      </w:r>
      <w:r w:rsidR="006466A1">
        <w:rPr>
          <w:rStyle w:val="Emphasis"/>
        </w:rPr>
        <w:t>NESP monitoring and evaluation plan</w:t>
      </w:r>
      <w:r w:rsidRPr="004C4F9B">
        <w:t>.</w:t>
      </w:r>
    </w:p>
    <w:p w14:paraId="0E2DED56" w14:textId="0DC45FB5" w:rsidR="00EC4CD6" w:rsidRDefault="00654830" w:rsidP="00654830">
      <w:r w:rsidRPr="00654830">
        <w:t xml:space="preserve">Communication </w:t>
      </w:r>
      <w:r w:rsidR="00186D68">
        <w:t xml:space="preserve">and knowledge brokering </w:t>
      </w:r>
      <w:r w:rsidRPr="00654830">
        <w:t xml:space="preserve">activities </w:t>
      </w:r>
      <w:r w:rsidR="006466A1">
        <w:t>will</w:t>
      </w:r>
      <w:r w:rsidR="006466A1" w:rsidRPr="00654830">
        <w:t xml:space="preserve"> </w:t>
      </w:r>
      <w:r w:rsidRPr="00654830">
        <w:t xml:space="preserve">be evaluated </w:t>
      </w:r>
      <w:r w:rsidR="002E3DF9">
        <w:t xml:space="preserve">at the program level </w:t>
      </w:r>
      <w:r w:rsidRPr="00654830">
        <w:t xml:space="preserve">every </w:t>
      </w:r>
      <w:r w:rsidR="00A8798A">
        <w:t>12</w:t>
      </w:r>
      <w:r w:rsidR="00AD37F6">
        <w:t> </w:t>
      </w:r>
      <w:r w:rsidRPr="00654830">
        <w:t>months using the</w:t>
      </w:r>
      <w:r w:rsidR="00C30A4E">
        <w:t xml:space="preserve"> </w:t>
      </w:r>
      <w:r w:rsidR="00F9278B">
        <w:t>measures and metrics provided</w:t>
      </w:r>
      <w:r w:rsidR="00FC1172">
        <w:t xml:space="preserve"> </w:t>
      </w:r>
      <w:r w:rsidR="00F9278B">
        <w:t xml:space="preserve">in </w:t>
      </w:r>
      <w:r w:rsidR="00F9278B">
        <w:fldChar w:fldCharType="begin"/>
      </w:r>
      <w:r w:rsidR="00F9278B">
        <w:instrText xml:space="preserve"> REF _Ref65743411 \h </w:instrText>
      </w:r>
      <w:r w:rsidR="00F9278B">
        <w:fldChar w:fldCharType="separate"/>
      </w:r>
      <w:r w:rsidR="007167F3">
        <w:t xml:space="preserve">Table </w:t>
      </w:r>
      <w:r w:rsidR="007167F3">
        <w:rPr>
          <w:noProof/>
        </w:rPr>
        <w:t>1</w:t>
      </w:r>
      <w:r w:rsidR="00F9278B">
        <w:fldChar w:fldCharType="end"/>
      </w:r>
      <w:r w:rsidR="00EC4CD6">
        <w:t>.</w:t>
      </w:r>
    </w:p>
    <w:p w14:paraId="1E8AA1DB" w14:textId="0FDC6C15" w:rsidR="00EC4CD6" w:rsidRDefault="00EC4CD6" w:rsidP="000739C0">
      <w:pPr>
        <w:pStyle w:val="Caption"/>
      </w:pPr>
      <w:bookmarkStart w:id="15" w:name="_Toc65757468"/>
      <w:r>
        <w:t xml:space="preserve">Table </w:t>
      </w:r>
      <w:r w:rsidR="00855E6D">
        <w:fldChar w:fldCharType="begin"/>
      </w:r>
      <w:r w:rsidR="00855E6D">
        <w:instrText xml:space="preserve"> SEQ Table \* ARABIC </w:instrText>
      </w:r>
      <w:r w:rsidR="00855E6D">
        <w:fldChar w:fldCharType="separate"/>
      </w:r>
      <w:r w:rsidR="007167F3">
        <w:rPr>
          <w:noProof/>
        </w:rPr>
        <w:t>3</w:t>
      </w:r>
      <w:r w:rsidR="00855E6D">
        <w:rPr>
          <w:noProof/>
        </w:rPr>
        <w:fldChar w:fldCharType="end"/>
      </w:r>
      <w:r>
        <w:t xml:space="preserve"> Evaluation methods</w:t>
      </w:r>
      <w:bookmarkEnd w:id="15"/>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5946"/>
      </w:tblGrid>
      <w:tr w:rsidR="003114C3" w14:paraId="61A1D21C" w14:textId="77777777" w:rsidTr="00F7090D">
        <w:trPr>
          <w:cantSplit/>
          <w:tblHeader/>
        </w:trPr>
        <w:tc>
          <w:tcPr>
            <w:tcW w:w="2689" w:type="dxa"/>
            <w:tcBorders>
              <w:top w:val="single" w:sz="4" w:space="0" w:color="auto"/>
              <w:bottom w:val="single" w:sz="4" w:space="0" w:color="auto"/>
            </w:tcBorders>
          </w:tcPr>
          <w:p w14:paraId="65E1F1AF" w14:textId="3C87576F" w:rsidR="003114C3" w:rsidRDefault="003114C3" w:rsidP="003114C3">
            <w:pPr>
              <w:pStyle w:val="TableHeading"/>
            </w:pPr>
            <w:r w:rsidRPr="00183F75">
              <w:t>Measure</w:t>
            </w:r>
          </w:p>
        </w:tc>
        <w:tc>
          <w:tcPr>
            <w:tcW w:w="5946" w:type="dxa"/>
            <w:tcBorders>
              <w:top w:val="single" w:sz="4" w:space="0" w:color="auto"/>
              <w:bottom w:val="single" w:sz="4" w:space="0" w:color="auto"/>
            </w:tcBorders>
          </w:tcPr>
          <w:p w14:paraId="2801A19D" w14:textId="2F3211D8" w:rsidR="003114C3" w:rsidRDefault="003114C3" w:rsidP="003114C3">
            <w:pPr>
              <w:pStyle w:val="TableHeading"/>
            </w:pPr>
            <w:r w:rsidRPr="00183F75">
              <w:t>Metric</w:t>
            </w:r>
          </w:p>
        </w:tc>
      </w:tr>
      <w:tr w:rsidR="003114C3" w14:paraId="0D806125" w14:textId="77777777" w:rsidTr="000B5716">
        <w:tc>
          <w:tcPr>
            <w:tcW w:w="2689" w:type="dxa"/>
            <w:tcBorders>
              <w:top w:val="single" w:sz="4" w:space="0" w:color="auto"/>
              <w:bottom w:val="single" w:sz="4" w:space="0" w:color="auto"/>
            </w:tcBorders>
          </w:tcPr>
          <w:p w14:paraId="1806605B" w14:textId="0B29F484" w:rsidR="003114C3" w:rsidRDefault="003114C3" w:rsidP="003114C3">
            <w:pPr>
              <w:pStyle w:val="TableText"/>
            </w:pPr>
            <w:r w:rsidRPr="002B43C8">
              <w:t>Reach</w:t>
            </w:r>
          </w:p>
        </w:tc>
        <w:tc>
          <w:tcPr>
            <w:tcW w:w="5946" w:type="dxa"/>
            <w:tcBorders>
              <w:top w:val="single" w:sz="4" w:space="0" w:color="auto"/>
              <w:bottom w:val="single" w:sz="4" w:space="0" w:color="auto"/>
            </w:tcBorders>
          </w:tcPr>
          <w:p w14:paraId="46443CA8" w14:textId="69D2339C" w:rsidR="003114C3" w:rsidRDefault="003114C3" w:rsidP="00A95826">
            <w:pPr>
              <w:pStyle w:val="TableBullet1"/>
            </w:pPr>
            <w:r>
              <w:t>Media coverage</w:t>
            </w:r>
          </w:p>
          <w:p w14:paraId="47AB30EA" w14:textId="42D7E3BB" w:rsidR="003114C3" w:rsidRDefault="003114C3" w:rsidP="005F010D">
            <w:pPr>
              <w:pStyle w:val="TableBullet1"/>
            </w:pPr>
            <w:r>
              <w:t>Social media reach</w:t>
            </w:r>
          </w:p>
        </w:tc>
      </w:tr>
      <w:tr w:rsidR="003114C3" w14:paraId="028DDAE0" w14:textId="77777777" w:rsidTr="000B5716">
        <w:tc>
          <w:tcPr>
            <w:tcW w:w="2689" w:type="dxa"/>
            <w:tcBorders>
              <w:top w:val="single" w:sz="4" w:space="0" w:color="auto"/>
              <w:bottom w:val="single" w:sz="4" w:space="0" w:color="auto"/>
            </w:tcBorders>
          </w:tcPr>
          <w:p w14:paraId="111B7DA5" w14:textId="13B33471" w:rsidR="003114C3" w:rsidRDefault="003114C3" w:rsidP="003114C3">
            <w:pPr>
              <w:pStyle w:val="TableText"/>
            </w:pPr>
            <w:r w:rsidRPr="002B43C8">
              <w:t>Advocacy</w:t>
            </w:r>
          </w:p>
        </w:tc>
        <w:tc>
          <w:tcPr>
            <w:tcW w:w="5946" w:type="dxa"/>
            <w:tcBorders>
              <w:top w:val="single" w:sz="4" w:space="0" w:color="auto"/>
              <w:bottom w:val="single" w:sz="4" w:space="0" w:color="auto"/>
            </w:tcBorders>
          </w:tcPr>
          <w:p w14:paraId="66AFD511" w14:textId="4D3B8192" w:rsidR="003114C3" w:rsidRDefault="003114C3" w:rsidP="00A07112">
            <w:pPr>
              <w:pStyle w:val="TableBullet1"/>
            </w:pPr>
            <w:r w:rsidRPr="003114C3">
              <w:t>Public relations (PR)</w:t>
            </w:r>
            <w:r w:rsidR="0085769C">
              <w:t xml:space="preserve"> </w:t>
            </w:r>
            <w:r w:rsidRPr="003114C3">
              <w:t>–</w:t>
            </w:r>
            <w:r w:rsidR="0085769C">
              <w:t xml:space="preserve"> </w:t>
            </w:r>
            <w:r w:rsidRPr="003114C3">
              <w:t>mentions by research organisations</w:t>
            </w:r>
          </w:p>
        </w:tc>
      </w:tr>
      <w:tr w:rsidR="003114C3" w14:paraId="48B85B6A" w14:textId="77777777" w:rsidTr="000B5716">
        <w:tc>
          <w:tcPr>
            <w:tcW w:w="2689" w:type="dxa"/>
            <w:tcBorders>
              <w:top w:val="single" w:sz="4" w:space="0" w:color="auto"/>
              <w:bottom w:val="single" w:sz="4" w:space="0" w:color="auto"/>
            </w:tcBorders>
          </w:tcPr>
          <w:p w14:paraId="171273DB" w14:textId="63962FC3" w:rsidR="003114C3" w:rsidRDefault="003114C3" w:rsidP="003114C3">
            <w:pPr>
              <w:pStyle w:val="TableText"/>
            </w:pPr>
            <w:r w:rsidRPr="002B43C8">
              <w:t>Satisfaction</w:t>
            </w:r>
          </w:p>
        </w:tc>
        <w:tc>
          <w:tcPr>
            <w:tcW w:w="5946" w:type="dxa"/>
            <w:tcBorders>
              <w:top w:val="single" w:sz="4" w:space="0" w:color="auto"/>
              <w:bottom w:val="single" w:sz="4" w:space="0" w:color="auto"/>
            </w:tcBorders>
          </w:tcPr>
          <w:p w14:paraId="0E9AE6D9" w14:textId="429F06BC" w:rsidR="003114C3" w:rsidRDefault="003114C3" w:rsidP="00A95826">
            <w:pPr>
              <w:pStyle w:val="TableBullet1"/>
            </w:pPr>
            <w:r>
              <w:t>Hub sentiment</w:t>
            </w:r>
          </w:p>
          <w:p w14:paraId="6796B931" w14:textId="46A1A761" w:rsidR="003114C3" w:rsidRDefault="003114C3" w:rsidP="005F010D">
            <w:pPr>
              <w:pStyle w:val="TableBullet1"/>
            </w:pPr>
            <w:r>
              <w:t>Media and social media sentiment</w:t>
            </w:r>
          </w:p>
          <w:p w14:paraId="1C4B8D01" w14:textId="6EC64067" w:rsidR="003114C3" w:rsidRDefault="003114C3" w:rsidP="0029006B">
            <w:pPr>
              <w:pStyle w:val="TableBullet1"/>
            </w:pPr>
            <w:r>
              <w:t>Feedback from hub liaison staff</w:t>
            </w:r>
          </w:p>
          <w:p w14:paraId="39F3600B" w14:textId="196D310A" w:rsidR="003114C3" w:rsidRDefault="003114C3">
            <w:pPr>
              <w:pStyle w:val="TableBullet1"/>
            </w:pPr>
            <w:r>
              <w:t>Annual and mid-program review</w:t>
            </w:r>
          </w:p>
        </w:tc>
      </w:tr>
      <w:tr w:rsidR="003114C3" w14:paraId="0F71CED2" w14:textId="77777777" w:rsidTr="000B5716">
        <w:tc>
          <w:tcPr>
            <w:tcW w:w="2689" w:type="dxa"/>
            <w:tcBorders>
              <w:top w:val="single" w:sz="4" w:space="0" w:color="auto"/>
              <w:bottom w:val="single" w:sz="4" w:space="0" w:color="auto"/>
            </w:tcBorders>
          </w:tcPr>
          <w:p w14:paraId="6397CE0B" w14:textId="5CEF9C67" w:rsidR="003114C3" w:rsidRDefault="003114C3" w:rsidP="003114C3">
            <w:pPr>
              <w:pStyle w:val="TableText"/>
            </w:pPr>
            <w:r w:rsidRPr="002B43C8">
              <w:t>Behaviour</w:t>
            </w:r>
          </w:p>
        </w:tc>
        <w:tc>
          <w:tcPr>
            <w:tcW w:w="5946" w:type="dxa"/>
            <w:tcBorders>
              <w:top w:val="single" w:sz="4" w:space="0" w:color="auto"/>
              <w:bottom w:val="single" w:sz="4" w:space="0" w:color="auto"/>
            </w:tcBorders>
          </w:tcPr>
          <w:p w14:paraId="791295F0" w14:textId="77777777" w:rsidR="003114C3" w:rsidRDefault="003114C3" w:rsidP="00A95826">
            <w:pPr>
              <w:pStyle w:val="TableBullet1"/>
            </w:pPr>
            <w:r>
              <w:t>Research citations</w:t>
            </w:r>
          </w:p>
          <w:p w14:paraId="590F1910" w14:textId="77777777" w:rsidR="003114C3" w:rsidRDefault="003114C3" w:rsidP="005F010D">
            <w:pPr>
              <w:pStyle w:val="TableBullet1"/>
            </w:pPr>
            <w:r>
              <w:t>Research partnerships</w:t>
            </w:r>
          </w:p>
          <w:p w14:paraId="51C86259" w14:textId="334164D6" w:rsidR="003114C3" w:rsidRDefault="003114C3" w:rsidP="0029006B">
            <w:pPr>
              <w:pStyle w:val="TableBullet1"/>
            </w:pPr>
            <w:r>
              <w:t>Social media engagement</w:t>
            </w:r>
          </w:p>
        </w:tc>
      </w:tr>
      <w:tr w:rsidR="003114C3" w14:paraId="0817FB09" w14:textId="77777777" w:rsidTr="000B5716">
        <w:tc>
          <w:tcPr>
            <w:tcW w:w="2689" w:type="dxa"/>
            <w:tcBorders>
              <w:top w:val="single" w:sz="4" w:space="0" w:color="auto"/>
              <w:bottom w:val="single" w:sz="4" w:space="0" w:color="auto"/>
            </w:tcBorders>
          </w:tcPr>
          <w:p w14:paraId="1C1803A4" w14:textId="4422391C" w:rsidR="003114C3" w:rsidRDefault="003114C3" w:rsidP="003114C3">
            <w:pPr>
              <w:pStyle w:val="TableText"/>
            </w:pPr>
            <w:r w:rsidRPr="002B43C8">
              <w:t>Engagement and uptake</w:t>
            </w:r>
          </w:p>
        </w:tc>
        <w:tc>
          <w:tcPr>
            <w:tcW w:w="5946" w:type="dxa"/>
            <w:tcBorders>
              <w:top w:val="single" w:sz="4" w:space="0" w:color="auto"/>
              <w:bottom w:val="single" w:sz="4" w:space="0" w:color="auto"/>
            </w:tcBorders>
          </w:tcPr>
          <w:p w14:paraId="17F859FF" w14:textId="77777777" w:rsidR="003114C3" w:rsidRDefault="003114C3" w:rsidP="00A95826">
            <w:pPr>
              <w:pStyle w:val="TableBullet1"/>
            </w:pPr>
            <w:r>
              <w:t>Feedback from end-users</w:t>
            </w:r>
          </w:p>
          <w:p w14:paraId="2DA1379F" w14:textId="0CD97ADA" w:rsidR="003114C3" w:rsidRDefault="003114C3" w:rsidP="005F010D">
            <w:pPr>
              <w:pStyle w:val="TableBullet1"/>
            </w:pPr>
            <w:r>
              <w:t>Number of articles in internal publications (</w:t>
            </w:r>
            <w:r w:rsidR="008F6977">
              <w:t>for example</w:t>
            </w:r>
            <w:r>
              <w:t xml:space="preserve"> </w:t>
            </w:r>
            <w:r w:rsidRPr="0040048F">
              <w:rPr>
                <w:i/>
                <w:iCs/>
              </w:rPr>
              <w:t>Secretary’s Newsletter</w:t>
            </w:r>
            <w:r>
              <w:t xml:space="preserve">, </w:t>
            </w:r>
            <w:proofErr w:type="spellStart"/>
            <w:r w:rsidRPr="0040048F">
              <w:rPr>
                <w:i/>
                <w:iCs/>
              </w:rPr>
              <w:t>AWEsome</w:t>
            </w:r>
            <w:proofErr w:type="spellEnd"/>
            <w:r w:rsidRPr="0040048F">
              <w:rPr>
                <w:i/>
                <w:iCs/>
              </w:rPr>
              <w:t xml:space="preserve"> Update</w:t>
            </w:r>
            <w:r>
              <w:t xml:space="preserve">, </w:t>
            </w:r>
            <w:r w:rsidRPr="0040048F">
              <w:rPr>
                <w:i/>
                <w:iCs/>
              </w:rPr>
              <w:t>Business Bulletin</w:t>
            </w:r>
            <w:r>
              <w:t xml:space="preserve">, </w:t>
            </w:r>
            <w:r w:rsidRPr="0040048F">
              <w:rPr>
                <w:i/>
                <w:iCs/>
              </w:rPr>
              <w:t>In</w:t>
            </w:r>
            <w:r w:rsidR="008124AC" w:rsidRPr="0040048F">
              <w:rPr>
                <w:i/>
                <w:iCs/>
              </w:rPr>
              <w:t> </w:t>
            </w:r>
            <w:r w:rsidRPr="0040048F">
              <w:rPr>
                <w:i/>
                <w:iCs/>
              </w:rPr>
              <w:t>AWE</w:t>
            </w:r>
            <w:r>
              <w:t xml:space="preserve">), </w:t>
            </w:r>
            <w:proofErr w:type="spellStart"/>
            <w:r>
              <w:t>MailChimp</w:t>
            </w:r>
            <w:proofErr w:type="spellEnd"/>
            <w:r>
              <w:t>/NESP News click-throughs, email bounce-backs</w:t>
            </w:r>
          </w:p>
          <w:p w14:paraId="60506AA4" w14:textId="1CDF9A24" w:rsidR="003114C3" w:rsidRDefault="003114C3" w:rsidP="0029006B">
            <w:pPr>
              <w:pStyle w:val="TableBullet1"/>
            </w:pPr>
            <w:r>
              <w:t>Mid-program review survey (Have Your Say)</w:t>
            </w:r>
          </w:p>
        </w:tc>
      </w:tr>
    </w:tbl>
    <w:p w14:paraId="48342AB2" w14:textId="5AEBBFCA" w:rsidR="009770A0" w:rsidRDefault="009770A0" w:rsidP="00B471E8">
      <w:pPr>
        <w:spacing w:before="120"/>
      </w:pPr>
      <w:r>
        <w:t>For example, for media coverage:</w:t>
      </w:r>
    </w:p>
    <w:p w14:paraId="1456C176" w14:textId="489D75DD" w:rsidR="009770A0" w:rsidRPr="004101A9" w:rsidRDefault="009770A0" w:rsidP="004101A9">
      <w:pPr>
        <w:pStyle w:val="ListBullet"/>
      </w:pPr>
      <w:r w:rsidRPr="004101A9">
        <w:t xml:space="preserve">Media </w:t>
      </w:r>
      <w:r w:rsidRPr="004101A9">
        <w:rPr>
          <w:rStyle w:val="Strong"/>
          <w:b w:val="0"/>
          <w:bCs w:val="0"/>
        </w:rPr>
        <w:t>monitoring</w:t>
      </w:r>
      <w:r w:rsidR="004101A9">
        <w:rPr>
          <w:rStyle w:val="Strong"/>
          <w:b w:val="0"/>
          <w:bCs w:val="0"/>
        </w:rPr>
        <w:t xml:space="preserve"> </w:t>
      </w:r>
      <w:r w:rsidR="004101A9">
        <w:rPr>
          <w:rStyle w:val="Strong"/>
          <w:rFonts w:cs="Arial"/>
          <w:b w:val="0"/>
          <w:bCs w:val="0"/>
        </w:rPr>
        <w:t>−</w:t>
      </w:r>
      <w:r w:rsidRPr="004101A9">
        <w:t xml:space="preserve"> occurs each day, including a Google Alert set up </w:t>
      </w:r>
      <w:r w:rsidR="00875422">
        <w:t xml:space="preserve">for </w:t>
      </w:r>
      <w:r w:rsidRPr="004101A9">
        <w:t xml:space="preserve">the words </w:t>
      </w:r>
      <w:r w:rsidR="008124AC" w:rsidRPr="004101A9">
        <w:t>’</w:t>
      </w:r>
      <w:r w:rsidRPr="004101A9">
        <w:t>National Environmental Science Program</w:t>
      </w:r>
      <w:r w:rsidR="008124AC" w:rsidRPr="004101A9">
        <w:t>’</w:t>
      </w:r>
    </w:p>
    <w:p w14:paraId="5F489AB1" w14:textId="0E389CD2" w:rsidR="009770A0" w:rsidRPr="004101A9" w:rsidRDefault="009770A0" w:rsidP="004101A9">
      <w:pPr>
        <w:pStyle w:val="ListBullet"/>
      </w:pPr>
      <w:r w:rsidRPr="004101A9">
        <w:rPr>
          <w:rStyle w:val="Strong"/>
          <w:b w:val="0"/>
          <w:bCs w:val="0"/>
        </w:rPr>
        <w:t>Evaluation</w:t>
      </w:r>
      <w:r w:rsidRPr="004101A9">
        <w:t xml:space="preserve"> </w:t>
      </w:r>
      <w:r w:rsidR="004101A9">
        <w:t>–</w:t>
      </w:r>
      <w:r w:rsidR="00904803">
        <w:t xml:space="preserve"> </w:t>
      </w:r>
      <w:r w:rsidRPr="004101A9">
        <w:t xml:space="preserve">occurs via the </w:t>
      </w:r>
      <w:proofErr w:type="spellStart"/>
      <w:r w:rsidRPr="004101A9">
        <w:t>Isentia</w:t>
      </w:r>
      <w:proofErr w:type="spellEnd"/>
      <w:r w:rsidRPr="004101A9">
        <w:t xml:space="preserve"> media portal, from which NESP-related articles (including social media) are exported monthly</w:t>
      </w:r>
    </w:p>
    <w:p w14:paraId="7F63556F" w14:textId="6BED6B41" w:rsidR="009770A0" w:rsidRPr="004101A9" w:rsidRDefault="009770A0" w:rsidP="004101A9">
      <w:pPr>
        <w:pStyle w:val="ListBullet"/>
      </w:pPr>
      <w:r w:rsidRPr="004101A9">
        <w:rPr>
          <w:rStyle w:val="Strong"/>
          <w:b w:val="0"/>
          <w:bCs w:val="0"/>
        </w:rPr>
        <w:t>Reporting</w:t>
      </w:r>
      <w:r w:rsidR="004101A9">
        <w:t xml:space="preserve"> – </w:t>
      </w:r>
      <w:r w:rsidRPr="004101A9">
        <w:t xml:space="preserve">occurs </w:t>
      </w:r>
      <w:r w:rsidR="00875422">
        <w:t>every</w:t>
      </w:r>
      <w:r w:rsidRPr="004101A9">
        <w:t xml:space="preserve"> </w:t>
      </w:r>
      <w:r w:rsidR="005E71BA">
        <w:t>12</w:t>
      </w:r>
      <w:r w:rsidR="00875422">
        <w:t> </w:t>
      </w:r>
      <w:r w:rsidRPr="004101A9">
        <w:t>months through examination of the number of media and social media articles and the type of engagement (positive, negative, neutral)</w:t>
      </w:r>
    </w:p>
    <w:p w14:paraId="1B1FA8F6" w14:textId="64067588" w:rsidR="00722A53" w:rsidRPr="004101A9" w:rsidRDefault="009770A0" w:rsidP="004101A9">
      <w:pPr>
        <w:pStyle w:val="ListBullet"/>
      </w:pPr>
      <w:r w:rsidRPr="004101A9">
        <w:rPr>
          <w:rStyle w:val="Strong"/>
          <w:b w:val="0"/>
          <w:bCs w:val="0"/>
        </w:rPr>
        <w:t>Improvement</w:t>
      </w:r>
      <w:r w:rsidR="004101A9">
        <w:rPr>
          <w:rStyle w:val="Strong"/>
          <w:b w:val="0"/>
          <w:bCs w:val="0"/>
        </w:rPr>
        <w:t xml:space="preserve"> –</w:t>
      </w:r>
      <w:r w:rsidRPr="004101A9">
        <w:t xml:space="preserve"> is facilitated by </w:t>
      </w:r>
      <w:r w:rsidR="005E71BA">
        <w:t>12</w:t>
      </w:r>
      <w:r w:rsidRPr="004101A9">
        <w:t>-monthly retrospective analysis to encourage proactive media engagements.</w:t>
      </w:r>
    </w:p>
    <w:p w14:paraId="4DA1807F" w14:textId="48DF8B0C" w:rsidR="004C4F9B" w:rsidRDefault="00722A53" w:rsidP="00B95F7F">
      <w:pPr>
        <w:pStyle w:val="Heading2"/>
      </w:pPr>
      <w:bookmarkStart w:id="16" w:name="_Related_materials"/>
      <w:bookmarkStart w:id="17" w:name="_Toc74727296"/>
      <w:bookmarkEnd w:id="16"/>
      <w:r w:rsidRPr="00722A53">
        <w:lastRenderedPageBreak/>
        <w:t>Related materials</w:t>
      </w:r>
      <w:bookmarkEnd w:id="17"/>
    </w:p>
    <w:p w14:paraId="146698F7" w14:textId="3A3CECEE" w:rsidR="00722A53" w:rsidRDefault="008C2425" w:rsidP="008C2425">
      <w:r w:rsidRPr="008C2425">
        <w:t>The following related materials provide guidance for the development of communication products and are available on the internet:</w:t>
      </w:r>
    </w:p>
    <w:p w14:paraId="04D2CA75" w14:textId="77777777" w:rsidR="00EC0397" w:rsidRDefault="00855E6D" w:rsidP="00EC0397">
      <w:pPr>
        <w:pStyle w:val="ListBullet"/>
      </w:pPr>
      <w:hyperlink r:id="rId23" w:history="1">
        <w:r w:rsidR="00EC0397" w:rsidRPr="00C8347E">
          <w:rPr>
            <w:rStyle w:val="Hyperlink"/>
          </w:rPr>
          <w:t>ARDC's FAIR data principles</w:t>
        </w:r>
      </w:hyperlink>
    </w:p>
    <w:p w14:paraId="44CCCC61" w14:textId="5392EACA" w:rsidR="008C2425" w:rsidRDefault="00855E6D" w:rsidP="008C2425">
      <w:pPr>
        <w:pStyle w:val="ListBullet"/>
      </w:pPr>
      <w:hyperlink r:id="rId24" w:history="1">
        <w:r w:rsidR="0012588E" w:rsidRPr="0012588E">
          <w:rPr>
            <w:rStyle w:val="Hyperlink"/>
          </w:rPr>
          <w:t xml:space="preserve">Australian Government </w:t>
        </w:r>
        <w:r w:rsidR="00E83EC2">
          <w:rPr>
            <w:rStyle w:val="Hyperlink"/>
          </w:rPr>
          <w:t>b</w:t>
        </w:r>
        <w:r w:rsidR="0012588E" w:rsidRPr="0012588E">
          <w:rPr>
            <w:rStyle w:val="Hyperlink"/>
          </w:rPr>
          <w:t xml:space="preserve">randing – </w:t>
        </w:r>
        <w:r w:rsidR="00E83EC2">
          <w:rPr>
            <w:rStyle w:val="Hyperlink"/>
          </w:rPr>
          <w:t>g</w:t>
        </w:r>
        <w:r w:rsidR="0012588E" w:rsidRPr="0012588E">
          <w:rPr>
            <w:rStyle w:val="Hyperlink"/>
          </w:rPr>
          <w:t>uidelines on the use of the Australian Government logo by Australian government departments and agencies</w:t>
        </w:r>
      </w:hyperlink>
    </w:p>
    <w:p w14:paraId="7FC97230" w14:textId="503DF42B" w:rsidR="008C2425" w:rsidRDefault="00855E6D" w:rsidP="008C2425">
      <w:pPr>
        <w:pStyle w:val="ListBullet"/>
      </w:pPr>
      <w:hyperlink r:id="rId25" w:history="1">
        <w:r w:rsidR="008C2425" w:rsidRPr="00F71072">
          <w:rPr>
            <w:rStyle w:val="Hyperlink"/>
          </w:rPr>
          <w:t>Australian Government public data policy statement</w:t>
        </w:r>
      </w:hyperlink>
    </w:p>
    <w:p w14:paraId="6E2E8A2E" w14:textId="42387322" w:rsidR="008C2425" w:rsidRDefault="00855E6D" w:rsidP="008C2425">
      <w:pPr>
        <w:pStyle w:val="ListBullet"/>
      </w:pPr>
      <w:hyperlink r:id="rId26" w:history="1">
        <w:r w:rsidR="008C2425" w:rsidRPr="00B272F5">
          <w:rPr>
            <w:rStyle w:val="Hyperlink"/>
          </w:rPr>
          <w:t>Australian Government style manual</w:t>
        </w:r>
      </w:hyperlink>
    </w:p>
    <w:p w14:paraId="0A77F289" w14:textId="5A57386D" w:rsidR="008C2425" w:rsidRPr="00E83EC2" w:rsidRDefault="00E83EC2" w:rsidP="008C2425">
      <w:pPr>
        <w:pStyle w:val="ListBullet"/>
        <w:rPr>
          <w:rStyle w:val="Hyperlink"/>
        </w:rPr>
      </w:pPr>
      <w:r>
        <w:fldChar w:fldCharType="begin"/>
      </w:r>
      <w:r>
        <w:instrText xml:space="preserve"> HYPERLINK "https://www.industry.gov.au/data-and-publications/science-and-research-priorities" </w:instrText>
      </w:r>
      <w:r>
        <w:fldChar w:fldCharType="separate"/>
      </w:r>
      <w:r w:rsidR="008C2425" w:rsidRPr="00E83EC2">
        <w:rPr>
          <w:rStyle w:val="Hyperlink"/>
        </w:rPr>
        <w:t>Australia’s science and research priorities</w:t>
      </w:r>
    </w:p>
    <w:p w14:paraId="61B8173F" w14:textId="0936DEE7" w:rsidR="00D82BF3" w:rsidRDefault="00E83EC2" w:rsidP="008C2425">
      <w:pPr>
        <w:pStyle w:val="ListBullet"/>
      </w:pPr>
      <w:r>
        <w:fldChar w:fldCharType="end"/>
      </w:r>
      <w:hyperlink r:id="rId27" w:history="1">
        <w:r w:rsidR="00D82BF3">
          <w:rPr>
            <w:rStyle w:val="Hyperlink"/>
          </w:rPr>
          <w:t>Indigenous collaboration for Australia’s environmental science</w:t>
        </w:r>
      </w:hyperlink>
    </w:p>
    <w:p w14:paraId="36A033EF" w14:textId="3C480476" w:rsidR="008C2425" w:rsidRDefault="00855E6D" w:rsidP="008C2425">
      <w:pPr>
        <w:pStyle w:val="ListBullet"/>
      </w:pPr>
      <w:hyperlink r:id="rId28" w:history="1">
        <w:r w:rsidR="00D963DB">
          <w:rPr>
            <w:rStyle w:val="Hyperlink"/>
          </w:rPr>
          <w:t xml:space="preserve">NRM </w:t>
        </w:r>
        <w:r w:rsidR="0085769C">
          <w:rPr>
            <w:rStyle w:val="Hyperlink"/>
          </w:rPr>
          <w:t>m</w:t>
        </w:r>
        <w:r w:rsidR="00D963DB">
          <w:rPr>
            <w:rStyle w:val="Hyperlink"/>
          </w:rPr>
          <w:t xml:space="preserve">onitoring, </w:t>
        </w:r>
        <w:r w:rsidR="0085769C">
          <w:rPr>
            <w:rStyle w:val="Hyperlink"/>
          </w:rPr>
          <w:t>e</w:t>
        </w:r>
        <w:r w:rsidR="00D963DB">
          <w:rPr>
            <w:rStyle w:val="Hyperlink"/>
          </w:rPr>
          <w:t xml:space="preserve">valuation, </w:t>
        </w:r>
        <w:r w:rsidR="0085769C">
          <w:rPr>
            <w:rStyle w:val="Hyperlink"/>
          </w:rPr>
          <w:t>r</w:t>
        </w:r>
        <w:r w:rsidR="00D963DB">
          <w:rPr>
            <w:rStyle w:val="Hyperlink"/>
          </w:rPr>
          <w:t xml:space="preserve">eporting and </w:t>
        </w:r>
        <w:r w:rsidR="0085769C">
          <w:rPr>
            <w:rStyle w:val="Hyperlink"/>
          </w:rPr>
          <w:t>i</w:t>
        </w:r>
        <w:r w:rsidR="00D963DB">
          <w:rPr>
            <w:rStyle w:val="Hyperlink"/>
          </w:rPr>
          <w:t>mprovement (MERI) framework</w:t>
        </w:r>
      </w:hyperlink>
    </w:p>
    <w:p w14:paraId="3AF51A36" w14:textId="356B3875" w:rsidR="008C2425" w:rsidRDefault="00855E6D" w:rsidP="008C2425">
      <w:pPr>
        <w:pStyle w:val="ListBullet"/>
      </w:pPr>
      <w:hyperlink r:id="rId29" w:history="1">
        <w:r w:rsidR="008C2425" w:rsidRPr="00C8347E">
          <w:rPr>
            <w:rStyle w:val="Hyperlink"/>
          </w:rPr>
          <w:t>NESP brand standards</w:t>
        </w:r>
      </w:hyperlink>
    </w:p>
    <w:p w14:paraId="67FB60E8" w14:textId="2D935F00" w:rsidR="008C2425" w:rsidRDefault="00855E6D" w:rsidP="008C2425">
      <w:pPr>
        <w:pStyle w:val="ListBullet"/>
      </w:pPr>
      <w:hyperlink r:id="rId30" w:history="1">
        <w:r w:rsidR="008C2425" w:rsidRPr="00C8347E">
          <w:rPr>
            <w:rStyle w:val="Hyperlink"/>
          </w:rPr>
          <w:t xml:space="preserve">NESP data and </w:t>
        </w:r>
        <w:r w:rsidR="00E83EC2">
          <w:rPr>
            <w:rStyle w:val="Hyperlink"/>
          </w:rPr>
          <w:t>information</w:t>
        </w:r>
        <w:r w:rsidR="00E83EC2" w:rsidRPr="00C8347E">
          <w:rPr>
            <w:rStyle w:val="Hyperlink"/>
          </w:rPr>
          <w:t xml:space="preserve"> </w:t>
        </w:r>
        <w:r w:rsidR="008C2425" w:rsidRPr="00C8347E">
          <w:rPr>
            <w:rStyle w:val="Hyperlink"/>
          </w:rPr>
          <w:t>guidelines</w:t>
        </w:r>
      </w:hyperlink>
    </w:p>
    <w:p w14:paraId="31C19593" w14:textId="450B04A1" w:rsidR="008C2425" w:rsidRDefault="00855E6D" w:rsidP="008C2425">
      <w:pPr>
        <w:pStyle w:val="ListBullet"/>
      </w:pPr>
      <w:hyperlink r:id="rId31" w:history="1">
        <w:r w:rsidR="008C2425" w:rsidRPr="00C8347E">
          <w:rPr>
            <w:rStyle w:val="Hyperlink"/>
          </w:rPr>
          <w:t>NESP grant opportunity guidelines</w:t>
        </w:r>
      </w:hyperlink>
    </w:p>
    <w:p w14:paraId="6A93F474" w14:textId="220BE90D" w:rsidR="008C2425" w:rsidRDefault="00855E6D" w:rsidP="008C2425">
      <w:pPr>
        <w:pStyle w:val="ListBullet"/>
      </w:pPr>
      <w:hyperlink r:id="rId32" w:history="1">
        <w:r w:rsidR="008C2425" w:rsidRPr="00C8347E">
          <w:rPr>
            <w:rStyle w:val="Hyperlink"/>
          </w:rPr>
          <w:t>Our knowledge, our way in caring for Country: Indigenous-led approaches to strengthening and sharing knowledge for land and sea management</w:t>
        </w:r>
      </w:hyperlink>
    </w:p>
    <w:p w14:paraId="06F422DD" w14:textId="2E82E255" w:rsidR="00722A53" w:rsidRDefault="00855E6D" w:rsidP="008C2425">
      <w:pPr>
        <w:pStyle w:val="ListBullet"/>
      </w:pPr>
      <w:hyperlink r:id="rId33" w:anchor=":~:text=The%20new%20Three%2DCategory%20Approach,their%20work%20and%20research%20approach." w:history="1">
        <w:r w:rsidR="008C2425" w:rsidRPr="008F6059">
          <w:rPr>
            <w:rStyle w:val="Hyperlink"/>
          </w:rPr>
          <w:t>Three-category approach</w:t>
        </w:r>
        <w:r w:rsidR="00C303F6" w:rsidRPr="008F6059">
          <w:rPr>
            <w:rStyle w:val="Hyperlink"/>
          </w:rPr>
          <w:t xml:space="preserve"> workbook</w:t>
        </w:r>
      </w:hyperlink>
      <w:r w:rsidR="008C2425">
        <w:t>.</w:t>
      </w:r>
    </w:p>
    <w:sectPr w:rsidR="00722A53" w:rsidSect="00BE1625">
      <w:headerReference w:type="first" r:id="rId34"/>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20078" w14:textId="77777777" w:rsidR="0033379E" w:rsidRDefault="0033379E">
      <w:r>
        <w:separator/>
      </w:r>
    </w:p>
    <w:p w14:paraId="3578FD39" w14:textId="77777777" w:rsidR="0033379E" w:rsidRDefault="0033379E"/>
    <w:p w14:paraId="7D973BC9" w14:textId="77777777" w:rsidR="0033379E" w:rsidRDefault="0033379E"/>
  </w:endnote>
  <w:endnote w:type="continuationSeparator" w:id="0">
    <w:p w14:paraId="2624C3C9" w14:textId="77777777" w:rsidR="0033379E" w:rsidRDefault="0033379E">
      <w:r>
        <w:continuationSeparator/>
      </w:r>
    </w:p>
    <w:p w14:paraId="6B77BF26" w14:textId="77777777" w:rsidR="0033379E" w:rsidRDefault="0033379E"/>
    <w:p w14:paraId="6BECF96E" w14:textId="77777777" w:rsidR="0033379E" w:rsidRDefault="0033379E"/>
  </w:endnote>
  <w:endnote w:type="continuationNotice" w:id="1">
    <w:p w14:paraId="4CC52DA0" w14:textId="77777777" w:rsidR="0033379E" w:rsidRDefault="0033379E">
      <w:pPr>
        <w:pStyle w:val="Footer"/>
      </w:pPr>
    </w:p>
    <w:p w14:paraId="437433DC" w14:textId="77777777" w:rsidR="0033379E" w:rsidRDefault="0033379E"/>
    <w:p w14:paraId="5BF64581" w14:textId="77777777" w:rsidR="0033379E" w:rsidRDefault="003337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44E4D" w14:textId="77777777" w:rsidR="00BC5686" w:rsidRDefault="00BC56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F0D12" w14:textId="77777777" w:rsidR="0033379E" w:rsidRPr="005037A3" w:rsidRDefault="0033379E" w:rsidP="005037A3">
    <w:pPr>
      <w:pStyle w:val="Footer"/>
    </w:pPr>
    <w:r w:rsidRPr="005037A3">
      <w:t>Department of Agriculture, Water and the Environment</w:t>
    </w:r>
  </w:p>
  <w:p w14:paraId="702934C5" w14:textId="1BC34C2A" w:rsidR="0033379E" w:rsidRDefault="0033379E" w:rsidP="005037A3">
    <w:pPr>
      <w:pStyle w:val="Footer"/>
    </w:pPr>
    <w:r w:rsidRPr="005037A3">
      <w:fldChar w:fldCharType="begin"/>
    </w:r>
    <w:r w:rsidRPr="005037A3">
      <w:instrText xml:space="preserve"> PAGE   \* MERGEFORMAT </w:instrText>
    </w:r>
    <w:r w:rsidRPr="005037A3">
      <w:fldChar w:fldCharType="separate"/>
    </w:r>
    <w:r w:rsidRPr="005037A3">
      <w:t>ii</w:t>
    </w:r>
    <w:r w:rsidRPr="005037A3">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FBF03" w14:textId="77777777" w:rsidR="0033379E" w:rsidRPr="005037A3" w:rsidRDefault="0033379E" w:rsidP="005E7F52">
    <w:pPr>
      <w:pStyle w:val="Footer"/>
    </w:pPr>
    <w:r w:rsidRPr="005037A3">
      <w:t>Department of Agriculture, Water and the Environment</w:t>
    </w:r>
  </w:p>
  <w:p w14:paraId="6E1FC9DA" w14:textId="77777777" w:rsidR="0033379E" w:rsidRDefault="0033379E" w:rsidP="005E7F52">
    <w:pPr>
      <w:pStyle w:val="Footer"/>
    </w:pPr>
    <w:r w:rsidRPr="005037A3">
      <w:fldChar w:fldCharType="begin"/>
    </w:r>
    <w:r w:rsidRPr="005037A3">
      <w:instrText xml:space="preserve"> PAGE   \* MERGEFORMAT </w:instrText>
    </w:r>
    <w:r w:rsidRPr="005037A3">
      <w:fldChar w:fldCharType="separate"/>
    </w:r>
    <w:r>
      <w:t>2</w:t>
    </w:r>
    <w:r w:rsidRPr="005037A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7B51A" w14:textId="77777777" w:rsidR="0033379E" w:rsidRDefault="0033379E">
      <w:r>
        <w:separator/>
      </w:r>
    </w:p>
    <w:p w14:paraId="49DB95A3" w14:textId="77777777" w:rsidR="0033379E" w:rsidRDefault="0033379E"/>
    <w:p w14:paraId="08087D56" w14:textId="77777777" w:rsidR="0033379E" w:rsidRDefault="0033379E"/>
  </w:footnote>
  <w:footnote w:type="continuationSeparator" w:id="0">
    <w:p w14:paraId="17D00ED1" w14:textId="77777777" w:rsidR="0033379E" w:rsidRDefault="0033379E">
      <w:r>
        <w:continuationSeparator/>
      </w:r>
    </w:p>
    <w:p w14:paraId="23D52D76" w14:textId="77777777" w:rsidR="0033379E" w:rsidRDefault="0033379E"/>
    <w:p w14:paraId="443DD0EC" w14:textId="77777777" w:rsidR="0033379E" w:rsidRDefault="0033379E"/>
  </w:footnote>
  <w:footnote w:type="continuationNotice" w:id="1">
    <w:p w14:paraId="0B7BBD7B" w14:textId="77777777" w:rsidR="0033379E" w:rsidRDefault="0033379E">
      <w:pPr>
        <w:pStyle w:val="Footer"/>
      </w:pPr>
    </w:p>
    <w:p w14:paraId="2520DEB8" w14:textId="77777777" w:rsidR="0033379E" w:rsidRDefault="0033379E"/>
    <w:p w14:paraId="790CF3CF" w14:textId="77777777" w:rsidR="0033379E" w:rsidRDefault="003337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1A504" w14:textId="77777777" w:rsidR="00BC5686" w:rsidRDefault="00BC56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6F43" w14:textId="6B6E8577" w:rsidR="0033379E" w:rsidRPr="005037A3" w:rsidRDefault="0033379E" w:rsidP="005037A3">
    <w:pPr>
      <w:pStyle w:val="Header"/>
      <w:rPr>
        <w:lang w:val="en-US"/>
      </w:rPr>
    </w:pPr>
    <w:r>
      <w:rPr>
        <w:lang w:val="en-US"/>
      </w:rPr>
      <w:t>NESP Knowledge brokering and communications strategy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D993D" w14:textId="4E3374F6" w:rsidR="0033379E" w:rsidRPr="005E7F52" w:rsidRDefault="0033379E" w:rsidP="00582D28">
    <w:pPr>
      <w:pStyle w:val="Header"/>
      <w:jc w:val="left"/>
      <w:rPr>
        <w:lang w:val="en-US"/>
      </w:rPr>
    </w:pPr>
    <w:r>
      <w:rPr>
        <w:noProof/>
      </w:rPr>
      <w:drawing>
        <wp:inline distT="0" distB="0" distL="0" distR="0" wp14:anchorId="69DF27B2" wp14:editId="622A2E0B">
          <wp:extent cx="3866515" cy="93789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6515" cy="93789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BDF2F" w14:textId="4D50CE44" w:rsidR="00BC7AB8" w:rsidRPr="005E7F52" w:rsidRDefault="00BC7AB8" w:rsidP="00582D28">
    <w:pPr>
      <w:pStyle w:val="Header"/>
      <w:jc w:val="lef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BE540BB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F506775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7B6414E0"/>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52169408"/>
    <w:lvl w:ilvl="0" w:tplc="9F529578">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337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E2BCCF50"/>
    <w:numStyleLink w:val="List1"/>
  </w:abstractNum>
  <w:abstractNum w:abstractNumId="17" w15:restartNumberingAfterBreak="0">
    <w:nsid w:val="486800B4"/>
    <w:multiLevelType w:val="multilevel"/>
    <w:tmpl w:val="E2BCCF50"/>
    <w:numStyleLink w:val="List1"/>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E2BCCF50"/>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8C10A1"/>
    <w:multiLevelType w:val="multilevel"/>
    <w:tmpl w:val="BE78A4F8"/>
    <w:numStyleLink w:val="Numberlist"/>
  </w:abstractNum>
  <w:abstractNum w:abstractNumId="27" w15:restartNumberingAfterBreak="0">
    <w:nsid w:val="733934B7"/>
    <w:multiLevelType w:val="multilevel"/>
    <w:tmpl w:val="E2BCCF50"/>
    <w:numStyleLink w:val="List1"/>
  </w:abstractNum>
  <w:num w:numId="1">
    <w:abstractNumId w:val="7"/>
  </w:num>
  <w:num w:numId="2">
    <w:abstractNumId w:val="17"/>
  </w:num>
  <w:num w:numId="3">
    <w:abstractNumId w:val="18"/>
  </w:num>
  <w:num w:numId="4">
    <w:abstractNumId w:val="10"/>
  </w:num>
  <w:num w:numId="5">
    <w:abstractNumId w:val="23"/>
    <w:lvlOverride w:ilvl="0">
      <w:lvl w:ilvl="0">
        <w:start w:val="1"/>
        <w:numFmt w:val="bullet"/>
        <w:pStyle w:val="ListBullet"/>
        <w:lvlText w:val=""/>
        <w:lvlJc w:val="left"/>
        <w:pPr>
          <w:ind w:left="425" w:hanging="425"/>
        </w:pPr>
        <w:rPr>
          <w:rFonts w:ascii="Symbol" w:hAnsi="Symbol" w:hint="default"/>
          <w:color w:val="auto"/>
        </w:rPr>
      </w:lvl>
    </w:lvlOverride>
  </w:num>
  <w:num w:numId="6">
    <w:abstractNumId w:val="24"/>
  </w:num>
  <w:num w:numId="7">
    <w:abstractNumId w:val="8"/>
  </w:num>
  <w:num w:numId="8">
    <w:abstractNumId w:val="13"/>
  </w:num>
  <w:num w:numId="9">
    <w:abstractNumId w:val="15"/>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3"/>
  </w:num>
  <w:num w:numId="14">
    <w:abstractNumId w:val="2"/>
  </w:num>
  <w:num w:numId="15">
    <w:abstractNumId w:val="11"/>
  </w:num>
  <w:num w:numId="16">
    <w:abstractNumId w:val="21"/>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
  </w:num>
  <w:num w:numId="20">
    <w:abstractNumId w:val="0"/>
  </w:num>
  <w:num w:numId="21">
    <w:abstractNumId w:val="14"/>
  </w:num>
  <w:num w:numId="22">
    <w:abstractNumId w:val="19"/>
  </w:num>
  <w:num w:numId="23">
    <w:abstractNumId w:val="26"/>
  </w:num>
  <w:num w:numId="24">
    <w:abstractNumId w:val="12"/>
  </w:num>
  <w:num w:numId="25">
    <w:abstractNumId w:val="1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0"/>
  </w:num>
  <w:num w:numId="29">
    <w:abstractNumId w:val="22"/>
  </w:num>
  <w:num w:numId="30">
    <w:abstractNumId w:val="9"/>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5"/>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10"/>
  </w:num>
  <w:num w:numId="38">
    <w:abstractNumId w:val="10"/>
  </w:num>
  <w:num w:numId="39">
    <w:abstractNumId w:val="10"/>
  </w:num>
  <w:num w:numId="40">
    <w:abstractNumId w:val="10"/>
  </w:num>
  <w:num w:numId="41">
    <w:abstractNumId w:val="10"/>
  </w:num>
  <w:num w:numId="42">
    <w:abstractNumId w:val="10"/>
  </w:num>
  <w:num w:numId="43">
    <w:abstractNumId w:val="10"/>
  </w:num>
  <w:num w:numId="44">
    <w:abstractNumId w:val="10"/>
  </w:num>
  <w:num w:numId="45">
    <w:abstractNumId w:val="10"/>
  </w:num>
  <w:num w:numId="46">
    <w:abstractNumId w:val="23"/>
    <w:lvlOverride w:ilvl="0">
      <w:lvl w:ilvl="0">
        <w:start w:val="1"/>
        <w:numFmt w:val="bullet"/>
        <w:pStyle w:val="ListBullet"/>
        <w:lvlText w:val=""/>
        <w:lvlJc w:val="left"/>
        <w:pPr>
          <w:ind w:left="425" w:hanging="425"/>
        </w:pPr>
        <w:rPr>
          <w:rFonts w:ascii="Symbol" w:hAnsi="Symbol" w:hint="default"/>
          <w:color w:val="auto"/>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60C"/>
    <w:rsid w:val="000134E2"/>
    <w:rsid w:val="00025032"/>
    <w:rsid w:val="0002552A"/>
    <w:rsid w:val="00031111"/>
    <w:rsid w:val="00042A67"/>
    <w:rsid w:val="000440A5"/>
    <w:rsid w:val="00045944"/>
    <w:rsid w:val="0006007F"/>
    <w:rsid w:val="00060F22"/>
    <w:rsid w:val="00071AF6"/>
    <w:rsid w:val="000739C0"/>
    <w:rsid w:val="00074AFF"/>
    <w:rsid w:val="00074B9F"/>
    <w:rsid w:val="00086A92"/>
    <w:rsid w:val="00087E95"/>
    <w:rsid w:val="000906F5"/>
    <w:rsid w:val="00097AD1"/>
    <w:rsid w:val="00097FA8"/>
    <w:rsid w:val="000A148B"/>
    <w:rsid w:val="000A4E3D"/>
    <w:rsid w:val="000A6A90"/>
    <w:rsid w:val="000A7AAF"/>
    <w:rsid w:val="000A7CA0"/>
    <w:rsid w:val="000B3F33"/>
    <w:rsid w:val="000B5716"/>
    <w:rsid w:val="000B7910"/>
    <w:rsid w:val="000C084B"/>
    <w:rsid w:val="000C2679"/>
    <w:rsid w:val="000C53FB"/>
    <w:rsid w:val="000D2E60"/>
    <w:rsid w:val="000E04CB"/>
    <w:rsid w:val="000E1335"/>
    <w:rsid w:val="000E58B6"/>
    <w:rsid w:val="000E73CA"/>
    <w:rsid w:val="000E7DA8"/>
    <w:rsid w:val="000F467E"/>
    <w:rsid w:val="000F497B"/>
    <w:rsid w:val="000F5996"/>
    <w:rsid w:val="00101495"/>
    <w:rsid w:val="00107216"/>
    <w:rsid w:val="0011528C"/>
    <w:rsid w:val="0012588E"/>
    <w:rsid w:val="0015249F"/>
    <w:rsid w:val="001640C9"/>
    <w:rsid w:val="001657AA"/>
    <w:rsid w:val="001660B8"/>
    <w:rsid w:val="0017699C"/>
    <w:rsid w:val="00183B20"/>
    <w:rsid w:val="00185F33"/>
    <w:rsid w:val="00186D68"/>
    <w:rsid w:val="00193F39"/>
    <w:rsid w:val="001A04DE"/>
    <w:rsid w:val="001B4A2A"/>
    <w:rsid w:val="001C738D"/>
    <w:rsid w:val="001D0E72"/>
    <w:rsid w:val="001D4C95"/>
    <w:rsid w:val="001D4D02"/>
    <w:rsid w:val="001E2DF0"/>
    <w:rsid w:val="0021157A"/>
    <w:rsid w:val="00213236"/>
    <w:rsid w:val="002151F1"/>
    <w:rsid w:val="00217888"/>
    <w:rsid w:val="00222137"/>
    <w:rsid w:val="002233AC"/>
    <w:rsid w:val="00225339"/>
    <w:rsid w:val="002254B1"/>
    <w:rsid w:val="00230676"/>
    <w:rsid w:val="00237A88"/>
    <w:rsid w:val="00237E07"/>
    <w:rsid w:val="00240B66"/>
    <w:rsid w:val="00240EB3"/>
    <w:rsid w:val="002460DA"/>
    <w:rsid w:val="002529C0"/>
    <w:rsid w:val="002535EC"/>
    <w:rsid w:val="00260858"/>
    <w:rsid w:val="002639A2"/>
    <w:rsid w:val="0027385C"/>
    <w:rsid w:val="00274679"/>
    <w:rsid w:val="00274C54"/>
    <w:rsid w:val="00281BB6"/>
    <w:rsid w:val="00284D14"/>
    <w:rsid w:val="00286307"/>
    <w:rsid w:val="0029006B"/>
    <w:rsid w:val="002A47FD"/>
    <w:rsid w:val="002A4D43"/>
    <w:rsid w:val="002B0321"/>
    <w:rsid w:val="002B2690"/>
    <w:rsid w:val="002B28DC"/>
    <w:rsid w:val="002B525B"/>
    <w:rsid w:val="002B6BA0"/>
    <w:rsid w:val="002B7D06"/>
    <w:rsid w:val="002C035A"/>
    <w:rsid w:val="002D1695"/>
    <w:rsid w:val="002D5D93"/>
    <w:rsid w:val="002E0BA4"/>
    <w:rsid w:val="002E0DA2"/>
    <w:rsid w:val="002E3DF9"/>
    <w:rsid w:val="002E51F5"/>
    <w:rsid w:val="002F1A64"/>
    <w:rsid w:val="002F3345"/>
    <w:rsid w:val="002F3E30"/>
    <w:rsid w:val="002F6D21"/>
    <w:rsid w:val="002F708B"/>
    <w:rsid w:val="003024BD"/>
    <w:rsid w:val="00305B85"/>
    <w:rsid w:val="003114C3"/>
    <w:rsid w:val="00311AE0"/>
    <w:rsid w:val="00313F42"/>
    <w:rsid w:val="00315A49"/>
    <w:rsid w:val="0031754D"/>
    <w:rsid w:val="00321EC4"/>
    <w:rsid w:val="003331B3"/>
    <w:rsid w:val="0033379E"/>
    <w:rsid w:val="00335ACE"/>
    <w:rsid w:val="0035523A"/>
    <w:rsid w:val="00360E43"/>
    <w:rsid w:val="00370F12"/>
    <w:rsid w:val="00373823"/>
    <w:rsid w:val="00375212"/>
    <w:rsid w:val="003833FF"/>
    <w:rsid w:val="003873EA"/>
    <w:rsid w:val="00390C1C"/>
    <w:rsid w:val="00393945"/>
    <w:rsid w:val="00394A7C"/>
    <w:rsid w:val="003A1A20"/>
    <w:rsid w:val="003C6E5B"/>
    <w:rsid w:val="003D31EA"/>
    <w:rsid w:val="003E29DA"/>
    <w:rsid w:val="003E627C"/>
    <w:rsid w:val="003F1C8D"/>
    <w:rsid w:val="003F5DED"/>
    <w:rsid w:val="003F6A01"/>
    <w:rsid w:val="0040048F"/>
    <w:rsid w:val="00400BB8"/>
    <w:rsid w:val="00401A0E"/>
    <w:rsid w:val="00402A9E"/>
    <w:rsid w:val="00407371"/>
    <w:rsid w:val="004101A9"/>
    <w:rsid w:val="00410B27"/>
    <w:rsid w:val="004119A5"/>
    <w:rsid w:val="0041393A"/>
    <w:rsid w:val="00424F76"/>
    <w:rsid w:val="00425D03"/>
    <w:rsid w:val="00433A40"/>
    <w:rsid w:val="00435A28"/>
    <w:rsid w:val="00436238"/>
    <w:rsid w:val="004374BF"/>
    <w:rsid w:val="00442AD9"/>
    <w:rsid w:val="00460411"/>
    <w:rsid w:val="00465350"/>
    <w:rsid w:val="004779B6"/>
    <w:rsid w:val="00481BAB"/>
    <w:rsid w:val="00491E5F"/>
    <w:rsid w:val="00495A5B"/>
    <w:rsid w:val="004A62C2"/>
    <w:rsid w:val="004A7DEF"/>
    <w:rsid w:val="004B1D54"/>
    <w:rsid w:val="004B457F"/>
    <w:rsid w:val="004C1B5C"/>
    <w:rsid w:val="004C4F9B"/>
    <w:rsid w:val="004D6D7D"/>
    <w:rsid w:val="004E7465"/>
    <w:rsid w:val="004F3E12"/>
    <w:rsid w:val="004F46C5"/>
    <w:rsid w:val="0050036A"/>
    <w:rsid w:val="005037A3"/>
    <w:rsid w:val="005043EB"/>
    <w:rsid w:val="00506E4D"/>
    <w:rsid w:val="005133EE"/>
    <w:rsid w:val="00516D73"/>
    <w:rsid w:val="00517233"/>
    <w:rsid w:val="005235E0"/>
    <w:rsid w:val="00542813"/>
    <w:rsid w:val="0054424B"/>
    <w:rsid w:val="0054726C"/>
    <w:rsid w:val="0057593A"/>
    <w:rsid w:val="0057635E"/>
    <w:rsid w:val="00582D28"/>
    <w:rsid w:val="00587363"/>
    <w:rsid w:val="005905D3"/>
    <w:rsid w:val="005A4DFE"/>
    <w:rsid w:val="005A6157"/>
    <w:rsid w:val="005B71C2"/>
    <w:rsid w:val="005E25BD"/>
    <w:rsid w:val="005E2976"/>
    <w:rsid w:val="005E71BA"/>
    <w:rsid w:val="005E7F52"/>
    <w:rsid w:val="005F010D"/>
    <w:rsid w:val="005F2335"/>
    <w:rsid w:val="005F55B0"/>
    <w:rsid w:val="005F7AF0"/>
    <w:rsid w:val="0060309D"/>
    <w:rsid w:val="00604BEA"/>
    <w:rsid w:val="00611863"/>
    <w:rsid w:val="00612893"/>
    <w:rsid w:val="00612E8D"/>
    <w:rsid w:val="006138D1"/>
    <w:rsid w:val="006309C4"/>
    <w:rsid w:val="006316B3"/>
    <w:rsid w:val="006332C4"/>
    <w:rsid w:val="00640AE4"/>
    <w:rsid w:val="006466A1"/>
    <w:rsid w:val="00653351"/>
    <w:rsid w:val="00654830"/>
    <w:rsid w:val="00654B9F"/>
    <w:rsid w:val="0065757F"/>
    <w:rsid w:val="006735DD"/>
    <w:rsid w:val="0067637F"/>
    <w:rsid w:val="00677035"/>
    <w:rsid w:val="00683129"/>
    <w:rsid w:val="0068449F"/>
    <w:rsid w:val="00686F5C"/>
    <w:rsid w:val="00687117"/>
    <w:rsid w:val="006906D4"/>
    <w:rsid w:val="00693AB8"/>
    <w:rsid w:val="006A22F2"/>
    <w:rsid w:val="006A37E3"/>
    <w:rsid w:val="006A6FE7"/>
    <w:rsid w:val="006C11D1"/>
    <w:rsid w:val="006C16FF"/>
    <w:rsid w:val="006C1AC4"/>
    <w:rsid w:val="006C5145"/>
    <w:rsid w:val="006C6517"/>
    <w:rsid w:val="006C67C5"/>
    <w:rsid w:val="006D6EBD"/>
    <w:rsid w:val="006E3F44"/>
    <w:rsid w:val="006E76A8"/>
    <w:rsid w:val="006E7887"/>
    <w:rsid w:val="006F22F2"/>
    <w:rsid w:val="00702AA8"/>
    <w:rsid w:val="007108DF"/>
    <w:rsid w:val="007118BE"/>
    <w:rsid w:val="007167F3"/>
    <w:rsid w:val="007178E2"/>
    <w:rsid w:val="00722A53"/>
    <w:rsid w:val="00730206"/>
    <w:rsid w:val="0073208D"/>
    <w:rsid w:val="00733217"/>
    <w:rsid w:val="00744EF6"/>
    <w:rsid w:val="007465EC"/>
    <w:rsid w:val="00762D9E"/>
    <w:rsid w:val="007641B5"/>
    <w:rsid w:val="00764D6A"/>
    <w:rsid w:val="00765F58"/>
    <w:rsid w:val="00766972"/>
    <w:rsid w:val="00773056"/>
    <w:rsid w:val="00790D12"/>
    <w:rsid w:val="007926EC"/>
    <w:rsid w:val="0079670A"/>
    <w:rsid w:val="007A2262"/>
    <w:rsid w:val="007B050A"/>
    <w:rsid w:val="007B6554"/>
    <w:rsid w:val="007C12A8"/>
    <w:rsid w:val="007C2D0D"/>
    <w:rsid w:val="007C358A"/>
    <w:rsid w:val="007D6622"/>
    <w:rsid w:val="007E34DC"/>
    <w:rsid w:val="007E4390"/>
    <w:rsid w:val="007F0A85"/>
    <w:rsid w:val="008032CF"/>
    <w:rsid w:val="00811058"/>
    <w:rsid w:val="008124AC"/>
    <w:rsid w:val="00820B9F"/>
    <w:rsid w:val="0082644B"/>
    <w:rsid w:val="008314AC"/>
    <w:rsid w:val="0083225F"/>
    <w:rsid w:val="00846253"/>
    <w:rsid w:val="00850D1B"/>
    <w:rsid w:val="00855E6D"/>
    <w:rsid w:val="0085769C"/>
    <w:rsid w:val="00860BF2"/>
    <w:rsid w:val="0086204F"/>
    <w:rsid w:val="0086493E"/>
    <w:rsid w:val="00875422"/>
    <w:rsid w:val="00883A01"/>
    <w:rsid w:val="0088565A"/>
    <w:rsid w:val="008878F7"/>
    <w:rsid w:val="00891727"/>
    <w:rsid w:val="00893ED7"/>
    <w:rsid w:val="00895258"/>
    <w:rsid w:val="008A2090"/>
    <w:rsid w:val="008A2A3B"/>
    <w:rsid w:val="008A3920"/>
    <w:rsid w:val="008C2425"/>
    <w:rsid w:val="008C602B"/>
    <w:rsid w:val="008D619B"/>
    <w:rsid w:val="008D70AF"/>
    <w:rsid w:val="008E504E"/>
    <w:rsid w:val="008E7A53"/>
    <w:rsid w:val="008F125D"/>
    <w:rsid w:val="008F5B39"/>
    <w:rsid w:val="008F6059"/>
    <w:rsid w:val="008F6977"/>
    <w:rsid w:val="00904803"/>
    <w:rsid w:val="00907DF9"/>
    <w:rsid w:val="009106EE"/>
    <w:rsid w:val="009133DC"/>
    <w:rsid w:val="00915200"/>
    <w:rsid w:val="00922647"/>
    <w:rsid w:val="00925AE3"/>
    <w:rsid w:val="00932DE6"/>
    <w:rsid w:val="009336F4"/>
    <w:rsid w:val="0094169B"/>
    <w:rsid w:val="009522DC"/>
    <w:rsid w:val="00955A2F"/>
    <w:rsid w:val="00964F80"/>
    <w:rsid w:val="00977048"/>
    <w:rsid w:val="009770A0"/>
    <w:rsid w:val="00984803"/>
    <w:rsid w:val="00986C7D"/>
    <w:rsid w:val="00992F26"/>
    <w:rsid w:val="009A1C85"/>
    <w:rsid w:val="009A64A5"/>
    <w:rsid w:val="009B428C"/>
    <w:rsid w:val="009B55D1"/>
    <w:rsid w:val="009C4A19"/>
    <w:rsid w:val="009D1040"/>
    <w:rsid w:val="009D20FD"/>
    <w:rsid w:val="009D5007"/>
    <w:rsid w:val="009D5D0A"/>
    <w:rsid w:val="009E6983"/>
    <w:rsid w:val="009F0B46"/>
    <w:rsid w:val="00A023EA"/>
    <w:rsid w:val="00A036D5"/>
    <w:rsid w:val="00A07112"/>
    <w:rsid w:val="00A11473"/>
    <w:rsid w:val="00A11F9F"/>
    <w:rsid w:val="00A120D2"/>
    <w:rsid w:val="00A13120"/>
    <w:rsid w:val="00A1793D"/>
    <w:rsid w:val="00A31DB2"/>
    <w:rsid w:val="00A46139"/>
    <w:rsid w:val="00A62E66"/>
    <w:rsid w:val="00A660BF"/>
    <w:rsid w:val="00A7252C"/>
    <w:rsid w:val="00A72BB8"/>
    <w:rsid w:val="00A7738D"/>
    <w:rsid w:val="00A800C0"/>
    <w:rsid w:val="00A801F6"/>
    <w:rsid w:val="00A81558"/>
    <w:rsid w:val="00A85A6B"/>
    <w:rsid w:val="00A8798A"/>
    <w:rsid w:val="00A879E6"/>
    <w:rsid w:val="00A87D6F"/>
    <w:rsid w:val="00A9122E"/>
    <w:rsid w:val="00A95826"/>
    <w:rsid w:val="00A95AD4"/>
    <w:rsid w:val="00AA66A4"/>
    <w:rsid w:val="00AB1E2C"/>
    <w:rsid w:val="00AB201D"/>
    <w:rsid w:val="00AB3BF4"/>
    <w:rsid w:val="00AC35F5"/>
    <w:rsid w:val="00AD2145"/>
    <w:rsid w:val="00AD37F6"/>
    <w:rsid w:val="00AE4237"/>
    <w:rsid w:val="00AE6CDB"/>
    <w:rsid w:val="00AF0CA1"/>
    <w:rsid w:val="00AF3048"/>
    <w:rsid w:val="00AF61AC"/>
    <w:rsid w:val="00AF7830"/>
    <w:rsid w:val="00AF78FF"/>
    <w:rsid w:val="00B115AD"/>
    <w:rsid w:val="00B16402"/>
    <w:rsid w:val="00B256F6"/>
    <w:rsid w:val="00B272F5"/>
    <w:rsid w:val="00B310B8"/>
    <w:rsid w:val="00B438DB"/>
    <w:rsid w:val="00B46792"/>
    <w:rsid w:val="00B471E8"/>
    <w:rsid w:val="00B47331"/>
    <w:rsid w:val="00B5291B"/>
    <w:rsid w:val="00B5740E"/>
    <w:rsid w:val="00B6124F"/>
    <w:rsid w:val="00B67A26"/>
    <w:rsid w:val="00B7786F"/>
    <w:rsid w:val="00B81605"/>
    <w:rsid w:val="00B84E3E"/>
    <w:rsid w:val="00B861B4"/>
    <w:rsid w:val="00B87EC4"/>
    <w:rsid w:val="00B95A5C"/>
    <w:rsid w:val="00B95F7F"/>
    <w:rsid w:val="00B97E61"/>
    <w:rsid w:val="00BA0905"/>
    <w:rsid w:val="00BA0F02"/>
    <w:rsid w:val="00BA304D"/>
    <w:rsid w:val="00BA7149"/>
    <w:rsid w:val="00BA7F6F"/>
    <w:rsid w:val="00BB0418"/>
    <w:rsid w:val="00BB083C"/>
    <w:rsid w:val="00BB2EA7"/>
    <w:rsid w:val="00BB4EA1"/>
    <w:rsid w:val="00BB54CE"/>
    <w:rsid w:val="00BC1616"/>
    <w:rsid w:val="00BC3D5D"/>
    <w:rsid w:val="00BC3DDF"/>
    <w:rsid w:val="00BC5686"/>
    <w:rsid w:val="00BC7AB8"/>
    <w:rsid w:val="00BD2395"/>
    <w:rsid w:val="00BD4BDA"/>
    <w:rsid w:val="00BD5D81"/>
    <w:rsid w:val="00BE1625"/>
    <w:rsid w:val="00BE2E47"/>
    <w:rsid w:val="00BE37AF"/>
    <w:rsid w:val="00BE561A"/>
    <w:rsid w:val="00BE5E3D"/>
    <w:rsid w:val="00BE6277"/>
    <w:rsid w:val="00BF4620"/>
    <w:rsid w:val="00BF4A73"/>
    <w:rsid w:val="00C003C5"/>
    <w:rsid w:val="00C021EA"/>
    <w:rsid w:val="00C02519"/>
    <w:rsid w:val="00C072C2"/>
    <w:rsid w:val="00C1025A"/>
    <w:rsid w:val="00C12ACE"/>
    <w:rsid w:val="00C303F6"/>
    <w:rsid w:val="00C30A4E"/>
    <w:rsid w:val="00C3108E"/>
    <w:rsid w:val="00C33358"/>
    <w:rsid w:val="00C4031C"/>
    <w:rsid w:val="00C416EC"/>
    <w:rsid w:val="00C421BE"/>
    <w:rsid w:val="00C52FC0"/>
    <w:rsid w:val="00C5433D"/>
    <w:rsid w:val="00C5460C"/>
    <w:rsid w:val="00C55546"/>
    <w:rsid w:val="00C65C78"/>
    <w:rsid w:val="00C761FC"/>
    <w:rsid w:val="00C8347E"/>
    <w:rsid w:val="00C85C62"/>
    <w:rsid w:val="00C92492"/>
    <w:rsid w:val="00C92C20"/>
    <w:rsid w:val="00CA06FE"/>
    <w:rsid w:val="00CA07FB"/>
    <w:rsid w:val="00CA0E27"/>
    <w:rsid w:val="00CA2EF8"/>
    <w:rsid w:val="00CB0DD7"/>
    <w:rsid w:val="00CB24B7"/>
    <w:rsid w:val="00CB358B"/>
    <w:rsid w:val="00CB4B8C"/>
    <w:rsid w:val="00CB50B9"/>
    <w:rsid w:val="00CB6E6E"/>
    <w:rsid w:val="00CC01EA"/>
    <w:rsid w:val="00CC0269"/>
    <w:rsid w:val="00CC7BC8"/>
    <w:rsid w:val="00CD5E66"/>
    <w:rsid w:val="00CF2926"/>
    <w:rsid w:val="00D04B65"/>
    <w:rsid w:val="00D04BEA"/>
    <w:rsid w:val="00D04CCB"/>
    <w:rsid w:val="00D16066"/>
    <w:rsid w:val="00D166D6"/>
    <w:rsid w:val="00D20589"/>
    <w:rsid w:val="00D27FC0"/>
    <w:rsid w:val="00D348F9"/>
    <w:rsid w:val="00D37608"/>
    <w:rsid w:val="00D37877"/>
    <w:rsid w:val="00D438F7"/>
    <w:rsid w:val="00D45059"/>
    <w:rsid w:val="00D47121"/>
    <w:rsid w:val="00D6460C"/>
    <w:rsid w:val="00D6626A"/>
    <w:rsid w:val="00D66E35"/>
    <w:rsid w:val="00D71391"/>
    <w:rsid w:val="00D82BF3"/>
    <w:rsid w:val="00D92BF5"/>
    <w:rsid w:val="00D963DB"/>
    <w:rsid w:val="00D9752B"/>
    <w:rsid w:val="00DA1183"/>
    <w:rsid w:val="00DA2797"/>
    <w:rsid w:val="00DA3059"/>
    <w:rsid w:val="00DC1A49"/>
    <w:rsid w:val="00DC5F00"/>
    <w:rsid w:val="00DC65DA"/>
    <w:rsid w:val="00DC6730"/>
    <w:rsid w:val="00DD6B3F"/>
    <w:rsid w:val="00DD6B81"/>
    <w:rsid w:val="00DE6A5C"/>
    <w:rsid w:val="00DF4944"/>
    <w:rsid w:val="00DF64C9"/>
    <w:rsid w:val="00E05995"/>
    <w:rsid w:val="00E11EEC"/>
    <w:rsid w:val="00E13059"/>
    <w:rsid w:val="00E16FAE"/>
    <w:rsid w:val="00E20810"/>
    <w:rsid w:val="00E21C5B"/>
    <w:rsid w:val="00E24477"/>
    <w:rsid w:val="00E40FA3"/>
    <w:rsid w:val="00E47184"/>
    <w:rsid w:val="00E4787A"/>
    <w:rsid w:val="00E505A8"/>
    <w:rsid w:val="00E5332F"/>
    <w:rsid w:val="00E56754"/>
    <w:rsid w:val="00E56C48"/>
    <w:rsid w:val="00E6238B"/>
    <w:rsid w:val="00E83EC2"/>
    <w:rsid w:val="00E91CF7"/>
    <w:rsid w:val="00E91D72"/>
    <w:rsid w:val="00E965B4"/>
    <w:rsid w:val="00EA0CE7"/>
    <w:rsid w:val="00EA5F4C"/>
    <w:rsid w:val="00EA6D05"/>
    <w:rsid w:val="00EB485F"/>
    <w:rsid w:val="00EB7EFA"/>
    <w:rsid w:val="00EC0397"/>
    <w:rsid w:val="00EC0439"/>
    <w:rsid w:val="00EC4CD6"/>
    <w:rsid w:val="00ED0F19"/>
    <w:rsid w:val="00ED3785"/>
    <w:rsid w:val="00ED3882"/>
    <w:rsid w:val="00ED6D29"/>
    <w:rsid w:val="00EE1333"/>
    <w:rsid w:val="00EE5A23"/>
    <w:rsid w:val="00EF411F"/>
    <w:rsid w:val="00EF55CC"/>
    <w:rsid w:val="00F017B6"/>
    <w:rsid w:val="00F04729"/>
    <w:rsid w:val="00F07B10"/>
    <w:rsid w:val="00F30919"/>
    <w:rsid w:val="00F419F3"/>
    <w:rsid w:val="00F421CD"/>
    <w:rsid w:val="00F45431"/>
    <w:rsid w:val="00F52ECF"/>
    <w:rsid w:val="00F534D0"/>
    <w:rsid w:val="00F57731"/>
    <w:rsid w:val="00F6044A"/>
    <w:rsid w:val="00F6094D"/>
    <w:rsid w:val="00F61276"/>
    <w:rsid w:val="00F64207"/>
    <w:rsid w:val="00F665D5"/>
    <w:rsid w:val="00F7090D"/>
    <w:rsid w:val="00F71072"/>
    <w:rsid w:val="00F74861"/>
    <w:rsid w:val="00F757A4"/>
    <w:rsid w:val="00F80F99"/>
    <w:rsid w:val="00F86133"/>
    <w:rsid w:val="00F9278B"/>
    <w:rsid w:val="00FA2743"/>
    <w:rsid w:val="00FA55A5"/>
    <w:rsid w:val="00FA6902"/>
    <w:rsid w:val="00FB3B8E"/>
    <w:rsid w:val="00FC0BAB"/>
    <w:rsid w:val="00FC1172"/>
    <w:rsid w:val="00FC1759"/>
    <w:rsid w:val="00FC2917"/>
    <w:rsid w:val="00FD69DB"/>
    <w:rsid w:val="00FE274C"/>
    <w:rsid w:val="00FE7286"/>
    <w:rsid w:val="00FF4FC8"/>
    <w:rsid w:val="00FF7115"/>
    <w:rsid w:val="00FF76AD"/>
    <w:rsid w:val="00FF7B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4366837"/>
  <w15:docId w15:val="{3168889B-83C3-4B23-AAFA-D86A9AFFF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363"/>
    <w:pPr>
      <w:spacing w:after="200" w:line="276" w:lineRule="auto"/>
    </w:pPr>
    <w:rPr>
      <w:rFonts w:ascii="Arial" w:eastAsiaTheme="minorHAnsi" w:hAnsi="Arial" w:cstheme="minorBidi"/>
      <w:szCs w:val="22"/>
      <w:lang w:eastAsia="en-US"/>
    </w:rPr>
  </w:style>
  <w:style w:type="paragraph" w:styleId="Heading1">
    <w:name w:val="heading 1"/>
    <w:next w:val="Normal"/>
    <w:link w:val="Heading1Char"/>
    <w:autoRedefine/>
    <w:uiPriority w:val="1"/>
    <w:qFormat/>
    <w:rsid w:val="00CB6E6E"/>
    <w:pPr>
      <w:widowControl w:val="0"/>
      <w:spacing w:before="360"/>
      <w:contextualSpacing/>
      <w:outlineLvl w:val="0"/>
    </w:pPr>
    <w:rPr>
      <w:rFonts w:ascii="Arial" w:eastAsiaTheme="minorHAnsi" w:hAnsi="Arial" w:cstheme="minorBidi"/>
      <w:b/>
      <w:bCs/>
      <w:color w:val="000000"/>
      <w:spacing w:val="5"/>
      <w:kern w:val="28"/>
      <w:sz w:val="64"/>
      <w:szCs w:val="28"/>
      <w:lang w:eastAsia="en-US"/>
    </w:rPr>
  </w:style>
  <w:style w:type="paragraph" w:styleId="Heading2">
    <w:name w:val="heading 2"/>
    <w:basedOn w:val="Normal"/>
    <w:next w:val="Normal"/>
    <w:link w:val="Heading2Char"/>
    <w:autoRedefine/>
    <w:uiPriority w:val="3"/>
    <w:rsid w:val="00B95F7F"/>
    <w:pPr>
      <w:pageBreakBefore/>
      <w:spacing w:after="240" w:line="240" w:lineRule="auto"/>
      <w:outlineLvl w:val="1"/>
    </w:pPr>
    <w:rPr>
      <w:rFonts w:eastAsiaTheme="minorEastAsia"/>
      <w:bCs/>
      <w:color w:val="000000"/>
      <w:sz w:val="48"/>
      <w:szCs w:val="28"/>
      <w:lang w:eastAsia="ja-JP"/>
    </w:rPr>
  </w:style>
  <w:style w:type="paragraph" w:styleId="Heading3">
    <w:name w:val="heading 3"/>
    <w:next w:val="Normal"/>
    <w:link w:val="Heading3Char"/>
    <w:autoRedefine/>
    <w:uiPriority w:val="4"/>
    <w:qFormat/>
    <w:rsid w:val="001660B8"/>
    <w:pPr>
      <w:keepNext/>
      <w:keepLines/>
      <w:spacing w:after="120"/>
      <w:ind w:left="964" w:hanging="964"/>
      <w:outlineLvl w:val="2"/>
    </w:pPr>
    <w:rPr>
      <w:rFonts w:ascii="Arial" w:eastAsia="Times New Roman" w:hAnsi="Arial"/>
      <w:b/>
      <w:bCs/>
      <w:sz w:val="32"/>
      <w:szCs w:val="24"/>
      <w:lang w:eastAsia="en-US"/>
    </w:rPr>
  </w:style>
  <w:style w:type="paragraph" w:styleId="Heading4">
    <w:name w:val="heading 4"/>
    <w:next w:val="Normal"/>
    <w:link w:val="Heading4Char"/>
    <w:autoRedefine/>
    <w:uiPriority w:val="5"/>
    <w:qFormat/>
    <w:rsid w:val="00025032"/>
    <w:pPr>
      <w:keepNext/>
      <w:numPr>
        <w:ilvl w:val="2"/>
        <w:numId w:val="9"/>
      </w:numPr>
      <w:spacing w:after="120"/>
      <w:outlineLvl w:val="3"/>
    </w:pPr>
    <w:rPr>
      <w:rFonts w:ascii="Arial" w:eastAsia="Times New Roman" w:hAnsi="Arial"/>
      <w:b/>
      <w:bCs/>
      <w:sz w:val="28"/>
      <w:szCs w:val="24"/>
      <w:lang w:eastAsia="en-US"/>
    </w:rPr>
  </w:style>
  <w:style w:type="paragraph" w:styleId="Heading5">
    <w:name w:val="heading 5"/>
    <w:basedOn w:val="Normal"/>
    <w:next w:val="Normal"/>
    <w:link w:val="Heading5Char"/>
    <w:autoRedefine/>
    <w:uiPriority w:val="6"/>
    <w:rsid w:val="00790D12"/>
    <w:pPr>
      <w:keepNext/>
      <w:keepLines/>
      <w:spacing w:after="0" w:line="240" w:lineRule="auto"/>
      <w:outlineLvl w:val="4"/>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unhideWhenUsed/>
    <w:rPr>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rsid w:val="00F757A4"/>
    <w:pPr>
      <w:tabs>
        <w:tab w:val="center" w:pos="4820"/>
      </w:tabs>
      <w:spacing w:line="240" w:lineRule="auto"/>
      <w:jc w:val="center"/>
    </w:pPr>
  </w:style>
  <w:style w:type="character" w:customStyle="1" w:styleId="HeaderChar">
    <w:name w:val="Header Char"/>
    <w:basedOn w:val="DefaultParagraphFont"/>
    <w:link w:val="Header"/>
    <w:uiPriority w:val="26"/>
    <w:rsid w:val="00F757A4"/>
    <w:rPr>
      <w:rFonts w:ascii="Arial" w:eastAsiaTheme="minorHAnsi" w:hAnsi="Arial" w:cstheme="minorBidi"/>
      <w:szCs w:val="22"/>
      <w:lang w:eastAsia="en-US"/>
    </w:rPr>
  </w:style>
  <w:style w:type="paragraph" w:styleId="Footer">
    <w:name w:val="footer"/>
    <w:basedOn w:val="Normal"/>
    <w:link w:val="FooterChar"/>
    <w:autoRedefine/>
    <w:uiPriority w:val="27"/>
    <w:rsid w:val="005037A3"/>
    <w:pPr>
      <w:tabs>
        <w:tab w:val="center" w:pos="4536"/>
      </w:tabs>
      <w:spacing w:after="120" w:line="240" w:lineRule="auto"/>
      <w:jc w:val="center"/>
    </w:pPr>
  </w:style>
  <w:style w:type="character" w:customStyle="1" w:styleId="FooterChar">
    <w:name w:val="Footer Char"/>
    <w:basedOn w:val="DefaultParagraphFont"/>
    <w:link w:val="Footer"/>
    <w:uiPriority w:val="27"/>
    <w:rsid w:val="005037A3"/>
    <w:rPr>
      <w:rFonts w:ascii="Arial" w:eastAsiaTheme="minorHAnsi" w:hAnsi="Arial"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CB6E6E"/>
    <w:rPr>
      <w:rFonts w:ascii="Arial" w:eastAsiaTheme="minorHAnsi" w:hAnsi="Arial" w:cstheme="minorBidi"/>
      <w:b/>
      <w:bCs/>
      <w:color w:val="000000"/>
      <w:spacing w:val="5"/>
      <w:kern w:val="28"/>
      <w:sz w:val="64"/>
      <w:szCs w:val="28"/>
      <w:lang w:eastAsia="en-US"/>
    </w:rPr>
  </w:style>
  <w:style w:type="character" w:customStyle="1" w:styleId="Heading2Char">
    <w:name w:val="Heading 2 Char"/>
    <w:basedOn w:val="DefaultParagraphFont"/>
    <w:link w:val="Heading2"/>
    <w:uiPriority w:val="3"/>
    <w:rsid w:val="00B95F7F"/>
    <w:rPr>
      <w:rFonts w:ascii="Arial" w:eastAsiaTheme="minorEastAsia" w:hAnsi="Arial" w:cstheme="minorBidi"/>
      <w:bCs/>
      <w:color w:val="000000"/>
      <w:sz w:val="48"/>
      <w:szCs w:val="28"/>
      <w:lang w:eastAsia="ja-JP"/>
    </w:rPr>
  </w:style>
  <w:style w:type="character" w:customStyle="1" w:styleId="Heading3Char">
    <w:name w:val="Heading 3 Char"/>
    <w:basedOn w:val="DefaultParagraphFont"/>
    <w:link w:val="Heading3"/>
    <w:uiPriority w:val="4"/>
    <w:rsid w:val="001660B8"/>
    <w:rPr>
      <w:rFonts w:ascii="Arial" w:eastAsia="Times New Roman" w:hAnsi="Arial"/>
      <w:b/>
      <w:bCs/>
      <w:sz w:val="32"/>
      <w:szCs w:val="24"/>
      <w:lang w:eastAsia="en-US"/>
    </w:rPr>
  </w:style>
  <w:style w:type="character" w:customStyle="1" w:styleId="Heading4Char">
    <w:name w:val="Heading 4 Char"/>
    <w:basedOn w:val="DefaultParagraphFont"/>
    <w:link w:val="Heading4"/>
    <w:uiPriority w:val="5"/>
    <w:rsid w:val="00025032"/>
    <w:rPr>
      <w:rFonts w:ascii="Arial" w:eastAsia="Times New Roman" w:hAnsi="Arial"/>
      <w:b/>
      <w:bCs/>
      <w:sz w:val="28"/>
      <w:szCs w:val="24"/>
      <w:lang w:eastAsia="en-US"/>
    </w:rPr>
  </w:style>
  <w:style w:type="character" w:customStyle="1" w:styleId="Heading5Char">
    <w:name w:val="Heading 5 Char"/>
    <w:basedOn w:val="DefaultParagraphFont"/>
    <w:link w:val="Heading5"/>
    <w:uiPriority w:val="6"/>
    <w:rsid w:val="00790D12"/>
    <w:rPr>
      <w:rFonts w:ascii="Arial" w:eastAsiaTheme="minorHAnsi" w:hAnsi="Arial" w:cstheme="minorBidi"/>
      <w:b/>
      <w:sz w:val="24"/>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autoRedefine/>
    <w:uiPriority w:val="19"/>
    <w:qFormat/>
    <w:pPr>
      <w:pBdr>
        <w:top w:val="single" w:sz="4" w:space="10" w:color="auto"/>
        <w:left w:val="single" w:sz="4" w:space="10" w:color="auto"/>
        <w:bottom w:val="single" w:sz="4" w:space="10" w:color="auto"/>
        <w:right w:val="single" w:sz="4" w:space="10" w:color="auto"/>
      </w:pBdr>
      <w:spacing w:before="120" w:after="120"/>
    </w:pPr>
  </w:style>
  <w:style w:type="paragraph" w:styleId="Caption">
    <w:name w:val="caption"/>
    <w:basedOn w:val="Normal"/>
    <w:next w:val="Normal"/>
    <w:autoRedefine/>
    <w:uiPriority w:val="12"/>
    <w:qFormat/>
    <w:rsid w:val="000739C0"/>
    <w:pPr>
      <w:keepNext/>
      <w:spacing w:after="120" w:line="240" w:lineRule="auto"/>
    </w:pPr>
    <w:rPr>
      <w:b/>
      <w:bCs/>
      <w:szCs w:val="18"/>
    </w:rPr>
  </w:style>
  <w:style w:type="paragraph" w:customStyle="1" w:styleId="FigureTableNoteSource">
    <w:name w:val="Figure/Table Note/Source"/>
    <w:basedOn w:val="Normal"/>
    <w:next w:val="Normal"/>
    <w:autoRedefine/>
    <w:uiPriority w:val="16"/>
    <w:qFormat/>
    <w:rsid w:val="00D9752B"/>
    <w:pPr>
      <w:spacing w:before="120" w:line="264" w:lineRule="auto"/>
      <w:contextualSpacing/>
    </w:pPr>
    <w:rPr>
      <w:sz w:val="16"/>
    </w:rPr>
  </w:style>
  <w:style w:type="paragraph" w:styleId="Subtitle">
    <w:name w:val="Subtitle"/>
    <w:basedOn w:val="Heading1"/>
    <w:next w:val="Normal"/>
    <w:link w:val="SubtitleChar"/>
    <w:uiPriority w:val="23"/>
    <w:qFormat/>
    <w:rsid w:val="00CC01EA"/>
    <w:pPr>
      <w:spacing w:before="120"/>
    </w:pPr>
    <w:rPr>
      <w:b w:val="0"/>
      <w:sz w:val="48"/>
      <w:szCs w:val="56"/>
    </w:rPr>
  </w:style>
  <w:style w:type="character" w:customStyle="1" w:styleId="SubtitleChar">
    <w:name w:val="Subtitle Char"/>
    <w:basedOn w:val="DefaultParagraphFont"/>
    <w:link w:val="Subtitle"/>
    <w:uiPriority w:val="23"/>
    <w:rsid w:val="00CC01EA"/>
    <w:rPr>
      <w:rFonts w:ascii="Arial" w:eastAsiaTheme="minorHAnsi" w:hAnsi="Arial" w:cstheme="minorBidi"/>
      <w:bCs/>
      <w:color w:val="000000"/>
      <w:spacing w:val="5"/>
      <w:kern w:val="28"/>
      <w:sz w:val="48"/>
      <w:szCs w:val="56"/>
      <w:lang w:eastAsia="en-US"/>
    </w:rPr>
  </w:style>
  <w:style w:type="paragraph" w:styleId="TOCHeading">
    <w:name w:val="TOC Heading"/>
    <w:next w:val="Normal"/>
    <w:autoRedefine/>
    <w:uiPriority w:val="39"/>
    <w:qFormat/>
    <w:rsid w:val="009F0B46"/>
    <w:pPr>
      <w:pageBreakBefore/>
      <w:spacing w:before="480" w:line="276" w:lineRule="auto"/>
    </w:pPr>
    <w:rPr>
      <w:rFonts w:ascii="Arial" w:eastAsiaTheme="minorEastAsia" w:hAnsi="Arial" w:cstheme="minorBidi"/>
      <w:bCs/>
      <w:color w:val="000000"/>
      <w:sz w:val="52"/>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autoRedefine/>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autoRedefine/>
    <w:uiPriority w:val="39"/>
    <w:unhideWhenUsed/>
    <w:qFormat/>
    <w:rsid w:val="00087E95"/>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2F6D21"/>
    <w:rPr>
      <w:rFonts w:ascii="Arial" w:hAnsi="Arial"/>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rsid w:val="00D9752B"/>
    <w:pPr>
      <w:numPr>
        <w:ilvl w:val="1"/>
        <w:numId w:val="24"/>
      </w:numPr>
      <w:tabs>
        <w:tab w:val="left" w:pos="567"/>
      </w:tabs>
      <w:spacing w:before="120" w:after="120" w:line="264" w:lineRule="auto"/>
    </w:pPr>
    <w:rPr>
      <w:rFonts w:ascii="Arial" w:eastAsia="Times New Roman" w:hAnsi="Arial"/>
      <w:szCs w:val="24"/>
      <w:lang w:eastAsia="en-US"/>
    </w:rPr>
  </w:style>
  <w:style w:type="paragraph" w:styleId="ListNumber3">
    <w:name w:val="List Number 3"/>
    <w:autoRedefine/>
    <w:uiPriority w:val="11"/>
    <w:qFormat/>
    <w:rsid w:val="00D9752B"/>
    <w:pPr>
      <w:numPr>
        <w:ilvl w:val="2"/>
        <w:numId w:val="24"/>
      </w:numPr>
      <w:spacing w:before="120" w:after="120" w:line="264" w:lineRule="auto"/>
    </w:pPr>
    <w:rPr>
      <w:rFonts w:ascii="Arial" w:eastAsia="Times New Roman" w:hAnsi="Arial"/>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autoRedefine/>
    <w:uiPriority w:val="14"/>
    <w:qFormat/>
    <w:rsid w:val="001D4D02"/>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autoRedefine/>
    <w:uiPriority w:val="24"/>
    <w:qFormat/>
    <w:rsid w:val="009E6983"/>
    <w:pPr>
      <w:spacing w:after="60"/>
    </w:pPr>
    <w:rPr>
      <w:b/>
      <w:szCs w:val="28"/>
    </w:rPr>
  </w:style>
  <w:style w:type="paragraph" w:customStyle="1" w:styleId="AuthorOrganisationAffiliation">
    <w:name w:val="Author Organisation/Affiliation"/>
    <w:basedOn w:val="Normal"/>
    <w:next w:val="Normal"/>
    <w:autoRedefine/>
    <w:uiPriority w:val="25"/>
    <w:qFormat/>
    <w:rsid w:val="00F757A4"/>
    <w:pPr>
      <w:spacing w:after="720"/>
    </w:pPr>
  </w:style>
  <w:style w:type="character" w:styleId="Strong">
    <w:name w:val="Strong"/>
    <w:basedOn w:val="DefaultParagraphFont"/>
    <w:uiPriority w:val="22"/>
    <w:qFormat/>
    <w:rsid w:val="00790D12"/>
    <w:rPr>
      <w:rFonts w:ascii="Arial" w:hAnsi="Arial"/>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sid w:val="00C021EA"/>
    <w:rPr>
      <w:rFonts w:ascii="Arial" w:hAnsi="Arial"/>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autoRedefine/>
    <w:uiPriority w:val="21"/>
    <w:qFormat/>
    <w:pPr>
      <w:numPr>
        <w:numId w:val="3"/>
      </w:numPr>
      <w:ind w:left="357" w:hanging="357"/>
    </w:pPr>
  </w:style>
  <w:style w:type="paragraph" w:customStyle="1" w:styleId="TableBullet1">
    <w:name w:val="Table Bullet 1"/>
    <w:basedOn w:val="TableText"/>
    <w:autoRedefine/>
    <w:uiPriority w:val="15"/>
    <w:qFormat/>
    <w:rsid w:val="00A95826"/>
    <w:pPr>
      <w:numPr>
        <w:numId w:val="4"/>
      </w:numPr>
      <w:ind w:left="459"/>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autoRedefine/>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autoRedefine/>
    <w:uiPriority w:val="26"/>
    <w:qFormat/>
    <w:pPr>
      <w:spacing w:after="0"/>
    </w:pPr>
    <w:rPr>
      <w:b/>
      <w:color w:val="FF0000"/>
      <w:sz w:val="36"/>
      <w:szCs w:val="36"/>
    </w:rPr>
  </w:style>
  <w:style w:type="paragraph" w:customStyle="1" w:styleId="DisseminationLimitingMarker">
    <w:name w:val="Dissemination Limiting Marker"/>
    <w:basedOn w:val="Header"/>
    <w:next w:val="Header"/>
    <w:autoRedefine/>
    <w:uiPriority w:val="27"/>
    <w:pPr>
      <w:spacing w:after="0"/>
    </w:pPr>
    <w:rPr>
      <w:b/>
      <w:sz w:val="36"/>
      <w:szCs w:val="36"/>
    </w:rPr>
  </w:style>
  <w:style w:type="paragraph" w:styleId="FootnoteText">
    <w:name w:val="footnote text"/>
    <w:basedOn w:val="Normal"/>
    <w:link w:val="FootnoteTextChar"/>
    <w:autoRedefine/>
    <w:uiPriority w:val="99"/>
    <w:unhideWhenUsed/>
    <w:pPr>
      <w:spacing w:after="60" w:line="264" w:lineRule="auto"/>
    </w:pPr>
    <w:rPr>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autoRedefine/>
    <w:uiPriority w:val="99"/>
    <w:unhideWhenUsed/>
    <w:pPr>
      <w:spacing w:after="60" w:line="264" w:lineRule="auto"/>
    </w:pPr>
    <w:rPr>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autoRedefin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sid w:val="009E6983"/>
    <w:rPr>
      <w:rFonts w:ascii="Arial" w:eastAsiaTheme="minorHAnsi" w:hAnsi="Arial" w:cstheme="minorBidi"/>
      <w:sz w:val="32"/>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F757A4"/>
    <w:pPr>
      <w:spacing w:after="120" w:line="276" w:lineRule="auto"/>
    </w:pPr>
    <w:rPr>
      <w:rFonts w:ascii="Arial" w:eastAsiaTheme="minorHAnsi" w:hAnsi="Arial"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autoRedefine/>
    <w:uiPriority w:val="99"/>
    <w:qFormat/>
    <w:rsid w:val="002F6D21"/>
    <w:pPr>
      <w:numPr>
        <w:numId w:val="16"/>
      </w:numPr>
      <w:spacing w:before="60" w:after="60"/>
      <w:ind w:left="403"/>
      <w:contextualSpacing/>
    </w:pPr>
    <w:rPr>
      <w:rFonts w:ascii="Arial" w:eastAsia="Calibri" w:hAnsi="Arial"/>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autoRedefine/>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SubtleReference">
    <w:name w:val="Subtle Reference"/>
    <w:basedOn w:val="DefaultParagraphFont"/>
    <w:uiPriority w:val="31"/>
    <w:qFormat/>
    <w:rsid w:val="002F6D21"/>
    <w:rPr>
      <w:rFonts w:ascii="Arial" w:hAnsi="Arial"/>
      <w:smallCaps/>
      <w:color w:val="5A5A5A" w:themeColor="text1" w:themeTint="A5"/>
    </w:rPr>
  </w:style>
  <w:style w:type="character" w:styleId="SubtleEmphasis">
    <w:name w:val="Subtle Emphasis"/>
    <w:basedOn w:val="DefaultParagraphFont"/>
    <w:uiPriority w:val="19"/>
    <w:qFormat/>
    <w:rsid w:val="002F6D21"/>
    <w:rPr>
      <w:rFonts w:ascii="Arial" w:hAnsi="Arial"/>
      <w:i/>
      <w:iCs/>
      <w:color w:val="404040" w:themeColor="text1" w:themeTint="BF"/>
    </w:rPr>
  </w:style>
  <w:style w:type="character" w:styleId="UnresolvedMention">
    <w:name w:val="Unresolved Mention"/>
    <w:basedOn w:val="DefaultParagraphFont"/>
    <w:uiPriority w:val="99"/>
    <w:semiHidden/>
    <w:unhideWhenUsed/>
    <w:rsid w:val="00CA07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eader" Target="header2.xml"/><Relationship Id="rId26" Type="http://schemas.openxmlformats.org/officeDocument/2006/relationships/hyperlink" Target="https://www.dta.gov.au/our-projects/australian-government-style-manual"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s://apo.org.au/node/61042" TargetMode="External"/><Relationship Id="rId33" Type="http://schemas.openxmlformats.org/officeDocument/2006/relationships/hyperlink" Target="https://nespurban.edu.au/3-category-workbook/" TargetMode="Externa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footer" Target="footer2.xml"/><Relationship Id="rId29" Type="http://schemas.openxmlformats.org/officeDocument/2006/relationships/hyperlink" Target="https://www.environment.gov.au/science/nesp/abou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mc.gov.au/resource-centre/government/australian-government-branding-guidelines-use-australian-government-logo-australian-government-departments-and-agencies" TargetMode="External"/><Relationship Id="rId32" Type="http://schemas.openxmlformats.org/officeDocument/2006/relationships/hyperlink" Target="https://www.csiro.au/en/Research/LWF/Areas/Pathways/Sustainable-Indigenous/Our-Knowledge-Our-Way" TargetMode="External"/><Relationship Id="rId5" Type="http://schemas.openxmlformats.org/officeDocument/2006/relationships/numbering" Target="numbering.xml"/><Relationship Id="rId15" Type="http://schemas.openxmlformats.org/officeDocument/2006/relationships/hyperlink" Target="https://www.environment.gov.au/science/nesp" TargetMode="External"/><Relationship Id="rId23" Type="http://schemas.openxmlformats.org/officeDocument/2006/relationships/hyperlink" Target="https://ardc.edu.au/resources/working-with-data/fair-data/" TargetMode="External"/><Relationship Id="rId28" Type="http://schemas.openxmlformats.org/officeDocument/2006/relationships/hyperlink" Target="http://nrm.gov.au/my-project/monitoring-and-reportin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environment.gov.au/science/nesp/abou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yperlink" Target="https://www.environment.gov.au/science/nesp/publications/indigenous-collaboration-australia-environmental-science-brochure" TargetMode="External"/><Relationship Id="rId30" Type="http://schemas.openxmlformats.org/officeDocument/2006/relationships/hyperlink" Target="https://www.environment.gov.au/science/nesp/about" TargetMode="Externa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Report%20writing\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ACCB01-9AED-46B4-870D-B4E64CC0C7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purl.org/dc/terms/"/>
    <ds:schemaRef ds:uri="http://schemas.microsoft.com/office/2006/documentManagement/types"/>
    <ds:schemaRef ds:uri="ac7ce04e-ea5d-4d46-bab0-39b1fa6a6f36"/>
    <ds:schemaRef ds:uri="http://schemas.microsoft.com/office/infopath/2007/PartnerControls"/>
    <ds:schemaRef ds:uri="http://purl.org/dc/elements/1.1/"/>
    <ds:schemaRef ds:uri="http://schemas.microsoft.com/office/2006/metadata/properties"/>
    <ds:schemaRef ds:uri="425a5c30-4c2f-474f-aa2f-443e46b3d189"/>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58708438-EB53-408C-BFCF-26DBF94A0728}">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template.dotx</Template>
  <TotalTime>11</TotalTime>
  <Pages>14</Pages>
  <Words>3275</Words>
  <Characters>18674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NESP Knowledge brokering and communication strategy</vt:lpstr>
    </vt:vector>
  </TitlesOfParts>
  <Company/>
  <LinksUpToDate>false</LinksUpToDate>
  <CharactersWithSpaces>21906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NESP Knowledge brokering and communication strategy</dc:title>
  <dc:creator>Department of Agriculture, Water and the Environment</dc:creator>
  <cp:lastModifiedBy>Lien Nguyen</cp:lastModifiedBy>
  <cp:revision>5</cp:revision>
  <cp:lastPrinted>2021-06-09T01:39:00Z</cp:lastPrinted>
  <dcterms:created xsi:type="dcterms:W3CDTF">2022-04-01T04:14:00Z</dcterms:created>
  <dcterms:modified xsi:type="dcterms:W3CDTF">2022-04-06T02:36:00Z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RecordNumberSubmitted">
    <vt:lpwstr>003827057</vt:lpwstr>
  </property>
  <property fmtid="{D5CDD505-2E9C-101B-9397-08002B2CF9AE}" pid="4" name="RecordPoint_ActiveItemSiteId">
    <vt:lpwstr>{8b6ba6e4-7791-4805-97f8-71b2264b8da8}</vt:lpwstr>
  </property>
  <property fmtid="{D5CDD505-2E9C-101B-9397-08002B2CF9AE}" pid="5" name="RecordPoint_ActiveItemListId">
    <vt:lpwstr>{b6de8ae2-0201-47c8-bf1d-b4a14cd4a8bb}</vt:lpwstr>
  </property>
  <property fmtid="{D5CDD505-2E9C-101B-9397-08002B2CF9AE}" pid="6" name="RecordPoint_ActiveItemUniqueId">
    <vt:lpwstr>{da411871-9c1e-4204-8f0e-a0064171dece}</vt:lpwstr>
  </property>
  <property fmtid="{D5CDD505-2E9C-101B-9397-08002B2CF9AE}" pid="7" name="RecordPoint_SubmissionCompleted">
    <vt:lpwstr>2021-06-12T21:30:39.6187613+10:00</vt:lpwstr>
  </property>
  <property fmtid="{D5CDD505-2E9C-101B-9397-08002B2CF9AE}" pid="8" name="RecordPoint_ActiveItemWebId">
    <vt:lpwstr>{aedcb315-dd52-4016-9f90-ca5fd6e66317}</vt:lpwstr>
  </property>
  <property fmtid="{D5CDD505-2E9C-101B-9397-08002B2CF9AE}" pid="9" name="RecordPoint_WorkflowType">
    <vt:lpwstr>ActiveSubmitStub</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ies>
</file>