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package/2006/relationships/metadata/core-properties" Target="docProps/core.xml"/><Relationship Id="rId7" Type="http://schemas.microsoft.com/office/2006/relationships/ui/extensibility" Target="customUI/customUI.xml"/><Relationship Id="rId1" Type="http://schemas.openxmlformats.org/officeDocument/2006/relationships/officeDocument" Target="word/document.xml"/><Relationship Id="rId10" Type="http://schemas.openxmlformats.org/officeDocument/2006/relationships/custom-properties" Target="docProps/custom.xml"/><Relationship Id="rId9"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6"/>
      </w:tblGrid>
      <w:tr w:rsidR="00B46345" w14:paraId="01DBACB2" w14:textId="77777777" w:rsidTr="001C703D">
        <w:trPr>
          <w:trHeight w:hRule="exact" w:val="5812"/>
        </w:trPr>
        <w:tc>
          <w:tcPr>
            <w:tcW w:w="9286" w:type="dxa"/>
            <w:vAlign w:val="bottom"/>
          </w:tcPr>
          <w:p w14:paraId="01DBACB1" w14:textId="77777777" w:rsidR="00B46345" w:rsidRDefault="00F205D4" w:rsidP="00506F23">
            <w:pPr>
              <w:pStyle w:val="Reporttitle"/>
            </w:pPr>
            <w:r>
              <w:t>National Landcare program</w:t>
            </w:r>
            <w:r w:rsidR="00E91463">
              <w:t xml:space="preserve"> Phase 2</w:t>
            </w:r>
            <w:r w:rsidR="00506F23">
              <w:t>: Summary of Regional Land Partnerships survey results</w:t>
            </w:r>
            <w:r>
              <w:t xml:space="preserve"> </w:t>
            </w:r>
          </w:p>
        </w:tc>
      </w:tr>
      <w:tr w:rsidR="00B46345" w14:paraId="01DBACB4" w14:textId="77777777" w:rsidTr="001C703D">
        <w:trPr>
          <w:trHeight w:val="3241"/>
        </w:trPr>
        <w:tc>
          <w:tcPr>
            <w:tcW w:w="9286" w:type="dxa"/>
          </w:tcPr>
          <w:p w14:paraId="01DBACB3" w14:textId="77777777" w:rsidR="00B46345" w:rsidRDefault="00B46345" w:rsidP="00B46345"/>
        </w:tc>
      </w:tr>
      <w:tr w:rsidR="00B46345" w14:paraId="01DBACB6" w14:textId="77777777" w:rsidTr="001C703D">
        <w:tc>
          <w:tcPr>
            <w:tcW w:w="9286" w:type="dxa"/>
          </w:tcPr>
          <w:p w14:paraId="01DBACB5" w14:textId="77777777" w:rsidR="00B46345" w:rsidRDefault="00751CE7" w:rsidP="00F205D4">
            <w:pPr>
              <w:pStyle w:val="Subtitle"/>
            </w:pPr>
            <w:r>
              <w:t>d</w:t>
            </w:r>
            <w:r w:rsidR="001C703D">
              <w:t xml:space="preserve">epartment of the </w:t>
            </w:r>
            <w:r w:rsidR="00F205D4">
              <w:t>environment and energy</w:t>
            </w:r>
          </w:p>
        </w:tc>
      </w:tr>
      <w:tr w:rsidR="001C703D" w14:paraId="01DBACB8" w14:textId="77777777" w:rsidTr="001C703D">
        <w:tc>
          <w:tcPr>
            <w:tcW w:w="9286" w:type="dxa"/>
          </w:tcPr>
          <w:p w14:paraId="01DBACB7" w14:textId="77777777" w:rsidR="001C703D" w:rsidRDefault="001C703D" w:rsidP="001C703D">
            <w:pPr>
              <w:pStyle w:val="Reporttype"/>
            </w:pPr>
          </w:p>
        </w:tc>
      </w:tr>
      <w:tr w:rsidR="001C703D" w14:paraId="01DBACBA" w14:textId="77777777" w:rsidTr="001C703D">
        <w:tc>
          <w:tcPr>
            <w:tcW w:w="9286" w:type="dxa"/>
          </w:tcPr>
          <w:p w14:paraId="01DBACB9" w14:textId="77777777" w:rsidR="001C703D" w:rsidRDefault="00F205D4" w:rsidP="00295762">
            <w:pPr>
              <w:pStyle w:val="Reportperiod"/>
            </w:pPr>
            <w:r>
              <w:t xml:space="preserve"> </w:t>
            </w:r>
            <w:r w:rsidR="00295762">
              <w:t>December</w:t>
            </w:r>
            <w:r w:rsidR="00DB102B">
              <w:t xml:space="preserve"> </w:t>
            </w:r>
            <w:r w:rsidR="00295762">
              <w:t>5</w:t>
            </w:r>
            <w:r w:rsidR="00D66983">
              <w:t xml:space="preserve"> </w:t>
            </w:r>
            <w:r w:rsidR="006C3B2C">
              <w:t>201</w:t>
            </w:r>
            <w:r w:rsidR="00D273E8">
              <w:t>7</w:t>
            </w:r>
          </w:p>
        </w:tc>
      </w:tr>
    </w:tbl>
    <w:p w14:paraId="01DBACBB" w14:textId="77777777" w:rsidR="001334F9" w:rsidRPr="004F4B82" w:rsidRDefault="001334F9" w:rsidP="001334F9">
      <w:pPr>
        <w:pStyle w:val="FrontPage"/>
        <w:rPr>
          <w:rFonts w:cs="Segoe UI"/>
        </w:rPr>
      </w:pPr>
    </w:p>
    <w:p w14:paraId="01DBACBC" w14:textId="77777777" w:rsidR="001334F9" w:rsidRPr="004F4B82" w:rsidRDefault="001334F9" w:rsidP="00F827E7">
      <w:pPr>
        <w:pStyle w:val="TOCHeading"/>
      </w:pPr>
      <w:r w:rsidRPr="004F4B82">
        <w:lastRenderedPageBreak/>
        <w:t>Acknowledgments</w:t>
      </w:r>
    </w:p>
    <w:p w14:paraId="01DBACBD" w14:textId="77777777" w:rsidR="00E737C0" w:rsidRDefault="00E737C0" w:rsidP="001334F9">
      <w:pPr>
        <w:rPr>
          <w:rFonts w:cs="Segoe UI"/>
        </w:rPr>
      </w:pPr>
    </w:p>
    <w:p w14:paraId="01DBACBE" w14:textId="77777777" w:rsidR="001334F9" w:rsidRPr="004F4B82" w:rsidRDefault="001334F9" w:rsidP="001334F9">
      <w:pPr>
        <w:rPr>
          <w:rFonts w:cs="Segoe UI"/>
        </w:rPr>
      </w:pPr>
      <w:r w:rsidRPr="004F4B82">
        <w:rPr>
          <w:rFonts w:cs="Segoe UI"/>
        </w:rPr>
        <w:t xml:space="preserve">This work was completed with the assistance of </w:t>
      </w:r>
      <w:r w:rsidR="00E737C0">
        <w:rPr>
          <w:rFonts w:cs="Segoe UI"/>
        </w:rPr>
        <w:t xml:space="preserve">the NRM Futures team, Biodiversity Conservation Division of the Department of the Environment and Energy. </w:t>
      </w:r>
    </w:p>
    <w:p w14:paraId="01DBACBF" w14:textId="77777777" w:rsidR="00857B18" w:rsidRDefault="00B1102A" w:rsidP="00857B18">
      <w:pPr>
        <w:rPr>
          <w:rFonts w:cs="Segoe UI"/>
          <w:b/>
        </w:rPr>
      </w:pPr>
      <w:r>
        <w:rPr>
          <w:rFonts w:cs="Segoe UI"/>
          <w:b/>
        </w:rPr>
        <w:t>ARTD c</w:t>
      </w:r>
      <w:r w:rsidR="001334F9" w:rsidRPr="004F4B82">
        <w:rPr>
          <w:rFonts w:cs="Segoe UI"/>
          <w:b/>
        </w:rPr>
        <w:t xml:space="preserve">onsultancy team </w:t>
      </w:r>
    </w:p>
    <w:p w14:paraId="01DBACC0" w14:textId="77777777" w:rsidR="008F4511" w:rsidRPr="008F4511" w:rsidRDefault="008F4511" w:rsidP="00857B18">
      <w:r w:rsidRPr="008F4511">
        <w:rPr>
          <w:rFonts w:cs="Segoe UI"/>
        </w:rPr>
        <w:t>Fiona Christian, Marita Merlene, Maria Koleth, Imogen Williams, Kieran Sobels, Georgia Soares</w:t>
      </w:r>
    </w:p>
    <w:p w14:paraId="01DBACC1" w14:textId="77777777" w:rsidR="001334F9" w:rsidRPr="00857B18" w:rsidRDefault="001334F9" w:rsidP="00857B18">
      <w:pPr>
        <w:pStyle w:val="ListBullet"/>
        <w:numPr>
          <w:ilvl w:val="0"/>
          <w:numId w:val="0"/>
        </w:numPr>
        <w:ind w:left="454" w:hanging="454"/>
        <w:rPr>
          <w:rFonts w:cs="Segoe UI"/>
          <w:sz w:val="2"/>
          <w:szCs w:val="2"/>
        </w:rPr>
      </w:pPr>
    </w:p>
    <w:p w14:paraId="01DBACC2" w14:textId="77777777" w:rsidR="00857B18" w:rsidRDefault="00857B18" w:rsidP="00857B18">
      <w:pPr>
        <w:pStyle w:val="ListBullet"/>
        <w:numPr>
          <w:ilvl w:val="0"/>
          <w:numId w:val="0"/>
        </w:numPr>
        <w:ind w:left="454" w:hanging="454"/>
        <w:rPr>
          <w:rFonts w:cs="Segoe UI"/>
        </w:rPr>
      </w:pPr>
    </w:p>
    <w:p w14:paraId="01DBACC3" w14:textId="77777777" w:rsidR="00857B18" w:rsidRPr="004F4B82" w:rsidRDefault="00857B18" w:rsidP="00857B18">
      <w:pPr>
        <w:pStyle w:val="ListBullet"/>
        <w:numPr>
          <w:ilvl w:val="0"/>
          <w:numId w:val="0"/>
        </w:numPr>
        <w:ind w:left="454" w:hanging="454"/>
        <w:rPr>
          <w:rFonts w:cs="Segoe UI"/>
        </w:rPr>
        <w:sectPr w:rsidR="00857B18" w:rsidRPr="004F4B82" w:rsidSect="001334F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567" w:footer="567" w:gutter="0"/>
          <w:pgNumType w:fmt="lowerRoman" w:start="1"/>
          <w:cols w:space="708"/>
          <w:titlePg/>
          <w:docGrid w:linePitch="360"/>
        </w:sectPr>
      </w:pPr>
    </w:p>
    <w:p w14:paraId="01DBACC4" w14:textId="77777777" w:rsidR="009E264A" w:rsidRPr="009063E0" w:rsidRDefault="009E264A" w:rsidP="00F827E7">
      <w:pPr>
        <w:pStyle w:val="TOCHeading"/>
      </w:pPr>
      <w:r w:rsidRPr="009063E0">
        <w:lastRenderedPageBreak/>
        <w:t>Contents</w:t>
      </w:r>
    </w:p>
    <w:p w14:paraId="01DBACC5" w14:textId="77777777" w:rsidR="00161C17" w:rsidRDefault="00D273E8">
      <w:pPr>
        <w:pStyle w:val="TOC1"/>
        <w:rPr>
          <w:rFonts w:asciiTheme="minorHAnsi" w:eastAsiaTheme="minorEastAsia" w:hAnsiTheme="minorHAnsi" w:cstheme="minorBidi"/>
          <w:b w:val="0"/>
          <w:szCs w:val="22"/>
        </w:rPr>
      </w:pPr>
      <w:r>
        <w:rPr>
          <w:rFonts w:cs="Segoe UI"/>
          <w:sz w:val="21"/>
        </w:rPr>
        <w:fldChar w:fldCharType="begin"/>
      </w:r>
      <w:r>
        <w:rPr>
          <w:rFonts w:cs="Segoe UI"/>
          <w:sz w:val="21"/>
        </w:rPr>
        <w:instrText xml:space="preserve"> TOC \o "1-1" \h \z \t "Heading 2,2,Exec Summary H2,2,General Heading 2,2" </w:instrText>
      </w:r>
      <w:r>
        <w:rPr>
          <w:rFonts w:cs="Segoe UI"/>
          <w:sz w:val="21"/>
        </w:rPr>
        <w:fldChar w:fldCharType="separate"/>
      </w:r>
      <w:hyperlink w:anchor="_Toc500248413" w:history="1">
        <w:r w:rsidR="00161C17" w:rsidRPr="008F6DF0">
          <w:rPr>
            <w:rStyle w:val="Hyperlink"/>
          </w:rPr>
          <w:t>Executive Summary</w:t>
        </w:r>
        <w:r w:rsidR="00161C17">
          <w:rPr>
            <w:webHidden/>
          </w:rPr>
          <w:tab/>
        </w:r>
        <w:r w:rsidR="00161C17">
          <w:rPr>
            <w:webHidden/>
          </w:rPr>
          <w:fldChar w:fldCharType="begin"/>
        </w:r>
        <w:r w:rsidR="00161C17">
          <w:rPr>
            <w:webHidden/>
          </w:rPr>
          <w:instrText xml:space="preserve"> PAGEREF _Toc500248413 \h </w:instrText>
        </w:r>
        <w:r w:rsidR="00161C17">
          <w:rPr>
            <w:webHidden/>
          </w:rPr>
        </w:r>
        <w:r w:rsidR="00161C17">
          <w:rPr>
            <w:webHidden/>
          </w:rPr>
          <w:fldChar w:fldCharType="separate"/>
        </w:r>
        <w:r w:rsidR="00314546">
          <w:rPr>
            <w:webHidden/>
          </w:rPr>
          <w:t>v</w:t>
        </w:r>
        <w:r w:rsidR="00161C17">
          <w:rPr>
            <w:webHidden/>
          </w:rPr>
          <w:fldChar w:fldCharType="end"/>
        </w:r>
      </w:hyperlink>
    </w:p>
    <w:p w14:paraId="01DBACC6" w14:textId="77777777" w:rsidR="00161C17" w:rsidRDefault="00522E81">
      <w:pPr>
        <w:pStyle w:val="TOC1"/>
        <w:rPr>
          <w:rFonts w:asciiTheme="minorHAnsi" w:eastAsiaTheme="minorEastAsia" w:hAnsiTheme="minorHAnsi" w:cstheme="minorBidi"/>
          <w:b w:val="0"/>
          <w:szCs w:val="22"/>
        </w:rPr>
      </w:pPr>
      <w:hyperlink w:anchor="_Toc500248414" w:history="1">
        <w:r w:rsidR="00161C17" w:rsidRPr="008F6DF0">
          <w:rPr>
            <w:rStyle w:val="Hyperlink"/>
          </w:rPr>
          <w:t>1.</w:t>
        </w:r>
        <w:r w:rsidR="00161C17">
          <w:rPr>
            <w:rFonts w:asciiTheme="minorHAnsi" w:eastAsiaTheme="minorEastAsia" w:hAnsiTheme="minorHAnsi" w:cstheme="minorBidi"/>
            <w:b w:val="0"/>
            <w:szCs w:val="22"/>
          </w:rPr>
          <w:tab/>
        </w:r>
        <w:r w:rsidR="00161C17" w:rsidRPr="008F6DF0">
          <w:rPr>
            <w:rStyle w:val="Hyperlink"/>
          </w:rPr>
          <w:t>Regional Land Partnerships Consultation Paper and Survey</w:t>
        </w:r>
        <w:r w:rsidR="00161C17">
          <w:rPr>
            <w:webHidden/>
          </w:rPr>
          <w:tab/>
        </w:r>
        <w:r w:rsidR="00161C17">
          <w:rPr>
            <w:webHidden/>
          </w:rPr>
          <w:fldChar w:fldCharType="begin"/>
        </w:r>
        <w:r w:rsidR="00161C17">
          <w:rPr>
            <w:webHidden/>
          </w:rPr>
          <w:instrText xml:space="preserve"> PAGEREF _Toc500248414 \h </w:instrText>
        </w:r>
        <w:r w:rsidR="00161C17">
          <w:rPr>
            <w:webHidden/>
          </w:rPr>
        </w:r>
        <w:r w:rsidR="00161C17">
          <w:rPr>
            <w:webHidden/>
          </w:rPr>
          <w:fldChar w:fldCharType="separate"/>
        </w:r>
        <w:r w:rsidR="00314546">
          <w:rPr>
            <w:webHidden/>
          </w:rPr>
          <w:t>1</w:t>
        </w:r>
        <w:r w:rsidR="00161C17">
          <w:rPr>
            <w:webHidden/>
          </w:rPr>
          <w:fldChar w:fldCharType="end"/>
        </w:r>
      </w:hyperlink>
    </w:p>
    <w:p w14:paraId="01DBACC7" w14:textId="77777777" w:rsidR="00161C17" w:rsidRDefault="00522E81">
      <w:pPr>
        <w:pStyle w:val="TOC2"/>
        <w:rPr>
          <w:rFonts w:asciiTheme="minorHAnsi" w:eastAsiaTheme="minorEastAsia" w:hAnsiTheme="minorHAnsi" w:cstheme="minorBidi"/>
          <w:szCs w:val="22"/>
          <w:lang w:eastAsia="en-AU"/>
        </w:rPr>
      </w:pPr>
      <w:hyperlink w:anchor="_Toc500248415" w:history="1">
        <w:r w:rsidR="00161C17" w:rsidRPr="008F6DF0">
          <w:rPr>
            <w:rStyle w:val="Hyperlink"/>
          </w:rPr>
          <w:t>1.1</w:t>
        </w:r>
        <w:r w:rsidR="00161C17">
          <w:rPr>
            <w:rFonts w:asciiTheme="minorHAnsi" w:eastAsiaTheme="minorEastAsia" w:hAnsiTheme="minorHAnsi" w:cstheme="minorBidi"/>
            <w:szCs w:val="22"/>
            <w:lang w:eastAsia="en-AU"/>
          </w:rPr>
          <w:tab/>
        </w:r>
        <w:r w:rsidR="00161C17" w:rsidRPr="008F6DF0">
          <w:rPr>
            <w:rStyle w:val="Hyperlink"/>
          </w:rPr>
          <w:t>Response demographics</w:t>
        </w:r>
        <w:r w:rsidR="00161C17">
          <w:rPr>
            <w:webHidden/>
          </w:rPr>
          <w:tab/>
        </w:r>
        <w:r w:rsidR="00161C17">
          <w:rPr>
            <w:webHidden/>
          </w:rPr>
          <w:fldChar w:fldCharType="begin"/>
        </w:r>
        <w:r w:rsidR="00161C17">
          <w:rPr>
            <w:webHidden/>
          </w:rPr>
          <w:instrText xml:space="preserve"> PAGEREF _Toc500248415 \h </w:instrText>
        </w:r>
        <w:r w:rsidR="00161C17">
          <w:rPr>
            <w:webHidden/>
          </w:rPr>
        </w:r>
        <w:r w:rsidR="00161C17">
          <w:rPr>
            <w:webHidden/>
          </w:rPr>
          <w:fldChar w:fldCharType="separate"/>
        </w:r>
        <w:r w:rsidR="00314546">
          <w:rPr>
            <w:webHidden/>
          </w:rPr>
          <w:t>1</w:t>
        </w:r>
        <w:r w:rsidR="00161C17">
          <w:rPr>
            <w:webHidden/>
          </w:rPr>
          <w:fldChar w:fldCharType="end"/>
        </w:r>
      </w:hyperlink>
    </w:p>
    <w:p w14:paraId="01DBACC8" w14:textId="77777777" w:rsidR="00161C17" w:rsidRDefault="00522E81">
      <w:pPr>
        <w:pStyle w:val="TOC1"/>
        <w:rPr>
          <w:rFonts w:asciiTheme="minorHAnsi" w:eastAsiaTheme="minorEastAsia" w:hAnsiTheme="minorHAnsi" w:cstheme="minorBidi"/>
          <w:b w:val="0"/>
          <w:szCs w:val="22"/>
        </w:rPr>
      </w:pPr>
      <w:hyperlink w:anchor="_Toc500248416" w:history="1">
        <w:r w:rsidR="00161C17" w:rsidRPr="008F6DF0">
          <w:rPr>
            <w:rStyle w:val="Hyperlink"/>
          </w:rPr>
          <w:t>2.</w:t>
        </w:r>
        <w:r w:rsidR="00161C17">
          <w:rPr>
            <w:rFonts w:asciiTheme="minorHAnsi" w:eastAsiaTheme="minorEastAsia" w:hAnsiTheme="minorHAnsi" w:cstheme="minorBidi"/>
            <w:b w:val="0"/>
            <w:szCs w:val="22"/>
          </w:rPr>
          <w:tab/>
        </w:r>
        <w:r w:rsidR="00161C17" w:rsidRPr="008F6DF0">
          <w:rPr>
            <w:rStyle w:val="Hyperlink"/>
          </w:rPr>
          <w:t>Summary of Findings</w:t>
        </w:r>
        <w:r w:rsidR="00161C17">
          <w:rPr>
            <w:webHidden/>
          </w:rPr>
          <w:tab/>
        </w:r>
        <w:r w:rsidR="00161C17">
          <w:rPr>
            <w:webHidden/>
          </w:rPr>
          <w:fldChar w:fldCharType="begin"/>
        </w:r>
        <w:r w:rsidR="00161C17">
          <w:rPr>
            <w:webHidden/>
          </w:rPr>
          <w:instrText xml:space="preserve"> PAGEREF _Toc500248416 \h </w:instrText>
        </w:r>
        <w:r w:rsidR="00161C17">
          <w:rPr>
            <w:webHidden/>
          </w:rPr>
        </w:r>
        <w:r w:rsidR="00161C17">
          <w:rPr>
            <w:webHidden/>
          </w:rPr>
          <w:fldChar w:fldCharType="separate"/>
        </w:r>
        <w:r w:rsidR="00314546">
          <w:rPr>
            <w:webHidden/>
          </w:rPr>
          <w:t>2</w:t>
        </w:r>
        <w:r w:rsidR="00161C17">
          <w:rPr>
            <w:webHidden/>
          </w:rPr>
          <w:fldChar w:fldCharType="end"/>
        </w:r>
      </w:hyperlink>
    </w:p>
    <w:p w14:paraId="01DBACC9" w14:textId="77777777" w:rsidR="00161C17" w:rsidRDefault="00522E81">
      <w:pPr>
        <w:pStyle w:val="TOC2"/>
        <w:rPr>
          <w:rFonts w:asciiTheme="minorHAnsi" w:eastAsiaTheme="minorEastAsia" w:hAnsiTheme="minorHAnsi" w:cstheme="minorBidi"/>
          <w:szCs w:val="22"/>
          <w:lang w:eastAsia="en-AU"/>
        </w:rPr>
      </w:pPr>
      <w:hyperlink w:anchor="_Toc500248417" w:history="1">
        <w:r w:rsidR="00161C17" w:rsidRPr="008F6DF0">
          <w:rPr>
            <w:rStyle w:val="Hyperlink"/>
            <w:lang w:eastAsia="en-AU"/>
          </w:rPr>
          <w:t>2.1</w:t>
        </w:r>
        <w:r w:rsidR="00161C17">
          <w:rPr>
            <w:rFonts w:asciiTheme="minorHAnsi" w:eastAsiaTheme="minorEastAsia" w:hAnsiTheme="minorHAnsi" w:cstheme="minorBidi"/>
            <w:szCs w:val="22"/>
            <w:lang w:eastAsia="en-AU"/>
          </w:rPr>
          <w:tab/>
        </w:r>
        <w:r w:rsidR="00161C17" w:rsidRPr="008F6DF0">
          <w:rPr>
            <w:rStyle w:val="Hyperlink"/>
            <w:lang w:eastAsia="en-AU"/>
          </w:rPr>
          <w:t>Issue 1</w:t>
        </w:r>
        <w:r w:rsidR="00161C17">
          <w:rPr>
            <w:webHidden/>
          </w:rPr>
          <w:tab/>
        </w:r>
        <w:r w:rsidR="00161C17">
          <w:rPr>
            <w:webHidden/>
          </w:rPr>
          <w:fldChar w:fldCharType="begin"/>
        </w:r>
        <w:r w:rsidR="00161C17">
          <w:rPr>
            <w:webHidden/>
          </w:rPr>
          <w:instrText xml:space="preserve"> PAGEREF _Toc500248417 \h </w:instrText>
        </w:r>
        <w:r w:rsidR="00161C17">
          <w:rPr>
            <w:webHidden/>
          </w:rPr>
        </w:r>
        <w:r w:rsidR="00161C17">
          <w:rPr>
            <w:webHidden/>
          </w:rPr>
          <w:fldChar w:fldCharType="separate"/>
        </w:r>
        <w:r w:rsidR="00314546">
          <w:rPr>
            <w:webHidden/>
          </w:rPr>
          <w:t>2</w:t>
        </w:r>
        <w:r w:rsidR="00161C17">
          <w:rPr>
            <w:webHidden/>
          </w:rPr>
          <w:fldChar w:fldCharType="end"/>
        </w:r>
      </w:hyperlink>
    </w:p>
    <w:p w14:paraId="01DBACCA" w14:textId="77777777" w:rsidR="00161C17" w:rsidRDefault="00522E81">
      <w:pPr>
        <w:pStyle w:val="TOC2"/>
        <w:rPr>
          <w:rFonts w:asciiTheme="minorHAnsi" w:eastAsiaTheme="minorEastAsia" w:hAnsiTheme="minorHAnsi" w:cstheme="minorBidi"/>
          <w:szCs w:val="22"/>
          <w:lang w:eastAsia="en-AU"/>
        </w:rPr>
      </w:pPr>
      <w:hyperlink w:anchor="_Toc500248418" w:history="1">
        <w:r w:rsidR="00161C17" w:rsidRPr="008F6DF0">
          <w:rPr>
            <w:rStyle w:val="Hyperlink"/>
          </w:rPr>
          <w:t>2.2</w:t>
        </w:r>
        <w:r w:rsidR="00161C17">
          <w:rPr>
            <w:rFonts w:asciiTheme="minorHAnsi" w:eastAsiaTheme="minorEastAsia" w:hAnsiTheme="minorHAnsi" w:cstheme="minorBidi"/>
            <w:szCs w:val="22"/>
            <w:lang w:eastAsia="en-AU"/>
          </w:rPr>
          <w:tab/>
        </w:r>
        <w:r w:rsidR="00161C17" w:rsidRPr="008F6DF0">
          <w:rPr>
            <w:rStyle w:val="Hyperlink"/>
          </w:rPr>
          <w:t>Issue 2</w:t>
        </w:r>
        <w:r w:rsidR="00161C17">
          <w:rPr>
            <w:webHidden/>
          </w:rPr>
          <w:tab/>
        </w:r>
        <w:r w:rsidR="00161C17">
          <w:rPr>
            <w:webHidden/>
          </w:rPr>
          <w:fldChar w:fldCharType="begin"/>
        </w:r>
        <w:r w:rsidR="00161C17">
          <w:rPr>
            <w:webHidden/>
          </w:rPr>
          <w:instrText xml:space="preserve"> PAGEREF _Toc500248418 \h </w:instrText>
        </w:r>
        <w:r w:rsidR="00161C17">
          <w:rPr>
            <w:webHidden/>
          </w:rPr>
        </w:r>
        <w:r w:rsidR="00161C17">
          <w:rPr>
            <w:webHidden/>
          </w:rPr>
          <w:fldChar w:fldCharType="separate"/>
        </w:r>
        <w:r w:rsidR="00314546">
          <w:rPr>
            <w:webHidden/>
          </w:rPr>
          <w:t>3</w:t>
        </w:r>
        <w:r w:rsidR="00161C17">
          <w:rPr>
            <w:webHidden/>
          </w:rPr>
          <w:fldChar w:fldCharType="end"/>
        </w:r>
      </w:hyperlink>
    </w:p>
    <w:p w14:paraId="01DBACCB" w14:textId="77777777" w:rsidR="00161C17" w:rsidRDefault="00522E81">
      <w:pPr>
        <w:pStyle w:val="TOC2"/>
        <w:rPr>
          <w:rFonts w:asciiTheme="minorHAnsi" w:eastAsiaTheme="minorEastAsia" w:hAnsiTheme="minorHAnsi" w:cstheme="minorBidi"/>
          <w:szCs w:val="22"/>
          <w:lang w:eastAsia="en-AU"/>
        </w:rPr>
      </w:pPr>
      <w:hyperlink w:anchor="_Toc500248419" w:history="1">
        <w:r w:rsidR="00161C17" w:rsidRPr="008F6DF0">
          <w:rPr>
            <w:rStyle w:val="Hyperlink"/>
          </w:rPr>
          <w:t>2.3</w:t>
        </w:r>
        <w:r w:rsidR="00161C17">
          <w:rPr>
            <w:rFonts w:asciiTheme="minorHAnsi" w:eastAsiaTheme="minorEastAsia" w:hAnsiTheme="minorHAnsi" w:cstheme="minorBidi"/>
            <w:szCs w:val="22"/>
            <w:lang w:eastAsia="en-AU"/>
          </w:rPr>
          <w:tab/>
        </w:r>
        <w:r w:rsidR="00161C17" w:rsidRPr="008F6DF0">
          <w:rPr>
            <w:rStyle w:val="Hyperlink"/>
          </w:rPr>
          <w:t>Issue 3</w:t>
        </w:r>
        <w:r w:rsidR="00161C17">
          <w:rPr>
            <w:webHidden/>
          </w:rPr>
          <w:tab/>
        </w:r>
        <w:r w:rsidR="00161C17">
          <w:rPr>
            <w:webHidden/>
          </w:rPr>
          <w:fldChar w:fldCharType="begin"/>
        </w:r>
        <w:r w:rsidR="00161C17">
          <w:rPr>
            <w:webHidden/>
          </w:rPr>
          <w:instrText xml:space="preserve"> PAGEREF _Toc500248419 \h </w:instrText>
        </w:r>
        <w:r w:rsidR="00161C17">
          <w:rPr>
            <w:webHidden/>
          </w:rPr>
        </w:r>
        <w:r w:rsidR="00161C17">
          <w:rPr>
            <w:webHidden/>
          </w:rPr>
          <w:fldChar w:fldCharType="separate"/>
        </w:r>
        <w:r w:rsidR="00314546">
          <w:rPr>
            <w:webHidden/>
          </w:rPr>
          <w:t>6</w:t>
        </w:r>
        <w:r w:rsidR="00161C17">
          <w:rPr>
            <w:webHidden/>
          </w:rPr>
          <w:fldChar w:fldCharType="end"/>
        </w:r>
      </w:hyperlink>
    </w:p>
    <w:p w14:paraId="01DBACCC" w14:textId="77777777" w:rsidR="00161C17" w:rsidRDefault="00522E81">
      <w:pPr>
        <w:pStyle w:val="TOC2"/>
        <w:rPr>
          <w:rFonts w:asciiTheme="minorHAnsi" w:eastAsiaTheme="minorEastAsia" w:hAnsiTheme="minorHAnsi" w:cstheme="minorBidi"/>
          <w:szCs w:val="22"/>
          <w:lang w:eastAsia="en-AU"/>
        </w:rPr>
      </w:pPr>
      <w:hyperlink w:anchor="_Toc500248420" w:history="1">
        <w:r w:rsidR="00161C17" w:rsidRPr="008F6DF0">
          <w:rPr>
            <w:rStyle w:val="Hyperlink"/>
          </w:rPr>
          <w:t>2.4</w:t>
        </w:r>
        <w:r w:rsidR="00161C17">
          <w:rPr>
            <w:rFonts w:asciiTheme="minorHAnsi" w:eastAsiaTheme="minorEastAsia" w:hAnsiTheme="minorHAnsi" w:cstheme="minorBidi"/>
            <w:szCs w:val="22"/>
            <w:lang w:eastAsia="en-AU"/>
          </w:rPr>
          <w:tab/>
        </w:r>
        <w:r w:rsidR="00161C17" w:rsidRPr="008F6DF0">
          <w:rPr>
            <w:rStyle w:val="Hyperlink"/>
          </w:rPr>
          <w:t>Issue 4</w:t>
        </w:r>
        <w:r w:rsidR="00161C17">
          <w:rPr>
            <w:webHidden/>
          </w:rPr>
          <w:tab/>
        </w:r>
        <w:r w:rsidR="00161C17">
          <w:rPr>
            <w:webHidden/>
          </w:rPr>
          <w:fldChar w:fldCharType="begin"/>
        </w:r>
        <w:r w:rsidR="00161C17">
          <w:rPr>
            <w:webHidden/>
          </w:rPr>
          <w:instrText xml:space="preserve"> PAGEREF _Toc500248420 \h </w:instrText>
        </w:r>
        <w:r w:rsidR="00161C17">
          <w:rPr>
            <w:webHidden/>
          </w:rPr>
        </w:r>
        <w:r w:rsidR="00161C17">
          <w:rPr>
            <w:webHidden/>
          </w:rPr>
          <w:fldChar w:fldCharType="separate"/>
        </w:r>
        <w:r w:rsidR="00314546">
          <w:rPr>
            <w:webHidden/>
          </w:rPr>
          <w:t>7</w:t>
        </w:r>
        <w:r w:rsidR="00161C17">
          <w:rPr>
            <w:webHidden/>
          </w:rPr>
          <w:fldChar w:fldCharType="end"/>
        </w:r>
      </w:hyperlink>
    </w:p>
    <w:p w14:paraId="01DBACCD" w14:textId="77777777" w:rsidR="00161C17" w:rsidRDefault="00522E81">
      <w:pPr>
        <w:pStyle w:val="TOC2"/>
        <w:rPr>
          <w:rFonts w:asciiTheme="minorHAnsi" w:eastAsiaTheme="minorEastAsia" w:hAnsiTheme="minorHAnsi" w:cstheme="minorBidi"/>
          <w:szCs w:val="22"/>
          <w:lang w:eastAsia="en-AU"/>
        </w:rPr>
      </w:pPr>
      <w:hyperlink w:anchor="_Toc500248421" w:history="1">
        <w:r w:rsidR="00161C17" w:rsidRPr="008F6DF0">
          <w:rPr>
            <w:rStyle w:val="Hyperlink"/>
          </w:rPr>
          <w:t>2.5</w:t>
        </w:r>
        <w:r w:rsidR="00161C17">
          <w:rPr>
            <w:rFonts w:asciiTheme="minorHAnsi" w:eastAsiaTheme="minorEastAsia" w:hAnsiTheme="minorHAnsi" w:cstheme="minorBidi"/>
            <w:szCs w:val="22"/>
            <w:lang w:eastAsia="en-AU"/>
          </w:rPr>
          <w:tab/>
        </w:r>
        <w:r w:rsidR="00161C17" w:rsidRPr="008F6DF0">
          <w:rPr>
            <w:rStyle w:val="Hyperlink"/>
          </w:rPr>
          <w:t>Issue 5</w:t>
        </w:r>
        <w:r w:rsidR="00161C17">
          <w:rPr>
            <w:webHidden/>
          </w:rPr>
          <w:tab/>
        </w:r>
        <w:r w:rsidR="00161C17">
          <w:rPr>
            <w:webHidden/>
          </w:rPr>
          <w:fldChar w:fldCharType="begin"/>
        </w:r>
        <w:r w:rsidR="00161C17">
          <w:rPr>
            <w:webHidden/>
          </w:rPr>
          <w:instrText xml:space="preserve"> PAGEREF _Toc500248421 \h </w:instrText>
        </w:r>
        <w:r w:rsidR="00161C17">
          <w:rPr>
            <w:webHidden/>
          </w:rPr>
        </w:r>
        <w:r w:rsidR="00161C17">
          <w:rPr>
            <w:webHidden/>
          </w:rPr>
          <w:fldChar w:fldCharType="separate"/>
        </w:r>
        <w:r w:rsidR="00314546">
          <w:rPr>
            <w:webHidden/>
          </w:rPr>
          <w:t>10</w:t>
        </w:r>
        <w:r w:rsidR="00161C17">
          <w:rPr>
            <w:webHidden/>
          </w:rPr>
          <w:fldChar w:fldCharType="end"/>
        </w:r>
      </w:hyperlink>
    </w:p>
    <w:p w14:paraId="01DBACCE" w14:textId="77777777" w:rsidR="00161C17" w:rsidRDefault="00522E81">
      <w:pPr>
        <w:pStyle w:val="TOC2"/>
        <w:rPr>
          <w:rFonts w:asciiTheme="minorHAnsi" w:eastAsiaTheme="minorEastAsia" w:hAnsiTheme="minorHAnsi" w:cstheme="minorBidi"/>
          <w:szCs w:val="22"/>
          <w:lang w:eastAsia="en-AU"/>
        </w:rPr>
      </w:pPr>
      <w:hyperlink w:anchor="_Toc500248422" w:history="1">
        <w:r w:rsidR="00161C17" w:rsidRPr="008F6DF0">
          <w:rPr>
            <w:rStyle w:val="Hyperlink"/>
          </w:rPr>
          <w:t>2.6</w:t>
        </w:r>
        <w:r w:rsidR="00161C17">
          <w:rPr>
            <w:rFonts w:asciiTheme="minorHAnsi" w:eastAsiaTheme="minorEastAsia" w:hAnsiTheme="minorHAnsi" w:cstheme="minorBidi"/>
            <w:szCs w:val="22"/>
            <w:lang w:eastAsia="en-AU"/>
          </w:rPr>
          <w:tab/>
        </w:r>
        <w:r w:rsidR="00161C17" w:rsidRPr="008F6DF0">
          <w:rPr>
            <w:rStyle w:val="Hyperlink"/>
          </w:rPr>
          <w:t>Issue 6</w:t>
        </w:r>
        <w:r w:rsidR="00161C17">
          <w:rPr>
            <w:webHidden/>
          </w:rPr>
          <w:tab/>
        </w:r>
        <w:r w:rsidR="00161C17">
          <w:rPr>
            <w:webHidden/>
          </w:rPr>
          <w:fldChar w:fldCharType="begin"/>
        </w:r>
        <w:r w:rsidR="00161C17">
          <w:rPr>
            <w:webHidden/>
          </w:rPr>
          <w:instrText xml:space="preserve"> PAGEREF _Toc500248422 \h </w:instrText>
        </w:r>
        <w:r w:rsidR="00161C17">
          <w:rPr>
            <w:webHidden/>
          </w:rPr>
        </w:r>
        <w:r w:rsidR="00161C17">
          <w:rPr>
            <w:webHidden/>
          </w:rPr>
          <w:fldChar w:fldCharType="separate"/>
        </w:r>
        <w:r w:rsidR="00314546">
          <w:rPr>
            <w:webHidden/>
          </w:rPr>
          <w:t>11</w:t>
        </w:r>
        <w:r w:rsidR="00161C17">
          <w:rPr>
            <w:webHidden/>
          </w:rPr>
          <w:fldChar w:fldCharType="end"/>
        </w:r>
      </w:hyperlink>
    </w:p>
    <w:p w14:paraId="01DBACCF" w14:textId="77777777" w:rsidR="00161C17" w:rsidRDefault="00522E81">
      <w:pPr>
        <w:pStyle w:val="TOC2"/>
        <w:rPr>
          <w:rFonts w:asciiTheme="minorHAnsi" w:eastAsiaTheme="minorEastAsia" w:hAnsiTheme="minorHAnsi" w:cstheme="minorBidi"/>
          <w:szCs w:val="22"/>
          <w:lang w:eastAsia="en-AU"/>
        </w:rPr>
      </w:pPr>
      <w:hyperlink w:anchor="_Toc500248423" w:history="1">
        <w:r w:rsidR="00161C17" w:rsidRPr="008F6DF0">
          <w:rPr>
            <w:rStyle w:val="Hyperlink"/>
          </w:rPr>
          <w:t>2.7</w:t>
        </w:r>
        <w:r w:rsidR="00161C17">
          <w:rPr>
            <w:rFonts w:asciiTheme="minorHAnsi" w:eastAsiaTheme="minorEastAsia" w:hAnsiTheme="minorHAnsi" w:cstheme="minorBidi"/>
            <w:szCs w:val="22"/>
            <w:lang w:eastAsia="en-AU"/>
          </w:rPr>
          <w:tab/>
        </w:r>
        <w:r w:rsidR="00161C17" w:rsidRPr="008F6DF0">
          <w:rPr>
            <w:rStyle w:val="Hyperlink"/>
          </w:rPr>
          <w:t>Additional comments</w:t>
        </w:r>
        <w:r w:rsidR="00161C17">
          <w:rPr>
            <w:webHidden/>
          </w:rPr>
          <w:tab/>
        </w:r>
        <w:r w:rsidR="00161C17">
          <w:rPr>
            <w:webHidden/>
          </w:rPr>
          <w:fldChar w:fldCharType="begin"/>
        </w:r>
        <w:r w:rsidR="00161C17">
          <w:rPr>
            <w:webHidden/>
          </w:rPr>
          <w:instrText xml:space="preserve"> PAGEREF _Toc500248423 \h </w:instrText>
        </w:r>
        <w:r w:rsidR="00161C17">
          <w:rPr>
            <w:webHidden/>
          </w:rPr>
        </w:r>
        <w:r w:rsidR="00161C17">
          <w:rPr>
            <w:webHidden/>
          </w:rPr>
          <w:fldChar w:fldCharType="separate"/>
        </w:r>
        <w:r w:rsidR="00314546">
          <w:rPr>
            <w:webHidden/>
          </w:rPr>
          <w:t>17</w:t>
        </w:r>
        <w:r w:rsidR="00161C17">
          <w:rPr>
            <w:webHidden/>
          </w:rPr>
          <w:fldChar w:fldCharType="end"/>
        </w:r>
      </w:hyperlink>
    </w:p>
    <w:p w14:paraId="01DBACD0" w14:textId="77777777" w:rsidR="001334F9" w:rsidRPr="004F4B82" w:rsidRDefault="00D273E8" w:rsidP="009E264A">
      <w:pPr>
        <w:rPr>
          <w:rFonts w:cs="Segoe UI"/>
        </w:rPr>
      </w:pPr>
      <w:r>
        <w:rPr>
          <w:rFonts w:cs="Segoe UI"/>
          <w:noProof/>
          <w:sz w:val="21"/>
          <w:szCs w:val="24"/>
          <w:lang w:eastAsia="en-AU"/>
        </w:rPr>
        <w:fldChar w:fldCharType="end"/>
      </w:r>
    </w:p>
    <w:p w14:paraId="01DBACD1" w14:textId="77777777" w:rsidR="001334F9" w:rsidRPr="004F4B82" w:rsidRDefault="001334F9" w:rsidP="001334F9">
      <w:pPr>
        <w:rPr>
          <w:rFonts w:cs="Segoe UI"/>
        </w:rPr>
      </w:pPr>
    </w:p>
    <w:p w14:paraId="01DBACD2" w14:textId="77777777" w:rsidR="001334F9" w:rsidRDefault="001334F9" w:rsidP="001334F9">
      <w:pPr>
        <w:sectPr w:rsidR="001334F9" w:rsidSect="00E562BA">
          <w:footerReference w:type="default" r:id="rId13"/>
          <w:pgSz w:w="11906" w:h="16838" w:code="9"/>
          <w:pgMar w:top="1418" w:right="1418" w:bottom="1418" w:left="1418" w:header="567" w:footer="567" w:gutter="0"/>
          <w:pgNumType w:fmt="lowerRoman"/>
          <w:cols w:space="708"/>
          <w:docGrid w:linePitch="360"/>
        </w:sectPr>
      </w:pPr>
    </w:p>
    <w:p w14:paraId="01DBACD3" w14:textId="77777777" w:rsidR="009E264A" w:rsidRPr="009063E0" w:rsidRDefault="009E264A" w:rsidP="00F827E7">
      <w:pPr>
        <w:pStyle w:val="TOCHeading"/>
      </w:pPr>
      <w:r w:rsidRPr="009063E0">
        <w:lastRenderedPageBreak/>
        <w:t>Tables and figures</w:t>
      </w:r>
    </w:p>
    <w:p w14:paraId="01DBACD4" w14:textId="77777777" w:rsidR="009E264A" w:rsidRPr="009063E0" w:rsidRDefault="009E264A" w:rsidP="009E264A">
      <w:pPr>
        <w:pStyle w:val="TOCHeading2"/>
      </w:pPr>
      <w:r w:rsidRPr="009063E0">
        <w:t>Tables</w:t>
      </w:r>
    </w:p>
    <w:p w14:paraId="01DBACD5" w14:textId="77777777" w:rsidR="00161C17" w:rsidRDefault="00306178">
      <w:pPr>
        <w:pStyle w:val="TableofFigures"/>
        <w:rPr>
          <w:rFonts w:asciiTheme="minorHAnsi" w:eastAsiaTheme="minorEastAsia" w:hAnsiTheme="minorHAnsi" w:cstheme="minorBidi"/>
          <w:noProof/>
          <w:color w:val="auto"/>
          <w:szCs w:val="22"/>
        </w:rPr>
      </w:pPr>
      <w:r>
        <w:fldChar w:fldCharType="begin"/>
      </w:r>
      <w:r>
        <w:instrText xml:space="preserve"> TOC \h \z \t "Table Heading" \c </w:instrText>
      </w:r>
      <w:r>
        <w:fldChar w:fldCharType="separate"/>
      </w:r>
      <w:hyperlink w:anchor="_Toc500248424" w:history="1">
        <w:r w:rsidR="00161C17" w:rsidRPr="00E62C33">
          <w:rPr>
            <w:rStyle w:val="Hyperlink"/>
            <w:noProof/>
          </w:rPr>
          <w:t>Table 1.</w:t>
        </w:r>
        <w:r w:rsidR="00161C17">
          <w:rPr>
            <w:rFonts w:asciiTheme="minorHAnsi" w:eastAsiaTheme="minorEastAsia" w:hAnsiTheme="minorHAnsi" w:cstheme="minorBidi"/>
            <w:noProof/>
            <w:color w:val="auto"/>
            <w:szCs w:val="22"/>
          </w:rPr>
          <w:tab/>
        </w:r>
        <w:r w:rsidR="00161C17" w:rsidRPr="00E62C33">
          <w:rPr>
            <w:rStyle w:val="Hyperlink"/>
            <w:noProof/>
          </w:rPr>
          <w:t>Response demographics</w:t>
        </w:r>
        <w:r w:rsidR="00161C17">
          <w:rPr>
            <w:noProof/>
            <w:webHidden/>
          </w:rPr>
          <w:tab/>
        </w:r>
        <w:r w:rsidR="00161C17">
          <w:rPr>
            <w:noProof/>
            <w:webHidden/>
          </w:rPr>
          <w:fldChar w:fldCharType="begin"/>
        </w:r>
        <w:r w:rsidR="00161C17">
          <w:rPr>
            <w:noProof/>
            <w:webHidden/>
          </w:rPr>
          <w:instrText xml:space="preserve"> PAGEREF _Toc500248424 \h </w:instrText>
        </w:r>
        <w:r w:rsidR="00161C17">
          <w:rPr>
            <w:noProof/>
            <w:webHidden/>
          </w:rPr>
        </w:r>
        <w:r w:rsidR="00161C17">
          <w:rPr>
            <w:noProof/>
            <w:webHidden/>
          </w:rPr>
          <w:fldChar w:fldCharType="separate"/>
        </w:r>
        <w:r w:rsidR="00314546">
          <w:rPr>
            <w:noProof/>
            <w:webHidden/>
          </w:rPr>
          <w:t>1</w:t>
        </w:r>
        <w:r w:rsidR="00161C17">
          <w:rPr>
            <w:noProof/>
            <w:webHidden/>
          </w:rPr>
          <w:fldChar w:fldCharType="end"/>
        </w:r>
      </w:hyperlink>
    </w:p>
    <w:p w14:paraId="01DBACD6" w14:textId="77777777" w:rsidR="00161C17" w:rsidRDefault="00522E81">
      <w:pPr>
        <w:pStyle w:val="TableofFigures"/>
        <w:rPr>
          <w:rFonts w:asciiTheme="minorHAnsi" w:eastAsiaTheme="minorEastAsia" w:hAnsiTheme="minorHAnsi" w:cstheme="minorBidi"/>
          <w:noProof/>
          <w:color w:val="auto"/>
          <w:szCs w:val="22"/>
        </w:rPr>
      </w:pPr>
      <w:hyperlink w:anchor="_Toc500248425" w:history="1">
        <w:r w:rsidR="00161C17" w:rsidRPr="00E62C33">
          <w:rPr>
            <w:rStyle w:val="Hyperlink"/>
            <w:noProof/>
          </w:rPr>
          <w:t>Table 2.</w:t>
        </w:r>
        <w:r w:rsidR="00161C17">
          <w:rPr>
            <w:rFonts w:asciiTheme="minorHAnsi" w:eastAsiaTheme="minorEastAsia" w:hAnsiTheme="minorHAnsi" w:cstheme="minorBidi"/>
            <w:noProof/>
            <w:color w:val="auto"/>
            <w:szCs w:val="22"/>
          </w:rPr>
          <w:tab/>
        </w:r>
        <w:r w:rsidR="00161C17" w:rsidRPr="00E62C33">
          <w:rPr>
            <w:rStyle w:val="Hyperlink"/>
            <w:noProof/>
          </w:rPr>
          <w:t>Main themes for Issue 1</w:t>
        </w:r>
        <w:r w:rsidR="00161C17">
          <w:rPr>
            <w:noProof/>
            <w:webHidden/>
          </w:rPr>
          <w:tab/>
        </w:r>
        <w:r w:rsidR="00161C17">
          <w:rPr>
            <w:noProof/>
            <w:webHidden/>
          </w:rPr>
          <w:fldChar w:fldCharType="begin"/>
        </w:r>
        <w:r w:rsidR="00161C17">
          <w:rPr>
            <w:noProof/>
            <w:webHidden/>
          </w:rPr>
          <w:instrText xml:space="preserve"> PAGEREF _Toc500248425 \h </w:instrText>
        </w:r>
        <w:r w:rsidR="00161C17">
          <w:rPr>
            <w:noProof/>
            <w:webHidden/>
          </w:rPr>
        </w:r>
        <w:r w:rsidR="00161C17">
          <w:rPr>
            <w:noProof/>
            <w:webHidden/>
          </w:rPr>
          <w:fldChar w:fldCharType="separate"/>
        </w:r>
        <w:r w:rsidR="00314546">
          <w:rPr>
            <w:noProof/>
            <w:webHidden/>
          </w:rPr>
          <w:t>2</w:t>
        </w:r>
        <w:r w:rsidR="00161C17">
          <w:rPr>
            <w:noProof/>
            <w:webHidden/>
          </w:rPr>
          <w:fldChar w:fldCharType="end"/>
        </w:r>
      </w:hyperlink>
    </w:p>
    <w:p w14:paraId="01DBACD7" w14:textId="77777777" w:rsidR="00161C17" w:rsidRDefault="00522E81">
      <w:pPr>
        <w:pStyle w:val="TableofFigures"/>
        <w:rPr>
          <w:rFonts w:asciiTheme="minorHAnsi" w:eastAsiaTheme="minorEastAsia" w:hAnsiTheme="minorHAnsi" w:cstheme="minorBidi"/>
          <w:noProof/>
          <w:color w:val="auto"/>
          <w:szCs w:val="22"/>
        </w:rPr>
      </w:pPr>
      <w:hyperlink w:anchor="_Toc500248426" w:history="1">
        <w:r w:rsidR="00161C17" w:rsidRPr="00E62C33">
          <w:rPr>
            <w:rStyle w:val="Hyperlink"/>
            <w:noProof/>
          </w:rPr>
          <w:t>Table 3.</w:t>
        </w:r>
        <w:r w:rsidR="00161C17">
          <w:rPr>
            <w:rFonts w:asciiTheme="minorHAnsi" w:eastAsiaTheme="minorEastAsia" w:hAnsiTheme="minorHAnsi" w:cstheme="minorBidi"/>
            <w:noProof/>
            <w:color w:val="auto"/>
            <w:szCs w:val="22"/>
          </w:rPr>
          <w:tab/>
        </w:r>
        <w:r w:rsidR="00161C17" w:rsidRPr="00E62C33">
          <w:rPr>
            <w:rStyle w:val="Hyperlink"/>
            <w:noProof/>
          </w:rPr>
          <w:t>Main themes for Issue 2, Question 2a</w:t>
        </w:r>
        <w:r w:rsidR="00161C17">
          <w:rPr>
            <w:noProof/>
            <w:webHidden/>
          </w:rPr>
          <w:tab/>
        </w:r>
        <w:r w:rsidR="00161C17">
          <w:rPr>
            <w:noProof/>
            <w:webHidden/>
          </w:rPr>
          <w:fldChar w:fldCharType="begin"/>
        </w:r>
        <w:r w:rsidR="00161C17">
          <w:rPr>
            <w:noProof/>
            <w:webHidden/>
          </w:rPr>
          <w:instrText xml:space="preserve"> PAGEREF _Toc500248426 \h </w:instrText>
        </w:r>
        <w:r w:rsidR="00161C17">
          <w:rPr>
            <w:noProof/>
            <w:webHidden/>
          </w:rPr>
        </w:r>
        <w:r w:rsidR="00161C17">
          <w:rPr>
            <w:noProof/>
            <w:webHidden/>
          </w:rPr>
          <w:fldChar w:fldCharType="separate"/>
        </w:r>
        <w:r w:rsidR="00314546">
          <w:rPr>
            <w:noProof/>
            <w:webHidden/>
          </w:rPr>
          <w:t>4</w:t>
        </w:r>
        <w:r w:rsidR="00161C17">
          <w:rPr>
            <w:noProof/>
            <w:webHidden/>
          </w:rPr>
          <w:fldChar w:fldCharType="end"/>
        </w:r>
      </w:hyperlink>
    </w:p>
    <w:p w14:paraId="01DBACD8" w14:textId="77777777" w:rsidR="00161C17" w:rsidRDefault="00522E81">
      <w:pPr>
        <w:pStyle w:val="TableofFigures"/>
        <w:rPr>
          <w:rFonts w:asciiTheme="minorHAnsi" w:eastAsiaTheme="minorEastAsia" w:hAnsiTheme="minorHAnsi" w:cstheme="minorBidi"/>
          <w:noProof/>
          <w:color w:val="auto"/>
          <w:szCs w:val="22"/>
        </w:rPr>
      </w:pPr>
      <w:hyperlink w:anchor="_Toc500248427" w:history="1">
        <w:r w:rsidR="00161C17" w:rsidRPr="00E62C33">
          <w:rPr>
            <w:rStyle w:val="Hyperlink"/>
            <w:noProof/>
          </w:rPr>
          <w:t>Table 4.</w:t>
        </w:r>
        <w:r w:rsidR="00161C17">
          <w:rPr>
            <w:rFonts w:asciiTheme="minorHAnsi" w:eastAsiaTheme="minorEastAsia" w:hAnsiTheme="minorHAnsi" w:cstheme="minorBidi"/>
            <w:noProof/>
            <w:color w:val="auto"/>
            <w:szCs w:val="22"/>
          </w:rPr>
          <w:tab/>
        </w:r>
        <w:r w:rsidR="00161C17" w:rsidRPr="00E62C33">
          <w:rPr>
            <w:rStyle w:val="Hyperlink"/>
            <w:noProof/>
          </w:rPr>
          <w:t>Main themes for Issue 2, Question 2b</w:t>
        </w:r>
        <w:r w:rsidR="00161C17">
          <w:rPr>
            <w:noProof/>
            <w:webHidden/>
          </w:rPr>
          <w:tab/>
        </w:r>
        <w:r w:rsidR="00161C17">
          <w:rPr>
            <w:noProof/>
            <w:webHidden/>
          </w:rPr>
          <w:fldChar w:fldCharType="begin"/>
        </w:r>
        <w:r w:rsidR="00161C17">
          <w:rPr>
            <w:noProof/>
            <w:webHidden/>
          </w:rPr>
          <w:instrText xml:space="preserve"> PAGEREF _Toc500248427 \h </w:instrText>
        </w:r>
        <w:r w:rsidR="00161C17">
          <w:rPr>
            <w:noProof/>
            <w:webHidden/>
          </w:rPr>
        </w:r>
        <w:r w:rsidR="00161C17">
          <w:rPr>
            <w:noProof/>
            <w:webHidden/>
          </w:rPr>
          <w:fldChar w:fldCharType="separate"/>
        </w:r>
        <w:r w:rsidR="00314546">
          <w:rPr>
            <w:noProof/>
            <w:webHidden/>
          </w:rPr>
          <w:t>5</w:t>
        </w:r>
        <w:r w:rsidR="00161C17">
          <w:rPr>
            <w:noProof/>
            <w:webHidden/>
          </w:rPr>
          <w:fldChar w:fldCharType="end"/>
        </w:r>
      </w:hyperlink>
    </w:p>
    <w:p w14:paraId="01DBACD9" w14:textId="77777777" w:rsidR="00161C17" w:rsidRDefault="00522E81">
      <w:pPr>
        <w:pStyle w:val="TableofFigures"/>
        <w:rPr>
          <w:rFonts w:asciiTheme="minorHAnsi" w:eastAsiaTheme="minorEastAsia" w:hAnsiTheme="minorHAnsi" w:cstheme="minorBidi"/>
          <w:noProof/>
          <w:color w:val="auto"/>
          <w:szCs w:val="22"/>
        </w:rPr>
      </w:pPr>
      <w:hyperlink w:anchor="_Toc500248428" w:history="1">
        <w:r w:rsidR="00161C17" w:rsidRPr="00E62C33">
          <w:rPr>
            <w:rStyle w:val="Hyperlink"/>
            <w:noProof/>
          </w:rPr>
          <w:t>Table 5.</w:t>
        </w:r>
        <w:r w:rsidR="00161C17">
          <w:rPr>
            <w:rFonts w:asciiTheme="minorHAnsi" w:eastAsiaTheme="minorEastAsia" w:hAnsiTheme="minorHAnsi" w:cstheme="minorBidi"/>
            <w:noProof/>
            <w:color w:val="auto"/>
            <w:szCs w:val="22"/>
          </w:rPr>
          <w:tab/>
        </w:r>
        <w:r w:rsidR="00161C17" w:rsidRPr="00E62C33">
          <w:rPr>
            <w:rStyle w:val="Hyperlink"/>
            <w:noProof/>
          </w:rPr>
          <w:t>Main themes for Issue 3</w:t>
        </w:r>
        <w:r w:rsidR="00161C17">
          <w:rPr>
            <w:noProof/>
            <w:webHidden/>
          </w:rPr>
          <w:tab/>
        </w:r>
        <w:r w:rsidR="00161C17">
          <w:rPr>
            <w:noProof/>
            <w:webHidden/>
          </w:rPr>
          <w:fldChar w:fldCharType="begin"/>
        </w:r>
        <w:r w:rsidR="00161C17">
          <w:rPr>
            <w:noProof/>
            <w:webHidden/>
          </w:rPr>
          <w:instrText xml:space="preserve"> PAGEREF _Toc500248428 \h </w:instrText>
        </w:r>
        <w:r w:rsidR="00161C17">
          <w:rPr>
            <w:noProof/>
            <w:webHidden/>
          </w:rPr>
        </w:r>
        <w:r w:rsidR="00161C17">
          <w:rPr>
            <w:noProof/>
            <w:webHidden/>
          </w:rPr>
          <w:fldChar w:fldCharType="separate"/>
        </w:r>
        <w:r w:rsidR="00314546">
          <w:rPr>
            <w:noProof/>
            <w:webHidden/>
          </w:rPr>
          <w:t>6</w:t>
        </w:r>
        <w:r w:rsidR="00161C17">
          <w:rPr>
            <w:noProof/>
            <w:webHidden/>
          </w:rPr>
          <w:fldChar w:fldCharType="end"/>
        </w:r>
      </w:hyperlink>
    </w:p>
    <w:p w14:paraId="01DBACDA" w14:textId="77777777" w:rsidR="00161C17" w:rsidRDefault="00522E81">
      <w:pPr>
        <w:pStyle w:val="TableofFigures"/>
        <w:rPr>
          <w:rFonts w:asciiTheme="minorHAnsi" w:eastAsiaTheme="minorEastAsia" w:hAnsiTheme="minorHAnsi" w:cstheme="minorBidi"/>
          <w:noProof/>
          <w:color w:val="auto"/>
          <w:szCs w:val="22"/>
        </w:rPr>
      </w:pPr>
      <w:hyperlink w:anchor="_Toc500248429" w:history="1">
        <w:r w:rsidR="00161C17" w:rsidRPr="00E62C33">
          <w:rPr>
            <w:rStyle w:val="Hyperlink"/>
            <w:noProof/>
          </w:rPr>
          <w:t>Table 6.</w:t>
        </w:r>
        <w:r w:rsidR="00161C17">
          <w:rPr>
            <w:rFonts w:asciiTheme="minorHAnsi" w:eastAsiaTheme="minorEastAsia" w:hAnsiTheme="minorHAnsi" w:cstheme="minorBidi"/>
            <w:noProof/>
            <w:color w:val="auto"/>
            <w:szCs w:val="22"/>
          </w:rPr>
          <w:tab/>
        </w:r>
        <w:r w:rsidR="00161C17" w:rsidRPr="00E62C33">
          <w:rPr>
            <w:rStyle w:val="Hyperlink"/>
            <w:noProof/>
          </w:rPr>
          <w:t>Main themes for Issue 4, Question 4a</w:t>
        </w:r>
        <w:r w:rsidR="00161C17">
          <w:rPr>
            <w:noProof/>
            <w:webHidden/>
          </w:rPr>
          <w:tab/>
        </w:r>
        <w:r w:rsidR="00161C17">
          <w:rPr>
            <w:noProof/>
            <w:webHidden/>
          </w:rPr>
          <w:fldChar w:fldCharType="begin"/>
        </w:r>
        <w:r w:rsidR="00161C17">
          <w:rPr>
            <w:noProof/>
            <w:webHidden/>
          </w:rPr>
          <w:instrText xml:space="preserve"> PAGEREF _Toc500248429 \h </w:instrText>
        </w:r>
        <w:r w:rsidR="00161C17">
          <w:rPr>
            <w:noProof/>
            <w:webHidden/>
          </w:rPr>
        </w:r>
        <w:r w:rsidR="00161C17">
          <w:rPr>
            <w:noProof/>
            <w:webHidden/>
          </w:rPr>
          <w:fldChar w:fldCharType="separate"/>
        </w:r>
        <w:r w:rsidR="00314546">
          <w:rPr>
            <w:noProof/>
            <w:webHidden/>
          </w:rPr>
          <w:t>8</w:t>
        </w:r>
        <w:r w:rsidR="00161C17">
          <w:rPr>
            <w:noProof/>
            <w:webHidden/>
          </w:rPr>
          <w:fldChar w:fldCharType="end"/>
        </w:r>
      </w:hyperlink>
    </w:p>
    <w:p w14:paraId="01DBACDB" w14:textId="77777777" w:rsidR="00161C17" w:rsidRDefault="00522E81">
      <w:pPr>
        <w:pStyle w:val="TableofFigures"/>
        <w:rPr>
          <w:rFonts w:asciiTheme="minorHAnsi" w:eastAsiaTheme="minorEastAsia" w:hAnsiTheme="minorHAnsi" w:cstheme="minorBidi"/>
          <w:noProof/>
          <w:color w:val="auto"/>
          <w:szCs w:val="22"/>
        </w:rPr>
      </w:pPr>
      <w:hyperlink w:anchor="_Toc500248430" w:history="1">
        <w:r w:rsidR="00161C17" w:rsidRPr="00E62C33">
          <w:rPr>
            <w:rStyle w:val="Hyperlink"/>
            <w:noProof/>
          </w:rPr>
          <w:t>Table 7.</w:t>
        </w:r>
        <w:r w:rsidR="00161C17">
          <w:rPr>
            <w:rFonts w:asciiTheme="minorHAnsi" w:eastAsiaTheme="minorEastAsia" w:hAnsiTheme="minorHAnsi" w:cstheme="minorBidi"/>
            <w:noProof/>
            <w:color w:val="auto"/>
            <w:szCs w:val="22"/>
          </w:rPr>
          <w:tab/>
        </w:r>
        <w:r w:rsidR="00161C17" w:rsidRPr="00E62C33">
          <w:rPr>
            <w:rStyle w:val="Hyperlink"/>
            <w:noProof/>
          </w:rPr>
          <w:t>Main themes for Issue 4, Question 4b</w:t>
        </w:r>
        <w:r w:rsidR="00161C17">
          <w:rPr>
            <w:noProof/>
            <w:webHidden/>
          </w:rPr>
          <w:tab/>
        </w:r>
        <w:r w:rsidR="00161C17">
          <w:rPr>
            <w:noProof/>
            <w:webHidden/>
          </w:rPr>
          <w:fldChar w:fldCharType="begin"/>
        </w:r>
        <w:r w:rsidR="00161C17">
          <w:rPr>
            <w:noProof/>
            <w:webHidden/>
          </w:rPr>
          <w:instrText xml:space="preserve"> PAGEREF _Toc500248430 \h </w:instrText>
        </w:r>
        <w:r w:rsidR="00161C17">
          <w:rPr>
            <w:noProof/>
            <w:webHidden/>
          </w:rPr>
        </w:r>
        <w:r w:rsidR="00161C17">
          <w:rPr>
            <w:noProof/>
            <w:webHidden/>
          </w:rPr>
          <w:fldChar w:fldCharType="separate"/>
        </w:r>
        <w:r w:rsidR="00314546">
          <w:rPr>
            <w:noProof/>
            <w:webHidden/>
          </w:rPr>
          <w:t>9</w:t>
        </w:r>
        <w:r w:rsidR="00161C17">
          <w:rPr>
            <w:noProof/>
            <w:webHidden/>
          </w:rPr>
          <w:fldChar w:fldCharType="end"/>
        </w:r>
      </w:hyperlink>
    </w:p>
    <w:p w14:paraId="01DBACDC" w14:textId="77777777" w:rsidR="00161C17" w:rsidRDefault="00522E81">
      <w:pPr>
        <w:pStyle w:val="TableofFigures"/>
        <w:rPr>
          <w:rFonts w:asciiTheme="minorHAnsi" w:eastAsiaTheme="minorEastAsia" w:hAnsiTheme="minorHAnsi" w:cstheme="minorBidi"/>
          <w:noProof/>
          <w:color w:val="auto"/>
          <w:szCs w:val="22"/>
        </w:rPr>
      </w:pPr>
      <w:hyperlink w:anchor="_Toc500248431" w:history="1">
        <w:r w:rsidR="00161C17" w:rsidRPr="00E62C33">
          <w:rPr>
            <w:rStyle w:val="Hyperlink"/>
            <w:noProof/>
          </w:rPr>
          <w:t>Table 8.</w:t>
        </w:r>
        <w:r w:rsidR="00161C17">
          <w:rPr>
            <w:rFonts w:asciiTheme="minorHAnsi" w:eastAsiaTheme="minorEastAsia" w:hAnsiTheme="minorHAnsi" w:cstheme="minorBidi"/>
            <w:noProof/>
            <w:color w:val="auto"/>
            <w:szCs w:val="22"/>
          </w:rPr>
          <w:tab/>
        </w:r>
        <w:r w:rsidR="00161C17" w:rsidRPr="00E62C33">
          <w:rPr>
            <w:rStyle w:val="Hyperlink"/>
            <w:noProof/>
          </w:rPr>
          <w:t>Main themes for Issue 5</w:t>
        </w:r>
        <w:r w:rsidR="00161C17">
          <w:rPr>
            <w:noProof/>
            <w:webHidden/>
          </w:rPr>
          <w:tab/>
        </w:r>
        <w:r w:rsidR="00161C17">
          <w:rPr>
            <w:noProof/>
            <w:webHidden/>
          </w:rPr>
          <w:fldChar w:fldCharType="begin"/>
        </w:r>
        <w:r w:rsidR="00161C17">
          <w:rPr>
            <w:noProof/>
            <w:webHidden/>
          </w:rPr>
          <w:instrText xml:space="preserve"> PAGEREF _Toc500248431 \h </w:instrText>
        </w:r>
        <w:r w:rsidR="00161C17">
          <w:rPr>
            <w:noProof/>
            <w:webHidden/>
          </w:rPr>
        </w:r>
        <w:r w:rsidR="00161C17">
          <w:rPr>
            <w:noProof/>
            <w:webHidden/>
          </w:rPr>
          <w:fldChar w:fldCharType="separate"/>
        </w:r>
        <w:r w:rsidR="00314546">
          <w:rPr>
            <w:noProof/>
            <w:webHidden/>
          </w:rPr>
          <w:t>10</w:t>
        </w:r>
        <w:r w:rsidR="00161C17">
          <w:rPr>
            <w:noProof/>
            <w:webHidden/>
          </w:rPr>
          <w:fldChar w:fldCharType="end"/>
        </w:r>
      </w:hyperlink>
    </w:p>
    <w:p w14:paraId="01DBACDD" w14:textId="77777777" w:rsidR="00161C17" w:rsidRDefault="00522E81">
      <w:pPr>
        <w:pStyle w:val="TableofFigures"/>
        <w:rPr>
          <w:rFonts w:asciiTheme="minorHAnsi" w:eastAsiaTheme="minorEastAsia" w:hAnsiTheme="minorHAnsi" w:cstheme="minorBidi"/>
          <w:noProof/>
          <w:color w:val="auto"/>
          <w:szCs w:val="22"/>
        </w:rPr>
      </w:pPr>
      <w:hyperlink w:anchor="_Toc500248432" w:history="1">
        <w:r w:rsidR="00161C17" w:rsidRPr="00E62C33">
          <w:rPr>
            <w:rStyle w:val="Hyperlink"/>
            <w:noProof/>
          </w:rPr>
          <w:t>Table 9.</w:t>
        </w:r>
        <w:r w:rsidR="00161C17">
          <w:rPr>
            <w:rFonts w:asciiTheme="minorHAnsi" w:eastAsiaTheme="minorEastAsia" w:hAnsiTheme="minorHAnsi" w:cstheme="minorBidi"/>
            <w:noProof/>
            <w:color w:val="auto"/>
            <w:szCs w:val="22"/>
          </w:rPr>
          <w:tab/>
        </w:r>
        <w:r w:rsidR="00161C17" w:rsidRPr="00E62C33">
          <w:rPr>
            <w:rStyle w:val="Hyperlink"/>
            <w:noProof/>
          </w:rPr>
          <w:t>Main themes for Issue 6, Question 6a</w:t>
        </w:r>
        <w:r w:rsidR="00161C17">
          <w:rPr>
            <w:noProof/>
            <w:webHidden/>
          </w:rPr>
          <w:tab/>
        </w:r>
        <w:r w:rsidR="00161C17">
          <w:rPr>
            <w:noProof/>
            <w:webHidden/>
          </w:rPr>
          <w:fldChar w:fldCharType="begin"/>
        </w:r>
        <w:r w:rsidR="00161C17">
          <w:rPr>
            <w:noProof/>
            <w:webHidden/>
          </w:rPr>
          <w:instrText xml:space="preserve"> PAGEREF _Toc500248432 \h </w:instrText>
        </w:r>
        <w:r w:rsidR="00161C17">
          <w:rPr>
            <w:noProof/>
            <w:webHidden/>
          </w:rPr>
        </w:r>
        <w:r w:rsidR="00161C17">
          <w:rPr>
            <w:noProof/>
            <w:webHidden/>
          </w:rPr>
          <w:fldChar w:fldCharType="separate"/>
        </w:r>
        <w:r w:rsidR="00314546">
          <w:rPr>
            <w:noProof/>
            <w:webHidden/>
          </w:rPr>
          <w:t>12</w:t>
        </w:r>
        <w:r w:rsidR="00161C17">
          <w:rPr>
            <w:noProof/>
            <w:webHidden/>
          </w:rPr>
          <w:fldChar w:fldCharType="end"/>
        </w:r>
      </w:hyperlink>
    </w:p>
    <w:p w14:paraId="01DBACDE" w14:textId="77777777" w:rsidR="00161C17" w:rsidRDefault="00522E81">
      <w:pPr>
        <w:pStyle w:val="TableofFigures"/>
        <w:rPr>
          <w:rFonts w:asciiTheme="minorHAnsi" w:eastAsiaTheme="minorEastAsia" w:hAnsiTheme="minorHAnsi" w:cstheme="minorBidi"/>
          <w:noProof/>
          <w:color w:val="auto"/>
          <w:szCs w:val="22"/>
        </w:rPr>
      </w:pPr>
      <w:hyperlink w:anchor="_Toc500248433" w:history="1">
        <w:r w:rsidR="00161C17" w:rsidRPr="00E62C33">
          <w:rPr>
            <w:rStyle w:val="Hyperlink"/>
            <w:noProof/>
          </w:rPr>
          <w:t>Table 10.</w:t>
        </w:r>
        <w:r w:rsidR="00161C17">
          <w:rPr>
            <w:rFonts w:asciiTheme="minorHAnsi" w:eastAsiaTheme="minorEastAsia" w:hAnsiTheme="minorHAnsi" w:cstheme="minorBidi"/>
            <w:noProof/>
            <w:color w:val="auto"/>
            <w:szCs w:val="22"/>
          </w:rPr>
          <w:tab/>
        </w:r>
        <w:r w:rsidR="00161C17" w:rsidRPr="00E62C33">
          <w:rPr>
            <w:rStyle w:val="Hyperlink"/>
            <w:noProof/>
          </w:rPr>
          <w:t>Main themes for Issue 6, Question 6b Part 2</w:t>
        </w:r>
        <w:r w:rsidR="00161C17">
          <w:rPr>
            <w:noProof/>
            <w:webHidden/>
          </w:rPr>
          <w:tab/>
        </w:r>
        <w:r w:rsidR="00161C17">
          <w:rPr>
            <w:noProof/>
            <w:webHidden/>
          </w:rPr>
          <w:fldChar w:fldCharType="begin"/>
        </w:r>
        <w:r w:rsidR="00161C17">
          <w:rPr>
            <w:noProof/>
            <w:webHidden/>
          </w:rPr>
          <w:instrText xml:space="preserve"> PAGEREF _Toc500248433 \h </w:instrText>
        </w:r>
        <w:r w:rsidR="00161C17">
          <w:rPr>
            <w:noProof/>
            <w:webHidden/>
          </w:rPr>
        </w:r>
        <w:r w:rsidR="00161C17">
          <w:rPr>
            <w:noProof/>
            <w:webHidden/>
          </w:rPr>
          <w:fldChar w:fldCharType="separate"/>
        </w:r>
        <w:r w:rsidR="00314546">
          <w:rPr>
            <w:noProof/>
            <w:webHidden/>
          </w:rPr>
          <w:t>14</w:t>
        </w:r>
        <w:r w:rsidR="00161C17">
          <w:rPr>
            <w:noProof/>
            <w:webHidden/>
          </w:rPr>
          <w:fldChar w:fldCharType="end"/>
        </w:r>
      </w:hyperlink>
    </w:p>
    <w:p w14:paraId="01DBACDF" w14:textId="77777777" w:rsidR="00161C17" w:rsidRDefault="00522E81">
      <w:pPr>
        <w:pStyle w:val="TableofFigures"/>
        <w:rPr>
          <w:rFonts w:asciiTheme="minorHAnsi" w:eastAsiaTheme="minorEastAsia" w:hAnsiTheme="minorHAnsi" w:cstheme="minorBidi"/>
          <w:noProof/>
          <w:color w:val="auto"/>
          <w:szCs w:val="22"/>
        </w:rPr>
      </w:pPr>
      <w:hyperlink w:anchor="_Toc500248434" w:history="1">
        <w:r w:rsidR="00161C17" w:rsidRPr="00E62C33">
          <w:rPr>
            <w:rStyle w:val="Hyperlink"/>
            <w:noProof/>
          </w:rPr>
          <w:t>Table 11.</w:t>
        </w:r>
        <w:r w:rsidR="00161C17">
          <w:rPr>
            <w:rFonts w:asciiTheme="minorHAnsi" w:eastAsiaTheme="minorEastAsia" w:hAnsiTheme="minorHAnsi" w:cstheme="minorBidi"/>
            <w:noProof/>
            <w:color w:val="auto"/>
            <w:szCs w:val="22"/>
          </w:rPr>
          <w:tab/>
        </w:r>
        <w:r w:rsidR="00161C17" w:rsidRPr="00E62C33">
          <w:rPr>
            <w:rStyle w:val="Hyperlink"/>
            <w:noProof/>
          </w:rPr>
          <w:t>Main themes for Issue 6, Question 6c</w:t>
        </w:r>
        <w:r w:rsidR="00161C17">
          <w:rPr>
            <w:noProof/>
            <w:webHidden/>
          </w:rPr>
          <w:tab/>
        </w:r>
        <w:r w:rsidR="00161C17">
          <w:rPr>
            <w:noProof/>
            <w:webHidden/>
          </w:rPr>
          <w:fldChar w:fldCharType="begin"/>
        </w:r>
        <w:r w:rsidR="00161C17">
          <w:rPr>
            <w:noProof/>
            <w:webHidden/>
          </w:rPr>
          <w:instrText xml:space="preserve"> PAGEREF _Toc500248434 \h </w:instrText>
        </w:r>
        <w:r w:rsidR="00161C17">
          <w:rPr>
            <w:noProof/>
            <w:webHidden/>
          </w:rPr>
        </w:r>
        <w:r w:rsidR="00161C17">
          <w:rPr>
            <w:noProof/>
            <w:webHidden/>
          </w:rPr>
          <w:fldChar w:fldCharType="separate"/>
        </w:r>
        <w:r w:rsidR="00314546">
          <w:rPr>
            <w:noProof/>
            <w:webHidden/>
          </w:rPr>
          <w:t>15</w:t>
        </w:r>
        <w:r w:rsidR="00161C17">
          <w:rPr>
            <w:noProof/>
            <w:webHidden/>
          </w:rPr>
          <w:fldChar w:fldCharType="end"/>
        </w:r>
      </w:hyperlink>
    </w:p>
    <w:p w14:paraId="01DBACE0" w14:textId="77777777" w:rsidR="00161C17" w:rsidRDefault="00522E81">
      <w:pPr>
        <w:pStyle w:val="TableofFigures"/>
        <w:rPr>
          <w:rFonts w:asciiTheme="minorHAnsi" w:eastAsiaTheme="minorEastAsia" w:hAnsiTheme="minorHAnsi" w:cstheme="minorBidi"/>
          <w:noProof/>
          <w:color w:val="auto"/>
          <w:szCs w:val="22"/>
        </w:rPr>
      </w:pPr>
      <w:hyperlink w:anchor="_Toc500248435" w:history="1">
        <w:r w:rsidR="00161C17" w:rsidRPr="00E62C33">
          <w:rPr>
            <w:rStyle w:val="Hyperlink"/>
            <w:noProof/>
          </w:rPr>
          <w:t>Table 12.</w:t>
        </w:r>
        <w:r w:rsidR="00161C17">
          <w:rPr>
            <w:rFonts w:asciiTheme="minorHAnsi" w:eastAsiaTheme="minorEastAsia" w:hAnsiTheme="minorHAnsi" w:cstheme="minorBidi"/>
            <w:noProof/>
            <w:color w:val="auto"/>
            <w:szCs w:val="22"/>
          </w:rPr>
          <w:tab/>
        </w:r>
        <w:r w:rsidR="00161C17" w:rsidRPr="00E62C33">
          <w:rPr>
            <w:rStyle w:val="Hyperlink"/>
            <w:noProof/>
          </w:rPr>
          <w:t>Main themes for Issue 6, Question 6d</w:t>
        </w:r>
        <w:r w:rsidR="00161C17">
          <w:rPr>
            <w:noProof/>
            <w:webHidden/>
          </w:rPr>
          <w:tab/>
        </w:r>
        <w:r w:rsidR="00161C17">
          <w:rPr>
            <w:noProof/>
            <w:webHidden/>
          </w:rPr>
          <w:fldChar w:fldCharType="begin"/>
        </w:r>
        <w:r w:rsidR="00161C17">
          <w:rPr>
            <w:noProof/>
            <w:webHidden/>
          </w:rPr>
          <w:instrText xml:space="preserve"> PAGEREF _Toc500248435 \h </w:instrText>
        </w:r>
        <w:r w:rsidR="00161C17">
          <w:rPr>
            <w:noProof/>
            <w:webHidden/>
          </w:rPr>
        </w:r>
        <w:r w:rsidR="00161C17">
          <w:rPr>
            <w:noProof/>
            <w:webHidden/>
          </w:rPr>
          <w:fldChar w:fldCharType="separate"/>
        </w:r>
        <w:r w:rsidR="00314546">
          <w:rPr>
            <w:noProof/>
            <w:webHidden/>
          </w:rPr>
          <w:t>16</w:t>
        </w:r>
        <w:r w:rsidR="00161C17">
          <w:rPr>
            <w:noProof/>
            <w:webHidden/>
          </w:rPr>
          <w:fldChar w:fldCharType="end"/>
        </w:r>
      </w:hyperlink>
    </w:p>
    <w:p w14:paraId="01DBACE1" w14:textId="77777777" w:rsidR="00161C17" w:rsidRDefault="00522E81">
      <w:pPr>
        <w:pStyle w:val="TableofFigures"/>
        <w:rPr>
          <w:rFonts w:asciiTheme="minorHAnsi" w:eastAsiaTheme="minorEastAsia" w:hAnsiTheme="minorHAnsi" w:cstheme="minorBidi"/>
          <w:noProof/>
          <w:color w:val="auto"/>
          <w:szCs w:val="22"/>
        </w:rPr>
      </w:pPr>
      <w:hyperlink w:anchor="_Toc500248436" w:history="1">
        <w:r w:rsidR="00161C17" w:rsidRPr="00E62C33">
          <w:rPr>
            <w:rStyle w:val="Hyperlink"/>
            <w:noProof/>
          </w:rPr>
          <w:t>Table 13.</w:t>
        </w:r>
        <w:r w:rsidR="00161C17">
          <w:rPr>
            <w:rFonts w:asciiTheme="minorHAnsi" w:eastAsiaTheme="minorEastAsia" w:hAnsiTheme="minorHAnsi" w:cstheme="minorBidi"/>
            <w:noProof/>
            <w:color w:val="auto"/>
            <w:szCs w:val="22"/>
          </w:rPr>
          <w:tab/>
        </w:r>
        <w:r w:rsidR="00161C17" w:rsidRPr="00E62C33">
          <w:rPr>
            <w:rStyle w:val="Hyperlink"/>
            <w:noProof/>
          </w:rPr>
          <w:t>Main themes for Issue 6, Question 6e</w:t>
        </w:r>
        <w:r w:rsidR="00161C17">
          <w:rPr>
            <w:noProof/>
            <w:webHidden/>
          </w:rPr>
          <w:tab/>
        </w:r>
        <w:r w:rsidR="00161C17">
          <w:rPr>
            <w:noProof/>
            <w:webHidden/>
          </w:rPr>
          <w:fldChar w:fldCharType="begin"/>
        </w:r>
        <w:r w:rsidR="00161C17">
          <w:rPr>
            <w:noProof/>
            <w:webHidden/>
          </w:rPr>
          <w:instrText xml:space="preserve"> PAGEREF _Toc500248436 \h </w:instrText>
        </w:r>
        <w:r w:rsidR="00161C17">
          <w:rPr>
            <w:noProof/>
            <w:webHidden/>
          </w:rPr>
        </w:r>
        <w:r w:rsidR="00161C17">
          <w:rPr>
            <w:noProof/>
            <w:webHidden/>
          </w:rPr>
          <w:fldChar w:fldCharType="separate"/>
        </w:r>
        <w:r w:rsidR="00314546">
          <w:rPr>
            <w:noProof/>
            <w:webHidden/>
          </w:rPr>
          <w:t>16</w:t>
        </w:r>
        <w:r w:rsidR="00161C17">
          <w:rPr>
            <w:noProof/>
            <w:webHidden/>
          </w:rPr>
          <w:fldChar w:fldCharType="end"/>
        </w:r>
      </w:hyperlink>
    </w:p>
    <w:p w14:paraId="01DBACE2" w14:textId="77777777" w:rsidR="00161C17" w:rsidRDefault="00522E81">
      <w:pPr>
        <w:pStyle w:val="TableofFigures"/>
        <w:rPr>
          <w:rFonts w:asciiTheme="minorHAnsi" w:eastAsiaTheme="minorEastAsia" w:hAnsiTheme="minorHAnsi" w:cstheme="minorBidi"/>
          <w:noProof/>
          <w:color w:val="auto"/>
          <w:szCs w:val="22"/>
        </w:rPr>
      </w:pPr>
      <w:hyperlink w:anchor="_Toc500248437" w:history="1">
        <w:r w:rsidR="00161C17" w:rsidRPr="00E62C33">
          <w:rPr>
            <w:rStyle w:val="Hyperlink"/>
            <w:noProof/>
          </w:rPr>
          <w:t>Table 14.</w:t>
        </w:r>
        <w:r w:rsidR="00161C17">
          <w:rPr>
            <w:rFonts w:asciiTheme="minorHAnsi" w:eastAsiaTheme="minorEastAsia" w:hAnsiTheme="minorHAnsi" w:cstheme="minorBidi"/>
            <w:noProof/>
            <w:color w:val="auto"/>
            <w:szCs w:val="22"/>
          </w:rPr>
          <w:tab/>
        </w:r>
        <w:r w:rsidR="00161C17" w:rsidRPr="00E62C33">
          <w:rPr>
            <w:rStyle w:val="Hyperlink"/>
            <w:noProof/>
          </w:rPr>
          <w:t>Main themes from Additional Comments</w:t>
        </w:r>
        <w:r w:rsidR="00161C17">
          <w:rPr>
            <w:noProof/>
            <w:webHidden/>
          </w:rPr>
          <w:tab/>
        </w:r>
        <w:r w:rsidR="00161C17">
          <w:rPr>
            <w:noProof/>
            <w:webHidden/>
          </w:rPr>
          <w:fldChar w:fldCharType="begin"/>
        </w:r>
        <w:r w:rsidR="00161C17">
          <w:rPr>
            <w:noProof/>
            <w:webHidden/>
          </w:rPr>
          <w:instrText xml:space="preserve"> PAGEREF _Toc500248437 \h </w:instrText>
        </w:r>
        <w:r w:rsidR="00161C17">
          <w:rPr>
            <w:noProof/>
            <w:webHidden/>
          </w:rPr>
        </w:r>
        <w:r w:rsidR="00161C17">
          <w:rPr>
            <w:noProof/>
            <w:webHidden/>
          </w:rPr>
          <w:fldChar w:fldCharType="separate"/>
        </w:r>
        <w:r w:rsidR="00314546">
          <w:rPr>
            <w:noProof/>
            <w:webHidden/>
          </w:rPr>
          <w:t>17</w:t>
        </w:r>
        <w:r w:rsidR="00161C17">
          <w:rPr>
            <w:noProof/>
            <w:webHidden/>
          </w:rPr>
          <w:fldChar w:fldCharType="end"/>
        </w:r>
      </w:hyperlink>
    </w:p>
    <w:p w14:paraId="01DBACE3" w14:textId="77777777" w:rsidR="00306178" w:rsidRDefault="00306178" w:rsidP="00BA18FA">
      <w:pPr>
        <w:rPr>
          <w:noProof/>
          <w:lang w:val="en-US" w:eastAsia="en-AU"/>
        </w:rPr>
      </w:pPr>
      <w:r>
        <w:rPr>
          <w:noProof/>
          <w:lang w:val="en-US" w:eastAsia="en-AU"/>
        </w:rPr>
        <w:fldChar w:fldCharType="end"/>
      </w:r>
    </w:p>
    <w:p w14:paraId="01DBACE4" w14:textId="77777777" w:rsidR="00EA3B2F" w:rsidRDefault="00EA3B2F" w:rsidP="001E778E">
      <w:pPr>
        <w:pStyle w:val="GeneralHeading"/>
        <w:spacing w:after="240"/>
      </w:pPr>
      <w:bookmarkStart w:id="0" w:name="_Toc500248413"/>
      <w:r>
        <w:lastRenderedPageBreak/>
        <w:t>Executive Summary</w:t>
      </w:r>
      <w:bookmarkEnd w:id="0"/>
    </w:p>
    <w:p w14:paraId="01DBACE5" w14:textId="77777777" w:rsidR="00CF6632" w:rsidRDefault="00A047DA" w:rsidP="00A047DA">
      <w:pPr>
        <w:rPr>
          <w:lang w:val="en"/>
        </w:rPr>
      </w:pPr>
      <w:r w:rsidRPr="003A0734">
        <w:rPr>
          <w:lang w:val="en"/>
        </w:rPr>
        <w:t xml:space="preserve">The Australian Government is investing more than $1 billion in the </w:t>
      </w:r>
      <w:r>
        <w:rPr>
          <w:lang w:val="en"/>
        </w:rPr>
        <w:t>National Landcare Program</w:t>
      </w:r>
      <w:r w:rsidR="009722B9">
        <w:rPr>
          <w:lang w:val="en"/>
        </w:rPr>
        <w:t xml:space="preserve"> Phase 2</w:t>
      </w:r>
      <w:r>
        <w:rPr>
          <w:lang w:val="en"/>
        </w:rPr>
        <w:t xml:space="preserve">, which will be </w:t>
      </w:r>
      <w:r w:rsidRPr="003A0734">
        <w:rPr>
          <w:lang w:val="en"/>
        </w:rPr>
        <w:t>delivered by the Department of the Environment and Energy and the Department of Agriculture and Water Resources</w:t>
      </w:r>
      <w:r>
        <w:rPr>
          <w:lang w:val="en"/>
        </w:rPr>
        <w:t xml:space="preserve">. </w:t>
      </w:r>
      <w:r w:rsidRPr="003A0734">
        <w:rPr>
          <w:lang w:val="en"/>
        </w:rPr>
        <w:t xml:space="preserve"> </w:t>
      </w:r>
      <w:r w:rsidR="001F4088">
        <w:rPr>
          <w:lang w:val="en"/>
        </w:rPr>
        <w:t xml:space="preserve">A public consultation process during 2017 concluded with the gathering of views from interested groups and individuals through the </w:t>
      </w:r>
      <w:r w:rsidRPr="003A0734">
        <w:t xml:space="preserve">Regional Land Partnerships </w:t>
      </w:r>
      <w:r w:rsidR="003970EA">
        <w:t>Consultation Survey</w:t>
      </w:r>
      <w:r w:rsidR="001F4088">
        <w:t>. One hundred and twenty-four responses were received.</w:t>
      </w:r>
      <w:r>
        <w:rPr>
          <w:lang w:val="en"/>
        </w:rPr>
        <w:t xml:space="preserve"> </w:t>
      </w:r>
      <w:r w:rsidR="00E91463">
        <w:rPr>
          <w:lang w:val="en"/>
        </w:rPr>
        <w:t>Key issues raised by respondents</w:t>
      </w:r>
      <w:r w:rsidR="00E971BD">
        <w:rPr>
          <w:lang w:val="en"/>
        </w:rPr>
        <w:t xml:space="preserve"> </w:t>
      </w:r>
      <w:r w:rsidR="00E91463">
        <w:rPr>
          <w:lang w:val="en"/>
        </w:rPr>
        <w:t>include:</w:t>
      </w:r>
    </w:p>
    <w:p w14:paraId="01DBACE6" w14:textId="77777777" w:rsidR="006B1422" w:rsidRPr="00E971BD" w:rsidRDefault="00594613" w:rsidP="00594613">
      <w:r w:rsidRPr="006F3BDF">
        <w:rPr>
          <w:b/>
        </w:rPr>
        <w:t>The Tender, Tender Process and Documentation</w:t>
      </w:r>
      <w:r w:rsidR="006F3BDF" w:rsidRPr="006F3BDF">
        <w:rPr>
          <w:b/>
        </w:rPr>
        <w:t xml:space="preserve"> </w:t>
      </w:r>
      <w:r w:rsidR="00E971BD">
        <w:rPr>
          <w:lang w:val="en"/>
        </w:rPr>
        <w:t>T</w:t>
      </w:r>
      <w:r w:rsidR="00E971BD" w:rsidRPr="00E971BD">
        <w:rPr>
          <w:lang w:val="en"/>
        </w:rPr>
        <w:t xml:space="preserve">here was </w:t>
      </w:r>
      <w:r w:rsidR="002230DF">
        <w:rPr>
          <w:lang w:val="en"/>
        </w:rPr>
        <w:t>broad</w:t>
      </w:r>
      <w:r w:rsidR="00E971BD" w:rsidRPr="00E971BD">
        <w:rPr>
          <w:lang w:val="en"/>
        </w:rPr>
        <w:t xml:space="preserve"> support for the proposed tender requirements</w:t>
      </w:r>
      <w:r w:rsidR="00E971BD">
        <w:rPr>
          <w:lang w:val="en"/>
        </w:rPr>
        <w:t xml:space="preserve"> and</w:t>
      </w:r>
      <w:r w:rsidR="00E971BD" w:rsidRPr="00E971BD">
        <w:rPr>
          <w:lang w:val="en"/>
        </w:rPr>
        <w:t xml:space="preserve"> </w:t>
      </w:r>
      <w:r w:rsidR="002230DF">
        <w:rPr>
          <w:lang w:val="en"/>
        </w:rPr>
        <w:t>the</w:t>
      </w:r>
      <w:r w:rsidR="00E971BD">
        <w:rPr>
          <w:lang w:val="en"/>
        </w:rPr>
        <w:t xml:space="preserve"> </w:t>
      </w:r>
      <w:r w:rsidR="00A862BA">
        <w:rPr>
          <w:lang w:val="en"/>
        </w:rPr>
        <w:t xml:space="preserve">level of </w:t>
      </w:r>
      <w:r w:rsidR="00E971BD">
        <w:rPr>
          <w:lang w:val="en"/>
        </w:rPr>
        <w:t xml:space="preserve">guidance </w:t>
      </w:r>
      <w:r w:rsidR="002230DF">
        <w:rPr>
          <w:lang w:val="en"/>
        </w:rPr>
        <w:t>provided</w:t>
      </w:r>
      <w:r w:rsidR="00E971BD">
        <w:rPr>
          <w:lang w:val="en"/>
        </w:rPr>
        <w:t>.</w:t>
      </w:r>
      <w:r w:rsidR="00EC3260">
        <w:rPr>
          <w:lang w:val="en"/>
        </w:rPr>
        <w:t xml:space="preserve"> </w:t>
      </w:r>
      <w:r w:rsidR="00807FB0">
        <w:rPr>
          <w:lang w:val="en"/>
        </w:rPr>
        <w:t xml:space="preserve">Some </w:t>
      </w:r>
      <w:r w:rsidR="00027650">
        <w:rPr>
          <w:lang w:val="en"/>
        </w:rPr>
        <w:t>concerns were raised</w:t>
      </w:r>
      <w:r w:rsidR="00807FB0">
        <w:rPr>
          <w:lang w:val="en"/>
        </w:rPr>
        <w:t xml:space="preserve"> about the capacity of local groups to meet the application, administration and reporting requirements proposed.</w:t>
      </w:r>
    </w:p>
    <w:p w14:paraId="01DBACE7" w14:textId="77777777" w:rsidR="006B1422" w:rsidRDefault="006B1422" w:rsidP="00594613">
      <w:pPr>
        <w:rPr>
          <w:lang w:val="en"/>
        </w:rPr>
      </w:pPr>
      <w:r w:rsidRPr="006F3BDF">
        <w:rPr>
          <w:b/>
        </w:rPr>
        <w:t xml:space="preserve">Funding </w:t>
      </w:r>
      <w:r w:rsidR="003970EA">
        <w:rPr>
          <w:lang w:val="en"/>
        </w:rPr>
        <w:t>L</w:t>
      </w:r>
      <w:r w:rsidR="00DB3085">
        <w:rPr>
          <w:lang w:val="en"/>
        </w:rPr>
        <w:t xml:space="preserve">ong-term funding cycles of at least five years for </w:t>
      </w:r>
      <w:r w:rsidRPr="006B1422">
        <w:t>core services and projects</w:t>
      </w:r>
      <w:r w:rsidR="003970EA">
        <w:t xml:space="preserve"> </w:t>
      </w:r>
      <w:r w:rsidR="00D9044D">
        <w:t>were</w:t>
      </w:r>
      <w:r w:rsidR="003970EA">
        <w:t xml:space="preserve"> supported</w:t>
      </w:r>
      <w:r w:rsidR="00BD373E">
        <w:t xml:space="preserve"> </w:t>
      </w:r>
      <w:r w:rsidR="00DB3085">
        <w:t>as</w:t>
      </w:r>
      <w:r w:rsidR="00BD373E">
        <w:t xml:space="preserve"> </w:t>
      </w:r>
      <w:r w:rsidR="00D9044D">
        <w:t>they provide certainty and maintain</w:t>
      </w:r>
      <w:r w:rsidR="00BD373E">
        <w:t xml:space="preserve"> capacity</w:t>
      </w:r>
      <w:r>
        <w:t>.</w:t>
      </w:r>
      <w:r w:rsidR="00BD373E">
        <w:t xml:space="preserve"> </w:t>
      </w:r>
      <w:r w:rsidR="003970EA">
        <w:t>The r</w:t>
      </w:r>
      <w:r w:rsidR="003970EA" w:rsidRPr="00BD373E">
        <w:rPr>
          <w:lang w:val="en"/>
        </w:rPr>
        <w:t>esourcing</w:t>
      </w:r>
      <w:r w:rsidR="00BD373E" w:rsidRPr="00BD373E">
        <w:rPr>
          <w:lang w:val="en"/>
        </w:rPr>
        <w:t xml:space="preserve"> of local community and industry groups through small grants and funding allocations</w:t>
      </w:r>
      <w:r w:rsidR="003970EA">
        <w:rPr>
          <w:lang w:val="en"/>
        </w:rPr>
        <w:t xml:space="preserve"> was also supported</w:t>
      </w:r>
      <w:r w:rsidR="00BD373E" w:rsidRPr="00BD373E">
        <w:rPr>
          <w:lang w:val="en"/>
        </w:rPr>
        <w:t xml:space="preserve">. </w:t>
      </w:r>
      <w:r>
        <w:t xml:space="preserve"> </w:t>
      </w:r>
      <w:r w:rsidR="00E91463">
        <w:t>Respondents</w:t>
      </w:r>
      <w:r>
        <w:t xml:space="preserve"> raised concerns about </w:t>
      </w:r>
      <w:r w:rsidR="003970EA">
        <w:t>potential</w:t>
      </w:r>
      <w:r>
        <w:t xml:space="preserve"> cash flow issues </w:t>
      </w:r>
      <w:r w:rsidR="00BD373E">
        <w:t xml:space="preserve">if </w:t>
      </w:r>
      <w:r w:rsidRPr="006B1422">
        <w:t>payment</w:t>
      </w:r>
      <w:r w:rsidR="00BD373E">
        <w:t xml:space="preserve">s are </w:t>
      </w:r>
      <w:r w:rsidR="00EC19FD">
        <w:t xml:space="preserve">only </w:t>
      </w:r>
      <w:r w:rsidR="00BD373E">
        <w:t>made</w:t>
      </w:r>
      <w:r w:rsidRPr="006B1422">
        <w:t xml:space="preserve"> on</w:t>
      </w:r>
      <w:r>
        <w:t xml:space="preserve"> the</w:t>
      </w:r>
      <w:r w:rsidRPr="006B1422">
        <w:t xml:space="preserve"> delivery of services</w:t>
      </w:r>
      <w:r>
        <w:t xml:space="preserve">. </w:t>
      </w:r>
    </w:p>
    <w:p w14:paraId="01DBACE8" w14:textId="77777777" w:rsidR="005F2AB0" w:rsidRDefault="005F2AB0" w:rsidP="005F2AB0">
      <w:pPr>
        <w:rPr>
          <w:lang w:val="en"/>
        </w:rPr>
      </w:pPr>
      <w:r w:rsidRPr="006F3BDF">
        <w:rPr>
          <w:b/>
        </w:rPr>
        <w:t>Co-investment</w:t>
      </w:r>
      <w:r w:rsidR="006F3BDF">
        <w:rPr>
          <w:b/>
        </w:rPr>
        <w:t xml:space="preserve"> </w:t>
      </w:r>
      <w:r w:rsidR="00D9044D">
        <w:t xml:space="preserve">Suggestions </w:t>
      </w:r>
      <w:r w:rsidR="004A6221">
        <w:t>for increasing public-private co-investment included</w:t>
      </w:r>
      <w:r>
        <w:t xml:space="preserve"> </w:t>
      </w:r>
      <w:r w:rsidR="004A6221">
        <w:t>increased</w:t>
      </w:r>
      <w:r>
        <w:t xml:space="preserve"> </w:t>
      </w:r>
      <w:r w:rsidRPr="005F2AB0">
        <w:rPr>
          <w:lang w:val="en"/>
        </w:rPr>
        <w:t>funding</w:t>
      </w:r>
      <w:r w:rsidR="00BD373E">
        <w:rPr>
          <w:lang w:val="en"/>
        </w:rPr>
        <w:t xml:space="preserve"> for local groups</w:t>
      </w:r>
      <w:r w:rsidR="00514813">
        <w:rPr>
          <w:lang w:val="en"/>
        </w:rPr>
        <w:t>;</w:t>
      </w:r>
      <w:r w:rsidR="00BD373E">
        <w:rPr>
          <w:lang w:val="en"/>
        </w:rPr>
        <w:t xml:space="preserve"> </w:t>
      </w:r>
      <w:proofErr w:type="spellStart"/>
      <w:r w:rsidR="00BD373E">
        <w:rPr>
          <w:lang w:val="en"/>
        </w:rPr>
        <w:t>recognising</w:t>
      </w:r>
      <w:proofErr w:type="spellEnd"/>
      <w:r w:rsidR="00BD373E">
        <w:rPr>
          <w:lang w:val="en"/>
        </w:rPr>
        <w:t xml:space="preserve"> volunteer h</w:t>
      </w:r>
      <w:r w:rsidR="00514813">
        <w:rPr>
          <w:lang w:val="en"/>
        </w:rPr>
        <w:t>ours as a form of co-investment;</w:t>
      </w:r>
      <w:r w:rsidR="00BD373E">
        <w:rPr>
          <w:lang w:val="en"/>
        </w:rPr>
        <w:t xml:space="preserve"> </w:t>
      </w:r>
      <w:r w:rsidR="0071250C">
        <w:rPr>
          <w:lang w:val="en"/>
        </w:rPr>
        <w:t>alignment of goals; and using efficient</w:t>
      </w:r>
      <w:r w:rsidR="00BD373E">
        <w:rPr>
          <w:lang w:val="en"/>
        </w:rPr>
        <w:t xml:space="preserve"> reporting mechanisms </w:t>
      </w:r>
      <w:r w:rsidR="0071250C">
        <w:rPr>
          <w:lang w:val="en"/>
        </w:rPr>
        <w:t>that</w:t>
      </w:r>
      <w:r w:rsidR="00BD373E">
        <w:rPr>
          <w:lang w:val="en"/>
        </w:rPr>
        <w:t xml:space="preserve"> encourage co-investment</w:t>
      </w:r>
      <w:r w:rsidR="0071250C">
        <w:rPr>
          <w:lang w:val="en"/>
        </w:rPr>
        <w:t>. Respondents also argued that costs should be shared according to benefits for different parties.</w:t>
      </w:r>
    </w:p>
    <w:p w14:paraId="01DBACE9" w14:textId="77777777" w:rsidR="00B76F96" w:rsidRDefault="005F2AB0" w:rsidP="00B76F96">
      <w:pPr>
        <w:rPr>
          <w:lang w:val="en"/>
        </w:rPr>
      </w:pPr>
      <w:r w:rsidRPr="006F3BDF">
        <w:rPr>
          <w:b/>
        </w:rPr>
        <w:t>National Priorities</w:t>
      </w:r>
      <w:r w:rsidR="006F3BDF">
        <w:rPr>
          <w:b/>
        </w:rPr>
        <w:t xml:space="preserve"> </w:t>
      </w:r>
      <w:r w:rsidR="00AD745A">
        <w:t xml:space="preserve">A repeated suggestion across several issues was to extend investment from private to public land. </w:t>
      </w:r>
      <w:r w:rsidR="00734AE6">
        <w:t>Respondents also argued to expand the</w:t>
      </w:r>
      <w:r w:rsidR="00B76F96" w:rsidRPr="00B76F96">
        <w:t xml:space="preserve"> threatened species list</w:t>
      </w:r>
      <w:r w:rsidR="00734AE6">
        <w:t xml:space="preserve"> and expand the focus of actions to include a range of ecological considerations e.g. biodiversity, biosecurity</w:t>
      </w:r>
      <w:r w:rsidR="00027650">
        <w:t xml:space="preserve"> and</w:t>
      </w:r>
      <w:r w:rsidR="00734AE6">
        <w:t xml:space="preserve"> natural regeneration, and to provide greater </w:t>
      </w:r>
      <w:r w:rsidR="00AD745A" w:rsidRPr="00734AE6">
        <w:t>flexibility to meet local priorities.</w:t>
      </w:r>
    </w:p>
    <w:p w14:paraId="01DBACEA" w14:textId="77777777" w:rsidR="005F2AB0" w:rsidRDefault="00B76F96" w:rsidP="006F3BDF">
      <w:r w:rsidRPr="006F3BDF">
        <w:rPr>
          <w:b/>
        </w:rPr>
        <w:t xml:space="preserve">Competition vs Collaboration </w:t>
      </w:r>
      <w:r w:rsidR="006F3BDF" w:rsidRPr="006F3BDF">
        <w:t>C</w:t>
      </w:r>
      <w:r>
        <w:t xml:space="preserve">oncerns </w:t>
      </w:r>
      <w:r w:rsidR="006F3BDF">
        <w:t>were raised about</w:t>
      </w:r>
      <w:r>
        <w:t xml:space="preserve"> the potential impact of a competitive procurement process on collaboration</w:t>
      </w:r>
      <w:r w:rsidR="00F810AA">
        <w:t xml:space="preserve">, claiming it </w:t>
      </w:r>
      <w:r w:rsidR="006F3BDF">
        <w:t>could be a barrier to developing partnerships</w:t>
      </w:r>
      <w:r>
        <w:t xml:space="preserve">. </w:t>
      </w:r>
      <w:r w:rsidR="00F810AA" w:rsidRPr="00F810AA">
        <w:rPr>
          <w:lang w:val="en"/>
        </w:rPr>
        <w:t>Other</w:t>
      </w:r>
      <w:r w:rsidR="006F3BDF" w:rsidRPr="00F810AA">
        <w:rPr>
          <w:lang w:val="en"/>
        </w:rPr>
        <w:t xml:space="preserve"> respondents</w:t>
      </w:r>
      <w:r w:rsidR="006F3BDF" w:rsidRPr="00F810AA">
        <w:t xml:space="preserve"> </w:t>
      </w:r>
      <w:r w:rsidR="006F3BDF" w:rsidRPr="00F810AA">
        <w:rPr>
          <w:lang w:val="en"/>
        </w:rPr>
        <w:t xml:space="preserve">argued that collaboration could be supported through including evidence of this </w:t>
      </w:r>
      <w:r w:rsidR="00693671">
        <w:rPr>
          <w:lang w:val="en"/>
        </w:rPr>
        <w:t>in bids</w:t>
      </w:r>
      <w:r w:rsidR="006F3BDF" w:rsidRPr="00F810AA">
        <w:rPr>
          <w:lang w:val="en"/>
        </w:rPr>
        <w:t>.</w:t>
      </w:r>
    </w:p>
    <w:p w14:paraId="01DBACEB" w14:textId="77777777" w:rsidR="001334F9" w:rsidRDefault="00C83C69" w:rsidP="00F810AA">
      <w:r w:rsidRPr="00F810AA">
        <w:rPr>
          <w:b/>
        </w:rPr>
        <w:t>Regional Agriculture Landcare Facilitators (RALFs)</w:t>
      </w:r>
      <w:r w:rsidR="00F810AA" w:rsidRPr="00F810AA">
        <w:rPr>
          <w:b/>
        </w:rPr>
        <w:t xml:space="preserve"> </w:t>
      </w:r>
      <w:r w:rsidR="00F810AA" w:rsidRPr="00F810AA">
        <w:t>B</w:t>
      </w:r>
      <w:r w:rsidRPr="00F810AA">
        <w:t xml:space="preserve">road support </w:t>
      </w:r>
      <w:r w:rsidR="00F810AA" w:rsidRPr="00F810AA">
        <w:t xml:space="preserve">was expressed </w:t>
      </w:r>
      <w:r w:rsidRPr="00F810AA">
        <w:t xml:space="preserve">for the role of RALFs in facilitating connections and networking, providing information, helping to build </w:t>
      </w:r>
      <w:r w:rsidR="00F810AA" w:rsidRPr="00F810AA">
        <w:t>capacity and improve</w:t>
      </w:r>
      <w:r w:rsidRPr="00F810AA">
        <w:t xml:space="preserve"> the governance and management of local groups. </w:t>
      </w:r>
    </w:p>
    <w:p w14:paraId="01DBACEC" w14:textId="77777777" w:rsidR="00506F23" w:rsidRPr="004F4B82" w:rsidRDefault="00506F23" w:rsidP="00506F23">
      <w:pPr>
        <w:rPr>
          <w:rFonts w:cs="Segoe UI"/>
        </w:rPr>
        <w:sectPr w:rsidR="00506F23" w:rsidRPr="004F4B82" w:rsidSect="00E562BA">
          <w:pgSz w:w="11906" w:h="16838" w:code="9"/>
          <w:pgMar w:top="1418" w:right="1418" w:bottom="1418" w:left="1418" w:header="567" w:footer="567" w:gutter="0"/>
          <w:pgNumType w:fmt="lowerRoman"/>
          <w:cols w:space="708"/>
          <w:docGrid w:linePitch="360"/>
        </w:sectPr>
      </w:pPr>
      <w:r>
        <w:t>The Australian Government will consider the results of the consultation process in the design and implementation of Regional Land Partnerships.</w:t>
      </w:r>
    </w:p>
    <w:p w14:paraId="01DBACED" w14:textId="77777777" w:rsidR="00B859FC" w:rsidRDefault="00B859FC" w:rsidP="00F827E7">
      <w:pPr>
        <w:pStyle w:val="Heading1"/>
      </w:pPr>
      <w:bookmarkStart w:id="1" w:name="_Toc500248414"/>
      <w:bookmarkStart w:id="2" w:name="_Toc303346376"/>
      <w:r>
        <w:lastRenderedPageBreak/>
        <w:t>Regional Land Partnerships Consultation Paper and Survey</w:t>
      </w:r>
      <w:bookmarkEnd w:id="1"/>
    </w:p>
    <w:p w14:paraId="01DBACEE" w14:textId="77777777" w:rsidR="00B859FC" w:rsidRDefault="00B859FC" w:rsidP="00B859FC">
      <w:pPr>
        <w:shd w:val="clear" w:color="auto" w:fill="FFFFFF"/>
        <w:spacing w:before="120" w:after="0" w:line="23" w:lineRule="atLeast"/>
        <w:textAlignment w:val="baseline"/>
        <w:rPr>
          <w:rFonts w:eastAsia="Times New Roman" w:cs="Arial"/>
          <w:color w:val="000000"/>
          <w:lang w:val="en" w:eastAsia="en-AU"/>
        </w:rPr>
      </w:pPr>
    </w:p>
    <w:p w14:paraId="01DBACEF" w14:textId="77777777" w:rsidR="00F810AA" w:rsidRDefault="00B859FC" w:rsidP="00B859FC">
      <w:pPr>
        <w:shd w:val="clear" w:color="auto" w:fill="FFFFFF"/>
        <w:spacing w:before="120" w:after="0" w:line="23" w:lineRule="atLeast"/>
        <w:textAlignment w:val="baseline"/>
        <w:rPr>
          <w:rFonts w:eastAsia="Times New Roman" w:cs="Arial"/>
          <w:color w:val="000000"/>
          <w:lang w:val="en" w:eastAsia="en-AU"/>
        </w:rPr>
      </w:pPr>
      <w:r>
        <w:rPr>
          <w:rFonts w:eastAsia="Times New Roman" w:cs="Arial"/>
          <w:color w:val="000000"/>
          <w:lang w:val="en" w:eastAsia="en-AU"/>
        </w:rPr>
        <w:t xml:space="preserve">The Australian Government </w:t>
      </w:r>
      <w:r w:rsidR="001E778E">
        <w:rPr>
          <w:rFonts w:eastAsia="Times New Roman" w:cs="Arial"/>
          <w:color w:val="000000"/>
          <w:lang w:val="en" w:eastAsia="en-AU"/>
        </w:rPr>
        <w:t xml:space="preserve">informed stakeholders about proposed arrangements for the National Landcare Program Phase 2 through a </w:t>
      </w:r>
      <w:r w:rsidR="001E778E">
        <w:t xml:space="preserve">Regional Land Partnerships </w:t>
      </w:r>
      <w:r w:rsidR="001E778E">
        <w:rPr>
          <w:rFonts w:eastAsia="Times New Roman" w:cs="Arial"/>
          <w:color w:val="000000"/>
          <w:lang w:val="en" w:eastAsia="en-AU"/>
        </w:rPr>
        <w:t>Consultation Paper and community information sessions in selected cities during 2017.</w:t>
      </w:r>
    </w:p>
    <w:p w14:paraId="01DBACF0" w14:textId="77777777" w:rsidR="00B859FC" w:rsidRDefault="001E778E" w:rsidP="00B859FC">
      <w:pPr>
        <w:spacing w:before="120" w:after="0" w:line="23" w:lineRule="atLeast"/>
        <w:rPr>
          <w:rFonts w:cs="Arial"/>
          <w:color w:val="000000"/>
          <w:lang w:val="en"/>
        </w:rPr>
      </w:pPr>
      <w:r>
        <w:rPr>
          <w:rFonts w:cs="Arial"/>
          <w:color w:val="000000"/>
          <w:lang w:val="en"/>
        </w:rPr>
        <w:t>I</w:t>
      </w:r>
      <w:r w:rsidR="00B859FC">
        <w:rPr>
          <w:rFonts w:cs="Arial"/>
          <w:color w:val="000000"/>
          <w:lang w:val="en"/>
        </w:rPr>
        <w:t xml:space="preserve">nterested groups and individuals </w:t>
      </w:r>
      <w:r>
        <w:rPr>
          <w:rFonts w:cs="Arial"/>
          <w:color w:val="000000"/>
          <w:lang w:val="en"/>
        </w:rPr>
        <w:t xml:space="preserve">were able to </w:t>
      </w:r>
      <w:r w:rsidR="00B859FC">
        <w:rPr>
          <w:rFonts w:cs="Arial"/>
          <w:color w:val="000000"/>
          <w:lang w:val="en"/>
        </w:rPr>
        <w:t>provide their views on the design and implementat</w:t>
      </w:r>
      <w:r w:rsidR="001E516A">
        <w:rPr>
          <w:rFonts w:cs="Arial"/>
          <w:color w:val="000000"/>
          <w:lang w:val="en"/>
        </w:rPr>
        <w:t xml:space="preserve">ion of the </w:t>
      </w:r>
      <w:r>
        <w:rPr>
          <w:rFonts w:cs="Arial"/>
          <w:color w:val="000000"/>
          <w:lang w:val="en"/>
        </w:rPr>
        <w:t xml:space="preserve">Regional Land Partnerships through </w:t>
      </w:r>
      <w:r w:rsidR="00B859FC">
        <w:rPr>
          <w:rFonts w:cs="Arial"/>
          <w:color w:val="000000"/>
          <w:lang w:val="en"/>
        </w:rPr>
        <w:t xml:space="preserve">an online consultation survey which </w:t>
      </w:r>
      <w:r w:rsidR="004D28DF">
        <w:rPr>
          <w:rFonts w:cs="Arial"/>
          <w:color w:val="000000"/>
          <w:lang w:val="en"/>
        </w:rPr>
        <w:t>closed on</w:t>
      </w:r>
      <w:r w:rsidR="00B859FC">
        <w:rPr>
          <w:rFonts w:cs="Arial"/>
          <w:color w:val="000000"/>
          <w:lang w:val="en"/>
        </w:rPr>
        <w:t xml:space="preserve"> </w:t>
      </w:r>
      <w:r w:rsidR="00B859FC">
        <w:rPr>
          <w:bCs/>
        </w:rPr>
        <w:t>23</w:t>
      </w:r>
      <w:r w:rsidR="004D28DF">
        <w:rPr>
          <w:bCs/>
        </w:rPr>
        <w:t>rd</w:t>
      </w:r>
      <w:r w:rsidR="00B859FC">
        <w:rPr>
          <w:bCs/>
        </w:rPr>
        <w:t xml:space="preserve"> October 2017</w:t>
      </w:r>
      <w:r w:rsidR="00B859FC">
        <w:rPr>
          <w:rFonts w:cs="Arial"/>
          <w:color w:val="000000"/>
          <w:lang w:val="en"/>
        </w:rPr>
        <w:t xml:space="preserve">. </w:t>
      </w:r>
    </w:p>
    <w:p w14:paraId="01DBACF1" w14:textId="77777777" w:rsidR="00554C52" w:rsidRDefault="00554C52" w:rsidP="00554C52">
      <w:pPr>
        <w:pStyle w:val="Heading2"/>
      </w:pPr>
      <w:bookmarkStart w:id="3" w:name="_Toc500248415"/>
      <w:r>
        <w:t>Response demographics</w:t>
      </w:r>
      <w:bookmarkEnd w:id="3"/>
    </w:p>
    <w:p w14:paraId="01DBACF2" w14:textId="77777777" w:rsidR="00544E09" w:rsidRDefault="00544E09" w:rsidP="00544E09">
      <w:pPr>
        <w:pStyle w:val="TableHeading"/>
      </w:pPr>
      <w:bookmarkStart w:id="4" w:name="_Toc500248424"/>
      <w:r>
        <w:t>Response demographics</w:t>
      </w:r>
      <w:bookmarkEnd w:id="4"/>
    </w:p>
    <w:tbl>
      <w:tblPr>
        <w:tblStyle w:val="ARTDTable"/>
        <w:tblW w:w="0" w:type="auto"/>
        <w:tblLook w:val="04A0" w:firstRow="1" w:lastRow="0" w:firstColumn="1" w:lastColumn="0" w:noHBand="0" w:noVBand="1"/>
      </w:tblPr>
      <w:tblGrid>
        <w:gridCol w:w="7293"/>
        <w:gridCol w:w="545"/>
        <w:gridCol w:w="1175"/>
      </w:tblGrid>
      <w:tr w:rsidR="00617C55" w:rsidRPr="00617C55" w14:paraId="01DBACF6" w14:textId="77777777" w:rsidTr="00630D0B">
        <w:trPr>
          <w:cnfStyle w:val="100000000000" w:firstRow="1" w:lastRow="0" w:firstColumn="0" w:lastColumn="0" w:oddVBand="0" w:evenVBand="0" w:oddHBand="0" w:evenHBand="0" w:firstRowFirstColumn="0" w:firstRowLastColumn="0" w:lastRowFirstColumn="0" w:lastRowLastColumn="0"/>
          <w:trHeight w:val="330"/>
        </w:trPr>
        <w:tc>
          <w:tcPr>
            <w:tcW w:w="7387" w:type="dxa"/>
            <w:noWrap/>
            <w:hideMark/>
          </w:tcPr>
          <w:p w14:paraId="01DBACF3" w14:textId="77777777" w:rsidR="00617C55" w:rsidRPr="00617C55" w:rsidRDefault="00617C55" w:rsidP="00F61A4E">
            <w:pPr>
              <w:pStyle w:val="Tablebodytext"/>
            </w:pPr>
            <w:r w:rsidRPr="00617C55">
              <w:t>Stakeholder group</w:t>
            </w:r>
          </w:p>
        </w:tc>
        <w:tc>
          <w:tcPr>
            <w:tcW w:w="551" w:type="dxa"/>
            <w:noWrap/>
            <w:hideMark/>
          </w:tcPr>
          <w:p w14:paraId="01DBACF4" w14:textId="77777777" w:rsidR="00617C55" w:rsidRPr="00617C55" w:rsidRDefault="00617C55" w:rsidP="00630D0B">
            <w:pPr>
              <w:pStyle w:val="Tablebodytext"/>
              <w:jc w:val="right"/>
            </w:pPr>
            <w:r w:rsidRPr="00617C55">
              <w:t>N</w:t>
            </w:r>
          </w:p>
        </w:tc>
        <w:tc>
          <w:tcPr>
            <w:tcW w:w="1189" w:type="dxa"/>
            <w:noWrap/>
            <w:hideMark/>
          </w:tcPr>
          <w:p w14:paraId="01DBACF5" w14:textId="77777777" w:rsidR="00617C55" w:rsidRPr="00617C55" w:rsidRDefault="00617C55" w:rsidP="00630D0B">
            <w:pPr>
              <w:pStyle w:val="Tablebodytext"/>
              <w:jc w:val="right"/>
            </w:pPr>
            <w:r w:rsidRPr="00617C55">
              <w:t>Percent</w:t>
            </w:r>
          </w:p>
        </w:tc>
      </w:tr>
      <w:tr w:rsidR="00617C55" w:rsidRPr="00617C55" w14:paraId="01DBACFA" w14:textId="77777777" w:rsidTr="00630D0B">
        <w:trPr>
          <w:trHeight w:val="206"/>
        </w:trPr>
        <w:tc>
          <w:tcPr>
            <w:tcW w:w="7387" w:type="dxa"/>
            <w:hideMark/>
          </w:tcPr>
          <w:p w14:paraId="01DBACF7" w14:textId="77777777" w:rsidR="00617C55" w:rsidRPr="00617C55" w:rsidRDefault="00617C55" w:rsidP="00F61A4E">
            <w:pPr>
              <w:pStyle w:val="Tablebodytext"/>
            </w:pPr>
            <w:r w:rsidRPr="00617C55">
              <w:t>Natural Resource Managemen</w:t>
            </w:r>
            <w:r w:rsidR="00F61A4E">
              <w:t>t (NRM) regional organisations</w:t>
            </w:r>
          </w:p>
        </w:tc>
        <w:tc>
          <w:tcPr>
            <w:tcW w:w="551" w:type="dxa"/>
            <w:hideMark/>
          </w:tcPr>
          <w:p w14:paraId="01DBACF8" w14:textId="77777777" w:rsidR="00617C55" w:rsidRPr="00617C55" w:rsidRDefault="00630D0B" w:rsidP="00630D0B">
            <w:pPr>
              <w:pStyle w:val="Tablebodytext"/>
              <w:jc w:val="right"/>
            </w:pPr>
            <w:r>
              <w:t>57</w:t>
            </w:r>
          </w:p>
        </w:tc>
        <w:tc>
          <w:tcPr>
            <w:tcW w:w="1189" w:type="dxa"/>
            <w:hideMark/>
          </w:tcPr>
          <w:p w14:paraId="01DBACF9" w14:textId="77777777" w:rsidR="00617C55" w:rsidRPr="00617C55" w:rsidRDefault="00617C55" w:rsidP="00630D0B">
            <w:pPr>
              <w:pStyle w:val="Tablebodytext"/>
              <w:jc w:val="right"/>
            </w:pPr>
            <w:r w:rsidRPr="00617C55">
              <w:t>4</w:t>
            </w:r>
            <w:r w:rsidR="00B77329">
              <w:t>6</w:t>
            </w:r>
            <w:r w:rsidRPr="00617C55">
              <w:t>%</w:t>
            </w:r>
          </w:p>
        </w:tc>
      </w:tr>
      <w:tr w:rsidR="00617C55" w:rsidRPr="00617C55" w14:paraId="01DBACFE" w14:textId="77777777" w:rsidTr="00630D0B">
        <w:trPr>
          <w:trHeight w:val="326"/>
        </w:trPr>
        <w:tc>
          <w:tcPr>
            <w:tcW w:w="7387" w:type="dxa"/>
            <w:hideMark/>
          </w:tcPr>
          <w:p w14:paraId="01DBACFB" w14:textId="77777777" w:rsidR="00617C55" w:rsidRPr="00617C55" w:rsidRDefault="00F61A4E" w:rsidP="00B333A6">
            <w:pPr>
              <w:pStyle w:val="Tablebodytext"/>
            </w:pPr>
            <w:r>
              <w:t>NRM local groups</w:t>
            </w:r>
            <w:r w:rsidR="00B333A6">
              <w:t>*</w:t>
            </w:r>
          </w:p>
        </w:tc>
        <w:tc>
          <w:tcPr>
            <w:tcW w:w="551" w:type="dxa"/>
            <w:hideMark/>
          </w:tcPr>
          <w:p w14:paraId="01DBACFC" w14:textId="77777777" w:rsidR="00617C55" w:rsidRPr="00617C55" w:rsidRDefault="00617C55" w:rsidP="00630D0B">
            <w:pPr>
              <w:pStyle w:val="Tablebodytext"/>
              <w:jc w:val="right"/>
            </w:pPr>
            <w:r w:rsidRPr="00617C55">
              <w:t>24</w:t>
            </w:r>
          </w:p>
        </w:tc>
        <w:tc>
          <w:tcPr>
            <w:tcW w:w="1189" w:type="dxa"/>
            <w:hideMark/>
          </w:tcPr>
          <w:p w14:paraId="01DBACFD" w14:textId="77777777" w:rsidR="00617C55" w:rsidRPr="00617C55" w:rsidRDefault="00617C55" w:rsidP="00630D0B">
            <w:pPr>
              <w:pStyle w:val="Tablebodytext"/>
              <w:jc w:val="right"/>
            </w:pPr>
            <w:r w:rsidRPr="00617C55">
              <w:t>19%</w:t>
            </w:r>
          </w:p>
        </w:tc>
      </w:tr>
      <w:tr w:rsidR="00617C55" w:rsidRPr="00617C55" w14:paraId="01DBAD02" w14:textId="77777777" w:rsidTr="00630D0B">
        <w:trPr>
          <w:trHeight w:val="306"/>
        </w:trPr>
        <w:tc>
          <w:tcPr>
            <w:tcW w:w="7387" w:type="dxa"/>
            <w:hideMark/>
          </w:tcPr>
          <w:p w14:paraId="01DBACFF" w14:textId="77777777" w:rsidR="00617C55" w:rsidRPr="00617C55" w:rsidRDefault="00617C55" w:rsidP="00F61A4E">
            <w:pPr>
              <w:pStyle w:val="Tablebodytext"/>
            </w:pPr>
            <w:r w:rsidRPr="00617C55">
              <w:t xml:space="preserve">Environment </w:t>
            </w:r>
            <w:r w:rsidR="00F61A4E">
              <w:t>or agriculture related company</w:t>
            </w:r>
          </w:p>
        </w:tc>
        <w:tc>
          <w:tcPr>
            <w:tcW w:w="551" w:type="dxa"/>
            <w:hideMark/>
          </w:tcPr>
          <w:p w14:paraId="01DBAD00" w14:textId="77777777" w:rsidR="00617C55" w:rsidRPr="00617C55" w:rsidRDefault="00617C55" w:rsidP="00630D0B">
            <w:pPr>
              <w:pStyle w:val="Tablebodytext"/>
              <w:jc w:val="right"/>
            </w:pPr>
            <w:r w:rsidRPr="00617C55">
              <w:t>8</w:t>
            </w:r>
          </w:p>
        </w:tc>
        <w:tc>
          <w:tcPr>
            <w:tcW w:w="1189" w:type="dxa"/>
            <w:hideMark/>
          </w:tcPr>
          <w:p w14:paraId="01DBAD01" w14:textId="77777777" w:rsidR="00617C55" w:rsidRPr="00617C55" w:rsidRDefault="00617C55" w:rsidP="00630D0B">
            <w:pPr>
              <w:pStyle w:val="Tablebodytext"/>
              <w:jc w:val="right"/>
            </w:pPr>
            <w:r w:rsidRPr="00617C55">
              <w:t>6%</w:t>
            </w:r>
          </w:p>
        </w:tc>
      </w:tr>
      <w:tr w:rsidR="00617C55" w:rsidRPr="00617C55" w14:paraId="01DBAD06" w14:textId="77777777" w:rsidTr="00630D0B">
        <w:trPr>
          <w:trHeight w:val="22"/>
        </w:trPr>
        <w:tc>
          <w:tcPr>
            <w:tcW w:w="7387" w:type="dxa"/>
            <w:hideMark/>
          </w:tcPr>
          <w:p w14:paraId="01DBAD03" w14:textId="77777777" w:rsidR="00617C55" w:rsidRPr="00617C55" w:rsidRDefault="00617C55" w:rsidP="00F61A4E">
            <w:pPr>
              <w:pStyle w:val="Tablebodytext"/>
            </w:pPr>
            <w:r w:rsidRPr="00617C55">
              <w:t xml:space="preserve">Industry </w:t>
            </w:r>
            <w:r w:rsidR="00F61A4E">
              <w:t>groups</w:t>
            </w:r>
          </w:p>
        </w:tc>
        <w:tc>
          <w:tcPr>
            <w:tcW w:w="551" w:type="dxa"/>
            <w:hideMark/>
          </w:tcPr>
          <w:p w14:paraId="01DBAD04" w14:textId="77777777" w:rsidR="00617C55" w:rsidRPr="00617C55" w:rsidRDefault="00617C55" w:rsidP="00630D0B">
            <w:pPr>
              <w:pStyle w:val="Tablebodytext"/>
              <w:jc w:val="right"/>
            </w:pPr>
            <w:r w:rsidRPr="00617C55">
              <w:t>8</w:t>
            </w:r>
          </w:p>
        </w:tc>
        <w:tc>
          <w:tcPr>
            <w:tcW w:w="1189" w:type="dxa"/>
            <w:hideMark/>
          </w:tcPr>
          <w:p w14:paraId="01DBAD05" w14:textId="77777777" w:rsidR="00617C55" w:rsidRPr="00617C55" w:rsidRDefault="00617C55" w:rsidP="00630D0B">
            <w:pPr>
              <w:pStyle w:val="Tablebodytext"/>
              <w:jc w:val="right"/>
            </w:pPr>
            <w:r w:rsidRPr="00617C55">
              <w:t>6%</w:t>
            </w:r>
          </w:p>
        </w:tc>
      </w:tr>
      <w:tr w:rsidR="00617C55" w:rsidRPr="00617C55" w14:paraId="01DBAD0A" w14:textId="77777777" w:rsidTr="00630D0B">
        <w:trPr>
          <w:trHeight w:val="330"/>
        </w:trPr>
        <w:tc>
          <w:tcPr>
            <w:tcW w:w="7387" w:type="dxa"/>
            <w:hideMark/>
          </w:tcPr>
          <w:p w14:paraId="01DBAD07" w14:textId="77777777" w:rsidR="00617C55" w:rsidRPr="00617C55" w:rsidRDefault="00F61A4E" w:rsidP="00F61A4E">
            <w:pPr>
              <w:pStyle w:val="Tablebodytext"/>
            </w:pPr>
            <w:r>
              <w:t>State or local government</w:t>
            </w:r>
          </w:p>
        </w:tc>
        <w:tc>
          <w:tcPr>
            <w:tcW w:w="551" w:type="dxa"/>
            <w:hideMark/>
          </w:tcPr>
          <w:p w14:paraId="01DBAD08" w14:textId="77777777" w:rsidR="00617C55" w:rsidRPr="00617C55" w:rsidRDefault="00617C55" w:rsidP="00630D0B">
            <w:pPr>
              <w:pStyle w:val="Tablebodytext"/>
              <w:jc w:val="right"/>
            </w:pPr>
            <w:r w:rsidRPr="00617C55">
              <w:t>8</w:t>
            </w:r>
          </w:p>
        </w:tc>
        <w:tc>
          <w:tcPr>
            <w:tcW w:w="1189" w:type="dxa"/>
            <w:hideMark/>
          </w:tcPr>
          <w:p w14:paraId="01DBAD09" w14:textId="77777777" w:rsidR="00617C55" w:rsidRPr="00617C55" w:rsidRDefault="00617C55" w:rsidP="00630D0B">
            <w:pPr>
              <w:pStyle w:val="Tablebodytext"/>
              <w:jc w:val="right"/>
            </w:pPr>
            <w:r w:rsidRPr="00617C55">
              <w:t>6%</w:t>
            </w:r>
          </w:p>
        </w:tc>
      </w:tr>
      <w:tr w:rsidR="00617C55" w:rsidRPr="00617C55" w14:paraId="01DBAD0E" w14:textId="77777777" w:rsidTr="00630D0B">
        <w:trPr>
          <w:trHeight w:val="312"/>
        </w:trPr>
        <w:tc>
          <w:tcPr>
            <w:tcW w:w="7387" w:type="dxa"/>
            <w:hideMark/>
          </w:tcPr>
          <w:p w14:paraId="01DBAD0B" w14:textId="77777777" w:rsidR="00617C55" w:rsidRPr="00617C55" w:rsidRDefault="00617C55" w:rsidP="00F61A4E">
            <w:pPr>
              <w:pStyle w:val="Tablebodytext"/>
            </w:pPr>
            <w:r w:rsidRPr="00617C55">
              <w:t>Direct National Lan</w:t>
            </w:r>
            <w:r w:rsidR="00F61A4E">
              <w:t>dcare Program grant recipients</w:t>
            </w:r>
          </w:p>
        </w:tc>
        <w:tc>
          <w:tcPr>
            <w:tcW w:w="551" w:type="dxa"/>
            <w:hideMark/>
          </w:tcPr>
          <w:p w14:paraId="01DBAD0C" w14:textId="77777777" w:rsidR="00617C55" w:rsidRPr="00617C55" w:rsidRDefault="00617C55" w:rsidP="00630D0B">
            <w:pPr>
              <w:pStyle w:val="Tablebodytext"/>
              <w:jc w:val="right"/>
            </w:pPr>
            <w:r w:rsidRPr="00617C55">
              <w:t>5</w:t>
            </w:r>
          </w:p>
        </w:tc>
        <w:tc>
          <w:tcPr>
            <w:tcW w:w="1189" w:type="dxa"/>
            <w:hideMark/>
          </w:tcPr>
          <w:p w14:paraId="01DBAD0D" w14:textId="77777777" w:rsidR="00617C55" w:rsidRPr="00617C55" w:rsidRDefault="00617C55" w:rsidP="00630D0B">
            <w:pPr>
              <w:pStyle w:val="Tablebodytext"/>
              <w:jc w:val="right"/>
            </w:pPr>
            <w:r w:rsidRPr="00617C55">
              <w:t>4%</w:t>
            </w:r>
          </w:p>
        </w:tc>
      </w:tr>
      <w:tr w:rsidR="00617C55" w:rsidRPr="00617C55" w14:paraId="01DBAD12" w14:textId="77777777" w:rsidTr="00630D0B">
        <w:trPr>
          <w:trHeight w:val="330"/>
        </w:trPr>
        <w:tc>
          <w:tcPr>
            <w:tcW w:w="7387" w:type="dxa"/>
            <w:hideMark/>
          </w:tcPr>
          <w:p w14:paraId="01DBAD0F" w14:textId="77777777" w:rsidR="00617C55" w:rsidRPr="00617C55" w:rsidRDefault="00617C55" w:rsidP="00F61A4E">
            <w:pPr>
              <w:pStyle w:val="Tablebodytext"/>
            </w:pPr>
            <w:r w:rsidRPr="00617C55">
              <w:t>Prefer not to answer</w:t>
            </w:r>
          </w:p>
        </w:tc>
        <w:tc>
          <w:tcPr>
            <w:tcW w:w="551" w:type="dxa"/>
            <w:hideMark/>
          </w:tcPr>
          <w:p w14:paraId="01DBAD10" w14:textId="77777777" w:rsidR="00617C55" w:rsidRPr="00617C55" w:rsidRDefault="00617C55" w:rsidP="00630D0B">
            <w:pPr>
              <w:pStyle w:val="Tablebodytext"/>
              <w:jc w:val="right"/>
            </w:pPr>
            <w:r w:rsidRPr="00617C55">
              <w:t>2</w:t>
            </w:r>
          </w:p>
        </w:tc>
        <w:tc>
          <w:tcPr>
            <w:tcW w:w="1189" w:type="dxa"/>
            <w:hideMark/>
          </w:tcPr>
          <w:p w14:paraId="01DBAD11" w14:textId="77777777" w:rsidR="00617C55" w:rsidRPr="00617C55" w:rsidRDefault="00617C55" w:rsidP="00630D0B">
            <w:pPr>
              <w:pStyle w:val="Tablebodytext"/>
              <w:jc w:val="right"/>
            </w:pPr>
            <w:r w:rsidRPr="00617C55">
              <w:t>2%</w:t>
            </w:r>
          </w:p>
        </w:tc>
      </w:tr>
      <w:tr w:rsidR="00617C55" w:rsidRPr="00617C55" w14:paraId="01DBAD16" w14:textId="77777777" w:rsidTr="00630D0B">
        <w:trPr>
          <w:trHeight w:val="330"/>
        </w:trPr>
        <w:tc>
          <w:tcPr>
            <w:tcW w:w="7387" w:type="dxa"/>
            <w:tcBorders>
              <w:bottom w:val="single" w:sz="8" w:space="0" w:color="000000"/>
            </w:tcBorders>
            <w:hideMark/>
          </w:tcPr>
          <w:p w14:paraId="01DBAD13" w14:textId="77777777" w:rsidR="00617C55" w:rsidRPr="00617C55" w:rsidRDefault="00F61A4E" w:rsidP="00F61A4E">
            <w:pPr>
              <w:pStyle w:val="Tablebodytext"/>
            </w:pPr>
            <w:r>
              <w:t>Other</w:t>
            </w:r>
            <w:r w:rsidR="00B333A6">
              <w:t>^</w:t>
            </w:r>
          </w:p>
        </w:tc>
        <w:tc>
          <w:tcPr>
            <w:tcW w:w="551" w:type="dxa"/>
            <w:tcBorders>
              <w:bottom w:val="single" w:sz="8" w:space="0" w:color="000000"/>
            </w:tcBorders>
            <w:hideMark/>
          </w:tcPr>
          <w:p w14:paraId="01DBAD14" w14:textId="77777777" w:rsidR="00617C55" w:rsidRPr="00617C55" w:rsidRDefault="00617C55" w:rsidP="00630D0B">
            <w:pPr>
              <w:pStyle w:val="Tablebodytext"/>
              <w:jc w:val="right"/>
            </w:pPr>
            <w:r w:rsidRPr="00617C55">
              <w:t>12</w:t>
            </w:r>
          </w:p>
        </w:tc>
        <w:tc>
          <w:tcPr>
            <w:tcW w:w="1189" w:type="dxa"/>
            <w:tcBorders>
              <w:bottom w:val="single" w:sz="8" w:space="0" w:color="000000"/>
            </w:tcBorders>
            <w:hideMark/>
          </w:tcPr>
          <w:p w14:paraId="01DBAD15" w14:textId="77777777" w:rsidR="00617C55" w:rsidRPr="00617C55" w:rsidRDefault="00617C55" w:rsidP="00630D0B">
            <w:pPr>
              <w:pStyle w:val="Tablebodytext"/>
              <w:jc w:val="right"/>
            </w:pPr>
            <w:r w:rsidRPr="00617C55">
              <w:t>10%</w:t>
            </w:r>
          </w:p>
        </w:tc>
      </w:tr>
      <w:tr w:rsidR="00617C55" w:rsidRPr="00617C55" w14:paraId="01DBAD1A" w14:textId="77777777" w:rsidTr="00630D0B">
        <w:trPr>
          <w:trHeight w:val="330"/>
        </w:trPr>
        <w:tc>
          <w:tcPr>
            <w:tcW w:w="7387" w:type="dxa"/>
            <w:tcBorders>
              <w:top w:val="single" w:sz="8" w:space="0" w:color="000000"/>
              <w:bottom w:val="single" w:sz="8" w:space="0" w:color="000000"/>
            </w:tcBorders>
            <w:shd w:val="clear" w:color="auto" w:fill="F0F1E9"/>
            <w:noWrap/>
            <w:hideMark/>
          </w:tcPr>
          <w:p w14:paraId="01DBAD17" w14:textId="77777777" w:rsidR="00617C55" w:rsidRPr="00617C55" w:rsidRDefault="00F61A4E" w:rsidP="00F61A4E">
            <w:pPr>
              <w:pStyle w:val="Tablebodytext"/>
            </w:pPr>
            <w:r>
              <w:t>TOTAL</w:t>
            </w:r>
          </w:p>
        </w:tc>
        <w:tc>
          <w:tcPr>
            <w:tcW w:w="551" w:type="dxa"/>
            <w:tcBorders>
              <w:top w:val="single" w:sz="8" w:space="0" w:color="000000"/>
              <w:bottom w:val="single" w:sz="8" w:space="0" w:color="000000"/>
            </w:tcBorders>
            <w:shd w:val="clear" w:color="auto" w:fill="F0F1E9"/>
            <w:noWrap/>
            <w:hideMark/>
          </w:tcPr>
          <w:p w14:paraId="01DBAD18" w14:textId="77777777" w:rsidR="00617C55" w:rsidRPr="00617C55" w:rsidRDefault="00617C55" w:rsidP="00630D0B">
            <w:pPr>
              <w:pStyle w:val="Tablebodytext"/>
              <w:jc w:val="right"/>
            </w:pPr>
            <w:r w:rsidRPr="00617C55">
              <w:t>124</w:t>
            </w:r>
          </w:p>
        </w:tc>
        <w:tc>
          <w:tcPr>
            <w:tcW w:w="1189" w:type="dxa"/>
            <w:tcBorders>
              <w:top w:val="single" w:sz="8" w:space="0" w:color="000000"/>
              <w:bottom w:val="single" w:sz="8" w:space="0" w:color="000000"/>
            </w:tcBorders>
            <w:shd w:val="clear" w:color="auto" w:fill="F0F1E9"/>
            <w:hideMark/>
          </w:tcPr>
          <w:p w14:paraId="01DBAD19" w14:textId="77777777" w:rsidR="00617C55" w:rsidRPr="00617C55" w:rsidRDefault="00617C55" w:rsidP="00630D0B">
            <w:pPr>
              <w:pStyle w:val="Tablebodytext"/>
              <w:jc w:val="right"/>
            </w:pPr>
            <w:r w:rsidRPr="00617C55">
              <w:t>100%</w:t>
            </w:r>
          </w:p>
        </w:tc>
      </w:tr>
    </w:tbl>
    <w:p w14:paraId="01DBAD1B" w14:textId="77777777" w:rsidR="00B333A6" w:rsidRDefault="00554C52" w:rsidP="00B333A6">
      <w:pPr>
        <w:spacing w:after="0"/>
        <w:rPr>
          <w:sz w:val="18"/>
          <w:szCs w:val="18"/>
        </w:rPr>
      </w:pPr>
      <w:r w:rsidRPr="009849B4">
        <w:rPr>
          <w:sz w:val="18"/>
          <w:szCs w:val="18"/>
        </w:rPr>
        <w:t xml:space="preserve">Notes: </w:t>
      </w:r>
      <w:r w:rsidR="00B333A6">
        <w:rPr>
          <w:sz w:val="18"/>
          <w:szCs w:val="18"/>
        </w:rPr>
        <w:t>*NRM local groups include</w:t>
      </w:r>
      <w:r w:rsidR="00B333A6" w:rsidRPr="00B333A6">
        <w:t xml:space="preserve"> </w:t>
      </w:r>
      <w:proofErr w:type="spellStart"/>
      <w:r w:rsidR="00B333A6" w:rsidRPr="00B333A6">
        <w:rPr>
          <w:sz w:val="18"/>
          <w:szCs w:val="18"/>
        </w:rPr>
        <w:t>landcare</w:t>
      </w:r>
      <w:proofErr w:type="spellEnd"/>
      <w:r w:rsidR="00B333A6" w:rsidRPr="00B333A6">
        <w:rPr>
          <w:sz w:val="18"/>
          <w:szCs w:val="18"/>
        </w:rPr>
        <w:t xml:space="preserve"> groups and other ‘care’ groups such as </w:t>
      </w:r>
      <w:proofErr w:type="spellStart"/>
      <w:r w:rsidR="00B333A6" w:rsidRPr="00B333A6">
        <w:rPr>
          <w:sz w:val="18"/>
          <w:szCs w:val="18"/>
        </w:rPr>
        <w:t>bushcare</w:t>
      </w:r>
      <w:proofErr w:type="spellEnd"/>
      <w:r w:rsidR="00B333A6" w:rsidRPr="00B333A6">
        <w:rPr>
          <w:sz w:val="18"/>
          <w:szCs w:val="18"/>
        </w:rPr>
        <w:t xml:space="preserve">, </w:t>
      </w:r>
      <w:proofErr w:type="spellStart"/>
      <w:r w:rsidR="00B333A6" w:rsidRPr="00B333A6">
        <w:rPr>
          <w:sz w:val="18"/>
          <w:szCs w:val="18"/>
        </w:rPr>
        <w:t>coastcare</w:t>
      </w:r>
      <w:proofErr w:type="spellEnd"/>
      <w:r w:rsidR="00B333A6" w:rsidRPr="00B333A6">
        <w:rPr>
          <w:sz w:val="18"/>
          <w:szCs w:val="18"/>
        </w:rPr>
        <w:t xml:space="preserve">, </w:t>
      </w:r>
      <w:proofErr w:type="spellStart"/>
      <w:r w:rsidR="00B333A6" w:rsidRPr="00B333A6">
        <w:rPr>
          <w:sz w:val="18"/>
          <w:szCs w:val="18"/>
        </w:rPr>
        <w:t>rivercare</w:t>
      </w:r>
      <w:proofErr w:type="spellEnd"/>
      <w:r w:rsidR="00B333A6" w:rsidRPr="00B333A6">
        <w:rPr>
          <w:sz w:val="18"/>
          <w:szCs w:val="18"/>
        </w:rPr>
        <w:t xml:space="preserve"> etc, ‘friends of’ groups, other community environment groups, gro</w:t>
      </w:r>
      <w:r w:rsidR="00B333A6">
        <w:rPr>
          <w:sz w:val="18"/>
          <w:szCs w:val="18"/>
        </w:rPr>
        <w:t xml:space="preserve">wer groups, and individual land managers working in the </w:t>
      </w:r>
      <w:proofErr w:type="spellStart"/>
      <w:r w:rsidR="00B333A6">
        <w:rPr>
          <w:sz w:val="18"/>
          <w:szCs w:val="18"/>
        </w:rPr>
        <w:t>landcare</w:t>
      </w:r>
      <w:proofErr w:type="spellEnd"/>
      <w:r w:rsidR="00B333A6">
        <w:rPr>
          <w:sz w:val="18"/>
          <w:szCs w:val="18"/>
        </w:rPr>
        <w:t>/ NRM sector.</w:t>
      </w:r>
    </w:p>
    <w:p w14:paraId="01DBAD1C" w14:textId="77777777" w:rsidR="00554C52" w:rsidRPr="009849B4" w:rsidRDefault="00B333A6" w:rsidP="00554C52">
      <w:pPr>
        <w:rPr>
          <w:sz w:val="18"/>
          <w:szCs w:val="18"/>
        </w:rPr>
      </w:pPr>
      <w:r>
        <w:rPr>
          <w:sz w:val="18"/>
          <w:szCs w:val="18"/>
        </w:rPr>
        <w:t>^</w:t>
      </w:r>
      <w:r w:rsidR="00554C52" w:rsidRPr="009849B4">
        <w:rPr>
          <w:sz w:val="18"/>
          <w:szCs w:val="18"/>
        </w:rPr>
        <w:t>Other includes:</w:t>
      </w:r>
      <w:r w:rsidR="00617C55">
        <w:rPr>
          <w:sz w:val="18"/>
          <w:szCs w:val="18"/>
        </w:rPr>
        <w:t xml:space="preserve"> </w:t>
      </w:r>
      <w:r w:rsidR="00F61A4E">
        <w:rPr>
          <w:sz w:val="18"/>
          <w:szCs w:val="18"/>
        </w:rPr>
        <w:t>Aboriginal person involved in NLP1 delivery, Committee of Management; Conservation sector; Farmer; Landcare peak body; Landcare Victoria Incorporated; Public land manager, voluntary Board or Committee member; Rangeland landholder; Regional development group; community organisation.</w:t>
      </w:r>
    </w:p>
    <w:p w14:paraId="01DBAD1D" w14:textId="77777777" w:rsidR="003B0E2C" w:rsidRDefault="00F61A4E" w:rsidP="003B0E2C">
      <w:r>
        <w:t>Responses were received from two Indigenous organisations and one Aboriginal person involved in NLP1 delivery.</w:t>
      </w:r>
    </w:p>
    <w:p w14:paraId="01DBAD1E" w14:textId="77777777" w:rsidR="003B0E2C" w:rsidRDefault="00911338" w:rsidP="00F827E7">
      <w:pPr>
        <w:pStyle w:val="Heading1"/>
      </w:pPr>
      <w:bookmarkStart w:id="5" w:name="_Toc500248416"/>
      <w:r>
        <w:lastRenderedPageBreak/>
        <w:t>Summary of Findings</w:t>
      </w:r>
      <w:bookmarkEnd w:id="5"/>
    </w:p>
    <w:p w14:paraId="01DBAD1F" w14:textId="77777777" w:rsidR="00266C8A" w:rsidRPr="00266C8A" w:rsidRDefault="00266C8A" w:rsidP="00266C8A"/>
    <w:p w14:paraId="01DBAD20" w14:textId="77777777" w:rsidR="00113ECE" w:rsidRDefault="00786062" w:rsidP="00952C03">
      <w:pPr>
        <w:pStyle w:val="Heading2"/>
        <w:rPr>
          <w:lang w:eastAsia="en-AU"/>
        </w:rPr>
      </w:pPr>
      <w:bookmarkStart w:id="6" w:name="_Toc500248417"/>
      <w:r>
        <w:rPr>
          <w:lang w:eastAsia="en-AU"/>
        </w:rPr>
        <w:t>Issue 1</w:t>
      </w:r>
      <w:bookmarkEnd w:id="6"/>
    </w:p>
    <w:p w14:paraId="01DBAD21" w14:textId="77777777" w:rsidR="00952C03" w:rsidRPr="00857B18" w:rsidRDefault="00952C03" w:rsidP="00617C55">
      <w:pPr>
        <w:spacing w:after="0"/>
        <w:rPr>
          <w:rFonts w:cs="Segoe UI"/>
          <w:b/>
          <w:sz w:val="2"/>
          <w:szCs w:val="2"/>
        </w:rPr>
      </w:pPr>
    </w:p>
    <w:p w14:paraId="01DBAD22" w14:textId="77777777" w:rsidR="008F6C08" w:rsidRDefault="008F6C08" w:rsidP="00617C55">
      <w:pPr>
        <w:pStyle w:val="Boxtext0"/>
        <w:rPr>
          <w:sz w:val="22"/>
        </w:rPr>
      </w:pPr>
    </w:p>
    <w:p w14:paraId="01DBAD23" w14:textId="77777777" w:rsidR="00952C03" w:rsidRPr="008F6C08" w:rsidRDefault="00113ECE" w:rsidP="00617C55">
      <w:pPr>
        <w:pStyle w:val="Boxtext0"/>
        <w:rPr>
          <w:sz w:val="22"/>
        </w:rPr>
      </w:pPr>
      <w:r w:rsidRPr="008F6C08">
        <w:rPr>
          <w:sz w:val="22"/>
        </w:rPr>
        <w:t>The Review of the National Landcare Program identified elements of the current regional model that are important</w:t>
      </w:r>
      <w:r w:rsidR="00952C03" w:rsidRPr="008F6C08">
        <w:rPr>
          <w:sz w:val="22"/>
        </w:rPr>
        <w:t xml:space="preserve"> to the success of the Program:</w:t>
      </w:r>
    </w:p>
    <w:p w14:paraId="01DBAD24" w14:textId="77777777" w:rsidR="00952C03" w:rsidRPr="008F6C08" w:rsidRDefault="00952C03" w:rsidP="00952C03">
      <w:pPr>
        <w:pStyle w:val="Boxbullets"/>
        <w:rPr>
          <w:sz w:val="22"/>
          <w:lang w:eastAsia="en-AU"/>
        </w:rPr>
      </w:pPr>
      <w:r w:rsidRPr="008F6C08">
        <w:rPr>
          <w:sz w:val="22"/>
          <w:lang w:eastAsia="en-AU"/>
        </w:rPr>
        <w:t>National coverage</w:t>
      </w:r>
    </w:p>
    <w:p w14:paraId="01DBAD25" w14:textId="77777777" w:rsidR="00952C03" w:rsidRPr="008F6C08" w:rsidRDefault="00952C03" w:rsidP="00952C03">
      <w:pPr>
        <w:pStyle w:val="Boxbullets"/>
        <w:rPr>
          <w:sz w:val="22"/>
          <w:lang w:eastAsia="en-AU"/>
        </w:rPr>
      </w:pPr>
      <w:r w:rsidRPr="008F6C08">
        <w:rPr>
          <w:sz w:val="22"/>
          <w:lang w:eastAsia="en-AU"/>
        </w:rPr>
        <w:t>Ability to connect to community, including involving Indigenous people  </w:t>
      </w:r>
    </w:p>
    <w:p w14:paraId="01DBAD26" w14:textId="77777777" w:rsidR="00952C03" w:rsidRPr="008F6C08" w:rsidRDefault="00952C03" w:rsidP="00952C03">
      <w:pPr>
        <w:pStyle w:val="Boxbullets"/>
        <w:rPr>
          <w:sz w:val="22"/>
          <w:lang w:eastAsia="en-AU"/>
        </w:rPr>
      </w:pPr>
      <w:r w:rsidRPr="008F6C08">
        <w:rPr>
          <w:sz w:val="22"/>
          <w:lang w:eastAsia="en-AU"/>
        </w:rPr>
        <w:t>Regional-scale planning and strategic approaches</w:t>
      </w:r>
    </w:p>
    <w:p w14:paraId="01DBAD27" w14:textId="77777777" w:rsidR="00952C03" w:rsidRPr="008F6C08" w:rsidRDefault="00952C03" w:rsidP="00952C03">
      <w:pPr>
        <w:pStyle w:val="Boxbullets"/>
        <w:rPr>
          <w:b/>
          <w:sz w:val="22"/>
        </w:rPr>
      </w:pPr>
      <w:r w:rsidRPr="008F6C08">
        <w:rPr>
          <w:sz w:val="22"/>
        </w:rPr>
        <w:t>More effective reporting</w:t>
      </w:r>
      <w:r w:rsidRPr="008F6C08">
        <w:rPr>
          <w:b/>
          <w:sz w:val="22"/>
          <w:lang w:eastAsia="en-AU"/>
        </w:rPr>
        <w:t xml:space="preserve"> </w:t>
      </w:r>
    </w:p>
    <w:p w14:paraId="01DBAD28" w14:textId="77777777" w:rsidR="00952C03" w:rsidRPr="008F6C08" w:rsidRDefault="00952C03" w:rsidP="00F61A4E">
      <w:pPr>
        <w:pStyle w:val="Boxbullets"/>
        <w:numPr>
          <w:ilvl w:val="0"/>
          <w:numId w:val="0"/>
        </w:numPr>
        <w:rPr>
          <w:b/>
          <w:sz w:val="22"/>
        </w:rPr>
      </w:pPr>
    </w:p>
    <w:p w14:paraId="01DBAD29" w14:textId="77777777" w:rsidR="00113ECE" w:rsidRPr="008F6C08" w:rsidRDefault="00952C03" w:rsidP="00F61A4E">
      <w:pPr>
        <w:pStyle w:val="Boxbullets"/>
        <w:numPr>
          <w:ilvl w:val="0"/>
          <w:numId w:val="0"/>
        </w:numPr>
        <w:rPr>
          <w:b/>
          <w:sz w:val="22"/>
        </w:rPr>
      </w:pPr>
      <w:r w:rsidRPr="008F6C08">
        <w:rPr>
          <w:b/>
          <w:sz w:val="22"/>
        </w:rPr>
        <w:t xml:space="preserve">Consultation </w:t>
      </w:r>
      <w:r w:rsidR="00F827E7" w:rsidRPr="008F6C08">
        <w:rPr>
          <w:b/>
          <w:sz w:val="22"/>
        </w:rPr>
        <w:t>Question 1:</w:t>
      </w:r>
      <w:r w:rsidR="00113ECE" w:rsidRPr="008F6C08">
        <w:rPr>
          <w:b/>
          <w:sz w:val="22"/>
        </w:rPr>
        <w:t xml:space="preserve"> Are there any other key elements of the current regional model that should be retained?</w:t>
      </w:r>
    </w:p>
    <w:p w14:paraId="01DBAD2A" w14:textId="77777777" w:rsidR="00952C03" w:rsidRDefault="00952C03" w:rsidP="00F61A4E">
      <w:pPr>
        <w:pStyle w:val="Boxbullets"/>
        <w:numPr>
          <w:ilvl w:val="0"/>
          <w:numId w:val="0"/>
        </w:numPr>
      </w:pPr>
    </w:p>
    <w:p w14:paraId="01DBAD2B" w14:textId="77777777" w:rsidR="00952C03" w:rsidRPr="00857B18" w:rsidRDefault="00952C03" w:rsidP="00617C55">
      <w:pPr>
        <w:pStyle w:val="ListBullet"/>
        <w:numPr>
          <w:ilvl w:val="0"/>
          <w:numId w:val="0"/>
        </w:numPr>
        <w:ind w:left="454" w:hanging="454"/>
        <w:rPr>
          <w:rFonts w:cs="Segoe UI"/>
          <w:sz w:val="2"/>
          <w:szCs w:val="2"/>
        </w:rPr>
      </w:pPr>
    </w:p>
    <w:p w14:paraId="01DBAD2C" w14:textId="77777777" w:rsidR="00F12833" w:rsidRDefault="00F12833" w:rsidP="00F12833">
      <w:pPr>
        <w:pStyle w:val="TableHeading"/>
      </w:pPr>
      <w:bookmarkStart w:id="7" w:name="_Toc500248425"/>
      <w:r>
        <w:t>Main themes for Issue 1</w:t>
      </w:r>
      <w:bookmarkEnd w:id="7"/>
    </w:p>
    <w:tbl>
      <w:tblPr>
        <w:tblStyle w:val="ARTDTable"/>
        <w:tblW w:w="9261" w:type="dxa"/>
        <w:tblLook w:val="04A0" w:firstRow="1" w:lastRow="0" w:firstColumn="1" w:lastColumn="0" w:noHBand="0" w:noVBand="1"/>
      </w:tblPr>
      <w:tblGrid>
        <w:gridCol w:w="7371"/>
        <w:gridCol w:w="851"/>
        <w:gridCol w:w="1039"/>
      </w:tblGrid>
      <w:tr w:rsidR="00F12833" w14:paraId="01DBAD30" w14:textId="77777777" w:rsidTr="00072CEF">
        <w:trPr>
          <w:cnfStyle w:val="100000000000" w:firstRow="1" w:lastRow="0" w:firstColumn="0" w:lastColumn="0" w:oddVBand="0" w:evenVBand="0" w:oddHBand="0" w:evenHBand="0" w:firstRowFirstColumn="0" w:firstRowLastColumn="0" w:lastRowFirstColumn="0" w:lastRowLastColumn="0"/>
        </w:trPr>
        <w:tc>
          <w:tcPr>
            <w:tcW w:w="7371" w:type="dxa"/>
          </w:tcPr>
          <w:p w14:paraId="01DBAD2D" w14:textId="77777777" w:rsidR="00F12833" w:rsidRDefault="00F12833" w:rsidP="00F12833">
            <w:pPr>
              <w:pStyle w:val="Tablebodytext"/>
            </w:pPr>
            <w:r>
              <w:t>Theme</w:t>
            </w:r>
          </w:p>
        </w:tc>
        <w:tc>
          <w:tcPr>
            <w:tcW w:w="851" w:type="dxa"/>
          </w:tcPr>
          <w:p w14:paraId="01DBAD2E" w14:textId="77777777" w:rsidR="00F12833" w:rsidRDefault="00F12833" w:rsidP="00072CEF">
            <w:pPr>
              <w:pStyle w:val="Tablebodytext"/>
              <w:jc w:val="right"/>
            </w:pPr>
            <w:r>
              <w:t>Number</w:t>
            </w:r>
          </w:p>
        </w:tc>
        <w:tc>
          <w:tcPr>
            <w:tcW w:w="1039" w:type="dxa"/>
          </w:tcPr>
          <w:p w14:paraId="01DBAD2F" w14:textId="77777777" w:rsidR="00F12833" w:rsidRDefault="00F12833" w:rsidP="00072CEF">
            <w:pPr>
              <w:pStyle w:val="Tablebodytext"/>
              <w:jc w:val="right"/>
            </w:pPr>
            <w:r>
              <w:t>Percent</w:t>
            </w:r>
          </w:p>
        </w:tc>
      </w:tr>
      <w:tr w:rsidR="00F12833" w14:paraId="01DBAD34" w14:textId="77777777" w:rsidTr="00072CEF">
        <w:tc>
          <w:tcPr>
            <w:tcW w:w="7371" w:type="dxa"/>
          </w:tcPr>
          <w:p w14:paraId="01DBAD31" w14:textId="77777777" w:rsidR="00F12833" w:rsidRPr="00EA223D" w:rsidRDefault="00F12833" w:rsidP="00F12833">
            <w:pPr>
              <w:pStyle w:val="Tablebodytext"/>
            </w:pPr>
            <w:r w:rsidRPr="00EA223D">
              <w:t xml:space="preserve">Communications/ partnerships between Regional NRM bodies and local groups </w:t>
            </w:r>
          </w:p>
        </w:tc>
        <w:tc>
          <w:tcPr>
            <w:tcW w:w="851" w:type="dxa"/>
          </w:tcPr>
          <w:p w14:paraId="01DBAD32" w14:textId="77777777" w:rsidR="00F12833" w:rsidRDefault="00F12833" w:rsidP="00072CEF">
            <w:pPr>
              <w:pStyle w:val="Tablebodytext"/>
              <w:jc w:val="right"/>
            </w:pPr>
            <w:r>
              <w:t>29</w:t>
            </w:r>
          </w:p>
        </w:tc>
        <w:tc>
          <w:tcPr>
            <w:tcW w:w="1039" w:type="dxa"/>
          </w:tcPr>
          <w:p w14:paraId="01DBAD33" w14:textId="77777777" w:rsidR="00F12833" w:rsidRDefault="00F12833" w:rsidP="00072CEF">
            <w:pPr>
              <w:pStyle w:val="Tablebodytext"/>
              <w:jc w:val="right"/>
            </w:pPr>
            <w:r>
              <w:t>26%</w:t>
            </w:r>
          </w:p>
        </w:tc>
      </w:tr>
      <w:tr w:rsidR="00F12833" w14:paraId="01DBAD38" w14:textId="77777777" w:rsidTr="00072CEF">
        <w:tc>
          <w:tcPr>
            <w:tcW w:w="7371" w:type="dxa"/>
          </w:tcPr>
          <w:p w14:paraId="01DBAD35" w14:textId="77777777" w:rsidR="00F12833" w:rsidRPr="00EA223D" w:rsidRDefault="00F12833" w:rsidP="00F12833">
            <w:pPr>
              <w:pStyle w:val="Tablebodytext"/>
            </w:pPr>
            <w:r w:rsidRPr="00EA223D">
              <w:t xml:space="preserve">Long-term planning and funding </w:t>
            </w:r>
          </w:p>
        </w:tc>
        <w:tc>
          <w:tcPr>
            <w:tcW w:w="851" w:type="dxa"/>
          </w:tcPr>
          <w:p w14:paraId="01DBAD36" w14:textId="77777777" w:rsidR="00F12833" w:rsidRDefault="00F12833" w:rsidP="00072CEF">
            <w:pPr>
              <w:pStyle w:val="Tablebodytext"/>
              <w:jc w:val="right"/>
            </w:pPr>
            <w:r>
              <w:t>21</w:t>
            </w:r>
          </w:p>
        </w:tc>
        <w:tc>
          <w:tcPr>
            <w:tcW w:w="1039" w:type="dxa"/>
          </w:tcPr>
          <w:p w14:paraId="01DBAD37" w14:textId="77777777" w:rsidR="00F12833" w:rsidRDefault="00F12833" w:rsidP="00072CEF">
            <w:pPr>
              <w:pStyle w:val="Tablebodytext"/>
              <w:jc w:val="right"/>
            </w:pPr>
            <w:r>
              <w:t>19%</w:t>
            </w:r>
          </w:p>
        </w:tc>
      </w:tr>
      <w:tr w:rsidR="00F12833" w14:paraId="01DBAD3C" w14:textId="77777777" w:rsidTr="00072CEF">
        <w:tc>
          <w:tcPr>
            <w:tcW w:w="7371" w:type="dxa"/>
          </w:tcPr>
          <w:p w14:paraId="01DBAD39" w14:textId="77777777" w:rsidR="00F12833" w:rsidRPr="00EA223D" w:rsidRDefault="00F12833" w:rsidP="00F12833">
            <w:pPr>
              <w:pStyle w:val="Tablebodytext"/>
            </w:pPr>
            <w:r w:rsidRPr="00EA223D">
              <w:t xml:space="preserve">The engagement of local community members/ groups </w:t>
            </w:r>
          </w:p>
        </w:tc>
        <w:tc>
          <w:tcPr>
            <w:tcW w:w="851" w:type="dxa"/>
          </w:tcPr>
          <w:p w14:paraId="01DBAD3A" w14:textId="77777777" w:rsidR="00F12833" w:rsidRDefault="00F12833" w:rsidP="00072CEF">
            <w:pPr>
              <w:pStyle w:val="Tablebodytext"/>
              <w:jc w:val="right"/>
            </w:pPr>
            <w:r>
              <w:t>11</w:t>
            </w:r>
          </w:p>
        </w:tc>
        <w:tc>
          <w:tcPr>
            <w:tcW w:w="1039" w:type="dxa"/>
          </w:tcPr>
          <w:p w14:paraId="01DBAD3B" w14:textId="77777777" w:rsidR="00F12833" w:rsidRDefault="00F12833" w:rsidP="00072CEF">
            <w:pPr>
              <w:pStyle w:val="Tablebodytext"/>
              <w:jc w:val="right"/>
            </w:pPr>
            <w:r>
              <w:t>10%</w:t>
            </w:r>
          </w:p>
        </w:tc>
      </w:tr>
      <w:tr w:rsidR="00F12833" w14:paraId="01DBAD40" w14:textId="77777777" w:rsidTr="00072CEF">
        <w:tc>
          <w:tcPr>
            <w:tcW w:w="7371" w:type="dxa"/>
          </w:tcPr>
          <w:p w14:paraId="01DBAD3D" w14:textId="77777777" w:rsidR="00F12833" w:rsidRPr="00EA223D" w:rsidRDefault="00DF563C" w:rsidP="00F12833">
            <w:pPr>
              <w:pStyle w:val="Tablebodytext"/>
            </w:pPr>
            <w:r>
              <w:t>Restrict administrative burden</w:t>
            </w:r>
            <w:r w:rsidR="00F12833" w:rsidRPr="00EA223D">
              <w:t xml:space="preserve"> </w:t>
            </w:r>
          </w:p>
        </w:tc>
        <w:tc>
          <w:tcPr>
            <w:tcW w:w="851" w:type="dxa"/>
          </w:tcPr>
          <w:p w14:paraId="01DBAD3E" w14:textId="77777777" w:rsidR="00F12833" w:rsidRDefault="00F12833" w:rsidP="00072CEF">
            <w:pPr>
              <w:pStyle w:val="Tablebodytext"/>
              <w:jc w:val="right"/>
            </w:pPr>
            <w:r>
              <w:t>11</w:t>
            </w:r>
          </w:p>
        </w:tc>
        <w:tc>
          <w:tcPr>
            <w:tcW w:w="1039" w:type="dxa"/>
          </w:tcPr>
          <w:p w14:paraId="01DBAD3F" w14:textId="77777777" w:rsidR="00F12833" w:rsidRDefault="00F12833" w:rsidP="00072CEF">
            <w:pPr>
              <w:pStyle w:val="Tablebodytext"/>
              <w:jc w:val="right"/>
            </w:pPr>
            <w:r>
              <w:t>10%</w:t>
            </w:r>
          </w:p>
        </w:tc>
      </w:tr>
      <w:tr w:rsidR="00F12833" w14:paraId="01DBAD44" w14:textId="77777777" w:rsidTr="00072CEF">
        <w:tc>
          <w:tcPr>
            <w:tcW w:w="7371" w:type="dxa"/>
          </w:tcPr>
          <w:p w14:paraId="01DBAD41" w14:textId="77777777" w:rsidR="00F12833" w:rsidRPr="00EA223D" w:rsidRDefault="00F12833" w:rsidP="00F12833">
            <w:pPr>
              <w:pStyle w:val="Tablebodytext"/>
            </w:pPr>
            <w:r w:rsidRPr="00EA223D">
              <w:t xml:space="preserve">Indigenous involvement </w:t>
            </w:r>
          </w:p>
        </w:tc>
        <w:tc>
          <w:tcPr>
            <w:tcW w:w="851" w:type="dxa"/>
          </w:tcPr>
          <w:p w14:paraId="01DBAD42" w14:textId="77777777" w:rsidR="00F12833" w:rsidRDefault="00F12833" w:rsidP="00072CEF">
            <w:pPr>
              <w:pStyle w:val="Tablebodytext"/>
              <w:jc w:val="right"/>
            </w:pPr>
            <w:r>
              <w:t>8</w:t>
            </w:r>
          </w:p>
        </w:tc>
        <w:tc>
          <w:tcPr>
            <w:tcW w:w="1039" w:type="dxa"/>
          </w:tcPr>
          <w:p w14:paraId="01DBAD43" w14:textId="77777777" w:rsidR="00F12833" w:rsidRDefault="00F12833" w:rsidP="00072CEF">
            <w:pPr>
              <w:pStyle w:val="Tablebodytext"/>
              <w:jc w:val="right"/>
            </w:pPr>
            <w:r>
              <w:t>7%</w:t>
            </w:r>
          </w:p>
        </w:tc>
      </w:tr>
    </w:tbl>
    <w:p w14:paraId="01DBAD45" w14:textId="77777777" w:rsidR="00F12833" w:rsidRPr="00F12833" w:rsidRDefault="00F12833" w:rsidP="00C43EEA">
      <w:pPr>
        <w:rPr>
          <w:sz w:val="18"/>
          <w:szCs w:val="18"/>
        </w:rPr>
      </w:pPr>
      <w:r w:rsidRPr="00F12833">
        <w:rPr>
          <w:sz w:val="18"/>
          <w:szCs w:val="18"/>
        </w:rPr>
        <w:t>Total respondents = 110</w:t>
      </w:r>
    </w:p>
    <w:p w14:paraId="01DBAD46" w14:textId="77777777" w:rsidR="00447264" w:rsidRDefault="00447264" w:rsidP="003722DD">
      <w:pPr>
        <w:pStyle w:val="Heading3"/>
      </w:pPr>
      <w:r>
        <w:t xml:space="preserve">Communications/ partnerships between Regional NRM bodies and local groups </w:t>
      </w:r>
    </w:p>
    <w:p w14:paraId="01DBAD47" w14:textId="77777777" w:rsidR="00447264" w:rsidRDefault="00647572" w:rsidP="00447264">
      <w:pPr>
        <w:rPr>
          <w:bCs/>
        </w:rPr>
      </w:pPr>
      <w:r>
        <w:rPr>
          <w:bCs/>
        </w:rPr>
        <w:t>Survey participants</w:t>
      </w:r>
      <w:r w:rsidR="00E35A41">
        <w:rPr>
          <w:bCs/>
        </w:rPr>
        <w:t xml:space="preserve"> commented on the benefits</w:t>
      </w:r>
      <w:r w:rsidR="00447264">
        <w:rPr>
          <w:bCs/>
        </w:rPr>
        <w:t xml:space="preserve"> of the devolved regional model for planning, coordination, distribution of fund</w:t>
      </w:r>
      <w:r w:rsidR="00AE61F2">
        <w:rPr>
          <w:bCs/>
        </w:rPr>
        <w:t>s and oversight of the National Landcare Program Phase 2</w:t>
      </w:r>
      <w:r w:rsidR="00447264">
        <w:rPr>
          <w:bCs/>
        </w:rPr>
        <w:t>. Some pointed out that this was important to improved coordination between regional management units and service provide</w:t>
      </w:r>
      <w:r w:rsidR="00911338">
        <w:rPr>
          <w:bCs/>
        </w:rPr>
        <w:t>r</w:t>
      </w:r>
      <w:r w:rsidR="00447264">
        <w:rPr>
          <w:bCs/>
        </w:rPr>
        <w:t xml:space="preserve">s. </w:t>
      </w:r>
    </w:p>
    <w:p w14:paraId="01DBAD48" w14:textId="77777777" w:rsidR="00C43EEA" w:rsidRDefault="00C43EEA" w:rsidP="003722DD">
      <w:pPr>
        <w:pStyle w:val="Heading3"/>
      </w:pPr>
      <w:r>
        <w:t xml:space="preserve">Long-term planning and funding </w:t>
      </w:r>
    </w:p>
    <w:p w14:paraId="01DBAD49" w14:textId="77777777" w:rsidR="00D9590C" w:rsidRPr="00D9590C" w:rsidRDefault="0090209B" w:rsidP="00D9590C">
      <w:r>
        <w:t>The majority of responses on this theme supported the preservation of long</w:t>
      </w:r>
      <w:r w:rsidR="00ED2062">
        <w:t>-</w:t>
      </w:r>
      <w:r>
        <w:t>term</w:t>
      </w:r>
      <w:r w:rsidR="00ED2062">
        <w:t xml:space="preserve"> funding cycles, lasting a minimum of 5 years. Many responses also supported the preservation of </w:t>
      </w:r>
      <w:r w:rsidR="00ED2062">
        <w:lastRenderedPageBreak/>
        <w:t>long-term regional</w:t>
      </w:r>
      <w:r w:rsidR="00856C53">
        <w:t xml:space="preserve"> management</w:t>
      </w:r>
      <w:r w:rsidR="00ED2062">
        <w:t xml:space="preserve"> plans, which have already been created in consultation with community groups. </w:t>
      </w:r>
    </w:p>
    <w:p w14:paraId="01DBAD4A" w14:textId="77777777" w:rsidR="00C43EEA" w:rsidRDefault="00707F3D" w:rsidP="003722DD">
      <w:pPr>
        <w:pStyle w:val="Heading3"/>
      </w:pPr>
      <w:r>
        <w:t>The engagement of local community members/ groups</w:t>
      </w:r>
      <w:r w:rsidR="00C43EEA">
        <w:t xml:space="preserve"> </w:t>
      </w:r>
    </w:p>
    <w:p w14:paraId="01DBAD4B" w14:textId="77777777" w:rsidR="00C43EEA" w:rsidRDefault="00707F3D" w:rsidP="00C43EEA">
      <w:pPr>
        <w:rPr>
          <w:bCs/>
        </w:rPr>
      </w:pPr>
      <w:r>
        <w:rPr>
          <w:bCs/>
        </w:rPr>
        <w:t>Responses</w:t>
      </w:r>
      <w:r w:rsidR="00C43EEA">
        <w:rPr>
          <w:bCs/>
        </w:rPr>
        <w:t xml:space="preserve"> commented on the importance of retaining a focus on local community engagement and del</w:t>
      </w:r>
      <w:r w:rsidR="00AE61F2">
        <w:rPr>
          <w:bCs/>
        </w:rPr>
        <w:t>ivery to ensure that the National Landcare Program Phase 2</w:t>
      </w:r>
      <w:r w:rsidR="00C43EEA">
        <w:rPr>
          <w:bCs/>
        </w:rPr>
        <w:t xml:space="preserve"> caters to a diverse r</w:t>
      </w:r>
      <w:r>
        <w:rPr>
          <w:bCs/>
        </w:rPr>
        <w:t>ange of environments. Survey participants</w:t>
      </w:r>
      <w:r w:rsidR="00C43EEA">
        <w:rPr>
          <w:bCs/>
        </w:rPr>
        <w:t xml:space="preserve"> felt it was important that they had influence in decision making processes.</w:t>
      </w:r>
      <w:r w:rsidR="00AE7096">
        <w:rPr>
          <w:bCs/>
        </w:rPr>
        <w:t xml:space="preserve"> Some responses focused on</w:t>
      </w:r>
      <w:r>
        <w:rPr>
          <w:bCs/>
        </w:rPr>
        <w:t xml:space="preserve"> the need to support the long-term capacity of local groups in the context</w:t>
      </w:r>
      <w:r w:rsidR="00C036B1">
        <w:rPr>
          <w:bCs/>
        </w:rPr>
        <w:t xml:space="preserve"> of increased competition in</w:t>
      </w:r>
      <w:r>
        <w:rPr>
          <w:bCs/>
        </w:rPr>
        <w:t xml:space="preserve"> the proposed tender process. </w:t>
      </w:r>
      <w:r w:rsidR="00C43EEA">
        <w:rPr>
          <w:bCs/>
        </w:rPr>
        <w:t xml:space="preserve"> </w:t>
      </w:r>
    </w:p>
    <w:p w14:paraId="01DBAD4C" w14:textId="77777777" w:rsidR="00C43EEA" w:rsidRDefault="00DF563C" w:rsidP="003722DD">
      <w:pPr>
        <w:pStyle w:val="Heading3"/>
      </w:pPr>
      <w:r>
        <w:t>Restrict administrative burden</w:t>
      </w:r>
    </w:p>
    <w:p w14:paraId="01DBAD4D" w14:textId="77777777" w:rsidR="00C43EEA" w:rsidRDefault="00C43EEA" w:rsidP="00C43EEA">
      <w:pPr>
        <w:rPr>
          <w:bCs/>
        </w:rPr>
      </w:pPr>
      <w:r>
        <w:rPr>
          <w:bCs/>
        </w:rPr>
        <w:t>Some</w:t>
      </w:r>
      <w:r w:rsidR="00415689">
        <w:rPr>
          <w:bCs/>
        </w:rPr>
        <w:t xml:space="preserve"> survey responses </w:t>
      </w:r>
      <w:r>
        <w:rPr>
          <w:bCs/>
        </w:rPr>
        <w:t>expressed concern that</w:t>
      </w:r>
      <w:r w:rsidR="00787478">
        <w:rPr>
          <w:bCs/>
        </w:rPr>
        <w:t xml:space="preserve"> the</w:t>
      </w:r>
      <w:r>
        <w:rPr>
          <w:bCs/>
        </w:rPr>
        <w:t xml:space="preserve"> bureaucratic process is holding back</w:t>
      </w:r>
      <w:r w:rsidR="00787478">
        <w:rPr>
          <w:bCs/>
        </w:rPr>
        <w:t xml:space="preserve"> the</w:t>
      </w:r>
      <w:r w:rsidR="00AE61F2">
        <w:rPr>
          <w:bCs/>
        </w:rPr>
        <w:t xml:space="preserve"> delivery of the National Landcare Program,</w:t>
      </w:r>
      <w:r>
        <w:rPr>
          <w:bCs/>
        </w:rPr>
        <w:t xml:space="preserve"> on the ground – increasing costs and reducing effectiveness.</w:t>
      </w:r>
      <w:r w:rsidR="00415689">
        <w:rPr>
          <w:bCs/>
        </w:rPr>
        <w:t xml:space="preserve"> These responses highlight </w:t>
      </w:r>
      <w:r w:rsidR="00F81DEB">
        <w:rPr>
          <w:bCs/>
        </w:rPr>
        <w:t>that it is more difficult</w:t>
      </w:r>
      <w:r w:rsidR="00CB142A">
        <w:rPr>
          <w:bCs/>
        </w:rPr>
        <w:t xml:space="preserve"> to build trust and facilitate engagement when imposing bureaucratic restrictions</w:t>
      </w:r>
      <w:r w:rsidR="00F81DEB">
        <w:rPr>
          <w:bCs/>
        </w:rPr>
        <w:t>.</w:t>
      </w:r>
      <w:r w:rsidR="00950B79">
        <w:rPr>
          <w:bCs/>
        </w:rPr>
        <w:t xml:space="preserve"> Other</w:t>
      </w:r>
      <w:r w:rsidR="00787478">
        <w:rPr>
          <w:bCs/>
        </w:rPr>
        <w:t xml:space="preserve"> responses e</w:t>
      </w:r>
      <w:r w:rsidR="00033A4A">
        <w:rPr>
          <w:bCs/>
        </w:rPr>
        <w:t>xpressed support for using</w:t>
      </w:r>
      <w:r w:rsidR="00787478">
        <w:rPr>
          <w:bCs/>
        </w:rPr>
        <w:t xml:space="preserve"> the MERIT reporting tool.</w:t>
      </w:r>
      <w:r>
        <w:rPr>
          <w:bCs/>
        </w:rPr>
        <w:t xml:space="preserve"> </w:t>
      </w:r>
    </w:p>
    <w:p w14:paraId="01DBAD4E" w14:textId="77777777" w:rsidR="00C43EEA" w:rsidRDefault="00715E0F" w:rsidP="003722DD">
      <w:pPr>
        <w:pStyle w:val="Heading3"/>
      </w:pPr>
      <w:r>
        <w:t>Indigenous involvement</w:t>
      </w:r>
    </w:p>
    <w:p w14:paraId="01DBAD4F" w14:textId="77777777" w:rsidR="00113ECE" w:rsidRDefault="00221F75" w:rsidP="00113ECE">
      <w:r>
        <w:t>Some survey responses</w:t>
      </w:r>
      <w:r w:rsidR="00C43EEA">
        <w:t xml:space="preserve"> praised the commitment to increasing Indig</w:t>
      </w:r>
      <w:r w:rsidR="00950B79">
        <w:t>enous participation in NRM. These responses</w:t>
      </w:r>
      <w:r w:rsidR="00C43EEA">
        <w:t xml:space="preserve"> included comments on the importance of fully-funded Indigenous NRM Partnership positions to work with local Indigenous communities. </w:t>
      </w:r>
      <w:r w:rsidR="00950B79">
        <w:t>Other s</w:t>
      </w:r>
      <w:r>
        <w:t>urvey responses expressed the view that e</w:t>
      </w:r>
      <w:r w:rsidR="00C43EEA">
        <w:t>nsuring Indigenous persons are employed in NRM units improves working processes and relationships with local community groups.</w:t>
      </w:r>
      <w:r>
        <w:t xml:space="preserve"> </w:t>
      </w:r>
    </w:p>
    <w:p w14:paraId="01DBAD50" w14:textId="77777777" w:rsidR="001334F9" w:rsidRDefault="0084260F" w:rsidP="00786062">
      <w:pPr>
        <w:pStyle w:val="Heading2"/>
      </w:pPr>
      <w:bookmarkStart w:id="8" w:name="_Toc434927212"/>
      <w:bookmarkStart w:id="9" w:name="_Toc500248418"/>
      <w:bookmarkEnd w:id="2"/>
      <w:bookmarkEnd w:id="8"/>
      <w:r>
        <w:t>Issue</w:t>
      </w:r>
      <w:r w:rsidR="003B0E2C">
        <w:t xml:space="preserve"> 2</w:t>
      </w:r>
      <w:bookmarkEnd w:id="9"/>
    </w:p>
    <w:p w14:paraId="01DBAD51" w14:textId="77777777" w:rsidR="00B1151F" w:rsidRPr="00857B18" w:rsidRDefault="00B1151F" w:rsidP="004B726E">
      <w:pPr>
        <w:spacing w:after="0"/>
        <w:rPr>
          <w:rFonts w:cs="Segoe UI"/>
          <w:b/>
          <w:sz w:val="2"/>
          <w:szCs w:val="2"/>
        </w:rPr>
      </w:pPr>
    </w:p>
    <w:p w14:paraId="01DBAD52" w14:textId="77777777" w:rsidR="008F6C08" w:rsidRDefault="008F6C08" w:rsidP="00B1151F">
      <w:pPr>
        <w:pStyle w:val="Boxtext0"/>
        <w:rPr>
          <w:sz w:val="22"/>
        </w:rPr>
      </w:pPr>
    </w:p>
    <w:p w14:paraId="01DBAD53" w14:textId="77777777" w:rsidR="00B1151F" w:rsidRPr="008F6C08" w:rsidRDefault="00B1151F" w:rsidP="00B1151F">
      <w:pPr>
        <w:pStyle w:val="Boxtext0"/>
        <w:rPr>
          <w:sz w:val="22"/>
        </w:rPr>
      </w:pPr>
      <w:r w:rsidRPr="008F6C08">
        <w:rPr>
          <w:sz w:val="22"/>
        </w:rPr>
        <w:t>Stakeholder feedback received through the review as well as other less formal avenues has indicated that some organisations and sectors of the Natural Resource Management community have not been effectively connected through the current Program (for example, agriculture industry groups). </w:t>
      </w:r>
    </w:p>
    <w:p w14:paraId="01DBAD54" w14:textId="77777777" w:rsidR="00B1151F" w:rsidRDefault="00B1151F" w:rsidP="00B1151F">
      <w:pPr>
        <w:pStyle w:val="Boxtext0"/>
        <w:rPr>
          <w:b/>
          <w:sz w:val="22"/>
        </w:rPr>
      </w:pPr>
      <w:r w:rsidRPr="008F6C08">
        <w:rPr>
          <w:b/>
          <w:sz w:val="22"/>
        </w:rPr>
        <w:t>Question 2a: How can the Government ensure there are opportunities for communities and industry to engage in Regional Land Partnerships?</w:t>
      </w:r>
    </w:p>
    <w:p w14:paraId="01DBAD55" w14:textId="77777777" w:rsidR="008F6C08" w:rsidRPr="008F6C08" w:rsidRDefault="008F6C08" w:rsidP="00B1151F">
      <w:pPr>
        <w:pStyle w:val="Boxtext0"/>
        <w:rPr>
          <w:b/>
          <w:sz w:val="22"/>
        </w:rPr>
      </w:pPr>
    </w:p>
    <w:p w14:paraId="01DBAD56" w14:textId="77777777" w:rsidR="00B1151F" w:rsidRPr="00857B18" w:rsidRDefault="00B1151F" w:rsidP="004B726E">
      <w:pPr>
        <w:pStyle w:val="ListBullet"/>
        <w:numPr>
          <w:ilvl w:val="0"/>
          <w:numId w:val="0"/>
        </w:numPr>
        <w:ind w:left="454" w:hanging="454"/>
        <w:rPr>
          <w:rFonts w:cs="Segoe UI"/>
          <w:sz w:val="2"/>
          <w:szCs w:val="2"/>
        </w:rPr>
      </w:pPr>
    </w:p>
    <w:p w14:paraId="01DBAD57" w14:textId="77777777" w:rsidR="009B743F" w:rsidRDefault="009B743F" w:rsidP="009B743F">
      <w:pPr>
        <w:pStyle w:val="TableHeading"/>
        <w:numPr>
          <w:ilvl w:val="0"/>
          <w:numId w:val="0"/>
        </w:numPr>
        <w:ind w:left="1304" w:hanging="1304"/>
      </w:pPr>
    </w:p>
    <w:p w14:paraId="01DBAD58" w14:textId="77777777" w:rsidR="00FA05DF" w:rsidRDefault="00FA05DF" w:rsidP="00FA05DF">
      <w:pPr>
        <w:pStyle w:val="TableHeading"/>
      </w:pPr>
      <w:bookmarkStart w:id="10" w:name="_Toc500248426"/>
      <w:r>
        <w:lastRenderedPageBreak/>
        <w:t>Main themes for Issue 2</w:t>
      </w:r>
      <w:r w:rsidR="00072CEF">
        <w:t>, Question 2a</w:t>
      </w:r>
      <w:bookmarkEnd w:id="10"/>
    </w:p>
    <w:tbl>
      <w:tblPr>
        <w:tblStyle w:val="ARTDTable"/>
        <w:tblW w:w="9261" w:type="dxa"/>
        <w:tblLook w:val="04A0" w:firstRow="1" w:lastRow="0" w:firstColumn="1" w:lastColumn="0" w:noHBand="0" w:noVBand="1"/>
      </w:tblPr>
      <w:tblGrid>
        <w:gridCol w:w="7371"/>
        <w:gridCol w:w="851"/>
        <w:gridCol w:w="1039"/>
      </w:tblGrid>
      <w:tr w:rsidR="00FA05DF" w14:paraId="01DBAD5C" w14:textId="77777777" w:rsidTr="00072CEF">
        <w:trPr>
          <w:cnfStyle w:val="100000000000" w:firstRow="1" w:lastRow="0" w:firstColumn="0" w:lastColumn="0" w:oddVBand="0" w:evenVBand="0" w:oddHBand="0" w:evenHBand="0" w:firstRowFirstColumn="0" w:firstRowLastColumn="0" w:lastRowFirstColumn="0" w:lastRowLastColumn="0"/>
        </w:trPr>
        <w:tc>
          <w:tcPr>
            <w:tcW w:w="7371" w:type="dxa"/>
          </w:tcPr>
          <w:p w14:paraId="01DBAD59" w14:textId="77777777" w:rsidR="00FA05DF" w:rsidRDefault="00FA05DF" w:rsidP="00EC508E">
            <w:pPr>
              <w:pStyle w:val="Tablebodytext"/>
            </w:pPr>
            <w:r>
              <w:t>Theme</w:t>
            </w:r>
          </w:p>
        </w:tc>
        <w:tc>
          <w:tcPr>
            <w:tcW w:w="851" w:type="dxa"/>
          </w:tcPr>
          <w:p w14:paraId="01DBAD5A" w14:textId="77777777" w:rsidR="00FA05DF" w:rsidRDefault="00FA05DF" w:rsidP="00072CEF">
            <w:pPr>
              <w:pStyle w:val="Tablebodytext"/>
              <w:jc w:val="right"/>
            </w:pPr>
            <w:r>
              <w:t>Number</w:t>
            </w:r>
          </w:p>
        </w:tc>
        <w:tc>
          <w:tcPr>
            <w:tcW w:w="1039" w:type="dxa"/>
          </w:tcPr>
          <w:p w14:paraId="01DBAD5B" w14:textId="77777777" w:rsidR="00FA05DF" w:rsidRDefault="00FA05DF" w:rsidP="00072CEF">
            <w:pPr>
              <w:pStyle w:val="Tablebodytext"/>
              <w:jc w:val="right"/>
            </w:pPr>
            <w:r>
              <w:t>Percent</w:t>
            </w:r>
          </w:p>
        </w:tc>
      </w:tr>
      <w:tr w:rsidR="00FA05DF" w14:paraId="01DBAD60" w14:textId="77777777" w:rsidTr="00072CEF">
        <w:tc>
          <w:tcPr>
            <w:tcW w:w="7371" w:type="dxa"/>
          </w:tcPr>
          <w:p w14:paraId="01DBAD5D" w14:textId="77777777" w:rsidR="00FA05DF" w:rsidRPr="007422EB" w:rsidRDefault="00FA05DF" w:rsidP="00EC508E">
            <w:pPr>
              <w:pStyle w:val="Tablebodytext"/>
            </w:pPr>
            <w:r w:rsidRPr="007422EB">
              <w:t xml:space="preserve">Changes to/ suggestions for funding </w:t>
            </w:r>
          </w:p>
        </w:tc>
        <w:tc>
          <w:tcPr>
            <w:tcW w:w="851" w:type="dxa"/>
          </w:tcPr>
          <w:p w14:paraId="01DBAD5E" w14:textId="77777777" w:rsidR="00FA05DF" w:rsidRDefault="00FA05DF" w:rsidP="00072CEF">
            <w:pPr>
              <w:pStyle w:val="Tablebodytext"/>
              <w:jc w:val="right"/>
            </w:pPr>
            <w:r>
              <w:t>30</w:t>
            </w:r>
          </w:p>
        </w:tc>
        <w:tc>
          <w:tcPr>
            <w:tcW w:w="1039" w:type="dxa"/>
          </w:tcPr>
          <w:p w14:paraId="01DBAD5F" w14:textId="77777777" w:rsidR="00FA05DF" w:rsidRDefault="00FA05DF" w:rsidP="00072CEF">
            <w:pPr>
              <w:pStyle w:val="Tablebodytext"/>
              <w:jc w:val="right"/>
            </w:pPr>
            <w:r>
              <w:t>25%</w:t>
            </w:r>
          </w:p>
        </w:tc>
      </w:tr>
      <w:tr w:rsidR="00FA05DF" w14:paraId="01DBAD64" w14:textId="77777777" w:rsidTr="00072CEF">
        <w:tc>
          <w:tcPr>
            <w:tcW w:w="7371" w:type="dxa"/>
          </w:tcPr>
          <w:p w14:paraId="01DBAD61" w14:textId="77777777" w:rsidR="00FA05DF" w:rsidRPr="007422EB" w:rsidRDefault="00FA05DF" w:rsidP="00EC508E">
            <w:pPr>
              <w:pStyle w:val="Tablebodytext"/>
            </w:pPr>
            <w:r w:rsidRPr="007422EB">
              <w:t xml:space="preserve">Small grants and 20% community engagement requirement </w:t>
            </w:r>
          </w:p>
        </w:tc>
        <w:tc>
          <w:tcPr>
            <w:tcW w:w="851" w:type="dxa"/>
          </w:tcPr>
          <w:p w14:paraId="01DBAD62" w14:textId="77777777" w:rsidR="00FA05DF" w:rsidRDefault="00FA05DF" w:rsidP="00072CEF">
            <w:pPr>
              <w:pStyle w:val="Tablebodytext"/>
              <w:jc w:val="right"/>
            </w:pPr>
            <w:r>
              <w:t>20</w:t>
            </w:r>
          </w:p>
        </w:tc>
        <w:tc>
          <w:tcPr>
            <w:tcW w:w="1039" w:type="dxa"/>
          </w:tcPr>
          <w:p w14:paraId="01DBAD63" w14:textId="77777777" w:rsidR="00FA05DF" w:rsidRDefault="00FA05DF" w:rsidP="00072CEF">
            <w:pPr>
              <w:pStyle w:val="Tablebodytext"/>
              <w:jc w:val="right"/>
            </w:pPr>
            <w:r>
              <w:t>17%</w:t>
            </w:r>
          </w:p>
        </w:tc>
      </w:tr>
      <w:tr w:rsidR="00FA05DF" w14:paraId="01DBAD68" w14:textId="77777777" w:rsidTr="00072CEF">
        <w:tc>
          <w:tcPr>
            <w:tcW w:w="7371" w:type="dxa"/>
          </w:tcPr>
          <w:p w14:paraId="01DBAD65" w14:textId="77777777" w:rsidR="00FA05DF" w:rsidRPr="007422EB" w:rsidRDefault="00FA05DF" w:rsidP="00EC508E">
            <w:pPr>
              <w:pStyle w:val="Tablebodytext"/>
            </w:pPr>
            <w:r w:rsidRPr="007422EB">
              <w:t xml:space="preserve">Ensure relationships are well-facilitated by staff </w:t>
            </w:r>
          </w:p>
        </w:tc>
        <w:tc>
          <w:tcPr>
            <w:tcW w:w="851" w:type="dxa"/>
          </w:tcPr>
          <w:p w14:paraId="01DBAD66" w14:textId="77777777" w:rsidR="00FA05DF" w:rsidRDefault="00FA05DF" w:rsidP="00072CEF">
            <w:pPr>
              <w:pStyle w:val="Tablebodytext"/>
              <w:jc w:val="right"/>
            </w:pPr>
            <w:r>
              <w:t>18</w:t>
            </w:r>
          </w:p>
        </w:tc>
        <w:tc>
          <w:tcPr>
            <w:tcW w:w="1039" w:type="dxa"/>
          </w:tcPr>
          <w:p w14:paraId="01DBAD67" w14:textId="77777777" w:rsidR="00FA05DF" w:rsidRDefault="00FA05DF" w:rsidP="00072CEF">
            <w:pPr>
              <w:pStyle w:val="Tablebodytext"/>
              <w:jc w:val="right"/>
            </w:pPr>
            <w:r>
              <w:t>15%</w:t>
            </w:r>
          </w:p>
        </w:tc>
      </w:tr>
      <w:tr w:rsidR="00FA05DF" w14:paraId="01DBAD6C" w14:textId="77777777" w:rsidTr="00072CEF">
        <w:tc>
          <w:tcPr>
            <w:tcW w:w="7371" w:type="dxa"/>
          </w:tcPr>
          <w:p w14:paraId="01DBAD69" w14:textId="77777777" w:rsidR="00FA05DF" w:rsidRPr="007422EB" w:rsidRDefault="00FA05DF" w:rsidP="00EC508E">
            <w:pPr>
              <w:pStyle w:val="Tablebodytext"/>
            </w:pPr>
            <w:r w:rsidRPr="007422EB">
              <w:t xml:space="preserve">Need for more documentation requirements and accountability </w:t>
            </w:r>
            <w:r>
              <w:t xml:space="preserve">on partnerships </w:t>
            </w:r>
          </w:p>
        </w:tc>
        <w:tc>
          <w:tcPr>
            <w:tcW w:w="851" w:type="dxa"/>
          </w:tcPr>
          <w:p w14:paraId="01DBAD6A" w14:textId="77777777" w:rsidR="00FA05DF" w:rsidRDefault="00FA05DF" w:rsidP="00072CEF">
            <w:pPr>
              <w:pStyle w:val="Tablebodytext"/>
              <w:jc w:val="right"/>
            </w:pPr>
            <w:r>
              <w:t>17</w:t>
            </w:r>
          </w:p>
        </w:tc>
        <w:tc>
          <w:tcPr>
            <w:tcW w:w="1039" w:type="dxa"/>
          </w:tcPr>
          <w:p w14:paraId="01DBAD6B" w14:textId="77777777" w:rsidR="00FA05DF" w:rsidRDefault="00FA05DF" w:rsidP="00072CEF">
            <w:pPr>
              <w:pStyle w:val="Tablebodytext"/>
              <w:jc w:val="right"/>
            </w:pPr>
            <w:r>
              <w:t>14%</w:t>
            </w:r>
          </w:p>
        </w:tc>
      </w:tr>
      <w:tr w:rsidR="00FA05DF" w14:paraId="01DBAD70" w14:textId="77777777" w:rsidTr="00072CEF">
        <w:tc>
          <w:tcPr>
            <w:tcW w:w="7371" w:type="dxa"/>
          </w:tcPr>
          <w:p w14:paraId="01DBAD6D" w14:textId="77777777" w:rsidR="00FA05DF" w:rsidRPr="007422EB" w:rsidRDefault="00FA05DF" w:rsidP="00EC508E">
            <w:pPr>
              <w:pStyle w:val="Tablebodytext"/>
            </w:pPr>
            <w:r w:rsidRPr="007422EB">
              <w:t xml:space="preserve">The existing engagement is effective </w:t>
            </w:r>
          </w:p>
        </w:tc>
        <w:tc>
          <w:tcPr>
            <w:tcW w:w="851" w:type="dxa"/>
          </w:tcPr>
          <w:p w14:paraId="01DBAD6E" w14:textId="77777777" w:rsidR="00FA05DF" w:rsidRDefault="00FA05DF" w:rsidP="00072CEF">
            <w:pPr>
              <w:pStyle w:val="Tablebodytext"/>
              <w:jc w:val="right"/>
            </w:pPr>
            <w:r>
              <w:t>15</w:t>
            </w:r>
          </w:p>
        </w:tc>
        <w:tc>
          <w:tcPr>
            <w:tcW w:w="1039" w:type="dxa"/>
          </w:tcPr>
          <w:p w14:paraId="01DBAD6F" w14:textId="77777777" w:rsidR="00FA05DF" w:rsidRDefault="00FA05DF" w:rsidP="00072CEF">
            <w:pPr>
              <w:pStyle w:val="Tablebodytext"/>
              <w:jc w:val="right"/>
            </w:pPr>
            <w:r>
              <w:t>13%</w:t>
            </w:r>
          </w:p>
        </w:tc>
      </w:tr>
    </w:tbl>
    <w:p w14:paraId="01DBAD71" w14:textId="77777777" w:rsidR="00FA05DF" w:rsidRPr="00F12833" w:rsidRDefault="00FA05DF" w:rsidP="00FA05DF">
      <w:pPr>
        <w:rPr>
          <w:sz w:val="18"/>
          <w:szCs w:val="18"/>
        </w:rPr>
      </w:pPr>
      <w:r>
        <w:rPr>
          <w:sz w:val="18"/>
          <w:szCs w:val="18"/>
        </w:rPr>
        <w:t>Total respondents = 119</w:t>
      </w:r>
    </w:p>
    <w:p w14:paraId="01DBAD72" w14:textId="77777777" w:rsidR="00407EDA" w:rsidRPr="00001B58" w:rsidRDefault="00407EDA" w:rsidP="00005DBA">
      <w:pPr>
        <w:pStyle w:val="Heading3"/>
      </w:pPr>
      <w:r w:rsidRPr="00407EDA">
        <w:t>Changes to/ suggestions for funding</w:t>
      </w:r>
    </w:p>
    <w:p w14:paraId="01DBAD73" w14:textId="77777777" w:rsidR="00EA3F00" w:rsidRPr="001D5B10" w:rsidRDefault="001D5B10" w:rsidP="00451E38">
      <w:r>
        <w:t xml:space="preserve">Most of the suggestions for changes to funding arrangements </w:t>
      </w:r>
      <w:r w:rsidR="007A6742">
        <w:t>r</w:t>
      </w:r>
      <w:r w:rsidR="00FB1A35">
        <w:t>eferred to the need for specific</w:t>
      </w:r>
      <w:r w:rsidR="007A6742">
        <w:t xml:space="preserve"> percentages of funding to be allocated to</w:t>
      </w:r>
      <w:r w:rsidR="00702F1B">
        <w:t xml:space="preserve"> the engagement of</w:t>
      </w:r>
      <w:r w:rsidR="007A6742">
        <w:t xml:space="preserve"> communit</w:t>
      </w:r>
      <w:r w:rsidR="00702F1B">
        <w:t>y and industry groups</w:t>
      </w:r>
      <w:r w:rsidR="007A6742">
        <w:t xml:space="preserve">. Other responses suggested </w:t>
      </w:r>
      <w:r w:rsidR="00341B1F">
        <w:t xml:space="preserve">that there </w:t>
      </w:r>
      <w:r w:rsidR="00FD2E67">
        <w:t>need</w:t>
      </w:r>
      <w:r w:rsidR="00341B1F">
        <w:t xml:space="preserve"> to be</w:t>
      </w:r>
      <w:r w:rsidR="00FD2E67">
        <w:t xml:space="preserve"> </w:t>
      </w:r>
      <w:r w:rsidR="007A1F2C">
        <w:t xml:space="preserve">changes to </w:t>
      </w:r>
      <w:r w:rsidR="00FD2E67">
        <w:t>funding</w:t>
      </w:r>
      <w:r w:rsidR="007A1F2C">
        <w:t>, such as</w:t>
      </w:r>
      <w:r w:rsidR="00451E38">
        <w:t xml:space="preserve"> </w:t>
      </w:r>
      <w:r w:rsidR="007A1F2C">
        <w:t>continuing to fund community groups that operate outside the remit of the six proposed outcomes, making administrative requirements commensura</w:t>
      </w:r>
      <w:r w:rsidR="0060022D">
        <w:t xml:space="preserve">te with the scale of funding </w:t>
      </w:r>
      <w:r w:rsidR="00451E38">
        <w:t xml:space="preserve">and </w:t>
      </w:r>
      <w:r w:rsidR="007A1F2C">
        <w:t xml:space="preserve">investing in works carried out on public land.  </w:t>
      </w:r>
    </w:p>
    <w:p w14:paraId="01DBAD74" w14:textId="77777777" w:rsidR="00407EDA" w:rsidRDefault="00407EDA" w:rsidP="00005DBA">
      <w:pPr>
        <w:pStyle w:val="Heading3"/>
      </w:pPr>
      <w:r w:rsidRPr="00407EDA">
        <w:t>Small grants and 20% community engagement requirement</w:t>
      </w:r>
    </w:p>
    <w:p w14:paraId="01DBAD75" w14:textId="77777777" w:rsidR="00407EDA" w:rsidRDefault="000171B4" w:rsidP="00AC67B4">
      <w:r>
        <w:t xml:space="preserve">The majority of </w:t>
      </w:r>
      <w:r w:rsidR="00814815">
        <w:t xml:space="preserve">the responses in the theme </w:t>
      </w:r>
      <w:r w:rsidR="00AC67B4">
        <w:t>were supportive of the</w:t>
      </w:r>
      <w:r w:rsidR="00AC67B4" w:rsidRPr="00AC67B4">
        <w:t xml:space="preserve"> small grant</w:t>
      </w:r>
      <w:r w:rsidR="00AC67B4">
        <w:t>s processes and</w:t>
      </w:r>
      <w:r w:rsidR="00AC67B4" w:rsidRPr="00AC67B4">
        <w:t xml:space="preserve"> the proposed allocation of at least 20% of the combined value of NRM Projects in each Management Unit to small projects from the local Landcare community</w:t>
      </w:r>
      <w:r w:rsidR="00AC67B4">
        <w:t xml:space="preserve">. </w:t>
      </w:r>
      <w:r w:rsidR="00033A4A">
        <w:t>A</w:t>
      </w:r>
      <w:r w:rsidR="00491ED7">
        <w:t xml:space="preserve"> minority of responses in this theme </w:t>
      </w:r>
      <w:r w:rsidR="00850913">
        <w:t xml:space="preserve">raised </w:t>
      </w:r>
      <w:r w:rsidR="00491ED7">
        <w:t>concerns over the lack of flexibi</w:t>
      </w:r>
      <w:r w:rsidR="006E6EE4">
        <w:t>lity in the specific</w:t>
      </w:r>
      <w:r w:rsidR="00237565">
        <w:t xml:space="preserve"> priority areas outlined in the Consultation Paper</w:t>
      </w:r>
      <w:r w:rsidR="00491ED7">
        <w:t xml:space="preserve">. </w:t>
      </w:r>
    </w:p>
    <w:p w14:paraId="01DBAD76" w14:textId="77777777" w:rsidR="00AC67B4" w:rsidRDefault="00AC67B4" w:rsidP="00005DBA">
      <w:pPr>
        <w:pStyle w:val="Heading3"/>
      </w:pPr>
      <w:r>
        <w:t xml:space="preserve"> </w:t>
      </w:r>
      <w:r w:rsidR="00407EDA" w:rsidRPr="00407EDA">
        <w:t>Ensure relationships are well-facilitated by staff</w:t>
      </w:r>
    </w:p>
    <w:p w14:paraId="01DBAD77" w14:textId="77777777" w:rsidR="008E69F4" w:rsidRDefault="008E69F4" w:rsidP="008E69F4">
      <w:r>
        <w:t>The re</w:t>
      </w:r>
      <w:r w:rsidR="00D50646">
        <w:t>sponses on this</w:t>
      </w:r>
      <w:r w:rsidR="000171B4">
        <w:t xml:space="preserve"> theme </w:t>
      </w:r>
      <w:r>
        <w:t>concentrated on the importance of</w:t>
      </w:r>
      <w:r w:rsidR="00896DB2">
        <w:t xml:space="preserve"> funding and</w:t>
      </w:r>
      <w:r>
        <w:t xml:space="preserve"> retaining skilled staff to facilitate</w:t>
      </w:r>
      <w:r w:rsidR="00033A4A">
        <w:t xml:space="preserve"> long-term</w:t>
      </w:r>
      <w:r>
        <w:t xml:space="preserve"> partnerships with community and industry groups.</w:t>
      </w:r>
      <w:r w:rsidR="000A5AA8">
        <w:t xml:space="preserve"> </w:t>
      </w:r>
      <w:r w:rsidR="005E56E3">
        <w:t>A minority of responses</w:t>
      </w:r>
      <w:r w:rsidR="000171B4">
        <w:t xml:space="preserve"> </w:t>
      </w:r>
      <w:r w:rsidR="00AE7096">
        <w:t>drew attention to</w:t>
      </w:r>
      <w:r w:rsidR="00D50646">
        <w:t xml:space="preserve"> </w:t>
      </w:r>
      <w:r w:rsidR="005E56E3">
        <w:t>the time it takes to build trust and confidence in partnerships</w:t>
      </w:r>
      <w:r w:rsidR="00125BD3">
        <w:t xml:space="preserve"> with I</w:t>
      </w:r>
      <w:r w:rsidR="001A4B34">
        <w:t>ndigenous community groups</w:t>
      </w:r>
      <w:r w:rsidR="00125BD3">
        <w:t xml:space="preserve">.   </w:t>
      </w:r>
      <w:r w:rsidR="005E56E3">
        <w:t xml:space="preserve">   </w:t>
      </w:r>
      <w:r>
        <w:t xml:space="preserve">   </w:t>
      </w:r>
    </w:p>
    <w:p w14:paraId="01DBAD78" w14:textId="77777777" w:rsidR="00407EDA" w:rsidRDefault="00407EDA" w:rsidP="00005DBA">
      <w:pPr>
        <w:pStyle w:val="Heading3"/>
      </w:pPr>
      <w:r w:rsidRPr="00407EDA">
        <w:t>Need for more documentation requirements and accountability on partnerships and engagement</w:t>
      </w:r>
    </w:p>
    <w:p w14:paraId="01DBAD79" w14:textId="77777777" w:rsidR="00407EDA" w:rsidRDefault="000171B4" w:rsidP="004F6B2E">
      <w:r>
        <w:t>T</w:t>
      </w:r>
      <w:r w:rsidR="00D2616C">
        <w:t>he majority of</w:t>
      </w:r>
      <w:r w:rsidR="00955906">
        <w:t xml:space="preserve"> the</w:t>
      </w:r>
      <w:r w:rsidR="00D2616C">
        <w:t xml:space="preserve"> responses</w:t>
      </w:r>
      <w:r w:rsidR="00955906">
        <w:t xml:space="preserve"> on this theme</w:t>
      </w:r>
      <w:r w:rsidR="00D2616C">
        <w:t xml:space="preserve"> identified </w:t>
      </w:r>
      <w:r w:rsidR="004B726E">
        <w:t>the</w:t>
      </w:r>
      <w:r w:rsidR="00D2616C">
        <w:t xml:space="preserve"> need </w:t>
      </w:r>
      <w:r w:rsidR="004B726E">
        <w:t>for</w:t>
      </w:r>
      <w:r w:rsidR="00D2616C">
        <w:t xml:space="preserve"> </w:t>
      </w:r>
      <w:r w:rsidR="00D2616C" w:rsidRPr="00AE7096">
        <w:t>more guidelines in the tender documents</w:t>
      </w:r>
      <w:r w:rsidR="00D2616C">
        <w:t xml:space="preserve"> </w:t>
      </w:r>
      <w:r w:rsidR="005D417F">
        <w:t>about the</w:t>
      </w:r>
      <w:r w:rsidR="00D2616C">
        <w:t xml:space="preserve"> indicators and targets that can help define what constitutes a partnershi</w:t>
      </w:r>
      <w:r w:rsidR="00955906">
        <w:t xml:space="preserve">p. They also </w:t>
      </w:r>
      <w:r w:rsidR="00AE7096">
        <w:t>suggested</w:t>
      </w:r>
      <w:r w:rsidR="00167B94">
        <w:t xml:space="preserve"> </w:t>
      </w:r>
      <w:r w:rsidR="005D417F">
        <w:t>that</w:t>
      </w:r>
      <w:r w:rsidR="00D2616C">
        <w:t xml:space="preserve"> there </w:t>
      </w:r>
      <w:r w:rsidR="00D2616C" w:rsidRPr="00AE7096">
        <w:t>need to be</w:t>
      </w:r>
      <w:r w:rsidR="00AE7096" w:rsidRPr="00AE7096">
        <w:t xml:space="preserve"> requirements for</w:t>
      </w:r>
      <w:r w:rsidR="00D2616C" w:rsidRPr="00AE7096">
        <w:t xml:space="preserve"> more documentation</w:t>
      </w:r>
      <w:r w:rsidR="005D417F" w:rsidRPr="00AE7096">
        <w:t xml:space="preserve"> </w:t>
      </w:r>
      <w:r w:rsidR="00D2616C" w:rsidRPr="00AE7096">
        <w:t>from groups submitting tenders</w:t>
      </w:r>
      <w:r w:rsidR="004F6B2E" w:rsidRPr="00AE7096">
        <w:t>, such</w:t>
      </w:r>
      <w:r w:rsidR="00167B94" w:rsidRPr="00AE7096">
        <w:t xml:space="preserve"> as</w:t>
      </w:r>
      <w:r w:rsidR="004F6B2E" w:rsidRPr="00AE7096">
        <w:t xml:space="preserve"> expressions of interest from </w:t>
      </w:r>
      <w:r w:rsidR="004F6B2E" w:rsidRPr="00AE7096">
        <w:lastRenderedPageBreak/>
        <w:t>partners</w:t>
      </w:r>
      <w:r w:rsidR="0076746C">
        <w:t xml:space="preserve">. </w:t>
      </w:r>
      <w:r w:rsidR="0060022D">
        <w:t>T</w:t>
      </w:r>
      <w:r w:rsidR="00975266">
        <w:t xml:space="preserve">hese responses also </w:t>
      </w:r>
      <w:r w:rsidR="003E57C6">
        <w:t>emphasised a</w:t>
      </w:r>
      <w:r w:rsidR="00975266">
        <w:t xml:space="preserve"> need to ensure ongoing mon</w:t>
      </w:r>
      <w:r w:rsidR="00033A4A">
        <w:t>itoring of</w:t>
      </w:r>
      <w:r w:rsidR="00975266">
        <w:t xml:space="preserve"> partnership arrangements</w:t>
      </w:r>
      <w:r w:rsidR="007423AA">
        <w:t xml:space="preserve">.  </w:t>
      </w:r>
      <w:r w:rsidR="00975266">
        <w:t xml:space="preserve">   </w:t>
      </w:r>
      <w:r w:rsidR="00D2616C">
        <w:t xml:space="preserve">  </w:t>
      </w:r>
    </w:p>
    <w:p w14:paraId="01DBAD7A" w14:textId="77777777" w:rsidR="00125BD3" w:rsidRDefault="00D2616C" w:rsidP="00005DBA">
      <w:pPr>
        <w:pStyle w:val="Heading3"/>
      </w:pPr>
      <w:r>
        <w:t xml:space="preserve"> </w:t>
      </w:r>
      <w:r w:rsidR="0001452D" w:rsidRPr="0001452D">
        <w:t>The existing engagement is effective</w:t>
      </w:r>
      <w:r>
        <w:t xml:space="preserve"> </w:t>
      </w:r>
    </w:p>
    <w:p w14:paraId="01DBAD7B" w14:textId="77777777" w:rsidR="00CD46F5" w:rsidRDefault="00E80370" w:rsidP="00CD46F5">
      <w:r>
        <w:t>The</w:t>
      </w:r>
      <w:r w:rsidR="00F16B90">
        <w:t xml:space="preserve"> majority of</w:t>
      </w:r>
      <w:r>
        <w:t xml:space="preserve"> responses</w:t>
      </w:r>
      <w:r w:rsidR="00F16B90">
        <w:t xml:space="preserve"> on this theme </w:t>
      </w:r>
      <w:r w:rsidR="00527AA4">
        <w:t>were</w:t>
      </w:r>
      <w:r>
        <w:t xml:space="preserve"> </w:t>
      </w:r>
      <w:r w:rsidR="0051177F">
        <w:t>supportive of the existing level of engagement between regional NRM bodies and local community and industry groups</w:t>
      </w:r>
      <w:r w:rsidR="00F16B90">
        <w:t>.</w:t>
      </w:r>
      <w:r w:rsidR="00AD5B7E">
        <w:t xml:space="preserve"> </w:t>
      </w:r>
      <w:r w:rsidR="00BB631C">
        <w:t xml:space="preserve">While referring to NRM groups in specific regions, these responses </w:t>
      </w:r>
      <w:r w:rsidR="00AE7096">
        <w:t>nominated</w:t>
      </w:r>
      <w:r w:rsidR="009C3FEA">
        <w:t xml:space="preserve"> the</w:t>
      </w:r>
      <w:r w:rsidR="00BB631C">
        <w:t xml:space="preserve"> shared vision between groups and the balance between strate</w:t>
      </w:r>
      <w:r w:rsidR="00AD5B7E">
        <w:t xml:space="preserve">gic plans and local priorities </w:t>
      </w:r>
      <w:r w:rsidR="00AE7096">
        <w:t>as</w:t>
      </w:r>
      <w:r w:rsidR="00BB631C">
        <w:t xml:space="preserve"> key factors in successful engagement. </w:t>
      </w:r>
    </w:p>
    <w:p w14:paraId="01DBAD7C" w14:textId="77777777" w:rsidR="008F6C08" w:rsidRPr="00857B18" w:rsidRDefault="008F6C08" w:rsidP="004B726E">
      <w:pPr>
        <w:spacing w:after="0"/>
        <w:rPr>
          <w:rFonts w:cs="Segoe UI"/>
          <w:b/>
          <w:sz w:val="2"/>
          <w:szCs w:val="2"/>
        </w:rPr>
      </w:pPr>
    </w:p>
    <w:p w14:paraId="01DBAD7D" w14:textId="77777777" w:rsidR="008F6C08" w:rsidRPr="00857B18" w:rsidRDefault="008F6C08" w:rsidP="00E71BC5">
      <w:pPr>
        <w:pStyle w:val="Boxtext0"/>
        <w:rPr>
          <w:rFonts w:cs="Segoe UI"/>
          <w:sz w:val="2"/>
          <w:szCs w:val="2"/>
        </w:rPr>
      </w:pPr>
      <w:r w:rsidRPr="008F6C08">
        <w:rPr>
          <w:b/>
          <w:sz w:val="22"/>
          <w:lang w:eastAsia="en-AU"/>
        </w:rPr>
        <w:t>Question 2b: What are the challenges in supporting communities and industry to achieve this?</w:t>
      </w:r>
    </w:p>
    <w:p w14:paraId="01DBAD7E" w14:textId="77777777" w:rsidR="00072CEF" w:rsidRDefault="00072CEF" w:rsidP="00072CEF">
      <w:pPr>
        <w:pStyle w:val="TableHeading"/>
      </w:pPr>
      <w:bookmarkStart w:id="11" w:name="_Toc500248427"/>
      <w:r>
        <w:t>Main themes for Issue 2, Question 2b</w:t>
      </w:r>
      <w:bookmarkEnd w:id="11"/>
    </w:p>
    <w:tbl>
      <w:tblPr>
        <w:tblStyle w:val="ARTDTable"/>
        <w:tblW w:w="9261" w:type="dxa"/>
        <w:tblLook w:val="04A0" w:firstRow="1" w:lastRow="0" w:firstColumn="1" w:lastColumn="0" w:noHBand="0" w:noVBand="1"/>
      </w:tblPr>
      <w:tblGrid>
        <w:gridCol w:w="7371"/>
        <w:gridCol w:w="851"/>
        <w:gridCol w:w="1039"/>
      </w:tblGrid>
      <w:tr w:rsidR="00072CEF" w14:paraId="01DBAD82" w14:textId="77777777" w:rsidTr="00DB3085">
        <w:trPr>
          <w:cnfStyle w:val="100000000000" w:firstRow="1" w:lastRow="0" w:firstColumn="0" w:lastColumn="0" w:oddVBand="0" w:evenVBand="0" w:oddHBand="0" w:evenHBand="0" w:firstRowFirstColumn="0" w:firstRowLastColumn="0" w:lastRowFirstColumn="0" w:lastRowLastColumn="0"/>
        </w:trPr>
        <w:tc>
          <w:tcPr>
            <w:tcW w:w="7371" w:type="dxa"/>
          </w:tcPr>
          <w:p w14:paraId="01DBAD7F" w14:textId="77777777" w:rsidR="00072CEF" w:rsidRDefault="00072CEF" w:rsidP="00072CEF">
            <w:pPr>
              <w:pStyle w:val="Tablebodytext"/>
            </w:pPr>
            <w:r>
              <w:t>Theme</w:t>
            </w:r>
          </w:p>
        </w:tc>
        <w:tc>
          <w:tcPr>
            <w:tcW w:w="851" w:type="dxa"/>
          </w:tcPr>
          <w:p w14:paraId="01DBAD80" w14:textId="77777777" w:rsidR="00072CEF" w:rsidRDefault="00072CEF" w:rsidP="00072CEF">
            <w:pPr>
              <w:pStyle w:val="Tablebodytext"/>
              <w:jc w:val="right"/>
            </w:pPr>
            <w:r>
              <w:t>Number</w:t>
            </w:r>
          </w:p>
        </w:tc>
        <w:tc>
          <w:tcPr>
            <w:tcW w:w="1039" w:type="dxa"/>
          </w:tcPr>
          <w:p w14:paraId="01DBAD81" w14:textId="77777777" w:rsidR="00072CEF" w:rsidRDefault="00072CEF" w:rsidP="00072CEF">
            <w:pPr>
              <w:pStyle w:val="Tablebodytext"/>
              <w:jc w:val="right"/>
            </w:pPr>
            <w:r>
              <w:t>Percent</w:t>
            </w:r>
          </w:p>
        </w:tc>
      </w:tr>
      <w:tr w:rsidR="00072CEF" w14:paraId="01DBAD86" w14:textId="77777777" w:rsidTr="00DB3085">
        <w:tc>
          <w:tcPr>
            <w:tcW w:w="7371" w:type="dxa"/>
          </w:tcPr>
          <w:p w14:paraId="01DBAD83" w14:textId="77777777" w:rsidR="00072CEF" w:rsidRPr="005B54C6" w:rsidRDefault="00072CEF" w:rsidP="00072CEF">
            <w:pPr>
              <w:pStyle w:val="Tablebodytext"/>
            </w:pPr>
            <w:r w:rsidRPr="005B54C6">
              <w:t>The inadequate amount of funding and the reliability and accessibility of funding</w:t>
            </w:r>
            <w:r>
              <w:t xml:space="preserve"> </w:t>
            </w:r>
            <w:r w:rsidRPr="005B54C6">
              <w:t xml:space="preserve"> </w:t>
            </w:r>
          </w:p>
        </w:tc>
        <w:tc>
          <w:tcPr>
            <w:tcW w:w="851" w:type="dxa"/>
          </w:tcPr>
          <w:p w14:paraId="01DBAD84" w14:textId="77777777" w:rsidR="00072CEF" w:rsidRDefault="00072CEF" w:rsidP="00072CEF">
            <w:pPr>
              <w:pStyle w:val="Tablebodytext"/>
              <w:jc w:val="right"/>
            </w:pPr>
            <w:r>
              <w:t>27</w:t>
            </w:r>
          </w:p>
        </w:tc>
        <w:tc>
          <w:tcPr>
            <w:tcW w:w="1039" w:type="dxa"/>
          </w:tcPr>
          <w:p w14:paraId="01DBAD85" w14:textId="77777777" w:rsidR="00072CEF" w:rsidRDefault="00072CEF" w:rsidP="00072CEF">
            <w:pPr>
              <w:pStyle w:val="Tablebodytext"/>
              <w:jc w:val="right"/>
            </w:pPr>
            <w:r w:rsidRPr="005B54C6">
              <w:t>23%</w:t>
            </w:r>
          </w:p>
        </w:tc>
      </w:tr>
      <w:tr w:rsidR="00072CEF" w14:paraId="01DBAD8A" w14:textId="77777777" w:rsidTr="00DB3085">
        <w:tc>
          <w:tcPr>
            <w:tcW w:w="7371" w:type="dxa"/>
          </w:tcPr>
          <w:p w14:paraId="01DBAD87" w14:textId="77777777" w:rsidR="00072CEF" w:rsidRPr="005B54C6" w:rsidRDefault="00072CEF" w:rsidP="00072CEF">
            <w:pPr>
              <w:pStyle w:val="Tablebodytext"/>
            </w:pPr>
            <w:r w:rsidRPr="005B54C6">
              <w:t xml:space="preserve">Volunteers and projects have inadequate time </w:t>
            </w:r>
          </w:p>
        </w:tc>
        <w:tc>
          <w:tcPr>
            <w:tcW w:w="851" w:type="dxa"/>
          </w:tcPr>
          <w:p w14:paraId="01DBAD88" w14:textId="77777777" w:rsidR="00072CEF" w:rsidRDefault="00072CEF" w:rsidP="00072CEF">
            <w:pPr>
              <w:pStyle w:val="Tablebodytext"/>
              <w:jc w:val="right"/>
            </w:pPr>
            <w:r>
              <w:t>21</w:t>
            </w:r>
          </w:p>
        </w:tc>
        <w:tc>
          <w:tcPr>
            <w:tcW w:w="1039" w:type="dxa"/>
          </w:tcPr>
          <w:p w14:paraId="01DBAD89" w14:textId="77777777" w:rsidR="00072CEF" w:rsidRDefault="00072CEF" w:rsidP="00072CEF">
            <w:pPr>
              <w:pStyle w:val="Tablebodytext"/>
              <w:jc w:val="right"/>
            </w:pPr>
            <w:r>
              <w:t>18%</w:t>
            </w:r>
          </w:p>
        </w:tc>
      </w:tr>
      <w:tr w:rsidR="00072CEF" w14:paraId="01DBAD8E" w14:textId="77777777" w:rsidTr="00DB3085">
        <w:tc>
          <w:tcPr>
            <w:tcW w:w="7371" w:type="dxa"/>
          </w:tcPr>
          <w:p w14:paraId="01DBAD8B" w14:textId="77777777" w:rsidR="00072CEF" w:rsidRPr="005B54C6" w:rsidRDefault="00072CEF" w:rsidP="00072CEF">
            <w:pPr>
              <w:pStyle w:val="Tablebodytext"/>
            </w:pPr>
            <w:r w:rsidRPr="005B54C6">
              <w:t>The competiti</w:t>
            </w:r>
            <w:r>
              <w:t>ve nature of the tender process</w:t>
            </w:r>
          </w:p>
        </w:tc>
        <w:tc>
          <w:tcPr>
            <w:tcW w:w="851" w:type="dxa"/>
          </w:tcPr>
          <w:p w14:paraId="01DBAD8C" w14:textId="77777777" w:rsidR="00072CEF" w:rsidRDefault="00072CEF" w:rsidP="00072CEF">
            <w:pPr>
              <w:pStyle w:val="Tablebodytext"/>
              <w:jc w:val="right"/>
            </w:pPr>
            <w:r>
              <w:t>18</w:t>
            </w:r>
          </w:p>
        </w:tc>
        <w:tc>
          <w:tcPr>
            <w:tcW w:w="1039" w:type="dxa"/>
          </w:tcPr>
          <w:p w14:paraId="01DBAD8D" w14:textId="77777777" w:rsidR="00072CEF" w:rsidRDefault="00072CEF" w:rsidP="00072CEF">
            <w:pPr>
              <w:pStyle w:val="Tablebodytext"/>
              <w:jc w:val="right"/>
            </w:pPr>
            <w:r>
              <w:t>15%</w:t>
            </w:r>
          </w:p>
        </w:tc>
      </w:tr>
      <w:tr w:rsidR="00072CEF" w14:paraId="01DBAD92" w14:textId="77777777" w:rsidTr="00DB3085">
        <w:tc>
          <w:tcPr>
            <w:tcW w:w="7371" w:type="dxa"/>
          </w:tcPr>
          <w:p w14:paraId="01DBAD8F" w14:textId="77777777" w:rsidR="00072CEF" w:rsidRPr="005B54C6" w:rsidRDefault="00072CEF" w:rsidP="00072CEF">
            <w:pPr>
              <w:pStyle w:val="Tablebodytext"/>
            </w:pPr>
            <w:r w:rsidRPr="005B54C6">
              <w:t>The need for skil</w:t>
            </w:r>
            <w:r>
              <w:t>led staff at the regional level</w:t>
            </w:r>
          </w:p>
        </w:tc>
        <w:tc>
          <w:tcPr>
            <w:tcW w:w="851" w:type="dxa"/>
          </w:tcPr>
          <w:p w14:paraId="01DBAD90" w14:textId="77777777" w:rsidR="00072CEF" w:rsidRDefault="00072CEF" w:rsidP="00072CEF">
            <w:pPr>
              <w:pStyle w:val="Tablebodytext"/>
              <w:jc w:val="right"/>
            </w:pPr>
            <w:r>
              <w:t>18</w:t>
            </w:r>
          </w:p>
        </w:tc>
        <w:tc>
          <w:tcPr>
            <w:tcW w:w="1039" w:type="dxa"/>
          </w:tcPr>
          <w:p w14:paraId="01DBAD91" w14:textId="77777777" w:rsidR="00072CEF" w:rsidRDefault="00072CEF" w:rsidP="00072CEF">
            <w:pPr>
              <w:pStyle w:val="Tablebodytext"/>
              <w:jc w:val="right"/>
            </w:pPr>
            <w:r>
              <w:t>15%</w:t>
            </w:r>
          </w:p>
        </w:tc>
      </w:tr>
    </w:tbl>
    <w:p w14:paraId="01DBAD93" w14:textId="77777777" w:rsidR="00072CEF" w:rsidRPr="00F12833" w:rsidRDefault="00072CEF" w:rsidP="00072CEF">
      <w:pPr>
        <w:rPr>
          <w:sz w:val="18"/>
          <w:szCs w:val="18"/>
        </w:rPr>
      </w:pPr>
      <w:r>
        <w:rPr>
          <w:sz w:val="18"/>
          <w:szCs w:val="18"/>
        </w:rPr>
        <w:t>Total respondents = 118</w:t>
      </w:r>
    </w:p>
    <w:p w14:paraId="01DBAD94" w14:textId="77777777" w:rsidR="00DD207A" w:rsidRDefault="00DD207A" w:rsidP="00DD207A">
      <w:pPr>
        <w:pStyle w:val="Heading3"/>
      </w:pPr>
      <w:r w:rsidRPr="00DD207A">
        <w:t>T</w:t>
      </w:r>
      <w:r w:rsidR="000F01F6" w:rsidRPr="00DD207A">
        <w:t>he</w:t>
      </w:r>
      <w:r w:rsidRPr="00DD207A">
        <w:t xml:space="preserve"> inadequate amount of funding and the reliability and accessibility of funding</w:t>
      </w:r>
    </w:p>
    <w:p w14:paraId="01DBAD95" w14:textId="77777777" w:rsidR="00A94D4A" w:rsidRDefault="00451EB1" w:rsidP="00240736">
      <w:pPr>
        <w:pStyle w:val="ListParagraph"/>
        <w:ind w:left="0"/>
      </w:pPr>
      <w:r>
        <w:t>The most prominent</w:t>
      </w:r>
      <w:r w:rsidR="00395658">
        <w:t xml:space="preserve"> theme</w:t>
      </w:r>
      <w:r w:rsidR="00237565">
        <w:t xml:space="preserve"> in the responses concerned </w:t>
      </w:r>
      <w:r>
        <w:t>the limited amount of</w:t>
      </w:r>
      <w:r w:rsidR="002E51BD" w:rsidRPr="002E51BD">
        <w:t xml:space="preserve"> funding</w:t>
      </w:r>
      <w:r>
        <w:t xml:space="preserve"> available</w:t>
      </w:r>
      <w:r w:rsidR="002E51BD" w:rsidRPr="002E51BD">
        <w:t xml:space="preserve"> for local gro</w:t>
      </w:r>
      <w:r w:rsidR="008023C7">
        <w:t>ups and the difficulty in securing long-term funding</w:t>
      </w:r>
      <w:r w:rsidR="002E51BD" w:rsidRPr="002E51BD">
        <w:t xml:space="preserve">. </w:t>
      </w:r>
      <w:r w:rsidR="00B8366E" w:rsidRPr="00B8366E">
        <w:t>Some responses noted that the longer-term funding cy</w:t>
      </w:r>
      <w:r w:rsidR="00E078C1">
        <w:t>cles of the previous National Landcare Program</w:t>
      </w:r>
      <w:r w:rsidR="00B8366E" w:rsidRPr="00B8366E">
        <w:t xml:space="preserve"> need to be maintained to provide stability for local projects.</w:t>
      </w:r>
      <w:r w:rsidR="002B40A3">
        <w:t xml:space="preserve"> </w:t>
      </w:r>
      <w:r w:rsidR="002774BA">
        <w:t>The</w:t>
      </w:r>
      <w:r w:rsidR="00B8366E">
        <w:t xml:space="preserve"> responses</w:t>
      </w:r>
      <w:r w:rsidR="002A5C4F">
        <w:t xml:space="preserve"> also suggested</w:t>
      </w:r>
      <w:r w:rsidR="002B40A3">
        <w:t xml:space="preserve"> that</w:t>
      </w:r>
      <w:r w:rsidR="00DB102B">
        <w:t xml:space="preserve"> the</w:t>
      </w:r>
      <w:r w:rsidR="002B40A3">
        <w:t xml:space="preserve"> current funding does not adequat</w:t>
      </w:r>
      <w:r w:rsidR="00DB102B">
        <w:t>ely cover the transaction costs and the</w:t>
      </w:r>
      <w:r w:rsidR="002B40A3">
        <w:t xml:space="preserve"> resources for coordin</w:t>
      </w:r>
      <w:r w:rsidR="002A5C4F">
        <w:t>ation and capacity building, which</w:t>
      </w:r>
      <w:r w:rsidR="002B40A3">
        <w:t xml:space="preserve"> are necessary for engagement to occur. </w:t>
      </w:r>
    </w:p>
    <w:p w14:paraId="01DBAD96" w14:textId="77777777" w:rsidR="00A94D4A" w:rsidRDefault="00A94D4A" w:rsidP="00A94D4A">
      <w:pPr>
        <w:pStyle w:val="Heading3"/>
      </w:pPr>
      <w:r w:rsidRPr="00A94D4A">
        <w:t>Volunteers an</w:t>
      </w:r>
      <w:r w:rsidR="00E27966">
        <w:t>d projects have inadequate time</w:t>
      </w:r>
    </w:p>
    <w:p w14:paraId="01DBAD97" w14:textId="77777777" w:rsidR="00A94D4A" w:rsidRDefault="0072529E" w:rsidP="00A94D4A">
      <w:r>
        <w:t>The responses on</w:t>
      </w:r>
      <w:r w:rsidR="00A94D4A">
        <w:t xml:space="preserve"> this theme referred to</w:t>
      </w:r>
      <w:r>
        <w:t xml:space="preserve"> the time constraints on local groups, which</w:t>
      </w:r>
      <w:r w:rsidR="008023C7">
        <w:t xml:space="preserve"> are</w:t>
      </w:r>
      <w:r>
        <w:t xml:space="preserve"> often staffed by volunteers</w:t>
      </w:r>
      <w:r w:rsidR="008023C7">
        <w:t xml:space="preserve"> who</w:t>
      </w:r>
      <w:r w:rsidR="00A94D4A">
        <w:t xml:space="preserve"> do not have</w:t>
      </w:r>
      <w:r>
        <w:t xml:space="preserve"> the</w:t>
      </w:r>
      <w:r w:rsidR="00A94D4A">
        <w:t xml:space="preserve"> time to engage in consultation on project design</w:t>
      </w:r>
      <w:r w:rsidR="006560C6">
        <w:t xml:space="preserve"> or delivery</w:t>
      </w:r>
      <w:r w:rsidR="00A94D4A">
        <w:t xml:space="preserve"> with regional bodies.</w:t>
      </w:r>
      <w:r w:rsidR="000052A2">
        <w:t xml:space="preserve"> Some responses expressed support for</w:t>
      </w:r>
      <w:r w:rsidR="00906B70">
        <w:t xml:space="preserve"> more funding for</w:t>
      </w:r>
      <w:r>
        <w:t xml:space="preserve"> long-term</w:t>
      </w:r>
      <w:r w:rsidR="00906B70">
        <w:t xml:space="preserve"> staff.</w:t>
      </w:r>
      <w:r w:rsidR="00A94D4A">
        <w:t xml:space="preserve"> </w:t>
      </w:r>
      <w:r w:rsidR="00906B70">
        <w:t>A minority of respo</w:t>
      </w:r>
      <w:r w:rsidR="000768A5">
        <w:t>nses also referred to the necessity of</w:t>
      </w:r>
      <w:r w:rsidR="00906B70">
        <w:t xml:space="preserve"> investing time</w:t>
      </w:r>
      <w:r w:rsidR="00991939">
        <w:t xml:space="preserve"> in </w:t>
      </w:r>
      <w:r w:rsidR="00906B70">
        <w:t xml:space="preserve">building relationships with </w:t>
      </w:r>
      <w:r w:rsidR="001108B2">
        <w:t>I</w:t>
      </w:r>
      <w:r w:rsidR="00906B70">
        <w:t>ndigenous organisations.</w:t>
      </w:r>
      <w:r w:rsidR="00991939">
        <w:t xml:space="preserve"> </w:t>
      </w:r>
      <w:r w:rsidR="00906B70">
        <w:t xml:space="preserve"> </w:t>
      </w:r>
      <w:r w:rsidR="00A94D4A">
        <w:t xml:space="preserve">  </w:t>
      </w:r>
    </w:p>
    <w:p w14:paraId="01DBAD98" w14:textId="77777777" w:rsidR="00991939" w:rsidRDefault="00991939" w:rsidP="00991939">
      <w:pPr>
        <w:pStyle w:val="Heading3"/>
      </w:pPr>
      <w:r w:rsidRPr="00991939">
        <w:lastRenderedPageBreak/>
        <w:t>The competitive nature of the tender process</w:t>
      </w:r>
    </w:p>
    <w:p w14:paraId="01DBAD99" w14:textId="77777777" w:rsidR="00F40E86" w:rsidRPr="007E3D7A" w:rsidRDefault="00991939" w:rsidP="0084260F">
      <w:r>
        <w:t xml:space="preserve">Many responses in this theme criticised the </w:t>
      </w:r>
      <w:r w:rsidR="007371D6">
        <w:t>competitive nature of the procurement</w:t>
      </w:r>
      <w:r>
        <w:t xml:space="preserve"> process whi</w:t>
      </w:r>
      <w:r w:rsidR="008F77FB">
        <w:t>le emphasising the value of</w:t>
      </w:r>
      <w:r>
        <w:t xml:space="preserve"> collaboration.</w:t>
      </w:r>
      <w:r w:rsidR="002C3936">
        <w:t xml:space="preserve"> They expressed the view</w:t>
      </w:r>
      <w:r w:rsidR="006B78B7">
        <w:t xml:space="preserve"> that</w:t>
      </w:r>
      <w:r w:rsidR="009B2C8B">
        <w:t xml:space="preserve"> the lim</w:t>
      </w:r>
      <w:r w:rsidR="006B78B7">
        <w:t>ited amount of available funding</w:t>
      </w:r>
      <w:r w:rsidR="005979A1">
        <w:t xml:space="preserve"> creates</w:t>
      </w:r>
      <w:r w:rsidR="00B463BC">
        <w:t xml:space="preserve"> an </w:t>
      </w:r>
      <w:r w:rsidR="005979A1">
        <w:t>o</w:t>
      </w:r>
      <w:r w:rsidR="00B463BC">
        <w:t>verly competitive environment</w:t>
      </w:r>
      <w:r w:rsidR="005979A1">
        <w:t xml:space="preserve">. </w:t>
      </w:r>
      <w:r w:rsidR="005A1933">
        <w:t>Some</w:t>
      </w:r>
      <w:r w:rsidR="002C3936">
        <w:t xml:space="preserve"> responses </w:t>
      </w:r>
      <w:r w:rsidR="00E63C46">
        <w:t>stressed that it was</w:t>
      </w:r>
      <w:r w:rsidR="002C3936">
        <w:t xml:space="preserve"> im</w:t>
      </w:r>
      <w:r w:rsidR="00E63C46">
        <w:t>portant to</w:t>
      </w:r>
      <w:r w:rsidR="002C3936">
        <w:t xml:space="preserve"> </w:t>
      </w:r>
      <w:r w:rsidR="00E63C46">
        <w:t>assess</w:t>
      </w:r>
      <w:r w:rsidR="003C5131">
        <w:t xml:space="preserve"> how</w:t>
      </w:r>
      <w:r w:rsidR="005E0FDF">
        <w:t xml:space="preserve"> tenderers</w:t>
      </w:r>
      <w:r w:rsidR="00341523">
        <w:t xml:space="preserve"> engage with community and industry </w:t>
      </w:r>
      <w:r w:rsidR="003C5131">
        <w:t xml:space="preserve">organisations </w:t>
      </w:r>
      <w:r w:rsidR="00341523">
        <w:t xml:space="preserve">across the Management Unit. </w:t>
      </w:r>
    </w:p>
    <w:p w14:paraId="01DBAD9A" w14:textId="77777777" w:rsidR="003B0E2C" w:rsidRDefault="005979A1" w:rsidP="0098406C">
      <w:pPr>
        <w:pStyle w:val="Heading3"/>
      </w:pPr>
      <w:r w:rsidRPr="005979A1">
        <w:t>The need for skilled staff at the regional level</w:t>
      </w:r>
    </w:p>
    <w:p w14:paraId="01DBAD9B" w14:textId="77777777" w:rsidR="007E3D7A" w:rsidRPr="00DE7B07" w:rsidRDefault="00A63D04" w:rsidP="002D1F0C">
      <w:r>
        <w:t>The majority of responses on</w:t>
      </w:r>
      <w:r w:rsidR="00DE7B07">
        <w:t xml:space="preserve"> this theme focused on the imp</w:t>
      </w:r>
      <w:r w:rsidR="005A554E">
        <w:t>ortant role that regional staff</w:t>
      </w:r>
      <w:r w:rsidR="00313672">
        <w:t xml:space="preserve"> have</w:t>
      </w:r>
      <w:r w:rsidR="00DE7B07">
        <w:t xml:space="preserve"> in facilitating partnerships with local community and industry groups. Their role is particularly important for ensuring stability</w:t>
      </w:r>
      <w:r w:rsidR="00A02D54">
        <w:t xml:space="preserve"> and providing training</w:t>
      </w:r>
      <w:r w:rsidR="00DE7B07">
        <w:t xml:space="preserve"> in the context of the constantly changing volunteer membership of local groups. </w:t>
      </w:r>
    </w:p>
    <w:p w14:paraId="01DBAD9C" w14:textId="77777777" w:rsidR="00C8347E" w:rsidRDefault="00C8347E" w:rsidP="00C8347E">
      <w:pPr>
        <w:pStyle w:val="Heading2"/>
      </w:pPr>
      <w:bookmarkStart w:id="12" w:name="_Toc500248419"/>
      <w:r>
        <w:t>Issue</w:t>
      </w:r>
      <w:r w:rsidR="003B0E2C">
        <w:t xml:space="preserve"> 3</w:t>
      </w:r>
      <w:bookmarkEnd w:id="12"/>
    </w:p>
    <w:p w14:paraId="01DBAD9D" w14:textId="77777777" w:rsidR="00B1151F" w:rsidRPr="00857B18" w:rsidRDefault="00B1151F" w:rsidP="004B726E">
      <w:pPr>
        <w:spacing w:after="0"/>
        <w:rPr>
          <w:rFonts w:cs="Segoe UI"/>
          <w:b/>
          <w:sz w:val="2"/>
          <w:szCs w:val="2"/>
        </w:rPr>
      </w:pPr>
    </w:p>
    <w:p w14:paraId="01DBAD9E" w14:textId="77777777" w:rsidR="00B1151F" w:rsidRPr="00B1151F" w:rsidRDefault="00B1151F" w:rsidP="004B726E">
      <w:pPr>
        <w:pStyle w:val="Boxheading"/>
        <w:rPr>
          <w:sz w:val="22"/>
          <w:szCs w:val="22"/>
        </w:rPr>
      </w:pPr>
    </w:p>
    <w:p w14:paraId="01DBAD9F" w14:textId="77777777" w:rsidR="00B1151F" w:rsidRPr="00B1151F" w:rsidRDefault="00B1151F" w:rsidP="00B1151F">
      <w:pPr>
        <w:pStyle w:val="Boxtext0"/>
        <w:rPr>
          <w:sz w:val="22"/>
        </w:rPr>
      </w:pPr>
      <w:r w:rsidRPr="00B1151F">
        <w:rPr>
          <w:sz w:val="22"/>
        </w:rPr>
        <w:t>Partnerships and collaboration across the Natural Resource Management sector will be vital to the future success of Regional Land Partnerships.</w:t>
      </w:r>
    </w:p>
    <w:p w14:paraId="01DBADA0" w14:textId="77777777" w:rsidR="00B1151F" w:rsidRPr="00B1151F" w:rsidRDefault="00B1151F" w:rsidP="00B1151F">
      <w:pPr>
        <w:pStyle w:val="Boxtext0"/>
        <w:rPr>
          <w:sz w:val="22"/>
        </w:rPr>
      </w:pPr>
      <w:r w:rsidRPr="00B1151F">
        <w:rPr>
          <w:sz w:val="22"/>
        </w:rPr>
        <w:t>Partnerships present potential benefits beyond attracting additional resources—they provide the opportunity to use the expertise, creative thinking, resources and flexibility of business, community, government and non-government sectors to achieve important National Landcare Program outcomes.</w:t>
      </w:r>
    </w:p>
    <w:p w14:paraId="01DBADA1" w14:textId="77777777" w:rsidR="00B1151F" w:rsidRPr="00B1151F" w:rsidRDefault="00B1151F" w:rsidP="00B1151F">
      <w:pPr>
        <w:pStyle w:val="Boxtext0"/>
        <w:rPr>
          <w:sz w:val="22"/>
        </w:rPr>
      </w:pPr>
      <w:r w:rsidRPr="00B1151F">
        <w:rPr>
          <w:sz w:val="22"/>
        </w:rPr>
        <w:t>The departments welcome feedback about how to encourage partnerships in the context of the consideration of adopting a competitive and open tender to deliver Regional Land Partnerships. </w:t>
      </w:r>
    </w:p>
    <w:p w14:paraId="01DBADA2" w14:textId="77777777" w:rsidR="00B1151F" w:rsidRPr="00266C8A" w:rsidRDefault="00B1151F" w:rsidP="00266C8A">
      <w:pPr>
        <w:pStyle w:val="Boxtext0"/>
        <w:rPr>
          <w:b/>
          <w:sz w:val="22"/>
        </w:rPr>
      </w:pPr>
      <w:r w:rsidRPr="00B1151F">
        <w:rPr>
          <w:b/>
          <w:sz w:val="22"/>
        </w:rPr>
        <w:t>Question 3: How can the departments support collaboration under Regional Land Partnerships?</w:t>
      </w:r>
    </w:p>
    <w:p w14:paraId="01DBADA3" w14:textId="77777777" w:rsidR="00464B1F" w:rsidRDefault="00464B1F" w:rsidP="00464B1F">
      <w:pPr>
        <w:pStyle w:val="TableHeading"/>
      </w:pPr>
      <w:bookmarkStart w:id="13" w:name="_Toc500248428"/>
      <w:r>
        <w:t>Main themes for Issue 3</w:t>
      </w:r>
      <w:bookmarkEnd w:id="13"/>
    </w:p>
    <w:tbl>
      <w:tblPr>
        <w:tblStyle w:val="ARTDTable"/>
        <w:tblW w:w="9261" w:type="dxa"/>
        <w:tblLook w:val="04A0" w:firstRow="1" w:lastRow="0" w:firstColumn="1" w:lastColumn="0" w:noHBand="0" w:noVBand="1"/>
      </w:tblPr>
      <w:tblGrid>
        <w:gridCol w:w="7088"/>
        <w:gridCol w:w="1134"/>
        <w:gridCol w:w="1039"/>
      </w:tblGrid>
      <w:tr w:rsidR="00464B1F" w14:paraId="01DBADA7" w14:textId="77777777" w:rsidTr="00452203">
        <w:trPr>
          <w:cnfStyle w:val="100000000000" w:firstRow="1" w:lastRow="0" w:firstColumn="0" w:lastColumn="0" w:oddVBand="0" w:evenVBand="0" w:oddHBand="0" w:evenHBand="0" w:firstRowFirstColumn="0" w:firstRowLastColumn="0" w:lastRowFirstColumn="0" w:lastRowLastColumn="0"/>
        </w:trPr>
        <w:tc>
          <w:tcPr>
            <w:tcW w:w="7088" w:type="dxa"/>
          </w:tcPr>
          <w:p w14:paraId="01DBADA4" w14:textId="77777777" w:rsidR="00464B1F" w:rsidRDefault="00464B1F" w:rsidP="00464B1F">
            <w:pPr>
              <w:pStyle w:val="Tablebodytext"/>
            </w:pPr>
            <w:r>
              <w:t>Theme</w:t>
            </w:r>
          </w:p>
        </w:tc>
        <w:tc>
          <w:tcPr>
            <w:tcW w:w="1134" w:type="dxa"/>
          </w:tcPr>
          <w:p w14:paraId="01DBADA5" w14:textId="77777777" w:rsidR="00464B1F" w:rsidRDefault="00464B1F" w:rsidP="00E71BC5">
            <w:pPr>
              <w:pStyle w:val="Tablebodytext"/>
              <w:jc w:val="right"/>
            </w:pPr>
            <w:r>
              <w:t>Number</w:t>
            </w:r>
          </w:p>
        </w:tc>
        <w:tc>
          <w:tcPr>
            <w:tcW w:w="1039" w:type="dxa"/>
          </w:tcPr>
          <w:p w14:paraId="01DBADA6" w14:textId="77777777" w:rsidR="00464B1F" w:rsidRDefault="00464B1F" w:rsidP="00E71BC5">
            <w:pPr>
              <w:pStyle w:val="Tablebodytext"/>
              <w:jc w:val="right"/>
            </w:pPr>
            <w:r>
              <w:t>Percent</w:t>
            </w:r>
          </w:p>
        </w:tc>
      </w:tr>
      <w:tr w:rsidR="00464B1F" w14:paraId="01DBADAB" w14:textId="77777777" w:rsidTr="00452203">
        <w:tc>
          <w:tcPr>
            <w:tcW w:w="7088" w:type="dxa"/>
          </w:tcPr>
          <w:p w14:paraId="01DBADA8" w14:textId="77777777" w:rsidR="00464B1F" w:rsidRPr="00C257B6" w:rsidRDefault="00464B1F" w:rsidP="00464B1F">
            <w:pPr>
              <w:pStyle w:val="Tablebodytext"/>
            </w:pPr>
            <w:r w:rsidRPr="00C257B6">
              <w:t>Resourcing/ support for regional</w:t>
            </w:r>
            <w:r>
              <w:t xml:space="preserve"> groups </w:t>
            </w:r>
          </w:p>
        </w:tc>
        <w:tc>
          <w:tcPr>
            <w:tcW w:w="1134" w:type="dxa"/>
          </w:tcPr>
          <w:p w14:paraId="01DBADA9" w14:textId="77777777" w:rsidR="00464B1F" w:rsidRDefault="00464B1F" w:rsidP="00E71BC5">
            <w:pPr>
              <w:pStyle w:val="Tablebodytext"/>
              <w:jc w:val="right"/>
            </w:pPr>
            <w:r>
              <w:t>20</w:t>
            </w:r>
          </w:p>
        </w:tc>
        <w:tc>
          <w:tcPr>
            <w:tcW w:w="1039" w:type="dxa"/>
          </w:tcPr>
          <w:p w14:paraId="01DBADAA" w14:textId="77777777" w:rsidR="00464B1F" w:rsidRDefault="00464B1F" w:rsidP="00E71BC5">
            <w:pPr>
              <w:pStyle w:val="Tablebodytext"/>
              <w:jc w:val="right"/>
            </w:pPr>
            <w:r>
              <w:t>18%</w:t>
            </w:r>
          </w:p>
        </w:tc>
      </w:tr>
      <w:tr w:rsidR="00464B1F" w14:paraId="01DBADAF" w14:textId="77777777" w:rsidTr="00452203">
        <w:tc>
          <w:tcPr>
            <w:tcW w:w="7088" w:type="dxa"/>
          </w:tcPr>
          <w:p w14:paraId="01DBADAC" w14:textId="77777777" w:rsidR="00464B1F" w:rsidRPr="00C257B6" w:rsidRDefault="00464B1F" w:rsidP="00464B1F">
            <w:pPr>
              <w:pStyle w:val="Tablebodytext"/>
            </w:pPr>
            <w:r w:rsidRPr="00C257B6">
              <w:t xml:space="preserve">Include details of collaboration in the requirements of the tender </w:t>
            </w:r>
          </w:p>
        </w:tc>
        <w:tc>
          <w:tcPr>
            <w:tcW w:w="1134" w:type="dxa"/>
          </w:tcPr>
          <w:p w14:paraId="01DBADAD" w14:textId="77777777" w:rsidR="00464B1F" w:rsidRDefault="00464B1F" w:rsidP="00E71BC5">
            <w:pPr>
              <w:pStyle w:val="Tablebodytext"/>
              <w:jc w:val="right"/>
            </w:pPr>
            <w:r>
              <w:t>17</w:t>
            </w:r>
          </w:p>
        </w:tc>
        <w:tc>
          <w:tcPr>
            <w:tcW w:w="1039" w:type="dxa"/>
          </w:tcPr>
          <w:p w14:paraId="01DBADAE" w14:textId="77777777" w:rsidR="00464B1F" w:rsidRDefault="00464B1F" w:rsidP="00E71BC5">
            <w:pPr>
              <w:pStyle w:val="Tablebodytext"/>
              <w:jc w:val="right"/>
            </w:pPr>
            <w:r>
              <w:t>15%</w:t>
            </w:r>
          </w:p>
        </w:tc>
      </w:tr>
      <w:tr w:rsidR="00464B1F" w14:paraId="01DBADB3" w14:textId="77777777" w:rsidTr="00452203">
        <w:tc>
          <w:tcPr>
            <w:tcW w:w="7088" w:type="dxa"/>
          </w:tcPr>
          <w:p w14:paraId="01DBADB0" w14:textId="77777777" w:rsidR="00464B1F" w:rsidRPr="00C257B6" w:rsidRDefault="00DF563C" w:rsidP="00464B1F">
            <w:pPr>
              <w:pStyle w:val="Tablebodytext"/>
            </w:pPr>
            <w:r>
              <w:t>Restrict administrative burden</w:t>
            </w:r>
            <w:r w:rsidR="00464B1F">
              <w:t xml:space="preserve"> </w:t>
            </w:r>
          </w:p>
        </w:tc>
        <w:tc>
          <w:tcPr>
            <w:tcW w:w="1134" w:type="dxa"/>
          </w:tcPr>
          <w:p w14:paraId="01DBADB1" w14:textId="77777777" w:rsidR="00464B1F" w:rsidRDefault="00464B1F" w:rsidP="00E71BC5">
            <w:pPr>
              <w:pStyle w:val="Tablebodytext"/>
              <w:jc w:val="right"/>
            </w:pPr>
            <w:r>
              <w:t>15</w:t>
            </w:r>
          </w:p>
        </w:tc>
        <w:tc>
          <w:tcPr>
            <w:tcW w:w="1039" w:type="dxa"/>
          </w:tcPr>
          <w:p w14:paraId="01DBADB2" w14:textId="77777777" w:rsidR="00464B1F" w:rsidRDefault="00464B1F" w:rsidP="00E71BC5">
            <w:pPr>
              <w:pStyle w:val="Tablebodytext"/>
              <w:jc w:val="right"/>
            </w:pPr>
            <w:r>
              <w:t>13%</w:t>
            </w:r>
          </w:p>
        </w:tc>
      </w:tr>
      <w:tr w:rsidR="00464B1F" w14:paraId="01DBADB7" w14:textId="77777777" w:rsidTr="00452203">
        <w:tc>
          <w:tcPr>
            <w:tcW w:w="7088" w:type="dxa"/>
          </w:tcPr>
          <w:p w14:paraId="01DBADB4" w14:textId="77777777" w:rsidR="00464B1F" w:rsidRPr="00C257B6" w:rsidRDefault="00DF563C" w:rsidP="00464B1F">
            <w:pPr>
              <w:pStyle w:val="Tablebodytext"/>
            </w:pPr>
            <w:r>
              <w:t>Need to balance competition with collaboration</w:t>
            </w:r>
            <w:r w:rsidR="00464B1F">
              <w:t xml:space="preserve"> </w:t>
            </w:r>
          </w:p>
        </w:tc>
        <w:tc>
          <w:tcPr>
            <w:tcW w:w="1134" w:type="dxa"/>
          </w:tcPr>
          <w:p w14:paraId="01DBADB5" w14:textId="77777777" w:rsidR="00464B1F" w:rsidRDefault="00464B1F" w:rsidP="00E71BC5">
            <w:pPr>
              <w:pStyle w:val="Tablebodytext"/>
              <w:jc w:val="right"/>
            </w:pPr>
            <w:r>
              <w:t>15</w:t>
            </w:r>
          </w:p>
        </w:tc>
        <w:tc>
          <w:tcPr>
            <w:tcW w:w="1039" w:type="dxa"/>
          </w:tcPr>
          <w:p w14:paraId="01DBADB6" w14:textId="77777777" w:rsidR="00464B1F" w:rsidRDefault="00464B1F" w:rsidP="00E71BC5">
            <w:pPr>
              <w:pStyle w:val="Tablebodytext"/>
              <w:jc w:val="right"/>
            </w:pPr>
            <w:r>
              <w:t>13%</w:t>
            </w:r>
          </w:p>
        </w:tc>
      </w:tr>
      <w:tr w:rsidR="00464B1F" w14:paraId="01DBADBB" w14:textId="77777777" w:rsidTr="00452203">
        <w:tc>
          <w:tcPr>
            <w:tcW w:w="7088" w:type="dxa"/>
          </w:tcPr>
          <w:p w14:paraId="01DBADB8" w14:textId="77777777" w:rsidR="00464B1F" w:rsidRPr="00C257B6" w:rsidRDefault="00464B1F" w:rsidP="00464B1F">
            <w:pPr>
              <w:pStyle w:val="Tablebodytext"/>
            </w:pPr>
            <w:r w:rsidRPr="00C257B6">
              <w:t xml:space="preserve">Allow time for assessment/consultation with </w:t>
            </w:r>
            <w:r>
              <w:t xml:space="preserve">partners </w:t>
            </w:r>
          </w:p>
        </w:tc>
        <w:tc>
          <w:tcPr>
            <w:tcW w:w="1134" w:type="dxa"/>
          </w:tcPr>
          <w:p w14:paraId="01DBADB9" w14:textId="77777777" w:rsidR="00464B1F" w:rsidRDefault="00464B1F" w:rsidP="00E71BC5">
            <w:pPr>
              <w:pStyle w:val="Tablebodytext"/>
              <w:jc w:val="right"/>
            </w:pPr>
            <w:r>
              <w:t>12</w:t>
            </w:r>
          </w:p>
        </w:tc>
        <w:tc>
          <w:tcPr>
            <w:tcW w:w="1039" w:type="dxa"/>
          </w:tcPr>
          <w:p w14:paraId="01DBADBA" w14:textId="77777777" w:rsidR="00464B1F" w:rsidRDefault="00464B1F" w:rsidP="00E71BC5">
            <w:pPr>
              <w:pStyle w:val="Tablebodytext"/>
              <w:jc w:val="right"/>
            </w:pPr>
            <w:r>
              <w:t>11%</w:t>
            </w:r>
          </w:p>
        </w:tc>
      </w:tr>
    </w:tbl>
    <w:p w14:paraId="01DBADBC" w14:textId="77777777" w:rsidR="00464B1F" w:rsidRPr="00F12833" w:rsidRDefault="00464B1F" w:rsidP="00464B1F">
      <w:pPr>
        <w:rPr>
          <w:sz w:val="18"/>
          <w:szCs w:val="18"/>
        </w:rPr>
      </w:pPr>
      <w:r>
        <w:rPr>
          <w:sz w:val="18"/>
          <w:szCs w:val="18"/>
        </w:rPr>
        <w:t>Total respondents = 114</w:t>
      </w:r>
    </w:p>
    <w:p w14:paraId="01DBADBD" w14:textId="77777777" w:rsidR="008974EC" w:rsidRDefault="00BE1A4B" w:rsidP="00AA7E94">
      <w:pPr>
        <w:pStyle w:val="Heading3"/>
      </w:pPr>
      <w:r>
        <w:lastRenderedPageBreak/>
        <w:t>Resourcing/ support</w:t>
      </w:r>
      <w:r w:rsidR="008974EC">
        <w:t xml:space="preserve"> for regional groups </w:t>
      </w:r>
    </w:p>
    <w:p w14:paraId="01DBADBE" w14:textId="77777777" w:rsidR="00526F3B" w:rsidRPr="00526F3B" w:rsidRDefault="00C76B93" w:rsidP="00526F3B">
      <w:r>
        <w:t>The responses on</w:t>
      </w:r>
      <w:r w:rsidR="00AA7E94">
        <w:t xml:space="preserve"> this theme </w:t>
      </w:r>
      <w:r w:rsidR="00164348">
        <w:t xml:space="preserve">expressed </w:t>
      </w:r>
      <w:r w:rsidR="00AA7E94">
        <w:t>the need for more fu</w:t>
      </w:r>
      <w:r w:rsidR="00164348">
        <w:t xml:space="preserve">nding and support for regional </w:t>
      </w:r>
      <w:r w:rsidR="006032A8">
        <w:t xml:space="preserve">and local </w:t>
      </w:r>
      <w:r>
        <w:t xml:space="preserve">groups </w:t>
      </w:r>
      <w:r w:rsidR="006032A8">
        <w:t>to offset the costs incurred through engaging in collaboration.</w:t>
      </w:r>
      <w:r w:rsidR="00164348">
        <w:t xml:space="preserve"> </w:t>
      </w:r>
      <w:r w:rsidR="006032A8">
        <w:t>Some</w:t>
      </w:r>
      <w:r w:rsidR="00164348">
        <w:t xml:space="preserve"> responses suggested that support could be provided for capacity building and ensuring that there are facilitators and technical experts at the local level</w:t>
      </w:r>
      <w:r w:rsidR="006032A8">
        <w:t>.</w:t>
      </w:r>
    </w:p>
    <w:p w14:paraId="01DBADBF" w14:textId="77777777" w:rsidR="008974EC" w:rsidRDefault="008974EC" w:rsidP="003722DD">
      <w:pPr>
        <w:pStyle w:val="Heading3"/>
      </w:pPr>
      <w:r>
        <w:t xml:space="preserve">Include details of collaboration in the requirements of the tender </w:t>
      </w:r>
    </w:p>
    <w:p w14:paraId="01DBADC0" w14:textId="77777777" w:rsidR="006032A8" w:rsidRPr="006032A8" w:rsidRDefault="00EC131B" w:rsidP="006032A8">
      <w:r>
        <w:t xml:space="preserve">The majority of survey responses on this theme argued that </w:t>
      </w:r>
      <w:r w:rsidR="001E6A00">
        <w:t>tenderers</w:t>
      </w:r>
      <w:r>
        <w:t xml:space="preserve"> should be required to provide details of th</w:t>
      </w:r>
      <w:r w:rsidR="00287041">
        <w:t>eir collaboration. The suggestions for</w:t>
      </w:r>
      <w:r>
        <w:t xml:space="preserve"> required documents include letters from partners detailing their involvement in the bid, evidence of how tenderers will support collaboration in their projects and a legally binding agreement that controls the relationship between collaborating parties. </w:t>
      </w:r>
    </w:p>
    <w:p w14:paraId="01DBADC1" w14:textId="77777777" w:rsidR="008974EC" w:rsidRDefault="00DF563C" w:rsidP="003722DD">
      <w:pPr>
        <w:pStyle w:val="Heading3"/>
      </w:pPr>
      <w:r>
        <w:t>Restrict administrative burden</w:t>
      </w:r>
    </w:p>
    <w:p w14:paraId="01DBADC2" w14:textId="77777777" w:rsidR="001E6A00" w:rsidRPr="001E6A00" w:rsidRDefault="001E6A00" w:rsidP="001E6A00">
      <w:r>
        <w:t>Many survey res</w:t>
      </w:r>
      <w:r w:rsidR="00C63D43">
        <w:t xml:space="preserve">ponses on this theme </w:t>
      </w:r>
      <w:r w:rsidR="004E6C4B">
        <w:t>expressed the view</w:t>
      </w:r>
      <w:r w:rsidR="00C63D43">
        <w:t xml:space="preserve"> that</w:t>
      </w:r>
      <w:r>
        <w:t xml:space="preserve"> local groups do not have the capacity to meet the application, administration and reporting requirements in the proposed tender pr</w:t>
      </w:r>
      <w:r w:rsidR="003A13C1">
        <w:t>ocess. Other responses stated that</w:t>
      </w:r>
      <w:r>
        <w:t xml:space="preserve"> greater flexibility </w:t>
      </w:r>
      <w:r w:rsidR="004365ED">
        <w:t xml:space="preserve">on </w:t>
      </w:r>
      <w:r w:rsidR="00783B1B">
        <w:t>National Landcare Program Phase 2</w:t>
      </w:r>
      <w:r>
        <w:t xml:space="preserve"> outcomes wo</w:t>
      </w:r>
      <w:r w:rsidR="004365ED">
        <w:t>uld create</w:t>
      </w:r>
      <w:r w:rsidR="00DB54AA">
        <w:t xml:space="preserve"> more opportunities for partnerships.</w:t>
      </w:r>
    </w:p>
    <w:p w14:paraId="01DBADC3" w14:textId="77777777" w:rsidR="008974EC" w:rsidRDefault="00DF563C" w:rsidP="003722DD">
      <w:pPr>
        <w:pStyle w:val="Heading3"/>
      </w:pPr>
      <w:r>
        <w:t>Need to balance competition with collaboration</w:t>
      </w:r>
      <w:r w:rsidR="008974EC">
        <w:t xml:space="preserve"> </w:t>
      </w:r>
    </w:p>
    <w:p w14:paraId="01DBADC4" w14:textId="77777777" w:rsidR="00602957" w:rsidRPr="00602957" w:rsidRDefault="00A77922" w:rsidP="00602957">
      <w:r>
        <w:t>There were differing concerns about competition in the tender processes among</w:t>
      </w:r>
      <w:r w:rsidR="007D438D">
        <w:t xml:space="preserve"> these responses</w:t>
      </w:r>
      <w:r>
        <w:t xml:space="preserve">. </w:t>
      </w:r>
      <w:r w:rsidR="004F2762">
        <w:t xml:space="preserve">Some responses stated that </w:t>
      </w:r>
      <w:r>
        <w:t>competition is already a barrier to developing partner</w:t>
      </w:r>
      <w:r w:rsidR="003A13C1">
        <w:t>ships. Other responses argued</w:t>
      </w:r>
      <w:r>
        <w:t xml:space="preserve"> tha</w:t>
      </w:r>
      <w:r w:rsidR="00C07585">
        <w:t>t there need to be agreed</w:t>
      </w:r>
      <w:r>
        <w:t xml:space="preserve"> trajectories</w:t>
      </w:r>
      <w:r w:rsidR="00C07585">
        <w:t>, checks on the capacity of partners to deliver and clearly defined roles</w:t>
      </w:r>
      <w:r>
        <w:t xml:space="preserve"> for </w:t>
      </w:r>
      <w:r w:rsidRPr="00A77922">
        <w:t>collaborative partnerships</w:t>
      </w:r>
      <w:r w:rsidR="00B939EE">
        <w:t xml:space="preserve"> to prevent poor returns. </w:t>
      </w:r>
    </w:p>
    <w:p w14:paraId="01DBADC5" w14:textId="77777777" w:rsidR="008974EC" w:rsidRDefault="008974EC" w:rsidP="003722DD">
      <w:pPr>
        <w:pStyle w:val="Heading3"/>
      </w:pPr>
      <w:r>
        <w:t>Allow time for assessment/consul</w:t>
      </w:r>
      <w:r w:rsidR="00715E0F">
        <w:t>tation with partners</w:t>
      </w:r>
    </w:p>
    <w:p w14:paraId="01DBADC6" w14:textId="77777777" w:rsidR="00C0759F" w:rsidRPr="00C0759F" w:rsidRDefault="00C0759F" w:rsidP="00C0759F">
      <w:r>
        <w:t>Many responses argued that there needs to be an adequ</w:t>
      </w:r>
      <w:r w:rsidR="0099732E">
        <w:t>ate amount of time in the tender process to develop partnerships and allow for consultation between</w:t>
      </w:r>
      <w:r>
        <w:t xml:space="preserve"> partners. </w:t>
      </w:r>
      <w:r w:rsidR="00576E0F">
        <w:t>S</w:t>
      </w:r>
      <w:r w:rsidR="002326E9">
        <w:t>ome responses explained how</w:t>
      </w:r>
      <w:r>
        <w:t xml:space="preserve"> delays caused by changes in staff and requirements for planning to undergo several stages could extend the time necessary for the development of partnerships. </w:t>
      </w:r>
    </w:p>
    <w:p w14:paraId="01DBADC7" w14:textId="77777777" w:rsidR="004C3E61" w:rsidRDefault="004C3E61" w:rsidP="004C3E61">
      <w:pPr>
        <w:pStyle w:val="Heading2"/>
      </w:pPr>
      <w:bookmarkStart w:id="14" w:name="_Toc500248420"/>
      <w:r>
        <w:t>Issue</w:t>
      </w:r>
      <w:r w:rsidR="003B0E2C">
        <w:t xml:space="preserve"> 4</w:t>
      </w:r>
      <w:bookmarkEnd w:id="14"/>
    </w:p>
    <w:p w14:paraId="01DBADC8" w14:textId="77777777" w:rsidR="008F6C08" w:rsidRPr="00857B18" w:rsidRDefault="008F6C08" w:rsidP="004B726E">
      <w:pPr>
        <w:spacing w:after="0"/>
        <w:rPr>
          <w:rFonts w:cs="Segoe UI"/>
          <w:b/>
          <w:sz w:val="2"/>
          <w:szCs w:val="2"/>
        </w:rPr>
      </w:pPr>
    </w:p>
    <w:p w14:paraId="01DBADC9" w14:textId="77777777" w:rsidR="008F6C08" w:rsidRDefault="008F6C08" w:rsidP="004B726E">
      <w:pPr>
        <w:pStyle w:val="Boxheading"/>
      </w:pPr>
    </w:p>
    <w:p w14:paraId="01DBADCA" w14:textId="77777777" w:rsidR="008F6C08" w:rsidRPr="008F6C08" w:rsidRDefault="008F6C08" w:rsidP="008F6C08">
      <w:pPr>
        <w:pStyle w:val="Boxtext0"/>
        <w:rPr>
          <w:sz w:val="22"/>
        </w:rPr>
      </w:pPr>
      <w:r w:rsidRPr="008F6C08">
        <w:rPr>
          <w:sz w:val="22"/>
        </w:rPr>
        <w:t xml:space="preserve">Shared or co-investment is a way for government, businesses, agriculture industries, non-government organisations, the community and philanthropic sectors to work together to improve environmental and sustainable agriculture outcomes. Co-investment provides </w:t>
      </w:r>
      <w:r w:rsidRPr="008F6C08">
        <w:rPr>
          <w:sz w:val="22"/>
        </w:rPr>
        <w:lastRenderedPageBreak/>
        <w:t>opportunities to better align public and private investment, promote new ways of working, reinforce shared responsibility of natural resource management problems and solutions, and enable greater effectiveness of joint efforts.</w:t>
      </w:r>
    </w:p>
    <w:p w14:paraId="01DBADCB" w14:textId="77777777" w:rsidR="008F6C08" w:rsidRPr="008F6C08" w:rsidRDefault="008F6C08" w:rsidP="008F6C08">
      <w:pPr>
        <w:pStyle w:val="Boxtext0"/>
        <w:rPr>
          <w:b/>
          <w:sz w:val="22"/>
        </w:rPr>
      </w:pPr>
      <w:r w:rsidRPr="008F6C08">
        <w:rPr>
          <w:b/>
          <w:sz w:val="22"/>
        </w:rPr>
        <w:t>Question 4a: How can co-investment be increased through Regional Land Partnerships?</w:t>
      </w:r>
    </w:p>
    <w:p w14:paraId="01DBADCC" w14:textId="77777777" w:rsidR="008F6C08" w:rsidRPr="008F6C08" w:rsidRDefault="008F6C08" w:rsidP="004B726E">
      <w:pPr>
        <w:pStyle w:val="Boxbullets"/>
        <w:numPr>
          <w:ilvl w:val="0"/>
          <w:numId w:val="0"/>
        </w:numPr>
        <w:ind w:left="454" w:hanging="454"/>
        <w:rPr>
          <w:rFonts w:cs="Segoe UI"/>
          <w:sz w:val="2"/>
          <w:szCs w:val="2"/>
        </w:rPr>
      </w:pPr>
    </w:p>
    <w:p w14:paraId="01DBADCD" w14:textId="77777777" w:rsidR="008F6C08" w:rsidRPr="008F6C08" w:rsidRDefault="008F6C08" w:rsidP="008F6C08"/>
    <w:p w14:paraId="01DBADCE" w14:textId="77777777" w:rsidR="00FA0DF3" w:rsidRDefault="0066049D" w:rsidP="00FA0DF3">
      <w:pPr>
        <w:rPr>
          <w:sz w:val="24"/>
          <w:szCs w:val="24"/>
        </w:rPr>
      </w:pPr>
      <w:r>
        <w:rPr>
          <w:sz w:val="24"/>
          <w:szCs w:val="24"/>
        </w:rPr>
        <w:t xml:space="preserve">There was substantial variety in the responses to this question. </w:t>
      </w:r>
    </w:p>
    <w:p w14:paraId="01DBADCF" w14:textId="77777777" w:rsidR="00FA0DF3" w:rsidRDefault="00FA0DF3" w:rsidP="00FA0DF3">
      <w:pPr>
        <w:pStyle w:val="TableHeading"/>
      </w:pPr>
      <w:bookmarkStart w:id="15" w:name="_Toc500248429"/>
      <w:r>
        <w:t>Main themes for Issue 4, Question 4a</w:t>
      </w:r>
      <w:bookmarkEnd w:id="15"/>
    </w:p>
    <w:tbl>
      <w:tblPr>
        <w:tblStyle w:val="ARTDTable"/>
        <w:tblW w:w="9261" w:type="dxa"/>
        <w:tblLook w:val="04A0" w:firstRow="1" w:lastRow="0" w:firstColumn="1" w:lastColumn="0" w:noHBand="0" w:noVBand="1"/>
      </w:tblPr>
      <w:tblGrid>
        <w:gridCol w:w="7088"/>
        <w:gridCol w:w="1134"/>
        <w:gridCol w:w="1039"/>
      </w:tblGrid>
      <w:tr w:rsidR="00FA0DF3" w14:paraId="01DBADD3" w14:textId="77777777" w:rsidTr="00452203">
        <w:trPr>
          <w:cnfStyle w:val="100000000000" w:firstRow="1" w:lastRow="0" w:firstColumn="0" w:lastColumn="0" w:oddVBand="0" w:evenVBand="0" w:oddHBand="0" w:evenHBand="0" w:firstRowFirstColumn="0" w:firstRowLastColumn="0" w:lastRowFirstColumn="0" w:lastRowLastColumn="0"/>
        </w:trPr>
        <w:tc>
          <w:tcPr>
            <w:tcW w:w="7088" w:type="dxa"/>
          </w:tcPr>
          <w:p w14:paraId="01DBADD0" w14:textId="77777777" w:rsidR="00FA0DF3" w:rsidRDefault="00FA0DF3" w:rsidP="00FA0DF3">
            <w:pPr>
              <w:pStyle w:val="Tablebodytext"/>
            </w:pPr>
            <w:r>
              <w:t>Theme</w:t>
            </w:r>
          </w:p>
        </w:tc>
        <w:tc>
          <w:tcPr>
            <w:tcW w:w="1134" w:type="dxa"/>
          </w:tcPr>
          <w:p w14:paraId="01DBADD1" w14:textId="77777777" w:rsidR="00FA0DF3" w:rsidRDefault="00FA0DF3" w:rsidP="00E71BC5">
            <w:pPr>
              <w:pStyle w:val="Tablebodytext"/>
              <w:jc w:val="right"/>
            </w:pPr>
            <w:r>
              <w:t>Number</w:t>
            </w:r>
          </w:p>
        </w:tc>
        <w:tc>
          <w:tcPr>
            <w:tcW w:w="1039" w:type="dxa"/>
          </w:tcPr>
          <w:p w14:paraId="01DBADD2" w14:textId="77777777" w:rsidR="00FA0DF3" w:rsidRDefault="00FA0DF3" w:rsidP="00E71BC5">
            <w:pPr>
              <w:pStyle w:val="Tablebodytext"/>
              <w:jc w:val="right"/>
            </w:pPr>
            <w:r>
              <w:t>Percent</w:t>
            </w:r>
          </w:p>
        </w:tc>
      </w:tr>
      <w:tr w:rsidR="00FA0DF3" w14:paraId="01DBADD7" w14:textId="77777777" w:rsidTr="00452203">
        <w:tc>
          <w:tcPr>
            <w:tcW w:w="7088" w:type="dxa"/>
          </w:tcPr>
          <w:p w14:paraId="01DBADD4" w14:textId="77777777" w:rsidR="00FA0DF3" w:rsidRPr="00EC5CBE" w:rsidRDefault="00FA0DF3" w:rsidP="00FA0DF3">
            <w:pPr>
              <w:pStyle w:val="Tablebodytext"/>
            </w:pPr>
            <w:r w:rsidRPr="00EC5CBE">
              <w:t xml:space="preserve">Support for public and private </w:t>
            </w:r>
            <w:r>
              <w:t xml:space="preserve">co-investment </w:t>
            </w:r>
          </w:p>
        </w:tc>
        <w:tc>
          <w:tcPr>
            <w:tcW w:w="1134" w:type="dxa"/>
          </w:tcPr>
          <w:p w14:paraId="01DBADD5" w14:textId="77777777" w:rsidR="00FA0DF3" w:rsidRDefault="00FA0DF3" w:rsidP="00E71BC5">
            <w:pPr>
              <w:pStyle w:val="Tablebodytext"/>
              <w:jc w:val="right"/>
            </w:pPr>
            <w:r>
              <w:t>18</w:t>
            </w:r>
          </w:p>
        </w:tc>
        <w:tc>
          <w:tcPr>
            <w:tcW w:w="1039" w:type="dxa"/>
          </w:tcPr>
          <w:p w14:paraId="01DBADD6" w14:textId="77777777" w:rsidR="00FA0DF3" w:rsidRDefault="00FA0DF3" w:rsidP="00E71BC5">
            <w:pPr>
              <w:pStyle w:val="Tablebodytext"/>
              <w:jc w:val="right"/>
            </w:pPr>
            <w:r>
              <w:t>17%</w:t>
            </w:r>
          </w:p>
        </w:tc>
      </w:tr>
      <w:tr w:rsidR="00FA0DF3" w14:paraId="01DBADDB" w14:textId="77777777" w:rsidTr="00452203">
        <w:tc>
          <w:tcPr>
            <w:tcW w:w="7088" w:type="dxa"/>
          </w:tcPr>
          <w:p w14:paraId="01DBADD8" w14:textId="77777777" w:rsidR="00FA0DF3" w:rsidRPr="00EC5CBE" w:rsidRDefault="00C63B0F" w:rsidP="00FA0DF3">
            <w:pPr>
              <w:pStyle w:val="Tablebodytext"/>
            </w:pPr>
            <w:r>
              <w:t>Increasing funding for</w:t>
            </w:r>
            <w:r w:rsidR="00FA0DF3">
              <w:t xml:space="preserve"> local groups </w:t>
            </w:r>
          </w:p>
        </w:tc>
        <w:tc>
          <w:tcPr>
            <w:tcW w:w="1134" w:type="dxa"/>
          </w:tcPr>
          <w:p w14:paraId="01DBADD9" w14:textId="77777777" w:rsidR="00FA0DF3" w:rsidRDefault="00FA0DF3" w:rsidP="00E71BC5">
            <w:pPr>
              <w:pStyle w:val="Tablebodytext"/>
              <w:jc w:val="right"/>
            </w:pPr>
            <w:r>
              <w:t>14</w:t>
            </w:r>
          </w:p>
        </w:tc>
        <w:tc>
          <w:tcPr>
            <w:tcW w:w="1039" w:type="dxa"/>
          </w:tcPr>
          <w:p w14:paraId="01DBADDA" w14:textId="77777777" w:rsidR="00FA0DF3" w:rsidRDefault="00FA0DF3" w:rsidP="00E71BC5">
            <w:pPr>
              <w:pStyle w:val="Tablebodytext"/>
              <w:jc w:val="right"/>
            </w:pPr>
            <w:r>
              <w:t>13%</w:t>
            </w:r>
          </w:p>
        </w:tc>
      </w:tr>
      <w:tr w:rsidR="00FA0DF3" w14:paraId="01DBADDF" w14:textId="77777777" w:rsidTr="00452203">
        <w:tc>
          <w:tcPr>
            <w:tcW w:w="7088" w:type="dxa"/>
          </w:tcPr>
          <w:p w14:paraId="01DBADDC" w14:textId="77777777" w:rsidR="00FA0DF3" w:rsidRPr="00EC5CBE" w:rsidRDefault="00FA0DF3" w:rsidP="00FA0DF3">
            <w:pPr>
              <w:pStyle w:val="Tablebodytext"/>
            </w:pPr>
            <w:r w:rsidRPr="00EC5CBE">
              <w:t>Co-</w:t>
            </w:r>
            <w:r>
              <w:t xml:space="preserve">investment of volunteer hours </w:t>
            </w:r>
          </w:p>
        </w:tc>
        <w:tc>
          <w:tcPr>
            <w:tcW w:w="1134" w:type="dxa"/>
          </w:tcPr>
          <w:p w14:paraId="01DBADDD" w14:textId="77777777" w:rsidR="00FA0DF3" w:rsidRDefault="00FA0DF3" w:rsidP="00E71BC5">
            <w:pPr>
              <w:pStyle w:val="Tablebodytext"/>
              <w:jc w:val="right"/>
            </w:pPr>
            <w:r>
              <w:t>13</w:t>
            </w:r>
          </w:p>
        </w:tc>
        <w:tc>
          <w:tcPr>
            <w:tcW w:w="1039" w:type="dxa"/>
          </w:tcPr>
          <w:p w14:paraId="01DBADDE" w14:textId="77777777" w:rsidR="00FA0DF3" w:rsidRDefault="00FA0DF3" w:rsidP="00E71BC5">
            <w:pPr>
              <w:pStyle w:val="Tablebodytext"/>
              <w:jc w:val="right"/>
            </w:pPr>
            <w:r>
              <w:t>12%</w:t>
            </w:r>
          </w:p>
        </w:tc>
      </w:tr>
      <w:tr w:rsidR="00FA0DF3" w14:paraId="01DBADE3" w14:textId="77777777" w:rsidTr="00452203">
        <w:tc>
          <w:tcPr>
            <w:tcW w:w="7088" w:type="dxa"/>
          </w:tcPr>
          <w:p w14:paraId="01DBADE0" w14:textId="77777777" w:rsidR="00FA0DF3" w:rsidRPr="00EC5CBE" w:rsidRDefault="00FA0DF3" w:rsidP="00FA0DF3">
            <w:pPr>
              <w:pStyle w:val="Tablebodytext"/>
            </w:pPr>
            <w:r>
              <w:t xml:space="preserve">Unification of goals </w:t>
            </w:r>
          </w:p>
        </w:tc>
        <w:tc>
          <w:tcPr>
            <w:tcW w:w="1134" w:type="dxa"/>
          </w:tcPr>
          <w:p w14:paraId="01DBADE1" w14:textId="77777777" w:rsidR="00FA0DF3" w:rsidRDefault="00FA0DF3" w:rsidP="00E71BC5">
            <w:pPr>
              <w:pStyle w:val="Tablebodytext"/>
              <w:jc w:val="right"/>
            </w:pPr>
            <w:r>
              <w:t>11</w:t>
            </w:r>
          </w:p>
        </w:tc>
        <w:tc>
          <w:tcPr>
            <w:tcW w:w="1039" w:type="dxa"/>
          </w:tcPr>
          <w:p w14:paraId="01DBADE2" w14:textId="77777777" w:rsidR="00FA0DF3" w:rsidRDefault="00FA0DF3" w:rsidP="00E71BC5">
            <w:pPr>
              <w:pStyle w:val="Tablebodytext"/>
              <w:jc w:val="right"/>
            </w:pPr>
            <w:r>
              <w:t>10%</w:t>
            </w:r>
          </w:p>
        </w:tc>
      </w:tr>
      <w:tr w:rsidR="00FA0DF3" w14:paraId="01DBADE7" w14:textId="77777777" w:rsidTr="00452203">
        <w:tc>
          <w:tcPr>
            <w:tcW w:w="7088" w:type="dxa"/>
          </w:tcPr>
          <w:p w14:paraId="01DBADE4" w14:textId="77777777" w:rsidR="00FA0DF3" w:rsidRPr="00EC5CBE" w:rsidRDefault="00FA0DF3" w:rsidP="00FA0DF3">
            <w:pPr>
              <w:pStyle w:val="Tablebodytext"/>
            </w:pPr>
            <w:r w:rsidRPr="00EC5CBE">
              <w:t xml:space="preserve">More </w:t>
            </w:r>
            <w:r>
              <w:t xml:space="preserve">efficient reporting mechanism </w:t>
            </w:r>
          </w:p>
        </w:tc>
        <w:tc>
          <w:tcPr>
            <w:tcW w:w="1134" w:type="dxa"/>
          </w:tcPr>
          <w:p w14:paraId="01DBADE5" w14:textId="77777777" w:rsidR="00FA0DF3" w:rsidRDefault="00FA0DF3" w:rsidP="00E71BC5">
            <w:pPr>
              <w:pStyle w:val="Tablebodytext"/>
              <w:jc w:val="right"/>
            </w:pPr>
            <w:r>
              <w:t>8</w:t>
            </w:r>
          </w:p>
        </w:tc>
        <w:tc>
          <w:tcPr>
            <w:tcW w:w="1039" w:type="dxa"/>
          </w:tcPr>
          <w:p w14:paraId="01DBADE6" w14:textId="77777777" w:rsidR="00FA0DF3" w:rsidRDefault="00FA0DF3" w:rsidP="00E71BC5">
            <w:pPr>
              <w:pStyle w:val="Tablebodytext"/>
              <w:jc w:val="right"/>
            </w:pPr>
            <w:r>
              <w:t>7%</w:t>
            </w:r>
          </w:p>
        </w:tc>
      </w:tr>
    </w:tbl>
    <w:p w14:paraId="01DBADE8" w14:textId="77777777" w:rsidR="00FA0DF3" w:rsidRPr="00F12833" w:rsidRDefault="00FA0DF3" w:rsidP="00FA0DF3">
      <w:pPr>
        <w:rPr>
          <w:sz w:val="18"/>
          <w:szCs w:val="18"/>
        </w:rPr>
      </w:pPr>
      <w:r>
        <w:rPr>
          <w:sz w:val="18"/>
          <w:szCs w:val="18"/>
        </w:rPr>
        <w:t>Total respondents = 107</w:t>
      </w:r>
    </w:p>
    <w:p w14:paraId="01DBADE9" w14:textId="77777777" w:rsidR="00855791" w:rsidRDefault="00F500E6" w:rsidP="00855791">
      <w:pPr>
        <w:pStyle w:val="Heading3"/>
      </w:pPr>
      <w:r w:rsidRPr="00F500E6">
        <w:t>Support for public and private co-investment</w:t>
      </w:r>
      <w:r w:rsidR="00855791">
        <w:t xml:space="preserve"> </w:t>
      </w:r>
    </w:p>
    <w:p w14:paraId="01DBADEA" w14:textId="77777777" w:rsidR="00AD5B7E" w:rsidRPr="00AD5B7E" w:rsidRDefault="00AD5B7E" w:rsidP="00AD5B7E">
      <w:r>
        <w:t>The majority</w:t>
      </w:r>
      <w:r w:rsidR="00AE78E4">
        <w:t xml:space="preserve"> of responses on</w:t>
      </w:r>
      <w:r>
        <w:t xml:space="preserve"> this theme supported private and public co-investment through the NRM boa</w:t>
      </w:r>
      <w:r w:rsidR="003E6119">
        <w:t>rds. These responses emphasised</w:t>
      </w:r>
      <w:r>
        <w:t xml:space="preserve"> that it was important </w:t>
      </w:r>
      <w:r w:rsidR="00AE78E4">
        <w:t>that co-investment arrangements</w:t>
      </w:r>
      <w:r>
        <w:t xml:space="preserve"> </w:t>
      </w:r>
      <w:r w:rsidR="00AE78E4">
        <w:t xml:space="preserve">do not prioritise public benefits over benefits to the private sector and that costs should be shared according to the benefits for different parties. </w:t>
      </w:r>
      <w:r>
        <w:t xml:space="preserve"> </w:t>
      </w:r>
    </w:p>
    <w:p w14:paraId="01DBADEB" w14:textId="77777777" w:rsidR="00855791" w:rsidRDefault="00C63B0F" w:rsidP="00855791">
      <w:pPr>
        <w:pStyle w:val="Heading3"/>
      </w:pPr>
      <w:r>
        <w:t>Increasing funding for</w:t>
      </w:r>
      <w:r w:rsidR="00855791">
        <w:t xml:space="preserve"> local groups </w:t>
      </w:r>
    </w:p>
    <w:p w14:paraId="01DBADEC" w14:textId="77777777" w:rsidR="00AE78E4" w:rsidRPr="00AE78E4" w:rsidRDefault="00E32F6D" w:rsidP="00AE78E4">
      <w:r>
        <w:t xml:space="preserve">The responses on this theme made a </w:t>
      </w:r>
      <w:r w:rsidR="00C7433B">
        <w:t>strong argument that the National Landcare Program Phase 2</w:t>
      </w:r>
      <w:r>
        <w:t xml:space="preserve"> can best facilitate co-investment through increasing funding in the form of grants and start-up funds to local Landcare groups. They suggested that funding should be targeted directly to these local groups. </w:t>
      </w:r>
    </w:p>
    <w:p w14:paraId="01DBADED" w14:textId="77777777" w:rsidR="00855791" w:rsidRDefault="00855791" w:rsidP="00855791">
      <w:pPr>
        <w:pStyle w:val="Heading3"/>
      </w:pPr>
      <w:r>
        <w:t>Co-investmen</w:t>
      </w:r>
      <w:r w:rsidR="00715E0F">
        <w:t>t of volunteer hours</w:t>
      </w:r>
    </w:p>
    <w:p w14:paraId="01DBADEE" w14:textId="77777777" w:rsidR="00A95673" w:rsidRPr="00A95673" w:rsidRDefault="00296427" w:rsidP="00A95673">
      <w:r>
        <w:t xml:space="preserve">Survey responses argued that volunteer hours should be recognised as a form of co-investment from landholders, citizen scientists and others in local groups. </w:t>
      </w:r>
    </w:p>
    <w:p w14:paraId="01DBADEF" w14:textId="77777777" w:rsidR="00855791" w:rsidRDefault="00855791" w:rsidP="00855791">
      <w:pPr>
        <w:pStyle w:val="Heading3"/>
      </w:pPr>
      <w:r>
        <w:lastRenderedPageBreak/>
        <w:t xml:space="preserve">Unification of goals </w:t>
      </w:r>
    </w:p>
    <w:p w14:paraId="01DBADF0" w14:textId="77777777" w:rsidR="00296427" w:rsidRPr="00296427" w:rsidRDefault="00296427" w:rsidP="00296427">
      <w:r>
        <w:t>The res</w:t>
      </w:r>
      <w:r w:rsidR="00A11C64">
        <w:t xml:space="preserve">ponses on this theme </w:t>
      </w:r>
      <w:r w:rsidR="00B76F70">
        <w:t>discussed the importance of</w:t>
      </w:r>
      <w:r w:rsidR="00A11C64">
        <w:t xml:space="preserve"> align</w:t>
      </w:r>
      <w:r w:rsidR="00B76F70">
        <w:t>ing</w:t>
      </w:r>
      <w:r>
        <w:t xml:space="preserve"> priorities between stakeholders at the local level and between State and Federal Governments. </w:t>
      </w:r>
      <w:r w:rsidR="000753D9">
        <w:t>They supported a sense of s</w:t>
      </w:r>
      <w:r w:rsidR="00BE2165">
        <w:t xml:space="preserve">hared ownership on projects and </w:t>
      </w:r>
      <w:r w:rsidR="00016E53">
        <w:t xml:space="preserve">of </w:t>
      </w:r>
      <w:r w:rsidR="00BE2165">
        <w:t>working for the same goal rather than competing with each other.</w:t>
      </w:r>
    </w:p>
    <w:p w14:paraId="01DBADF1" w14:textId="77777777" w:rsidR="00855791" w:rsidRDefault="00855791" w:rsidP="00855791">
      <w:pPr>
        <w:pStyle w:val="Heading3"/>
      </w:pPr>
      <w:r>
        <w:t xml:space="preserve">More efficient reporting mechanism </w:t>
      </w:r>
    </w:p>
    <w:p w14:paraId="01DBADF2" w14:textId="77777777" w:rsidR="003F4232" w:rsidRDefault="00CE6F58" w:rsidP="003F4232">
      <w:r>
        <w:t>These survey responses argued that</w:t>
      </w:r>
      <w:r w:rsidR="00F937BD">
        <w:t xml:space="preserve"> a more efficient reporting mechanism</w:t>
      </w:r>
      <w:r w:rsidR="00016E53">
        <w:t>, which</w:t>
      </w:r>
      <w:r w:rsidR="00F937BD">
        <w:t xml:space="preserve"> encourages co-investment</w:t>
      </w:r>
      <w:r w:rsidR="00016E53">
        <w:t>,</w:t>
      </w:r>
      <w:r w:rsidR="00F937BD">
        <w:t xml:space="preserve"> would cut down on the time and effort that groups have to put into compiling the bid and into </w:t>
      </w:r>
      <w:r w:rsidR="00016E53">
        <w:t>subsequent reporting</w:t>
      </w:r>
      <w:r w:rsidR="00F937BD">
        <w:t xml:space="preserve">. </w:t>
      </w:r>
    </w:p>
    <w:p w14:paraId="01DBADF3" w14:textId="77777777" w:rsidR="008F6C08" w:rsidRPr="00857B18" w:rsidRDefault="008F6C08" w:rsidP="004B726E">
      <w:pPr>
        <w:spacing w:after="0"/>
        <w:rPr>
          <w:rFonts w:cs="Segoe UI"/>
          <w:b/>
          <w:sz w:val="2"/>
          <w:szCs w:val="2"/>
        </w:rPr>
      </w:pPr>
    </w:p>
    <w:p w14:paraId="01DBADF4" w14:textId="77777777" w:rsidR="008F6C08" w:rsidRDefault="008F6C08" w:rsidP="004B726E">
      <w:pPr>
        <w:pStyle w:val="Boxheading"/>
      </w:pPr>
    </w:p>
    <w:p w14:paraId="01DBADF5" w14:textId="77777777" w:rsidR="008F6C08" w:rsidRPr="008F6C08" w:rsidRDefault="008F6C08" w:rsidP="008F6C08">
      <w:pPr>
        <w:pStyle w:val="Boxtext0"/>
        <w:rPr>
          <w:b/>
          <w:sz w:val="22"/>
          <w:lang w:eastAsia="en-AU"/>
        </w:rPr>
      </w:pPr>
      <w:r w:rsidRPr="008F6C08">
        <w:rPr>
          <w:b/>
          <w:sz w:val="22"/>
          <w:lang w:eastAsia="en-AU"/>
        </w:rPr>
        <w:t>Question 4b: Please identify constraints (if any) within the Overview of Proposed Tender Requirements that may result in constraints to co-investment opportunities.</w:t>
      </w:r>
    </w:p>
    <w:p w14:paraId="01DBADF6" w14:textId="77777777" w:rsidR="008F6C08" w:rsidRDefault="008F6C08" w:rsidP="008F6C08">
      <w:pPr>
        <w:pStyle w:val="Boxbullets"/>
        <w:numPr>
          <w:ilvl w:val="0"/>
          <w:numId w:val="0"/>
        </w:numPr>
      </w:pPr>
    </w:p>
    <w:p w14:paraId="01DBADF7" w14:textId="77777777" w:rsidR="008F6C08" w:rsidRPr="00857B18" w:rsidRDefault="008F6C08" w:rsidP="004B726E">
      <w:pPr>
        <w:pStyle w:val="ListBullet"/>
        <w:numPr>
          <w:ilvl w:val="0"/>
          <w:numId w:val="0"/>
        </w:numPr>
        <w:ind w:left="454" w:hanging="454"/>
        <w:rPr>
          <w:rFonts w:cs="Segoe UI"/>
          <w:sz w:val="2"/>
          <w:szCs w:val="2"/>
        </w:rPr>
      </w:pPr>
    </w:p>
    <w:p w14:paraId="01DBADF8" w14:textId="77777777" w:rsidR="00FA0DF3" w:rsidRDefault="00FA0DF3" w:rsidP="00FA0DF3">
      <w:pPr>
        <w:pStyle w:val="TableHeading"/>
      </w:pPr>
      <w:bookmarkStart w:id="16" w:name="_Toc500248430"/>
      <w:r>
        <w:t>Main themes for Issue 4, Question 4b</w:t>
      </w:r>
      <w:bookmarkEnd w:id="16"/>
    </w:p>
    <w:tbl>
      <w:tblPr>
        <w:tblStyle w:val="ARTDTable"/>
        <w:tblW w:w="9261" w:type="dxa"/>
        <w:tblLook w:val="04A0" w:firstRow="1" w:lastRow="0" w:firstColumn="1" w:lastColumn="0" w:noHBand="0" w:noVBand="1"/>
      </w:tblPr>
      <w:tblGrid>
        <w:gridCol w:w="7088"/>
        <w:gridCol w:w="1134"/>
        <w:gridCol w:w="1039"/>
      </w:tblGrid>
      <w:tr w:rsidR="00FA0DF3" w14:paraId="01DBADFC" w14:textId="77777777" w:rsidTr="00452203">
        <w:trPr>
          <w:cnfStyle w:val="100000000000" w:firstRow="1" w:lastRow="0" w:firstColumn="0" w:lastColumn="0" w:oddVBand="0" w:evenVBand="0" w:oddHBand="0" w:evenHBand="0" w:firstRowFirstColumn="0" w:firstRowLastColumn="0" w:lastRowFirstColumn="0" w:lastRowLastColumn="0"/>
        </w:trPr>
        <w:tc>
          <w:tcPr>
            <w:tcW w:w="7088" w:type="dxa"/>
          </w:tcPr>
          <w:p w14:paraId="01DBADF9" w14:textId="77777777" w:rsidR="00FA0DF3" w:rsidRDefault="00FA0DF3" w:rsidP="00FA0DF3">
            <w:pPr>
              <w:pStyle w:val="Tablebodytext"/>
            </w:pPr>
            <w:r>
              <w:t>Theme</w:t>
            </w:r>
          </w:p>
        </w:tc>
        <w:tc>
          <w:tcPr>
            <w:tcW w:w="1134" w:type="dxa"/>
          </w:tcPr>
          <w:p w14:paraId="01DBADFA" w14:textId="77777777" w:rsidR="00FA0DF3" w:rsidRDefault="00FA0DF3" w:rsidP="00E71BC5">
            <w:pPr>
              <w:pStyle w:val="Tablebodytext"/>
              <w:jc w:val="right"/>
            </w:pPr>
            <w:r>
              <w:t>Number</w:t>
            </w:r>
          </w:p>
        </w:tc>
        <w:tc>
          <w:tcPr>
            <w:tcW w:w="1039" w:type="dxa"/>
          </w:tcPr>
          <w:p w14:paraId="01DBADFB" w14:textId="77777777" w:rsidR="00FA0DF3" w:rsidRDefault="00FA0DF3" w:rsidP="00E71BC5">
            <w:pPr>
              <w:pStyle w:val="Tablebodytext"/>
              <w:jc w:val="right"/>
            </w:pPr>
            <w:r>
              <w:t>Percent</w:t>
            </w:r>
          </w:p>
        </w:tc>
      </w:tr>
      <w:tr w:rsidR="00FA0DF3" w14:paraId="01DBAE00" w14:textId="77777777" w:rsidTr="00452203">
        <w:tc>
          <w:tcPr>
            <w:tcW w:w="7088" w:type="dxa"/>
          </w:tcPr>
          <w:p w14:paraId="01DBADFD" w14:textId="77777777" w:rsidR="00FA0DF3" w:rsidRPr="00103D80" w:rsidRDefault="00FA0DF3" w:rsidP="00FA0DF3">
            <w:pPr>
              <w:pStyle w:val="Tablebodytext"/>
            </w:pPr>
            <w:r w:rsidRPr="00103D80">
              <w:t>Co</w:t>
            </w:r>
            <w:r>
              <w:t xml:space="preserve">llaboration versus competition </w:t>
            </w:r>
          </w:p>
        </w:tc>
        <w:tc>
          <w:tcPr>
            <w:tcW w:w="1134" w:type="dxa"/>
          </w:tcPr>
          <w:p w14:paraId="01DBADFE" w14:textId="77777777" w:rsidR="00FA0DF3" w:rsidRDefault="00FA0DF3" w:rsidP="00E71BC5">
            <w:pPr>
              <w:pStyle w:val="Tablebodytext"/>
              <w:jc w:val="right"/>
            </w:pPr>
            <w:r>
              <w:t>17</w:t>
            </w:r>
          </w:p>
        </w:tc>
        <w:tc>
          <w:tcPr>
            <w:tcW w:w="1039" w:type="dxa"/>
          </w:tcPr>
          <w:p w14:paraId="01DBADFF" w14:textId="77777777" w:rsidR="00FA0DF3" w:rsidRDefault="00FA0DF3" w:rsidP="00E71BC5">
            <w:pPr>
              <w:pStyle w:val="Tablebodytext"/>
              <w:jc w:val="right"/>
            </w:pPr>
            <w:r>
              <w:t>16%</w:t>
            </w:r>
          </w:p>
        </w:tc>
      </w:tr>
      <w:tr w:rsidR="00FA0DF3" w14:paraId="01DBAE04" w14:textId="77777777" w:rsidTr="00452203">
        <w:tc>
          <w:tcPr>
            <w:tcW w:w="7088" w:type="dxa"/>
          </w:tcPr>
          <w:p w14:paraId="01DBAE01" w14:textId="77777777" w:rsidR="00FA0DF3" w:rsidRPr="00103D80" w:rsidRDefault="00FA0DF3" w:rsidP="00FA0DF3">
            <w:pPr>
              <w:pStyle w:val="Tablebodytext"/>
            </w:pPr>
            <w:r w:rsidRPr="00103D80">
              <w:t>Limit</w:t>
            </w:r>
            <w:r>
              <w:t>ing RLP funding to private land</w:t>
            </w:r>
          </w:p>
        </w:tc>
        <w:tc>
          <w:tcPr>
            <w:tcW w:w="1134" w:type="dxa"/>
          </w:tcPr>
          <w:p w14:paraId="01DBAE02" w14:textId="77777777" w:rsidR="00FA0DF3" w:rsidRDefault="00FA0DF3" w:rsidP="00E71BC5">
            <w:pPr>
              <w:pStyle w:val="Tablebodytext"/>
              <w:jc w:val="right"/>
            </w:pPr>
            <w:r>
              <w:t>16</w:t>
            </w:r>
          </w:p>
        </w:tc>
        <w:tc>
          <w:tcPr>
            <w:tcW w:w="1039" w:type="dxa"/>
          </w:tcPr>
          <w:p w14:paraId="01DBAE03" w14:textId="77777777" w:rsidR="00FA0DF3" w:rsidRDefault="00FA0DF3" w:rsidP="00E71BC5">
            <w:pPr>
              <w:pStyle w:val="Tablebodytext"/>
              <w:jc w:val="right"/>
            </w:pPr>
            <w:r>
              <w:t>15%</w:t>
            </w:r>
          </w:p>
        </w:tc>
      </w:tr>
      <w:tr w:rsidR="00FA0DF3" w14:paraId="01DBAE08" w14:textId="77777777" w:rsidTr="00452203">
        <w:tc>
          <w:tcPr>
            <w:tcW w:w="7088" w:type="dxa"/>
          </w:tcPr>
          <w:p w14:paraId="01DBAE05" w14:textId="77777777" w:rsidR="00FA0DF3" w:rsidRPr="00103D80" w:rsidRDefault="00FA0DF3" w:rsidP="00723C80">
            <w:pPr>
              <w:pStyle w:val="Tablebodytext"/>
            </w:pPr>
            <w:r w:rsidRPr="00103D80">
              <w:t>Need for greater flexibility in tender</w:t>
            </w:r>
            <w:r>
              <w:t xml:space="preserve"> </w:t>
            </w:r>
            <w:r w:rsidR="00723C80">
              <w:t>requirements</w:t>
            </w:r>
            <w:r>
              <w:t xml:space="preserve"> </w:t>
            </w:r>
          </w:p>
        </w:tc>
        <w:tc>
          <w:tcPr>
            <w:tcW w:w="1134" w:type="dxa"/>
          </w:tcPr>
          <w:p w14:paraId="01DBAE06" w14:textId="77777777" w:rsidR="00FA0DF3" w:rsidRDefault="00FA0DF3" w:rsidP="00E71BC5">
            <w:pPr>
              <w:pStyle w:val="Tablebodytext"/>
              <w:jc w:val="right"/>
            </w:pPr>
            <w:r>
              <w:t>14</w:t>
            </w:r>
          </w:p>
        </w:tc>
        <w:tc>
          <w:tcPr>
            <w:tcW w:w="1039" w:type="dxa"/>
          </w:tcPr>
          <w:p w14:paraId="01DBAE07" w14:textId="77777777" w:rsidR="00FA0DF3" w:rsidRDefault="00FA0DF3" w:rsidP="00E71BC5">
            <w:pPr>
              <w:pStyle w:val="Tablebodytext"/>
              <w:jc w:val="right"/>
            </w:pPr>
            <w:r>
              <w:t>13%</w:t>
            </w:r>
          </w:p>
        </w:tc>
      </w:tr>
      <w:tr w:rsidR="00FA0DF3" w14:paraId="01DBAE0C" w14:textId="77777777" w:rsidTr="00452203">
        <w:tc>
          <w:tcPr>
            <w:tcW w:w="7088" w:type="dxa"/>
          </w:tcPr>
          <w:p w14:paraId="01DBAE09" w14:textId="77777777" w:rsidR="00FA0DF3" w:rsidRPr="00103D80" w:rsidRDefault="00FA0DF3" w:rsidP="00FA0DF3">
            <w:pPr>
              <w:pStyle w:val="Tablebodytext"/>
            </w:pPr>
            <w:r>
              <w:t>Time constraints</w:t>
            </w:r>
          </w:p>
        </w:tc>
        <w:tc>
          <w:tcPr>
            <w:tcW w:w="1134" w:type="dxa"/>
          </w:tcPr>
          <w:p w14:paraId="01DBAE0A" w14:textId="77777777" w:rsidR="00FA0DF3" w:rsidRDefault="00FA0DF3" w:rsidP="00E71BC5">
            <w:pPr>
              <w:pStyle w:val="Tablebodytext"/>
              <w:jc w:val="right"/>
            </w:pPr>
            <w:r>
              <w:t>12</w:t>
            </w:r>
          </w:p>
        </w:tc>
        <w:tc>
          <w:tcPr>
            <w:tcW w:w="1039" w:type="dxa"/>
          </w:tcPr>
          <w:p w14:paraId="01DBAE0B" w14:textId="77777777" w:rsidR="00FA0DF3" w:rsidRDefault="00FA0DF3" w:rsidP="00E71BC5">
            <w:pPr>
              <w:pStyle w:val="Tablebodytext"/>
              <w:jc w:val="right"/>
            </w:pPr>
            <w:r>
              <w:t>11%</w:t>
            </w:r>
          </w:p>
        </w:tc>
      </w:tr>
    </w:tbl>
    <w:p w14:paraId="01DBAE0D" w14:textId="77777777" w:rsidR="00FA0DF3" w:rsidRPr="00F12833" w:rsidRDefault="00FA0DF3" w:rsidP="00FA0DF3">
      <w:pPr>
        <w:rPr>
          <w:sz w:val="18"/>
          <w:szCs w:val="18"/>
        </w:rPr>
      </w:pPr>
      <w:r>
        <w:rPr>
          <w:sz w:val="18"/>
          <w:szCs w:val="18"/>
        </w:rPr>
        <w:t>Total respondents = 105</w:t>
      </w:r>
    </w:p>
    <w:p w14:paraId="01DBAE0E" w14:textId="77777777" w:rsidR="00ED7C7F" w:rsidRDefault="00ED7C7F" w:rsidP="00ED7C7F">
      <w:pPr>
        <w:pStyle w:val="Heading3"/>
      </w:pPr>
      <w:r>
        <w:t xml:space="preserve">Collaboration versus competition </w:t>
      </w:r>
    </w:p>
    <w:p w14:paraId="01DBAE0F" w14:textId="77777777" w:rsidR="000E1982" w:rsidRPr="000E1982" w:rsidRDefault="002E1032" w:rsidP="000E1982">
      <w:r>
        <w:t>These responses raised</w:t>
      </w:r>
      <w:r w:rsidR="00855613">
        <w:t xml:space="preserve"> concerns that a competitive procurement approach would lead to the failure of attempts at collaboration, to potential partners seeing each other as competitors and to problems for the effective delivery of projects. </w:t>
      </w:r>
    </w:p>
    <w:p w14:paraId="01DBAE10" w14:textId="77777777" w:rsidR="00ED7C7F" w:rsidRDefault="00ED7C7F" w:rsidP="00ED7C7F">
      <w:pPr>
        <w:pStyle w:val="Heading3"/>
      </w:pPr>
      <w:r>
        <w:t>Limiting RLP fun</w:t>
      </w:r>
      <w:r w:rsidR="00715E0F">
        <w:t>ding to private land</w:t>
      </w:r>
    </w:p>
    <w:p w14:paraId="01DBAE11" w14:textId="77777777" w:rsidR="00BC1362" w:rsidRPr="00BC1362" w:rsidRDefault="00BC1362" w:rsidP="00BC1362">
      <w:r>
        <w:t>The majority of responses on this theme criticised the way in which</w:t>
      </w:r>
      <w:r w:rsidR="00CC3A23">
        <w:t xml:space="preserve"> the proposed</w:t>
      </w:r>
      <w:r>
        <w:t xml:space="preserve"> investment is limited to private land</w:t>
      </w:r>
      <w:r w:rsidR="00083A5C">
        <w:t>. Some responses recommended</w:t>
      </w:r>
      <w:r>
        <w:t xml:space="preserve"> opening up investment for work on threatened ecological communities to include public land could help make the existing work more effective. </w:t>
      </w:r>
    </w:p>
    <w:p w14:paraId="01DBAE12" w14:textId="77777777" w:rsidR="00ED7C7F" w:rsidRDefault="00ED7C7F" w:rsidP="00ED7C7F">
      <w:pPr>
        <w:pStyle w:val="Heading3"/>
      </w:pPr>
      <w:r>
        <w:lastRenderedPageBreak/>
        <w:t>Need for</w:t>
      </w:r>
      <w:r w:rsidR="00CC3A23">
        <w:t xml:space="preserve"> greater flexibility in tender</w:t>
      </w:r>
      <w:r>
        <w:t xml:space="preserve"> </w:t>
      </w:r>
      <w:r w:rsidR="00723C80">
        <w:t>requirements</w:t>
      </w:r>
      <w:r>
        <w:t xml:space="preserve"> </w:t>
      </w:r>
    </w:p>
    <w:p w14:paraId="01DBAE13" w14:textId="77777777" w:rsidR="00D658E1" w:rsidRPr="00D658E1" w:rsidRDefault="00D3362B" w:rsidP="00D658E1">
      <w:r>
        <w:t>Survey resp</w:t>
      </w:r>
      <w:r w:rsidR="009005F3">
        <w:t>onses on this theme drew attention to a</w:t>
      </w:r>
      <w:r>
        <w:t xml:space="preserve"> need for greater flexibility in the tender process to prevent the disengagement of local groups, to address local priorities and to account for differences in priorities between groups. Some responses also raised concerns over the difficulties of funding only being available mid-year or after services are delivered because some non-government organisations might not have the cash flow to support staff without immediate funding. </w:t>
      </w:r>
    </w:p>
    <w:p w14:paraId="01DBAE14" w14:textId="77777777" w:rsidR="00ED7C7F" w:rsidRDefault="00ED7C7F" w:rsidP="00ED7C7F">
      <w:pPr>
        <w:pStyle w:val="Heading3"/>
      </w:pPr>
      <w:r>
        <w:t xml:space="preserve">Time constraints </w:t>
      </w:r>
    </w:p>
    <w:p w14:paraId="01DBAE15" w14:textId="77777777" w:rsidR="00ED7C7F" w:rsidRPr="00ED7C7F" w:rsidRDefault="00CB20A8" w:rsidP="00ED7C7F">
      <w:r>
        <w:t>Some r</w:t>
      </w:r>
      <w:r w:rsidR="00DA73D2">
        <w:t>esponse</w:t>
      </w:r>
      <w:r w:rsidR="00474630">
        <w:t xml:space="preserve">s on </w:t>
      </w:r>
      <w:r>
        <w:t xml:space="preserve">this theme suggested that a public comment period could increase engagement with the tender process, but that the long delays that could result from </w:t>
      </w:r>
      <w:r w:rsidR="00F75474">
        <w:t>this a public comment period</w:t>
      </w:r>
      <w:r>
        <w:t xml:space="preserve"> should be avoided. Other</w:t>
      </w:r>
      <w:r w:rsidR="00474630">
        <w:t xml:space="preserve"> responses also expressed</w:t>
      </w:r>
      <w:r w:rsidR="00DA73D2">
        <w:t xml:space="preserve"> concerns </w:t>
      </w:r>
      <w:r w:rsidR="00474630">
        <w:t xml:space="preserve">over the way in which the short </w:t>
      </w:r>
      <w:r w:rsidR="00DA73D2">
        <w:t>time frame</w:t>
      </w:r>
      <w:r w:rsidR="0071226C">
        <w:t>s of the application process could</w:t>
      </w:r>
      <w:r w:rsidR="00DA73D2">
        <w:t xml:space="preserve"> inhibit collaboration with the community. </w:t>
      </w:r>
    </w:p>
    <w:p w14:paraId="01DBAE16" w14:textId="77777777" w:rsidR="003B0E2C" w:rsidRDefault="009B76F0" w:rsidP="00786062">
      <w:pPr>
        <w:pStyle w:val="Heading2"/>
      </w:pPr>
      <w:bookmarkStart w:id="17" w:name="_Toc500248421"/>
      <w:r>
        <w:t>Issue</w:t>
      </w:r>
      <w:r w:rsidR="003B0E2C">
        <w:t xml:space="preserve"> 5</w:t>
      </w:r>
      <w:bookmarkEnd w:id="17"/>
    </w:p>
    <w:p w14:paraId="01DBAE17" w14:textId="77777777" w:rsidR="00E13FB8" w:rsidRPr="00857B18" w:rsidRDefault="00E13FB8" w:rsidP="004B726E">
      <w:pPr>
        <w:spacing w:after="0"/>
        <w:rPr>
          <w:rFonts w:cs="Segoe UI"/>
          <w:b/>
          <w:sz w:val="2"/>
          <w:szCs w:val="2"/>
        </w:rPr>
      </w:pPr>
    </w:p>
    <w:p w14:paraId="01DBAE18" w14:textId="77777777" w:rsidR="00E13FB8" w:rsidRDefault="00E13FB8" w:rsidP="004B726E">
      <w:pPr>
        <w:pStyle w:val="Boxheading"/>
      </w:pPr>
    </w:p>
    <w:p w14:paraId="01DBAE19" w14:textId="77777777" w:rsidR="00E13FB8" w:rsidRPr="00E13FB8" w:rsidRDefault="00E13FB8" w:rsidP="00E13FB8">
      <w:pPr>
        <w:pStyle w:val="Boxtext0"/>
        <w:rPr>
          <w:sz w:val="22"/>
        </w:rPr>
      </w:pPr>
      <w:r w:rsidRPr="00E13FB8">
        <w:rPr>
          <w:sz w:val="22"/>
        </w:rPr>
        <w:t>Under the new Regional Land Partnerships sub-program the Regional Agriculture Landcare Facilitators (previously known as Regional Landcare Facilitators) services will continue to support rural communities in sustainable agriculture on private land.</w:t>
      </w:r>
    </w:p>
    <w:p w14:paraId="01DBAE1A" w14:textId="77777777" w:rsidR="00E13FB8" w:rsidRPr="00E13FB8" w:rsidRDefault="00E13FB8" w:rsidP="00E13FB8">
      <w:pPr>
        <w:pStyle w:val="Boxtext0"/>
        <w:rPr>
          <w:sz w:val="22"/>
        </w:rPr>
      </w:pPr>
      <w:r w:rsidRPr="00E13FB8">
        <w:rPr>
          <w:sz w:val="22"/>
        </w:rPr>
        <w:t>Regional Agriculture Landcare Facilitators will deliver sustainable agriculture core services in each Management Unit.  Services include creating partnerships between agriculture groups and other parties, community engagement on sustainable agriculture issues, supporting communities to seek new funding opportunities and support sustainable agriculture projects.</w:t>
      </w:r>
    </w:p>
    <w:p w14:paraId="01DBAE1B" w14:textId="77777777" w:rsidR="00E13FB8" w:rsidRPr="00E13FB8" w:rsidRDefault="00E13FB8" w:rsidP="00E13FB8">
      <w:pPr>
        <w:pStyle w:val="Boxtext0"/>
        <w:rPr>
          <w:b/>
          <w:sz w:val="22"/>
        </w:rPr>
      </w:pPr>
      <w:r w:rsidRPr="00E13FB8">
        <w:rPr>
          <w:b/>
          <w:sz w:val="22"/>
        </w:rPr>
        <w:t>Question 5: What types of sustainable agriculture core services do you see the Regional Agriculture Landcare Facilitators delivering in your region?</w:t>
      </w:r>
    </w:p>
    <w:p w14:paraId="01DBAE1C" w14:textId="77777777" w:rsidR="00E13FB8" w:rsidRDefault="00E13FB8" w:rsidP="00E13FB8">
      <w:pPr>
        <w:pStyle w:val="Boxbullets"/>
        <w:numPr>
          <w:ilvl w:val="0"/>
          <w:numId w:val="0"/>
        </w:numPr>
      </w:pPr>
    </w:p>
    <w:p w14:paraId="01DBAE1D" w14:textId="77777777" w:rsidR="00E13FB8" w:rsidRPr="00857B18" w:rsidRDefault="00E13FB8" w:rsidP="004B726E">
      <w:pPr>
        <w:pStyle w:val="ListBullet"/>
        <w:numPr>
          <w:ilvl w:val="0"/>
          <w:numId w:val="0"/>
        </w:numPr>
        <w:ind w:left="454" w:hanging="454"/>
        <w:rPr>
          <w:rFonts w:cs="Segoe UI"/>
          <w:sz w:val="2"/>
          <w:szCs w:val="2"/>
        </w:rPr>
      </w:pPr>
    </w:p>
    <w:p w14:paraId="01DBAE1E" w14:textId="77777777" w:rsidR="00452203" w:rsidRDefault="00452203" w:rsidP="00452203">
      <w:pPr>
        <w:pStyle w:val="TableHeading"/>
      </w:pPr>
      <w:bookmarkStart w:id="18" w:name="_Toc500248431"/>
      <w:r>
        <w:t>Main themes for Issue 5</w:t>
      </w:r>
      <w:bookmarkEnd w:id="18"/>
    </w:p>
    <w:tbl>
      <w:tblPr>
        <w:tblStyle w:val="ARTDTable"/>
        <w:tblW w:w="9261" w:type="dxa"/>
        <w:tblLook w:val="04A0" w:firstRow="1" w:lastRow="0" w:firstColumn="1" w:lastColumn="0" w:noHBand="0" w:noVBand="1"/>
      </w:tblPr>
      <w:tblGrid>
        <w:gridCol w:w="7088"/>
        <w:gridCol w:w="1134"/>
        <w:gridCol w:w="1039"/>
      </w:tblGrid>
      <w:tr w:rsidR="00452203" w14:paraId="01DBAE22" w14:textId="77777777" w:rsidTr="00452203">
        <w:trPr>
          <w:cnfStyle w:val="100000000000" w:firstRow="1" w:lastRow="0" w:firstColumn="0" w:lastColumn="0" w:oddVBand="0" w:evenVBand="0" w:oddHBand="0" w:evenHBand="0" w:firstRowFirstColumn="0" w:firstRowLastColumn="0" w:lastRowFirstColumn="0" w:lastRowLastColumn="0"/>
        </w:trPr>
        <w:tc>
          <w:tcPr>
            <w:tcW w:w="7088" w:type="dxa"/>
          </w:tcPr>
          <w:p w14:paraId="01DBAE1F" w14:textId="77777777" w:rsidR="00452203" w:rsidRDefault="00452203" w:rsidP="001B7F82">
            <w:pPr>
              <w:pStyle w:val="Tablebodytext"/>
            </w:pPr>
            <w:r>
              <w:t>Theme</w:t>
            </w:r>
          </w:p>
        </w:tc>
        <w:tc>
          <w:tcPr>
            <w:tcW w:w="1134" w:type="dxa"/>
          </w:tcPr>
          <w:p w14:paraId="01DBAE20" w14:textId="77777777" w:rsidR="00452203" w:rsidRDefault="00452203" w:rsidP="00E71BC5">
            <w:pPr>
              <w:pStyle w:val="Tablebodytext"/>
              <w:jc w:val="right"/>
            </w:pPr>
            <w:r>
              <w:t>Number</w:t>
            </w:r>
          </w:p>
        </w:tc>
        <w:tc>
          <w:tcPr>
            <w:tcW w:w="1039" w:type="dxa"/>
          </w:tcPr>
          <w:p w14:paraId="01DBAE21" w14:textId="77777777" w:rsidR="00452203" w:rsidRDefault="00452203" w:rsidP="00E71BC5">
            <w:pPr>
              <w:pStyle w:val="Tablebodytext"/>
              <w:jc w:val="right"/>
            </w:pPr>
            <w:r>
              <w:t>Percent</w:t>
            </w:r>
          </w:p>
        </w:tc>
      </w:tr>
      <w:tr w:rsidR="00452203" w14:paraId="01DBAE26" w14:textId="77777777" w:rsidTr="00452203">
        <w:tc>
          <w:tcPr>
            <w:tcW w:w="7088" w:type="dxa"/>
          </w:tcPr>
          <w:p w14:paraId="01DBAE23" w14:textId="77777777" w:rsidR="00452203" w:rsidRPr="00B10425" w:rsidRDefault="00452203" w:rsidP="001B7F82">
            <w:pPr>
              <w:pStyle w:val="Tablebodytext"/>
            </w:pPr>
            <w:r w:rsidRPr="00B10425">
              <w:t>Facilit</w:t>
            </w:r>
            <w:r w:rsidR="005C5824">
              <w:t>ate</w:t>
            </w:r>
            <w:r w:rsidR="001B7F82">
              <w:t xml:space="preserve"> connections with other groups </w:t>
            </w:r>
            <w:r w:rsidRPr="00B10425">
              <w:t xml:space="preserve"> </w:t>
            </w:r>
          </w:p>
        </w:tc>
        <w:tc>
          <w:tcPr>
            <w:tcW w:w="1134" w:type="dxa"/>
          </w:tcPr>
          <w:p w14:paraId="01DBAE24" w14:textId="77777777" w:rsidR="00452203" w:rsidRDefault="00452203" w:rsidP="00E71BC5">
            <w:pPr>
              <w:pStyle w:val="Tablebodytext"/>
              <w:jc w:val="right"/>
            </w:pPr>
            <w:r>
              <w:t>35</w:t>
            </w:r>
          </w:p>
        </w:tc>
        <w:tc>
          <w:tcPr>
            <w:tcW w:w="1039" w:type="dxa"/>
          </w:tcPr>
          <w:p w14:paraId="01DBAE25" w14:textId="77777777" w:rsidR="00452203" w:rsidRDefault="00452203" w:rsidP="00E71BC5">
            <w:pPr>
              <w:pStyle w:val="Tablebodytext"/>
              <w:jc w:val="right"/>
            </w:pPr>
            <w:r>
              <w:t>32%</w:t>
            </w:r>
          </w:p>
        </w:tc>
      </w:tr>
      <w:tr w:rsidR="00452203" w14:paraId="01DBAE2A" w14:textId="77777777" w:rsidTr="00452203">
        <w:tc>
          <w:tcPr>
            <w:tcW w:w="7088" w:type="dxa"/>
          </w:tcPr>
          <w:p w14:paraId="01DBAE27" w14:textId="77777777" w:rsidR="00452203" w:rsidRPr="00B10425" w:rsidRDefault="00452203" w:rsidP="001B7F82">
            <w:pPr>
              <w:pStyle w:val="Tablebodytext"/>
            </w:pPr>
            <w:r w:rsidRPr="00B10425">
              <w:t>I</w:t>
            </w:r>
            <w:r w:rsidR="001B7F82">
              <w:t xml:space="preserve">nformation provider </w:t>
            </w:r>
          </w:p>
        </w:tc>
        <w:tc>
          <w:tcPr>
            <w:tcW w:w="1134" w:type="dxa"/>
          </w:tcPr>
          <w:p w14:paraId="01DBAE28" w14:textId="77777777" w:rsidR="00452203" w:rsidRDefault="00452203" w:rsidP="00E71BC5">
            <w:pPr>
              <w:pStyle w:val="Tablebodytext"/>
              <w:jc w:val="right"/>
            </w:pPr>
            <w:r>
              <w:t>33</w:t>
            </w:r>
          </w:p>
        </w:tc>
        <w:tc>
          <w:tcPr>
            <w:tcW w:w="1039" w:type="dxa"/>
          </w:tcPr>
          <w:p w14:paraId="01DBAE29" w14:textId="77777777" w:rsidR="00452203" w:rsidRDefault="00452203" w:rsidP="00E71BC5">
            <w:pPr>
              <w:pStyle w:val="Tablebodytext"/>
              <w:jc w:val="right"/>
            </w:pPr>
            <w:r>
              <w:t>31%</w:t>
            </w:r>
          </w:p>
        </w:tc>
      </w:tr>
      <w:tr w:rsidR="00452203" w14:paraId="01DBAE2E" w14:textId="77777777" w:rsidTr="00452203">
        <w:tc>
          <w:tcPr>
            <w:tcW w:w="7088" w:type="dxa"/>
          </w:tcPr>
          <w:p w14:paraId="01DBAE2B" w14:textId="77777777" w:rsidR="00452203" w:rsidRPr="00B10425" w:rsidRDefault="005C5824" w:rsidP="001B7F82">
            <w:pPr>
              <w:pStyle w:val="Tablebodytext"/>
            </w:pPr>
            <w:r>
              <w:t>Support</w:t>
            </w:r>
            <w:r w:rsidR="00452203" w:rsidRPr="00B10425">
              <w:t xml:space="preserve"> capacity building and the development of local groups </w:t>
            </w:r>
          </w:p>
        </w:tc>
        <w:tc>
          <w:tcPr>
            <w:tcW w:w="1134" w:type="dxa"/>
          </w:tcPr>
          <w:p w14:paraId="01DBAE2C" w14:textId="77777777" w:rsidR="00452203" w:rsidRDefault="00452203" w:rsidP="00E71BC5">
            <w:pPr>
              <w:pStyle w:val="Tablebodytext"/>
              <w:jc w:val="right"/>
            </w:pPr>
            <w:r>
              <w:t>17</w:t>
            </w:r>
          </w:p>
        </w:tc>
        <w:tc>
          <w:tcPr>
            <w:tcW w:w="1039" w:type="dxa"/>
          </w:tcPr>
          <w:p w14:paraId="01DBAE2D" w14:textId="77777777" w:rsidR="00452203" w:rsidRDefault="00452203" w:rsidP="00E71BC5">
            <w:pPr>
              <w:pStyle w:val="Tablebodytext"/>
              <w:jc w:val="right"/>
            </w:pPr>
            <w:r>
              <w:t>16%</w:t>
            </w:r>
          </w:p>
        </w:tc>
      </w:tr>
      <w:tr w:rsidR="00452203" w14:paraId="01DBAE32" w14:textId="77777777" w:rsidTr="00452203">
        <w:tc>
          <w:tcPr>
            <w:tcW w:w="7088" w:type="dxa"/>
          </w:tcPr>
          <w:p w14:paraId="01DBAE2F" w14:textId="77777777" w:rsidR="00452203" w:rsidRPr="00B10425" w:rsidRDefault="005C5824" w:rsidP="001B7F82">
            <w:pPr>
              <w:pStyle w:val="Tablebodytext"/>
            </w:pPr>
            <w:r>
              <w:t>Support governance and management of projects</w:t>
            </w:r>
            <w:r w:rsidR="001B7F82">
              <w:t xml:space="preserve"> </w:t>
            </w:r>
          </w:p>
        </w:tc>
        <w:tc>
          <w:tcPr>
            <w:tcW w:w="1134" w:type="dxa"/>
          </w:tcPr>
          <w:p w14:paraId="01DBAE30" w14:textId="77777777" w:rsidR="00452203" w:rsidRDefault="00AB346C" w:rsidP="00E71BC5">
            <w:pPr>
              <w:pStyle w:val="Tablebodytext"/>
              <w:jc w:val="right"/>
            </w:pPr>
            <w:r>
              <w:t>13</w:t>
            </w:r>
          </w:p>
        </w:tc>
        <w:tc>
          <w:tcPr>
            <w:tcW w:w="1039" w:type="dxa"/>
          </w:tcPr>
          <w:p w14:paraId="01DBAE31" w14:textId="77777777" w:rsidR="00452203" w:rsidRDefault="00AB346C" w:rsidP="00E71BC5">
            <w:pPr>
              <w:pStyle w:val="Tablebodytext"/>
              <w:jc w:val="right"/>
            </w:pPr>
            <w:r>
              <w:t>12</w:t>
            </w:r>
            <w:r w:rsidR="00452203">
              <w:t>%</w:t>
            </w:r>
          </w:p>
        </w:tc>
      </w:tr>
      <w:tr w:rsidR="00452203" w14:paraId="01DBAE36" w14:textId="77777777" w:rsidTr="00452203">
        <w:tc>
          <w:tcPr>
            <w:tcW w:w="7088" w:type="dxa"/>
          </w:tcPr>
          <w:p w14:paraId="01DBAE33" w14:textId="77777777" w:rsidR="00452203" w:rsidRPr="00B10425" w:rsidRDefault="005C5824" w:rsidP="001B7F82">
            <w:pPr>
              <w:pStyle w:val="Tablebodytext"/>
            </w:pPr>
            <w:r>
              <w:t>Respondents support</w:t>
            </w:r>
            <w:r w:rsidR="001B7F82">
              <w:t xml:space="preserve"> the role </w:t>
            </w:r>
          </w:p>
        </w:tc>
        <w:tc>
          <w:tcPr>
            <w:tcW w:w="1134" w:type="dxa"/>
          </w:tcPr>
          <w:p w14:paraId="01DBAE34" w14:textId="77777777" w:rsidR="00452203" w:rsidRDefault="00452203" w:rsidP="00E71BC5">
            <w:pPr>
              <w:pStyle w:val="Tablebodytext"/>
              <w:jc w:val="right"/>
            </w:pPr>
            <w:r>
              <w:t>13</w:t>
            </w:r>
          </w:p>
        </w:tc>
        <w:tc>
          <w:tcPr>
            <w:tcW w:w="1039" w:type="dxa"/>
          </w:tcPr>
          <w:p w14:paraId="01DBAE35" w14:textId="77777777" w:rsidR="00452203" w:rsidRDefault="00452203" w:rsidP="00E71BC5">
            <w:pPr>
              <w:pStyle w:val="Tablebodytext"/>
              <w:jc w:val="right"/>
            </w:pPr>
            <w:r>
              <w:t>12%</w:t>
            </w:r>
          </w:p>
        </w:tc>
      </w:tr>
    </w:tbl>
    <w:p w14:paraId="01DBAE37" w14:textId="77777777" w:rsidR="00452203" w:rsidRPr="00F12833" w:rsidRDefault="00452203" w:rsidP="00452203">
      <w:pPr>
        <w:rPr>
          <w:sz w:val="18"/>
          <w:szCs w:val="18"/>
        </w:rPr>
      </w:pPr>
      <w:r>
        <w:rPr>
          <w:sz w:val="18"/>
          <w:szCs w:val="18"/>
        </w:rPr>
        <w:t>Total respondents = 108</w:t>
      </w:r>
    </w:p>
    <w:p w14:paraId="01DBAE38" w14:textId="77777777" w:rsidR="00A3339D" w:rsidRDefault="005C5824" w:rsidP="00434286">
      <w:pPr>
        <w:pStyle w:val="Heading3"/>
      </w:pPr>
      <w:r>
        <w:lastRenderedPageBreak/>
        <w:t>Facilitate</w:t>
      </w:r>
      <w:r w:rsidR="00F47D88">
        <w:t xml:space="preserve"> connections with other groups</w:t>
      </w:r>
      <w:r w:rsidR="00A3339D" w:rsidRPr="00A3339D">
        <w:t xml:space="preserve"> </w:t>
      </w:r>
    </w:p>
    <w:p w14:paraId="01DBAE39" w14:textId="77777777" w:rsidR="00921CFD" w:rsidRPr="00921CFD" w:rsidRDefault="00921CFD" w:rsidP="00921CFD">
      <w:r>
        <w:t>The</w:t>
      </w:r>
      <w:r w:rsidR="005972E8">
        <w:t>se responses identified core</w:t>
      </w:r>
      <w:r w:rsidR="00A93F8A">
        <w:t xml:space="preserve"> services, such as</w:t>
      </w:r>
      <w:r>
        <w:t xml:space="preserve"> connecting people and creating partnerships to in</w:t>
      </w:r>
      <w:r w:rsidR="00F47D88">
        <w:t>crease productivity</w:t>
      </w:r>
      <w:r w:rsidR="00D07468">
        <w:t xml:space="preserve">. </w:t>
      </w:r>
      <w:r w:rsidR="007C629D">
        <w:t>The responses expressed the view that</w:t>
      </w:r>
      <w:r w:rsidR="00F47D88">
        <w:t xml:space="preserve"> assistance with networking between community and industry groups would ensure a more integrated approach to sustainable landscape management. </w:t>
      </w:r>
    </w:p>
    <w:p w14:paraId="01DBAE3A" w14:textId="77777777" w:rsidR="00A3339D" w:rsidRDefault="00A3339D" w:rsidP="00434286">
      <w:pPr>
        <w:pStyle w:val="Heading3"/>
      </w:pPr>
      <w:r w:rsidRPr="00A3339D">
        <w:t xml:space="preserve">Information provider </w:t>
      </w:r>
    </w:p>
    <w:p w14:paraId="01DBAE3B" w14:textId="77777777" w:rsidR="00D22062" w:rsidRPr="00D22062" w:rsidRDefault="00EB6ECC" w:rsidP="00D22062">
      <w:r>
        <w:t>These responses focused on</w:t>
      </w:r>
      <w:r w:rsidR="00D22062">
        <w:t xml:space="preserve"> the important</w:t>
      </w:r>
      <w:r w:rsidR="00465115">
        <w:t xml:space="preserve"> role F</w:t>
      </w:r>
      <w:r w:rsidR="00D22062">
        <w:t>acilitators have in providing information on new opportunities for local groups, giving good advice on management option</w:t>
      </w:r>
      <w:r w:rsidR="001D179D">
        <w:t>s</w:t>
      </w:r>
      <w:r w:rsidR="00D22062">
        <w:t>, updating groups on the activities of other bodies and providing community education in NRM.  Some responses</w:t>
      </w:r>
      <w:r w:rsidR="00465115">
        <w:t xml:space="preserve"> also focused on the role that F</w:t>
      </w:r>
      <w:r w:rsidR="00D22062">
        <w:t xml:space="preserve">acilitators </w:t>
      </w:r>
      <w:r w:rsidR="00465115">
        <w:t xml:space="preserve">have </w:t>
      </w:r>
      <w:r w:rsidR="00D22062">
        <w:t>in providing training through s</w:t>
      </w:r>
      <w:r w:rsidR="00F8410B">
        <w:t>kills workshops and ensuring</w:t>
      </w:r>
      <w:r w:rsidR="00D22062">
        <w:t xml:space="preserve"> access to technical advice and research. </w:t>
      </w:r>
    </w:p>
    <w:p w14:paraId="01DBAE3C" w14:textId="77777777" w:rsidR="00F47D88" w:rsidRDefault="00F47D88" w:rsidP="00F47D88">
      <w:pPr>
        <w:pStyle w:val="Heading3"/>
      </w:pPr>
      <w:r w:rsidRPr="00F47D88">
        <w:t>Support capacity building and the development of local groups</w:t>
      </w:r>
    </w:p>
    <w:p w14:paraId="01DBAE3D" w14:textId="77777777" w:rsidR="00F47D88" w:rsidRPr="00F47D88" w:rsidRDefault="00F47D88" w:rsidP="00F47D88">
      <w:r>
        <w:t xml:space="preserve">These responses suggested that Facilitators should help build capacity in local groups and help new groups to develop. </w:t>
      </w:r>
      <w:r w:rsidRPr="00F47D88">
        <w:t>Som</w:t>
      </w:r>
      <w:r w:rsidR="001D1082">
        <w:t>e</w:t>
      </w:r>
      <w:r w:rsidR="00EB5D4A">
        <w:t xml:space="preserve"> responses also gave </w:t>
      </w:r>
      <w:r w:rsidR="001D1082">
        <w:t>importance to</w:t>
      </w:r>
      <w:r w:rsidRPr="00F47D88">
        <w:t xml:space="preserve"> suppor</w:t>
      </w:r>
      <w:r w:rsidR="00F34A1A">
        <w:t>ting the skills and practices in</w:t>
      </w:r>
      <w:r w:rsidRPr="00F47D88">
        <w:t xml:space="preserve"> Indigenous organisations</w:t>
      </w:r>
      <w:r>
        <w:t xml:space="preserve">. </w:t>
      </w:r>
    </w:p>
    <w:p w14:paraId="01DBAE3E" w14:textId="77777777" w:rsidR="00A3339D" w:rsidRDefault="005C5824" w:rsidP="00434286">
      <w:pPr>
        <w:pStyle w:val="Heading3"/>
      </w:pPr>
      <w:r>
        <w:t>Support governance and management of projects</w:t>
      </w:r>
    </w:p>
    <w:p w14:paraId="01DBAE3F" w14:textId="77777777" w:rsidR="00D22062" w:rsidRPr="00D22062" w:rsidRDefault="00465115" w:rsidP="00D22062">
      <w:r>
        <w:t>The majority of s</w:t>
      </w:r>
      <w:r w:rsidR="00D22062">
        <w:t>urvey re</w:t>
      </w:r>
      <w:r>
        <w:t xml:space="preserve">sponses on this theme supported the role of Facilitators in improving the governance and management of local groups and, in some cases, helping to manage some funded projects. </w:t>
      </w:r>
    </w:p>
    <w:p w14:paraId="01DBAE40" w14:textId="77777777" w:rsidR="0048064A" w:rsidRDefault="005C5824" w:rsidP="0048064A">
      <w:pPr>
        <w:pStyle w:val="Heading3"/>
      </w:pPr>
      <w:r>
        <w:t>Respondents support</w:t>
      </w:r>
      <w:r w:rsidR="0048064A">
        <w:t xml:space="preserve"> the role</w:t>
      </w:r>
    </w:p>
    <w:p w14:paraId="01DBAE41" w14:textId="77777777" w:rsidR="0048064A" w:rsidRDefault="0048064A" w:rsidP="0048064A">
      <w:r>
        <w:t xml:space="preserve">These survey responses supported the work that Facilitators do and argued that it should continue. </w:t>
      </w:r>
    </w:p>
    <w:p w14:paraId="01DBAE42" w14:textId="77777777" w:rsidR="003B0E2C" w:rsidRDefault="00B37F13" w:rsidP="00A314A4">
      <w:pPr>
        <w:pStyle w:val="Heading2"/>
      </w:pPr>
      <w:bookmarkStart w:id="19" w:name="_Toc500248422"/>
      <w:r>
        <w:t>Issue</w:t>
      </w:r>
      <w:r w:rsidR="003B0E2C">
        <w:t xml:space="preserve"> 6</w:t>
      </w:r>
      <w:bookmarkEnd w:id="19"/>
    </w:p>
    <w:p w14:paraId="01DBAE43" w14:textId="77777777" w:rsidR="00E13FB8" w:rsidRPr="00857B18" w:rsidRDefault="00E13FB8" w:rsidP="004B726E">
      <w:pPr>
        <w:spacing w:after="0"/>
        <w:rPr>
          <w:rFonts w:cs="Segoe UI"/>
          <w:b/>
          <w:sz w:val="2"/>
          <w:szCs w:val="2"/>
        </w:rPr>
      </w:pPr>
    </w:p>
    <w:p w14:paraId="01DBAE44" w14:textId="77777777" w:rsidR="00E13FB8" w:rsidRPr="00E13FB8" w:rsidRDefault="00E13FB8" w:rsidP="00E13FB8">
      <w:pPr>
        <w:pStyle w:val="Boxtext0"/>
        <w:rPr>
          <w:sz w:val="22"/>
        </w:rPr>
      </w:pPr>
      <w:r w:rsidRPr="00E13FB8">
        <w:rPr>
          <w:sz w:val="22"/>
        </w:rPr>
        <w:t xml:space="preserve">The Australian Government aims to maintain the good governance that exists under the current regional delivery model. In addition to delivering on Regional Land Partnerships outcomes,  tenderers will need to be able to demonstrate how they will deliver a range of outcomes including outreach, building partnerships and shared investment opportunities, supporting community engagement and Indigenous participation, as well as also demonstrating a capacity to deliver on broader natural resource management priorities for the Government. </w:t>
      </w:r>
    </w:p>
    <w:p w14:paraId="01DBAE45" w14:textId="77777777" w:rsidR="00E13FB8" w:rsidRPr="00E13FB8" w:rsidRDefault="00E13FB8" w:rsidP="00E13FB8">
      <w:pPr>
        <w:pStyle w:val="Boxtext0"/>
        <w:rPr>
          <w:sz w:val="22"/>
        </w:rPr>
      </w:pPr>
      <w:r w:rsidRPr="00E13FB8">
        <w:rPr>
          <w:sz w:val="22"/>
        </w:rPr>
        <w:lastRenderedPageBreak/>
        <w:t>The Overview of Proposed Tender Requirements provides an outline of the key requirements that would potentially apply to an open procurement process, should that approach be adopted.</w:t>
      </w:r>
    </w:p>
    <w:p w14:paraId="01DBAE46" w14:textId="77777777" w:rsidR="00E13FB8" w:rsidRPr="00E13FB8" w:rsidRDefault="00E13FB8" w:rsidP="00E13FB8">
      <w:pPr>
        <w:pStyle w:val="Boxtext0"/>
        <w:rPr>
          <w:sz w:val="22"/>
        </w:rPr>
      </w:pPr>
      <w:r w:rsidRPr="00E13FB8">
        <w:rPr>
          <w:sz w:val="22"/>
        </w:rPr>
        <w:t>The Overview of Proposed Tender Requirements provides an overview and high-level indication of the proposed contracting arrangements, the depth of experience tenderers need to demonstrate, the services the Government wishes to purchase, and the geographical scale at which the Government proposes to engage providers.</w:t>
      </w:r>
    </w:p>
    <w:p w14:paraId="01DBAE47" w14:textId="77777777" w:rsidR="00E13FB8" w:rsidRPr="00E13FB8" w:rsidRDefault="00E13FB8" w:rsidP="00E13FB8">
      <w:pPr>
        <w:pStyle w:val="Boxtext0"/>
        <w:rPr>
          <w:sz w:val="22"/>
        </w:rPr>
      </w:pPr>
      <w:r w:rsidRPr="00E13FB8">
        <w:rPr>
          <w:sz w:val="22"/>
        </w:rPr>
        <w:t>The following five questions relate to the Overview of Proposed Tender Requirements which is attached to the Consultation Paper.</w:t>
      </w:r>
    </w:p>
    <w:p w14:paraId="01DBAE48" w14:textId="77777777" w:rsidR="00E13FB8" w:rsidRPr="00E13FB8" w:rsidRDefault="00E13FB8" w:rsidP="00E13FB8">
      <w:pPr>
        <w:pStyle w:val="Boxtext0"/>
        <w:rPr>
          <w:b/>
          <w:sz w:val="22"/>
        </w:rPr>
      </w:pPr>
      <w:r w:rsidRPr="00E13FB8">
        <w:rPr>
          <w:b/>
          <w:sz w:val="22"/>
        </w:rPr>
        <w:t>Question 6a: In relation to ‘Services to be performed’ in Item 4 of the Overview of Proposed Tender Requirements: Does the list of services provide sufficient guidance on what the Departments are seeking, whilst allowing room for innovation? Are there any other services that should be added to this list, to deliver on the Region</w:t>
      </w:r>
      <w:r>
        <w:rPr>
          <w:b/>
          <w:sz w:val="22"/>
        </w:rPr>
        <w:t>al Land Partnerships’ outcomes?</w:t>
      </w:r>
    </w:p>
    <w:p w14:paraId="01DBAE49" w14:textId="77777777" w:rsidR="00E13FB8" w:rsidRPr="00857B18" w:rsidRDefault="00E13FB8" w:rsidP="004B726E">
      <w:pPr>
        <w:pStyle w:val="ListBullet"/>
        <w:numPr>
          <w:ilvl w:val="0"/>
          <w:numId w:val="0"/>
        </w:numPr>
        <w:ind w:left="454" w:hanging="454"/>
        <w:rPr>
          <w:rFonts w:cs="Segoe UI"/>
          <w:sz w:val="2"/>
          <w:szCs w:val="2"/>
        </w:rPr>
      </w:pPr>
    </w:p>
    <w:p w14:paraId="01DBAE4A" w14:textId="77777777" w:rsidR="00635988" w:rsidRDefault="00635988" w:rsidP="00635988">
      <w:pPr>
        <w:pStyle w:val="TableHeading"/>
      </w:pPr>
      <w:bookmarkStart w:id="20" w:name="_Toc500248432"/>
      <w:r>
        <w:t>Main themes for Issue 6, Question 6a</w:t>
      </w:r>
      <w:bookmarkEnd w:id="20"/>
    </w:p>
    <w:tbl>
      <w:tblPr>
        <w:tblStyle w:val="ARTDTable"/>
        <w:tblW w:w="9261" w:type="dxa"/>
        <w:tblLook w:val="04A0" w:firstRow="1" w:lastRow="0" w:firstColumn="1" w:lastColumn="0" w:noHBand="0" w:noVBand="1"/>
      </w:tblPr>
      <w:tblGrid>
        <w:gridCol w:w="7088"/>
        <w:gridCol w:w="1134"/>
        <w:gridCol w:w="1039"/>
      </w:tblGrid>
      <w:tr w:rsidR="00635988" w14:paraId="01DBAE4E" w14:textId="77777777" w:rsidTr="00CF6632">
        <w:trPr>
          <w:cnfStyle w:val="100000000000" w:firstRow="1" w:lastRow="0" w:firstColumn="0" w:lastColumn="0" w:oddVBand="0" w:evenVBand="0" w:oddHBand="0" w:evenHBand="0" w:firstRowFirstColumn="0" w:firstRowLastColumn="0" w:lastRowFirstColumn="0" w:lastRowLastColumn="0"/>
        </w:trPr>
        <w:tc>
          <w:tcPr>
            <w:tcW w:w="7088" w:type="dxa"/>
          </w:tcPr>
          <w:p w14:paraId="01DBAE4B" w14:textId="77777777" w:rsidR="00635988" w:rsidRDefault="00635988" w:rsidP="00635988">
            <w:pPr>
              <w:pStyle w:val="Tablebodytext"/>
            </w:pPr>
            <w:r>
              <w:t>Theme</w:t>
            </w:r>
          </w:p>
        </w:tc>
        <w:tc>
          <w:tcPr>
            <w:tcW w:w="1134" w:type="dxa"/>
          </w:tcPr>
          <w:p w14:paraId="01DBAE4C" w14:textId="77777777" w:rsidR="00635988" w:rsidRDefault="00635988" w:rsidP="00072CEF">
            <w:pPr>
              <w:pStyle w:val="Tablebodytext"/>
              <w:jc w:val="right"/>
            </w:pPr>
            <w:r>
              <w:t>Number</w:t>
            </w:r>
          </w:p>
        </w:tc>
        <w:tc>
          <w:tcPr>
            <w:tcW w:w="1039" w:type="dxa"/>
          </w:tcPr>
          <w:p w14:paraId="01DBAE4D" w14:textId="77777777" w:rsidR="00635988" w:rsidRDefault="00635988" w:rsidP="00072CEF">
            <w:pPr>
              <w:pStyle w:val="Tablebodytext"/>
              <w:jc w:val="right"/>
            </w:pPr>
            <w:r>
              <w:t>Percent</w:t>
            </w:r>
          </w:p>
        </w:tc>
      </w:tr>
      <w:tr w:rsidR="00635988" w14:paraId="01DBAE52" w14:textId="77777777" w:rsidTr="00CF6632">
        <w:tc>
          <w:tcPr>
            <w:tcW w:w="7088" w:type="dxa"/>
          </w:tcPr>
          <w:p w14:paraId="01DBAE4F" w14:textId="77777777" w:rsidR="00635988" w:rsidRPr="00596330" w:rsidRDefault="00723C80" w:rsidP="00072CEF">
            <w:pPr>
              <w:pStyle w:val="Tablebodytext"/>
            </w:pPr>
            <w:r>
              <w:t>List of services</w:t>
            </w:r>
            <w:r w:rsidR="00072CEF">
              <w:t xml:space="preserve"> needs expansion </w:t>
            </w:r>
          </w:p>
        </w:tc>
        <w:tc>
          <w:tcPr>
            <w:tcW w:w="1134" w:type="dxa"/>
          </w:tcPr>
          <w:p w14:paraId="01DBAE50" w14:textId="77777777" w:rsidR="00635988" w:rsidRDefault="00635988" w:rsidP="00072CEF">
            <w:pPr>
              <w:pStyle w:val="Tablebodytext"/>
              <w:jc w:val="right"/>
            </w:pPr>
            <w:r>
              <w:t>48</w:t>
            </w:r>
          </w:p>
        </w:tc>
        <w:tc>
          <w:tcPr>
            <w:tcW w:w="1039" w:type="dxa"/>
          </w:tcPr>
          <w:p w14:paraId="01DBAE51" w14:textId="77777777" w:rsidR="00635988" w:rsidRDefault="00635988" w:rsidP="00072CEF">
            <w:pPr>
              <w:pStyle w:val="Tablebodytext"/>
              <w:jc w:val="right"/>
            </w:pPr>
            <w:r>
              <w:t>48%</w:t>
            </w:r>
          </w:p>
        </w:tc>
      </w:tr>
      <w:tr w:rsidR="00635988" w14:paraId="01DBAE56" w14:textId="77777777" w:rsidTr="00CF6632">
        <w:tc>
          <w:tcPr>
            <w:tcW w:w="7088" w:type="dxa"/>
          </w:tcPr>
          <w:p w14:paraId="01DBAE53" w14:textId="77777777" w:rsidR="00635988" w:rsidRPr="00596330" w:rsidRDefault="00723C80" w:rsidP="00072CEF">
            <w:pPr>
              <w:pStyle w:val="Tablebodytext"/>
            </w:pPr>
            <w:r>
              <w:t>Sufficient guidance provided</w:t>
            </w:r>
            <w:r w:rsidR="00072CEF">
              <w:t xml:space="preserve"> </w:t>
            </w:r>
          </w:p>
        </w:tc>
        <w:tc>
          <w:tcPr>
            <w:tcW w:w="1134" w:type="dxa"/>
          </w:tcPr>
          <w:p w14:paraId="01DBAE54" w14:textId="77777777" w:rsidR="00635988" w:rsidRDefault="00635988" w:rsidP="00072CEF">
            <w:pPr>
              <w:pStyle w:val="Tablebodytext"/>
              <w:jc w:val="right"/>
            </w:pPr>
            <w:r>
              <w:t>28</w:t>
            </w:r>
          </w:p>
        </w:tc>
        <w:tc>
          <w:tcPr>
            <w:tcW w:w="1039" w:type="dxa"/>
          </w:tcPr>
          <w:p w14:paraId="01DBAE55" w14:textId="77777777" w:rsidR="00635988" w:rsidRDefault="00635988" w:rsidP="00072CEF">
            <w:pPr>
              <w:pStyle w:val="Tablebodytext"/>
              <w:jc w:val="right"/>
            </w:pPr>
            <w:r>
              <w:t>28%</w:t>
            </w:r>
          </w:p>
        </w:tc>
      </w:tr>
      <w:tr w:rsidR="00635988" w14:paraId="01DBAE5A" w14:textId="77777777" w:rsidTr="00CF6632">
        <w:tc>
          <w:tcPr>
            <w:tcW w:w="7088" w:type="dxa"/>
          </w:tcPr>
          <w:p w14:paraId="01DBAE57" w14:textId="77777777" w:rsidR="00635988" w:rsidRPr="00596330" w:rsidRDefault="00635988" w:rsidP="00F56942">
            <w:pPr>
              <w:pStyle w:val="Tablebodytext"/>
            </w:pPr>
            <w:r w:rsidRPr="00596330">
              <w:t>Support fo</w:t>
            </w:r>
            <w:r w:rsidR="00072CEF">
              <w:t xml:space="preserve">r core services </w:t>
            </w:r>
          </w:p>
        </w:tc>
        <w:tc>
          <w:tcPr>
            <w:tcW w:w="1134" w:type="dxa"/>
          </w:tcPr>
          <w:p w14:paraId="01DBAE58" w14:textId="77777777" w:rsidR="00635988" w:rsidRDefault="00F56942" w:rsidP="00072CEF">
            <w:pPr>
              <w:pStyle w:val="Tablebodytext"/>
              <w:jc w:val="right"/>
            </w:pPr>
            <w:r>
              <w:t>11</w:t>
            </w:r>
          </w:p>
        </w:tc>
        <w:tc>
          <w:tcPr>
            <w:tcW w:w="1039" w:type="dxa"/>
          </w:tcPr>
          <w:p w14:paraId="01DBAE59" w14:textId="77777777" w:rsidR="00635988" w:rsidRDefault="00F56942" w:rsidP="00072CEF">
            <w:pPr>
              <w:pStyle w:val="Tablebodytext"/>
              <w:jc w:val="right"/>
            </w:pPr>
            <w:r>
              <w:t>1</w:t>
            </w:r>
            <w:r w:rsidR="00635988">
              <w:t>1%</w:t>
            </w:r>
          </w:p>
        </w:tc>
      </w:tr>
      <w:tr w:rsidR="00F56942" w14:paraId="01DBAE5E" w14:textId="77777777" w:rsidTr="00CF6632">
        <w:tc>
          <w:tcPr>
            <w:tcW w:w="7088" w:type="dxa"/>
          </w:tcPr>
          <w:p w14:paraId="01DBAE5B" w14:textId="77777777" w:rsidR="00F56942" w:rsidRDefault="00F56942" w:rsidP="00072CEF">
            <w:pPr>
              <w:pStyle w:val="Tablebodytext"/>
            </w:pPr>
            <w:r>
              <w:t>Suggested changes to core services</w:t>
            </w:r>
          </w:p>
        </w:tc>
        <w:tc>
          <w:tcPr>
            <w:tcW w:w="1134" w:type="dxa"/>
          </w:tcPr>
          <w:p w14:paraId="01DBAE5C" w14:textId="77777777" w:rsidR="00F56942" w:rsidRDefault="00F56942" w:rsidP="00072CEF">
            <w:pPr>
              <w:pStyle w:val="Tablebodytext"/>
              <w:jc w:val="right"/>
            </w:pPr>
            <w:r>
              <w:t>10</w:t>
            </w:r>
          </w:p>
        </w:tc>
        <w:tc>
          <w:tcPr>
            <w:tcW w:w="1039" w:type="dxa"/>
          </w:tcPr>
          <w:p w14:paraId="01DBAE5D" w14:textId="77777777" w:rsidR="00F56942" w:rsidRDefault="00F56942" w:rsidP="00072CEF">
            <w:pPr>
              <w:pStyle w:val="Tablebodytext"/>
              <w:jc w:val="right"/>
            </w:pPr>
            <w:r>
              <w:t>10%</w:t>
            </w:r>
          </w:p>
        </w:tc>
      </w:tr>
      <w:tr w:rsidR="00635988" w14:paraId="01DBAE62" w14:textId="77777777" w:rsidTr="00CF6632">
        <w:tc>
          <w:tcPr>
            <w:tcW w:w="7088" w:type="dxa"/>
          </w:tcPr>
          <w:p w14:paraId="01DBAE5F" w14:textId="77777777" w:rsidR="00635988" w:rsidRPr="00596330" w:rsidRDefault="00072CEF" w:rsidP="00072CEF">
            <w:pPr>
              <w:pStyle w:val="Tablebodytext"/>
            </w:pPr>
            <w:r>
              <w:t xml:space="preserve">Potential for innovation </w:t>
            </w:r>
          </w:p>
        </w:tc>
        <w:tc>
          <w:tcPr>
            <w:tcW w:w="1134" w:type="dxa"/>
          </w:tcPr>
          <w:p w14:paraId="01DBAE60" w14:textId="77777777" w:rsidR="00635988" w:rsidRDefault="00462AA9" w:rsidP="00072CEF">
            <w:pPr>
              <w:pStyle w:val="Tablebodytext"/>
              <w:jc w:val="right"/>
            </w:pPr>
            <w:r>
              <w:t>8</w:t>
            </w:r>
          </w:p>
        </w:tc>
        <w:tc>
          <w:tcPr>
            <w:tcW w:w="1039" w:type="dxa"/>
          </w:tcPr>
          <w:p w14:paraId="01DBAE61" w14:textId="77777777" w:rsidR="00635988" w:rsidRDefault="00462AA9" w:rsidP="00072CEF">
            <w:pPr>
              <w:pStyle w:val="Tablebodytext"/>
              <w:jc w:val="right"/>
            </w:pPr>
            <w:r>
              <w:t>8</w:t>
            </w:r>
            <w:r w:rsidR="00635988">
              <w:t>%</w:t>
            </w:r>
          </w:p>
        </w:tc>
      </w:tr>
    </w:tbl>
    <w:p w14:paraId="01DBAE63" w14:textId="77777777" w:rsidR="00635988" w:rsidRPr="00F12833" w:rsidRDefault="00635988" w:rsidP="00635988">
      <w:pPr>
        <w:rPr>
          <w:sz w:val="18"/>
          <w:szCs w:val="18"/>
        </w:rPr>
      </w:pPr>
      <w:r>
        <w:rPr>
          <w:sz w:val="18"/>
          <w:szCs w:val="18"/>
        </w:rPr>
        <w:t>Total respondents = 101</w:t>
      </w:r>
    </w:p>
    <w:p w14:paraId="01DBAE64" w14:textId="77777777" w:rsidR="00C8346F" w:rsidRDefault="00723C80" w:rsidP="00C8346F">
      <w:pPr>
        <w:pStyle w:val="Heading3"/>
      </w:pPr>
      <w:r>
        <w:t>List of services</w:t>
      </w:r>
      <w:r w:rsidR="00C8346F">
        <w:t xml:space="preserve"> needs expansion</w:t>
      </w:r>
    </w:p>
    <w:p w14:paraId="01DBAE65" w14:textId="77777777" w:rsidR="003001B0" w:rsidRDefault="00C8346F" w:rsidP="00C8346F">
      <w:r>
        <w:t xml:space="preserve">The responses on this theme made a variety of suggestions for the ways in which the current </w:t>
      </w:r>
      <w:r w:rsidR="003C1B5B">
        <w:t>list of services</w:t>
      </w:r>
      <w:r>
        <w:t xml:space="preserve"> should</w:t>
      </w:r>
      <w:r w:rsidR="003001B0">
        <w:t xml:space="preserve"> be expanded, which included:</w:t>
      </w:r>
    </w:p>
    <w:p w14:paraId="01DBAE66" w14:textId="77777777" w:rsidR="003001B0" w:rsidRDefault="003001B0" w:rsidP="003001B0">
      <w:pPr>
        <w:pStyle w:val="ListBullet"/>
      </w:pPr>
      <w:r>
        <w:t>A</w:t>
      </w:r>
      <w:r w:rsidR="00C8346F">
        <w:t xml:space="preserve"> holistic approach beyond the focus on</w:t>
      </w:r>
      <w:r w:rsidR="008531CD">
        <w:t xml:space="preserve"> the specified list of threatened species</w:t>
      </w:r>
    </w:p>
    <w:p w14:paraId="01DBAE67" w14:textId="77777777" w:rsidR="003001B0" w:rsidRDefault="003001B0" w:rsidP="003001B0">
      <w:pPr>
        <w:pStyle w:val="ListBullet"/>
      </w:pPr>
      <w:r>
        <w:t>T</w:t>
      </w:r>
      <w:r w:rsidR="00042AD0">
        <w:t>he investment in</w:t>
      </w:r>
      <w:r w:rsidR="00FF4F73">
        <w:t xml:space="preserve"> Indigenous partnerships</w:t>
      </w:r>
      <w:r w:rsidR="00042AD0">
        <w:t xml:space="preserve"> </w:t>
      </w:r>
      <w:r>
        <w:t xml:space="preserve">and </w:t>
      </w:r>
      <w:r w:rsidR="008531CD">
        <w:t>the ro</w:t>
      </w:r>
      <w:r w:rsidR="00CD719A">
        <w:t>le of Indigenous organisations</w:t>
      </w:r>
    </w:p>
    <w:p w14:paraId="01DBAE68" w14:textId="77777777" w:rsidR="003001B0" w:rsidRDefault="003001B0" w:rsidP="003001B0">
      <w:pPr>
        <w:pStyle w:val="ListBullet"/>
      </w:pPr>
      <w:r>
        <w:t>The reporting of outcomes</w:t>
      </w:r>
    </w:p>
    <w:p w14:paraId="01DBAE69" w14:textId="77777777" w:rsidR="003001B0" w:rsidRDefault="003001B0" w:rsidP="003001B0">
      <w:pPr>
        <w:pStyle w:val="ListBullet"/>
      </w:pPr>
      <w:r>
        <w:t>C</w:t>
      </w:r>
      <w:r w:rsidR="00DA6954">
        <w:t>ommunity development and community engagemen</w:t>
      </w:r>
      <w:r w:rsidR="00FF4F73">
        <w:t>t</w:t>
      </w:r>
    </w:p>
    <w:p w14:paraId="01DBAE6A" w14:textId="77777777" w:rsidR="003001B0" w:rsidRDefault="003C1B5B" w:rsidP="003001B0">
      <w:pPr>
        <w:pStyle w:val="ListBullet"/>
      </w:pPr>
      <w:r>
        <w:t>A range of ecological considerations</w:t>
      </w:r>
      <w:r w:rsidR="00CD719A">
        <w:t xml:space="preserve"> e.g. biodiversity, biosecurity, natural regeneration</w:t>
      </w:r>
    </w:p>
    <w:p w14:paraId="01DBAE6B" w14:textId="77777777" w:rsidR="00B065C3" w:rsidRDefault="00B065C3" w:rsidP="00B065C3">
      <w:pPr>
        <w:pStyle w:val="ListBullet"/>
        <w:numPr>
          <w:ilvl w:val="0"/>
          <w:numId w:val="0"/>
        </w:numPr>
        <w:ind w:left="454"/>
      </w:pPr>
    </w:p>
    <w:p w14:paraId="01DBAE6C" w14:textId="77777777" w:rsidR="00C8346F" w:rsidRDefault="008531CD" w:rsidP="003001B0">
      <w:pPr>
        <w:pStyle w:val="ListBullet"/>
        <w:numPr>
          <w:ilvl w:val="0"/>
          <w:numId w:val="0"/>
        </w:numPr>
      </w:pPr>
      <w:r>
        <w:t xml:space="preserve">Responses on this theme also </w:t>
      </w:r>
      <w:r w:rsidR="00755B32">
        <w:t>recommended</w:t>
      </w:r>
      <w:r>
        <w:t xml:space="preserve"> that services such as community education,</w:t>
      </w:r>
      <w:r w:rsidR="00DA6954">
        <w:t xml:space="preserve"> community development,</w:t>
      </w:r>
      <w:r>
        <w:t xml:space="preserve"> skills development for Indigenous organisations</w:t>
      </w:r>
      <w:r w:rsidR="00A92106">
        <w:t>, research,</w:t>
      </w:r>
      <w:r w:rsidR="00DA6954">
        <w:t xml:space="preserve"> conservation</w:t>
      </w:r>
      <w:r w:rsidR="00A92106">
        <w:t xml:space="preserve"> and</w:t>
      </w:r>
      <w:r w:rsidR="00DA6954">
        <w:t xml:space="preserve"> vegetation management</w:t>
      </w:r>
      <w:r>
        <w:t xml:space="preserve"> should be added to the list </w:t>
      </w:r>
      <w:r w:rsidR="00A92106">
        <w:t>in the Overview.</w:t>
      </w:r>
      <w:r>
        <w:t xml:space="preserve"> </w:t>
      </w:r>
      <w:r w:rsidR="00C8346F">
        <w:t xml:space="preserve"> </w:t>
      </w:r>
    </w:p>
    <w:p w14:paraId="01DBAE6D" w14:textId="77777777" w:rsidR="004A2B5E" w:rsidRDefault="00723C80" w:rsidP="004A2B5E">
      <w:pPr>
        <w:pStyle w:val="Heading3"/>
      </w:pPr>
      <w:r>
        <w:lastRenderedPageBreak/>
        <w:t>Sufficient guidance provided</w:t>
      </w:r>
    </w:p>
    <w:p w14:paraId="01DBAE6E" w14:textId="77777777" w:rsidR="0088045F" w:rsidRDefault="00DF3E87" w:rsidP="004A2B5E">
      <w:r>
        <w:t xml:space="preserve">These responses stated that the list </w:t>
      </w:r>
      <w:r w:rsidR="001D0FA5">
        <w:t xml:space="preserve">provides sufficient guidance on what the Departments are seeking. </w:t>
      </w:r>
    </w:p>
    <w:p w14:paraId="01DBAE6F" w14:textId="77777777" w:rsidR="00F56942" w:rsidRDefault="00F56942" w:rsidP="00F56942">
      <w:pPr>
        <w:pStyle w:val="Heading3"/>
      </w:pPr>
      <w:r>
        <w:t>Suggested changes to core services</w:t>
      </w:r>
    </w:p>
    <w:p w14:paraId="01DBAE70" w14:textId="77777777" w:rsidR="00F56942" w:rsidRPr="00F56942" w:rsidRDefault="00A0597E" w:rsidP="00F56942">
      <w:r>
        <w:t>S</w:t>
      </w:r>
      <w:r w:rsidR="00F56942" w:rsidRPr="00F56942">
        <w:t>uggestions for changes</w:t>
      </w:r>
      <w:r>
        <w:t xml:space="preserve"> to the specified core services </w:t>
      </w:r>
      <w:r w:rsidR="00F56942">
        <w:t xml:space="preserve">included adding a specification that services should meet national priorities, expanding funding to include coastal and urban areas, identifying core services as a percentage of funding, allowing for local priorities, providing more details on participation and including community engagement.      </w:t>
      </w:r>
    </w:p>
    <w:p w14:paraId="01DBAE71" w14:textId="77777777" w:rsidR="004A2B5E" w:rsidRDefault="00CD719A" w:rsidP="004A2B5E">
      <w:pPr>
        <w:pStyle w:val="Heading3"/>
      </w:pPr>
      <w:r>
        <w:t>Potential for</w:t>
      </w:r>
      <w:r w:rsidR="00EF4F3E">
        <w:t xml:space="preserve"> innovation</w:t>
      </w:r>
      <w:r w:rsidR="004A2B5E">
        <w:t xml:space="preserve"> </w:t>
      </w:r>
    </w:p>
    <w:p w14:paraId="01DBAE72" w14:textId="77777777" w:rsidR="001D5C0B" w:rsidRDefault="007547A6" w:rsidP="00F36027">
      <w:r>
        <w:t>A small proportion of respondents explicitly agreed that</w:t>
      </w:r>
      <w:r w:rsidR="00E23CCF">
        <w:t xml:space="preserve"> th</w:t>
      </w:r>
      <w:r>
        <w:t>e list of services still allow</w:t>
      </w:r>
      <w:r w:rsidR="00E23CCF">
        <w:t xml:space="preserve"> room for innovative responses, provided that they are examples only and not a limited set of allowable activities.</w:t>
      </w:r>
    </w:p>
    <w:p w14:paraId="01DBAE73" w14:textId="77777777" w:rsidR="00E13FB8" w:rsidRPr="00857B18" w:rsidRDefault="00E13FB8" w:rsidP="004B726E">
      <w:pPr>
        <w:spacing w:after="0"/>
        <w:rPr>
          <w:rFonts w:cs="Segoe UI"/>
          <w:b/>
          <w:sz w:val="2"/>
          <w:szCs w:val="2"/>
        </w:rPr>
      </w:pPr>
    </w:p>
    <w:p w14:paraId="01DBAE74" w14:textId="77777777" w:rsidR="00E13FB8" w:rsidRDefault="00E13FB8" w:rsidP="004B726E">
      <w:pPr>
        <w:pStyle w:val="Boxheading"/>
      </w:pPr>
    </w:p>
    <w:p w14:paraId="01DBAE75" w14:textId="77777777" w:rsidR="00E13FB8" w:rsidRPr="00E13FB8" w:rsidRDefault="00E13FB8" w:rsidP="00E13FB8">
      <w:pPr>
        <w:pStyle w:val="Boxtext0"/>
        <w:rPr>
          <w:b/>
          <w:sz w:val="22"/>
        </w:rPr>
      </w:pPr>
      <w:r w:rsidRPr="00E13FB8">
        <w:rPr>
          <w:b/>
          <w:sz w:val="22"/>
        </w:rPr>
        <w:t>Question 6b: In relation to ‘Proposed method for engaging Service Providers’ in Item 1.3 of the Overview of Proposed Tender Requirements: What, if any, are the positive or negative implications for providers that may result from structuring the contracting arrangements in this way? What is the best way to balance certainty for service providers with flexibility and adaptive management?</w:t>
      </w:r>
    </w:p>
    <w:p w14:paraId="01DBAE76" w14:textId="77777777" w:rsidR="00E13FB8" w:rsidRDefault="00E13FB8" w:rsidP="00E13FB8">
      <w:pPr>
        <w:pStyle w:val="Boxbullets"/>
        <w:numPr>
          <w:ilvl w:val="0"/>
          <w:numId w:val="0"/>
        </w:numPr>
        <w:ind w:left="454" w:hanging="454"/>
      </w:pPr>
    </w:p>
    <w:p w14:paraId="01DBAE77" w14:textId="77777777" w:rsidR="0088045F" w:rsidRDefault="0088045F" w:rsidP="0028337A">
      <w:pPr>
        <w:rPr>
          <w:sz w:val="24"/>
          <w:szCs w:val="24"/>
        </w:rPr>
      </w:pPr>
    </w:p>
    <w:p w14:paraId="01DBAE78" w14:textId="77777777" w:rsidR="0028337A" w:rsidRDefault="00E842CA" w:rsidP="0028337A">
      <w:pPr>
        <w:rPr>
          <w:sz w:val="24"/>
          <w:szCs w:val="24"/>
        </w:rPr>
      </w:pPr>
      <w:r>
        <w:rPr>
          <w:sz w:val="24"/>
          <w:szCs w:val="24"/>
        </w:rPr>
        <w:t xml:space="preserve">The positive implications </w:t>
      </w:r>
      <w:r w:rsidR="00635988">
        <w:rPr>
          <w:sz w:val="24"/>
          <w:szCs w:val="24"/>
        </w:rPr>
        <w:t>for providers are:</w:t>
      </w:r>
    </w:p>
    <w:p w14:paraId="01DBAE79" w14:textId="77777777" w:rsidR="00E842CA" w:rsidRDefault="00E842CA" w:rsidP="00E842CA">
      <w:pPr>
        <w:pStyle w:val="ListBullet"/>
      </w:pPr>
      <w:r>
        <w:t>The certainty provided by the long-term contracting of services</w:t>
      </w:r>
    </w:p>
    <w:p w14:paraId="01DBAE7A" w14:textId="77777777" w:rsidR="00E842CA" w:rsidRDefault="00E842CA" w:rsidP="00E842CA">
      <w:pPr>
        <w:pStyle w:val="ListBullet"/>
      </w:pPr>
      <w:r>
        <w:t>The potential for collaboration and innovation</w:t>
      </w:r>
    </w:p>
    <w:p w14:paraId="01DBAE7B" w14:textId="77777777" w:rsidR="00E842CA" w:rsidRDefault="00E842CA" w:rsidP="00E842CA">
      <w:pPr>
        <w:pStyle w:val="ListBullet"/>
      </w:pPr>
      <w:r>
        <w:t>It provides an integrated approach</w:t>
      </w:r>
    </w:p>
    <w:p w14:paraId="01DBAE7C" w14:textId="77777777" w:rsidR="00E842CA" w:rsidRDefault="00E842CA" w:rsidP="00E842CA">
      <w:pPr>
        <w:pStyle w:val="ListBullet"/>
        <w:numPr>
          <w:ilvl w:val="0"/>
          <w:numId w:val="0"/>
        </w:numPr>
        <w:ind w:left="454"/>
      </w:pPr>
    </w:p>
    <w:p w14:paraId="01DBAE7D" w14:textId="77777777" w:rsidR="00E842CA" w:rsidRDefault="00E842CA" w:rsidP="0028337A">
      <w:pPr>
        <w:pStyle w:val="ListBullet"/>
        <w:numPr>
          <w:ilvl w:val="0"/>
          <w:numId w:val="0"/>
        </w:numPr>
        <w:spacing w:after="240"/>
      </w:pPr>
      <w:r>
        <w:t xml:space="preserve">The negative implications </w:t>
      </w:r>
      <w:r w:rsidR="00635988">
        <w:t>for providers are:</w:t>
      </w:r>
    </w:p>
    <w:p w14:paraId="01DBAE7E" w14:textId="77777777" w:rsidR="00E842CA" w:rsidRDefault="00E842CA" w:rsidP="00E842CA">
      <w:pPr>
        <w:pStyle w:val="ListBullet"/>
      </w:pPr>
      <w:r>
        <w:t>There are too many requirements and it is a waste of money</w:t>
      </w:r>
    </w:p>
    <w:p w14:paraId="01DBAE7F" w14:textId="77777777" w:rsidR="00E842CA" w:rsidRDefault="00E842CA" w:rsidP="00E842CA">
      <w:pPr>
        <w:pStyle w:val="ListBullet"/>
      </w:pPr>
      <w:r>
        <w:t xml:space="preserve">The requirement for services to be completed before payment and the 1 year funding model creates an inconsistent and </w:t>
      </w:r>
      <w:r w:rsidR="00A93099">
        <w:t>risky</w:t>
      </w:r>
      <w:r>
        <w:t xml:space="preserve"> funding environment.</w:t>
      </w:r>
    </w:p>
    <w:p w14:paraId="01DBAE80" w14:textId="77777777" w:rsidR="00E842CA" w:rsidRDefault="00E842CA" w:rsidP="00E842CA">
      <w:pPr>
        <w:pStyle w:val="ListBullet"/>
      </w:pPr>
      <w:r>
        <w:t>It may disrupt existing sta</w:t>
      </w:r>
      <w:r w:rsidR="00A93099">
        <w:t>te approaches and make it difficult to address cross-regional and sub-regional concerns</w:t>
      </w:r>
      <w:r>
        <w:t xml:space="preserve">. </w:t>
      </w:r>
    </w:p>
    <w:p w14:paraId="01DBAE81" w14:textId="77777777" w:rsidR="00E842CA" w:rsidRDefault="00E842CA" w:rsidP="00E842CA">
      <w:pPr>
        <w:pStyle w:val="ListBullet"/>
      </w:pPr>
      <w:r>
        <w:t>The competitive process might discourage multi-</w:t>
      </w:r>
      <w:r w:rsidR="00CD719A">
        <w:t>partner, collaborative projects</w:t>
      </w:r>
    </w:p>
    <w:p w14:paraId="01DBAE82" w14:textId="77777777" w:rsidR="00A93099" w:rsidRDefault="00A93099" w:rsidP="00A93099">
      <w:pPr>
        <w:pStyle w:val="ListBullet"/>
        <w:numPr>
          <w:ilvl w:val="0"/>
          <w:numId w:val="0"/>
        </w:numPr>
        <w:ind w:left="454"/>
      </w:pPr>
    </w:p>
    <w:p w14:paraId="01DBAE83" w14:textId="77777777" w:rsidR="0028337A" w:rsidRDefault="00A93099" w:rsidP="0028337A">
      <w:pPr>
        <w:pStyle w:val="ListBullet"/>
        <w:numPr>
          <w:ilvl w:val="0"/>
          <w:numId w:val="0"/>
        </w:numPr>
        <w:spacing w:after="240"/>
      </w:pPr>
      <w:r>
        <w:t xml:space="preserve">The main themes </w:t>
      </w:r>
      <w:r w:rsidR="00635988">
        <w:t>regarding</w:t>
      </w:r>
      <w:r>
        <w:t xml:space="preserve"> the best way to balance certainty with flexibility and adaptive management were:</w:t>
      </w:r>
    </w:p>
    <w:p w14:paraId="01DBAE84" w14:textId="77777777" w:rsidR="00635988" w:rsidRDefault="00635988" w:rsidP="00635988">
      <w:pPr>
        <w:pStyle w:val="TableHeading"/>
      </w:pPr>
      <w:bookmarkStart w:id="21" w:name="_Toc500248433"/>
      <w:r>
        <w:lastRenderedPageBreak/>
        <w:t>Main themes for Issue 6, Question 6b Part 2</w:t>
      </w:r>
      <w:bookmarkEnd w:id="21"/>
    </w:p>
    <w:tbl>
      <w:tblPr>
        <w:tblStyle w:val="ARTDTable"/>
        <w:tblW w:w="9261" w:type="dxa"/>
        <w:tblLook w:val="04A0" w:firstRow="1" w:lastRow="0" w:firstColumn="1" w:lastColumn="0" w:noHBand="0" w:noVBand="1"/>
      </w:tblPr>
      <w:tblGrid>
        <w:gridCol w:w="7088"/>
        <w:gridCol w:w="1134"/>
        <w:gridCol w:w="1039"/>
      </w:tblGrid>
      <w:tr w:rsidR="00635988" w14:paraId="01DBAE88" w14:textId="77777777" w:rsidTr="00CF6632">
        <w:trPr>
          <w:cnfStyle w:val="100000000000" w:firstRow="1" w:lastRow="0" w:firstColumn="0" w:lastColumn="0" w:oddVBand="0" w:evenVBand="0" w:oddHBand="0" w:evenHBand="0" w:firstRowFirstColumn="0" w:firstRowLastColumn="0" w:lastRowFirstColumn="0" w:lastRowLastColumn="0"/>
        </w:trPr>
        <w:tc>
          <w:tcPr>
            <w:tcW w:w="7088" w:type="dxa"/>
          </w:tcPr>
          <w:p w14:paraId="01DBAE85" w14:textId="77777777" w:rsidR="00635988" w:rsidRDefault="00635988" w:rsidP="00635988">
            <w:pPr>
              <w:pStyle w:val="Tablebodytext"/>
            </w:pPr>
            <w:r>
              <w:t>Theme</w:t>
            </w:r>
          </w:p>
        </w:tc>
        <w:tc>
          <w:tcPr>
            <w:tcW w:w="1134" w:type="dxa"/>
          </w:tcPr>
          <w:p w14:paraId="01DBAE86" w14:textId="77777777" w:rsidR="00635988" w:rsidRDefault="00635988" w:rsidP="00072CEF">
            <w:pPr>
              <w:pStyle w:val="Tablebodytext"/>
              <w:jc w:val="right"/>
            </w:pPr>
            <w:r>
              <w:t>Number</w:t>
            </w:r>
          </w:p>
        </w:tc>
        <w:tc>
          <w:tcPr>
            <w:tcW w:w="1039" w:type="dxa"/>
          </w:tcPr>
          <w:p w14:paraId="01DBAE87" w14:textId="77777777" w:rsidR="00635988" w:rsidRDefault="00635988" w:rsidP="00072CEF">
            <w:pPr>
              <w:pStyle w:val="Tablebodytext"/>
              <w:jc w:val="right"/>
            </w:pPr>
            <w:r>
              <w:t>Percent</w:t>
            </w:r>
          </w:p>
        </w:tc>
      </w:tr>
      <w:tr w:rsidR="00635988" w14:paraId="01DBAE8C" w14:textId="77777777" w:rsidTr="00CF6632">
        <w:tc>
          <w:tcPr>
            <w:tcW w:w="7088" w:type="dxa"/>
          </w:tcPr>
          <w:p w14:paraId="01DBAE89" w14:textId="77777777" w:rsidR="00635988" w:rsidRPr="00DB6F09" w:rsidRDefault="00635988" w:rsidP="00635988">
            <w:pPr>
              <w:pStyle w:val="Tablebodytext"/>
            </w:pPr>
            <w:r>
              <w:t>Clarity needed</w:t>
            </w:r>
          </w:p>
        </w:tc>
        <w:tc>
          <w:tcPr>
            <w:tcW w:w="1134" w:type="dxa"/>
          </w:tcPr>
          <w:p w14:paraId="01DBAE8A" w14:textId="77777777" w:rsidR="00635988" w:rsidRDefault="00635988" w:rsidP="00072CEF">
            <w:pPr>
              <w:pStyle w:val="Tablebodytext"/>
              <w:jc w:val="right"/>
            </w:pPr>
            <w:r>
              <w:t>20</w:t>
            </w:r>
          </w:p>
        </w:tc>
        <w:tc>
          <w:tcPr>
            <w:tcW w:w="1039" w:type="dxa"/>
          </w:tcPr>
          <w:p w14:paraId="01DBAE8B" w14:textId="77777777" w:rsidR="00635988" w:rsidRDefault="00635988" w:rsidP="00072CEF">
            <w:pPr>
              <w:pStyle w:val="Tablebodytext"/>
              <w:jc w:val="right"/>
            </w:pPr>
            <w:r>
              <w:t>23%</w:t>
            </w:r>
          </w:p>
        </w:tc>
      </w:tr>
      <w:tr w:rsidR="00635988" w14:paraId="01DBAE90" w14:textId="77777777" w:rsidTr="00CF6632">
        <w:tc>
          <w:tcPr>
            <w:tcW w:w="7088" w:type="dxa"/>
          </w:tcPr>
          <w:p w14:paraId="01DBAE8D" w14:textId="77777777" w:rsidR="00635988" w:rsidRPr="00DB6F09" w:rsidRDefault="001030FD" w:rsidP="00635988">
            <w:pPr>
              <w:pStyle w:val="Tablebodytext"/>
            </w:pPr>
            <w:r>
              <w:t>Consideration of p</w:t>
            </w:r>
            <w:r w:rsidR="00635988" w:rsidRPr="00DB6F09">
              <w:t xml:space="preserve">roven track record </w:t>
            </w:r>
          </w:p>
        </w:tc>
        <w:tc>
          <w:tcPr>
            <w:tcW w:w="1134" w:type="dxa"/>
          </w:tcPr>
          <w:p w14:paraId="01DBAE8E" w14:textId="77777777" w:rsidR="00635988" w:rsidRDefault="00635988" w:rsidP="00072CEF">
            <w:pPr>
              <w:pStyle w:val="Tablebodytext"/>
              <w:jc w:val="right"/>
            </w:pPr>
            <w:r>
              <w:t>18</w:t>
            </w:r>
          </w:p>
        </w:tc>
        <w:tc>
          <w:tcPr>
            <w:tcW w:w="1039" w:type="dxa"/>
          </w:tcPr>
          <w:p w14:paraId="01DBAE8F" w14:textId="77777777" w:rsidR="00635988" w:rsidRDefault="00635988" w:rsidP="00072CEF">
            <w:pPr>
              <w:pStyle w:val="Tablebodytext"/>
              <w:jc w:val="right"/>
            </w:pPr>
            <w:r>
              <w:t>21%</w:t>
            </w:r>
          </w:p>
        </w:tc>
      </w:tr>
      <w:tr w:rsidR="00635988" w14:paraId="01DBAE94" w14:textId="77777777" w:rsidTr="00CF6632">
        <w:tc>
          <w:tcPr>
            <w:tcW w:w="7088" w:type="dxa"/>
          </w:tcPr>
          <w:p w14:paraId="01DBAE91" w14:textId="77777777" w:rsidR="00635988" w:rsidRPr="00DB6F09" w:rsidRDefault="001030FD" w:rsidP="00635988">
            <w:pPr>
              <w:pStyle w:val="Tablebodytext"/>
            </w:pPr>
            <w:r>
              <w:t>Long term funding commitments</w:t>
            </w:r>
            <w:r w:rsidR="00635988">
              <w:t xml:space="preserve"> </w:t>
            </w:r>
          </w:p>
        </w:tc>
        <w:tc>
          <w:tcPr>
            <w:tcW w:w="1134" w:type="dxa"/>
          </w:tcPr>
          <w:p w14:paraId="01DBAE92" w14:textId="77777777" w:rsidR="00635988" w:rsidRDefault="00635988" w:rsidP="00072CEF">
            <w:pPr>
              <w:pStyle w:val="Tablebodytext"/>
              <w:jc w:val="right"/>
            </w:pPr>
            <w:r>
              <w:t>16</w:t>
            </w:r>
          </w:p>
        </w:tc>
        <w:tc>
          <w:tcPr>
            <w:tcW w:w="1039" w:type="dxa"/>
          </w:tcPr>
          <w:p w14:paraId="01DBAE93" w14:textId="77777777" w:rsidR="00635988" w:rsidRDefault="00635988" w:rsidP="00072CEF">
            <w:pPr>
              <w:pStyle w:val="Tablebodytext"/>
              <w:jc w:val="right"/>
            </w:pPr>
            <w:r>
              <w:t>18%</w:t>
            </w:r>
          </w:p>
        </w:tc>
      </w:tr>
      <w:tr w:rsidR="00635988" w14:paraId="01DBAE98" w14:textId="77777777" w:rsidTr="00CF6632">
        <w:tc>
          <w:tcPr>
            <w:tcW w:w="7088" w:type="dxa"/>
          </w:tcPr>
          <w:p w14:paraId="01DBAE95" w14:textId="77777777" w:rsidR="00635988" w:rsidRPr="00DB6F09" w:rsidRDefault="001030FD" w:rsidP="00635988">
            <w:pPr>
              <w:pStyle w:val="Tablebodytext"/>
            </w:pPr>
            <w:r>
              <w:t>Greater f</w:t>
            </w:r>
            <w:r w:rsidR="00635988">
              <w:t xml:space="preserve">lexibility needed </w:t>
            </w:r>
          </w:p>
        </w:tc>
        <w:tc>
          <w:tcPr>
            <w:tcW w:w="1134" w:type="dxa"/>
          </w:tcPr>
          <w:p w14:paraId="01DBAE96" w14:textId="77777777" w:rsidR="00635988" w:rsidRDefault="00635988" w:rsidP="00072CEF">
            <w:pPr>
              <w:pStyle w:val="Tablebodytext"/>
              <w:jc w:val="right"/>
            </w:pPr>
            <w:r>
              <w:t>13</w:t>
            </w:r>
          </w:p>
        </w:tc>
        <w:tc>
          <w:tcPr>
            <w:tcW w:w="1039" w:type="dxa"/>
          </w:tcPr>
          <w:p w14:paraId="01DBAE97" w14:textId="77777777" w:rsidR="00635988" w:rsidRDefault="00635988" w:rsidP="00072CEF">
            <w:pPr>
              <w:pStyle w:val="Tablebodytext"/>
              <w:jc w:val="right"/>
            </w:pPr>
            <w:r>
              <w:t>15%</w:t>
            </w:r>
          </w:p>
        </w:tc>
      </w:tr>
      <w:tr w:rsidR="00635988" w14:paraId="01DBAE9C" w14:textId="77777777" w:rsidTr="00CF6632">
        <w:tc>
          <w:tcPr>
            <w:tcW w:w="7088" w:type="dxa"/>
          </w:tcPr>
          <w:p w14:paraId="01DBAE99" w14:textId="77777777" w:rsidR="00635988" w:rsidRPr="00DB6F09" w:rsidRDefault="001030FD" w:rsidP="00635988">
            <w:pPr>
              <w:pStyle w:val="Tablebodytext"/>
            </w:pPr>
            <w:r>
              <w:t>Absence of upfront payments</w:t>
            </w:r>
            <w:r w:rsidR="00635988">
              <w:t xml:space="preserve"> </w:t>
            </w:r>
          </w:p>
        </w:tc>
        <w:tc>
          <w:tcPr>
            <w:tcW w:w="1134" w:type="dxa"/>
          </w:tcPr>
          <w:p w14:paraId="01DBAE9A" w14:textId="77777777" w:rsidR="00635988" w:rsidRDefault="00635988" w:rsidP="00072CEF">
            <w:pPr>
              <w:pStyle w:val="Tablebodytext"/>
              <w:jc w:val="right"/>
            </w:pPr>
            <w:r>
              <w:t>11</w:t>
            </w:r>
          </w:p>
        </w:tc>
        <w:tc>
          <w:tcPr>
            <w:tcW w:w="1039" w:type="dxa"/>
          </w:tcPr>
          <w:p w14:paraId="01DBAE9B" w14:textId="77777777" w:rsidR="00635988" w:rsidRDefault="00635988" w:rsidP="00072CEF">
            <w:pPr>
              <w:pStyle w:val="Tablebodytext"/>
              <w:jc w:val="right"/>
            </w:pPr>
            <w:r>
              <w:t>12%</w:t>
            </w:r>
          </w:p>
        </w:tc>
      </w:tr>
    </w:tbl>
    <w:p w14:paraId="01DBAE9D" w14:textId="77777777" w:rsidR="00635988" w:rsidRPr="00635988" w:rsidRDefault="00635988" w:rsidP="00635988">
      <w:pPr>
        <w:rPr>
          <w:sz w:val="18"/>
          <w:szCs w:val="18"/>
        </w:rPr>
      </w:pPr>
      <w:r>
        <w:rPr>
          <w:sz w:val="18"/>
          <w:szCs w:val="18"/>
        </w:rPr>
        <w:t>Total respondents = 88</w:t>
      </w:r>
    </w:p>
    <w:p w14:paraId="01DBAE9E" w14:textId="77777777" w:rsidR="00AD0FD0" w:rsidRDefault="001D6D66" w:rsidP="006D00EA">
      <w:pPr>
        <w:pStyle w:val="Heading3"/>
      </w:pPr>
      <w:r>
        <w:t>Clarity needed</w:t>
      </w:r>
      <w:r w:rsidR="00A93099">
        <w:t xml:space="preserve"> </w:t>
      </w:r>
    </w:p>
    <w:p w14:paraId="01DBAE9F" w14:textId="77777777" w:rsidR="00A93099" w:rsidRPr="00A93099" w:rsidRDefault="00A93099" w:rsidP="00A93099">
      <w:r>
        <w:t>These responses requested greater clarity on the information tenderers have to provide</w:t>
      </w:r>
      <w:r w:rsidR="008A74C7">
        <w:t xml:space="preserve"> and the delivery requirements</w:t>
      </w:r>
      <w:r>
        <w:t xml:space="preserve">, </w:t>
      </w:r>
      <w:r w:rsidR="008A74C7">
        <w:t>on how the binding outputs of projects will be identified, on whether targets can be amended, on how to measure the value of relationships with landholde</w:t>
      </w:r>
      <w:r w:rsidR="0018339B">
        <w:t>rs as part of the tender application</w:t>
      </w:r>
      <w:r w:rsidR="008A74C7">
        <w:t xml:space="preserve"> and on the possibility of work orders being agreed from July 2018.  </w:t>
      </w:r>
    </w:p>
    <w:p w14:paraId="01DBAEA0" w14:textId="77777777" w:rsidR="00AD0FD0" w:rsidRDefault="001030FD" w:rsidP="006D00EA">
      <w:pPr>
        <w:pStyle w:val="Heading3"/>
      </w:pPr>
      <w:r>
        <w:t>Consideration of p</w:t>
      </w:r>
      <w:r w:rsidR="001D6D66">
        <w:t xml:space="preserve">roven track record </w:t>
      </w:r>
    </w:p>
    <w:p w14:paraId="01DBAEA1" w14:textId="77777777" w:rsidR="00FF0B9C" w:rsidRPr="00FF0B9C" w:rsidRDefault="00FF0B9C" w:rsidP="00FF0B9C">
      <w:r>
        <w:t>The majority of responses on this theme</w:t>
      </w:r>
      <w:r w:rsidR="00744F3A">
        <w:t xml:space="preserve"> were in favour of</w:t>
      </w:r>
      <w:r>
        <w:t xml:space="preserve"> ensuring that tenderers have</w:t>
      </w:r>
      <w:r w:rsidR="005A4B01">
        <w:t xml:space="preserve"> the</w:t>
      </w:r>
      <w:r>
        <w:t xml:space="preserve"> capacity and a track record to deliver</w:t>
      </w:r>
      <w:r w:rsidR="005A4B01">
        <w:t xml:space="preserve"> projects. Many responses also emphasised the importance of giving consideration to tenderers that have already demonstrated their capacity through NLP 1</w:t>
      </w:r>
      <w:r w:rsidR="00C25CD7">
        <w:t xml:space="preserve"> and not asking them to </w:t>
      </w:r>
      <w:r w:rsidR="005A4B01">
        <w:t xml:space="preserve">compete or submit documents on their capacity for this second round of funding. </w:t>
      </w:r>
    </w:p>
    <w:p w14:paraId="01DBAEA2" w14:textId="77777777" w:rsidR="00AD0FD0" w:rsidRDefault="001030FD" w:rsidP="006D00EA">
      <w:pPr>
        <w:pStyle w:val="Heading3"/>
      </w:pPr>
      <w:r>
        <w:t>Long term funding commitments</w:t>
      </w:r>
    </w:p>
    <w:p w14:paraId="01DBAEA3" w14:textId="77777777" w:rsidR="00C25CD7" w:rsidRPr="00C25CD7" w:rsidRDefault="00C25CD7" w:rsidP="00C25CD7">
      <w:r>
        <w:t xml:space="preserve">Many responses on this theme supported the 5 year funding model because it provides certainty and maintains capacity, but </w:t>
      </w:r>
      <w:r w:rsidR="00606580">
        <w:t>they suggested</w:t>
      </w:r>
      <w:r w:rsidR="006842EC">
        <w:t xml:space="preserve"> that it would be helpful if these </w:t>
      </w:r>
      <w:r w:rsidR="00782AB6">
        <w:t>5 year contracts</w:t>
      </w:r>
      <w:r w:rsidR="006842EC">
        <w:t xml:space="preserve"> could be confirmed</w:t>
      </w:r>
      <w:r w:rsidR="00782AB6">
        <w:t xml:space="preserve"> as early </w:t>
      </w:r>
      <w:r w:rsidR="0018339B">
        <w:t>in the process as possible. Other</w:t>
      </w:r>
      <w:r w:rsidR="00782AB6">
        <w:t xml:space="preserve"> responses criticised the single year of initial funding</w:t>
      </w:r>
      <w:r w:rsidR="008E4B6D">
        <w:t>, emphasised</w:t>
      </w:r>
      <w:r w:rsidR="008A2E36">
        <w:t xml:space="preserve"> the</w:t>
      </w:r>
      <w:r w:rsidR="008E4B6D">
        <w:t xml:space="preserve"> potential</w:t>
      </w:r>
      <w:r w:rsidR="008A2E36">
        <w:t xml:space="preserve"> impact</w:t>
      </w:r>
      <w:r w:rsidR="008E4B6D">
        <w:t xml:space="preserve"> of the model</w:t>
      </w:r>
      <w:r w:rsidR="008A2E36">
        <w:t xml:space="preserve"> on the continuity of staff from N</w:t>
      </w:r>
      <w:r w:rsidR="009349D9">
        <w:t xml:space="preserve">ational </w:t>
      </w:r>
      <w:r w:rsidR="008A2E36">
        <w:t>L</w:t>
      </w:r>
      <w:r w:rsidR="009349D9">
        <w:t xml:space="preserve">andcare Program </w:t>
      </w:r>
      <w:r w:rsidR="008A2E36">
        <w:t>P</w:t>
      </w:r>
      <w:r w:rsidR="009349D9">
        <w:t xml:space="preserve">hase </w:t>
      </w:r>
      <w:r w:rsidR="008A2E36">
        <w:t>1 to 2</w:t>
      </w:r>
      <w:r w:rsidR="00782AB6">
        <w:t xml:space="preserve"> and drew attention to the need to have annual funding rounds to incorporate new priorities. </w:t>
      </w:r>
    </w:p>
    <w:p w14:paraId="01DBAEA4" w14:textId="77777777" w:rsidR="00AD0FD0" w:rsidRDefault="001030FD" w:rsidP="006D00EA">
      <w:pPr>
        <w:pStyle w:val="Heading3"/>
      </w:pPr>
      <w:r>
        <w:t>Greater f</w:t>
      </w:r>
      <w:r w:rsidR="001D6D66">
        <w:t xml:space="preserve">lexibility needed </w:t>
      </w:r>
    </w:p>
    <w:p w14:paraId="01DBAEA5" w14:textId="77777777" w:rsidR="006A793A" w:rsidRPr="006A793A" w:rsidRDefault="003C57CD" w:rsidP="006A793A">
      <w:r>
        <w:t>These responses identified a</w:t>
      </w:r>
      <w:r w:rsidR="006A793A">
        <w:t xml:space="preserve"> need for</w:t>
      </w:r>
      <w:r w:rsidR="00DD689E">
        <w:t xml:space="preserve"> greater flexibility</w:t>
      </w:r>
      <w:r w:rsidR="006A793A">
        <w:t xml:space="preserve"> to</w:t>
      </w:r>
      <w:r w:rsidR="00DD689E">
        <w:t xml:space="preserve"> address local conditions, to</w:t>
      </w:r>
      <w:r w:rsidR="006A793A">
        <w:t xml:space="preserve"> allow projects to adapt and</w:t>
      </w:r>
      <w:r w:rsidR="007702EB">
        <w:t xml:space="preserve"> to</w:t>
      </w:r>
      <w:r w:rsidR="006A793A">
        <w:t xml:space="preserve"> incorporate more innovative approac</w:t>
      </w:r>
      <w:r>
        <w:t>hes. Some responses stated that it was important to ensure</w:t>
      </w:r>
      <w:r w:rsidR="006A793A">
        <w:t xml:space="preserve"> a balance between flexibility and accountability. </w:t>
      </w:r>
    </w:p>
    <w:p w14:paraId="01DBAEA6" w14:textId="77777777" w:rsidR="00AD0FD0" w:rsidRDefault="001030FD" w:rsidP="006D00EA">
      <w:pPr>
        <w:pStyle w:val="Heading3"/>
      </w:pPr>
      <w:r>
        <w:lastRenderedPageBreak/>
        <w:t>Absence of upfront payments</w:t>
      </w:r>
    </w:p>
    <w:p w14:paraId="01DBAEA7" w14:textId="77777777" w:rsidR="007702EB" w:rsidRDefault="007702EB" w:rsidP="007702EB">
      <w:r>
        <w:t>These responses raised strong concerns over the specification that service providers would be paid on the completion of ser</w:t>
      </w:r>
      <w:r w:rsidR="003C57CD">
        <w:t>vices. The responses expressed the view</w:t>
      </w:r>
      <w:r>
        <w:t xml:space="preserve"> that this will be difficult for non-governmental organisations that might find it difficult to sustain staff and capacity without an upfront payment.  </w:t>
      </w:r>
    </w:p>
    <w:p w14:paraId="01DBAEA8" w14:textId="77777777" w:rsidR="00E13FB8" w:rsidRPr="00857B18" w:rsidRDefault="00E13FB8" w:rsidP="004B726E">
      <w:pPr>
        <w:spacing w:after="0"/>
        <w:rPr>
          <w:rFonts w:cs="Segoe UI"/>
          <w:b/>
          <w:sz w:val="2"/>
          <w:szCs w:val="2"/>
        </w:rPr>
      </w:pPr>
    </w:p>
    <w:p w14:paraId="01DBAEA9" w14:textId="77777777" w:rsidR="00E13FB8" w:rsidRDefault="00E13FB8" w:rsidP="004B726E">
      <w:pPr>
        <w:pStyle w:val="Boxheading"/>
      </w:pPr>
    </w:p>
    <w:p w14:paraId="01DBAEAA" w14:textId="77777777" w:rsidR="00E13FB8" w:rsidRPr="00266C8A" w:rsidRDefault="00E13FB8" w:rsidP="00266C8A">
      <w:pPr>
        <w:pStyle w:val="Boxtext0"/>
        <w:rPr>
          <w:b/>
          <w:sz w:val="22"/>
        </w:rPr>
      </w:pPr>
      <w:r w:rsidRPr="00E13FB8">
        <w:rPr>
          <w:b/>
          <w:sz w:val="22"/>
        </w:rPr>
        <w:t>Question 6c: In relation to ‘Demonstrated expertise’ in Item 2 of the Overview of Proposed Tender Requirements: Are these areas of expertise sufficient and appropriate? If not, please outline any recommended changes.</w:t>
      </w:r>
    </w:p>
    <w:p w14:paraId="01DBAEAB" w14:textId="77777777" w:rsidR="00E13FB8" w:rsidRPr="00857B18" w:rsidRDefault="00E13FB8" w:rsidP="004B726E">
      <w:pPr>
        <w:pStyle w:val="ListBullet"/>
        <w:numPr>
          <w:ilvl w:val="0"/>
          <w:numId w:val="0"/>
        </w:numPr>
        <w:ind w:left="454" w:hanging="454"/>
        <w:rPr>
          <w:rFonts w:cs="Segoe UI"/>
          <w:sz w:val="2"/>
          <w:szCs w:val="2"/>
        </w:rPr>
      </w:pPr>
    </w:p>
    <w:p w14:paraId="01DBAEAC" w14:textId="77777777" w:rsidR="00635988" w:rsidRDefault="00635988" w:rsidP="00635988">
      <w:pPr>
        <w:pStyle w:val="TableHeading"/>
      </w:pPr>
      <w:bookmarkStart w:id="22" w:name="_Toc500248434"/>
      <w:r>
        <w:t>Main themes for Issue 6, Question 6c</w:t>
      </w:r>
      <w:bookmarkEnd w:id="22"/>
    </w:p>
    <w:tbl>
      <w:tblPr>
        <w:tblStyle w:val="ARTDTable"/>
        <w:tblW w:w="9261" w:type="dxa"/>
        <w:tblLook w:val="04A0" w:firstRow="1" w:lastRow="0" w:firstColumn="1" w:lastColumn="0" w:noHBand="0" w:noVBand="1"/>
      </w:tblPr>
      <w:tblGrid>
        <w:gridCol w:w="7088"/>
        <w:gridCol w:w="1134"/>
        <w:gridCol w:w="1039"/>
      </w:tblGrid>
      <w:tr w:rsidR="00635988" w14:paraId="01DBAEB0" w14:textId="77777777" w:rsidTr="00CF6632">
        <w:trPr>
          <w:cnfStyle w:val="100000000000" w:firstRow="1" w:lastRow="0" w:firstColumn="0" w:lastColumn="0" w:oddVBand="0" w:evenVBand="0" w:oddHBand="0" w:evenHBand="0" w:firstRowFirstColumn="0" w:firstRowLastColumn="0" w:lastRowFirstColumn="0" w:lastRowLastColumn="0"/>
        </w:trPr>
        <w:tc>
          <w:tcPr>
            <w:tcW w:w="7088" w:type="dxa"/>
          </w:tcPr>
          <w:p w14:paraId="01DBAEAD" w14:textId="77777777" w:rsidR="00635988" w:rsidRDefault="00635988" w:rsidP="00B3134C">
            <w:pPr>
              <w:pStyle w:val="Tablebodytext"/>
            </w:pPr>
            <w:r>
              <w:t>Theme</w:t>
            </w:r>
          </w:p>
        </w:tc>
        <w:tc>
          <w:tcPr>
            <w:tcW w:w="1134" w:type="dxa"/>
          </w:tcPr>
          <w:p w14:paraId="01DBAEAE" w14:textId="77777777" w:rsidR="00635988" w:rsidRDefault="00635988" w:rsidP="00072CEF">
            <w:pPr>
              <w:pStyle w:val="Tablebodytext"/>
              <w:jc w:val="right"/>
            </w:pPr>
            <w:r>
              <w:t>Number</w:t>
            </w:r>
          </w:p>
        </w:tc>
        <w:tc>
          <w:tcPr>
            <w:tcW w:w="1039" w:type="dxa"/>
          </w:tcPr>
          <w:p w14:paraId="01DBAEAF" w14:textId="77777777" w:rsidR="00635988" w:rsidRDefault="00635988" w:rsidP="00072CEF">
            <w:pPr>
              <w:pStyle w:val="Tablebodytext"/>
              <w:jc w:val="right"/>
            </w:pPr>
            <w:r>
              <w:t>Percent</w:t>
            </w:r>
          </w:p>
        </w:tc>
      </w:tr>
      <w:tr w:rsidR="00635988" w14:paraId="01DBAEB4" w14:textId="77777777" w:rsidTr="00CF6632">
        <w:tc>
          <w:tcPr>
            <w:tcW w:w="7088" w:type="dxa"/>
          </w:tcPr>
          <w:p w14:paraId="01DBAEB1" w14:textId="77777777" w:rsidR="00635988" w:rsidRPr="00651BAA" w:rsidRDefault="00635988" w:rsidP="00B3134C">
            <w:pPr>
              <w:pStyle w:val="Tablebodytext"/>
            </w:pPr>
            <w:r w:rsidRPr="00651BAA">
              <w:t xml:space="preserve">The areas of expertise </w:t>
            </w:r>
            <w:r w:rsidR="00B3134C">
              <w:t xml:space="preserve">are sufficient and appropriate </w:t>
            </w:r>
          </w:p>
        </w:tc>
        <w:tc>
          <w:tcPr>
            <w:tcW w:w="1134" w:type="dxa"/>
          </w:tcPr>
          <w:p w14:paraId="01DBAEB2" w14:textId="77777777" w:rsidR="00635988" w:rsidRDefault="00B3134C" w:rsidP="00072CEF">
            <w:pPr>
              <w:pStyle w:val="Tablebodytext"/>
              <w:jc w:val="right"/>
            </w:pPr>
            <w:r>
              <w:t>42</w:t>
            </w:r>
          </w:p>
        </w:tc>
        <w:tc>
          <w:tcPr>
            <w:tcW w:w="1039" w:type="dxa"/>
          </w:tcPr>
          <w:p w14:paraId="01DBAEB3" w14:textId="77777777" w:rsidR="00635988" w:rsidRDefault="00B3134C" w:rsidP="00072CEF">
            <w:pPr>
              <w:pStyle w:val="Tablebodytext"/>
              <w:jc w:val="right"/>
            </w:pPr>
            <w:r>
              <w:t>47</w:t>
            </w:r>
            <w:r w:rsidR="00635988">
              <w:t>%</w:t>
            </w:r>
          </w:p>
        </w:tc>
      </w:tr>
      <w:tr w:rsidR="00635988" w14:paraId="01DBAEB8" w14:textId="77777777" w:rsidTr="00CF6632">
        <w:tc>
          <w:tcPr>
            <w:tcW w:w="7088" w:type="dxa"/>
          </w:tcPr>
          <w:p w14:paraId="01DBAEB5" w14:textId="77777777" w:rsidR="00635988" w:rsidRPr="00651BAA" w:rsidRDefault="00B3134C" w:rsidP="00B3134C">
            <w:pPr>
              <w:pStyle w:val="Tablebodytext"/>
            </w:pPr>
            <w:r>
              <w:t xml:space="preserve">Suggested changes </w:t>
            </w:r>
          </w:p>
        </w:tc>
        <w:tc>
          <w:tcPr>
            <w:tcW w:w="1134" w:type="dxa"/>
          </w:tcPr>
          <w:p w14:paraId="01DBAEB6" w14:textId="77777777" w:rsidR="00635988" w:rsidRDefault="00B3134C" w:rsidP="00072CEF">
            <w:pPr>
              <w:pStyle w:val="Tablebodytext"/>
              <w:jc w:val="right"/>
            </w:pPr>
            <w:r>
              <w:t>25</w:t>
            </w:r>
          </w:p>
        </w:tc>
        <w:tc>
          <w:tcPr>
            <w:tcW w:w="1039" w:type="dxa"/>
          </w:tcPr>
          <w:p w14:paraId="01DBAEB7" w14:textId="77777777" w:rsidR="00635988" w:rsidRDefault="00B3134C" w:rsidP="00072CEF">
            <w:pPr>
              <w:pStyle w:val="Tablebodytext"/>
              <w:jc w:val="right"/>
            </w:pPr>
            <w:r>
              <w:t>28</w:t>
            </w:r>
            <w:r w:rsidR="00635988">
              <w:t>%</w:t>
            </w:r>
          </w:p>
        </w:tc>
      </w:tr>
    </w:tbl>
    <w:p w14:paraId="01DBAEB9" w14:textId="77777777" w:rsidR="00635988" w:rsidRPr="00635988" w:rsidRDefault="00635988" w:rsidP="00635988">
      <w:pPr>
        <w:rPr>
          <w:sz w:val="18"/>
          <w:szCs w:val="18"/>
        </w:rPr>
      </w:pPr>
      <w:r>
        <w:rPr>
          <w:sz w:val="18"/>
          <w:szCs w:val="18"/>
        </w:rPr>
        <w:t>Total respondents = 90</w:t>
      </w:r>
    </w:p>
    <w:p w14:paraId="01DBAEBA" w14:textId="77777777" w:rsidR="006B0F42" w:rsidRDefault="006B0F42" w:rsidP="006B0F42">
      <w:pPr>
        <w:pStyle w:val="Heading3"/>
      </w:pPr>
      <w:r>
        <w:t xml:space="preserve">The areas of expertise are sufficient and appropriate </w:t>
      </w:r>
    </w:p>
    <w:p w14:paraId="01DBAEBB" w14:textId="77777777" w:rsidR="000E402D" w:rsidRPr="000E402D" w:rsidRDefault="000E402D" w:rsidP="000E402D">
      <w:r>
        <w:t>The majority of responses supported the area</w:t>
      </w:r>
      <w:r w:rsidR="00DD689E">
        <w:t>s of expertise outlined in the O</w:t>
      </w:r>
      <w:r>
        <w:t>verview and emphasised the importance of adequately assessing this expertise with checks on referees and</w:t>
      </w:r>
      <w:r w:rsidR="00DD689E">
        <w:t xml:space="preserve"> checks with</w:t>
      </w:r>
      <w:r>
        <w:t xml:space="preserve"> other groups in the region.  </w:t>
      </w:r>
    </w:p>
    <w:p w14:paraId="01DBAEBC" w14:textId="77777777" w:rsidR="006B0F42" w:rsidRDefault="006B0F42" w:rsidP="00F43D06">
      <w:pPr>
        <w:pStyle w:val="Heading3"/>
      </w:pPr>
      <w:r>
        <w:t>Suggested changes</w:t>
      </w:r>
      <w:r w:rsidR="00F43D06">
        <w:t xml:space="preserve"> </w:t>
      </w:r>
    </w:p>
    <w:p w14:paraId="01DBAEBD" w14:textId="77777777" w:rsidR="00433534" w:rsidRDefault="000E402D" w:rsidP="000E402D">
      <w:r>
        <w:t>The recommended chang</w:t>
      </w:r>
      <w:r w:rsidR="008A0A5D">
        <w:t>es to Item 2 included</w:t>
      </w:r>
      <w:r w:rsidR="00433534">
        <w:t>:</w:t>
      </w:r>
    </w:p>
    <w:p w14:paraId="01DBAEBE" w14:textId="77777777" w:rsidR="00433534" w:rsidRDefault="00433534" w:rsidP="00433534">
      <w:pPr>
        <w:pStyle w:val="ListBullet"/>
      </w:pPr>
      <w:r>
        <w:t>A</w:t>
      </w:r>
      <w:r w:rsidR="008A0A5D">
        <w:t>dding requirements for tenderers to</w:t>
      </w:r>
      <w:r w:rsidR="000E402D">
        <w:t xml:space="preserve"> demonstrate expertise in attracting larger-scale co-investment and funding opportunities outside federal government </w:t>
      </w:r>
      <w:r w:rsidR="008A0A5D">
        <w:t>fundin</w:t>
      </w:r>
      <w:r>
        <w:t>g</w:t>
      </w:r>
      <w:r w:rsidR="008A0A5D">
        <w:t xml:space="preserve"> </w:t>
      </w:r>
    </w:p>
    <w:p w14:paraId="01DBAEBF" w14:textId="77777777" w:rsidR="00433534" w:rsidRDefault="00433534" w:rsidP="00433534">
      <w:pPr>
        <w:pStyle w:val="ListBullet"/>
      </w:pPr>
      <w:r>
        <w:t>G</w:t>
      </w:r>
      <w:r w:rsidR="008A0A5D">
        <w:t>iving consideration</w:t>
      </w:r>
      <w:r w:rsidR="002D42B4">
        <w:t xml:space="preserve"> to tenderers who cannot demonstrate experience in </w:t>
      </w:r>
      <w:r w:rsidR="008A0A5D">
        <w:t>all the</w:t>
      </w:r>
      <w:r w:rsidR="00F20E45">
        <w:t xml:space="preserve"> listed areas</w:t>
      </w:r>
    </w:p>
    <w:p w14:paraId="01DBAEC0" w14:textId="77777777" w:rsidR="00433534" w:rsidRDefault="00433534" w:rsidP="00433534">
      <w:pPr>
        <w:pStyle w:val="ListBullet"/>
      </w:pPr>
      <w:r>
        <w:t>R</w:t>
      </w:r>
      <w:r w:rsidR="008A0A5D">
        <w:t>ecognising</w:t>
      </w:r>
      <w:r w:rsidR="002D42B4">
        <w:t xml:space="preserve"> technical a</w:t>
      </w:r>
      <w:r>
        <w:t>nd scientific expertise</w:t>
      </w:r>
    </w:p>
    <w:p w14:paraId="01DBAEC1" w14:textId="77777777" w:rsidR="00433534" w:rsidRDefault="00433534" w:rsidP="00433534">
      <w:pPr>
        <w:pStyle w:val="ListBullet"/>
      </w:pPr>
      <w:r>
        <w:t>G</w:t>
      </w:r>
      <w:r w:rsidR="00F06807">
        <w:t>iving more importance to</w:t>
      </w:r>
      <w:r w:rsidR="002D42B4">
        <w:t xml:space="preserve"> tenderers’ experience and knowle</w:t>
      </w:r>
      <w:r>
        <w:t xml:space="preserve">dge of their Management Unit </w:t>
      </w:r>
    </w:p>
    <w:p w14:paraId="01DBAEC2" w14:textId="77777777" w:rsidR="00433534" w:rsidRDefault="00433534" w:rsidP="00433534">
      <w:pPr>
        <w:pStyle w:val="ListBullet"/>
      </w:pPr>
      <w:r>
        <w:t>F</w:t>
      </w:r>
      <w:r w:rsidR="00870602">
        <w:t>ocusing</w:t>
      </w:r>
      <w:r w:rsidR="00F06807">
        <w:t xml:space="preserve"> </w:t>
      </w:r>
      <w:r>
        <w:t>on community development</w:t>
      </w:r>
    </w:p>
    <w:p w14:paraId="01DBAEC3" w14:textId="77777777" w:rsidR="000E402D" w:rsidRDefault="002D42B4" w:rsidP="00433534">
      <w:pPr>
        <w:pStyle w:val="ListBullet"/>
        <w:numPr>
          <w:ilvl w:val="0"/>
          <w:numId w:val="0"/>
        </w:numPr>
      </w:pPr>
      <w:r>
        <w:t xml:space="preserve">The responses also raised </w:t>
      </w:r>
      <w:r w:rsidRPr="002D42B4">
        <w:t xml:space="preserve">concerns over the inability of any groups other than the regional NRMs to demonstrate </w:t>
      </w:r>
      <w:r>
        <w:t>this level of expe</w:t>
      </w:r>
      <w:r w:rsidR="00A60048">
        <w:t>rtise and the time it takes</w:t>
      </w:r>
      <w:r>
        <w:t xml:space="preserve"> to fill in forms.  </w:t>
      </w:r>
    </w:p>
    <w:p w14:paraId="01DBAEC4" w14:textId="77777777" w:rsidR="00433534" w:rsidRDefault="00433534" w:rsidP="00433534">
      <w:pPr>
        <w:pStyle w:val="ListBullet"/>
        <w:numPr>
          <w:ilvl w:val="0"/>
          <w:numId w:val="0"/>
        </w:numPr>
      </w:pPr>
    </w:p>
    <w:p w14:paraId="01DBAEC5" w14:textId="77777777" w:rsidR="00E13FB8" w:rsidRPr="00857B18" w:rsidRDefault="00E13FB8" w:rsidP="004B726E">
      <w:pPr>
        <w:spacing w:after="0"/>
        <w:rPr>
          <w:rFonts w:cs="Segoe UI"/>
          <w:b/>
          <w:sz w:val="2"/>
          <w:szCs w:val="2"/>
        </w:rPr>
      </w:pPr>
    </w:p>
    <w:p w14:paraId="01DBAEC6" w14:textId="77777777" w:rsidR="00E13FB8" w:rsidRPr="00E13FB8" w:rsidRDefault="00E13FB8" w:rsidP="00E13FB8">
      <w:pPr>
        <w:pStyle w:val="Boxtext0"/>
        <w:rPr>
          <w:b/>
          <w:sz w:val="22"/>
        </w:rPr>
      </w:pPr>
      <w:r w:rsidRPr="00E13FB8">
        <w:rPr>
          <w:b/>
          <w:sz w:val="22"/>
        </w:rPr>
        <w:t>Question 6d: In relation to ‘Management Units’ in Item 3 of the Overview of Proposed Tender Requirements is there a better way of facilitating improved efficiencies—</w:t>
      </w:r>
      <w:r w:rsidRPr="00E13FB8">
        <w:rPr>
          <w:b/>
          <w:sz w:val="22"/>
        </w:rPr>
        <w:lastRenderedPageBreak/>
        <w:t>whereby providers may deliver services across two or more geographic regions (Management Units)—other than the process outlined? If so, please provide details.</w:t>
      </w:r>
    </w:p>
    <w:p w14:paraId="01DBAEC7" w14:textId="77777777" w:rsidR="00B3134C" w:rsidRDefault="00B3134C" w:rsidP="00B3134C">
      <w:pPr>
        <w:pStyle w:val="TableHeading"/>
      </w:pPr>
      <w:bookmarkStart w:id="23" w:name="_Toc500248435"/>
      <w:r>
        <w:t>Main themes for Issue 6, Question 6d</w:t>
      </w:r>
      <w:bookmarkEnd w:id="23"/>
    </w:p>
    <w:tbl>
      <w:tblPr>
        <w:tblStyle w:val="ARTDTable"/>
        <w:tblW w:w="9261" w:type="dxa"/>
        <w:tblLook w:val="04A0" w:firstRow="1" w:lastRow="0" w:firstColumn="1" w:lastColumn="0" w:noHBand="0" w:noVBand="1"/>
      </w:tblPr>
      <w:tblGrid>
        <w:gridCol w:w="7088"/>
        <w:gridCol w:w="1134"/>
        <w:gridCol w:w="1039"/>
      </w:tblGrid>
      <w:tr w:rsidR="00B3134C" w14:paraId="01DBAECB" w14:textId="77777777" w:rsidTr="00CF6632">
        <w:trPr>
          <w:cnfStyle w:val="100000000000" w:firstRow="1" w:lastRow="0" w:firstColumn="0" w:lastColumn="0" w:oddVBand="0" w:evenVBand="0" w:oddHBand="0" w:evenHBand="0" w:firstRowFirstColumn="0" w:firstRowLastColumn="0" w:lastRowFirstColumn="0" w:lastRowLastColumn="0"/>
        </w:trPr>
        <w:tc>
          <w:tcPr>
            <w:tcW w:w="7088" w:type="dxa"/>
          </w:tcPr>
          <w:p w14:paraId="01DBAEC8" w14:textId="77777777" w:rsidR="00B3134C" w:rsidRDefault="00B3134C" w:rsidP="00B3134C">
            <w:pPr>
              <w:pStyle w:val="Tablebodytext"/>
            </w:pPr>
            <w:r>
              <w:t>Theme</w:t>
            </w:r>
          </w:p>
        </w:tc>
        <w:tc>
          <w:tcPr>
            <w:tcW w:w="1134" w:type="dxa"/>
          </w:tcPr>
          <w:p w14:paraId="01DBAEC9" w14:textId="77777777" w:rsidR="00B3134C" w:rsidRDefault="00B3134C" w:rsidP="00072CEF">
            <w:pPr>
              <w:pStyle w:val="Tablebodytext"/>
              <w:jc w:val="right"/>
            </w:pPr>
            <w:r>
              <w:t>Number</w:t>
            </w:r>
          </w:p>
        </w:tc>
        <w:tc>
          <w:tcPr>
            <w:tcW w:w="1039" w:type="dxa"/>
          </w:tcPr>
          <w:p w14:paraId="01DBAECA" w14:textId="77777777" w:rsidR="00B3134C" w:rsidRDefault="00B3134C" w:rsidP="00072CEF">
            <w:pPr>
              <w:pStyle w:val="Tablebodytext"/>
              <w:jc w:val="right"/>
            </w:pPr>
            <w:r>
              <w:t>Percent</w:t>
            </w:r>
          </w:p>
        </w:tc>
      </w:tr>
      <w:tr w:rsidR="00B3134C" w14:paraId="01DBAECF" w14:textId="77777777" w:rsidTr="00CF6632">
        <w:tc>
          <w:tcPr>
            <w:tcW w:w="7088" w:type="dxa"/>
          </w:tcPr>
          <w:p w14:paraId="01DBAECC" w14:textId="77777777" w:rsidR="00B3134C" w:rsidRPr="005551A2" w:rsidRDefault="00B3134C" w:rsidP="00B3134C">
            <w:pPr>
              <w:pStyle w:val="Tablebodytext"/>
            </w:pPr>
            <w:r w:rsidRPr="005551A2">
              <w:t>The process should facilitate partnerships</w:t>
            </w:r>
            <w:r>
              <w:t xml:space="preserve"> </w:t>
            </w:r>
          </w:p>
        </w:tc>
        <w:tc>
          <w:tcPr>
            <w:tcW w:w="1134" w:type="dxa"/>
          </w:tcPr>
          <w:p w14:paraId="01DBAECD" w14:textId="77777777" w:rsidR="00B3134C" w:rsidRDefault="00B3134C" w:rsidP="00072CEF">
            <w:pPr>
              <w:pStyle w:val="Tablebodytext"/>
              <w:jc w:val="right"/>
            </w:pPr>
            <w:r>
              <w:t>16</w:t>
            </w:r>
          </w:p>
        </w:tc>
        <w:tc>
          <w:tcPr>
            <w:tcW w:w="1039" w:type="dxa"/>
          </w:tcPr>
          <w:p w14:paraId="01DBAECE" w14:textId="77777777" w:rsidR="00B3134C" w:rsidRDefault="00B3134C" w:rsidP="00072CEF">
            <w:pPr>
              <w:pStyle w:val="Tablebodytext"/>
              <w:jc w:val="right"/>
            </w:pPr>
            <w:r>
              <w:t>22%</w:t>
            </w:r>
          </w:p>
        </w:tc>
      </w:tr>
      <w:tr w:rsidR="00B3134C" w14:paraId="01DBAED3" w14:textId="77777777" w:rsidTr="00CF6632">
        <w:tc>
          <w:tcPr>
            <w:tcW w:w="7088" w:type="dxa"/>
          </w:tcPr>
          <w:p w14:paraId="01DBAED0" w14:textId="77777777" w:rsidR="00B3134C" w:rsidRPr="005551A2" w:rsidRDefault="00B3134C" w:rsidP="00B3134C">
            <w:pPr>
              <w:pStyle w:val="Tablebodytext"/>
            </w:pPr>
            <w:r w:rsidRPr="005551A2">
              <w:t>Combining Management Unit</w:t>
            </w:r>
            <w:r>
              <w:t xml:space="preserve">s provides multiple challenges </w:t>
            </w:r>
          </w:p>
        </w:tc>
        <w:tc>
          <w:tcPr>
            <w:tcW w:w="1134" w:type="dxa"/>
          </w:tcPr>
          <w:p w14:paraId="01DBAED1" w14:textId="77777777" w:rsidR="00B3134C" w:rsidRDefault="00B3134C" w:rsidP="00072CEF">
            <w:pPr>
              <w:pStyle w:val="Tablebodytext"/>
              <w:jc w:val="right"/>
            </w:pPr>
            <w:r>
              <w:t>12</w:t>
            </w:r>
          </w:p>
        </w:tc>
        <w:tc>
          <w:tcPr>
            <w:tcW w:w="1039" w:type="dxa"/>
          </w:tcPr>
          <w:p w14:paraId="01DBAED2" w14:textId="77777777" w:rsidR="00B3134C" w:rsidRDefault="00B3134C" w:rsidP="00072CEF">
            <w:pPr>
              <w:pStyle w:val="Tablebodytext"/>
              <w:jc w:val="right"/>
            </w:pPr>
            <w:r>
              <w:t>16%</w:t>
            </w:r>
          </w:p>
        </w:tc>
      </w:tr>
    </w:tbl>
    <w:p w14:paraId="01DBAED4" w14:textId="77777777" w:rsidR="00B3134C" w:rsidRPr="00635988" w:rsidRDefault="00B3134C" w:rsidP="00B3134C">
      <w:pPr>
        <w:rPr>
          <w:sz w:val="18"/>
          <w:szCs w:val="18"/>
        </w:rPr>
      </w:pPr>
      <w:r>
        <w:rPr>
          <w:sz w:val="18"/>
          <w:szCs w:val="18"/>
        </w:rPr>
        <w:t>Total respondents = 73</w:t>
      </w:r>
    </w:p>
    <w:p w14:paraId="01DBAED5" w14:textId="77777777" w:rsidR="00FA68AE" w:rsidRDefault="00F77812" w:rsidP="00BA2AE5">
      <w:pPr>
        <w:pStyle w:val="Heading3"/>
      </w:pPr>
      <w:r>
        <w:t>The process should facilitate</w:t>
      </w:r>
      <w:r w:rsidR="00BA2AE5">
        <w:t xml:space="preserve"> partnerships </w:t>
      </w:r>
    </w:p>
    <w:p w14:paraId="01DBAED6" w14:textId="77777777" w:rsidR="00BA2AE5" w:rsidRPr="00BA2AE5" w:rsidRDefault="00BA2AE5" w:rsidP="00BA2AE5">
      <w:r>
        <w:t>Some responses on this theme expressed the view that the proposed Requirements will enable regions to develop partnerships and service providers to put in complementar</w:t>
      </w:r>
      <w:r w:rsidR="00F77812">
        <w:t>y bids across regions. O</w:t>
      </w:r>
      <w:r w:rsidR="00CE7025">
        <w:t xml:space="preserve">ther responses </w:t>
      </w:r>
      <w:r w:rsidR="00CE6F58">
        <w:t>suggested</w:t>
      </w:r>
      <w:r>
        <w:t xml:space="preserve"> that</w:t>
      </w:r>
      <w:r w:rsidR="009A3E29">
        <w:t xml:space="preserve"> the National Landcare Program Phase 2</w:t>
      </w:r>
      <w:r w:rsidR="00FD43C4">
        <w:t xml:space="preserve"> needs to provide better resources for building capacity in Indigenous organisations and those in remote and regional areas and that there should be a requirement for</w:t>
      </w:r>
      <w:r w:rsidR="000E3B31">
        <w:t xml:space="preserve"> collaborative</w:t>
      </w:r>
      <w:r w:rsidR="00FD43C4">
        <w:t xml:space="preserve"> bids across Management Units where </w:t>
      </w:r>
      <w:r w:rsidR="00E1368B">
        <w:t>work can be done together</w:t>
      </w:r>
      <w:r w:rsidR="00FD43C4">
        <w:t>.</w:t>
      </w:r>
      <w:r w:rsidR="00E1368B">
        <w:t xml:space="preserve"> </w:t>
      </w:r>
      <w:r w:rsidR="00FD43C4">
        <w:t xml:space="preserve"> </w:t>
      </w:r>
    </w:p>
    <w:p w14:paraId="01DBAED7" w14:textId="77777777" w:rsidR="00FA68AE" w:rsidRDefault="00F77812" w:rsidP="00FD43C4">
      <w:pPr>
        <w:pStyle w:val="Heading3"/>
      </w:pPr>
      <w:r>
        <w:t>Combining Management U</w:t>
      </w:r>
      <w:r w:rsidR="00FA68AE">
        <w:t>nits</w:t>
      </w:r>
      <w:r w:rsidR="00FD43C4">
        <w:t xml:space="preserve"> provides multiple challenges</w:t>
      </w:r>
    </w:p>
    <w:p w14:paraId="01DBAED8" w14:textId="77777777" w:rsidR="004551B7" w:rsidRDefault="00C0435E" w:rsidP="004551B7">
      <w:r>
        <w:t>These responses highlighted</w:t>
      </w:r>
      <w:r w:rsidR="00447306">
        <w:t xml:space="preserve"> the potential</w:t>
      </w:r>
      <w:r>
        <w:t xml:space="preserve"> chall</w:t>
      </w:r>
      <w:r w:rsidR="00B17B3B">
        <w:t>enges of combining work across Management U</w:t>
      </w:r>
      <w:r>
        <w:t>nit</w:t>
      </w:r>
      <w:r w:rsidR="00447306">
        <w:t>, which</w:t>
      </w:r>
      <w:r w:rsidR="00362681">
        <w:t xml:space="preserve"> include a</w:t>
      </w:r>
      <w:r>
        <w:t xml:space="preserve"> lack of experience and local knowledge across regional boundaries, the existing alignment of costs to each Management Unit, the difficulties of working across large, heterogeneous geographic regions and Aboriginal nations and the need to inform groups about changes in boundaries.   </w:t>
      </w:r>
    </w:p>
    <w:p w14:paraId="01DBAED9" w14:textId="77777777" w:rsidR="00E13FB8" w:rsidRPr="00857B18" w:rsidRDefault="00E13FB8" w:rsidP="004B726E">
      <w:pPr>
        <w:spacing w:after="0"/>
        <w:rPr>
          <w:rFonts w:cs="Segoe UI"/>
          <w:b/>
          <w:sz w:val="2"/>
          <w:szCs w:val="2"/>
        </w:rPr>
      </w:pPr>
    </w:p>
    <w:p w14:paraId="01DBAEDA" w14:textId="77777777" w:rsidR="00E13FB8" w:rsidRPr="00266C8A" w:rsidRDefault="00E13FB8" w:rsidP="00266C8A">
      <w:pPr>
        <w:pStyle w:val="Boxtext0"/>
        <w:rPr>
          <w:b/>
          <w:sz w:val="22"/>
        </w:rPr>
      </w:pPr>
      <w:r w:rsidRPr="00E13FB8">
        <w:rPr>
          <w:b/>
          <w:sz w:val="22"/>
        </w:rPr>
        <w:t>Question 6e: Are the services and proposed requirements in the Overview of Proposed Tender Requirements clearly set out? If not, please outline suggested improvements.</w:t>
      </w:r>
    </w:p>
    <w:p w14:paraId="01DBAEDB" w14:textId="77777777" w:rsidR="00B3134C" w:rsidRDefault="00B3134C" w:rsidP="00B3134C">
      <w:pPr>
        <w:pStyle w:val="TableHeading"/>
      </w:pPr>
      <w:bookmarkStart w:id="24" w:name="_Toc500248436"/>
      <w:r>
        <w:t>Main themes for Issue 6, Question 6e</w:t>
      </w:r>
      <w:bookmarkEnd w:id="24"/>
    </w:p>
    <w:tbl>
      <w:tblPr>
        <w:tblStyle w:val="ARTDTable"/>
        <w:tblW w:w="9261" w:type="dxa"/>
        <w:tblLook w:val="04A0" w:firstRow="1" w:lastRow="0" w:firstColumn="1" w:lastColumn="0" w:noHBand="0" w:noVBand="1"/>
      </w:tblPr>
      <w:tblGrid>
        <w:gridCol w:w="7088"/>
        <w:gridCol w:w="1134"/>
        <w:gridCol w:w="1039"/>
      </w:tblGrid>
      <w:tr w:rsidR="00B3134C" w14:paraId="01DBAEDF" w14:textId="77777777" w:rsidTr="00CF6632">
        <w:trPr>
          <w:cnfStyle w:val="100000000000" w:firstRow="1" w:lastRow="0" w:firstColumn="0" w:lastColumn="0" w:oddVBand="0" w:evenVBand="0" w:oddHBand="0" w:evenHBand="0" w:firstRowFirstColumn="0" w:firstRowLastColumn="0" w:lastRowFirstColumn="0" w:lastRowLastColumn="0"/>
        </w:trPr>
        <w:tc>
          <w:tcPr>
            <w:tcW w:w="7088" w:type="dxa"/>
          </w:tcPr>
          <w:p w14:paraId="01DBAEDC" w14:textId="77777777" w:rsidR="00B3134C" w:rsidRDefault="00B3134C" w:rsidP="00B3134C">
            <w:pPr>
              <w:pStyle w:val="Tablebodytext"/>
            </w:pPr>
            <w:r>
              <w:t>Theme</w:t>
            </w:r>
          </w:p>
        </w:tc>
        <w:tc>
          <w:tcPr>
            <w:tcW w:w="1134" w:type="dxa"/>
          </w:tcPr>
          <w:p w14:paraId="01DBAEDD" w14:textId="77777777" w:rsidR="00B3134C" w:rsidRDefault="00B3134C" w:rsidP="00072CEF">
            <w:pPr>
              <w:pStyle w:val="Tablebodytext"/>
              <w:jc w:val="right"/>
            </w:pPr>
            <w:r>
              <w:t>Number</w:t>
            </w:r>
          </w:p>
        </w:tc>
        <w:tc>
          <w:tcPr>
            <w:tcW w:w="1039" w:type="dxa"/>
          </w:tcPr>
          <w:p w14:paraId="01DBAEDE" w14:textId="77777777" w:rsidR="00B3134C" w:rsidRDefault="00B3134C" w:rsidP="00072CEF">
            <w:pPr>
              <w:pStyle w:val="Tablebodytext"/>
              <w:jc w:val="right"/>
            </w:pPr>
            <w:r>
              <w:t>Percent</w:t>
            </w:r>
          </w:p>
        </w:tc>
      </w:tr>
      <w:tr w:rsidR="00B3134C" w14:paraId="01DBAEE3" w14:textId="77777777" w:rsidTr="00CF6632">
        <w:tc>
          <w:tcPr>
            <w:tcW w:w="7088" w:type="dxa"/>
          </w:tcPr>
          <w:p w14:paraId="01DBAEE0" w14:textId="77777777" w:rsidR="00B3134C" w:rsidRPr="00D6159C" w:rsidRDefault="00B3134C" w:rsidP="00B3134C">
            <w:pPr>
              <w:pStyle w:val="Tablebodytext"/>
            </w:pPr>
            <w:r w:rsidRPr="00D6159C">
              <w:t>Tende</w:t>
            </w:r>
            <w:r>
              <w:t xml:space="preserve">r requirements clearly set out </w:t>
            </w:r>
          </w:p>
        </w:tc>
        <w:tc>
          <w:tcPr>
            <w:tcW w:w="1134" w:type="dxa"/>
          </w:tcPr>
          <w:p w14:paraId="01DBAEE1" w14:textId="77777777" w:rsidR="00B3134C" w:rsidRDefault="00B3134C" w:rsidP="00072CEF">
            <w:pPr>
              <w:pStyle w:val="Tablebodytext"/>
              <w:jc w:val="right"/>
            </w:pPr>
            <w:r>
              <w:t>47</w:t>
            </w:r>
          </w:p>
        </w:tc>
        <w:tc>
          <w:tcPr>
            <w:tcW w:w="1039" w:type="dxa"/>
          </w:tcPr>
          <w:p w14:paraId="01DBAEE2" w14:textId="77777777" w:rsidR="00B3134C" w:rsidRDefault="00B3134C" w:rsidP="00072CEF">
            <w:pPr>
              <w:pStyle w:val="Tablebodytext"/>
              <w:jc w:val="right"/>
            </w:pPr>
            <w:r>
              <w:t>66%</w:t>
            </w:r>
          </w:p>
        </w:tc>
      </w:tr>
      <w:tr w:rsidR="00B3134C" w14:paraId="01DBAEE7" w14:textId="77777777" w:rsidTr="00CF6632">
        <w:tc>
          <w:tcPr>
            <w:tcW w:w="7088" w:type="dxa"/>
          </w:tcPr>
          <w:p w14:paraId="01DBAEE4" w14:textId="77777777" w:rsidR="00B3134C" w:rsidRPr="00D6159C" w:rsidRDefault="00B3134C" w:rsidP="00B3134C">
            <w:pPr>
              <w:pStyle w:val="Tablebodytext"/>
            </w:pPr>
            <w:r>
              <w:t xml:space="preserve">Suggested improvements </w:t>
            </w:r>
          </w:p>
        </w:tc>
        <w:tc>
          <w:tcPr>
            <w:tcW w:w="1134" w:type="dxa"/>
          </w:tcPr>
          <w:p w14:paraId="01DBAEE5" w14:textId="77777777" w:rsidR="00B3134C" w:rsidRDefault="00B3134C" w:rsidP="00072CEF">
            <w:pPr>
              <w:pStyle w:val="Tablebodytext"/>
              <w:jc w:val="right"/>
            </w:pPr>
            <w:r>
              <w:t>21</w:t>
            </w:r>
          </w:p>
        </w:tc>
        <w:tc>
          <w:tcPr>
            <w:tcW w:w="1039" w:type="dxa"/>
          </w:tcPr>
          <w:p w14:paraId="01DBAEE6" w14:textId="77777777" w:rsidR="00B3134C" w:rsidRDefault="00B3134C" w:rsidP="00072CEF">
            <w:pPr>
              <w:pStyle w:val="Tablebodytext"/>
              <w:jc w:val="right"/>
            </w:pPr>
            <w:r>
              <w:t>30%</w:t>
            </w:r>
          </w:p>
        </w:tc>
      </w:tr>
    </w:tbl>
    <w:p w14:paraId="01DBAEE8" w14:textId="77777777" w:rsidR="00B3134C" w:rsidRPr="00635988" w:rsidRDefault="00B3134C" w:rsidP="00B3134C">
      <w:pPr>
        <w:rPr>
          <w:sz w:val="18"/>
          <w:szCs w:val="18"/>
        </w:rPr>
      </w:pPr>
      <w:r>
        <w:rPr>
          <w:sz w:val="18"/>
          <w:szCs w:val="18"/>
        </w:rPr>
        <w:t>Total respondents = 71</w:t>
      </w:r>
    </w:p>
    <w:p w14:paraId="01DBAEE9" w14:textId="77777777" w:rsidR="00C359DF" w:rsidRDefault="00C359DF" w:rsidP="00C359DF">
      <w:pPr>
        <w:pStyle w:val="Heading3"/>
      </w:pPr>
      <w:r w:rsidRPr="00C359DF">
        <w:t>Tender requirements clearly set out</w:t>
      </w:r>
    </w:p>
    <w:p w14:paraId="01DBAEEA" w14:textId="77777777" w:rsidR="009551B2" w:rsidRPr="009551B2" w:rsidRDefault="009551B2" w:rsidP="009551B2">
      <w:r>
        <w:t>The majority of survey responses</w:t>
      </w:r>
      <w:r w:rsidR="00480BA8">
        <w:t xml:space="preserve"> to this question</w:t>
      </w:r>
      <w:r>
        <w:t xml:space="preserve"> expressed the view that the tender requirements were clearly set out.</w:t>
      </w:r>
    </w:p>
    <w:p w14:paraId="01DBAEEB" w14:textId="77777777" w:rsidR="00181941" w:rsidRDefault="00786062" w:rsidP="00181941">
      <w:pPr>
        <w:pStyle w:val="Heading3"/>
      </w:pPr>
      <w:r>
        <w:lastRenderedPageBreak/>
        <w:t>Suggestions</w:t>
      </w:r>
    </w:p>
    <w:p w14:paraId="01DBAEEC" w14:textId="77777777" w:rsidR="009551B2" w:rsidRPr="009551B2" w:rsidRDefault="009551B2" w:rsidP="009551B2">
      <w:r>
        <w:t>Most of the suggestions for improvements requested clearer information on the details tenderers will be required to submit, the level of detail required for the MERI plan, the categories of key services and priorities and how the government proposes to structure its payment schedule for tenderers. Some responses also requested a simplification of</w:t>
      </w:r>
      <w:r w:rsidR="0060450F">
        <w:t xml:space="preserve"> the administrative process</w:t>
      </w:r>
      <w:r w:rsidR="000D6E0B">
        <w:t xml:space="preserve"> and templates</w:t>
      </w:r>
      <w:r>
        <w:t xml:space="preserve"> for </w:t>
      </w:r>
      <w:r w:rsidR="00A37BCE">
        <w:t xml:space="preserve">the </w:t>
      </w:r>
      <w:r>
        <w:t>application</w:t>
      </w:r>
      <w:r w:rsidR="000D6E0B">
        <w:t xml:space="preserve"> from the Department</w:t>
      </w:r>
      <w:r>
        <w:t xml:space="preserve">.  </w:t>
      </w:r>
    </w:p>
    <w:p w14:paraId="01DBAEED" w14:textId="77777777" w:rsidR="003B0E2C" w:rsidRDefault="00950822" w:rsidP="00A314A4">
      <w:pPr>
        <w:pStyle w:val="Heading2"/>
      </w:pPr>
      <w:bookmarkStart w:id="25" w:name="_Toc500248423"/>
      <w:r>
        <w:t>Additional</w:t>
      </w:r>
      <w:r w:rsidR="003B0E2C">
        <w:t xml:space="preserve"> comments</w:t>
      </w:r>
      <w:bookmarkEnd w:id="25"/>
    </w:p>
    <w:p w14:paraId="01DBAEEE" w14:textId="77777777" w:rsidR="00426B8F" w:rsidRPr="00857B18" w:rsidRDefault="00426B8F" w:rsidP="004B726E">
      <w:pPr>
        <w:spacing w:after="0"/>
        <w:rPr>
          <w:rFonts w:cs="Segoe UI"/>
          <w:b/>
          <w:sz w:val="2"/>
          <w:szCs w:val="2"/>
        </w:rPr>
      </w:pPr>
    </w:p>
    <w:p w14:paraId="01DBAEEF" w14:textId="77777777" w:rsidR="00426B8F" w:rsidRDefault="00426B8F" w:rsidP="004B726E">
      <w:pPr>
        <w:pStyle w:val="Boxheading"/>
      </w:pPr>
    </w:p>
    <w:p w14:paraId="01DBAEF0" w14:textId="77777777" w:rsidR="00426B8F" w:rsidRDefault="00426B8F" w:rsidP="00266C8A">
      <w:pPr>
        <w:pStyle w:val="Boxtext0"/>
        <w:rPr>
          <w:b/>
          <w:sz w:val="22"/>
        </w:rPr>
      </w:pPr>
      <w:r w:rsidRPr="00426B8F">
        <w:rPr>
          <w:b/>
          <w:sz w:val="22"/>
        </w:rPr>
        <w:t>Are there any other issues or comments with regard to Regional Land Partnerships that</w:t>
      </w:r>
      <w:r w:rsidR="009E7DB8">
        <w:rPr>
          <w:b/>
          <w:sz w:val="22"/>
        </w:rPr>
        <w:t xml:space="preserve"> you would like to draw to the d</w:t>
      </w:r>
      <w:r w:rsidRPr="00426B8F">
        <w:rPr>
          <w:b/>
          <w:sz w:val="22"/>
        </w:rPr>
        <w:t>epartments’ attention?</w:t>
      </w:r>
    </w:p>
    <w:p w14:paraId="01DBAEF1" w14:textId="77777777" w:rsidR="00266C8A" w:rsidRPr="00266C8A" w:rsidRDefault="00266C8A" w:rsidP="00266C8A">
      <w:pPr>
        <w:pStyle w:val="Boxtext0"/>
        <w:rPr>
          <w:b/>
          <w:sz w:val="22"/>
        </w:rPr>
      </w:pPr>
    </w:p>
    <w:p w14:paraId="01DBAEF2" w14:textId="77777777" w:rsidR="00426B8F" w:rsidRPr="00857B18" w:rsidRDefault="00426B8F" w:rsidP="004B726E">
      <w:pPr>
        <w:pStyle w:val="ListBullet"/>
        <w:numPr>
          <w:ilvl w:val="0"/>
          <w:numId w:val="0"/>
        </w:numPr>
        <w:ind w:left="454" w:hanging="454"/>
        <w:rPr>
          <w:rFonts w:cs="Segoe UI"/>
          <w:sz w:val="2"/>
          <w:szCs w:val="2"/>
        </w:rPr>
      </w:pPr>
    </w:p>
    <w:p w14:paraId="01DBAEF3" w14:textId="77777777" w:rsidR="00B3134C" w:rsidRDefault="00B3134C" w:rsidP="00B3134C">
      <w:pPr>
        <w:pStyle w:val="TableHeading"/>
      </w:pPr>
      <w:bookmarkStart w:id="26" w:name="_Toc500248437"/>
      <w:r>
        <w:t>Main themes from Additional Comments</w:t>
      </w:r>
      <w:bookmarkEnd w:id="26"/>
    </w:p>
    <w:tbl>
      <w:tblPr>
        <w:tblStyle w:val="ARTDTable"/>
        <w:tblW w:w="9261" w:type="dxa"/>
        <w:tblLook w:val="04A0" w:firstRow="1" w:lastRow="0" w:firstColumn="1" w:lastColumn="0" w:noHBand="0" w:noVBand="1"/>
      </w:tblPr>
      <w:tblGrid>
        <w:gridCol w:w="7088"/>
        <w:gridCol w:w="1134"/>
        <w:gridCol w:w="1039"/>
      </w:tblGrid>
      <w:tr w:rsidR="00B3134C" w14:paraId="01DBAEF7" w14:textId="77777777" w:rsidTr="00CF6632">
        <w:trPr>
          <w:cnfStyle w:val="100000000000" w:firstRow="1" w:lastRow="0" w:firstColumn="0" w:lastColumn="0" w:oddVBand="0" w:evenVBand="0" w:oddHBand="0" w:evenHBand="0" w:firstRowFirstColumn="0" w:firstRowLastColumn="0" w:lastRowFirstColumn="0" w:lastRowLastColumn="0"/>
        </w:trPr>
        <w:tc>
          <w:tcPr>
            <w:tcW w:w="7088" w:type="dxa"/>
          </w:tcPr>
          <w:p w14:paraId="01DBAEF4" w14:textId="77777777" w:rsidR="00B3134C" w:rsidRDefault="00B3134C" w:rsidP="00B3134C">
            <w:pPr>
              <w:pStyle w:val="Tablebodytext"/>
            </w:pPr>
            <w:r>
              <w:t>Theme</w:t>
            </w:r>
          </w:p>
        </w:tc>
        <w:tc>
          <w:tcPr>
            <w:tcW w:w="1134" w:type="dxa"/>
          </w:tcPr>
          <w:p w14:paraId="01DBAEF5" w14:textId="77777777" w:rsidR="00B3134C" w:rsidRDefault="00B3134C" w:rsidP="00072CEF">
            <w:pPr>
              <w:pStyle w:val="Tablebodytext"/>
              <w:jc w:val="right"/>
            </w:pPr>
            <w:r>
              <w:t>Number</w:t>
            </w:r>
          </w:p>
        </w:tc>
        <w:tc>
          <w:tcPr>
            <w:tcW w:w="1039" w:type="dxa"/>
          </w:tcPr>
          <w:p w14:paraId="01DBAEF6" w14:textId="77777777" w:rsidR="00B3134C" w:rsidRDefault="00B3134C" w:rsidP="00072CEF">
            <w:pPr>
              <w:pStyle w:val="Tablebodytext"/>
              <w:jc w:val="right"/>
            </w:pPr>
            <w:r>
              <w:t>Percent</w:t>
            </w:r>
          </w:p>
        </w:tc>
      </w:tr>
      <w:tr w:rsidR="00B3134C" w14:paraId="01DBAEFB" w14:textId="77777777" w:rsidTr="00CF6632">
        <w:tc>
          <w:tcPr>
            <w:tcW w:w="7088" w:type="dxa"/>
          </w:tcPr>
          <w:p w14:paraId="01DBAEF8" w14:textId="77777777" w:rsidR="00B3134C" w:rsidRPr="006D426A" w:rsidRDefault="00B3134C" w:rsidP="00B3134C">
            <w:pPr>
              <w:pStyle w:val="Tablebodytext"/>
            </w:pPr>
            <w:r w:rsidRPr="006D426A">
              <w:t>Concerns with the tender process</w:t>
            </w:r>
          </w:p>
        </w:tc>
        <w:tc>
          <w:tcPr>
            <w:tcW w:w="1134" w:type="dxa"/>
          </w:tcPr>
          <w:p w14:paraId="01DBAEF9" w14:textId="77777777" w:rsidR="00B3134C" w:rsidRDefault="00800EE4" w:rsidP="00072CEF">
            <w:pPr>
              <w:pStyle w:val="Tablebodytext"/>
              <w:jc w:val="right"/>
            </w:pPr>
            <w:r>
              <w:t>21</w:t>
            </w:r>
          </w:p>
        </w:tc>
        <w:tc>
          <w:tcPr>
            <w:tcW w:w="1039" w:type="dxa"/>
          </w:tcPr>
          <w:p w14:paraId="01DBAEFA" w14:textId="77777777" w:rsidR="00B3134C" w:rsidRDefault="003A7CD4" w:rsidP="00072CEF">
            <w:pPr>
              <w:pStyle w:val="Tablebodytext"/>
              <w:jc w:val="right"/>
            </w:pPr>
            <w:r>
              <w:t>24%</w:t>
            </w:r>
          </w:p>
        </w:tc>
      </w:tr>
      <w:tr w:rsidR="00800EE4" w14:paraId="01DBAEFF" w14:textId="77777777" w:rsidTr="00CF6632">
        <w:tc>
          <w:tcPr>
            <w:tcW w:w="7088" w:type="dxa"/>
          </w:tcPr>
          <w:p w14:paraId="01DBAEFC" w14:textId="77777777" w:rsidR="00800EE4" w:rsidRPr="006D426A" w:rsidRDefault="00800EE4" w:rsidP="00DB3085">
            <w:pPr>
              <w:pStyle w:val="Tablebodytext"/>
            </w:pPr>
            <w:r w:rsidRPr="006D426A">
              <w:t xml:space="preserve">Broader </w:t>
            </w:r>
            <w:r>
              <w:t>land tenure eligibility</w:t>
            </w:r>
          </w:p>
        </w:tc>
        <w:tc>
          <w:tcPr>
            <w:tcW w:w="1134" w:type="dxa"/>
          </w:tcPr>
          <w:p w14:paraId="01DBAEFD" w14:textId="77777777" w:rsidR="00800EE4" w:rsidRDefault="00800EE4" w:rsidP="00072CEF">
            <w:pPr>
              <w:pStyle w:val="Tablebodytext"/>
              <w:jc w:val="right"/>
            </w:pPr>
            <w:r>
              <w:t>12</w:t>
            </w:r>
          </w:p>
        </w:tc>
        <w:tc>
          <w:tcPr>
            <w:tcW w:w="1039" w:type="dxa"/>
          </w:tcPr>
          <w:p w14:paraId="01DBAEFE" w14:textId="77777777" w:rsidR="00800EE4" w:rsidRDefault="003A7CD4" w:rsidP="00072CEF">
            <w:pPr>
              <w:pStyle w:val="Tablebodytext"/>
              <w:jc w:val="right"/>
            </w:pPr>
            <w:r>
              <w:t>13%</w:t>
            </w:r>
          </w:p>
        </w:tc>
      </w:tr>
      <w:tr w:rsidR="00800EE4" w14:paraId="01DBAF03" w14:textId="77777777" w:rsidTr="00CF6632">
        <w:tc>
          <w:tcPr>
            <w:tcW w:w="7088" w:type="dxa"/>
          </w:tcPr>
          <w:p w14:paraId="01DBAF00" w14:textId="77777777" w:rsidR="00800EE4" w:rsidRPr="006D426A" w:rsidRDefault="00CF2099" w:rsidP="00161C17">
            <w:pPr>
              <w:pStyle w:val="Tablebodytext"/>
            </w:pPr>
            <w:r>
              <w:t xml:space="preserve">Expand the list of threatened </w:t>
            </w:r>
            <w:r w:rsidR="00161C17">
              <w:t>species</w:t>
            </w:r>
          </w:p>
        </w:tc>
        <w:tc>
          <w:tcPr>
            <w:tcW w:w="1134" w:type="dxa"/>
          </w:tcPr>
          <w:p w14:paraId="01DBAF01" w14:textId="77777777" w:rsidR="00800EE4" w:rsidRDefault="00800EE4" w:rsidP="00072CEF">
            <w:pPr>
              <w:pStyle w:val="Tablebodytext"/>
              <w:jc w:val="right"/>
            </w:pPr>
            <w:r>
              <w:t>10</w:t>
            </w:r>
          </w:p>
        </w:tc>
        <w:tc>
          <w:tcPr>
            <w:tcW w:w="1039" w:type="dxa"/>
          </w:tcPr>
          <w:p w14:paraId="01DBAF02" w14:textId="77777777" w:rsidR="00800EE4" w:rsidRDefault="003A7CD4" w:rsidP="00072CEF">
            <w:pPr>
              <w:pStyle w:val="Tablebodytext"/>
              <w:jc w:val="right"/>
            </w:pPr>
            <w:r>
              <w:t>11%</w:t>
            </w:r>
          </w:p>
        </w:tc>
      </w:tr>
      <w:tr w:rsidR="00800EE4" w14:paraId="01DBAF07" w14:textId="77777777" w:rsidTr="00CF6632">
        <w:tc>
          <w:tcPr>
            <w:tcW w:w="7088" w:type="dxa"/>
          </w:tcPr>
          <w:p w14:paraId="01DBAF04" w14:textId="77777777" w:rsidR="00800EE4" w:rsidRPr="006D426A" w:rsidRDefault="00EF4818" w:rsidP="00B3134C">
            <w:pPr>
              <w:pStyle w:val="Tablebodytext"/>
            </w:pPr>
            <w:r>
              <w:t>Flaws in the proposed program</w:t>
            </w:r>
            <w:r w:rsidR="00800EE4" w:rsidRPr="006D426A">
              <w:t xml:space="preserve">  </w:t>
            </w:r>
          </w:p>
        </w:tc>
        <w:tc>
          <w:tcPr>
            <w:tcW w:w="1134" w:type="dxa"/>
          </w:tcPr>
          <w:p w14:paraId="01DBAF05" w14:textId="77777777" w:rsidR="00800EE4" w:rsidRDefault="00800EE4" w:rsidP="00072CEF">
            <w:pPr>
              <w:pStyle w:val="Tablebodytext"/>
              <w:jc w:val="right"/>
            </w:pPr>
            <w:r>
              <w:t>9</w:t>
            </w:r>
          </w:p>
        </w:tc>
        <w:tc>
          <w:tcPr>
            <w:tcW w:w="1039" w:type="dxa"/>
          </w:tcPr>
          <w:p w14:paraId="01DBAF06" w14:textId="77777777" w:rsidR="00800EE4" w:rsidRDefault="003A7CD4" w:rsidP="00072CEF">
            <w:pPr>
              <w:pStyle w:val="Tablebodytext"/>
              <w:jc w:val="right"/>
            </w:pPr>
            <w:r>
              <w:t>10%</w:t>
            </w:r>
          </w:p>
        </w:tc>
      </w:tr>
    </w:tbl>
    <w:p w14:paraId="01DBAF08" w14:textId="77777777" w:rsidR="00B3134C" w:rsidRPr="00F12833" w:rsidRDefault="00B3134C" w:rsidP="00B3134C">
      <w:pPr>
        <w:rPr>
          <w:sz w:val="18"/>
          <w:szCs w:val="18"/>
        </w:rPr>
      </w:pPr>
      <w:r>
        <w:rPr>
          <w:sz w:val="18"/>
          <w:szCs w:val="18"/>
        </w:rPr>
        <w:t xml:space="preserve">Total respondents = </w:t>
      </w:r>
      <w:r w:rsidR="003A7CD4">
        <w:rPr>
          <w:sz w:val="18"/>
          <w:szCs w:val="18"/>
        </w:rPr>
        <w:t>89</w:t>
      </w:r>
    </w:p>
    <w:p w14:paraId="01DBAF09" w14:textId="77777777" w:rsidR="00A72E2E" w:rsidRDefault="00786062" w:rsidP="00A72E2E">
      <w:pPr>
        <w:pStyle w:val="Heading3"/>
      </w:pPr>
      <w:r>
        <w:t>Concerns with the t</w:t>
      </w:r>
      <w:r w:rsidR="00A72E2E">
        <w:t>ender process</w:t>
      </w:r>
    </w:p>
    <w:p w14:paraId="01DBAF0A" w14:textId="77777777" w:rsidR="00A72E2E" w:rsidRDefault="00250FAC" w:rsidP="00545242">
      <w:r>
        <w:t>These responses raised concerns about the inefficiency of the</w:t>
      </w:r>
      <w:r w:rsidR="00545242">
        <w:t xml:space="preserve"> competitive</w:t>
      </w:r>
      <w:r>
        <w:t xml:space="preserve"> tender process and the way in which it favours existing regional bodies, </w:t>
      </w:r>
      <w:r w:rsidR="00545242">
        <w:t xml:space="preserve">it will not necessarily lead to better governance, it does not ensure that areas that are most in need get the most funding and it imposes a time consuming application process on tenderers. </w:t>
      </w:r>
    </w:p>
    <w:p w14:paraId="01DBAF0B" w14:textId="77777777" w:rsidR="003A7CD4" w:rsidRDefault="003A7CD4" w:rsidP="003A7CD4">
      <w:pPr>
        <w:pStyle w:val="Heading3"/>
      </w:pPr>
      <w:r>
        <w:t>Broader land tenure eligibility</w:t>
      </w:r>
    </w:p>
    <w:p w14:paraId="01DBAF0C" w14:textId="77777777" w:rsidR="003A7CD4" w:rsidRDefault="003A7CD4" w:rsidP="003A7CD4">
      <w:r>
        <w:t xml:space="preserve">Many responses on this theme drew attention to a need to extend investment from private land to public land and to also include work in remnant bushland and in urban areas to most efficiently achieve environmental outcomes. </w:t>
      </w:r>
    </w:p>
    <w:p w14:paraId="01DBAF0D" w14:textId="77777777" w:rsidR="003A7CD4" w:rsidRDefault="00CF2099" w:rsidP="003A7CD4">
      <w:pPr>
        <w:pStyle w:val="Heading3"/>
      </w:pPr>
      <w:r>
        <w:lastRenderedPageBreak/>
        <w:t xml:space="preserve">Expand the list of </w:t>
      </w:r>
      <w:r w:rsidR="003A7CD4">
        <w:t xml:space="preserve">threatened </w:t>
      </w:r>
      <w:r w:rsidR="008D2352">
        <w:t>species</w:t>
      </w:r>
    </w:p>
    <w:p w14:paraId="01DBAF0E" w14:textId="77777777" w:rsidR="00A52C2F" w:rsidRDefault="008D2352" w:rsidP="003A7CD4">
      <w:r>
        <w:t>Respondents argued for the expansion of the threatened species list</w:t>
      </w:r>
      <w:r w:rsidR="00AF6BA7">
        <w:t xml:space="preserve"> for both flora and fauna. </w:t>
      </w:r>
      <w:r w:rsidR="00A52C2F">
        <w:t>Concerns were raised about</w:t>
      </w:r>
      <w:r>
        <w:t xml:space="preserve"> mapping</w:t>
      </w:r>
      <w:r w:rsidR="00A52C2F">
        <w:t xml:space="preserve"> being</w:t>
      </w:r>
      <w:r>
        <w:t xml:space="preserve"> </w:t>
      </w:r>
      <w:r w:rsidR="00A52C2F">
        <w:t xml:space="preserve">rudimentary or </w:t>
      </w:r>
      <w:r>
        <w:t>inaccurate</w:t>
      </w:r>
      <w:r w:rsidR="00A52C2F">
        <w:t xml:space="preserve"> and management plans being out of date or not present.  C</w:t>
      </w:r>
      <w:r>
        <w:t xml:space="preserve">loser cooperation between jurisdictions </w:t>
      </w:r>
      <w:r w:rsidR="00A52C2F">
        <w:t xml:space="preserve">was requested </w:t>
      </w:r>
      <w:r>
        <w:t xml:space="preserve">in order to </w:t>
      </w:r>
      <w:r w:rsidR="00A52C2F">
        <w:t>share information and provide a more coordinated response.</w:t>
      </w:r>
    </w:p>
    <w:p w14:paraId="01DBAF0F" w14:textId="77777777" w:rsidR="00A72E2E" w:rsidRDefault="00BD16A4" w:rsidP="00A72E2E">
      <w:pPr>
        <w:pStyle w:val="Heading3"/>
      </w:pPr>
      <w:r>
        <w:t>Flaws in the proposed progr</w:t>
      </w:r>
      <w:r w:rsidR="00EF4818">
        <w:t>a</w:t>
      </w:r>
      <w:r>
        <w:t>m</w:t>
      </w:r>
    </w:p>
    <w:p w14:paraId="01DBAF10" w14:textId="77777777" w:rsidR="00545242" w:rsidRDefault="00E13D87" w:rsidP="00545242">
      <w:r>
        <w:t>These responses identified</w:t>
      </w:r>
      <w:r w:rsidR="00545242">
        <w:t xml:space="preserve"> </w:t>
      </w:r>
      <w:r w:rsidR="00E71BC5">
        <w:t>a range of perceived</w:t>
      </w:r>
      <w:r w:rsidR="00545242">
        <w:t xml:space="preserve"> flaws in the proposed approach, which include that proposed biodiversity outcomes are not compatible with a regional model, that there is a lack of clarity on the allocation of</w:t>
      </w:r>
      <w:r w:rsidR="0096006C">
        <w:t xml:space="preserve"> the</w:t>
      </w:r>
      <w:r w:rsidR="00545242">
        <w:t xml:space="preserve"> sustainable agricultural elements</w:t>
      </w:r>
      <w:r w:rsidR="0096006C">
        <w:t xml:space="preserve">, that changes to a </w:t>
      </w:r>
      <w:r w:rsidR="00252122">
        <w:t xml:space="preserve">working </w:t>
      </w:r>
      <w:r w:rsidR="001E516A">
        <w:t>National Landcare Program</w:t>
      </w:r>
      <w:r w:rsidR="0096006C">
        <w:t xml:space="preserve"> are unjustified and that its complex requirements are incompatible with the goals of the original Landcare program</w:t>
      </w:r>
      <w:r w:rsidR="00786062">
        <w:t>.</w:t>
      </w:r>
    </w:p>
    <w:p w14:paraId="01DBAF11" w14:textId="77777777" w:rsidR="00A72E2E" w:rsidRDefault="00A72E2E" w:rsidP="008A4378">
      <w:pPr>
        <w:pStyle w:val="ListBullet"/>
        <w:numPr>
          <w:ilvl w:val="0"/>
          <w:numId w:val="0"/>
        </w:numPr>
        <w:ind w:left="454"/>
      </w:pPr>
    </w:p>
    <w:p w14:paraId="01DBAF12" w14:textId="77777777" w:rsidR="00707F3D" w:rsidRPr="00786062" w:rsidRDefault="00707F3D" w:rsidP="00786062">
      <w:pPr>
        <w:spacing w:after="0" w:line="240" w:lineRule="auto"/>
        <w:rPr>
          <w:sz w:val="24"/>
          <w:szCs w:val="24"/>
        </w:rPr>
        <w:sectPr w:rsidR="00707F3D" w:rsidRPr="00786062" w:rsidSect="009F2E28">
          <w:headerReference w:type="even" r:id="rId14"/>
          <w:headerReference w:type="default" r:id="rId15"/>
          <w:footerReference w:type="default" r:id="rId16"/>
          <w:type w:val="continuous"/>
          <w:pgSz w:w="11906" w:h="16838" w:code="9"/>
          <w:pgMar w:top="1418" w:right="1418" w:bottom="1418" w:left="1418" w:header="567" w:footer="567" w:gutter="0"/>
          <w:pgNumType w:start="1"/>
          <w:cols w:space="708"/>
          <w:docGrid w:linePitch="360"/>
        </w:sectPr>
      </w:pPr>
    </w:p>
    <w:p w14:paraId="01DBAF13" w14:textId="77777777" w:rsidR="00155800" w:rsidRDefault="00155800" w:rsidP="00786062">
      <w:pPr>
        <w:pStyle w:val="Quote"/>
        <w:ind w:left="0"/>
        <w:sectPr w:rsidR="00155800" w:rsidSect="00707F3D">
          <w:headerReference w:type="default" r:id="rId17"/>
          <w:footerReference w:type="default" r:id="rId18"/>
          <w:type w:val="continuous"/>
          <w:pgSz w:w="11906" w:h="16838" w:code="9"/>
          <w:pgMar w:top="1418" w:right="1418" w:bottom="1418" w:left="1418" w:header="567" w:footer="567" w:gutter="0"/>
          <w:cols w:space="708"/>
          <w:docGrid w:linePitch="360"/>
        </w:sectPr>
      </w:pPr>
    </w:p>
    <w:p w14:paraId="01DBAF14" w14:textId="77777777" w:rsidR="00415689" w:rsidRDefault="00415689" w:rsidP="00A314A4">
      <w:pPr>
        <w:pStyle w:val="Quote"/>
        <w:ind w:left="0"/>
        <w:sectPr w:rsidR="00415689" w:rsidSect="00707F3D">
          <w:type w:val="continuous"/>
          <w:pgSz w:w="11906" w:h="16838" w:code="9"/>
          <w:pgMar w:top="1418" w:right="1418" w:bottom="1418" w:left="1418" w:header="567" w:footer="567" w:gutter="0"/>
          <w:cols w:space="708"/>
          <w:docGrid w:linePitch="360"/>
        </w:sectPr>
      </w:pPr>
    </w:p>
    <w:p w14:paraId="01DBAF15" w14:textId="77777777" w:rsidR="00456D52" w:rsidRPr="00456D52" w:rsidRDefault="00456D52" w:rsidP="00415689">
      <w:pPr>
        <w:pStyle w:val="Quote"/>
        <w:ind w:left="0"/>
      </w:pPr>
    </w:p>
    <w:sectPr w:rsidR="00456D52" w:rsidRPr="00456D52" w:rsidSect="00415689">
      <w:headerReference w:type="default" r:id="rId19"/>
      <w:footerReference w:type="default" r:id="rId20"/>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AF1A" w14:textId="77777777" w:rsidR="008D2352" w:rsidRDefault="008D2352" w:rsidP="00E562BA">
      <w:pPr>
        <w:spacing w:after="0" w:line="240" w:lineRule="auto"/>
      </w:pPr>
      <w:r>
        <w:separator/>
      </w:r>
    </w:p>
    <w:p w14:paraId="01DBAF1B" w14:textId="77777777" w:rsidR="008D2352" w:rsidRDefault="008D2352"/>
    <w:p w14:paraId="01DBAF1C" w14:textId="77777777" w:rsidR="008D2352" w:rsidRDefault="008D2352"/>
  </w:endnote>
  <w:endnote w:type="continuationSeparator" w:id="0">
    <w:p w14:paraId="01DBAF1D" w14:textId="77777777" w:rsidR="008D2352" w:rsidRDefault="008D2352" w:rsidP="00E562BA">
      <w:pPr>
        <w:spacing w:after="0" w:line="240" w:lineRule="auto"/>
      </w:pPr>
      <w:r>
        <w:continuationSeparator/>
      </w:r>
    </w:p>
    <w:p w14:paraId="01DBAF1E" w14:textId="77777777" w:rsidR="008D2352" w:rsidRDefault="008D2352"/>
    <w:p w14:paraId="01DBAF1F" w14:textId="77777777" w:rsidR="008D2352" w:rsidRDefault="008D2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1979" w14:textId="77777777" w:rsidR="00AC1FFA" w:rsidRDefault="00AC1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Look w:val="04A0" w:firstRow="1" w:lastRow="0" w:firstColumn="1" w:lastColumn="0" w:noHBand="0" w:noVBand="1"/>
    </w:tblPr>
    <w:tblGrid>
      <w:gridCol w:w="4428"/>
      <w:gridCol w:w="2340"/>
      <w:gridCol w:w="2520"/>
    </w:tblGrid>
    <w:tr w:rsidR="008D2352" w:rsidRPr="004F4B82" w14:paraId="01DBAF2A" w14:textId="77777777" w:rsidTr="00147661">
      <w:trPr>
        <w:trHeight w:val="1012"/>
      </w:trPr>
      <w:tc>
        <w:tcPr>
          <w:tcW w:w="4428" w:type="dxa"/>
          <w:shd w:val="clear" w:color="auto" w:fill="auto"/>
          <w:vAlign w:val="center"/>
        </w:tcPr>
        <w:p w14:paraId="01DBAF21" w14:textId="77777777" w:rsidR="008D2352" w:rsidRPr="004F4B82" w:rsidRDefault="008D2352" w:rsidP="00147661">
          <w:pPr>
            <w:rPr>
              <w:rFonts w:cs="Segoe UI"/>
            </w:rPr>
          </w:pPr>
          <w:r w:rsidRPr="004F4B82">
            <w:rPr>
              <w:rFonts w:cs="Segoe UI"/>
              <w:noProof/>
              <w:lang w:eastAsia="en-AU"/>
            </w:rPr>
            <w:drawing>
              <wp:inline distT="0" distB="0" distL="0" distR="0" wp14:anchorId="01DBAF3A" wp14:editId="01DBAF3B">
                <wp:extent cx="1828800" cy="522219"/>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_logo_ww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8800" cy="522219"/>
                        </a:xfrm>
                        <a:prstGeom prst="rect">
                          <a:avLst/>
                        </a:prstGeom>
                        <a:noFill/>
                        <a:ln w="9525">
                          <a:noFill/>
                          <a:miter lim="800000"/>
                          <a:headEnd/>
                          <a:tailEnd/>
                        </a:ln>
                      </pic:spPr>
                    </pic:pic>
                  </a:graphicData>
                </a:graphic>
              </wp:inline>
            </w:drawing>
          </w:r>
        </w:p>
      </w:tc>
      <w:tc>
        <w:tcPr>
          <w:tcW w:w="2340" w:type="dxa"/>
          <w:shd w:val="clear" w:color="auto" w:fill="auto"/>
        </w:tcPr>
        <w:p w14:paraId="01DBAF22" w14:textId="77777777" w:rsidR="008D2352" w:rsidRPr="00A832B3" w:rsidRDefault="008D2352" w:rsidP="00A832B3">
          <w:pPr>
            <w:pStyle w:val="ARTDcompanydetails"/>
          </w:pPr>
          <w:r w:rsidRPr="00A832B3">
            <w:t xml:space="preserve">ARTD Pty Ltd </w:t>
          </w:r>
        </w:p>
        <w:p w14:paraId="01DBAF23" w14:textId="77777777" w:rsidR="008D2352" w:rsidRPr="00A832B3" w:rsidRDefault="008D2352" w:rsidP="00A832B3">
          <w:pPr>
            <w:pStyle w:val="ARTDcompanydetails"/>
          </w:pPr>
          <w:r w:rsidRPr="00A832B3">
            <w:t xml:space="preserve">ABN 75 003 701 764 </w:t>
          </w:r>
        </w:p>
        <w:p w14:paraId="01DBAF24" w14:textId="77777777" w:rsidR="008D2352" w:rsidRPr="00A832B3" w:rsidRDefault="008D2352" w:rsidP="00A832B3">
          <w:pPr>
            <w:pStyle w:val="ARTDcompanydetails"/>
          </w:pPr>
          <w:r w:rsidRPr="00A832B3">
            <w:t xml:space="preserve">Tel 02 9373 9900 </w:t>
          </w:r>
        </w:p>
        <w:p w14:paraId="01DBAF25" w14:textId="77777777" w:rsidR="008D2352" w:rsidRPr="00A832B3" w:rsidRDefault="008D2352" w:rsidP="00A832B3">
          <w:pPr>
            <w:pStyle w:val="ARTDcompanydetails"/>
          </w:pPr>
          <w:r w:rsidRPr="00A832B3">
            <w:t>Fax 02 9373 9998</w:t>
          </w:r>
        </w:p>
      </w:tc>
      <w:tc>
        <w:tcPr>
          <w:tcW w:w="2520" w:type="dxa"/>
          <w:shd w:val="clear" w:color="auto" w:fill="auto"/>
        </w:tcPr>
        <w:p w14:paraId="01DBAF26" w14:textId="77777777" w:rsidR="008D2352" w:rsidRPr="00A832B3" w:rsidRDefault="008D2352" w:rsidP="00A832B3">
          <w:pPr>
            <w:pStyle w:val="ARTDcompanydetails"/>
          </w:pPr>
          <w:r w:rsidRPr="00A832B3">
            <w:t xml:space="preserve">Level 4, 352 Kent St Sydney </w:t>
          </w:r>
        </w:p>
        <w:p w14:paraId="01DBAF27" w14:textId="77777777" w:rsidR="008D2352" w:rsidRPr="00A832B3" w:rsidRDefault="008D2352" w:rsidP="00A832B3">
          <w:pPr>
            <w:pStyle w:val="ARTDcompanydetails"/>
          </w:pPr>
          <w:r w:rsidRPr="00A832B3">
            <w:t xml:space="preserve">PO Box 1167 </w:t>
          </w:r>
        </w:p>
        <w:p w14:paraId="01DBAF28" w14:textId="77777777" w:rsidR="008D2352" w:rsidRPr="00A832B3" w:rsidRDefault="008D2352" w:rsidP="00A832B3">
          <w:pPr>
            <w:pStyle w:val="ARTDcompanydetails"/>
          </w:pPr>
          <w:r w:rsidRPr="00A832B3">
            <w:t xml:space="preserve">Queen Victoria Building </w:t>
          </w:r>
        </w:p>
        <w:p w14:paraId="01DBAF29" w14:textId="77777777" w:rsidR="008D2352" w:rsidRPr="00A832B3" w:rsidRDefault="008D2352" w:rsidP="00A832B3">
          <w:pPr>
            <w:pStyle w:val="ARTDcompanydetails"/>
          </w:pPr>
          <w:r w:rsidRPr="00A832B3">
            <w:t>NSW 1230 Australia</w:t>
          </w:r>
        </w:p>
      </w:tc>
    </w:tr>
  </w:tbl>
  <w:p w14:paraId="01DBAF2B" w14:textId="77777777" w:rsidR="008D2352" w:rsidRPr="004F4B82" w:rsidRDefault="008D2352" w:rsidP="00EF151F">
    <w:pPr>
      <w:spacing w:after="0" w:line="240" w:lineRule="auto"/>
      <w:rPr>
        <w:rFonts w:cs="Segoe U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D357" w14:textId="77777777" w:rsidR="00AC1FFA" w:rsidRDefault="00AC1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2D" w14:textId="77777777" w:rsidR="008D2352" w:rsidRPr="004F4B82" w:rsidRDefault="008D2352" w:rsidP="00E562BA">
    <w:pPr>
      <w:spacing w:after="0" w:line="240" w:lineRule="auto"/>
      <w:jc w:val="right"/>
      <w:rPr>
        <w:rFonts w:cs="Segoe UI"/>
        <w:szCs w:val="24"/>
      </w:rPr>
    </w:pPr>
    <w:r w:rsidRPr="004F4B82">
      <w:rPr>
        <w:rFonts w:cs="Segoe UI"/>
        <w:noProof/>
        <w:lang w:eastAsia="en-AU"/>
      </w:rPr>
      <w:drawing>
        <wp:anchor distT="0" distB="0" distL="114300" distR="114300" simplePos="0" relativeHeight="251659776" behindDoc="1" locked="0" layoutInCell="1" allowOverlap="1" wp14:anchorId="01DBAF3E" wp14:editId="01DBAF3F">
          <wp:simplePos x="0" y="0"/>
          <wp:positionH relativeFrom="column">
            <wp:posOffset>115</wp:posOffset>
          </wp:positionH>
          <wp:positionV relativeFrom="paragraph">
            <wp:posOffset>42372</wp:posOffset>
          </wp:positionV>
          <wp:extent cx="1607820" cy="3291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_logo_ww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7820" cy="329144"/>
                  </a:xfrm>
                  <a:prstGeom prst="rect">
                    <a:avLst/>
                  </a:prstGeom>
                  <a:noFill/>
                </pic:spPr>
              </pic:pic>
            </a:graphicData>
          </a:graphic>
          <wp14:sizeRelV relativeFrom="margin">
            <wp14:pctHeight>0</wp14:pctHeight>
          </wp14:sizeRelV>
        </wp:anchor>
      </w:drawing>
    </w:r>
    <w:r w:rsidRPr="004F4B82">
      <w:rPr>
        <w:rStyle w:val="PageNumber"/>
        <w:rFonts w:cs="Segoe UI"/>
        <w:szCs w:val="24"/>
      </w:rPr>
      <w:fldChar w:fldCharType="begin"/>
    </w:r>
    <w:r w:rsidRPr="004F4B82">
      <w:rPr>
        <w:rStyle w:val="PageNumber"/>
        <w:rFonts w:cs="Segoe UI"/>
        <w:szCs w:val="24"/>
      </w:rPr>
      <w:instrText xml:space="preserve"> PAGE </w:instrText>
    </w:r>
    <w:r w:rsidRPr="004F4B82">
      <w:rPr>
        <w:rStyle w:val="PageNumber"/>
        <w:rFonts w:cs="Segoe UI"/>
        <w:szCs w:val="24"/>
      </w:rPr>
      <w:fldChar w:fldCharType="separate"/>
    </w:r>
    <w:r w:rsidR="00AC1FFA">
      <w:rPr>
        <w:rStyle w:val="PageNumber"/>
        <w:rFonts w:cs="Segoe UI"/>
        <w:noProof/>
        <w:szCs w:val="24"/>
      </w:rPr>
      <w:t>v</w:t>
    </w:r>
    <w:r w:rsidRPr="004F4B82">
      <w:rPr>
        <w:rStyle w:val="PageNumber"/>
        <w:rFonts w:cs="Segoe UI"/>
        <w:szCs w:val="24"/>
      </w:rPr>
      <w:fldChar w:fldCharType="end"/>
    </w:r>
  </w:p>
  <w:p w14:paraId="01DBAF2E" w14:textId="77777777" w:rsidR="008D2352" w:rsidRPr="004F4B82" w:rsidRDefault="008D2352" w:rsidP="00E562BA">
    <w:pPr>
      <w:spacing w:after="0" w:line="240" w:lineRule="auto"/>
      <w:rPr>
        <w:rFonts w:cs="Segoe UI"/>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32" w14:textId="77777777" w:rsidR="008D2352" w:rsidRPr="0068330C" w:rsidRDefault="008D2352" w:rsidP="00E562BA">
    <w:pPr>
      <w:spacing w:after="0" w:line="240" w:lineRule="auto"/>
      <w:jc w:val="right"/>
      <w:rPr>
        <w:szCs w:val="24"/>
      </w:rPr>
    </w:pPr>
    <w:r>
      <w:rPr>
        <w:noProof/>
        <w:lang w:eastAsia="en-AU"/>
      </w:rPr>
      <w:drawing>
        <wp:anchor distT="0" distB="0" distL="114300" distR="114300" simplePos="0" relativeHeight="251665408" behindDoc="1" locked="0" layoutInCell="1" allowOverlap="1" wp14:anchorId="01DBAF40" wp14:editId="01DBAF41">
          <wp:simplePos x="0" y="0"/>
          <wp:positionH relativeFrom="column">
            <wp:posOffset>115</wp:posOffset>
          </wp:positionH>
          <wp:positionV relativeFrom="paragraph">
            <wp:posOffset>38086</wp:posOffset>
          </wp:positionV>
          <wp:extent cx="1607820" cy="3291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_logo_ww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7820" cy="329144"/>
                  </a:xfrm>
                  <a:prstGeom prst="rect">
                    <a:avLst/>
                  </a:prstGeom>
                  <a:noFill/>
                </pic:spPr>
              </pic:pic>
            </a:graphicData>
          </a:graphic>
          <wp14:sizeRelV relativeFrom="margin">
            <wp14:pctHeight>0</wp14:pctHeight>
          </wp14:sizeRelV>
        </wp:anchor>
      </w:drawing>
    </w:r>
    <w:r w:rsidRPr="0068330C">
      <w:rPr>
        <w:rStyle w:val="PageNumber"/>
        <w:szCs w:val="24"/>
      </w:rPr>
      <w:fldChar w:fldCharType="begin"/>
    </w:r>
    <w:r w:rsidRPr="0068330C">
      <w:rPr>
        <w:rStyle w:val="PageNumber"/>
        <w:szCs w:val="24"/>
      </w:rPr>
      <w:instrText xml:space="preserve"> PAGE </w:instrText>
    </w:r>
    <w:r w:rsidRPr="0068330C">
      <w:rPr>
        <w:rStyle w:val="PageNumber"/>
        <w:szCs w:val="24"/>
      </w:rPr>
      <w:fldChar w:fldCharType="separate"/>
    </w:r>
    <w:r w:rsidR="00AC1FFA">
      <w:rPr>
        <w:rStyle w:val="PageNumber"/>
        <w:noProof/>
        <w:szCs w:val="24"/>
      </w:rPr>
      <w:t>16</w:t>
    </w:r>
    <w:r w:rsidRPr="0068330C">
      <w:rPr>
        <w:rStyle w:val="PageNumber"/>
        <w:szCs w:val="24"/>
      </w:rPr>
      <w:fldChar w:fldCharType="end"/>
    </w:r>
  </w:p>
  <w:p w14:paraId="01DBAF33" w14:textId="77777777" w:rsidR="008D2352" w:rsidRPr="0068330C" w:rsidRDefault="008D2352" w:rsidP="00E562BA">
    <w:pPr>
      <w:spacing w:after="0" w:line="240" w:lineRule="auto"/>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36" w14:textId="77777777" w:rsidR="008D2352" w:rsidRPr="0068330C" w:rsidRDefault="008D2352" w:rsidP="007525DB">
    <w:pPr>
      <w:spacing w:after="0" w:line="240" w:lineRule="auto"/>
      <w:jc w:val="right"/>
      <w:rPr>
        <w:szCs w:val="24"/>
      </w:rPr>
    </w:pPr>
    <w:r w:rsidRPr="007525DB">
      <w:rPr>
        <w:szCs w:val="24"/>
      </w:rPr>
      <w:fldChar w:fldCharType="begin"/>
    </w:r>
    <w:r w:rsidRPr="007525DB">
      <w:rPr>
        <w:szCs w:val="24"/>
      </w:rPr>
      <w:instrText xml:space="preserve"> PAGE </w:instrText>
    </w:r>
    <w:r w:rsidRPr="007525DB">
      <w:rPr>
        <w:szCs w:val="24"/>
      </w:rPr>
      <w:fldChar w:fldCharType="separate"/>
    </w:r>
    <w:r>
      <w:rPr>
        <w:noProof/>
        <w:szCs w:val="24"/>
      </w:rPr>
      <w:t>25</w:t>
    </w:r>
    <w:r w:rsidRPr="007525DB">
      <w:rPr>
        <w:szCs w:val="24"/>
      </w:rPr>
      <w:fldChar w:fldCharType="end"/>
    </w:r>
    <w:r w:rsidRPr="004F4B82">
      <w:rPr>
        <w:rFonts w:cs="Segoe UI"/>
        <w:noProof/>
        <w:lang w:eastAsia="en-AU"/>
      </w:rPr>
      <w:drawing>
        <wp:anchor distT="0" distB="0" distL="114300" distR="114300" simplePos="0" relativeHeight="251671552" behindDoc="1" locked="0" layoutInCell="1" allowOverlap="1" wp14:anchorId="01DBAF42" wp14:editId="01DBAF43">
          <wp:simplePos x="0" y="0"/>
          <wp:positionH relativeFrom="column">
            <wp:posOffset>-476250</wp:posOffset>
          </wp:positionH>
          <wp:positionV relativeFrom="paragraph">
            <wp:posOffset>-153035</wp:posOffset>
          </wp:positionV>
          <wp:extent cx="1607820" cy="329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_logo_ww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7820" cy="329144"/>
                  </a:xfrm>
                  <a:prstGeom prst="rect">
                    <a:avLst/>
                  </a:prstGeom>
                  <a:noFill/>
                </pic:spPr>
              </pic:pic>
            </a:graphicData>
          </a:graphic>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38" w14:textId="77777777" w:rsidR="008D2352" w:rsidRPr="0068330C" w:rsidRDefault="008D2352" w:rsidP="00155800">
    <w:pPr>
      <w:spacing w:after="0" w:line="240" w:lineRule="auto"/>
      <w:jc w:val="center"/>
      <w:rPr>
        <w:szCs w:val="24"/>
      </w:rPr>
    </w:pPr>
  </w:p>
  <w:p w14:paraId="01DBAF39" w14:textId="77777777" w:rsidR="008D2352" w:rsidRPr="0068330C" w:rsidRDefault="008D2352" w:rsidP="00E562BA">
    <w:pPr>
      <w:spacing w:after="0" w:line="240" w:lineRule="auto"/>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AF16" w14:textId="77777777" w:rsidR="008D2352" w:rsidRDefault="008D2352" w:rsidP="00B0160F">
      <w:pPr>
        <w:spacing w:after="0" w:line="240" w:lineRule="auto"/>
      </w:pPr>
      <w:r>
        <w:separator/>
      </w:r>
    </w:p>
  </w:footnote>
  <w:footnote w:type="continuationSeparator" w:id="0">
    <w:p w14:paraId="01DBAF17" w14:textId="77777777" w:rsidR="008D2352" w:rsidRDefault="008D2352" w:rsidP="00E562BA">
      <w:pPr>
        <w:spacing w:after="0" w:line="240" w:lineRule="auto"/>
      </w:pPr>
      <w:r>
        <w:continuationSeparator/>
      </w:r>
    </w:p>
    <w:p w14:paraId="01DBAF18" w14:textId="77777777" w:rsidR="008D2352" w:rsidRDefault="008D2352"/>
    <w:p w14:paraId="01DBAF19" w14:textId="77777777" w:rsidR="008D2352" w:rsidRDefault="008D2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5235" w14:textId="77777777" w:rsidR="00AC1FFA" w:rsidRDefault="00AC1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20" w14:textId="77777777" w:rsidR="008D2352" w:rsidRPr="00EA5797" w:rsidRDefault="008D2352">
    <w:pPr>
      <w:pStyle w:val="Header"/>
      <w:rPr>
        <w:rFonts w:cs="Segoe UI"/>
        <w:color w:val="FF0000"/>
      </w:rPr>
    </w:pPr>
    <w:r>
      <w:rPr>
        <w:rFonts w:cs="Segoe UI"/>
        <w:color w:val="FF0000"/>
      </w:rPr>
      <w:tab/>
    </w:r>
    <w:r>
      <w:rPr>
        <w:rFonts w:cs="Segoe UI"/>
        <w:color w:val="FF0000"/>
      </w:rPr>
      <w:tab/>
    </w:r>
    <w:r>
      <w:rPr>
        <w:rFonts w:cs="Segoe UI"/>
      </w:rPr>
      <w:t>Regional Land Partnerships</w:t>
    </w:r>
    <w:r w:rsidRPr="003B0E2C">
      <w:rPr>
        <w:rFonts w:cs="Segoe UI"/>
      </w:rPr>
      <w:t xml:space="preserve"> Survey </w:t>
    </w:r>
    <w:r>
      <w:rPr>
        <w:rFonts w:cs="Segoe UI"/>
      </w:rPr>
      <w:t>Themes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2C" w14:textId="77777777" w:rsidR="008D2352" w:rsidRDefault="008D2352">
    <w:pPr>
      <w:pStyle w:val="Header"/>
    </w:pPr>
    <w:r w:rsidRPr="00790A83">
      <w:rPr>
        <w:noProof/>
        <w:lang w:eastAsia="en-AU"/>
      </w:rPr>
      <w:drawing>
        <wp:anchor distT="0" distB="0" distL="114300" distR="114300" simplePos="0" relativeHeight="251663360" behindDoc="1" locked="0" layoutInCell="1" allowOverlap="1" wp14:anchorId="01DBAF3C" wp14:editId="01DBAF3D">
          <wp:simplePos x="0" y="0"/>
          <wp:positionH relativeFrom="column">
            <wp:posOffset>-900430</wp:posOffset>
          </wp:positionH>
          <wp:positionV relativeFrom="page">
            <wp:posOffset>0</wp:posOffset>
          </wp:positionV>
          <wp:extent cx="7563484" cy="10695883"/>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D A4 Report Cover 14bOct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4" cy="10695883"/>
                  </a:xfrm>
                  <a:prstGeom prst="rect">
                    <a:avLst/>
                  </a:prstGeom>
                  <a:noFill/>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2F" w14:textId="77777777" w:rsidR="008D2352" w:rsidRDefault="008D23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30" w14:textId="77777777" w:rsidR="008D2352" w:rsidRPr="00EA5797" w:rsidRDefault="008D2352" w:rsidP="007525DB">
    <w:pPr>
      <w:pStyle w:val="Header"/>
      <w:rPr>
        <w:rFonts w:cs="Segoe UI"/>
        <w:color w:val="FF0000"/>
      </w:rPr>
    </w:pPr>
    <w:r w:rsidRPr="00EA5797">
      <w:rPr>
        <w:rFonts w:cs="Segoe UI"/>
        <w:color w:val="FF0000"/>
      </w:rPr>
      <w:tab/>
    </w:r>
    <w:r w:rsidRPr="00EA5797">
      <w:rPr>
        <w:rFonts w:cs="Segoe UI"/>
        <w:color w:val="FF0000"/>
      </w:rPr>
      <w:tab/>
    </w:r>
    <w:r w:rsidRPr="003B0E2C">
      <w:rPr>
        <w:rFonts w:cs="Segoe UI"/>
      </w:rPr>
      <w:t>Landcare Program Survey Theme Analysis</w:t>
    </w:r>
  </w:p>
  <w:p w14:paraId="01DBAF31" w14:textId="77777777" w:rsidR="008D2352" w:rsidRDefault="008D23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34" w14:textId="77777777" w:rsidR="008D2352" w:rsidRPr="00EA5797" w:rsidRDefault="008D2352" w:rsidP="007525DB">
    <w:pPr>
      <w:pStyle w:val="Header"/>
      <w:rPr>
        <w:rFonts w:cs="Segoe UI"/>
        <w:color w:val="FF0000"/>
      </w:rPr>
    </w:pPr>
    <w:r w:rsidRPr="003B0E2C">
      <w:rPr>
        <w:rFonts w:cs="Segoe UI"/>
      </w:rPr>
      <w:t>Draft</w:t>
    </w:r>
    <w:r w:rsidRPr="00EA5797">
      <w:rPr>
        <w:rFonts w:cs="Segoe UI"/>
        <w:color w:val="FF0000"/>
      </w:rPr>
      <w:tab/>
    </w:r>
    <w:r w:rsidRPr="00EA5797">
      <w:rPr>
        <w:rFonts w:cs="Segoe UI"/>
        <w:color w:val="FF0000"/>
      </w:rPr>
      <w:tab/>
    </w:r>
    <w:r w:rsidRPr="003B0E2C">
      <w:rPr>
        <w:rFonts w:cs="Segoe UI"/>
      </w:rPr>
      <w:t>Landcare Program Survey Theme Analysis</w:t>
    </w:r>
  </w:p>
  <w:p w14:paraId="01DBAF35" w14:textId="77777777" w:rsidR="008D2352" w:rsidRDefault="008D23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F37" w14:textId="77777777" w:rsidR="008D2352" w:rsidRDefault="008D2352">
    <w:pPr>
      <w:pStyle w:val="Header"/>
    </w:pPr>
    <w:r>
      <w:rPr>
        <w:rFonts w:cs="Segoe UI"/>
        <w:noProof/>
        <w:lang w:eastAsia="en-AU"/>
      </w:rPr>
      <w:drawing>
        <wp:anchor distT="0" distB="0" distL="114300" distR="114300" simplePos="0" relativeHeight="251669504" behindDoc="1" locked="0" layoutInCell="1" allowOverlap="1" wp14:anchorId="01DBAF44" wp14:editId="01DBAF45">
          <wp:simplePos x="0" y="0"/>
          <wp:positionH relativeFrom="margin">
            <wp:posOffset>-920750</wp:posOffset>
          </wp:positionH>
          <wp:positionV relativeFrom="margin">
            <wp:posOffset>-908050</wp:posOffset>
          </wp:positionV>
          <wp:extent cx="7557770" cy="1068832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D methods - how we do our work\Reporting\Desktop publishing\2015 Templates_in progress\2 - Word templates\Back page FINA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70"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3E"/>
    <w:multiLevelType w:val="multilevel"/>
    <w:tmpl w:val="A860E952"/>
    <w:styleLink w:val="Numbers"/>
    <w:lvl w:ilvl="0">
      <w:start w:val="1"/>
      <w:numFmt w:val="decimal"/>
      <w:pStyle w:val="ListNumber"/>
      <w:lvlText w:val="%1."/>
      <w:lvlJc w:val="left"/>
      <w:pPr>
        <w:tabs>
          <w:tab w:val="num" w:pos="454"/>
        </w:tabs>
        <w:ind w:left="454" w:hanging="454"/>
      </w:pPr>
      <w:rPr>
        <w:rFonts w:hint="default"/>
      </w:rPr>
    </w:lvl>
    <w:lvl w:ilvl="1">
      <w:start w:val="1"/>
      <w:numFmt w:val="lowerLetter"/>
      <w:pStyle w:val="Listletterlevel2"/>
      <w:lvlText w:val="%2)"/>
      <w:lvlJc w:val="left"/>
      <w:pPr>
        <w:tabs>
          <w:tab w:val="num" w:pos="907"/>
        </w:tabs>
        <w:ind w:left="907" w:hanging="453"/>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3D11ACE"/>
    <w:multiLevelType w:val="hybridMultilevel"/>
    <w:tmpl w:val="FC48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537"/>
    <w:multiLevelType w:val="multilevel"/>
    <w:tmpl w:val="139496F0"/>
    <w:styleLink w:val="TableBulletDash"/>
    <w:lvl w:ilvl="0">
      <w:numFmt w:val="bullet"/>
      <w:lvlText w:val="–"/>
      <w:lvlJc w:val="left"/>
      <w:pPr>
        <w:tabs>
          <w:tab w:val="num" w:pos="567"/>
        </w:tabs>
        <w:ind w:left="567" w:hanging="283"/>
      </w:pPr>
      <w:rPr>
        <w:rFonts w:ascii="Arial" w:hAnsi="Arial"/>
        <w:sz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87588"/>
    <w:multiLevelType w:val="hybridMultilevel"/>
    <w:tmpl w:val="54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C1227"/>
    <w:multiLevelType w:val="multilevel"/>
    <w:tmpl w:val="0C207A9A"/>
    <w:styleLink w:val="Bullets"/>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907"/>
        </w:tabs>
        <w:ind w:left="907" w:hanging="453"/>
      </w:pPr>
      <w:rPr>
        <w:rFonts w:ascii="Arial" w:hAnsi="Arial"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CA7C4B"/>
    <w:multiLevelType w:val="multilevel"/>
    <w:tmpl w:val="47AE426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794"/>
        </w:tabs>
        <w:ind w:left="794" w:hanging="794"/>
      </w:pPr>
      <w:rPr>
        <w:rFonts w:ascii="Symbol" w:hAnsi="Symbol"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6" w15:restartNumberingAfterBreak="0">
    <w:nsid w:val="1293478B"/>
    <w:multiLevelType w:val="hybridMultilevel"/>
    <w:tmpl w:val="A2C4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811A6"/>
    <w:multiLevelType w:val="hybridMultilevel"/>
    <w:tmpl w:val="C8A29C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175961CC"/>
    <w:multiLevelType w:val="hybridMultilevel"/>
    <w:tmpl w:val="544AFA9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17610ADE"/>
    <w:multiLevelType w:val="hybridMultilevel"/>
    <w:tmpl w:val="56EC3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C94F5E"/>
    <w:multiLevelType w:val="multilevel"/>
    <w:tmpl w:val="A860E952"/>
    <w:numStyleLink w:val="Numbers"/>
  </w:abstractNum>
  <w:abstractNum w:abstractNumId="11" w15:restartNumberingAfterBreak="0">
    <w:nsid w:val="210C7510"/>
    <w:multiLevelType w:val="multilevel"/>
    <w:tmpl w:val="FD8EC2D8"/>
    <w:styleLink w:val="TableNumbers"/>
    <w:lvl w:ilvl="0">
      <w:start w:val="1"/>
      <w:numFmt w:val="decimal"/>
      <w:pStyle w:val="TableHeading"/>
      <w:lvlText w:val="Table %1."/>
      <w:lvlJc w:val="left"/>
      <w:pPr>
        <w:tabs>
          <w:tab w:val="num" w:pos="1304"/>
        </w:tabs>
        <w:ind w:left="1304" w:hanging="1304"/>
      </w:pPr>
      <w:rPr>
        <w:rFonts w:hint="default"/>
      </w:rPr>
    </w:lvl>
    <w:lvl w:ilvl="1">
      <w:start w:val="1"/>
      <w:numFmt w:val="none"/>
      <w:lvlText w:val="Tabl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167257F"/>
    <w:multiLevelType w:val="hybridMultilevel"/>
    <w:tmpl w:val="4D8EA0EA"/>
    <w:lvl w:ilvl="0" w:tplc="687E2C50">
      <w:start w:val="1"/>
      <w:numFmt w:val="bullet"/>
      <w:pStyle w:val="Table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B4C61"/>
    <w:multiLevelType w:val="hybridMultilevel"/>
    <w:tmpl w:val="C318FA8E"/>
    <w:lvl w:ilvl="0" w:tplc="0C30D2E8">
      <w:start w:val="1"/>
      <w:numFmt w:val="decimal"/>
      <w:pStyle w:val="GeneralHeading2"/>
      <w:lvlText w:val="%1."/>
      <w:lvlJc w:val="left"/>
      <w:pPr>
        <w:ind w:left="360" w:hanging="360"/>
      </w:pPr>
      <w:rPr>
        <w:rFonts w:ascii="Segoe UI" w:hAnsi="Segoe UI" w:hint="default"/>
        <w:b/>
        <w:i w:val="0"/>
        <w:color w:val="08193E" w:themeColor="accent1"/>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37D6B"/>
    <w:multiLevelType w:val="hybridMultilevel"/>
    <w:tmpl w:val="7B14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21D39"/>
    <w:multiLevelType w:val="hybridMultilevel"/>
    <w:tmpl w:val="B99C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56712"/>
    <w:multiLevelType w:val="multilevel"/>
    <w:tmpl w:val="1922B4B2"/>
    <w:styleLink w:val="TableBullet0"/>
    <w:lvl w:ilvl="0">
      <w:start w:val="1"/>
      <w:numFmt w:val="bullet"/>
      <w:lvlText w:val=""/>
      <w:lvlJc w:val="left"/>
      <w:pPr>
        <w:tabs>
          <w:tab w:val="num" w:pos="284"/>
        </w:tabs>
        <w:ind w:left="284" w:hanging="284"/>
      </w:pPr>
      <w:rPr>
        <w:rFonts w:ascii="Symbol" w:hAnsi="Symbol"/>
        <w:sz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D4B27"/>
    <w:multiLevelType w:val="multilevel"/>
    <w:tmpl w:val="FD8EC2D8"/>
    <w:numStyleLink w:val="TableNumbers"/>
  </w:abstractNum>
  <w:abstractNum w:abstractNumId="18"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color w:val="000000"/>
        <w:sz w:val="22"/>
        <w:vertAlign w:val="baseline"/>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F2CD6"/>
    <w:multiLevelType w:val="multilevel"/>
    <w:tmpl w:val="96E67240"/>
    <w:styleLink w:val="Headings"/>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20" w15:restartNumberingAfterBreak="0">
    <w:nsid w:val="55D047E1"/>
    <w:multiLevelType w:val="hybridMultilevel"/>
    <w:tmpl w:val="76B8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10D86"/>
    <w:multiLevelType w:val="hybridMultilevel"/>
    <w:tmpl w:val="069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42867"/>
    <w:multiLevelType w:val="hybridMultilevel"/>
    <w:tmpl w:val="870A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95B85"/>
    <w:multiLevelType w:val="multilevel"/>
    <w:tmpl w:val="3DE617F8"/>
    <w:styleLink w:val="FigureNumbers"/>
    <w:lvl w:ilvl="0">
      <w:start w:val="1"/>
      <w:numFmt w:val="decimal"/>
      <w:pStyle w:val="FigureHeading"/>
      <w:lvlText w:val="Figure %1."/>
      <w:lvlJc w:val="left"/>
      <w:pPr>
        <w:tabs>
          <w:tab w:val="num" w:pos="1304"/>
        </w:tabs>
        <w:ind w:left="1304" w:hanging="1304"/>
      </w:pPr>
      <w:rPr>
        <w:rFonts w:hint="default"/>
      </w:rPr>
    </w:lvl>
    <w:lvl w:ilvl="1">
      <w:start w:val="1"/>
      <w:numFmt w:val="none"/>
      <w:lvlText w:val="Figur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31D2940"/>
    <w:multiLevelType w:val="multilevel"/>
    <w:tmpl w:val="3DE617F8"/>
    <w:numStyleLink w:val="FigureNumbers"/>
  </w:abstractNum>
  <w:abstractNum w:abstractNumId="25" w15:restartNumberingAfterBreak="0">
    <w:nsid w:val="6E952781"/>
    <w:multiLevelType w:val="hybridMultilevel"/>
    <w:tmpl w:val="348892AC"/>
    <w:lvl w:ilvl="0" w:tplc="49ACC6D2">
      <w:start w:val="1"/>
      <w:numFmt w:val="decimal"/>
      <w:pStyle w:val="Appendix"/>
      <w:lvlText w:val="Appendix %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color w:val="000000"/>
        <w:sz w:val="22"/>
        <w:vertAlign w:val="baseline"/>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F84B69"/>
    <w:multiLevelType w:val="multilevel"/>
    <w:tmpl w:val="62A0008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794"/>
        </w:tabs>
        <w:ind w:left="794" w:hanging="794"/>
      </w:pPr>
      <w:rPr>
        <w:rFonts w:ascii="Symbol" w:hAnsi="Symbol"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bullet"/>
      <w:lvlText w:val=""/>
      <w:lvlJc w:val="left"/>
      <w:pPr>
        <w:tabs>
          <w:tab w:val="num" w:pos="340"/>
        </w:tabs>
        <w:ind w:left="340" w:hanging="340"/>
      </w:pPr>
      <w:rPr>
        <w:rFonts w:ascii="Symbol" w:hAnsi="Symbol"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28" w15:restartNumberingAfterBreak="0">
    <w:nsid w:val="7DD36E97"/>
    <w:multiLevelType w:val="multilevel"/>
    <w:tmpl w:val="0C207A9A"/>
    <w:lvl w:ilvl="0">
      <w:start w:val="1"/>
      <w:numFmt w:val="bullet"/>
      <w:pStyle w:val="ListBullet"/>
      <w:lvlText w:val=""/>
      <w:lvlJc w:val="left"/>
      <w:pPr>
        <w:tabs>
          <w:tab w:val="num" w:pos="454"/>
        </w:tabs>
        <w:ind w:left="454" w:hanging="454"/>
      </w:pPr>
      <w:rPr>
        <w:rFonts w:ascii="Wingdings" w:hAnsi="Wingdings" w:hint="default"/>
      </w:rPr>
    </w:lvl>
    <w:lvl w:ilvl="1">
      <w:start w:val="1"/>
      <w:numFmt w:val="bullet"/>
      <w:pStyle w:val="Listdashlevel2"/>
      <w:lvlText w:val="–"/>
      <w:lvlJc w:val="left"/>
      <w:pPr>
        <w:tabs>
          <w:tab w:val="num" w:pos="907"/>
        </w:tabs>
        <w:ind w:left="907" w:hanging="453"/>
      </w:pPr>
      <w:rPr>
        <w:rFonts w:ascii="Arial" w:hAnsi="Arial"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2"/>
  </w:num>
  <w:num w:numId="2">
    <w:abstractNumId w:val="16"/>
  </w:num>
  <w:num w:numId="3">
    <w:abstractNumId w:val="2"/>
  </w:num>
  <w:num w:numId="4">
    <w:abstractNumId w:val="18"/>
  </w:num>
  <w:num w:numId="5">
    <w:abstractNumId w:val="19"/>
    <w:lvlOverride w:ilvl="1">
      <w:lvl w:ilvl="1">
        <w:start w:val="1"/>
        <w:numFmt w:val="decimal"/>
        <w:pStyle w:val="Heading2"/>
        <w:lvlText w:val="%1.%2"/>
        <w:lvlJc w:val="left"/>
        <w:pPr>
          <w:tabs>
            <w:tab w:val="num" w:pos="680"/>
          </w:tabs>
          <w:ind w:left="680" w:hanging="680"/>
        </w:pPr>
        <w:rPr>
          <w:rFonts w:hint="default"/>
        </w:rPr>
      </w:lvl>
    </w:lvlOverride>
    <w:lvlOverride w:ilvl="0"/>
  </w:num>
  <w:num w:numId="6">
    <w:abstractNumId w:val="4"/>
  </w:num>
  <w:num w:numId="7">
    <w:abstractNumId w:val="26"/>
  </w:num>
  <w:num w:numId="8">
    <w:abstractNumId w:val="11"/>
  </w:num>
  <w:num w:numId="9">
    <w:abstractNumId w:val="23"/>
  </w:num>
  <w:num w:numId="10">
    <w:abstractNumId w:val="24"/>
  </w:num>
  <w:num w:numId="11">
    <w:abstractNumId w:val="17"/>
  </w:num>
  <w:num w:numId="12">
    <w:abstractNumId w:val="0"/>
  </w:num>
  <w:num w:numId="13">
    <w:abstractNumId w:val="10"/>
  </w:num>
  <w:num w:numId="14">
    <w:abstractNumId w:val="28"/>
  </w:num>
  <w:num w:numId="15">
    <w:abstractNumId w:val="13"/>
  </w:num>
  <w:num w:numId="16">
    <w:abstractNumId w:val="25"/>
  </w:num>
  <w:num w:numId="17">
    <w:abstractNumId w:val="19"/>
  </w:num>
  <w:num w:numId="18">
    <w:abstractNumId w:val="1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7"/>
  </w:num>
  <w:num w:numId="24">
    <w:abstractNumId w:val="20"/>
  </w:num>
  <w:num w:numId="25">
    <w:abstractNumId w:val="21"/>
  </w:num>
  <w:num w:numId="26">
    <w:abstractNumId w:val="6"/>
  </w:num>
  <w:num w:numId="27">
    <w:abstractNumId w:val="15"/>
  </w:num>
  <w:num w:numId="28">
    <w:abstractNumId w:val="14"/>
  </w:num>
  <w:num w:numId="29">
    <w:abstractNumId w:val="22"/>
  </w:num>
  <w:num w:numId="30">
    <w:abstractNumId w:val="9"/>
  </w:num>
  <w:num w:numId="31">
    <w:abstractNumId w:val="5"/>
  </w:num>
  <w:num w:numId="32">
    <w:abstractNumId w:val="27"/>
  </w:num>
  <w:num w:numId="3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rawingGridHorizontalSpacing w:val="105"/>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4F"/>
    <w:rsid w:val="00001B58"/>
    <w:rsid w:val="00002F5D"/>
    <w:rsid w:val="00003BAC"/>
    <w:rsid w:val="000052A2"/>
    <w:rsid w:val="00005DBA"/>
    <w:rsid w:val="00006ECC"/>
    <w:rsid w:val="00007F19"/>
    <w:rsid w:val="0001452D"/>
    <w:rsid w:val="00016343"/>
    <w:rsid w:val="0001668B"/>
    <w:rsid w:val="00016E53"/>
    <w:rsid w:val="000171B4"/>
    <w:rsid w:val="0002056C"/>
    <w:rsid w:val="00027650"/>
    <w:rsid w:val="00033A4A"/>
    <w:rsid w:val="0004074B"/>
    <w:rsid w:val="0004115D"/>
    <w:rsid w:val="0004125A"/>
    <w:rsid w:val="00042AD0"/>
    <w:rsid w:val="00043EEC"/>
    <w:rsid w:val="000536CA"/>
    <w:rsid w:val="00063F5A"/>
    <w:rsid w:val="00066D82"/>
    <w:rsid w:val="00070115"/>
    <w:rsid w:val="00070D69"/>
    <w:rsid w:val="00071CBD"/>
    <w:rsid w:val="00072CEF"/>
    <w:rsid w:val="000753D9"/>
    <w:rsid w:val="00075D4F"/>
    <w:rsid w:val="000765EC"/>
    <w:rsid w:val="000768A5"/>
    <w:rsid w:val="00083A5C"/>
    <w:rsid w:val="0008509F"/>
    <w:rsid w:val="00085959"/>
    <w:rsid w:val="00087199"/>
    <w:rsid w:val="00090E8F"/>
    <w:rsid w:val="00095BAD"/>
    <w:rsid w:val="000A5AA8"/>
    <w:rsid w:val="000C13A9"/>
    <w:rsid w:val="000C308E"/>
    <w:rsid w:val="000C423D"/>
    <w:rsid w:val="000C4840"/>
    <w:rsid w:val="000C4C95"/>
    <w:rsid w:val="000C5851"/>
    <w:rsid w:val="000C65C1"/>
    <w:rsid w:val="000C693C"/>
    <w:rsid w:val="000C6DC0"/>
    <w:rsid w:val="000C744A"/>
    <w:rsid w:val="000C7CF2"/>
    <w:rsid w:val="000D1489"/>
    <w:rsid w:val="000D6E0B"/>
    <w:rsid w:val="000E1982"/>
    <w:rsid w:val="000E3B31"/>
    <w:rsid w:val="000E402D"/>
    <w:rsid w:val="000E7FCA"/>
    <w:rsid w:val="000F01F6"/>
    <w:rsid w:val="000F1829"/>
    <w:rsid w:val="000F4A64"/>
    <w:rsid w:val="001030FD"/>
    <w:rsid w:val="00105D2B"/>
    <w:rsid w:val="001108B2"/>
    <w:rsid w:val="00113ECE"/>
    <w:rsid w:val="00125BD3"/>
    <w:rsid w:val="001320F7"/>
    <w:rsid w:val="001334F9"/>
    <w:rsid w:val="00134E55"/>
    <w:rsid w:val="0013643A"/>
    <w:rsid w:val="00137989"/>
    <w:rsid w:val="001407E0"/>
    <w:rsid w:val="00142D6A"/>
    <w:rsid w:val="001437D8"/>
    <w:rsid w:val="00146B48"/>
    <w:rsid w:val="00146F82"/>
    <w:rsid w:val="00147661"/>
    <w:rsid w:val="0015253D"/>
    <w:rsid w:val="00155800"/>
    <w:rsid w:val="00161C17"/>
    <w:rsid w:val="00164348"/>
    <w:rsid w:val="00164742"/>
    <w:rsid w:val="00167B94"/>
    <w:rsid w:val="00173866"/>
    <w:rsid w:val="00174835"/>
    <w:rsid w:val="00180495"/>
    <w:rsid w:val="00180505"/>
    <w:rsid w:val="00180F10"/>
    <w:rsid w:val="00181941"/>
    <w:rsid w:val="0018339B"/>
    <w:rsid w:val="001842BF"/>
    <w:rsid w:val="001907A3"/>
    <w:rsid w:val="00197833"/>
    <w:rsid w:val="001A37A9"/>
    <w:rsid w:val="001A465B"/>
    <w:rsid w:val="001A4B34"/>
    <w:rsid w:val="001A58EC"/>
    <w:rsid w:val="001B1433"/>
    <w:rsid w:val="001B15C7"/>
    <w:rsid w:val="001B714F"/>
    <w:rsid w:val="001B7265"/>
    <w:rsid w:val="001B7F82"/>
    <w:rsid w:val="001C1ADA"/>
    <w:rsid w:val="001C2734"/>
    <w:rsid w:val="001C703D"/>
    <w:rsid w:val="001C70D1"/>
    <w:rsid w:val="001D074D"/>
    <w:rsid w:val="001D0FA5"/>
    <w:rsid w:val="001D1082"/>
    <w:rsid w:val="001D179D"/>
    <w:rsid w:val="001D36AA"/>
    <w:rsid w:val="001D5AD7"/>
    <w:rsid w:val="001D5B10"/>
    <w:rsid w:val="001D5C0B"/>
    <w:rsid w:val="001D6D66"/>
    <w:rsid w:val="001E3BAE"/>
    <w:rsid w:val="001E516A"/>
    <w:rsid w:val="001E6A00"/>
    <w:rsid w:val="001E778E"/>
    <w:rsid w:val="001F0366"/>
    <w:rsid w:val="001F4088"/>
    <w:rsid w:val="00203259"/>
    <w:rsid w:val="002044AE"/>
    <w:rsid w:val="00221F75"/>
    <w:rsid w:val="00222CA3"/>
    <w:rsid w:val="002230DF"/>
    <w:rsid w:val="002257F5"/>
    <w:rsid w:val="002308FB"/>
    <w:rsid w:val="00231572"/>
    <w:rsid w:val="00232321"/>
    <w:rsid w:val="002326E9"/>
    <w:rsid w:val="00237565"/>
    <w:rsid w:val="00240736"/>
    <w:rsid w:val="00241E76"/>
    <w:rsid w:val="00243661"/>
    <w:rsid w:val="00250FAC"/>
    <w:rsid w:val="00252122"/>
    <w:rsid w:val="002526A2"/>
    <w:rsid w:val="002643F5"/>
    <w:rsid w:val="00266C8A"/>
    <w:rsid w:val="00271F61"/>
    <w:rsid w:val="00272CF9"/>
    <w:rsid w:val="002774BA"/>
    <w:rsid w:val="00281818"/>
    <w:rsid w:val="0028337A"/>
    <w:rsid w:val="002836F4"/>
    <w:rsid w:val="00287041"/>
    <w:rsid w:val="0029372B"/>
    <w:rsid w:val="00295762"/>
    <w:rsid w:val="00296427"/>
    <w:rsid w:val="002A33D1"/>
    <w:rsid w:val="002A5C4F"/>
    <w:rsid w:val="002A6779"/>
    <w:rsid w:val="002B2ED9"/>
    <w:rsid w:val="002B2FFD"/>
    <w:rsid w:val="002B40A3"/>
    <w:rsid w:val="002B487E"/>
    <w:rsid w:val="002C24FE"/>
    <w:rsid w:val="002C3936"/>
    <w:rsid w:val="002C4131"/>
    <w:rsid w:val="002D1F0C"/>
    <w:rsid w:val="002D42B4"/>
    <w:rsid w:val="002D5D36"/>
    <w:rsid w:val="002E1032"/>
    <w:rsid w:val="002E51BD"/>
    <w:rsid w:val="002F424D"/>
    <w:rsid w:val="002F5167"/>
    <w:rsid w:val="003001B0"/>
    <w:rsid w:val="00303CE3"/>
    <w:rsid w:val="00306178"/>
    <w:rsid w:val="003062E1"/>
    <w:rsid w:val="00311160"/>
    <w:rsid w:val="00313672"/>
    <w:rsid w:val="00314546"/>
    <w:rsid w:val="00316680"/>
    <w:rsid w:val="00317BC9"/>
    <w:rsid w:val="00320E4C"/>
    <w:rsid w:val="00324930"/>
    <w:rsid w:val="00341523"/>
    <w:rsid w:val="00341B1F"/>
    <w:rsid w:val="003427B8"/>
    <w:rsid w:val="00345B49"/>
    <w:rsid w:val="00353C82"/>
    <w:rsid w:val="00355EE9"/>
    <w:rsid w:val="00357808"/>
    <w:rsid w:val="003623A3"/>
    <w:rsid w:val="00362681"/>
    <w:rsid w:val="00363BFA"/>
    <w:rsid w:val="003722DD"/>
    <w:rsid w:val="00391521"/>
    <w:rsid w:val="00392901"/>
    <w:rsid w:val="00395658"/>
    <w:rsid w:val="003970EA"/>
    <w:rsid w:val="003A0DDD"/>
    <w:rsid w:val="003A13C1"/>
    <w:rsid w:val="003A15CB"/>
    <w:rsid w:val="003A1BD9"/>
    <w:rsid w:val="003A6913"/>
    <w:rsid w:val="003A6D31"/>
    <w:rsid w:val="003A7CD4"/>
    <w:rsid w:val="003B0E2C"/>
    <w:rsid w:val="003C1B5B"/>
    <w:rsid w:val="003C385E"/>
    <w:rsid w:val="003C5131"/>
    <w:rsid w:val="003C57CD"/>
    <w:rsid w:val="003C57F0"/>
    <w:rsid w:val="003D0B49"/>
    <w:rsid w:val="003D3C50"/>
    <w:rsid w:val="003D49C9"/>
    <w:rsid w:val="003D4D69"/>
    <w:rsid w:val="003E1CB6"/>
    <w:rsid w:val="003E2A2B"/>
    <w:rsid w:val="003E453C"/>
    <w:rsid w:val="003E57C6"/>
    <w:rsid w:val="003E5AC0"/>
    <w:rsid w:val="003E6119"/>
    <w:rsid w:val="003F0ADB"/>
    <w:rsid w:val="003F4232"/>
    <w:rsid w:val="003F56B9"/>
    <w:rsid w:val="004075F7"/>
    <w:rsid w:val="00407EDA"/>
    <w:rsid w:val="00414AB0"/>
    <w:rsid w:val="00415689"/>
    <w:rsid w:val="00420E22"/>
    <w:rsid w:val="004212C2"/>
    <w:rsid w:val="00422500"/>
    <w:rsid w:val="0042554C"/>
    <w:rsid w:val="00426B8F"/>
    <w:rsid w:val="0043003A"/>
    <w:rsid w:val="00431C6B"/>
    <w:rsid w:val="00433534"/>
    <w:rsid w:val="00434286"/>
    <w:rsid w:val="004365ED"/>
    <w:rsid w:val="00447264"/>
    <w:rsid w:val="00447306"/>
    <w:rsid w:val="00447D48"/>
    <w:rsid w:val="00451CEF"/>
    <w:rsid w:val="00451E38"/>
    <w:rsid w:val="00451EB1"/>
    <w:rsid w:val="00452203"/>
    <w:rsid w:val="004551B7"/>
    <w:rsid w:val="00456026"/>
    <w:rsid w:val="00456D52"/>
    <w:rsid w:val="00462AA9"/>
    <w:rsid w:val="00464B1F"/>
    <w:rsid w:val="00465115"/>
    <w:rsid w:val="00470003"/>
    <w:rsid w:val="00472CF2"/>
    <w:rsid w:val="00474630"/>
    <w:rsid w:val="004746FE"/>
    <w:rsid w:val="00474952"/>
    <w:rsid w:val="0048064A"/>
    <w:rsid w:val="00480BA8"/>
    <w:rsid w:val="00483C96"/>
    <w:rsid w:val="00491ED7"/>
    <w:rsid w:val="00495F6A"/>
    <w:rsid w:val="004A2B5E"/>
    <w:rsid w:val="004A6221"/>
    <w:rsid w:val="004A7941"/>
    <w:rsid w:val="004B3CA6"/>
    <w:rsid w:val="004B606E"/>
    <w:rsid w:val="004B726E"/>
    <w:rsid w:val="004C3E61"/>
    <w:rsid w:val="004C4463"/>
    <w:rsid w:val="004C7893"/>
    <w:rsid w:val="004D28DF"/>
    <w:rsid w:val="004D28E4"/>
    <w:rsid w:val="004D68AF"/>
    <w:rsid w:val="004E069C"/>
    <w:rsid w:val="004E389F"/>
    <w:rsid w:val="004E6C4B"/>
    <w:rsid w:val="004E7076"/>
    <w:rsid w:val="004F2762"/>
    <w:rsid w:val="004F4C01"/>
    <w:rsid w:val="004F6B2E"/>
    <w:rsid w:val="005069E9"/>
    <w:rsid w:val="00506F23"/>
    <w:rsid w:val="0051177F"/>
    <w:rsid w:val="00511E1D"/>
    <w:rsid w:val="0051315F"/>
    <w:rsid w:val="00514813"/>
    <w:rsid w:val="005223D5"/>
    <w:rsid w:val="00522E81"/>
    <w:rsid w:val="00524658"/>
    <w:rsid w:val="00526F3B"/>
    <w:rsid w:val="00527AA4"/>
    <w:rsid w:val="005403ED"/>
    <w:rsid w:val="00544E09"/>
    <w:rsid w:val="00545242"/>
    <w:rsid w:val="00547388"/>
    <w:rsid w:val="0054795F"/>
    <w:rsid w:val="00554C52"/>
    <w:rsid w:val="005609CA"/>
    <w:rsid w:val="00576212"/>
    <w:rsid w:val="00576E0F"/>
    <w:rsid w:val="00582766"/>
    <w:rsid w:val="00594613"/>
    <w:rsid w:val="00596A16"/>
    <w:rsid w:val="005972E8"/>
    <w:rsid w:val="005979A1"/>
    <w:rsid w:val="005A1933"/>
    <w:rsid w:val="005A4B01"/>
    <w:rsid w:val="005A554E"/>
    <w:rsid w:val="005A5F5D"/>
    <w:rsid w:val="005A61A5"/>
    <w:rsid w:val="005B2F64"/>
    <w:rsid w:val="005C5824"/>
    <w:rsid w:val="005C5F63"/>
    <w:rsid w:val="005D417F"/>
    <w:rsid w:val="005D610C"/>
    <w:rsid w:val="005D7D59"/>
    <w:rsid w:val="005E0F56"/>
    <w:rsid w:val="005E0FDF"/>
    <w:rsid w:val="005E4CC0"/>
    <w:rsid w:val="005E56E3"/>
    <w:rsid w:val="005F2AB0"/>
    <w:rsid w:val="0060022D"/>
    <w:rsid w:val="00602957"/>
    <w:rsid w:val="006032A8"/>
    <w:rsid w:val="0060450F"/>
    <w:rsid w:val="00606580"/>
    <w:rsid w:val="006069CE"/>
    <w:rsid w:val="00615ACA"/>
    <w:rsid w:val="00615D0C"/>
    <w:rsid w:val="00617873"/>
    <w:rsid w:val="00617C55"/>
    <w:rsid w:val="00620DF2"/>
    <w:rsid w:val="006257C6"/>
    <w:rsid w:val="00630D0B"/>
    <w:rsid w:val="00632320"/>
    <w:rsid w:val="0063337C"/>
    <w:rsid w:val="0063502B"/>
    <w:rsid w:val="00635988"/>
    <w:rsid w:val="00641532"/>
    <w:rsid w:val="00647572"/>
    <w:rsid w:val="00647FAA"/>
    <w:rsid w:val="006538C8"/>
    <w:rsid w:val="006560C6"/>
    <w:rsid w:val="0066049D"/>
    <w:rsid w:val="00660CA9"/>
    <w:rsid w:val="00662AD0"/>
    <w:rsid w:val="00664A7C"/>
    <w:rsid w:val="00664CBE"/>
    <w:rsid w:val="0066671E"/>
    <w:rsid w:val="0067297F"/>
    <w:rsid w:val="00675474"/>
    <w:rsid w:val="00676AB4"/>
    <w:rsid w:val="006842EC"/>
    <w:rsid w:val="00684F81"/>
    <w:rsid w:val="00690B7B"/>
    <w:rsid w:val="006921F7"/>
    <w:rsid w:val="00693671"/>
    <w:rsid w:val="006975E7"/>
    <w:rsid w:val="006976E1"/>
    <w:rsid w:val="006A1F9C"/>
    <w:rsid w:val="006A793A"/>
    <w:rsid w:val="006B04FC"/>
    <w:rsid w:val="006B0F42"/>
    <w:rsid w:val="006B1422"/>
    <w:rsid w:val="006B36D4"/>
    <w:rsid w:val="006B78B7"/>
    <w:rsid w:val="006C3B2C"/>
    <w:rsid w:val="006C506C"/>
    <w:rsid w:val="006C6CF6"/>
    <w:rsid w:val="006D00EA"/>
    <w:rsid w:val="006D10EE"/>
    <w:rsid w:val="006D625B"/>
    <w:rsid w:val="006E46C0"/>
    <w:rsid w:val="006E6193"/>
    <w:rsid w:val="006E6EE4"/>
    <w:rsid w:val="006F3BDF"/>
    <w:rsid w:val="00701508"/>
    <w:rsid w:val="00702F1B"/>
    <w:rsid w:val="0070391D"/>
    <w:rsid w:val="00704376"/>
    <w:rsid w:val="00707F3D"/>
    <w:rsid w:val="00711C20"/>
    <w:rsid w:val="0071226C"/>
    <w:rsid w:val="0071250C"/>
    <w:rsid w:val="00712708"/>
    <w:rsid w:val="00715E0F"/>
    <w:rsid w:val="00720F9D"/>
    <w:rsid w:val="00723C80"/>
    <w:rsid w:val="0072491E"/>
    <w:rsid w:val="0072529E"/>
    <w:rsid w:val="00726E3E"/>
    <w:rsid w:val="00732968"/>
    <w:rsid w:val="00732D11"/>
    <w:rsid w:val="00733A0E"/>
    <w:rsid w:val="00734AE6"/>
    <w:rsid w:val="007371D6"/>
    <w:rsid w:val="00740447"/>
    <w:rsid w:val="00741312"/>
    <w:rsid w:val="007423AA"/>
    <w:rsid w:val="00743D8A"/>
    <w:rsid w:val="007447BC"/>
    <w:rsid w:val="00744F3A"/>
    <w:rsid w:val="0074505F"/>
    <w:rsid w:val="007469CA"/>
    <w:rsid w:val="00747944"/>
    <w:rsid w:val="00751CE7"/>
    <w:rsid w:val="007525DB"/>
    <w:rsid w:val="007547A6"/>
    <w:rsid w:val="00754A00"/>
    <w:rsid w:val="00755B32"/>
    <w:rsid w:val="00756726"/>
    <w:rsid w:val="00757CA7"/>
    <w:rsid w:val="00764BDC"/>
    <w:rsid w:val="0076746C"/>
    <w:rsid w:val="00770167"/>
    <w:rsid w:val="007702EB"/>
    <w:rsid w:val="0077225C"/>
    <w:rsid w:val="00774E29"/>
    <w:rsid w:val="00775654"/>
    <w:rsid w:val="00782AB6"/>
    <w:rsid w:val="00782CAB"/>
    <w:rsid w:val="00783B1B"/>
    <w:rsid w:val="00786062"/>
    <w:rsid w:val="00787478"/>
    <w:rsid w:val="00790A83"/>
    <w:rsid w:val="00793EC2"/>
    <w:rsid w:val="007A1F2C"/>
    <w:rsid w:val="007A2AC5"/>
    <w:rsid w:val="007A4F4D"/>
    <w:rsid w:val="007A61BD"/>
    <w:rsid w:val="007A6742"/>
    <w:rsid w:val="007A69DF"/>
    <w:rsid w:val="007B718C"/>
    <w:rsid w:val="007B7879"/>
    <w:rsid w:val="007C281A"/>
    <w:rsid w:val="007C5BC7"/>
    <w:rsid w:val="007C629D"/>
    <w:rsid w:val="007D438D"/>
    <w:rsid w:val="007E1681"/>
    <w:rsid w:val="007E3D7A"/>
    <w:rsid w:val="007F0D2A"/>
    <w:rsid w:val="007F1213"/>
    <w:rsid w:val="007F72EC"/>
    <w:rsid w:val="00800EE4"/>
    <w:rsid w:val="00801A6D"/>
    <w:rsid w:val="008023C7"/>
    <w:rsid w:val="00807725"/>
    <w:rsid w:val="00807FB0"/>
    <w:rsid w:val="00814815"/>
    <w:rsid w:val="008211A8"/>
    <w:rsid w:val="00821FCE"/>
    <w:rsid w:val="00824B26"/>
    <w:rsid w:val="00825387"/>
    <w:rsid w:val="00825963"/>
    <w:rsid w:val="0082792A"/>
    <w:rsid w:val="0083241A"/>
    <w:rsid w:val="00835237"/>
    <w:rsid w:val="0084260F"/>
    <w:rsid w:val="00850913"/>
    <w:rsid w:val="008531CD"/>
    <w:rsid w:val="00855613"/>
    <w:rsid w:val="00855791"/>
    <w:rsid w:val="00855BCC"/>
    <w:rsid w:val="00856C53"/>
    <w:rsid w:val="00857B18"/>
    <w:rsid w:val="00863023"/>
    <w:rsid w:val="0086590C"/>
    <w:rsid w:val="00870602"/>
    <w:rsid w:val="00870C5F"/>
    <w:rsid w:val="00872A99"/>
    <w:rsid w:val="0088045F"/>
    <w:rsid w:val="00880B84"/>
    <w:rsid w:val="00880D5A"/>
    <w:rsid w:val="0088517E"/>
    <w:rsid w:val="008851F5"/>
    <w:rsid w:val="00885AFC"/>
    <w:rsid w:val="00886622"/>
    <w:rsid w:val="00886CC5"/>
    <w:rsid w:val="00892961"/>
    <w:rsid w:val="00893C25"/>
    <w:rsid w:val="00895E46"/>
    <w:rsid w:val="00896DB2"/>
    <w:rsid w:val="008974EC"/>
    <w:rsid w:val="008A0045"/>
    <w:rsid w:val="008A0A5D"/>
    <w:rsid w:val="008A13D2"/>
    <w:rsid w:val="008A2E36"/>
    <w:rsid w:val="008A4378"/>
    <w:rsid w:val="008A74C7"/>
    <w:rsid w:val="008B79D6"/>
    <w:rsid w:val="008C70F3"/>
    <w:rsid w:val="008D1CC1"/>
    <w:rsid w:val="008D2352"/>
    <w:rsid w:val="008D26FD"/>
    <w:rsid w:val="008D692F"/>
    <w:rsid w:val="008E49C1"/>
    <w:rsid w:val="008E4B6D"/>
    <w:rsid w:val="008E5493"/>
    <w:rsid w:val="008E69F4"/>
    <w:rsid w:val="008E7BFA"/>
    <w:rsid w:val="008F24F8"/>
    <w:rsid w:val="008F288D"/>
    <w:rsid w:val="008F4511"/>
    <w:rsid w:val="008F6C08"/>
    <w:rsid w:val="008F77FB"/>
    <w:rsid w:val="009005F3"/>
    <w:rsid w:val="00900881"/>
    <w:rsid w:val="00900EAD"/>
    <w:rsid w:val="0090209B"/>
    <w:rsid w:val="009054D4"/>
    <w:rsid w:val="00906B70"/>
    <w:rsid w:val="0090794C"/>
    <w:rsid w:val="00911338"/>
    <w:rsid w:val="00914F91"/>
    <w:rsid w:val="00921CFD"/>
    <w:rsid w:val="0092258C"/>
    <w:rsid w:val="00925230"/>
    <w:rsid w:val="00931059"/>
    <w:rsid w:val="009346D6"/>
    <w:rsid w:val="009349D9"/>
    <w:rsid w:val="00950822"/>
    <w:rsid w:val="00950B79"/>
    <w:rsid w:val="00952C03"/>
    <w:rsid w:val="00953FC2"/>
    <w:rsid w:val="00954A04"/>
    <w:rsid w:val="009551B2"/>
    <w:rsid w:val="00955906"/>
    <w:rsid w:val="0096006C"/>
    <w:rsid w:val="00962DDE"/>
    <w:rsid w:val="00964A4C"/>
    <w:rsid w:val="00966967"/>
    <w:rsid w:val="00970DF0"/>
    <w:rsid w:val="009722B9"/>
    <w:rsid w:val="00974875"/>
    <w:rsid w:val="00975266"/>
    <w:rsid w:val="009833E1"/>
    <w:rsid w:val="0098406C"/>
    <w:rsid w:val="009849B4"/>
    <w:rsid w:val="00986165"/>
    <w:rsid w:val="00991939"/>
    <w:rsid w:val="0099732E"/>
    <w:rsid w:val="009A3E29"/>
    <w:rsid w:val="009A5F89"/>
    <w:rsid w:val="009A699E"/>
    <w:rsid w:val="009A6DCE"/>
    <w:rsid w:val="009B2C8B"/>
    <w:rsid w:val="009B5AEF"/>
    <w:rsid w:val="009B743F"/>
    <w:rsid w:val="009B76F0"/>
    <w:rsid w:val="009C02A1"/>
    <w:rsid w:val="009C3FEA"/>
    <w:rsid w:val="009D09FC"/>
    <w:rsid w:val="009D5E90"/>
    <w:rsid w:val="009E264A"/>
    <w:rsid w:val="009E4866"/>
    <w:rsid w:val="009E58B3"/>
    <w:rsid w:val="009E7DB8"/>
    <w:rsid w:val="009F036C"/>
    <w:rsid w:val="009F03D3"/>
    <w:rsid w:val="009F217D"/>
    <w:rsid w:val="009F2E28"/>
    <w:rsid w:val="009F423C"/>
    <w:rsid w:val="009F4E57"/>
    <w:rsid w:val="00A01222"/>
    <w:rsid w:val="00A02D54"/>
    <w:rsid w:val="00A0355D"/>
    <w:rsid w:val="00A047DA"/>
    <w:rsid w:val="00A0597E"/>
    <w:rsid w:val="00A100D2"/>
    <w:rsid w:val="00A11C64"/>
    <w:rsid w:val="00A13C43"/>
    <w:rsid w:val="00A14020"/>
    <w:rsid w:val="00A142CF"/>
    <w:rsid w:val="00A23DDD"/>
    <w:rsid w:val="00A303EE"/>
    <w:rsid w:val="00A314A4"/>
    <w:rsid w:val="00A31B5D"/>
    <w:rsid w:val="00A3339D"/>
    <w:rsid w:val="00A37BCE"/>
    <w:rsid w:val="00A44AEB"/>
    <w:rsid w:val="00A47B7E"/>
    <w:rsid w:val="00A52C2F"/>
    <w:rsid w:val="00A57E69"/>
    <w:rsid w:val="00A60048"/>
    <w:rsid w:val="00A61ADC"/>
    <w:rsid w:val="00A63101"/>
    <w:rsid w:val="00A63BA6"/>
    <w:rsid w:val="00A63D04"/>
    <w:rsid w:val="00A64399"/>
    <w:rsid w:val="00A70A0E"/>
    <w:rsid w:val="00A72E2E"/>
    <w:rsid w:val="00A74111"/>
    <w:rsid w:val="00A76C67"/>
    <w:rsid w:val="00A77922"/>
    <w:rsid w:val="00A832B3"/>
    <w:rsid w:val="00A855A2"/>
    <w:rsid w:val="00A862BA"/>
    <w:rsid w:val="00A92106"/>
    <w:rsid w:val="00A93099"/>
    <w:rsid w:val="00A93F8A"/>
    <w:rsid w:val="00A94D4A"/>
    <w:rsid w:val="00A95673"/>
    <w:rsid w:val="00AA18E4"/>
    <w:rsid w:val="00AA7E94"/>
    <w:rsid w:val="00AB0C5F"/>
    <w:rsid w:val="00AB3327"/>
    <w:rsid w:val="00AB346C"/>
    <w:rsid w:val="00AB3C76"/>
    <w:rsid w:val="00AB4E5B"/>
    <w:rsid w:val="00AB6AB8"/>
    <w:rsid w:val="00AC1FFA"/>
    <w:rsid w:val="00AC67B4"/>
    <w:rsid w:val="00AD0134"/>
    <w:rsid w:val="00AD0FD0"/>
    <w:rsid w:val="00AD46E7"/>
    <w:rsid w:val="00AD49F4"/>
    <w:rsid w:val="00AD5B7E"/>
    <w:rsid w:val="00AD745A"/>
    <w:rsid w:val="00AE6114"/>
    <w:rsid w:val="00AE61F2"/>
    <w:rsid w:val="00AE7096"/>
    <w:rsid w:val="00AE786D"/>
    <w:rsid w:val="00AE78E4"/>
    <w:rsid w:val="00AF0377"/>
    <w:rsid w:val="00AF117A"/>
    <w:rsid w:val="00AF1FD3"/>
    <w:rsid w:val="00AF6244"/>
    <w:rsid w:val="00AF6BA7"/>
    <w:rsid w:val="00AF723B"/>
    <w:rsid w:val="00B0160F"/>
    <w:rsid w:val="00B065C3"/>
    <w:rsid w:val="00B1102A"/>
    <w:rsid w:val="00B1151F"/>
    <w:rsid w:val="00B12EC0"/>
    <w:rsid w:val="00B17B3B"/>
    <w:rsid w:val="00B24B3F"/>
    <w:rsid w:val="00B2532E"/>
    <w:rsid w:val="00B27FB2"/>
    <w:rsid w:val="00B3134C"/>
    <w:rsid w:val="00B333A6"/>
    <w:rsid w:val="00B36D1B"/>
    <w:rsid w:val="00B37F13"/>
    <w:rsid w:val="00B40BFF"/>
    <w:rsid w:val="00B432E0"/>
    <w:rsid w:val="00B46345"/>
    <w:rsid w:val="00B463BC"/>
    <w:rsid w:val="00B50447"/>
    <w:rsid w:val="00B5071F"/>
    <w:rsid w:val="00B556D1"/>
    <w:rsid w:val="00B56CE5"/>
    <w:rsid w:val="00B63199"/>
    <w:rsid w:val="00B65428"/>
    <w:rsid w:val="00B65BF6"/>
    <w:rsid w:val="00B74402"/>
    <w:rsid w:val="00B7482E"/>
    <w:rsid w:val="00B76F70"/>
    <w:rsid w:val="00B76F96"/>
    <w:rsid w:val="00B77329"/>
    <w:rsid w:val="00B809D6"/>
    <w:rsid w:val="00B81D67"/>
    <w:rsid w:val="00B8366E"/>
    <w:rsid w:val="00B859FC"/>
    <w:rsid w:val="00B939EE"/>
    <w:rsid w:val="00BA0569"/>
    <w:rsid w:val="00BA18FA"/>
    <w:rsid w:val="00BA2AE5"/>
    <w:rsid w:val="00BA2DC1"/>
    <w:rsid w:val="00BA3301"/>
    <w:rsid w:val="00BB631C"/>
    <w:rsid w:val="00BC1362"/>
    <w:rsid w:val="00BC14BC"/>
    <w:rsid w:val="00BC240F"/>
    <w:rsid w:val="00BC32CF"/>
    <w:rsid w:val="00BD16A4"/>
    <w:rsid w:val="00BD27F4"/>
    <w:rsid w:val="00BD373E"/>
    <w:rsid w:val="00BE03D1"/>
    <w:rsid w:val="00BE1A4B"/>
    <w:rsid w:val="00BE2165"/>
    <w:rsid w:val="00BF3C0F"/>
    <w:rsid w:val="00BF4F37"/>
    <w:rsid w:val="00BF6C2C"/>
    <w:rsid w:val="00C00CBE"/>
    <w:rsid w:val="00C036B1"/>
    <w:rsid w:val="00C0435E"/>
    <w:rsid w:val="00C07585"/>
    <w:rsid w:val="00C0759F"/>
    <w:rsid w:val="00C10126"/>
    <w:rsid w:val="00C119D0"/>
    <w:rsid w:val="00C2280F"/>
    <w:rsid w:val="00C232C9"/>
    <w:rsid w:val="00C25084"/>
    <w:rsid w:val="00C25CD7"/>
    <w:rsid w:val="00C32CA4"/>
    <w:rsid w:val="00C359DF"/>
    <w:rsid w:val="00C43EEA"/>
    <w:rsid w:val="00C46B3C"/>
    <w:rsid w:val="00C56FCE"/>
    <w:rsid w:val="00C63B0F"/>
    <w:rsid w:val="00C63D43"/>
    <w:rsid w:val="00C66082"/>
    <w:rsid w:val="00C71FC5"/>
    <w:rsid w:val="00C7433B"/>
    <w:rsid w:val="00C743AD"/>
    <w:rsid w:val="00C7445C"/>
    <w:rsid w:val="00C76B93"/>
    <w:rsid w:val="00C77FF8"/>
    <w:rsid w:val="00C8346F"/>
    <w:rsid w:val="00C8347E"/>
    <w:rsid w:val="00C83C69"/>
    <w:rsid w:val="00C83F5E"/>
    <w:rsid w:val="00C84B2C"/>
    <w:rsid w:val="00C85A59"/>
    <w:rsid w:val="00C87607"/>
    <w:rsid w:val="00CA07CE"/>
    <w:rsid w:val="00CA2011"/>
    <w:rsid w:val="00CA6DEA"/>
    <w:rsid w:val="00CB142A"/>
    <w:rsid w:val="00CB1C2D"/>
    <w:rsid w:val="00CB20A8"/>
    <w:rsid w:val="00CB57D6"/>
    <w:rsid w:val="00CB7F85"/>
    <w:rsid w:val="00CC0BD7"/>
    <w:rsid w:val="00CC31C6"/>
    <w:rsid w:val="00CC3A23"/>
    <w:rsid w:val="00CC3F36"/>
    <w:rsid w:val="00CC6D2C"/>
    <w:rsid w:val="00CC75E5"/>
    <w:rsid w:val="00CD465B"/>
    <w:rsid w:val="00CD46F5"/>
    <w:rsid w:val="00CD5DA4"/>
    <w:rsid w:val="00CD6916"/>
    <w:rsid w:val="00CD719A"/>
    <w:rsid w:val="00CE65D7"/>
    <w:rsid w:val="00CE6F58"/>
    <w:rsid w:val="00CE7025"/>
    <w:rsid w:val="00CF1804"/>
    <w:rsid w:val="00CF2099"/>
    <w:rsid w:val="00CF6632"/>
    <w:rsid w:val="00CF7F62"/>
    <w:rsid w:val="00D052FF"/>
    <w:rsid w:val="00D06A0E"/>
    <w:rsid w:val="00D07223"/>
    <w:rsid w:val="00D07468"/>
    <w:rsid w:val="00D10432"/>
    <w:rsid w:val="00D22062"/>
    <w:rsid w:val="00D2616C"/>
    <w:rsid w:val="00D273E8"/>
    <w:rsid w:val="00D30795"/>
    <w:rsid w:val="00D3362B"/>
    <w:rsid w:val="00D36F96"/>
    <w:rsid w:val="00D37A4A"/>
    <w:rsid w:val="00D43814"/>
    <w:rsid w:val="00D5054F"/>
    <w:rsid w:val="00D50646"/>
    <w:rsid w:val="00D514A7"/>
    <w:rsid w:val="00D54B24"/>
    <w:rsid w:val="00D64648"/>
    <w:rsid w:val="00D658E1"/>
    <w:rsid w:val="00D66983"/>
    <w:rsid w:val="00D76CEF"/>
    <w:rsid w:val="00D80383"/>
    <w:rsid w:val="00D9044D"/>
    <w:rsid w:val="00D94017"/>
    <w:rsid w:val="00D9590C"/>
    <w:rsid w:val="00DA6954"/>
    <w:rsid w:val="00DA73D2"/>
    <w:rsid w:val="00DB102B"/>
    <w:rsid w:val="00DB3053"/>
    <w:rsid w:val="00DB3085"/>
    <w:rsid w:val="00DB54AA"/>
    <w:rsid w:val="00DB797E"/>
    <w:rsid w:val="00DC186C"/>
    <w:rsid w:val="00DD1DD4"/>
    <w:rsid w:val="00DD207A"/>
    <w:rsid w:val="00DD5482"/>
    <w:rsid w:val="00DD689E"/>
    <w:rsid w:val="00DD7BE2"/>
    <w:rsid w:val="00DE4845"/>
    <w:rsid w:val="00DE7B07"/>
    <w:rsid w:val="00DF3E87"/>
    <w:rsid w:val="00DF563C"/>
    <w:rsid w:val="00E0734A"/>
    <w:rsid w:val="00E078C1"/>
    <w:rsid w:val="00E10BFE"/>
    <w:rsid w:val="00E132B3"/>
    <w:rsid w:val="00E1368B"/>
    <w:rsid w:val="00E13D87"/>
    <w:rsid w:val="00E13FB8"/>
    <w:rsid w:val="00E21D97"/>
    <w:rsid w:val="00E23CCF"/>
    <w:rsid w:val="00E246B7"/>
    <w:rsid w:val="00E27966"/>
    <w:rsid w:val="00E32F6D"/>
    <w:rsid w:val="00E35A41"/>
    <w:rsid w:val="00E4322B"/>
    <w:rsid w:val="00E43CCE"/>
    <w:rsid w:val="00E44165"/>
    <w:rsid w:val="00E53A17"/>
    <w:rsid w:val="00E562BA"/>
    <w:rsid w:val="00E63C46"/>
    <w:rsid w:val="00E65AAA"/>
    <w:rsid w:val="00E71B94"/>
    <w:rsid w:val="00E71BC5"/>
    <w:rsid w:val="00E737C0"/>
    <w:rsid w:val="00E749E7"/>
    <w:rsid w:val="00E775AC"/>
    <w:rsid w:val="00E80370"/>
    <w:rsid w:val="00E82F6E"/>
    <w:rsid w:val="00E842CA"/>
    <w:rsid w:val="00E8483A"/>
    <w:rsid w:val="00E91463"/>
    <w:rsid w:val="00E937E4"/>
    <w:rsid w:val="00E94004"/>
    <w:rsid w:val="00E96CED"/>
    <w:rsid w:val="00E971BD"/>
    <w:rsid w:val="00EA0008"/>
    <w:rsid w:val="00EA3B2F"/>
    <w:rsid w:val="00EA3F00"/>
    <w:rsid w:val="00EA54BB"/>
    <w:rsid w:val="00EA5797"/>
    <w:rsid w:val="00EB4EC5"/>
    <w:rsid w:val="00EB5D4A"/>
    <w:rsid w:val="00EB6B5E"/>
    <w:rsid w:val="00EB6ECC"/>
    <w:rsid w:val="00EC066B"/>
    <w:rsid w:val="00EC1109"/>
    <w:rsid w:val="00EC131B"/>
    <w:rsid w:val="00EC19FD"/>
    <w:rsid w:val="00EC3260"/>
    <w:rsid w:val="00EC508E"/>
    <w:rsid w:val="00EC6108"/>
    <w:rsid w:val="00EC6F17"/>
    <w:rsid w:val="00EC7D2D"/>
    <w:rsid w:val="00ED2062"/>
    <w:rsid w:val="00ED44B6"/>
    <w:rsid w:val="00ED7BA6"/>
    <w:rsid w:val="00ED7C7F"/>
    <w:rsid w:val="00EE313D"/>
    <w:rsid w:val="00EF0B62"/>
    <w:rsid w:val="00EF13E2"/>
    <w:rsid w:val="00EF151F"/>
    <w:rsid w:val="00EF4818"/>
    <w:rsid w:val="00EF4F3E"/>
    <w:rsid w:val="00EF5CD7"/>
    <w:rsid w:val="00F005DF"/>
    <w:rsid w:val="00F0272A"/>
    <w:rsid w:val="00F04313"/>
    <w:rsid w:val="00F06807"/>
    <w:rsid w:val="00F12833"/>
    <w:rsid w:val="00F129B4"/>
    <w:rsid w:val="00F16B90"/>
    <w:rsid w:val="00F205D4"/>
    <w:rsid w:val="00F20E45"/>
    <w:rsid w:val="00F2771A"/>
    <w:rsid w:val="00F31807"/>
    <w:rsid w:val="00F34A1A"/>
    <w:rsid w:val="00F36027"/>
    <w:rsid w:val="00F40E86"/>
    <w:rsid w:val="00F43D06"/>
    <w:rsid w:val="00F46F2A"/>
    <w:rsid w:val="00F47D88"/>
    <w:rsid w:val="00F500E6"/>
    <w:rsid w:val="00F50D43"/>
    <w:rsid w:val="00F5549B"/>
    <w:rsid w:val="00F56942"/>
    <w:rsid w:val="00F57587"/>
    <w:rsid w:val="00F61A4E"/>
    <w:rsid w:val="00F61B90"/>
    <w:rsid w:val="00F75474"/>
    <w:rsid w:val="00F75895"/>
    <w:rsid w:val="00F77812"/>
    <w:rsid w:val="00F810AA"/>
    <w:rsid w:val="00F81DEB"/>
    <w:rsid w:val="00F827E7"/>
    <w:rsid w:val="00F8410B"/>
    <w:rsid w:val="00F850BB"/>
    <w:rsid w:val="00F937BD"/>
    <w:rsid w:val="00F96028"/>
    <w:rsid w:val="00F979A9"/>
    <w:rsid w:val="00FA05DF"/>
    <w:rsid w:val="00FA0DF3"/>
    <w:rsid w:val="00FA1E70"/>
    <w:rsid w:val="00FA68AE"/>
    <w:rsid w:val="00FB0344"/>
    <w:rsid w:val="00FB1A35"/>
    <w:rsid w:val="00FB3F60"/>
    <w:rsid w:val="00FB728E"/>
    <w:rsid w:val="00FC3859"/>
    <w:rsid w:val="00FC52EF"/>
    <w:rsid w:val="00FD2E67"/>
    <w:rsid w:val="00FD43C4"/>
    <w:rsid w:val="00FD4A25"/>
    <w:rsid w:val="00FE2345"/>
    <w:rsid w:val="00FE4334"/>
    <w:rsid w:val="00FF0053"/>
    <w:rsid w:val="00FF0590"/>
    <w:rsid w:val="00FF0B9C"/>
    <w:rsid w:val="00FF0D0D"/>
    <w:rsid w:val="00FF0E16"/>
    <w:rsid w:val="00FF2892"/>
    <w:rsid w:val="00FF4F73"/>
    <w:rsid w:val="00FF6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1DB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62"/>
    <w:pPr>
      <w:spacing w:after="240" w:line="264" w:lineRule="auto"/>
    </w:pPr>
    <w:rPr>
      <w:rFonts w:ascii="Segoe UI" w:hAnsi="Segoe UI"/>
      <w:sz w:val="22"/>
      <w:szCs w:val="22"/>
      <w:lang w:eastAsia="en-US"/>
    </w:rPr>
  </w:style>
  <w:style w:type="paragraph" w:styleId="Heading1">
    <w:name w:val="heading 1"/>
    <w:basedOn w:val="Normal"/>
    <w:next w:val="Normal"/>
    <w:link w:val="Heading1Char"/>
    <w:autoRedefine/>
    <w:qFormat/>
    <w:rsid w:val="00F827E7"/>
    <w:pPr>
      <w:keepNext/>
      <w:pageBreakBefore/>
      <w:numPr>
        <w:numId w:val="5"/>
      </w:numPr>
      <w:shd w:val="clear" w:color="auto" w:fill="08193E"/>
      <w:spacing w:before="240" w:after="0"/>
      <w:outlineLvl w:val="0"/>
    </w:pPr>
    <w:rPr>
      <w:rFonts w:eastAsia="Times New Roman"/>
      <w:b/>
      <w:bCs/>
      <w:sz w:val="40"/>
      <w:szCs w:val="28"/>
    </w:rPr>
  </w:style>
  <w:style w:type="paragraph" w:styleId="Heading2">
    <w:name w:val="heading 2"/>
    <w:basedOn w:val="Normal"/>
    <w:next w:val="Normal"/>
    <w:link w:val="Heading2Char"/>
    <w:autoRedefine/>
    <w:qFormat/>
    <w:rsid w:val="00EF151F"/>
    <w:pPr>
      <w:keepNext/>
      <w:keepLines/>
      <w:numPr>
        <w:ilvl w:val="1"/>
        <w:numId w:val="5"/>
      </w:numPr>
      <w:spacing w:before="360"/>
      <w:outlineLvl w:val="1"/>
    </w:pPr>
    <w:rPr>
      <w:rFonts w:eastAsia="Times New Roman"/>
      <w:b/>
      <w:bCs/>
      <w:color w:val="08193E"/>
      <w:sz w:val="30"/>
      <w:szCs w:val="26"/>
    </w:rPr>
  </w:style>
  <w:style w:type="paragraph" w:styleId="Heading3">
    <w:name w:val="heading 3"/>
    <w:basedOn w:val="Normal"/>
    <w:next w:val="Normal"/>
    <w:link w:val="Heading3Char"/>
    <w:qFormat/>
    <w:rsid w:val="00EF151F"/>
    <w:pPr>
      <w:keepNext/>
      <w:keepLines/>
      <w:numPr>
        <w:ilvl w:val="2"/>
        <w:numId w:val="5"/>
      </w:numPr>
      <w:spacing w:before="360"/>
      <w:outlineLvl w:val="2"/>
    </w:pPr>
    <w:rPr>
      <w:rFonts w:eastAsia="Times New Roman"/>
      <w:b/>
      <w:bCs/>
      <w:color w:val="08193E"/>
      <w:sz w:val="26"/>
    </w:rPr>
  </w:style>
  <w:style w:type="paragraph" w:styleId="Heading4">
    <w:name w:val="heading 4"/>
    <w:basedOn w:val="Heading3"/>
    <w:next w:val="Normal"/>
    <w:link w:val="Heading4Char"/>
    <w:qFormat/>
    <w:rsid w:val="006B4391"/>
    <w:pPr>
      <w:numPr>
        <w:ilvl w:val="0"/>
        <w:numId w:val="0"/>
      </w:numPr>
      <w:outlineLvl w:val="3"/>
    </w:pPr>
    <w:rPr>
      <w:bCs w:val="0"/>
      <w:i/>
      <w:iCs/>
      <w:sz w:val="24"/>
    </w:rPr>
  </w:style>
  <w:style w:type="paragraph" w:styleId="Heading5">
    <w:name w:val="heading 5"/>
    <w:basedOn w:val="Normal"/>
    <w:next w:val="Normal"/>
    <w:link w:val="Heading5Char"/>
    <w:uiPriority w:val="9"/>
    <w:semiHidden/>
    <w:qFormat/>
    <w:rsid w:val="00350D83"/>
    <w:pPr>
      <w:keepNext/>
      <w:keepLines/>
      <w:spacing w:before="240" w:after="120"/>
      <w:outlineLvl w:val="4"/>
    </w:pPr>
    <w:rPr>
      <w:rFonts w:eastAsia="Times New Roman"/>
      <w:i/>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7E7"/>
    <w:rPr>
      <w:rFonts w:ascii="Segoe UI" w:eastAsia="Times New Roman" w:hAnsi="Segoe UI"/>
      <w:b/>
      <w:bCs/>
      <w:sz w:val="40"/>
      <w:szCs w:val="28"/>
      <w:shd w:val="clear" w:color="auto" w:fill="08193E"/>
      <w:lang w:eastAsia="en-US"/>
    </w:rPr>
  </w:style>
  <w:style w:type="paragraph" w:styleId="NormalWeb">
    <w:name w:val="Normal (Web)"/>
    <w:basedOn w:val="Normal"/>
    <w:uiPriority w:val="99"/>
    <w:semiHidden/>
    <w:unhideWhenUsed/>
    <w:rsid w:val="00B62B41"/>
    <w:pPr>
      <w:spacing w:before="100" w:beforeAutospacing="1" w:after="100" w:afterAutospacing="1" w:line="240" w:lineRule="auto"/>
    </w:pPr>
    <w:rPr>
      <w:rFonts w:ascii="Times New Roman" w:eastAsia="Times New Roman" w:hAnsi="Times New Roman"/>
      <w:szCs w:val="24"/>
      <w:lang w:eastAsia="en-AU"/>
    </w:rPr>
  </w:style>
  <w:style w:type="character" w:customStyle="1" w:styleId="Heading2Char">
    <w:name w:val="Heading 2 Char"/>
    <w:basedOn w:val="DefaultParagraphFont"/>
    <w:link w:val="Heading2"/>
    <w:rsid w:val="00EF151F"/>
    <w:rPr>
      <w:rFonts w:ascii="Segoe UI" w:eastAsia="Times New Roman" w:hAnsi="Segoe UI"/>
      <w:b/>
      <w:bCs/>
      <w:color w:val="08193E"/>
      <w:sz w:val="30"/>
      <w:szCs w:val="26"/>
      <w:lang w:eastAsia="en-US"/>
    </w:rPr>
  </w:style>
  <w:style w:type="character" w:customStyle="1" w:styleId="Heading3Char">
    <w:name w:val="Heading 3 Char"/>
    <w:basedOn w:val="DefaultParagraphFont"/>
    <w:link w:val="Heading3"/>
    <w:rsid w:val="00EF151F"/>
    <w:rPr>
      <w:rFonts w:ascii="Segoe UI" w:eastAsia="Times New Roman" w:hAnsi="Segoe UI"/>
      <w:b/>
      <w:bCs/>
      <w:color w:val="08193E"/>
      <w:sz w:val="26"/>
      <w:szCs w:val="22"/>
      <w:lang w:eastAsia="en-US"/>
    </w:rPr>
  </w:style>
  <w:style w:type="paragraph" w:styleId="Header">
    <w:name w:val="header"/>
    <w:basedOn w:val="Normal"/>
    <w:link w:val="HeaderChar"/>
    <w:uiPriority w:val="99"/>
    <w:semiHidden/>
    <w:rsid w:val="00701508"/>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semiHidden/>
    <w:rsid w:val="002F424D"/>
    <w:rPr>
      <w:rFonts w:ascii="Cambria" w:hAnsi="Cambria"/>
      <w:i/>
      <w:sz w:val="24"/>
      <w:szCs w:val="22"/>
      <w:lang w:eastAsia="en-US"/>
    </w:rPr>
  </w:style>
  <w:style w:type="paragraph" w:styleId="Footer">
    <w:name w:val="footer"/>
    <w:aliases w:val="Footer text"/>
    <w:basedOn w:val="Normal"/>
    <w:link w:val="FooterChar"/>
    <w:uiPriority w:val="99"/>
    <w:semiHidden/>
    <w:rsid w:val="00B11F0F"/>
    <w:pPr>
      <w:tabs>
        <w:tab w:val="center" w:pos="4513"/>
        <w:tab w:val="right" w:pos="9026"/>
      </w:tabs>
      <w:spacing w:after="0" w:line="240" w:lineRule="auto"/>
    </w:pPr>
    <w:rPr>
      <w:i/>
      <w:sz w:val="16"/>
    </w:rPr>
  </w:style>
  <w:style w:type="character" w:customStyle="1" w:styleId="FooterChar">
    <w:name w:val="Footer Char"/>
    <w:aliases w:val="Footer text Char"/>
    <w:basedOn w:val="DefaultParagraphFont"/>
    <w:link w:val="Footer"/>
    <w:uiPriority w:val="99"/>
    <w:semiHidden/>
    <w:rsid w:val="002F424D"/>
    <w:rPr>
      <w:rFonts w:ascii="Cambria" w:hAnsi="Cambria"/>
      <w:i/>
      <w:sz w:val="16"/>
      <w:szCs w:val="22"/>
      <w:lang w:eastAsia="en-US"/>
    </w:rPr>
  </w:style>
  <w:style w:type="table" w:styleId="TableGrid">
    <w:name w:val="Table Grid"/>
    <w:basedOn w:val="TableNormal"/>
    <w:uiPriority w:val="59"/>
    <w:rsid w:val="00C9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156"/>
    <w:rPr>
      <w:rFonts w:ascii="Tahoma" w:hAnsi="Tahoma" w:cs="Tahoma"/>
      <w:sz w:val="16"/>
      <w:szCs w:val="16"/>
    </w:rPr>
  </w:style>
  <w:style w:type="paragraph" w:styleId="TOC2">
    <w:name w:val="toc 2"/>
    <w:basedOn w:val="Normal"/>
    <w:next w:val="Normal"/>
    <w:autoRedefine/>
    <w:uiPriority w:val="39"/>
    <w:unhideWhenUsed/>
    <w:rsid w:val="00EC1109"/>
    <w:pPr>
      <w:tabs>
        <w:tab w:val="left" w:pos="1134"/>
        <w:tab w:val="right" w:leader="dot" w:pos="9016"/>
      </w:tabs>
      <w:spacing w:after="0" w:line="240" w:lineRule="auto"/>
      <w:ind w:left="1134" w:right="567" w:hanging="567"/>
    </w:pPr>
    <w:rPr>
      <w:noProof/>
      <w:szCs w:val="24"/>
    </w:rPr>
  </w:style>
  <w:style w:type="paragraph" w:styleId="TOC1">
    <w:name w:val="toc 1"/>
    <w:basedOn w:val="Normal"/>
    <w:next w:val="Normal"/>
    <w:autoRedefine/>
    <w:uiPriority w:val="39"/>
    <w:unhideWhenUsed/>
    <w:rsid w:val="00900881"/>
    <w:pPr>
      <w:tabs>
        <w:tab w:val="right" w:leader="dot" w:pos="9015"/>
      </w:tabs>
      <w:spacing w:before="240" w:after="0" w:line="240" w:lineRule="auto"/>
      <w:ind w:left="567" w:right="567" w:hanging="567"/>
    </w:pPr>
    <w:rPr>
      <w:b/>
      <w:noProof/>
      <w:szCs w:val="24"/>
      <w:lang w:eastAsia="en-AU"/>
    </w:rPr>
  </w:style>
  <w:style w:type="paragraph" w:styleId="TOC3">
    <w:name w:val="toc 3"/>
    <w:basedOn w:val="Normal"/>
    <w:next w:val="Normal"/>
    <w:autoRedefine/>
    <w:uiPriority w:val="39"/>
    <w:unhideWhenUsed/>
    <w:rsid w:val="00574104"/>
    <w:pPr>
      <w:tabs>
        <w:tab w:val="right" w:leader="dot" w:pos="9016"/>
      </w:tabs>
      <w:spacing w:before="60" w:after="0" w:line="240" w:lineRule="auto"/>
      <w:ind w:left="1701" w:hanging="567"/>
    </w:pPr>
    <w:rPr>
      <w:noProof/>
    </w:rPr>
  </w:style>
  <w:style w:type="character" w:styleId="Hyperlink">
    <w:name w:val="Hyperlink"/>
    <w:basedOn w:val="DefaultParagraphFont"/>
    <w:uiPriority w:val="99"/>
    <w:rsid w:val="00900881"/>
    <w:rPr>
      <w:color w:val="EB7633" w:themeColor="accent3"/>
      <w:u w:val="single"/>
    </w:rPr>
  </w:style>
  <w:style w:type="paragraph" w:customStyle="1" w:styleId="GeneralHeading">
    <w:name w:val="General Heading"/>
    <w:basedOn w:val="Heading1"/>
    <w:next w:val="Normal"/>
    <w:qFormat/>
    <w:rsid w:val="00142D6A"/>
    <w:pPr>
      <w:numPr>
        <w:numId w:val="0"/>
      </w:numPr>
    </w:pPr>
  </w:style>
  <w:style w:type="paragraph" w:styleId="TOCHeading">
    <w:name w:val="TOC Heading"/>
    <w:basedOn w:val="Heading1"/>
    <w:next w:val="Normal"/>
    <w:autoRedefine/>
    <w:uiPriority w:val="39"/>
    <w:unhideWhenUsed/>
    <w:qFormat/>
    <w:rsid w:val="00142D6A"/>
    <w:pPr>
      <w:keepLines/>
      <w:pageBreakBefore w:val="0"/>
      <w:numPr>
        <w:numId w:val="0"/>
      </w:numPr>
      <w:outlineLvl w:val="9"/>
    </w:pPr>
    <w:rPr>
      <w:rFonts w:eastAsiaTheme="majorEastAsia" w:cstheme="majorBidi"/>
      <w:color w:val="FFFFFF" w:themeColor="background1"/>
    </w:rPr>
  </w:style>
  <w:style w:type="paragraph" w:customStyle="1" w:styleId="Reporttitle">
    <w:name w:val="Report title"/>
    <w:basedOn w:val="Normal"/>
    <w:qFormat/>
    <w:rsid w:val="001C703D"/>
    <w:pPr>
      <w:spacing w:after="0" w:line="240" w:lineRule="auto"/>
      <w:jc w:val="right"/>
    </w:pPr>
    <w:rPr>
      <w:rFonts w:cs="Segoe UI"/>
      <w:caps/>
      <w:color w:val="FFFFFF"/>
      <w:sz w:val="84"/>
      <w:szCs w:val="84"/>
    </w:rPr>
  </w:style>
  <w:style w:type="paragraph" w:customStyle="1" w:styleId="Tablebodytext">
    <w:name w:val="Table body text"/>
    <w:basedOn w:val="Normal"/>
    <w:qFormat/>
    <w:rsid w:val="00931E0B"/>
    <w:pPr>
      <w:spacing w:after="0" w:line="240" w:lineRule="auto"/>
    </w:pPr>
    <w:rPr>
      <w:sz w:val="20"/>
    </w:rPr>
  </w:style>
  <w:style w:type="paragraph" w:customStyle="1" w:styleId="Tablebullet">
    <w:name w:val="Table bullet"/>
    <w:basedOn w:val="Tablebodytext"/>
    <w:qFormat/>
    <w:rsid w:val="00753FC6"/>
    <w:pPr>
      <w:numPr>
        <w:numId w:val="1"/>
      </w:numPr>
      <w:ind w:left="227" w:hanging="227"/>
    </w:pPr>
  </w:style>
  <w:style w:type="paragraph" w:customStyle="1" w:styleId="Listdashlevel2">
    <w:name w:val="List dash (level 2)"/>
    <w:basedOn w:val="Normal"/>
    <w:qFormat/>
    <w:rsid w:val="00AF117A"/>
    <w:pPr>
      <w:numPr>
        <w:ilvl w:val="1"/>
        <w:numId w:val="14"/>
      </w:numPr>
      <w:spacing w:after="0" w:line="240" w:lineRule="auto"/>
    </w:pPr>
  </w:style>
  <w:style w:type="paragraph" w:customStyle="1" w:styleId="Notes">
    <w:name w:val="Notes"/>
    <w:basedOn w:val="Normal"/>
    <w:qFormat/>
    <w:rsid w:val="00B12EC0"/>
    <w:pPr>
      <w:spacing w:after="0" w:line="240" w:lineRule="auto"/>
    </w:pPr>
    <w:rPr>
      <w:sz w:val="18"/>
    </w:rPr>
  </w:style>
  <w:style w:type="paragraph" w:customStyle="1" w:styleId="ColorfulGrid-Accent11">
    <w:name w:val="Colorful Grid - Accent 11"/>
    <w:basedOn w:val="Normal"/>
    <w:next w:val="Normal"/>
    <w:link w:val="ColorfulGrid-Accent1Char"/>
    <w:uiPriority w:val="29"/>
    <w:semiHidden/>
    <w:qFormat/>
    <w:rsid w:val="0091528F"/>
    <w:pPr>
      <w:spacing w:line="240" w:lineRule="auto"/>
      <w:ind w:left="567"/>
    </w:pPr>
    <w:rPr>
      <w:i/>
      <w:iCs/>
      <w:color w:val="000000"/>
    </w:rPr>
  </w:style>
  <w:style w:type="character" w:customStyle="1" w:styleId="ColorfulGrid-Accent1Char">
    <w:name w:val="Colorful Grid - Accent 1 Char"/>
    <w:basedOn w:val="DefaultParagraphFont"/>
    <w:link w:val="ColorfulGrid-Accent11"/>
    <w:uiPriority w:val="29"/>
    <w:semiHidden/>
    <w:rsid w:val="00974875"/>
    <w:rPr>
      <w:rFonts w:ascii="Cambria" w:hAnsi="Cambria"/>
      <w:i/>
      <w:iCs/>
      <w:color w:val="000000"/>
      <w:sz w:val="24"/>
      <w:szCs w:val="22"/>
      <w:lang w:eastAsia="en-US"/>
    </w:rPr>
  </w:style>
  <w:style w:type="paragraph" w:styleId="Subtitle">
    <w:name w:val="Subtitle"/>
    <w:aliases w:val="Report subtitle"/>
    <w:basedOn w:val="Normal"/>
    <w:next w:val="Reporttype"/>
    <w:link w:val="SubtitleChar"/>
    <w:uiPriority w:val="11"/>
    <w:qFormat/>
    <w:rsid w:val="001C703D"/>
    <w:pPr>
      <w:spacing w:before="120" w:after="120" w:line="240" w:lineRule="auto"/>
      <w:jc w:val="right"/>
    </w:pPr>
    <w:rPr>
      <w:rFonts w:cs="Segoe UI"/>
      <w:smallCaps/>
      <w:color w:val="08193E"/>
      <w:sz w:val="40"/>
      <w:szCs w:val="40"/>
    </w:rPr>
  </w:style>
  <w:style w:type="character" w:customStyle="1" w:styleId="SubtitleChar">
    <w:name w:val="Subtitle Char"/>
    <w:aliases w:val="Report subtitle Char"/>
    <w:basedOn w:val="DefaultParagraphFont"/>
    <w:link w:val="Subtitle"/>
    <w:uiPriority w:val="11"/>
    <w:rsid w:val="001C703D"/>
    <w:rPr>
      <w:rFonts w:ascii="Segoe UI" w:hAnsi="Segoe UI" w:cs="Segoe UI"/>
      <w:smallCaps/>
      <w:color w:val="08193E"/>
      <w:sz w:val="40"/>
      <w:szCs w:val="40"/>
      <w:lang w:eastAsia="en-US"/>
    </w:rPr>
  </w:style>
  <w:style w:type="paragraph" w:customStyle="1" w:styleId="Reportdate">
    <w:name w:val="Report date"/>
    <w:basedOn w:val="Normal"/>
    <w:semiHidden/>
    <w:qFormat/>
    <w:rsid w:val="00895E46"/>
    <w:pPr>
      <w:spacing w:after="300" w:line="240" w:lineRule="auto"/>
      <w:contextualSpacing/>
    </w:pPr>
    <w:rPr>
      <w:rFonts w:eastAsia="Times New Roman"/>
      <w:b/>
      <w:color w:val="1F497D"/>
      <w:spacing w:val="5"/>
      <w:kern w:val="28"/>
      <w:szCs w:val="52"/>
    </w:rPr>
  </w:style>
  <w:style w:type="paragraph" w:customStyle="1" w:styleId="Boxname">
    <w:name w:val="Box name"/>
    <w:basedOn w:val="Heading3"/>
    <w:semiHidden/>
    <w:qFormat/>
    <w:rsid w:val="00960E17"/>
    <w:pPr>
      <w:numPr>
        <w:ilvl w:val="0"/>
        <w:numId w:val="0"/>
      </w:numPr>
      <w:pBdr>
        <w:top w:val="single" w:sz="4" w:space="4" w:color="1F497D"/>
        <w:left w:val="single" w:sz="4" w:space="4" w:color="1F497D"/>
        <w:bottom w:val="single" w:sz="4" w:space="4" w:color="1F497D"/>
        <w:right w:val="single" w:sz="4" w:space="4" w:color="1F497D"/>
      </w:pBdr>
      <w:shd w:val="clear" w:color="auto" w:fill="1F497D"/>
      <w:spacing w:after="120"/>
    </w:pPr>
    <w:rPr>
      <w:rFonts w:ascii="Arial Narrow" w:hAnsi="Arial Narrow"/>
      <w:color w:val="EEECE1"/>
    </w:rPr>
  </w:style>
  <w:style w:type="paragraph" w:customStyle="1" w:styleId="Boxtext">
    <w:name w:val="Box t ext"/>
    <w:basedOn w:val="Normal"/>
    <w:semiHidden/>
    <w:qFormat/>
    <w:rsid w:val="00960E17"/>
    <w:pPr>
      <w:pBdr>
        <w:top w:val="single" w:sz="4" w:space="4" w:color="1F497D"/>
        <w:left w:val="single" w:sz="4" w:space="4" w:color="1F497D"/>
        <w:bottom w:val="single" w:sz="4" w:space="4" w:color="1F497D"/>
        <w:right w:val="single" w:sz="4" w:space="4" w:color="1F497D"/>
      </w:pBdr>
      <w:spacing w:before="240"/>
    </w:pPr>
    <w:rPr>
      <w:rFonts w:ascii="Arial Narrow" w:hAnsi="Arial Narrow"/>
      <w:sz w:val="20"/>
    </w:rPr>
  </w:style>
  <w:style w:type="paragraph" w:customStyle="1" w:styleId="Boxbullet">
    <w:name w:val="Box bullet"/>
    <w:basedOn w:val="Boxtext"/>
    <w:semiHidden/>
    <w:qFormat/>
    <w:rsid w:val="00AF117A"/>
    <w:pPr>
      <w:spacing w:after="0"/>
    </w:pPr>
  </w:style>
  <w:style w:type="paragraph" w:styleId="FootnoteText">
    <w:name w:val="footnote text"/>
    <w:basedOn w:val="Normal"/>
    <w:link w:val="FootnoteTextChar"/>
    <w:uiPriority w:val="99"/>
    <w:semiHidden/>
    <w:unhideWhenUsed/>
    <w:rsid w:val="00653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37BD"/>
    <w:rPr>
      <w:rFonts w:ascii="Segoe UI Light" w:hAnsi="Segoe UI Light"/>
      <w:sz w:val="20"/>
      <w:szCs w:val="20"/>
    </w:rPr>
  </w:style>
  <w:style w:type="character" w:styleId="FootnoteReference">
    <w:name w:val="footnote reference"/>
    <w:basedOn w:val="DefaultParagraphFont"/>
    <w:uiPriority w:val="99"/>
    <w:semiHidden/>
    <w:unhideWhenUsed/>
    <w:rsid w:val="006537BD"/>
    <w:rPr>
      <w:vertAlign w:val="superscript"/>
    </w:rPr>
  </w:style>
  <w:style w:type="character" w:customStyle="1" w:styleId="Heading4Char">
    <w:name w:val="Heading 4 Char"/>
    <w:basedOn w:val="DefaultParagraphFont"/>
    <w:link w:val="Heading4"/>
    <w:rsid w:val="00EF0B62"/>
    <w:rPr>
      <w:rFonts w:ascii="Segoe UI" w:eastAsia="Times New Roman" w:hAnsi="Segoe UI"/>
      <w:b/>
      <w:i/>
      <w:iCs/>
      <w:color w:val="08193E"/>
      <w:sz w:val="24"/>
      <w:szCs w:val="22"/>
      <w:lang w:eastAsia="en-US"/>
    </w:rPr>
  </w:style>
  <w:style w:type="character" w:customStyle="1" w:styleId="Heading5Char">
    <w:name w:val="Heading 5 Char"/>
    <w:basedOn w:val="DefaultParagraphFont"/>
    <w:link w:val="Heading5"/>
    <w:uiPriority w:val="9"/>
    <w:semiHidden/>
    <w:rsid w:val="0063502B"/>
    <w:rPr>
      <w:rFonts w:ascii="Cambria" w:eastAsia="Times New Roman" w:hAnsi="Cambria"/>
      <w:i/>
      <w:color w:val="1F497D"/>
      <w:sz w:val="24"/>
      <w:szCs w:val="22"/>
      <w:lang w:eastAsia="en-US"/>
    </w:rPr>
  </w:style>
  <w:style w:type="character" w:styleId="BookTitle">
    <w:name w:val="Book Title"/>
    <w:basedOn w:val="DefaultParagraphFont"/>
    <w:uiPriority w:val="33"/>
    <w:semiHidden/>
    <w:qFormat/>
    <w:rsid w:val="00774484"/>
    <w:rPr>
      <w:b/>
      <w:bCs/>
      <w:smallCaps/>
      <w:spacing w:val="5"/>
    </w:rPr>
  </w:style>
  <w:style w:type="paragraph" w:customStyle="1" w:styleId="ExecSummaryH3">
    <w:name w:val="Exec Summary H3"/>
    <w:basedOn w:val="Heading3"/>
    <w:next w:val="Normal"/>
    <w:qFormat/>
    <w:rsid w:val="00900EAD"/>
    <w:pPr>
      <w:keepLines w:val="0"/>
      <w:numPr>
        <w:ilvl w:val="0"/>
        <w:numId w:val="0"/>
      </w:numPr>
      <w:spacing w:before="240" w:line="240" w:lineRule="auto"/>
      <w:outlineLvl w:val="9"/>
    </w:pPr>
    <w:rPr>
      <w:rFonts w:cs="Arial"/>
      <w:sz w:val="22"/>
      <w:szCs w:val="26"/>
      <w:lang w:eastAsia="en-AU"/>
    </w:rPr>
  </w:style>
  <w:style w:type="paragraph" w:styleId="TableofFigures">
    <w:name w:val="table of figures"/>
    <w:basedOn w:val="Normal"/>
    <w:next w:val="Normal"/>
    <w:uiPriority w:val="99"/>
    <w:rsid w:val="00A404DE"/>
    <w:pPr>
      <w:tabs>
        <w:tab w:val="left" w:pos="1800"/>
        <w:tab w:val="right" w:leader="dot" w:pos="9000"/>
      </w:tabs>
      <w:spacing w:line="240" w:lineRule="auto"/>
      <w:ind w:left="1077" w:right="567" w:hanging="1077"/>
    </w:pPr>
    <w:rPr>
      <w:rFonts w:eastAsia="Times New Roman"/>
      <w:color w:val="000000"/>
      <w:szCs w:val="20"/>
      <w:lang w:eastAsia="en-AU"/>
    </w:rPr>
  </w:style>
  <w:style w:type="paragraph" w:customStyle="1" w:styleId="ExecSummaryH2">
    <w:name w:val="Exec Summary H2"/>
    <w:basedOn w:val="Heading2"/>
    <w:next w:val="Normal"/>
    <w:qFormat/>
    <w:rsid w:val="00117998"/>
    <w:pPr>
      <w:numPr>
        <w:ilvl w:val="0"/>
        <w:numId w:val="0"/>
      </w:numPr>
    </w:pPr>
  </w:style>
  <w:style w:type="paragraph" w:customStyle="1" w:styleId="Boxheading">
    <w:name w:val="Box heading"/>
    <w:basedOn w:val="Normal"/>
    <w:next w:val="Boxtext0"/>
    <w:autoRedefine/>
    <w:qFormat/>
    <w:rsid w:val="00911338"/>
    <w:pPr>
      <w:keepNext/>
      <w:shd w:val="clear" w:color="auto" w:fill="F2CEA1"/>
      <w:spacing w:after="0" w:line="240" w:lineRule="auto"/>
      <w:ind w:left="1134" w:hanging="1134"/>
    </w:pPr>
    <w:rPr>
      <w:b/>
      <w:sz w:val="28"/>
      <w:szCs w:val="28"/>
    </w:rPr>
  </w:style>
  <w:style w:type="paragraph" w:customStyle="1" w:styleId="Boxtext0">
    <w:name w:val="Box text"/>
    <w:basedOn w:val="Tablebodytext"/>
    <w:qFormat/>
    <w:rsid w:val="00DD7BE2"/>
    <w:pPr>
      <w:shd w:val="clear" w:color="auto" w:fill="F2CEA1"/>
      <w:spacing w:after="120"/>
    </w:pPr>
  </w:style>
  <w:style w:type="paragraph" w:customStyle="1" w:styleId="Boxbullets">
    <w:name w:val="Box bullets"/>
    <w:basedOn w:val="Tablebullet"/>
    <w:qFormat/>
    <w:rsid w:val="00DD7BE2"/>
    <w:pPr>
      <w:numPr>
        <w:numId w:val="7"/>
      </w:numPr>
      <w:shd w:val="clear" w:color="auto" w:fill="F2CEA1"/>
      <w:ind w:left="227" w:hanging="227"/>
    </w:pPr>
  </w:style>
  <w:style w:type="character" w:styleId="PageNumber">
    <w:name w:val="page number"/>
    <w:basedOn w:val="DefaultParagraphFont"/>
    <w:semiHidden/>
    <w:rsid w:val="00E674D4"/>
  </w:style>
  <w:style w:type="paragraph" w:styleId="TOC4">
    <w:name w:val="toc 4"/>
    <w:basedOn w:val="Normal"/>
    <w:next w:val="Normal"/>
    <w:autoRedefine/>
    <w:semiHidden/>
    <w:rsid w:val="00D57AEF"/>
    <w:pPr>
      <w:tabs>
        <w:tab w:val="right" w:leader="dot" w:pos="9060"/>
      </w:tabs>
      <w:spacing w:before="40" w:after="0" w:line="240" w:lineRule="auto"/>
      <w:ind w:left="1701"/>
    </w:pPr>
    <w:rPr>
      <w:i/>
      <w:noProof/>
      <w:sz w:val="20"/>
      <w:szCs w:val="20"/>
    </w:rPr>
  </w:style>
  <w:style w:type="paragraph" w:customStyle="1" w:styleId="Tablecolumnheading">
    <w:name w:val="Table column heading"/>
    <w:basedOn w:val="Tablebodytext"/>
    <w:qFormat/>
    <w:rsid w:val="00931E0B"/>
    <w:rPr>
      <w:b/>
      <w:bCs/>
      <w:color w:val="FFFFFF"/>
    </w:rPr>
  </w:style>
  <w:style w:type="paragraph" w:customStyle="1" w:styleId="Tablecolumnheadingdata">
    <w:name w:val="Table column heading data"/>
    <w:basedOn w:val="Tablecolumnheading"/>
    <w:rsid w:val="00931E0B"/>
    <w:pPr>
      <w:jc w:val="right"/>
    </w:pPr>
    <w:rPr>
      <w:rFonts w:eastAsia="Times New Roman"/>
      <w:szCs w:val="20"/>
    </w:rPr>
  </w:style>
  <w:style w:type="paragraph" w:customStyle="1" w:styleId="Tabledata">
    <w:name w:val="Table data"/>
    <w:basedOn w:val="Tablebodytext"/>
    <w:qFormat/>
    <w:rsid w:val="00931E0B"/>
    <w:pPr>
      <w:jc w:val="right"/>
    </w:pPr>
    <w:rPr>
      <w:rFonts w:eastAsia="Times New Roman"/>
      <w:szCs w:val="20"/>
    </w:rPr>
  </w:style>
  <w:style w:type="numbering" w:customStyle="1" w:styleId="TableBullet0">
    <w:name w:val="Table Bullet"/>
    <w:basedOn w:val="NoList"/>
    <w:rsid w:val="005D5668"/>
    <w:pPr>
      <w:numPr>
        <w:numId w:val="2"/>
      </w:numPr>
    </w:pPr>
  </w:style>
  <w:style w:type="numbering" w:customStyle="1" w:styleId="TableBulletDash">
    <w:name w:val="Table Bullet Dash"/>
    <w:basedOn w:val="NoList"/>
    <w:rsid w:val="005D5668"/>
    <w:pPr>
      <w:numPr>
        <w:numId w:val="3"/>
      </w:numPr>
    </w:pPr>
  </w:style>
  <w:style w:type="paragraph" w:styleId="Index1">
    <w:name w:val="index 1"/>
    <w:basedOn w:val="Normal"/>
    <w:next w:val="Normal"/>
    <w:autoRedefine/>
    <w:semiHidden/>
    <w:rsid w:val="00A404DE"/>
    <w:pPr>
      <w:ind w:left="210" w:hanging="210"/>
    </w:pPr>
  </w:style>
  <w:style w:type="numbering" w:customStyle="1" w:styleId="NumberedList">
    <w:name w:val="Numbered List"/>
    <w:basedOn w:val="NoList"/>
    <w:rsid w:val="00980457"/>
    <w:pPr>
      <w:numPr>
        <w:numId w:val="4"/>
      </w:numPr>
    </w:pPr>
  </w:style>
  <w:style w:type="paragraph" w:customStyle="1" w:styleId="Listletterlevel2">
    <w:name w:val="List letter (level 2)"/>
    <w:basedOn w:val="ListNumber"/>
    <w:qFormat/>
    <w:rsid w:val="00AF117A"/>
    <w:pPr>
      <w:numPr>
        <w:ilvl w:val="1"/>
      </w:numPr>
    </w:pPr>
  </w:style>
  <w:style w:type="paragraph" w:styleId="Quote">
    <w:name w:val="Quote"/>
    <w:basedOn w:val="Normal"/>
    <w:next w:val="Normal"/>
    <w:link w:val="QuoteChar"/>
    <w:uiPriority w:val="29"/>
    <w:qFormat/>
    <w:rsid w:val="00C56FCE"/>
    <w:pPr>
      <w:ind w:left="454"/>
    </w:pPr>
    <w:rPr>
      <w:i/>
      <w:iCs/>
    </w:rPr>
  </w:style>
  <w:style w:type="character" w:customStyle="1" w:styleId="QuoteChar">
    <w:name w:val="Quote Char"/>
    <w:basedOn w:val="DefaultParagraphFont"/>
    <w:link w:val="Quote"/>
    <w:uiPriority w:val="29"/>
    <w:rsid w:val="00C56FCE"/>
    <w:rPr>
      <w:rFonts w:ascii="Cambria" w:hAnsi="Cambria"/>
      <w:i/>
      <w:iCs/>
      <w:sz w:val="22"/>
      <w:szCs w:val="22"/>
      <w:lang w:eastAsia="en-US"/>
    </w:rPr>
  </w:style>
  <w:style w:type="paragraph" w:customStyle="1" w:styleId="ARTDcompanydetails">
    <w:name w:val="ARTD company details"/>
    <w:basedOn w:val="Reportdate"/>
    <w:uiPriority w:val="1"/>
    <w:rsid w:val="00A832B3"/>
    <w:pPr>
      <w:spacing w:after="0"/>
    </w:pPr>
    <w:rPr>
      <w:rFonts w:cs="Segoe UI"/>
      <w:bCs/>
      <w:color w:val="08193E"/>
      <w:sz w:val="16"/>
      <w:szCs w:val="20"/>
    </w:rPr>
  </w:style>
  <w:style w:type="paragraph" w:customStyle="1" w:styleId="FrontPage">
    <w:name w:val="FrontPage"/>
    <w:basedOn w:val="Normal"/>
    <w:semiHidden/>
    <w:qFormat/>
    <w:rsid w:val="00147661"/>
    <w:pPr>
      <w:spacing w:after="3320" w:line="240" w:lineRule="auto"/>
    </w:pPr>
  </w:style>
  <w:style w:type="paragraph" w:styleId="ListBullet">
    <w:name w:val="List Bullet"/>
    <w:basedOn w:val="Normal"/>
    <w:uiPriority w:val="99"/>
    <w:unhideWhenUsed/>
    <w:qFormat/>
    <w:rsid w:val="00AF117A"/>
    <w:pPr>
      <w:numPr>
        <w:numId w:val="14"/>
      </w:numPr>
      <w:spacing w:after="0" w:line="240" w:lineRule="auto"/>
    </w:pPr>
  </w:style>
  <w:style w:type="numbering" w:customStyle="1" w:styleId="Headings">
    <w:name w:val="Headings"/>
    <w:uiPriority w:val="99"/>
    <w:rsid w:val="00EF151F"/>
    <w:pPr>
      <w:numPr>
        <w:numId w:val="17"/>
      </w:numPr>
    </w:pPr>
  </w:style>
  <w:style w:type="numbering" w:customStyle="1" w:styleId="Bullets">
    <w:name w:val="Bullets"/>
    <w:uiPriority w:val="99"/>
    <w:rsid w:val="00AF117A"/>
    <w:pPr>
      <w:numPr>
        <w:numId w:val="6"/>
      </w:numPr>
    </w:pPr>
  </w:style>
  <w:style w:type="paragraph" w:styleId="ListNumber">
    <w:name w:val="List Number"/>
    <w:basedOn w:val="Normal"/>
    <w:uiPriority w:val="99"/>
    <w:unhideWhenUsed/>
    <w:qFormat/>
    <w:rsid w:val="00AF117A"/>
    <w:pPr>
      <w:numPr>
        <w:numId w:val="13"/>
      </w:numPr>
      <w:spacing w:after="0" w:line="240" w:lineRule="auto"/>
    </w:pPr>
  </w:style>
  <w:style w:type="table" w:customStyle="1" w:styleId="ARTDTable">
    <w:name w:val="ARTD_Table"/>
    <w:basedOn w:val="TableNormal"/>
    <w:uiPriority w:val="99"/>
    <w:rsid w:val="00617C55"/>
    <w:rPr>
      <w:rFonts w:asciiTheme="majorHAnsi" w:hAnsiTheme="majorHAnsi"/>
    </w:rPr>
    <w:tblPr>
      <w:tblInd w:w="57" w:type="dxa"/>
      <w:tblBorders>
        <w:top w:val="single" w:sz="4" w:space="0" w:color="08193E" w:themeColor="text1"/>
        <w:bottom w:val="single" w:sz="4" w:space="0" w:color="08193E"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8193E" w:themeColor="text1"/>
          <w:left w:val="nil"/>
          <w:bottom w:val="single" w:sz="4" w:space="0" w:color="08193E" w:themeColor="text1"/>
          <w:right w:val="nil"/>
          <w:insideH w:val="nil"/>
          <w:insideV w:val="nil"/>
          <w:tl2br w:val="nil"/>
          <w:tr2bl w:val="nil"/>
        </w:tcBorders>
        <w:shd w:val="clear" w:color="auto" w:fill="F0F1E9"/>
      </w:tcPr>
    </w:tblStylePr>
  </w:style>
  <w:style w:type="table" w:customStyle="1" w:styleId="ARTDTable2">
    <w:name w:val="ARTD_Table_2"/>
    <w:basedOn w:val="TableNormal"/>
    <w:uiPriority w:val="99"/>
    <w:rsid w:val="00431C6B"/>
    <w:rPr>
      <w:rFonts w:asciiTheme="majorHAnsi" w:hAnsiTheme="majorHAnsi"/>
    </w:rPr>
    <w:tblPr>
      <w:tblStyleRowBandSize w:val="1"/>
      <w:tblInd w:w="57" w:type="dxa"/>
      <w:tblBorders>
        <w:bottom w:val="single" w:sz="4" w:space="0" w:color="auto"/>
      </w:tblBorders>
      <w:tblCellMar>
        <w:top w:w="113" w:type="dxa"/>
        <w:left w:w="57" w:type="dxa"/>
        <w:bottom w:w="57" w:type="dxa"/>
        <w:right w:w="57" w:type="dxa"/>
      </w:tblCellMar>
    </w:tblPr>
    <w:trPr>
      <w:cantSplit/>
    </w:trPr>
    <w:tcPr>
      <w:shd w:val="clear" w:color="auto" w:fill="auto"/>
    </w:tcPr>
    <w:tblStylePr w:type="firstRow">
      <w:tblPr/>
      <w:trPr>
        <w:cantSplit w:val="0"/>
        <w:tblHeader/>
      </w:trPr>
      <w:tcPr>
        <w:shd w:val="clear" w:color="auto" w:fill="08193E"/>
      </w:tcPr>
    </w:tblStylePr>
    <w:tblStylePr w:type="lastRow">
      <w:rPr>
        <w:b/>
      </w:rPr>
      <w:tblPr/>
      <w:tcPr>
        <w:tcBorders>
          <w:top w:val="single" w:sz="4" w:space="0" w:color="08193E" w:themeColor="text1"/>
          <w:bottom w:val="single" w:sz="4" w:space="0" w:color="08193E" w:themeColor="text1"/>
        </w:tcBorders>
        <w:shd w:val="clear" w:color="auto" w:fill="auto"/>
      </w:tcPr>
    </w:tblStylePr>
    <w:tblStylePr w:type="band2Horz">
      <w:tblPr/>
      <w:tcPr>
        <w:shd w:val="clear" w:color="auto" w:fill="F0F1E9"/>
      </w:tcPr>
    </w:tblStylePr>
  </w:style>
  <w:style w:type="paragraph" w:customStyle="1" w:styleId="TableHeading">
    <w:name w:val="Table Heading"/>
    <w:basedOn w:val="Normal"/>
    <w:next w:val="Normal"/>
    <w:qFormat/>
    <w:rsid w:val="003062E1"/>
    <w:pPr>
      <w:numPr>
        <w:numId w:val="11"/>
      </w:numPr>
      <w:spacing w:before="480" w:line="240" w:lineRule="auto"/>
    </w:pPr>
    <w:rPr>
      <w:b/>
    </w:rPr>
  </w:style>
  <w:style w:type="paragraph" w:customStyle="1" w:styleId="FigureHeading">
    <w:name w:val="Figure Heading"/>
    <w:basedOn w:val="TableHeading"/>
    <w:next w:val="Normal"/>
    <w:uiPriority w:val="1"/>
    <w:qFormat/>
    <w:rsid w:val="003062E1"/>
    <w:pPr>
      <w:keepNext/>
      <w:numPr>
        <w:numId w:val="10"/>
      </w:numPr>
    </w:pPr>
  </w:style>
  <w:style w:type="numbering" w:customStyle="1" w:styleId="TableNumbers">
    <w:name w:val="TableNumbers"/>
    <w:uiPriority w:val="99"/>
    <w:rsid w:val="003062E1"/>
    <w:pPr>
      <w:numPr>
        <w:numId w:val="8"/>
      </w:numPr>
    </w:pPr>
  </w:style>
  <w:style w:type="numbering" w:customStyle="1" w:styleId="FigureNumbers">
    <w:name w:val="FigureNumbers"/>
    <w:uiPriority w:val="99"/>
    <w:rsid w:val="003062E1"/>
    <w:pPr>
      <w:numPr>
        <w:numId w:val="9"/>
      </w:numPr>
    </w:pPr>
  </w:style>
  <w:style w:type="paragraph" w:styleId="Caption">
    <w:name w:val="caption"/>
    <w:basedOn w:val="Normal"/>
    <w:next w:val="Normal"/>
    <w:uiPriority w:val="35"/>
    <w:unhideWhenUsed/>
    <w:qFormat/>
    <w:rsid w:val="00807725"/>
    <w:pPr>
      <w:spacing w:after="200" w:line="240" w:lineRule="auto"/>
    </w:pPr>
    <w:rPr>
      <w:b/>
      <w:bCs/>
      <w:color w:val="08193E"/>
      <w:sz w:val="18"/>
      <w:szCs w:val="18"/>
    </w:rPr>
  </w:style>
  <w:style w:type="numbering" w:customStyle="1" w:styleId="Numbers">
    <w:name w:val="Numbers"/>
    <w:uiPriority w:val="99"/>
    <w:rsid w:val="00AF117A"/>
    <w:pPr>
      <w:numPr>
        <w:numId w:val="12"/>
      </w:numPr>
    </w:pPr>
  </w:style>
  <w:style w:type="paragraph" w:customStyle="1" w:styleId="GeneralHeading2">
    <w:name w:val="General Heading 2"/>
    <w:basedOn w:val="Heading2"/>
    <w:next w:val="Normal"/>
    <w:qFormat/>
    <w:rsid w:val="00807725"/>
    <w:pPr>
      <w:numPr>
        <w:ilvl w:val="0"/>
        <w:numId w:val="15"/>
      </w:numPr>
    </w:pPr>
  </w:style>
  <w:style w:type="paragraph" w:customStyle="1" w:styleId="Appendix">
    <w:name w:val="Appendix"/>
    <w:basedOn w:val="Heading1"/>
    <w:next w:val="Normal"/>
    <w:link w:val="AppendixChar"/>
    <w:qFormat/>
    <w:rsid w:val="001334F9"/>
    <w:pPr>
      <w:numPr>
        <w:numId w:val="16"/>
      </w:numPr>
      <w:tabs>
        <w:tab w:val="left" w:pos="2835"/>
      </w:tabs>
    </w:pPr>
    <w:rPr>
      <w:color w:val="FFFFFF" w:themeColor="background1"/>
    </w:rPr>
  </w:style>
  <w:style w:type="character" w:customStyle="1" w:styleId="AppendixChar">
    <w:name w:val="Appendix Char"/>
    <w:link w:val="Appendix"/>
    <w:rsid w:val="001334F9"/>
    <w:rPr>
      <w:rFonts w:ascii="Segoe UI" w:eastAsia="Times New Roman" w:hAnsi="Segoe UI"/>
      <w:b/>
      <w:bCs/>
      <w:color w:val="FFFFFF" w:themeColor="background1"/>
      <w:sz w:val="40"/>
      <w:szCs w:val="28"/>
      <w:shd w:val="clear" w:color="auto" w:fill="08193E"/>
      <w:lang w:eastAsia="en-US"/>
    </w:rPr>
  </w:style>
  <w:style w:type="paragraph" w:customStyle="1" w:styleId="ProjexHead">
    <w:name w:val="Proj ex Head"/>
    <w:basedOn w:val="Normal"/>
    <w:qFormat/>
    <w:rsid w:val="00142D6A"/>
    <w:pPr>
      <w:spacing w:before="240" w:after="0" w:line="240" w:lineRule="auto"/>
      <w:ind w:left="340"/>
    </w:pPr>
    <w:rPr>
      <w:rFonts w:cs="Segoe UI"/>
      <w:b/>
    </w:rPr>
  </w:style>
  <w:style w:type="paragraph" w:customStyle="1" w:styleId="ProjexText">
    <w:name w:val="Proj ex Text"/>
    <w:basedOn w:val="Normal"/>
    <w:qFormat/>
    <w:rsid w:val="00142D6A"/>
    <w:pPr>
      <w:spacing w:after="0" w:line="240" w:lineRule="auto"/>
      <w:ind w:left="340"/>
    </w:pPr>
    <w:rPr>
      <w:rFonts w:cs="Segoe UI"/>
      <w:sz w:val="20"/>
    </w:rPr>
  </w:style>
  <w:style w:type="paragraph" w:customStyle="1" w:styleId="Reporttype">
    <w:name w:val="Report type"/>
    <w:basedOn w:val="Normal"/>
    <w:next w:val="Reportperiod"/>
    <w:qFormat/>
    <w:rsid w:val="001C703D"/>
    <w:pPr>
      <w:spacing w:before="240" w:after="120" w:line="240" w:lineRule="auto"/>
      <w:jc w:val="right"/>
    </w:pPr>
    <w:rPr>
      <w:rFonts w:cs="Segoe UI"/>
      <w:smallCaps/>
      <w:color w:val="08193E"/>
      <w:sz w:val="32"/>
      <w:szCs w:val="32"/>
    </w:rPr>
  </w:style>
  <w:style w:type="paragraph" w:customStyle="1" w:styleId="Reportperiod">
    <w:name w:val="Report period"/>
    <w:basedOn w:val="Normal"/>
    <w:qFormat/>
    <w:rsid w:val="001C703D"/>
    <w:pPr>
      <w:spacing w:before="240" w:after="120" w:line="240" w:lineRule="auto"/>
      <w:jc w:val="right"/>
    </w:pPr>
    <w:rPr>
      <w:rFonts w:cs="Segoe UI"/>
      <w:smallCaps/>
      <w:color w:val="08193E"/>
      <w:sz w:val="24"/>
    </w:rPr>
  </w:style>
  <w:style w:type="paragraph" w:customStyle="1" w:styleId="TOCHeading2">
    <w:name w:val="TOC Heading 2"/>
    <w:basedOn w:val="ExecSummaryH2"/>
    <w:qFormat/>
    <w:rsid w:val="000C308E"/>
    <w:rPr>
      <w:rFonts w:cs="Segoe UI"/>
    </w:rPr>
  </w:style>
  <w:style w:type="paragraph" w:styleId="z-TopofForm">
    <w:name w:val="HTML Top of Form"/>
    <w:basedOn w:val="Normal"/>
    <w:next w:val="Normal"/>
    <w:link w:val="z-TopofFormChar"/>
    <w:hidden/>
    <w:uiPriority w:val="99"/>
    <w:semiHidden/>
    <w:unhideWhenUsed/>
    <w:rsid w:val="00C8347E"/>
    <w:pPr>
      <w:pBdr>
        <w:bottom w:val="single" w:sz="6" w:space="1" w:color="auto"/>
      </w:pBdr>
      <w:spacing w:after="0"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C8347E"/>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C8347E"/>
    <w:pPr>
      <w:pBdr>
        <w:top w:val="single" w:sz="6" w:space="1" w:color="auto"/>
      </w:pBdr>
      <w:spacing w:after="0"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C8347E"/>
    <w:rPr>
      <w:rFonts w:ascii="Arial" w:eastAsiaTheme="minorHAnsi" w:hAnsi="Arial" w:cs="Arial"/>
      <w:vanish/>
      <w:sz w:val="16"/>
      <w:szCs w:val="16"/>
      <w:lang w:eastAsia="en-US"/>
    </w:rPr>
  </w:style>
  <w:style w:type="paragraph" w:styleId="ListParagraph">
    <w:name w:val="List Paragraph"/>
    <w:basedOn w:val="Normal"/>
    <w:uiPriority w:val="34"/>
    <w:qFormat/>
    <w:rsid w:val="00855791"/>
    <w:pPr>
      <w:ind w:left="720"/>
      <w:contextualSpacing/>
    </w:pPr>
  </w:style>
  <w:style w:type="table" w:customStyle="1" w:styleId="ARTDTable1">
    <w:name w:val="ARTD_Table1"/>
    <w:basedOn w:val="TableNormal"/>
    <w:uiPriority w:val="99"/>
    <w:rsid w:val="00D10432"/>
    <w:rPr>
      <w:rFonts w:asciiTheme="majorHAnsi" w:hAnsiTheme="majorHAnsi"/>
    </w:rPr>
    <w:tblPr>
      <w:tblInd w:w="0" w:type="nil"/>
      <w:tblBorders>
        <w:top w:val="single" w:sz="4" w:space="0" w:color="08193E" w:themeColor="text1"/>
        <w:bottom w:val="single" w:sz="4" w:space="0" w:color="08193E"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8193E" w:themeColor="text1"/>
          <w:left w:val="nil"/>
          <w:bottom w:val="single" w:sz="4" w:space="0" w:color="08193E" w:themeColor="text1"/>
          <w:right w:val="nil"/>
          <w:insideH w:val="nil"/>
          <w:insideV w:val="nil"/>
          <w:tl2br w:val="nil"/>
          <w:tr2bl w:val="nil"/>
        </w:tcBorders>
        <w:shd w:val="clear" w:color="auto" w:fill="F0F1E9"/>
      </w:tcPr>
    </w:tblStylePr>
  </w:style>
  <w:style w:type="character" w:styleId="CommentReference">
    <w:name w:val="annotation reference"/>
    <w:basedOn w:val="DefaultParagraphFont"/>
    <w:uiPriority w:val="99"/>
    <w:semiHidden/>
    <w:unhideWhenUsed/>
    <w:rsid w:val="00786062"/>
    <w:rPr>
      <w:sz w:val="16"/>
      <w:szCs w:val="16"/>
    </w:rPr>
  </w:style>
  <w:style w:type="paragraph" w:styleId="CommentText">
    <w:name w:val="annotation text"/>
    <w:basedOn w:val="Normal"/>
    <w:link w:val="CommentTextChar"/>
    <w:uiPriority w:val="99"/>
    <w:semiHidden/>
    <w:unhideWhenUsed/>
    <w:rsid w:val="00786062"/>
    <w:pPr>
      <w:spacing w:line="240" w:lineRule="auto"/>
    </w:pPr>
    <w:rPr>
      <w:sz w:val="20"/>
      <w:szCs w:val="20"/>
    </w:rPr>
  </w:style>
  <w:style w:type="character" w:customStyle="1" w:styleId="CommentTextChar">
    <w:name w:val="Comment Text Char"/>
    <w:basedOn w:val="DefaultParagraphFont"/>
    <w:link w:val="CommentText"/>
    <w:uiPriority w:val="99"/>
    <w:semiHidden/>
    <w:rsid w:val="00786062"/>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786062"/>
    <w:rPr>
      <w:b/>
      <w:bCs/>
    </w:rPr>
  </w:style>
  <w:style w:type="character" w:customStyle="1" w:styleId="CommentSubjectChar">
    <w:name w:val="Comment Subject Char"/>
    <w:basedOn w:val="CommentTextChar"/>
    <w:link w:val="CommentSubject"/>
    <w:uiPriority w:val="99"/>
    <w:semiHidden/>
    <w:rsid w:val="00786062"/>
    <w:rPr>
      <w:rFonts w:ascii="Segoe UI" w:hAnsi="Segoe U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044">
      <w:bodyDiv w:val="1"/>
      <w:marLeft w:val="0"/>
      <w:marRight w:val="0"/>
      <w:marTop w:val="0"/>
      <w:marBottom w:val="0"/>
      <w:divBdr>
        <w:top w:val="none" w:sz="0" w:space="0" w:color="auto"/>
        <w:left w:val="none" w:sz="0" w:space="0" w:color="auto"/>
        <w:bottom w:val="none" w:sz="0" w:space="0" w:color="auto"/>
        <w:right w:val="none" w:sz="0" w:space="0" w:color="auto"/>
      </w:divBdr>
    </w:div>
    <w:div w:id="339041180">
      <w:bodyDiv w:val="1"/>
      <w:marLeft w:val="0"/>
      <w:marRight w:val="0"/>
      <w:marTop w:val="0"/>
      <w:marBottom w:val="0"/>
      <w:divBdr>
        <w:top w:val="none" w:sz="0" w:space="0" w:color="auto"/>
        <w:left w:val="none" w:sz="0" w:space="0" w:color="auto"/>
        <w:bottom w:val="none" w:sz="0" w:space="0" w:color="auto"/>
        <w:right w:val="none" w:sz="0" w:space="0" w:color="auto"/>
      </w:divBdr>
    </w:div>
    <w:div w:id="347799809">
      <w:bodyDiv w:val="1"/>
      <w:marLeft w:val="0"/>
      <w:marRight w:val="0"/>
      <w:marTop w:val="0"/>
      <w:marBottom w:val="0"/>
      <w:divBdr>
        <w:top w:val="none" w:sz="0" w:space="0" w:color="auto"/>
        <w:left w:val="none" w:sz="0" w:space="0" w:color="auto"/>
        <w:bottom w:val="none" w:sz="0" w:space="0" w:color="auto"/>
        <w:right w:val="none" w:sz="0" w:space="0" w:color="auto"/>
      </w:divBdr>
    </w:div>
    <w:div w:id="432672388">
      <w:bodyDiv w:val="1"/>
      <w:marLeft w:val="0"/>
      <w:marRight w:val="0"/>
      <w:marTop w:val="0"/>
      <w:marBottom w:val="0"/>
      <w:divBdr>
        <w:top w:val="none" w:sz="0" w:space="0" w:color="auto"/>
        <w:left w:val="none" w:sz="0" w:space="0" w:color="auto"/>
        <w:bottom w:val="none" w:sz="0" w:space="0" w:color="auto"/>
        <w:right w:val="none" w:sz="0" w:space="0" w:color="auto"/>
      </w:divBdr>
    </w:div>
    <w:div w:id="490604739">
      <w:bodyDiv w:val="1"/>
      <w:marLeft w:val="0"/>
      <w:marRight w:val="0"/>
      <w:marTop w:val="0"/>
      <w:marBottom w:val="0"/>
      <w:divBdr>
        <w:top w:val="none" w:sz="0" w:space="0" w:color="auto"/>
        <w:left w:val="none" w:sz="0" w:space="0" w:color="auto"/>
        <w:bottom w:val="none" w:sz="0" w:space="0" w:color="auto"/>
        <w:right w:val="none" w:sz="0" w:space="0" w:color="auto"/>
      </w:divBdr>
    </w:div>
    <w:div w:id="534932060">
      <w:bodyDiv w:val="1"/>
      <w:marLeft w:val="0"/>
      <w:marRight w:val="0"/>
      <w:marTop w:val="0"/>
      <w:marBottom w:val="0"/>
      <w:divBdr>
        <w:top w:val="none" w:sz="0" w:space="0" w:color="auto"/>
        <w:left w:val="none" w:sz="0" w:space="0" w:color="auto"/>
        <w:bottom w:val="none" w:sz="0" w:space="0" w:color="auto"/>
        <w:right w:val="none" w:sz="0" w:space="0" w:color="auto"/>
      </w:divBdr>
    </w:div>
    <w:div w:id="572471985">
      <w:bodyDiv w:val="1"/>
      <w:marLeft w:val="0"/>
      <w:marRight w:val="0"/>
      <w:marTop w:val="0"/>
      <w:marBottom w:val="0"/>
      <w:divBdr>
        <w:top w:val="none" w:sz="0" w:space="0" w:color="auto"/>
        <w:left w:val="none" w:sz="0" w:space="0" w:color="auto"/>
        <w:bottom w:val="none" w:sz="0" w:space="0" w:color="auto"/>
        <w:right w:val="none" w:sz="0" w:space="0" w:color="auto"/>
      </w:divBdr>
    </w:div>
    <w:div w:id="618876965">
      <w:bodyDiv w:val="1"/>
      <w:marLeft w:val="0"/>
      <w:marRight w:val="0"/>
      <w:marTop w:val="0"/>
      <w:marBottom w:val="0"/>
      <w:divBdr>
        <w:top w:val="none" w:sz="0" w:space="0" w:color="auto"/>
        <w:left w:val="none" w:sz="0" w:space="0" w:color="auto"/>
        <w:bottom w:val="none" w:sz="0" w:space="0" w:color="auto"/>
        <w:right w:val="none" w:sz="0" w:space="0" w:color="auto"/>
      </w:divBdr>
    </w:div>
    <w:div w:id="654336011">
      <w:bodyDiv w:val="1"/>
      <w:marLeft w:val="0"/>
      <w:marRight w:val="0"/>
      <w:marTop w:val="0"/>
      <w:marBottom w:val="0"/>
      <w:divBdr>
        <w:top w:val="none" w:sz="0" w:space="0" w:color="auto"/>
        <w:left w:val="none" w:sz="0" w:space="0" w:color="auto"/>
        <w:bottom w:val="none" w:sz="0" w:space="0" w:color="auto"/>
        <w:right w:val="none" w:sz="0" w:space="0" w:color="auto"/>
      </w:divBdr>
    </w:div>
    <w:div w:id="854617545">
      <w:bodyDiv w:val="1"/>
      <w:marLeft w:val="0"/>
      <w:marRight w:val="0"/>
      <w:marTop w:val="0"/>
      <w:marBottom w:val="0"/>
      <w:divBdr>
        <w:top w:val="none" w:sz="0" w:space="0" w:color="auto"/>
        <w:left w:val="none" w:sz="0" w:space="0" w:color="auto"/>
        <w:bottom w:val="none" w:sz="0" w:space="0" w:color="auto"/>
        <w:right w:val="none" w:sz="0" w:space="0" w:color="auto"/>
      </w:divBdr>
    </w:div>
    <w:div w:id="923035149">
      <w:bodyDiv w:val="1"/>
      <w:marLeft w:val="0"/>
      <w:marRight w:val="0"/>
      <w:marTop w:val="0"/>
      <w:marBottom w:val="0"/>
      <w:divBdr>
        <w:top w:val="none" w:sz="0" w:space="0" w:color="auto"/>
        <w:left w:val="none" w:sz="0" w:space="0" w:color="auto"/>
        <w:bottom w:val="none" w:sz="0" w:space="0" w:color="auto"/>
        <w:right w:val="none" w:sz="0" w:space="0" w:color="auto"/>
      </w:divBdr>
    </w:div>
    <w:div w:id="991179329">
      <w:bodyDiv w:val="1"/>
      <w:marLeft w:val="0"/>
      <w:marRight w:val="0"/>
      <w:marTop w:val="0"/>
      <w:marBottom w:val="0"/>
      <w:divBdr>
        <w:top w:val="none" w:sz="0" w:space="0" w:color="auto"/>
        <w:left w:val="none" w:sz="0" w:space="0" w:color="auto"/>
        <w:bottom w:val="none" w:sz="0" w:space="0" w:color="auto"/>
        <w:right w:val="none" w:sz="0" w:space="0" w:color="auto"/>
      </w:divBdr>
    </w:div>
    <w:div w:id="1049644277">
      <w:bodyDiv w:val="1"/>
      <w:marLeft w:val="0"/>
      <w:marRight w:val="0"/>
      <w:marTop w:val="0"/>
      <w:marBottom w:val="0"/>
      <w:divBdr>
        <w:top w:val="none" w:sz="0" w:space="0" w:color="auto"/>
        <w:left w:val="none" w:sz="0" w:space="0" w:color="auto"/>
        <w:bottom w:val="none" w:sz="0" w:space="0" w:color="auto"/>
        <w:right w:val="none" w:sz="0" w:space="0" w:color="auto"/>
      </w:divBdr>
    </w:div>
    <w:div w:id="1097796326">
      <w:bodyDiv w:val="1"/>
      <w:marLeft w:val="0"/>
      <w:marRight w:val="0"/>
      <w:marTop w:val="0"/>
      <w:marBottom w:val="0"/>
      <w:divBdr>
        <w:top w:val="none" w:sz="0" w:space="0" w:color="auto"/>
        <w:left w:val="none" w:sz="0" w:space="0" w:color="auto"/>
        <w:bottom w:val="none" w:sz="0" w:space="0" w:color="auto"/>
        <w:right w:val="none" w:sz="0" w:space="0" w:color="auto"/>
      </w:divBdr>
    </w:div>
    <w:div w:id="1155535028">
      <w:bodyDiv w:val="1"/>
      <w:marLeft w:val="0"/>
      <w:marRight w:val="0"/>
      <w:marTop w:val="0"/>
      <w:marBottom w:val="0"/>
      <w:divBdr>
        <w:top w:val="none" w:sz="0" w:space="0" w:color="auto"/>
        <w:left w:val="none" w:sz="0" w:space="0" w:color="auto"/>
        <w:bottom w:val="none" w:sz="0" w:space="0" w:color="auto"/>
        <w:right w:val="none" w:sz="0" w:space="0" w:color="auto"/>
      </w:divBdr>
    </w:div>
    <w:div w:id="1166284867">
      <w:bodyDiv w:val="1"/>
      <w:marLeft w:val="0"/>
      <w:marRight w:val="0"/>
      <w:marTop w:val="0"/>
      <w:marBottom w:val="0"/>
      <w:divBdr>
        <w:top w:val="none" w:sz="0" w:space="0" w:color="auto"/>
        <w:left w:val="none" w:sz="0" w:space="0" w:color="auto"/>
        <w:bottom w:val="none" w:sz="0" w:space="0" w:color="auto"/>
        <w:right w:val="none" w:sz="0" w:space="0" w:color="auto"/>
      </w:divBdr>
    </w:div>
    <w:div w:id="1204056474">
      <w:bodyDiv w:val="1"/>
      <w:marLeft w:val="0"/>
      <w:marRight w:val="0"/>
      <w:marTop w:val="0"/>
      <w:marBottom w:val="0"/>
      <w:divBdr>
        <w:top w:val="none" w:sz="0" w:space="0" w:color="auto"/>
        <w:left w:val="none" w:sz="0" w:space="0" w:color="auto"/>
        <w:bottom w:val="none" w:sz="0" w:space="0" w:color="auto"/>
        <w:right w:val="none" w:sz="0" w:space="0" w:color="auto"/>
      </w:divBdr>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
    <w:div w:id="1354383638">
      <w:bodyDiv w:val="1"/>
      <w:marLeft w:val="0"/>
      <w:marRight w:val="0"/>
      <w:marTop w:val="0"/>
      <w:marBottom w:val="0"/>
      <w:divBdr>
        <w:top w:val="none" w:sz="0" w:space="0" w:color="auto"/>
        <w:left w:val="none" w:sz="0" w:space="0" w:color="auto"/>
        <w:bottom w:val="none" w:sz="0" w:space="0" w:color="auto"/>
        <w:right w:val="none" w:sz="0" w:space="0" w:color="auto"/>
      </w:divBdr>
    </w:div>
    <w:div w:id="1360934845">
      <w:bodyDiv w:val="1"/>
      <w:marLeft w:val="0"/>
      <w:marRight w:val="0"/>
      <w:marTop w:val="0"/>
      <w:marBottom w:val="0"/>
      <w:divBdr>
        <w:top w:val="none" w:sz="0" w:space="0" w:color="auto"/>
        <w:left w:val="none" w:sz="0" w:space="0" w:color="auto"/>
        <w:bottom w:val="none" w:sz="0" w:space="0" w:color="auto"/>
        <w:right w:val="none" w:sz="0" w:space="0" w:color="auto"/>
      </w:divBdr>
    </w:div>
    <w:div w:id="1363050052">
      <w:bodyDiv w:val="1"/>
      <w:marLeft w:val="0"/>
      <w:marRight w:val="0"/>
      <w:marTop w:val="0"/>
      <w:marBottom w:val="0"/>
      <w:divBdr>
        <w:top w:val="none" w:sz="0" w:space="0" w:color="auto"/>
        <w:left w:val="none" w:sz="0" w:space="0" w:color="auto"/>
        <w:bottom w:val="none" w:sz="0" w:space="0" w:color="auto"/>
        <w:right w:val="none" w:sz="0" w:space="0" w:color="auto"/>
      </w:divBdr>
    </w:div>
    <w:div w:id="1406535245">
      <w:bodyDiv w:val="1"/>
      <w:marLeft w:val="0"/>
      <w:marRight w:val="0"/>
      <w:marTop w:val="0"/>
      <w:marBottom w:val="0"/>
      <w:divBdr>
        <w:top w:val="none" w:sz="0" w:space="0" w:color="auto"/>
        <w:left w:val="none" w:sz="0" w:space="0" w:color="auto"/>
        <w:bottom w:val="none" w:sz="0" w:space="0" w:color="auto"/>
        <w:right w:val="none" w:sz="0" w:space="0" w:color="auto"/>
      </w:divBdr>
    </w:div>
    <w:div w:id="1449155077">
      <w:bodyDiv w:val="1"/>
      <w:marLeft w:val="0"/>
      <w:marRight w:val="0"/>
      <w:marTop w:val="0"/>
      <w:marBottom w:val="0"/>
      <w:divBdr>
        <w:top w:val="none" w:sz="0" w:space="0" w:color="auto"/>
        <w:left w:val="none" w:sz="0" w:space="0" w:color="auto"/>
        <w:bottom w:val="none" w:sz="0" w:space="0" w:color="auto"/>
        <w:right w:val="none" w:sz="0" w:space="0" w:color="auto"/>
      </w:divBdr>
    </w:div>
    <w:div w:id="1470825980">
      <w:bodyDiv w:val="1"/>
      <w:marLeft w:val="0"/>
      <w:marRight w:val="0"/>
      <w:marTop w:val="0"/>
      <w:marBottom w:val="0"/>
      <w:divBdr>
        <w:top w:val="none" w:sz="0" w:space="0" w:color="auto"/>
        <w:left w:val="none" w:sz="0" w:space="0" w:color="auto"/>
        <w:bottom w:val="none" w:sz="0" w:space="0" w:color="auto"/>
        <w:right w:val="none" w:sz="0" w:space="0" w:color="auto"/>
      </w:divBdr>
    </w:div>
    <w:div w:id="1501117694">
      <w:bodyDiv w:val="1"/>
      <w:marLeft w:val="0"/>
      <w:marRight w:val="0"/>
      <w:marTop w:val="0"/>
      <w:marBottom w:val="0"/>
      <w:divBdr>
        <w:top w:val="none" w:sz="0" w:space="0" w:color="auto"/>
        <w:left w:val="none" w:sz="0" w:space="0" w:color="auto"/>
        <w:bottom w:val="none" w:sz="0" w:space="0" w:color="auto"/>
        <w:right w:val="none" w:sz="0" w:space="0" w:color="auto"/>
      </w:divBdr>
    </w:div>
    <w:div w:id="1503618085">
      <w:bodyDiv w:val="1"/>
      <w:marLeft w:val="0"/>
      <w:marRight w:val="0"/>
      <w:marTop w:val="0"/>
      <w:marBottom w:val="0"/>
      <w:divBdr>
        <w:top w:val="none" w:sz="0" w:space="0" w:color="auto"/>
        <w:left w:val="none" w:sz="0" w:space="0" w:color="auto"/>
        <w:bottom w:val="none" w:sz="0" w:space="0" w:color="auto"/>
        <w:right w:val="none" w:sz="0" w:space="0" w:color="auto"/>
      </w:divBdr>
    </w:div>
    <w:div w:id="1552570161">
      <w:bodyDiv w:val="1"/>
      <w:marLeft w:val="0"/>
      <w:marRight w:val="0"/>
      <w:marTop w:val="0"/>
      <w:marBottom w:val="0"/>
      <w:divBdr>
        <w:top w:val="none" w:sz="0" w:space="0" w:color="auto"/>
        <w:left w:val="none" w:sz="0" w:space="0" w:color="auto"/>
        <w:bottom w:val="none" w:sz="0" w:space="0" w:color="auto"/>
        <w:right w:val="none" w:sz="0" w:space="0" w:color="auto"/>
      </w:divBdr>
    </w:div>
    <w:div w:id="1570504930">
      <w:bodyDiv w:val="1"/>
      <w:marLeft w:val="0"/>
      <w:marRight w:val="0"/>
      <w:marTop w:val="0"/>
      <w:marBottom w:val="0"/>
      <w:divBdr>
        <w:top w:val="none" w:sz="0" w:space="0" w:color="auto"/>
        <w:left w:val="none" w:sz="0" w:space="0" w:color="auto"/>
        <w:bottom w:val="none" w:sz="0" w:space="0" w:color="auto"/>
        <w:right w:val="none" w:sz="0" w:space="0" w:color="auto"/>
      </w:divBdr>
    </w:div>
    <w:div w:id="1578007598">
      <w:bodyDiv w:val="1"/>
      <w:marLeft w:val="0"/>
      <w:marRight w:val="0"/>
      <w:marTop w:val="0"/>
      <w:marBottom w:val="0"/>
      <w:divBdr>
        <w:top w:val="none" w:sz="0" w:space="0" w:color="auto"/>
        <w:left w:val="none" w:sz="0" w:space="0" w:color="auto"/>
        <w:bottom w:val="none" w:sz="0" w:space="0" w:color="auto"/>
        <w:right w:val="none" w:sz="0" w:space="0" w:color="auto"/>
      </w:divBdr>
    </w:div>
    <w:div w:id="1773361418">
      <w:bodyDiv w:val="1"/>
      <w:marLeft w:val="0"/>
      <w:marRight w:val="0"/>
      <w:marTop w:val="0"/>
      <w:marBottom w:val="0"/>
      <w:divBdr>
        <w:top w:val="none" w:sz="0" w:space="0" w:color="auto"/>
        <w:left w:val="none" w:sz="0" w:space="0" w:color="auto"/>
        <w:bottom w:val="none" w:sz="0" w:space="0" w:color="auto"/>
        <w:right w:val="none" w:sz="0" w:space="0" w:color="auto"/>
      </w:divBdr>
    </w:div>
    <w:div w:id="1805074163">
      <w:bodyDiv w:val="1"/>
      <w:marLeft w:val="0"/>
      <w:marRight w:val="0"/>
      <w:marTop w:val="0"/>
      <w:marBottom w:val="0"/>
      <w:divBdr>
        <w:top w:val="none" w:sz="0" w:space="0" w:color="auto"/>
        <w:left w:val="none" w:sz="0" w:space="0" w:color="auto"/>
        <w:bottom w:val="none" w:sz="0" w:space="0" w:color="auto"/>
        <w:right w:val="none" w:sz="0" w:space="0" w:color="auto"/>
      </w:divBdr>
    </w:div>
    <w:div w:id="1929147563">
      <w:bodyDiv w:val="1"/>
      <w:marLeft w:val="0"/>
      <w:marRight w:val="0"/>
      <w:marTop w:val="0"/>
      <w:marBottom w:val="0"/>
      <w:divBdr>
        <w:top w:val="none" w:sz="0" w:space="0" w:color="auto"/>
        <w:left w:val="none" w:sz="0" w:space="0" w:color="auto"/>
        <w:bottom w:val="none" w:sz="0" w:space="0" w:color="auto"/>
        <w:right w:val="none" w:sz="0" w:space="0" w:color="auto"/>
      </w:divBdr>
    </w:div>
    <w:div w:id="1946189204">
      <w:bodyDiv w:val="1"/>
      <w:marLeft w:val="0"/>
      <w:marRight w:val="0"/>
      <w:marTop w:val="0"/>
      <w:marBottom w:val="0"/>
      <w:divBdr>
        <w:top w:val="none" w:sz="0" w:space="0" w:color="auto"/>
        <w:left w:val="none" w:sz="0" w:space="0" w:color="auto"/>
        <w:bottom w:val="none" w:sz="0" w:space="0" w:color="auto"/>
        <w:right w:val="none" w:sz="0" w:space="0" w:color="auto"/>
      </w:divBdr>
    </w:div>
    <w:div w:id="20514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ARTD_20151015">
  <a:themeElements>
    <a:clrScheme name="ARTD">
      <a:dk1>
        <a:srgbClr val="08193E"/>
      </a:dk1>
      <a:lt1>
        <a:srgbClr val="FFFFFF"/>
      </a:lt1>
      <a:dk2>
        <a:srgbClr val="FFFFFF"/>
      </a:dk2>
      <a:lt2>
        <a:srgbClr val="FFFFFF"/>
      </a:lt2>
      <a:accent1>
        <a:srgbClr val="08193E"/>
      </a:accent1>
      <a:accent2>
        <a:srgbClr val="838C96"/>
      </a:accent2>
      <a:accent3>
        <a:srgbClr val="EB7633"/>
      </a:accent3>
      <a:accent4>
        <a:srgbClr val="F2CEA1"/>
      </a:accent4>
      <a:accent5>
        <a:srgbClr val="A7B27E"/>
      </a:accent5>
      <a:accent6>
        <a:srgbClr val="E1E5D4"/>
      </a:accent6>
      <a:hlink>
        <a:srgbClr val="08193E"/>
      </a:hlink>
      <a:folHlink>
        <a:srgbClr val="0070C0"/>
      </a:folHlink>
    </a:clrScheme>
    <a:fontScheme name="ARTD_2015">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ARTD" insertBeforeMso="TabHome">
        <group id="customGroup" label="Heading Styles">
          <box id="box1" boxStyle="vertical">
            <button idMso="Heading1Apply" label="Heading 1" imageMso="_1"/>
            <button idMso="Heading2Apply" label="Heading 2" imageMso="_2"/>
            <button idMso="Heading3Apply" label="Heading 3" imageMso="_3"/>
            <button id="ApplyHeading4" label="Heading 4" onAction="ApplyHeading4" imageMso="_4"/>
            <button id="ApplyAppendixHeading" label="Appendix Heading" onAction="ApplyAppendixHeading"/>
          </box>
          <separator id="separator1"/>
          <menu id="customMenu1" label="Other Headings" itemSize="normal">
            <button id="ApplyGeneralHeading" label="General Headings" onAction="ApplyGeneralHeading"/>
            <button id="ApplyGeneralHeading2" label="General Headings Level 2" onAction="ApplyGeneralHeading2"/>
            <button id="ApplyExecSummH2" label="Exec Summary H2" onAction="ApplyExecSummH2"/>
            <button id="ApplyExecSummH3" label="Exec Summary H3" onAction="ApplyExecSummH3"/>
          </menu>
        </group>
        <group id="customGroup1" label="Other Styles">
          <button idMso="StyleNormal" visible="true" size="large" label="Normal" imageMso="AlignLeft"/>
          <separator id="separator4"/>
          <menu id="customMenu2" label="Bullets" itemSize="normal">
            <button idMso="ListBulletApply" label="Bullets"/>
            <button id="ApplyListDashLvl2" label="Dashes" onAction="ApplyListDashLvl2"/>
            <button id="ApplyNumbering" label="Numbers" onAction="ApplyNumbering"/>
            <button id="ApplyListLetterLvl2" label="Letters" onAction="ApplyListLetterLvl2"/>
          </menu>
          <menu id="customMenu3" label="Table Styles" itemSize="normal">
            <button id="ApplyTableColumnHeading" label="Table Column Heading" onAction="ApplyTableColumnHeading"/>
            <button id="ApplyTableBodyText" label="Table Text" onAction="ApplyTableBodyText"/>
            <button id="ApplyTableBullet" label="Table Bullet" onAction="ApplyTableBullet"/>
            <button id="ApplyTableColumnHeadingData" label="Table Heading - Data" onAction="ApplyTableColumnHeadingData"/>
            <button id="ApplyTableData" label="Table Text - Data" onAction="ApplyTableData"/>
          </menu>
          <menu id="customMenu4" label="Box Styles" itemSize="normal">
            <button id="InsertPullout" label="Insert Box" onAction="InsertPullout"/>
            <button id="ApplyBoxHeading" label="Box Heading" onAction="ApplyBoxHeading"/>
            <button id="ApplyBoxText" label="Box Text" onAction="ApplyBoxText"/>
            <button id="ApplyBoxBullets" label="Box Bullets" onAction="ApplyBoxBullets"/>
          </menu>
          <separator id="separator3"/>
          <menu id="customMenu5" label="Report Titles" itemSize="normal">
            <button id="ApplyReportTitle" label="Report Title" onAction="ApplyReportTitle"/>
            <button id="ApplyReportSubtitle" label="Report Subtitle" onAction="ApplyReportSubtitle"/>
            <button id="ApplyReportType" label="Report Type" onAction="ApplyReportType"/>
            <button id="ApplyReportPeriod" label="Report Period" onAction="ApplyReportPeriod"/>
          </menu>
          <menu id="customMenu6" label="Tables and Figures" itemSize="normal">
            <button id="ApplyTableHeading" label="Table Headings" onAction="ApplyTableHeading"/>
            <button id="ApplyFigureHeading" label="Figure Headings" onAction="ApplyFigureHeading"/>
          </menu>
          <separator id="separator5"/>
          <menu id="customMenu7" label="Other styles" itemSize="normal">
            <button id="ApplyNotes" label="Footnotes" onAction="ApplyNotes"/>
            <button id="ApplyQuotes" label="Quotes" onAction="ApplyQuotes"/>
            <button id="ApplyProjectExHeading" label="Project Heading" onAction="ApplyProjectExHeading"/>
            <button id="ApplyProjectExText" label="Project Text" onAction="ApplyProjectExText"/>
          </menu>
          <separator xmlns="http://schemas.microsoft.com/office/2006/01/customui" id="separator6"/>
          <toggleButton idMso="Bold"/>
          <toggleButton idMso="Italic"/>
          <toggleButton idMso="Underline"/>
        </group>
        <group id="customGroup2" label="ARTD Tables">
          <button id="CreatesTables" visible="true" size="large" label="ARTD Table" onAction="CreatesTables" imageMso="CreateTable"/>
          <button id="CreatesTables2" visible="true" size="large" label="ARTD Table 2" onAction="CreatesTables2" imageMso="AccessListCustomDatasheet"/>
          <button id="ShadeTableRow" visible="true" size="large" label="Total Row" imageMso="TableRowSelect" onAction="ShadeTableRow"/>
        </group>
        <group id="customGroup3" label="&#13;&#10;ARTD Tools">
          <button id="RemoveSpacesAfter" visible="true" size="large" label="Remove Space After" onAction="RemoveSpacesAfter" imageMso="WordCloseParaAbove"/>
          <button id="AddHalfSpacesAfter" visible="true" size="large" label="Add Half Space After" onAction="AddHalfSpacesAfter" imageMso="WordCloseParaBelow"/>
          <button id="AddSpacesAfter" visible="true" size="large" label="Add Space After" onAction="AddSpacesAfter" imageMso="WordCloseParaBelow"/>
          <button id="PasteUnformatted" visible="true" size="large" label="Unformatted" onAction="PasteUnformatted" imageMso="Paste" screentip="Copy your formatted text, then use this button to paste without formatting"/>
          <button idMso="TableOfContentsUpdate" visible="true" size="large" label="UpdateTOC" imageMso="AccessRefreshAllLists"/>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D0433D35-DFC2-4AEB-93F4-EF002D314E5B}"/>
</file>

<file path=customXml/itemProps2.xml><?xml version="1.0" encoding="utf-8"?>
<ds:datastoreItem xmlns:ds="http://schemas.openxmlformats.org/officeDocument/2006/customXml" ds:itemID="{C9C92684-D2C4-4A60-BF2F-4608426D20C0}"/>
</file>

<file path=customXml/itemProps3.xml><?xml version="1.0" encoding="utf-8"?>
<ds:datastoreItem xmlns:ds="http://schemas.openxmlformats.org/officeDocument/2006/customXml" ds:itemID="{BC167D81-F307-4458-9362-86C312AF2956}"/>
</file>

<file path=docProps/app.xml><?xml version="1.0" encoding="utf-8"?>
<Properties xmlns="http://schemas.openxmlformats.org/officeDocument/2006/extended-properties" xmlns:vt="http://schemas.openxmlformats.org/officeDocument/2006/docPropsVTypes">
  <Template>Normal.dotm</Template>
  <TotalTime>0</TotalTime>
  <Pages>24</Pages>
  <Words>5672</Words>
  <Characters>32337</Characters>
  <Application>Microsoft Office Word</Application>
  <DocSecurity>0</DocSecurity>
  <Lines>269</Lines>
  <Paragraphs>75</Paragraphs>
  <ScaleCrop>false</ScaleCrop>
  <Company/>
  <LinksUpToDate>false</LinksUpToDate>
  <CharactersWithSpaces>37934</CharactersWithSpaces>
  <SharedDoc>false</SharedDoc>
  <HLinks>
    <vt:vector size="102" baseType="variant">
      <vt:variant>
        <vt:i4>2031671</vt:i4>
      </vt:variant>
      <vt:variant>
        <vt:i4>104</vt:i4>
      </vt:variant>
      <vt:variant>
        <vt:i4>0</vt:i4>
      </vt:variant>
      <vt:variant>
        <vt:i4>5</vt:i4>
      </vt:variant>
      <vt:variant>
        <vt:lpwstr/>
      </vt:variant>
      <vt:variant>
        <vt:lpwstr>_Toc306960413</vt:lpwstr>
      </vt:variant>
      <vt:variant>
        <vt:i4>2031671</vt:i4>
      </vt:variant>
      <vt:variant>
        <vt:i4>98</vt:i4>
      </vt:variant>
      <vt:variant>
        <vt:i4>0</vt:i4>
      </vt:variant>
      <vt:variant>
        <vt:i4>5</vt:i4>
      </vt:variant>
      <vt:variant>
        <vt:lpwstr/>
      </vt:variant>
      <vt:variant>
        <vt:lpwstr>_Toc306960412</vt:lpwstr>
      </vt:variant>
      <vt:variant>
        <vt:i4>2031671</vt:i4>
      </vt:variant>
      <vt:variant>
        <vt:i4>92</vt:i4>
      </vt:variant>
      <vt:variant>
        <vt:i4>0</vt:i4>
      </vt:variant>
      <vt:variant>
        <vt:i4>5</vt:i4>
      </vt:variant>
      <vt:variant>
        <vt:lpwstr/>
      </vt:variant>
      <vt:variant>
        <vt:lpwstr>_Toc306960411</vt:lpwstr>
      </vt:variant>
      <vt:variant>
        <vt:i4>1703984</vt:i4>
      </vt:variant>
      <vt:variant>
        <vt:i4>83</vt:i4>
      </vt:variant>
      <vt:variant>
        <vt:i4>0</vt:i4>
      </vt:variant>
      <vt:variant>
        <vt:i4>5</vt:i4>
      </vt:variant>
      <vt:variant>
        <vt:lpwstr/>
      </vt:variant>
      <vt:variant>
        <vt:lpwstr>_Toc306960346</vt:lpwstr>
      </vt:variant>
      <vt:variant>
        <vt:i4>1703984</vt:i4>
      </vt:variant>
      <vt:variant>
        <vt:i4>77</vt:i4>
      </vt:variant>
      <vt:variant>
        <vt:i4>0</vt:i4>
      </vt:variant>
      <vt:variant>
        <vt:i4>5</vt:i4>
      </vt:variant>
      <vt:variant>
        <vt:lpwstr/>
      </vt:variant>
      <vt:variant>
        <vt:lpwstr>_Toc306960345</vt:lpwstr>
      </vt:variant>
      <vt:variant>
        <vt:i4>1703984</vt:i4>
      </vt:variant>
      <vt:variant>
        <vt:i4>68</vt:i4>
      </vt:variant>
      <vt:variant>
        <vt:i4>0</vt:i4>
      </vt:variant>
      <vt:variant>
        <vt:i4>5</vt:i4>
      </vt:variant>
      <vt:variant>
        <vt:lpwstr/>
      </vt:variant>
      <vt:variant>
        <vt:lpwstr>_Toc306960344</vt:lpwstr>
      </vt:variant>
      <vt:variant>
        <vt:i4>1703984</vt:i4>
      </vt:variant>
      <vt:variant>
        <vt:i4>62</vt:i4>
      </vt:variant>
      <vt:variant>
        <vt:i4>0</vt:i4>
      </vt:variant>
      <vt:variant>
        <vt:i4>5</vt:i4>
      </vt:variant>
      <vt:variant>
        <vt:lpwstr/>
      </vt:variant>
      <vt:variant>
        <vt:lpwstr>_Toc306960343</vt:lpwstr>
      </vt:variant>
      <vt:variant>
        <vt:i4>1703984</vt:i4>
      </vt:variant>
      <vt:variant>
        <vt:i4>56</vt:i4>
      </vt:variant>
      <vt:variant>
        <vt:i4>0</vt:i4>
      </vt:variant>
      <vt:variant>
        <vt:i4>5</vt:i4>
      </vt:variant>
      <vt:variant>
        <vt:lpwstr/>
      </vt:variant>
      <vt:variant>
        <vt:lpwstr>_Toc306960342</vt:lpwstr>
      </vt:variant>
      <vt:variant>
        <vt:i4>1703984</vt:i4>
      </vt:variant>
      <vt:variant>
        <vt:i4>50</vt:i4>
      </vt:variant>
      <vt:variant>
        <vt:i4>0</vt:i4>
      </vt:variant>
      <vt:variant>
        <vt:i4>5</vt:i4>
      </vt:variant>
      <vt:variant>
        <vt:lpwstr/>
      </vt:variant>
      <vt:variant>
        <vt:lpwstr>_Toc306960341</vt:lpwstr>
      </vt:variant>
      <vt:variant>
        <vt:i4>1703984</vt:i4>
      </vt:variant>
      <vt:variant>
        <vt:i4>44</vt:i4>
      </vt:variant>
      <vt:variant>
        <vt:i4>0</vt:i4>
      </vt:variant>
      <vt:variant>
        <vt:i4>5</vt:i4>
      </vt:variant>
      <vt:variant>
        <vt:lpwstr/>
      </vt:variant>
      <vt:variant>
        <vt:lpwstr>_Toc306960340</vt:lpwstr>
      </vt:variant>
      <vt:variant>
        <vt:i4>1900592</vt:i4>
      </vt:variant>
      <vt:variant>
        <vt:i4>38</vt:i4>
      </vt:variant>
      <vt:variant>
        <vt:i4>0</vt:i4>
      </vt:variant>
      <vt:variant>
        <vt:i4>5</vt:i4>
      </vt:variant>
      <vt:variant>
        <vt:lpwstr/>
      </vt:variant>
      <vt:variant>
        <vt:lpwstr>_Toc306960339</vt:lpwstr>
      </vt:variant>
      <vt:variant>
        <vt:i4>1900592</vt:i4>
      </vt:variant>
      <vt:variant>
        <vt:i4>32</vt:i4>
      </vt:variant>
      <vt:variant>
        <vt:i4>0</vt:i4>
      </vt:variant>
      <vt:variant>
        <vt:i4>5</vt:i4>
      </vt:variant>
      <vt:variant>
        <vt:lpwstr/>
      </vt:variant>
      <vt:variant>
        <vt:lpwstr>_Toc306960338</vt:lpwstr>
      </vt:variant>
      <vt:variant>
        <vt:i4>1900592</vt:i4>
      </vt:variant>
      <vt:variant>
        <vt:i4>26</vt:i4>
      </vt:variant>
      <vt:variant>
        <vt:i4>0</vt:i4>
      </vt:variant>
      <vt:variant>
        <vt:i4>5</vt:i4>
      </vt:variant>
      <vt:variant>
        <vt:lpwstr/>
      </vt:variant>
      <vt:variant>
        <vt:lpwstr>_Toc306960337</vt:lpwstr>
      </vt:variant>
      <vt:variant>
        <vt:i4>1900592</vt:i4>
      </vt:variant>
      <vt:variant>
        <vt:i4>20</vt:i4>
      </vt:variant>
      <vt:variant>
        <vt:i4>0</vt:i4>
      </vt:variant>
      <vt:variant>
        <vt:i4>5</vt:i4>
      </vt:variant>
      <vt:variant>
        <vt:lpwstr/>
      </vt:variant>
      <vt:variant>
        <vt:lpwstr>_Toc306960336</vt:lpwstr>
      </vt:variant>
      <vt:variant>
        <vt:i4>1900592</vt:i4>
      </vt:variant>
      <vt:variant>
        <vt:i4>14</vt:i4>
      </vt:variant>
      <vt:variant>
        <vt:i4>0</vt:i4>
      </vt:variant>
      <vt:variant>
        <vt:i4>5</vt:i4>
      </vt:variant>
      <vt:variant>
        <vt:lpwstr/>
      </vt:variant>
      <vt:variant>
        <vt:lpwstr>_Toc306960335</vt:lpwstr>
      </vt:variant>
      <vt:variant>
        <vt:i4>1900592</vt:i4>
      </vt:variant>
      <vt:variant>
        <vt:i4>8</vt:i4>
      </vt:variant>
      <vt:variant>
        <vt:i4>0</vt:i4>
      </vt:variant>
      <vt:variant>
        <vt:i4>5</vt:i4>
      </vt:variant>
      <vt:variant>
        <vt:lpwstr/>
      </vt:variant>
      <vt:variant>
        <vt:lpwstr>_Toc306960334</vt:lpwstr>
      </vt:variant>
      <vt:variant>
        <vt:i4>1900592</vt:i4>
      </vt:variant>
      <vt:variant>
        <vt:i4>2</vt:i4>
      </vt:variant>
      <vt:variant>
        <vt:i4>0</vt:i4>
      </vt:variant>
      <vt:variant>
        <vt:i4>5</vt:i4>
      </vt:variant>
      <vt:variant>
        <vt:lpwstr/>
      </vt:variant>
      <vt:variant>
        <vt:lpwstr>_Toc306960333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 Phase 2: Summary of Regional Land Partnerships survey</dc:title>
  <dc:creator/>
  <cp:lastModifiedBy/>
  <cp:revision>1</cp:revision>
  <dcterms:created xsi:type="dcterms:W3CDTF">2022-05-25T23:10:00Z</dcterms:created>
  <dcterms:modified xsi:type="dcterms:W3CDTF">2022-05-25T23:10:00Z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