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D9" w:rsidRDefault="00F328D9" w:rsidP="00F328D9">
      <w:pPr>
        <w:spacing w:after="0" w:line="240" w:lineRule="auto"/>
        <w:jc w:val="center"/>
      </w:pPr>
      <w:r w:rsidRPr="00B00BAC">
        <w:rPr>
          <w:noProof/>
          <w:lang w:eastAsia="en-AU"/>
        </w:rPr>
        <w:drawing>
          <wp:inline distT="0" distB="0" distL="0" distR="0">
            <wp:extent cx="2513330" cy="800297"/>
            <wp:effectExtent l="19050" t="0" r="1270" b="0"/>
            <wp:docPr id="1" name="Picture 1"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8"/>
                    <a:stretch>
                      <a:fillRect/>
                    </a:stretch>
                  </pic:blipFill>
                  <pic:spPr bwMode="auto">
                    <a:xfrm>
                      <a:off x="0" y="0"/>
                      <a:ext cx="2513949" cy="800494"/>
                    </a:xfrm>
                    <a:prstGeom prst="rect">
                      <a:avLst/>
                    </a:prstGeom>
                    <a:noFill/>
                    <a:ln w="9525">
                      <a:noFill/>
                      <a:miter lim="800000"/>
                      <a:headEnd/>
                      <a:tailEnd/>
                    </a:ln>
                  </pic:spPr>
                </pic:pic>
              </a:graphicData>
            </a:graphic>
          </wp:inline>
        </w:drawing>
      </w:r>
    </w:p>
    <w:p w:rsidR="00F328D9" w:rsidRDefault="00F328D9">
      <w:pPr>
        <w:spacing w:after="0" w:line="240" w:lineRule="auto"/>
      </w:pPr>
    </w:p>
    <w:p w:rsidR="00F328D9" w:rsidRDefault="00F328D9">
      <w:pPr>
        <w:spacing w:after="0" w:line="240" w:lineRule="auto"/>
      </w:pPr>
    </w:p>
    <w:p w:rsidR="00F328D9" w:rsidRDefault="00F328D9">
      <w:pPr>
        <w:spacing w:after="0" w:line="240" w:lineRule="auto"/>
      </w:pPr>
    </w:p>
    <w:p w:rsidR="00F328D9" w:rsidRDefault="00F328D9">
      <w:pPr>
        <w:spacing w:after="0" w:line="240" w:lineRule="auto"/>
      </w:pPr>
    </w:p>
    <w:p w:rsidR="00F328D9" w:rsidRDefault="00F328D9">
      <w:pPr>
        <w:spacing w:after="0" w:line="240" w:lineRule="auto"/>
        <w:rPr>
          <w:b/>
          <w:sz w:val="48"/>
          <w:szCs w:val="48"/>
        </w:rPr>
      </w:pPr>
    </w:p>
    <w:p w:rsidR="00F328D9" w:rsidRDefault="00F328D9">
      <w:pPr>
        <w:spacing w:after="0" w:line="240" w:lineRule="auto"/>
        <w:rPr>
          <w:b/>
          <w:sz w:val="48"/>
          <w:szCs w:val="48"/>
        </w:rPr>
      </w:pPr>
    </w:p>
    <w:p w:rsidR="00C66DD8" w:rsidRDefault="00C66DD8">
      <w:pPr>
        <w:spacing w:after="0" w:line="240" w:lineRule="auto"/>
        <w:rPr>
          <w:b/>
          <w:sz w:val="48"/>
          <w:szCs w:val="48"/>
        </w:rPr>
      </w:pPr>
    </w:p>
    <w:p w:rsidR="00F328D9" w:rsidRPr="008779D3" w:rsidRDefault="00F328D9" w:rsidP="00C66DD8">
      <w:pPr>
        <w:spacing w:after="0" w:line="240" w:lineRule="auto"/>
        <w:jc w:val="center"/>
        <w:rPr>
          <w:b/>
          <w:color w:val="17365D" w:themeColor="text2" w:themeShade="BF"/>
          <w:sz w:val="40"/>
          <w:szCs w:val="40"/>
        </w:rPr>
      </w:pPr>
      <w:r w:rsidRPr="008779D3">
        <w:rPr>
          <w:b/>
          <w:color w:val="17365D" w:themeColor="text2" w:themeShade="BF"/>
          <w:sz w:val="40"/>
          <w:szCs w:val="40"/>
        </w:rPr>
        <w:t xml:space="preserve">Murray-Darling Basin </w:t>
      </w:r>
      <w:r w:rsidR="00C66DD8" w:rsidRPr="008779D3">
        <w:rPr>
          <w:b/>
          <w:color w:val="17365D" w:themeColor="text2" w:themeShade="BF"/>
          <w:sz w:val="40"/>
          <w:szCs w:val="40"/>
        </w:rPr>
        <w:t xml:space="preserve">National Partnership Agreement: </w:t>
      </w:r>
      <w:r w:rsidRPr="008779D3">
        <w:rPr>
          <w:b/>
          <w:color w:val="17365D" w:themeColor="text2" w:themeShade="BF"/>
          <w:sz w:val="40"/>
          <w:szCs w:val="40"/>
        </w:rPr>
        <w:t>milestone assessments for year ending 30 June 2015</w:t>
      </w:r>
    </w:p>
    <w:p w:rsidR="00F328D9" w:rsidRPr="00F328D9" w:rsidRDefault="00F328D9">
      <w:pPr>
        <w:spacing w:after="0" w:line="240" w:lineRule="auto"/>
        <w:rPr>
          <w:color w:val="0D223F"/>
          <w:sz w:val="40"/>
          <w:szCs w:val="40"/>
        </w:rPr>
      </w:pPr>
    </w:p>
    <w:p w:rsidR="002814D6" w:rsidRPr="00712173" w:rsidRDefault="00AB5F91" w:rsidP="00DC00D0">
      <w:pPr>
        <w:pStyle w:val="TOCHeading1"/>
        <w:spacing w:before="240"/>
      </w:pPr>
      <w:r>
        <w:lastRenderedPageBreak/>
        <w:t>C</w:t>
      </w:r>
      <w:r w:rsidR="00555C91">
        <w:t>ontents</w:t>
      </w:r>
      <w:bookmarkStart w:id="0" w:name="_GoBack"/>
      <w:bookmarkEnd w:id="0"/>
    </w:p>
    <w:p w:rsidR="004E3CDB" w:rsidRDefault="00F8685D">
      <w:pPr>
        <w:pStyle w:val="TOC1"/>
        <w:rPr>
          <w:rFonts w:asciiTheme="minorHAnsi" w:eastAsiaTheme="minorEastAsia" w:hAnsiTheme="minorHAnsi" w:cstheme="minorBidi"/>
          <w:b w:val="0"/>
          <w:noProof/>
          <w:color w:val="auto"/>
          <w:sz w:val="22"/>
          <w:szCs w:val="22"/>
          <w:lang w:eastAsia="en-AU"/>
        </w:rPr>
      </w:pPr>
      <w:r w:rsidRPr="00F8685D">
        <w:fldChar w:fldCharType="begin"/>
      </w:r>
      <w:r w:rsidR="00B051D8">
        <w:instrText xml:space="preserve"> TOC \o "2-2" \h \z \t "Heading 1,1,Heading 1 List,1,Heading 1 no number,1" </w:instrText>
      </w:r>
      <w:r w:rsidRPr="00F8685D">
        <w:fldChar w:fldCharType="separate"/>
      </w:r>
      <w:hyperlink w:anchor="_Toc433882347" w:history="1">
        <w:r w:rsidR="004E3CDB" w:rsidRPr="00C56114">
          <w:rPr>
            <w:rStyle w:val="Hyperlink"/>
            <w:noProof/>
          </w:rPr>
          <w:t>1</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Background</w:t>
        </w:r>
        <w:r w:rsidR="004E3CDB">
          <w:rPr>
            <w:noProof/>
            <w:webHidden/>
          </w:rPr>
          <w:tab/>
        </w:r>
        <w:r>
          <w:rPr>
            <w:noProof/>
            <w:webHidden/>
          </w:rPr>
          <w:fldChar w:fldCharType="begin"/>
        </w:r>
        <w:r w:rsidR="004E3CDB">
          <w:rPr>
            <w:noProof/>
            <w:webHidden/>
          </w:rPr>
          <w:instrText xml:space="preserve"> PAGEREF _Toc433882347 \h </w:instrText>
        </w:r>
        <w:r>
          <w:rPr>
            <w:noProof/>
            <w:webHidden/>
          </w:rPr>
        </w:r>
        <w:r>
          <w:rPr>
            <w:noProof/>
            <w:webHidden/>
          </w:rPr>
          <w:fldChar w:fldCharType="separate"/>
        </w:r>
        <w:r w:rsidR="004E3CDB">
          <w:rPr>
            <w:noProof/>
            <w:webHidden/>
          </w:rPr>
          <w:t>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48" w:history="1">
        <w:r w:rsidR="004E3CDB" w:rsidRPr="00C56114">
          <w:rPr>
            <w:rStyle w:val="Hyperlink"/>
            <w:noProof/>
          </w:rPr>
          <w:t>1.1</w:t>
        </w:r>
        <w:r w:rsidR="004E3CDB">
          <w:rPr>
            <w:rFonts w:asciiTheme="minorHAnsi" w:eastAsiaTheme="minorEastAsia" w:hAnsiTheme="minorHAnsi" w:cstheme="minorBidi"/>
            <w:noProof/>
            <w:color w:val="auto"/>
            <w:szCs w:val="22"/>
            <w:lang w:eastAsia="en-AU"/>
          </w:rPr>
          <w:tab/>
        </w:r>
        <w:r w:rsidR="004E3CDB" w:rsidRPr="00C56114">
          <w:rPr>
            <w:rStyle w:val="Hyperlink"/>
            <w:noProof/>
          </w:rPr>
          <w:t>Assessor’s role</w:t>
        </w:r>
        <w:r w:rsidR="004E3CDB">
          <w:rPr>
            <w:noProof/>
            <w:webHidden/>
          </w:rPr>
          <w:tab/>
        </w:r>
        <w:r>
          <w:rPr>
            <w:noProof/>
            <w:webHidden/>
          </w:rPr>
          <w:fldChar w:fldCharType="begin"/>
        </w:r>
        <w:r w:rsidR="004E3CDB">
          <w:rPr>
            <w:noProof/>
            <w:webHidden/>
          </w:rPr>
          <w:instrText xml:space="preserve"> PAGEREF _Toc433882348 \h </w:instrText>
        </w:r>
        <w:r>
          <w:rPr>
            <w:noProof/>
            <w:webHidden/>
          </w:rPr>
        </w:r>
        <w:r>
          <w:rPr>
            <w:noProof/>
            <w:webHidden/>
          </w:rPr>
          <w:fldChar w:fldCharType="separate"/>
        </w:r>
        <w:r w:rsidR="004E3CDB">
          <w:rPr>
            <w:noProof/>
            <w:webHidden/>
          </w:rPr>
          <w:t>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49" w:history="1">
        <w:r w:rsidR="004E3CDB" w:rsidRPr="00C56114">
          <w:rPr>
            <w:rStyle w:val="Hyperlink"/>
            <w:noProof/>
          </w:rPr>
          <w:t>1.2</w:t>
        </w:r>
        <w:r w:rsidR="004E3CDB">
          <w:rPr>
            <w:rFonts w:asciiTheme="minorHAnsi" w:eastAsiaTheme="minorEastAsia" w:hAnsiTheme="minorHAnsi" w:cstheme="minorBidi"/>
            <w:noProof/>
            <w:color w:val="auto"/>
            <w:szCs w:val="22"/>
            <w:lang w:eastAsia="en-AU"/>
          </w:rPr>
          <w:tab/>
        </w:r>
        <w:r w:rsidR="004E3CDB" w:rsidRPr="00C56114">
          <w:rPr>
            <w:rStyle w:val="Hyperlink"/>
            <w:noProof/>
          </w:rPr>
          <w:t>Assessment scope</w:t>
        </w:r>
        <w:r w:rsidR="004E3CDB">
          <w:rPr>
            <w:noProof/>
            <w:webHidden/>
          </w:rPr>
          <w:tab/>
        </w:r>
        <w:r>
          <w:rPr>
            <w:noProof/>
            <w:webHidden/>
          </w:rPr>
          <w:fldChar w:fldCharType="begin"/>
        </w:r>
        <w:r w:rsidR="004E3CDB">
          <w:rPr>
            <w:noProof/>
            <w:webHidden/>
          </w:rPr>
          <w:instrText xml:space="preserve"> PAGEREF _Toc433882349 \h </w:instrText>
        </w:r>
        <w:r>
          <w:rPr>
            <w:noProof/>
            <w:webHidden/>
          </w:rPr>
        </w:r>
        <w:r>
          <w:rPr>
            <w:noProof/>
            <w:webHidden/>
          </w:rPr>
          <w:fldChar w:fldCharType="separate"/>
        </w:r>
        <w:r w:rsidR="004E3CDB">
          <w:rPr>
            <w:noProof/>
            <w:webHidden/>
          </w:rPr>
          <w:t>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0" w:history="1">
        <w:r w:rsidR="004E3CDB" w:rsidRPr="00C56114">
          <w:rPr>
            <w:rStyle w:val="Hyperlink"/>
            <w:noProof/>
          </w:rPr>
          <w:t>1.3</w:t>
        </w:r>
        <w:r w:rsidR="004E3CDB">
          <w:rPr>
            <w:rFonts w:asciiTheme="minorHAnsi" w:eastAsiaTheme="minorEastAsia" w:hAnsiTheme="minorHAnsi" w:cstheme="minorBidi"/>
            <w:noProof/>
            <w:color w:val="auto"/>
            <w:szCs w:val="22"/>
            <w:lang w:eastAsia="en-AU"/>
          </w:rPr>
          <w:tab/>
        </w:r>
        <w:r w:rsidR="004E3CDB" w:rsidRPr="00C56114">
          <w:rPr>
            <w:rStyle w:val="Hyperlink"/>
            <w:noProof/>
          </w:rPr>
          <w:t>Assessment approach</w:t>
        </w:r>
        <w:r w:rsidR="004E3CDB">
          <w:rPr>
            <w:noProof/>
            <w:webHidden/>
          </w:rPr>
          <w:tab/>
        </w:r>
        <w:r>
          <w:rPr>
            <w:noProof/>
            <w:webHidden/>
          </w:rPr>
          <w:fldChar w:fldCharType="begin"/>
        </w:r>
        <w:r w:rsidR="004E3CDB">
          <w:rPr>
            <w:noProof/>
            <w:webHidden/>
          </w:rPr>
          <w:instrText xml:space="preserve"> PAGEREF _Toc433882350 \h </w:instrText>
        </w:r>
        <w:r>
          <w:rPr>
            <w:noProof/>
            <w:webHidden/>
          </w:rPr>
        </w:r>
        <w:r>
          <w:rPr>
            <w:noProof/>
            <w:webHidden/>
          </w:rPr>
          <w:fldChar w:fldCharType="separate"/>
        </w:r>
        <w:r w:rsidR="004E3CDB">
          <w:rPr>
            <w:noProof/>
            <w:webHidden/>
          </w:rPr>
          <w:t>4</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51" w:history="1">
        <w:r w:rsidR="004E3CDB" w:rsidRPr="00C56114">
          <w:rPr>
            <w:rStyle w:val="Hyperlink"/>
            <w:noProof/>
          </w:rPr>
          <w:t>2</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Assessment for the Australian Capital Territory</w:t>
        </w:r>
        <w:r w:rsidR="004E3CDB">
          <w:rPr>
            <w:noProof/>
            <w:webHidden/>
          </w:rPr>
          <w:tab/>
        </w:r>
        <w:r>
          <w:rPr>
            <w:noProof/>
            <w:webHidden/>
          </w:rPr>
          <w:fldChar w:fldCharType="begin"/>
        </w:r>
        <w:r w:rsidR="004E3CDB">
          <w:rPr>
            <w:noProof/>
            <w:webHidden/>
          </w:rPr>
          <w:instrText xml:space="preserve"> PAGEREF _Toc433882351 \h </w:instrText>
        </w:r>
        <w:r>
          <w:rPr>
            <w:noProof/>
            <w:webHidden/>
          </w:rPr>
        </w:r>
        <w:r>
          <w:rPr>
            <w:noProof/>
            <w:webHidden/>
          </w:rPr>
          <w:fldChar w:fldCharType="separate"/>
        </w:r>
        <w:r w:rsidR="004E3CDB">
          <w:rPr>
            <w:noProof/>
            <w:webHidden/>
          </w:rPr>
          <w:t>5</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2" w:history="1">
        <w:r w:rsidR="004E3CDB" w:rsidRPr="00C56114">
          <w:rPr>
            <w:rStyle w:val="Hyperlink"/>
            <w:noProof/>
          </w:rPr>
          <w:t>2.1</w:t>
        </w:r>
        <w:r w:rsidR="004E3CDB">
          <w:rPr>
            <w:rFonts w:asciiTheme="minorHAnsi" w:eastAsiaTheme="minorEastAsia" w:hAnsiTheme="minorHAnsi" w:cstheme="minorBidi"/>
            <w:noProof/>
            <w:color w:val="auto"/>
            <w:szCs w:val="22"/>
            <w:lang w:eastAsia="en-AU"/>
          </w:rPr>
          <w:tab/>
        </w:r>
        <w:r w:rsidR="004E3CDB" w:rsidRPr="00C56114">
          <w:rPr>
            <w:rStyle w:val="Hyperlink"/>
            <w:noProof/>
          </w:rPr>
          <w:t>Summary of findings</w:t>
        </w:r>
        <w:r w:rsidR="004E3CDB">
          <w:rPr>
            <w:noProof/>
            <w:webHidden/>
          </w:rPr>
          <w:tab/>
        </w:r>
        <w:r>
          <w:rPr>
            <w:noProof/>
            <w:webHidden/>
          </w:rPr>
          <w:fldChar w:fldCharType="begin"/>
        </w:r>
        <w:r w:rsidR="004E3CDB">
          <w:rPr>
            <w:noProof/>
            <w:webHidden/>
          </w:rPr>
          <w:instrText xml:space="preserve"> PAGEREF _Toc433882352 \h </w:instrText>
        </w:r>
        <w:r>
          <w:rPr>
            <w:noProof/>
            <w:webHidden/>
          </w:rPr>
        </w:r>
        <w:r>
          <w:rPr>
            <w:noProof/>
            <w:webHidden/>
          </w:rPr>
          <w:fldChar w:fldCharType="separate"/>
        </w:r>
        <w:r w:rsidR="004E3CDB">
          <w:rPr>
            <w:noProof/>
            <w:webHidden/>
          </w:rPr>
          <w:t>5</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3" w:history="1">
        <w:r w:rsidR="004E3CDB" w:rsidRPr="00C56114">
          <w:rPr>
            <w:rStyle w:val="Hyperlink"/>
            <w:noProof/>
          </w:rPr>
          <w:t>2.2</w:t>
        </w:r>
        <w:r w:rsidR="004E3CDB">
          <w:rPr>
            <w:rFonts w:asciiTheme="minorHAnsi" w:eastAsiaTheme="minorEastAsia" w:hAnsiTheme="minorHAnsi" w:cstheme="minorBidi"/>
            <w:noProof/>
            <w:color w:val="auto"/>
            <w:szCs w:val="22"/>
            <w:lang w:eastAsia="en-AU"/>
          </w:rPr>
          <w:tab/>
        </w:r>
        <w:r w:rsidR="004E3CDB" w:rsidRPr="00C56114">
          <w:rPr>
            <w:rStyle w:val="Hyperlink"/>
            <w:noProof/>
          </w:rPr>
          <w:t>Bridging the gap</w:t>
        </w:r>
        <w:r w:rsidR="004E3CDB">
          <w:rPr>
            <w:noProof/>
            <w:webHidden/>
          </w:rPr>
          <w:tab/>
        </w:r>
        <w:r>
          <w:rPr>
            <w:noProof/>
            <w:webHidden/>
          </w:rPr>
          <w:fldChar w:fldCharType="begin"/>
        </w:r>
        <w:r w:rsidR="004E3CDB">
          <w:rPr>
            <w:noProof/>
            <w:webHidden/>
          </w:rPr>
          <w:instrText xml:space="preserve"> PAGEREF _Toc433882353 \h </w:instrText>
        </w:r>
        <w:r>
          <w:rPr>
            <w:noProof/>
            <w:webHidden/>
          </w:rPr>
        </w:r>
        <w:r>
          <w:rPr>
            <w:noProof/>
            <w:webHidden/>
          </w:rPr>
          <w:fldChar w:fldCharType="separate"/>
        </w:r>
        <w:r w:rsidR="004E3CDB">
          <w:rPr>
            <w:noProof/>
            <w:webHidden/>
          </w:rPr>
          <w:t>6</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4" w:history="1">
        <w:r w:rsidR="004E3CDB" w:rsidRPr="00C56114">
          <w:rPr>
            <w:rStyle w:val="Hyperlink"/>
            <w:noProof/>
          </w:rPr>
          <w:t>2.3</w:t>
        </w:r>
        <w:r w:rsidR="004E3CDB">
          <w:rPr>
            <w:rFonts w:asciiTheme="minorHAnsi" w:eastAsiaTheme="minorEastAsia" w:hAnsiTheme="minorHAnsi" w:cstheme="minorBidi"/>
            <w:noProof/>
            <w:color w:val="auto"/>
            <w:szCs w:val="22"/>
            <w:lang w:eastAsia="en-AU"/>
          </w:rPr>
          <w:tab/>
        </w:r>
        <w:r w:rsidR="004E3CDB" w:rsidRPr="00C56114">
          <w:rPr>
            <w:rStyle w:val="Hyperlink"/>
            <w:noProof/>
          </w:rPr>
          <w:t>Implementation of the Constraints Management Strategy</w:t>
        </w:r>
        <w:r w:rsidR="004E3CDB">
          <w:rPr>
            <w:noProof/>
            <w:webHidden/>
          </w:rPr>
          <w:tab/>
        </w:r>
        <w:r>
          <w:rPr>
            <w:noProof/>
            <w:webHidden/>
          </w:rPr>
          <w:fldChar w:fldCharType="begin"/>
        </w:r>
        <w:r w:rsidR="004E3CDB">
          <w:rPr>
            <w:noProof/>
            <w:webHidden/>
          </w:rPr>
          <w:instrText xml:space="preserve"> PAGEREF _Toc433882354 \h </w:instrText>
        </w:r>
        <w:r>
          <w:rPr>
            <w:noProof/>
            <w:webHidden/>
          </w:rPr>
        </w:r>
        <w:r>
          <w:rPr>
            <w:noProof/>
            <w:webHidden/>
          </w:rPr>
          <w:fldChar w:fldCharType="separate"/>
        </w:r>
        <w:r w:rsidR="004E3CDB">
          <w:rPr>
            <w:noProof/>
            <w:webHidden/>
          </w:rPr>
          <w:t>7</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5" w:history="1">
        <w:r w:rsidR="004E3CDB" w:rsidRPr="00C56114">
          <w:rPr>
            <w:rStyle w:val="Hyperlink"/>
            <w:noProof/>
          </w:rPr>
          <w:t>2.4</w:t>
        </w:r>
        <w:r w:rsidR="004E3CDB">
          <w:rPr>
            <w:rFonts w:asciiTheme="minorHAnsi" w:eastAsiaTheme="minorEastAsia" w:hAnsiTheme="minorHAnsi" w:cstheme="minorBidi"/>
            <w:noProof/>
            <w:color w:val="auto"/>
            <w:szCs w:val="22"/>
            <w:lang w:eastAsia="en-AU"/>
          </w:rPr>
          <w:tab/>
        </w:r>
        <w:r w:rsidR="004E3CDB" w:rsidRPr="00C56114">
          <w:rPr>
            <w:rStyle w:val="Hyperlink"/>
            <w:noProof/>
          </w:rPr>
          <w:t>Cooperation in environmental watering</w:t>
        </w:r>
        <w:r w:rsidR="004E3CDB">
          <w:rPr>
            <w:noProof/>
            <w:webHidden/>
          </w:rPr>
          <w:tab/>
        </w:r>
        <w:r>
          <w:rPr>
            <w:noProof/>
            <w:webHidden/>
          </w:rPr>
          <w:fldChar w:fldCharType="begin"/>
        </w:r>
        <w:r w:rsidR="004E3CDB">
          <w:rPr>
            <w:noProof/>
            <w:webHidden/>
          </w:rPr>
          <w:instrText xml:space="preserve"> PAGEREF _Toc433882355 \h </w:instrText>
        </w:r>
        <w:r>
          <w:rPr>
            <w:noProof/>
            <w:webHidden/>
          </w:rPr>
        </w:r>
        <w:r>
          <w:rPr>
            <w:noProof/>
            <w:webHidden/>
          </w:rPr>
          <w:fldChar w:fldCharType="separate"/>
        </w:r>
        <w:r w:rsidR="004E3CDB">
          <w:rPr>
            <w:noProof/>
            <w:webHidden/>
          </w:rPr>
          <w:t>7</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6" w:history="1">
        <w:r w:rsidR="004E3CDB" w:rsidRPr="00C56114">
          <w:rPr>
            <w:rStyle w:val="Hyperlink"/>
            <w:noProof/>
          </w:rPr>
          <w:t>2.5</w:t>
        </w:r>
        <w:r w:rsidR="004E3CDB">
          <w:rPr>
            <w:rFonts w:asciiTheme="minorHAnsi" w:eastAsiaTheme="minorEastAsia" w:hAnsiTheme="minorHAnsi" w:cstheme="minorBidi"/>
            <w:noProof/>
            <w:color w:val="auto"/>
            <w:szCs w:val="22"/>
            <w:lang w:eastAsia="en-AU"/>
          </w:rPr>
          <w:tab/>
        </w:r>
        <w:r w:rsidR="004E3CDB" w:rsidRPr="00C56114">
          <w:rPr>
            <w:rStyle w:val="Hyperlink"/>
            <w:noProof/>
          </w:rPr>
          <w:t>Supply measures projects</w:t>
        </w:r>
        <w:r w:rsidR="004E3CDB">
          <w:rPr>
            <w:noProof/>
            <w:webHidden/>
          </w:rPr>
          <w:tab/>
        </w:r>
        <w:r>
          <w:rPr>
            <w:noProof/>
            <w:webHidden/>
          </w:rPr>
          <w:fldChar w:fldCharType="begin"/>
        </w:r>
        <w:r w:rsidR="004E3CDB">
          <w:rPr>
            <w:noProof/>
            <w:webHidden/>
          </w:rPr>
          <w:instrText xml:space="preserve"> PAGEREF _Toc433882356 \h </w:instrText>
        </w:r>
        <w:r>
          <w:rPr>
            <w:noProof/>
            <w:webHidden/>
          </w:rPr>
        </w:r>
        <w:r>
          <w:rPr>
            <w:noProof/>
            <w:webHidden/>
          </w:rPr>
          <w:fldChar w:fldCharType="separate"/>
        </w:r>
        <w:r w:rsidR="004E3CDB">
          <w:rPr>
            <w:noProof/>
            <w:webHidden/>
          </w:rPr>
          <w:t>7</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57" w:history="1">
        <w:r w:rsidR="004E3CDB" w:rsidRPr="00C56114">
          <w:rPr>
            <w:rStyle w:val="Hyperlink"/>
            <w:noProof/>
          </w:rPr>
          <w:t>3</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Assessment for New South Wales</w:t>
        </w:r>
        <w:r w:rsidR="004E3CDB">
          <w:rPr>
            <w:noProof/>
            <w:webHidden/>
          </w:rPr>
          <w:tab/>
        </w:r>
        <w:r>
          <w:rPr>
            <w:noProof/>
            <w:webHidden/>
          </w:rPr>
          <w:fldChar w:fldCharType="begin"/>
        </w:r>
        <w:r w:rsidR="004E3CDB">
          <w:rPr>
            <w:noProof/>
            <w:webHidden/>
          </w:rPr>
          <w:instrText xml:space="preserve"> PAGEREF _Toc433882357 \h </w:instrText>
        </w:r>
        <w:r>
          <w:rPr>
            <w:noProof/>
            <w:webHidden/>
          </w:rPr>
        </w:r>
        <w:r>
          <w:rPr>
            <w:noProof/>
            <w:webHidden/>
          </w:rPr>
          <w:fldChar w:fldCharType="separate"/>
        </w:r>
        <w:r w:rsidR="004E3CDB">
          <w:rPr>
            <w:noProof/>
            <w:webHidden/>
          </w:rPr>
          <w:t>8</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8" w:history="1">
        <w:r w:rsidR="004E3CDB" w:rsidRPr="00C56114">
          <w:rPr>
            <w:rStyle w:val="Hyperlink"/>
            <w:noProof/>
          </w:rPr>
          <w:t>3.1</w:t>
        </w:r>
        <w:r w:rsidR="004E3CDB">
          <w:rPr>
            <w:rFonts w:asciiTheme="minorHAnsi" w:eastAsiaTheme="minorEastAsia" w:hAnsiTheme="minorHAnsi" w:cstheme="minorBidi"/>
            <w:noProof/>
            <w:color w:val="auto"/>
            <w:szCs w:val="22"/>
            <w:lang w:eastAsia="en-AU"/>
          </w:rPr>
          <w:tab/>
        </w:r>
        <w:r w:rsidR="004E3CDB" w:rsidRPr="00C56114">
          <w:rPr>
            <w:rStyle w:val="Hyperlink"/>
            <w:noProof/>
          </w:rPr>
          <w:t>Summary of findings</w:t>
        </w:r>
        <w:r w:rsidR="004E3CDB">
          <w:rPr>
            <w:noProof/>
            <w:webHidden/>
          </w:rPr>
          <w:tab/>
        </w:r>
        <w:r>
          <w:rPr>
            <w:noProof/>
            <w:webHidden/>
          </w:rPr>
          <w:fldChar w:fldCharType="begin"/>
        </w:r>
        <w:r w:rsidR="004E3CDB">
          <w:rPr>
            <w:noProof/>
            <w:webHidden/>
          </w:rPr>
          <w:instrText xml:space="preserve"> PAGEREF _Toc433882358 \h </w:instrText>
        </w:r>
        <w:r>
          <w:rPr>
            <w:noProof/>
            <w:webHidden/>
          </w:rPr>
        </w:r>
        <w:r>
          <w:rPr>
            <w:noProof/>
            <w:webHidden/>
          </w:rPr>
          <w:fldChar w:fldCharType="separate"/>
        </w:r>
        <w:r w:rsidR="004E3CDB">
          <w:rPr>
            <w:noProof/>
            <w:webHidden/>
          </w:rPr>
          <w:t>8</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59" w:history="1">
        <w:r w:rsidR="004E3CDB" w:rsidRPr="00C56114">
          <w:rPr>
            <w:rStyle w:val="Hyperlink"/>
            <w:noProof/>
          </w:rPr>
          <w:t>3.2</w:t>
        </w:r>
        <w:r w:rsidR="004E3CDB">
          <w:rPr>
            <w:rFonts w:asciiTheme="minorHAnsi" w:eastAsiaTheme="minorEastAsia" w:hAnsiTheme="minorHAnsi" w:cstheme="minorBidi"/>
            <w:noProof/>
            <w:color w:val="auto"/>
            <w:szCs w:val="22"/>
            <w:lang w:eastAsia="en-AU"/>
          </w:rPr>
          <w:tab/>
        </w:r>
        <w:r w:rsidR="004E3CDB" w:rsidRPr="00C56114">
          <w:rPr>
            <w:rStyle w:val="Hyperlink"/>
            <w:noProof/>
          </w:rPr>
          <w:t>Bridging the gap</w:t>
        </w:r>
        <w:r w:rsidR="004E3CDB">
          <w:rPr>
            <w:noProof/>
            <w:webHidden/>
          </w:rPr>
          <w:tab/>
        </w:r>
        <w:r>
          <w:rPr>
            <w:noProof/>
            <w:webHidden/>
          </w:rPr>
          <w:fldChar w:fldCharType="begin"/>
        </w:r>
        <w:r w:rsidR="004E3CDB">
          <w:rPr>
            <w:noProof/>
            <w:webHidden/>
          </w:rPr>
          <w:instrText xml:space="preserve"> PAGEREF _Toc433882359 \h </w:instrText>
        </w:r>
        <w:r>
          <w:rPr>
            <w:noProof/>
            <w:webHidden/>
          </w:rPr>
        </w:r>
        <w:r>
          <w:rPr>
            <w:noProof/>
            <w:webHidden/>
          </w:rPr>
          <w:fldChar w:fldCharType="separate"/>
        </w:r>
        <w:r w:rsidR="004E3CDB">
          <w:rPr>
            <w:noProof/>
            <w:webHidden/>
          </w:rPr>
          <w:t>9</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0" w:history="1">
        <w:r w:rsidR="004E3CDB" w:rsidRPr="00C56114">
          <w:rPr>
            <w:rStyle w:val="Hyperlink"/>
            <w:noProof/>
          </w:rPr>
          <w:t>3.3</w:t>
        </w:r>
        <w:r w:rsidR="004E3CDB">
          <w:rPr>
            <w:rFonts w:asciiTheme="minorHAnsi" w:eastAsiaTheme="minorEastAsia" w:hAnsiTheme="minorHAnsi" w:cstheme="minorBidi"/>
            <w:noProof/>
            <w:color w:val="auto"/>
            <w:szCs w:val="22"/>
            <w:lang w:eastAsia="en-AU"/>
          </w:rPr>
          <w:tab/>
        </w:r>
        <w:r w:rsidR="004E3CDB" w:rsidRPr="00C56114">
          <w:rPr>
            <w:rStyle w:val="Hyperlink"/>
            <w:noProof/>
          </w:rPr>
          <w:t>Implementation of the Constraints Management Strategy</w:t>
        </w:r>
        <w:r w:rsidR="004E3CDB">
          <w:rPr>
            <w:noProof/>
            <w:webHidden/>
          </w:rPr>
          <w:tab/>
        </w:r>
        <w:r>
          <w:rPr>
            <w:noProof/>
            <w:webHidden/>
          </w:rPr>
          <w:fldChar w:fldCharType="begin"/>
        </w:r>
        <w:r w:rsidR="004E3CDB">
          <w:rPr>
            <w:noProof/>
            <w:webHidden/>
          </w:rPr>
          <w:instrText xml:space="preserve"> PAGEREF _Toc433882360 \h </w:instrText>
        </w:r>
        <w:r>
          <w:rPr>
            <w:noProof/>
            <w:webHidden/>
          </w:rPr>
        </w:r>
        <w:r>
          <w:rPr>
            <w:noProof/>
            <w:webHidden/>
          </w:rPr>
          <w:fldChar w:fldCharType="separate"/>
        </w:r>
        <w:r w:rsidR="004E3CDB">
          <w:rPr>
            <w:noProof/>
            <w:webHidden/>
          </w:rPr>
          <w:t>10</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1" w:history="1">
        <w:r w:rsidR="004E3CDB" w:rsidRPr="00C56114">
          <w:rPr>
            <w:rStyle w:val="Hyperlink"/>
            <w:noProof/>
          </w:rPr>
          <w:t>3.4</w:t>
        </w:r>
        <w:r w:rsidR="004E3CDB">
          <w:rPr>
            <w:rFonts w:asciiTheme="minorHAnsi" w:eastAsiaTheme="minorEastAsia" w:hAnsiTheme="minorHAnsi" w:cstheme="minorBidi"/>
            <w:noProof/>
            <w:color w:val="auto"/>
            <w:szCs w:val="22"/>
            <w:lang w:eastAsia="en-AU"/>
          </w:rPr>
          <w:tab/>
        </w:r>
        <w:r w:rsidR="004E3CDB" w:rsidRPr="00C56114">
          <w:rPr>
            <w:rStyle w:val="Hyperlink"/>
            <w:noProof/>
          </w:rPr>
          <w:t>Cooperation in environmental watering</w:t>
        </w:r>
        <w:r w:rsidR="004E3CDB">
          <w:rPr>
            <w:noProof/>
            <w:webHidden/>
          </w:rPr>
          <w:tab/>
        </w:r>
        <w:r>
          <w:rPr>
            <w:noProof/>
            <w:webHidden/>
          </w:rPr>
          <w:fldChar w:fldCharType="begin"/>
        </w:r>
        <w:r w:rsidR="004E3CDB">
          <w:rPr>
            <w:noProof/>
            <w:webHidden/>
          </w:rPr>
          <w:instrText xml:space="preserve"> PAGEREF _Toc433882361 \h </w:instrText>
        </w:r>
        <w:r>
          <w:rPr>
            <w:noProof/>
            <w:webHidden/>
          </w:rPr>
        </w:r>
        <w:r>
          <w:rPr>
            <w:noProof/>
            <w:webHidden/>
          </w:rPr>
          <w:fldChar w:fldCharType="separate"/>
        </w:r>
        <w:r w:rsidR="004E3CDB">
          <w:rPr>
            <w:noProof/>
            <w:webHidden/>
          </w:rPr>
          <w:t>11</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2" w:history="1">
        <w:r w:rsidR="004E3CDB" w:rsidRPr="00C56114">
          <w:rPr>
            <w:rStyle w:val="Hyperlink"/>
            <w:noProof/>
          </w:rPr>
          <w:t>3.5</w:t>
        </w:r>
        <w:r w:rsidR="004E3CDB">
          <w:rPr>
            <w:rFonts w:asciiTheme="minorHAnsi" w:eastAsiaTheme="minorEastAsia" w:hAnsiTheme="minorHAnsi" w:cstheme="minorBidi"/>
            <w:noProof/>
            <w:color w:val="auto"/>
            <w:szCs w:val="22"/>
            <w:lang w:eastAsia="en-AU"/>
          </w:rPr>
          <w:tab/>
        </w:r>
        <w:r w:rsidR="004E3CDB" w:rsidRPr="00C56114">
          <w:rPr>
            <w:rStyle w:val="Hyperlink"/>
            <w:noProof/>
          </w:rPr>
          <w:t>Supply measures projects</w:t>
        </w:r>
        <w:r w:rsidR="004E3CDB">
          <w:rPr>
            <w:noProof/>
            <w:webHidden/>
          </w:rPr>
          <w:tab/>
        </w:r>
        <w:r>
          <w:rPr>
            <w:noProof/>
            <w:webHidden/>
          </w:rPr>
          <w:fldChar w:fldCharType="begin"/>
        </w:r>
        <w:r w:rsidR="004E3CDB">
          <w:rPr>
            <w:noProof/>
            <w:webHidden/>
          </w:rPr>
          <w:instrText xml:space="preserve"> PAGEREF _Toc433882362 \h </w:instrText>
        </w:r>
        <w:r>
          <w:rPr>
            <w:noProof/>
            <w:webHidden/>
          </w:rPr>
        </w:r>
        <w:r>
          <w:rPr>
            <w:noProof/>
            <w:webHidden/>
          </w:rPr>
          <w:fldChar w:fldCharType="separate"/>
        </w:r>
        <w:r w:rsidR="004E3CDB">
          <w:rPr>
            <w:noProof/>
            <w:webHidden/>
          </w:rPr>
          <w:t>13</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63" w:history="1">
        <w:r w:rsidR="004E3CDB" w:rsidRPr="00C56114">
          <w:rPr>
            <w:rStyle w:val="Hyperlink"/>
            <w:noProof/>
          </w:rPr>
          <w:t>4</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Assessment for Queensland</w:t>
        </w:r>
        <w:r w:rsidR="004E3CDB">
          <w:rPr>
            <w:noProof/>
            <w:webHidden/>
          </w:rPr>
          <w:tab/>
        </w:r>
        <w:r>
          <w:rPr>
            <w:noProof/>
            <w:webHidden/>
          </w:rPr>
          <w:fldChar w:fldCharType="begin"/>
        </w:r>
        <w:r w:rsidR="004E3CDB">
          <w:rPr>
            <w:noProof/>
            <w:webHidden/>
          </w:rPr>
          <w:instrText xml:space="preserve"> PAGEREF _Toc433882363 \h </w:instrText>
        </w:r>
        <w:r>
          <w:rPr>
            <w:noProof/>
            <w:webHidden/>
          </w:rPr>
        </w:r>
        <w:r>
          <w:rPr>
            <w:noProof/>
            <w:webHidden/>
          </w:rPr>
          <w:fldChar w:fldCharType="separate"/>
        </w:r>
        <w:r w:rsidR="004E3CDB">
          <w:rPr>
            <w:noProof/>
            <w:webHidden/>
          </w:rPr>
          <w:t>14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4" w:history="1">
        <w:r w:rsidR="004E3CDB" w:rsidRPr="00C56114">
          <w:rPr>
            <w:rStyle w:val="Hyperlink"/>
            <w:noProof/>
          </w:rPr>
          <w:t>4.1</w:t>
        </w:r>
        <w:r w:rsidR="004E3CDB">
          <w:rPr>
            <w:rFonts w:asciiTheme="minorHAnsi" w:eastAsiaTheme="minorEastAsia" w:hAnsiTheme="minorHAnsi" w:cstheme="minorBidi"/>
            <w:noProof/>
            <w:color w:val="auto"/>
            <w:szCs w:val="22"/>
            <w:lang w:eastAsia="en-AU"/>
          </w:rPr>
          <w:tab/>
        </w:r>
        <w:r w:rsidR="004E3CDB" w:rsidRPr="00C56114">
          <w:rPr>
            <w:rStyle w:val="Hyperlink"/>
            <w:noProof/>
          </w:rPr>
          <w:t>Summary of findings</w:t>
        </w:r>
        <w:r w:rsidR="004E3CDB">
          <w:rPr>
            <w:noProof/>
            <w:webHidden/>
          </w:rPr>
          <w:tab/>
        </w:r>
        <w:r>
          <w:rPr>
            <w:noProof/>
            <w:webHidden/>
          </w:rPr>
          <w:fldChar w:fldCharType="begin"/>
        </w:r>
        <w:r w:rsidR="004E3CDB">
          <w:rPr>
            <w:noProof/>
            <w:webHidden/>
          </w:rPr>
          <w:instrText xml:space="preserve"> PAGEREF _Toc433882364 \h </w:instrText>
        </w:r>
        <w:r>
          <w:rPr>
            <w:noProof/>
            <w:webHidden/>
          </w:rPr>
        </w:r>
        <w:r>
          <w:rPr>
            <w:noProof/>
            <w:webHidden/>
          </w:rPr>
          <w:fldChar w:fldCharType="separate"/>
        </w:r>
        <w:r w:rsidR="004E3CDB">
          <w:rPr>
            <w:noProof/>
            <w:webHidden/>
          </w:rPr>
          <w:t>14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5" w:history="1">
        <w:r w:rsidR="004E3CDB" w:rsidRPr="00C56114">
          <w:rPr>
            <w:rStyle w:val="Hyperlink"/>
            <w:noProof/>
          </w:rPr>
          <w:t>4.2</w:t>
        </w:r>
        <w:r w:rsidR="004E3CDB">
          <w:rPr>
            <w:rFonts w:asciiTheme="minorHAnsi" w:eastAsiaTheme="minorEastAsia" w:hAnsiTheme="minorHAnsi" w:cstheme="minorBidi"/>
            <w:noProof/>
            <w:color w:val="auto"/>
            <w:szCs w:val="22"/>
            <w:lang w:eastAsia="en-AU"/>
          </w:rPr>
          <w:tab/>
        </w:r>
        <w:r w:rsidR="004E3CDB" w:rsidRPr="00C56114">
          <w:rPr>
            <w:rStyle w:val="Hyperlink"/>
            <w:noProof/>
          </w:rPr>
          <w:t>Bridging the gap</w:t>
        </w:r>
        <w:r w:rsidR="004E3CDB">
          <w:rPr>
            <w:noProof/>
            <w:webHidden/>
          </w:rPr>
          <w:tab/>
        </w:r>
        <w:r>
          <w:rPr>
            <w:noProof/>
            <w:webHidden/>
          </w:rPr>
          <w:fldChar w:fldCharType="begin"/>
        </w:r>
        <w:r w:rsidR="004E3CDB">
          <w:rPr>
            <w:noProof/>
            <w:webHidden/>
          </w:rPr>
          <w:instrText xml:space="preserve"> PAGEREF _Toc433882365 \h </w:instrText>
        </w:r>
        <w:r>
          <w:rPr>
            <w:noProof/>
            <w:webHidden/>
          </w:rPr>
        </w:r>
        <w:r>
          <w:rPr>
            <w:noProof/>
            <w:webHidden/>
          </w:rPr>
          <w:fldChar w:fldCharType="separate"/>
        </w:r>
        <w:r w:rsidR="004E3CDB">
          <w:rPr>
            <w:noProof/>
            <w:webHidden/>
          </w:rPr>
          <w:t>15</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6" w:history="1">
        <w:r w:rsidR="004E3CDB" w:rsidRPr="00C56114">
          <w:rPr>
            <w:rStyle w:val="Hyperlink"/>
            <w:noProof/>
          </w:rPr>
          <w:t>4.3</w:t>
        </w:r>
        <w:r w:rsidR="004E3CDB">
          <w:rPr>
            <w:rFonts w:asciiTheme="minorHAnsi" w:eastAsiaTheme="minorEastAsia" w:hAnsiTheme="minorHAnsi" w:cstheme="minorBidi"/>
            <w:noProof/>
            <w:color w:val="auto"/>
            <w:szCs w:val="22"/>
            <w:lang w:eastAsia="en-AU"/>
          </w:rPr>
          <w:tab/>
        </w:r>
        <w:r w:rsidR="004E3CDB" w:rsidRPr="00C56114">
          <w:rPr>
            <w:rStyle w:val="Hyperlink"/>
            <w:noProof/>
          </w:rPr>
          <w:t>Implementation of the Constraints Management Strategy</w:t>
        </w:r>
        <w:r w:rsidR="004E3CDB">
          <w:rPr>
            <w:noProof/>
            <w:webHidden/>
          </w:rPr>
          <w:tab/>
        </w:r>
        <w:r>
          <w:rPr>
            <w:noProof/>
            <w:webHidden/>
          </w:rPr>
          <w:fldChar w:fldCharType="begin"/>
        </w:r>
        <w:r w:rsidR="004E3CDB">
          <w:rPr>
            <w:noProof/>
            <w:webHidden/>
          </w:rPr>
          <w:instrText xml:space="preserve"> PAGEREF _Toc433882366 \h </w:instrText>
        </w:r>
        <w:r>
          <w:rPr>
            <w:noProof/>
            <w:webHidden/>
          </w:rPr>
        </w:r>
        <w:r>
          <w:rPr>
            <w:noProof/>
            <w:webHidden/>
          </w:rPr>
          <w:fldChar w:fldCharType="separate"/>
        </w:r>
        <w:r w:rsidR="004E3CDB">
          <w:rPr>
            <w:noProof/>
            <w:webHidden/>
          </w:rPr>
          <w:t>16</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7" w:history="1">
        <w:r w:rsidR="004E3CDB" w:rsidRPr="00C56114">
          <w:rPr>
            <w:rStyle w:val="Hyperlink"/>
            <w:noProof/>
          </w:rPr>
          <w:t>4.4</w:t>
        </w:r>
        <w:r w:rsidR="004E3CDB">
          <w:rPr>
            <w:rFonts w:asciiTheme="minorHAnsi" w:eastAsiaTheme="minorEastAsia" w:hAnsiTheme="minorHAnsi" w:cstheme="minorBidi"/>
            <w:noProof/>
            <w:color w:val="auto"/>
            <w:szCs w:val="22"/>
            <w:lang w:eastAsia="en-AU"/>
          </w:rPr>
          <w:tab/>
        </w:r>
        <w:r w:rsidR="004E3CDB" w:rsidRPr="00C56114">
          <w:rPr>
            <w:rStyle w:val="Hyperlink"/>
            <w:noProof/>
          </w:rPr>
          <w:t>Cooperation in environmental watering</w:t>
        </w:r>
        <w:r w:rsidR="004E3CDB">
          <w:rPr>
            <w:noProof/>
            <w:webHidden/>
          </w:rPr>
          <w:tab/>
        </w:r>
        <w:r>
          <w:rPr>
            <w:noProof/>
            <w:webHidden/>
          </w:rPr>
          <w:fldChar w:fldCharType="begin"/>
        </w:r>
        <w:r w:rsidR="004E3CDB">
          <w:rPr>
            <w:noProof/>
            <w:webHidden/>
          </w:rPr>
          <w:instrText xml:space="preserve"> PAGEREF _Toc433882367 \h </w:instrText>
        </w:r>
        <w:r>
          <w:rPr>
            <w:noProof/>
            <w:webHidden/>
          </w:rPr>
        </w:r>
        <w:r>
          <w:rPr>
            <w:noProof/>
            <w:webHidden/>
          </w:rPr>
          <w:fldChar w:fldCharType="separate"/>
        </w:r>
        <w:r w:rsidR="004E3CDB">
          <w:rPr>
            <w:noProof/>
            <w:webHidden/>
          </w:rPr>
          <w:t>16</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68" w:history="1">
        <w:r w:rsidR="004E3CDB" w:rsidRPr="00C56114">
          <w:rPr>
            <w:rStyle w:val="Hyperlink"/>
            <w:noProof/>
          </w:rPr>
          <w:t>4.5</w:t>
        </w:r>
        <w:r w:rsidR="004E3CDB">
          <w:rPr>
            <w:rFonts w:asciiTheme="minorHAnsi" w:eastAsiaTheme="minorEastAsia" w:hAnsiTheme="minorHAnsi" w:cstheme="minorBidi"/>
            <w:noProof/>
            <w:color w:val="auto"/>
            <w:szCs w:val="22"/>
            <w:lang w:eastAsia="en-AU"/>
          </w:rPr>
          <w:tab/>
        </w:r>
        <w:r w:rsidR="004E3CDB" w:rsidRPr="00C56114">
          <w:rPr>
            <w:rStyle w:val="Hyperlink"/>
            <w:noProof/>
          </w:rPr>
          <w:t>Supply measures projects</w:t>
        </w:r>
        <w:r w:rsidR="004E3CDB">
          <w:rPr>
            <w:noProof/>
            <w:webHidden/>
          </w:rPr>
          <w:tab/>
        </w:r>
        <w:r>
          <w:rPr>
            <w:noProof/>
            <w:webHidden/>
          </w:rPr>
          <w:fldChar w:fldCharType="begin"/>
        </w:r>
        <w:r w:rsidR="004E3CDB">
          <w:rPr>
            <w:noProof/>
            <w:webHidden/>
          </w:rPr>
          <w:instrText xml:space="preserve"> PAGEREF _Toc433882368 \h </w:instrText>
        </w:r>
        <w:r>
          <w:rPr>
            <w:noProof/>
            <w:webHidden/>
          </w:rPr>
        </w:r>
        <w:r>
          <w:rPr>
            <w:noProof/>
            <w:webHidden/>
          </w:rPr>
          <w:fldChar w:fldCharType="separate"/>
        </w:r>
        <w:r w:rsidR="004E3CDB">
          <w:rPr>
            <w:noProof/>
            <w:webHidden/>
          </w:rPr>
          <w:t>17</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69" w:history="1">
        <w:r w:rsidR="004E3CDB" w:rsidRPr="00C56114">
          <w:rPr>
            <w:rStyle w:val="Hyperlink"/>
            <w:noProof/>
          </w:rPr>
          <w:t>5</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Assessment for South Australia</w:t>
        </w:r>
        <w:r w:rsidR="004E3CDB">
          <w:rPr>
            <w:noProof/>
            <w:webHidden/>
          </w:rPr>
          <w:tab/>
        </w:r>
        <w:r>
          <w:rPr>
            <w:noProof/>
            <w:webHidden/>
          </w:rPr>
          <w:fldChar w:fldCharType="begin"/>
        </w:r>
        <w:r w:rsidR="004E3CDB">
          <w:rPr>
            <w:noProof/>
            <w:webHidden/>
          </w:rPr>
          <w:instrText xml:space="preserve"> PAGEREF _Toc433882369 \h </w:instrText>
        </w:r>
        <w:r>
          <w:rPr>
            <w:noProof/>
            <w:webHidden/>
          </w:rPr>
        </w:r>
        <w:r>
          <w:rPr>
            <w:noProof/>
            <w:webHidden/>
          </w:rPr>
          <w:fldChar w:fldCharType="separate"/>
        </w:r>
        <w:r w:rsidR="004E3CDB">
          <w:rPr>
            <w:noProof/>
            <w:webHidden/>
          </w:rPr>
          <w:t>18</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0" w:history="1">
        <w:r w:rsidR="004E3CDB" w:rsidRPr="00C56114">
          <w:rPr>
            <w:rStyle w:val="Hyperlink"/>
            <w:noProof/>
          </w:rPr>
          <w:t>5.1</w:t>
        </w:r>
        <w:r w:rsidR="004E3CDB">
          <w:rPr>
            <w:rFonts w:asciiTheme="minorHAnsi" w:eastAsiaTheme="minorEastAsia" w:hAnsiTheme="minorHAnsi" w:cstheme="minorBidi"/>
            <w:noProof/>
            <w:color w:val="auto"/>
            <w:szCs w:val="22"/>
            <w:lang w:eastAsia="en-AU"/>
          </w:rPr>
          <w:tab/>
        </w:r>
        <w:r w:rsidR="004E3CDB" w:rsidRPr="00C56114">
          <w:rPr>
            <w:rStyle w:val="Hyperlink"/>
            <w:noProof/>
          </w:rPr>
          <w:t>Summary of findings</w:t>
        </w:r>
        <w:r w:rsidR="004E3CDB">
          <w:rPr>
            <w:noProof/>
            <w:webHidden/>
          </w:rPr>
          <w:tab/>
        </w:r>
        <w:r>
          <w:rPr>
            <w:noProof/>
            <w:webHidden/>
          </w:rPr>
          <w:fldChar w:fldCharType="begin"/>
        </w:r>
        <w:r w:rsidR="004E3CDB">
          <w:rPr>
            <w:noProof/>
            <w:webHidden/>
          </w:rPr>
          <w:instrText xml:space="preserve"> PAGEREF _Toc433882370 \h </w:instrText>
        </w:r>
        <w:r>
          <w:rPr>
            <w:noProof/>
            <w:webHidden/>
          </w:rPr>
        </w:r>
        <w:r>
          <w:rPr>
            <w:noProof/>
            <w:webHidden/>
          </w:rPr>
          <w:fldChar w:fldCharType="separate"/>
        </w:r>
        <w:r w:rsidR="004E3CDB">
          <w:rPr>
            <w:noProof/>
            <w:webHidden/>
          </w:rPr>
          <w:t>18</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1" w:history="1">
        <w:r w:rsidR="004E3CDB" w:rsidRPr="00C56114">
          <w:rPr>
            <w:rStyle w:val="Hyperlink"/>
            <w:noProof/>
          </w:rPr>
          <w:t>5.2</w:t>
        </w:r>
        <w:r w:rsidR="004E3CDB">
          <w:rPr>
            <w:rFonts w:asciiTheme="minorHAnsi" w:eastAsiaTheme="minorEastAsia" w:hAnsiTheme="minorHAnsi" w:cstheme="minorBidi"/>
            <w:noProof/>
            <w:color w:val="auto"/>
            <w:szCs w:val="22"/>
            <w:lang w:eastAsia="en-AU"/>
          </w:rPr>
          <w:tab/>
        </w:r>
        <w:r w:rsidR="004E3CDB" w:rsidRPr="00C56114">
          <w:rPr>
            <w:rStyle w:val="Hyperlink"/>
            <w:noProof/>
          </w:rPr>
          <w:t>Bridging the gap</w:t>
        </w:r>
        <w:r w:rsidR="004E3CDB">
          <w:rPr>
            <w:noProof/>
            <w:webHidden/>
          </w:rPr>
          <w:tab/>
        </w:r>
        <w:r>
          <w:rPr>
            <w:noProof/>
            <w:webHidden/>
          </w:rPr>
          <w:fldChar w:fldCharType="begin"/>
        </w:r>
        <w:r w:rsidR="004E3CDB">
          <w:rPr>
            <w:noProof/>
            <w:webHidden/>
          </w:rPr>
          <w:instrText xml:space="preserve"> PAGEREF _Toc433882371 \h </w:instrText>
        </w:r>
        <w:r>
          <w:rPr>
            <w:noProof/>
            <w:webHidden/>
          </w:rPr>
        </w:r>
        <w:r>
          <w:rPr>
            <w:noProof/>
            <w:webHidden/>
          </w:rPr>
          <w:fldChar w:fldCharType="separate"/>
        </w:r>
        <w:r w:rsidR="004E3CDB">
          <w:rPr>
            <w:noProof/>
            <w:webHidden/>
          </w:rPr>
          <w:t>19</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2" w:history="1">
        <w:r w:rsidR="004E3CDB" w:rsidRPr="00C56114">
          <w:rPr>
            <w:rStyle w:val="Hyperlink"/>
            <w:noProof/>
          </w:rPr>
          <w:t>5.3</w:t>
        </w:r>
        <w:r w:rsidR="004E3CDB">
          <w:rPr>
            <w:rFonts w:asciiTheme="minorHAnsi" w:eastAsiaTheme="minorEastAsia" w:hAnsiTheme="minorHAnsi" w:cstheme="minorBidi"/>
            <w:noProof/>
            <w:color w:val="auto"/>
            <w:szCs w:val="22"/>
            <w:lang w:eastAsia="en-AU"/>
          </w:rPr>
          <w:tab/>
        </w:r>
        <w:r w:rsidR="004E3CDB" w:rsidRPr="00C56114">
          <w:rPr>
            <w:rStyle w:val="Hyperlink"/>
            <w:noProof/>
          </w:rPr>
          <w:t>Implementation of the Constraints Management Strategy</w:t>
        </w:r>
        <w:r w:rsidR="004E3CDB">
          <w:rPr>
            <w:noProof/>
            <w:webHidden/>
          </w:rPr>
          <w:tab/>
        </w:r>
        <w:r>
          <w:rPr>
            <w:noProof/>
            <w:webHidden/>
          </w:rPr>
          <w:fldChar w:fldCharType="begin"/>
        </w:r>
        <w:r w:rsidR="004E3CDB">
          <w:rPr>
            <w:noProof/>
            <w:webHidden/>
          </w:rPr>
          <w:instrText xml:space="preserve"> PAGEREF _Toc433882372 \h </w:instrText>
        </w:r>
        <w:r>
          <w:rPr>
            <w:noProof/>
            <w:webHidden/>
          </w:rPr>
        </w:r>
        <w:r>
          <w:rPr>
            <w:noProof/>
            <w:webHidden/>
          </w:rPr>
          <w:fldChar w:fldCharType="separate"/>
        </w:r>
        <w:r w:rsidR="004E3CDB">
          <w:rPr>
            <w:noProof/>
            <w:webHidden/>
          </w:rPr>
          <w:t>20</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3" w:history="1">
        <w:r w:rsidR="004E3CDB" w:rsidRPr="00C56114">
          <w:rPr>
            <w:rStyle w:val="Hyperlink"/>
            <w:noProof/>
          </w:rPr>
          <w:t>5.4</w:t>
        </w:r>
        <w:r w:rsidR="004E3CDB">
          <w:rPr>
            <w:rFonts w:asciiTheme="minorHAnsi" w:eastAsiaTheme="minorEastAsia" w:hAnsiTheme="minorHAnsi" w:cstheme="minorBidi"/>
            <w:noProof/>
            <w:color w:val="auto"/>
            <w:szCs w:val="22"/>
            <w:lang w:eastAsia="en-AU"/>
          </w:rPr>
          <w:tab/>
        </w:r>
        <w:r w:rsidR="004E3CDB" w:rsidRPr="00C56114">
          <w:rPr>
            <w:rStyle w:val="Hyperlink"/>
            <w:noProof/>
          </w:rPr>
          <w:t>Cooperation in environmental watering</w:t>
        </w:r>
        <w:r w:rsidR="004E3CDB">
          <w:rPr>
            <w:noProof/>
            <w:webHidden/>
          </w:rPr>
          <w:tab/>
        </w:r>
        <w:r>
          <w:rPr>
            <w:noProof/>
            <w:webHidden/>
          </w:rPr>
          <w:fldChar w:fldCharType="begin"/>
        </w:r>
        <w:r w:rsidR="004E3CDB">
          <w:rPr>
            <w:noProof/>
            <w:webHidden/>
          </w:rPr>
          <w:instrText xml:space="preserve"> PAGEREF _Toc433882373 \h </w:instrText>
        </w:r>
        <w:r>
          <w:rPr>
            <w:noProof/>
            <w:webHidden/>
          </w:rPr>
        </w:r>
        <w:r>
          <w:rPr>
            <w:noProof/>
            <w:webHidden/>
          </w:rPr>
          <w:fldChar w:fldCharType="separate"/>
        </w:r>
        <w:r w:rsidR="004E3CDB">
          <w:rPr>
            <w:noProof/>
            <w:webHidden/>
          </w:rPr>
          <w:t>20</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4" w:history="1">
        <w:r w:rsidR="004E3CDB" w:rsidRPr="00C56114">
          <w:rPr>
            <w:rStyle w:val="Hyperlink"/>
            <w:noProof/>
          </w:rPr>
          <w:t>5.5</w:t>
        </w:r>
        <w:r w:rsidR="004E3CDB">
          <w:rPr>
            <w:rFonts w:asciiTheme="minorHAnsi" w:eastAsiaTheme="minorEastAsia" w:hAnsiTheme="minorHAnsi" w:cstheme="minorBidi"/>
            <w:noProof/>
            <w:color w:val="auto"/>
            <w:szCs w:val="22"/>
            <w:lang w:eastAsia="en-AU"/>
          </w:rPr>
          <w:tab/>
        </w:r>
        <w:r w:rsidR="004E3CDB" w:rsidRPr="00C56114">
          <w:rPr>
            <w:rStyle w:val="Hyperlink"/>
            <w:noProof/>
          </w:rPr>
          <w:t>Supply measures projects</w:t>
        </w:r>
        <w:r w:rsidR="004E3CDB">
          <w:rPr>
            <w:noProof/>
            <w:webHidden/>
          </w:rPr>
          <w:tab/>
        </w:r>
        <w:r>
          <w:rPr>
            <w:noProof/>
            <w:webHidden/>
          </w:rPr>
          <w:fldChar w:fldCharType="begin"/>
        </w:r>
        <w:r w:rsidR="004E3CDB">
          <w:rPr>
            <w:noProof/>
            <w:webHidden/>
          </w:rPr>
          <w:instrText xml:space="preserve"> PAGEREF _Toc433882374 \h </w:instrText>
        </w:r>
        <w:r>
          <w:rPr>
            <w:noProof/>
            <w:webHidden/>
          </w:rPr>
        </w:r>
        <w:r>
          <w:rPr>
            <w:noProof/>
            <w:webHidden/>
          </w:rPr>
          <w:fldChar w:fldCharType="separate"/>
        </w:r>
        <w:r w:rsidR="004E3CDB">
          <w:rPr>
            <w:noProof/>
            <w:webHidden/>
          </w:rPr>
          <w:t>22</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75" w:history="1">
        <w:r w:rsidR="004E3CDB" w:rsidRPr="00C56114">
          <w:rPr>
            <w:rStyle w:val="Hyperlink"/>
            <w:noProof/>
          </w:rPr>
          <w:t>6</w:t>
        </w:r>
        <w:r w:rsidR="004E3CDB">
          <w:rPr>
            <w:rFonts w:asciiTheme="minorHAnsi" w:eastAsiaTheme="minorEastAsia" w:hAnsiTheme="minorHAnsi" w:cstheme="minorBidi"/>
            <w:b w:val="0"/>
            <w:noProof/>
            <w:color w:val="auto"/>
            <w:sz w:val="22"/>
            <w:szCs w:val="22"/>
            <w:lang w:eastAsia="en-AU"/>
          </w:rPr>
          <w:tab/>
        </w:r>
        <w:r w:rsidR="004E3CDB" w:rsidRPr="00C56114">
          <w:rPr>
            <w:rStyle w:val="Hyperlink"/>
            <w:noProof/>
          </w:rPr>
          <w:t>Assessment for Victoria</w:t>
        </w:r>
        <w:r w:rsidR="004E3CDB">
          <w:rPr>
            <w:noProof/>
            <w:webHidden/>
          </w:rPr>
          <w:tab/>
        </w:r>
        <w:r>
          <w:rPr>
            <w:noProof/>
            <w:webHidden/>
          </w:rPr>
          <w:fldChar w:fldCharType="begin"/>
        </w:r>
        <w:r w:rsidR="004E3CDB">
          <w:rPr>
            <w:noProof/>
            <w:webHidden/>
          </w:rPr>
          <w:instrText xml:space="preserve"> PAGEREF _Toc433882375 \h </w:instrText>
        </w:r>
        <w:r>
          <w:rPr>
            <w:noProof/>
            <w:webHidden/>
          </w:rPr>
        </w:r>
        <w:r>
          <w:rPr>
            <w:noProof/>
            <w:webHidden/>
          </w:rPr>
          <w:fldChar w:fldCharType="separate"/>
        </w:r>
        <w:r w:rsidR="004E3CDB">
          <w:rPr>
            <w:noProof/>
            <w:webHidden/>
          </w:rPr>
          <w:t>23</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6" w:history="1">
        <w:r w:rsidR="004E3CDB" w:rsidRPr="00C56114">
          <w:rPr>
            <w:rStyle w:val="Hyperlink"/>
            <w:noProof/>
          </w:rPr>
          <w:t>6.1</w:t>
        </w:r>
        <w:r w:rsidR="004E3CDB">
          <w:rPr>
            <w:rFonts w:asciiTheme="minorHAnsi" w:eastAsiaTheme="minorEastAsia" w:hAnsiTheme="minorHAnsi" w:cstheme="minorBidi"/>
            <w:noProof/>
            <w:color w:val="auto"/>
            <w:szCs w:val="22"/>
            <w:lang w:eastAsia="en-AU"/>
          </w:rPr>
          <w:tab/>
        </w:r>
        <w:r w:rsidR="004E3CDB" w:rsidRPr="00C56114">
          <w:rPr>
            <w:rStyle w:val="Hyperlink"/>
            <w:noProof/>
          </w:rPr>
          <w:t>Summary of findings</w:t>
        </w:r>
        <w:r w:rsidR="004E3CDB">
          <w:rPr>
            <w:noProof/>
            <w:webHidden/>
          </w:rPr>
          <w:tab/>
        </w:r>
        <w:r>
          <w:rPr>
            <w:noProof/>
            <w:webHidden/>
          </w:rPr>
          <w:fldChar w:fldCharType="begin"/>
        </w:r>
        <w:r w:rsidR="004E3CDB">
          <w:rPr>
            <w:noProof/>
            <w:webHidden/>
          </w:rPr>
          <w:instrText xml:space="preserve"> PAGEREF _Toc433882376 \h </w:instrText>
        </w:r>
        <w:r>
          <w:rPr>
            <w:noProof/>
            <w:webHidden/>
          </w:rPr>
        </w:r>
        <w:r>
          <w:rPr>
            <w:noProof/>
            <w:webHidden/>
          </w:rPr>
          <w:fldChar w:fldCharType="separate"/>
        </w:r>
        <w:r w:rsidR="004E3CDB">
          <w:rPr>
            <w:noProof/>
            <w:webHidden/>
          </w:rPr>
          <w:t>23</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7" w:history="1">
        <w:r w:rsidR="004E3CDB" w:rsidRPr="00C56114">
          <w:rPr>
            <w:rStyle w:val="Hyperlink"/>
            <w:noProof/>
          </w:rPr>
          <w:t>6.2</w:t>
        </w:r>
        <w:r w:rsidR="004E3CDB">
          <w:rPr>
            <w:rFonts w:asciiTheme="minorHAnsi" w:eastAsiaTheme="minorEastAsia" w:hAnsiTheme="minorHAnsi" w:cstheme="minorBidi"/>
            <w:noProof/>
            <w:color w:val="auto"/>
            <w:szCs w:val="22"/>
            <w:lang w:eastAsia="en-AU"/>
          </w:rPr>
          <w:tab/>
        </w:r>
        <w:r w:rsidR="004E3CDB" w:rsidRPr="00C56114">
          <w:rPr>
            <w:rStyle w:val="Hyperlink"/>
            <w:noProof/>
          </w:rPr>
          <w:t>Bridging the Gap</w:t>
        </w:r>
        <w:r w:rsidR="004E3CDB">
          <w:rPr>
            <w:noProof/>
            <w:webHidden/>
          </w:rPr>
          <w:tab/>
        </w:r>
        <w:r>
          <w:rPr>
            <w:noProof/>
            <w:webHidden/>
          </w:rPr>
          <w:fldChar w:fldCharType="begin"/>
        </w:r>
        <w:r w:rsidR="004E3CDB">
          <w:rPr>
            <w:noProof/>
            <w:webHidden/>
          </w:rPr>
          <w:instrText xml:space="preserve"> PAGEREF _Toc433882377 \h </w:instrText>
        </w:r>
        <w:r>
          <w:rPr>
            <w:noProof/>
            <w:webHidden/>
          </w:rPr>
        </w:r>
        <w:r>
          <w:rPr>
            <w:noProof/>
            <w:webHidden/>
          </w:rPr>
          <w:fldChar w:fldCharType="separate"/>
        </w:r>
        <w:r w:rsidR="004E3CDB">
          <w:rPr>
            <w:noProof/>
            <w:webHidden/>
          </w:rPr>
          <w:t>24</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8" w:history="1">
        <w:r w:rsidR="004E3CDB" w:rsidRPr="00C56114">
          <w:rPr>
            <w:rStyle w:val="Hyperlink"/>
            <w:noProof/>
          </w:rPr>
          <w:t>6.3</w:t>
        </w:r>
        <w:r w:rsidR="004E3CDB">
          <w:rPr>
            <w:rFonts w:asciiTheme="minorHAnsi" w:eastAsiaTheme="minorEastAsia" w:hAnsiTheme="minorHAnsi" w:cstheme="minorBidi"/>
            <w:noProof/>
            <w:color w:val="auto"/>
            <w:szCs w:val="22"/>
            <w:lang w:eastAsia="en-AU"/>
          </w:rPr>
          <w:tab/>
        </w:r>
        <w:r w:rsidR="004E3CDB" w:rsidRPr="00C56114">
          <w:rPr>
            <w:rStyle w:val="Hyperlink"/>
            <w:noProof/>
          </w:rPr>
          <w:t>Implementation of the Constraints Management Strategy</w:t>
        </w:r>
        <w:r w:rsidR="004E3CDB">
          <w:rPr>
            <w:noProof/>
            <w:webHidden/>
          </w:rPr>
          <w:tab/>
        </w:r>
        <w:r>
          <w:rPr>
            <w:noProof/>
            <w:webHidden/>
          </w:rPr>
          <w:fldChar w:fldCharType="begin"/>
        </w:r>
        <w:r w:rsidR="004E3CDB">
          <w:rPr>
            <w:noProof/>
            <w:webHidden/>
          </w:rPr>
          <w:instrText xml:space="preserve"> PAGEREF _Toc433882378 \h </w:instrText>
        </w:r>
        <w:r>
          <w:rPr>
            <w:noProof/>
            <w:webHidden/>
          </w:rPr>
        </w:r>
        <w:r>
          <w:rPr>
            <w:noProof/>
            <w:webHidden/>
          </w:rPr>
          <w:fldChar w:fldCharType="separate"/>
        </w:r>
        <w:r w:rsidR="004E3CDB">
          <w:rPr>
            <w:noProof/>
            <w:webHidden/>
          </w:rPr>
          <w:t>26</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79" w:history="1">
        <w:r w:rsidR="004E3CDB" w:rsidRPr="00C56114">
          <w:rPr>
            <w:rStyle w:val="Hyperlink"/>
            <w:noProof/>
          </w:rPr>
          <w:t>6.4</w:t>
        </w:r>
        <w:r w:rsidR="004E3CDB">
          <w:rPr>
            <w:rFonts w:asciiTheme="minorHAnsi" w:eastAsiaTheme="minorEastAsia" w:hAnsiTheme="minorHAnsi" w:cstheme="minorBidi"/>
            <w:noProof/>
            <w:color w:val="auto"/>
            <w:szCs w:val="22"/>
            <w:lang w:eastAsia="en-AU"/>
          </w:rPr>
          <w:tab/>
        </w:r>
        <w:r w:rsidR="004E3CDB" w:rsidRPr="00C56114">
          <w:rPr>
            <w:rStyle w:val="Hyperlink"/>
            <w:noProof/>
          </w:rPr>
          <w:t>Cooperation in environmental watering</w:t>
        </w:r>
        <w:r w:rsidR="004E3CDB">
          <w:rPr>
            <w:noProof/>
            <w:webHidden/>
          </w:rPr>
          <w:tab/>
        </w:r>
        <w:r>
          <w:rPr>
            <w:noProof/>
            <w:webHidden/>
          </w:rPr>
          <w:fldChar w:fldCharType="begin"/>
        </w:r>
        <w:r w:rsidR="004E3CDB">
          <w:rPr>
            <w:noProof/>
            <w:webHidden/>
          </w:rPr>
          <w:instrText xml:space="preserve"> PAGEREF _Toc433882379 \h </w:instrText>
        </w:r>
        <w:r>
          <w:rPr>
            <w:noProof/>
            <w:webHidden/>
          </w:rPr>
        </w:r>
        <w:r>
          <w:rPr>
            <w:noProof/>
            <w:webHidden/>
          </w:rPr>
          <w:fldChar w:fldCharType="separate"/>
        </w:r>
        <w:r w:rsidR="004E3CDB">
          <w:rPr>
            <w:noProof/>
            <w:webHidden/>
          </w:rPr>
          <w:t>26</w:t>
        </w:r>
        <w:r>
          <w:rPr>
            <w:noProof/>
            <w:webHidden/>
          </w:rPr>
          <w:fldChar w:fldCharType="end"/>
        </w:r>
      </w:hyperlink>
    </w:p>
    <w:p w:rsidR="004E3CDB" w:rsidRDefault="00F8685D">
      <w:pPr>
        <w:pStyle w:val="TOC2"/>
        <w:rPr>
          <w:rFonts w:asciiTheme="minorHAnsi" w:eastAsiaTheme="minorEastAsia" w:hAnsiTheme="minorHAnsi" w:cstheme="minorBidi"/>
          <w:noProof/>
          <w:color w:val="auto"/>
          <w:szCs w:val="22"/>
          <w:lang w:eastAsia="en-AU"/>
        </w:rPr>
      </w:pPr>
      <w:hyperlink w:anchor="_Toc433882380" w:history="1">
        <w:r w:rsidR="004E3CDB" w:rsidRPr="00C56114">
          <w:rPr>
            <w:rStyle w:val="Hyperlink"/>
            <w:noProof/>
          </w:rPr>
          <w:t>6.5</w:t>
        </w:r>
        <w:r w:rsidR="004E3CDB">
          <w:rPr>
            <w:rFonts w:asciiTheme="minorHAnsi" w:eastAsiaTheme="minorEastAsia" w:hAnsiTheme="minorHAnsi" w:cstheme="minorBidi"/>
            <w:noProof/>
            <w:color w:val="auto"/>
            <w:szCs w:val="22"/>
            <w:lang w:eastAsia="en-AU"/>
          </w:rPr>
          <w:tab/>
        </w:r>
        <w:r w:rsidR="004E3CDB" w:rsidRPr="00C56114">
          <w:rPr>
            <w:rStyle w:val="Hyperlink"/>
            <w:noProof/>
          </w:rPr>
          <w:t>Supply measures projects</w:t>
        </w:r>
        <w:r w:rsidR="004E3CDB">
          <w:rPr>
            <w:noProof/>
            <w:webHidden/>
          </w:rPr>
          <w:tab/>
        </w:r>
        <w:r>
          <w:rPr>
            <w:noProof/>
            <w:webHidden/>
          </w:rPr>
          <w:fldChar w:fldCharType="begin"/>
        </w:r>
        <w:r w:rsidR="004E3CDB">
          <w:rPr>
            <w:noProof/>
            <w:webHidden/>
          </w:rPr>
          <w:instrText xml:space="preserve"> PAGEREF _Toc433882380 \h </w:instrText>
        </w:r>
        <w:r>
          <w:rPr>
            <w:noProof/>
            <w:webHidden/>
          </w:rPr>
        </w:r>
        <w:r>
          <w:rPr>
            <w:noProof/>
            <w:webHidden/>
          </w:rPr>
          <w:fldChar w:fldCharType="separate"/>
        </w:r>
        <w:r w:rsidR="004E3CDB">
          <w:rPr>
            <w:noProof/>
            <w:webHidden/>
          </w:rPr>
          <w:t>27</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81" w:history="1">
        <w:r w:rsidR="004E3CDB" w:rsidRPr="00C56114">
          <w:rPr>
            <w:rStyle w:val="Hyperlink"/>
            <w:noProof/>
          </w:rPr>
          <w:t>Appendix 1 Schedule A to the National Partnership Agreement on Implementing Water Reform in the Murray–Darling Basin</w:t>
        </w:r>
        <w:r w:rsidR="004E3CDB">
          <w:rPr>
            <w:noProof/>
            <w:webHidden/>
          </w:rPr>
          <w:tab/>
        </w:r>
        <w:r>
          <w:rPr>
            <w:noProof/>
            <w:webHidden/>
          </w:rPr>
          <w:fldChar w:fldCharType="begin"/>
        </w:r>
        <w:r w:rsidR="004E3CDB">
          <w:rPr>
            <w:noProof/>
            <w:webHidden/>
          </w:rPr>
          <w:instrText xml:space="preserve"> PAGEREF _Toc433882381 \h </w:instrText>
        </w:r>
        <w:r>
          <w:rPr>
            <w:noProof/>
            <w:webHidden/>
          </w:rPr>
        </w:r>
        <w:r>
          <w:rPr>
            <w:noProof/>
            <w:webHidden/>
          </w:rPr>
          <w:fldChar w:fldCharType="separate"/>
        </w:r>
        <w:r w:rsidR="004E3CDB">
          <w:rPr>
            <w:noProof/>
            <w:webHidden/>
          </w:rPr>
          <w:t>28</w:t>
        </w:r>
        <w:r>
          <w:rPr>
            <w:noProof/>
            <w:webHidden/>
          </w:rPr>
          <w:fldChar w:fldCharType="end"/>
        </w:r>
      </w:hyperlink>
    </w:p>
    <w:p w:rsidR="004E3CDB" w:rsidRDefault="00F8685D">
      <w:pPr>
        <w:pStyle w:val="TOC1"/>
        <w:rPr>
          <w:rFonts w:asciiTheme="minorHAnsi" w:eastAsiaTheme="minorEastAsia" w:hAnsiTheme="minorHAnsi" w:cstheme="minorBidi"/>
          <w:b w:val="0"/>
          <w:noProof/>
          <w:color w:val="auto"/>
          <w:sz w:val="22"/>
          <w:szCs w:val="22"/>
          <w:lang w:eastAsia="en-AU"/>
        </w:rPr>
      </w:pPr>
      <w:hyperlink w:anchor="_Toc433882382" w:history="1">
        <w:r w:rsidR="004E3CDB" w:rsidRPr="00C56114">
          <w:rPr>
            <w:rStyle w:val="Hyperlink"/>
            <w:noProof/>
          </w:rPr>
          <w:t>References</w:t>
        </w:r>
        <w:r w:rsidR="004E3CDB">
          <w:rPr>
            <w:noProof/>
            <w:webHidden/>
          </w:rPr>
          <w:tab/>
        </w:r>
        <w:r>
          <w:rPr>
            <w:noProof/>
            <w:webHidden/>
          </w:rPr>
          <w:fldChar w:fldCharType="begin"/>
        </w:r>
        <w:r w:rsidR="004E3CDB">
          <w:rPr>
            <w:noProof/>
            <w:webHidden/>
          </w:rPr>
          <w:instrText xml:space="preserve"> PAGEREF _Toc433882382 \h </w:instrText>
        </w:r>
        <w:r>
          <w:rPr>
            <w:noProof/>
            <w:webHidden/>
          </w:rPr>
        </w:r>
        <w:r>
          <w:rPr>
            <w:noProof/>
            <w:webHidden/>
          </w:rPr>
          <w:fldChar w:fldCharType="separate"/>
        </w:r>
        <w:r w:rsidR="004E3CDB">
          <w:rPr>
            <w:noProof/>
            <w:webHidden/>
          </w:rPr>
          <w:t>31</w:t>
        </w:r>
        <w:r>
          <w:rPr>
            <w:noProof/>
            <w:webHidden/>
          </w:rPr>
          <w:fldChar w:fldCharType="end"/>
        </w:r>
      </w:hyperlink>
    </w:p>
    <w:p w:rsidR="005062BA" w:rsidRPr="00712173" w:rsidRDefault="00F8685D" w:rsidP="000A2420">
      <w:pPr>
        <w:pStyle w:val="BodyText"/>
      </w:pPr>
      <w:r>
        <w:fldChar w:fldCharType="end"/>
      </w:r>
    </w:p>
    <w:p w:rsidR="000B23A9" w:rsidRPr="00712173" w:rsidRDefault="000B23A9" w:rsidP="00C37D64">
      <w:pPr>
        <w:pStyle w:val="BodyText"/>
      </w:pPr>
    </w:p>
    <w:p w:rsidR="008846C2" w:rsidRPr="00712173" w:rsidRDefault="000113B9" w:rsidP="005F7B36">
      <w:pPr>
        <w:pStyle w:val="Heading1List"/>
      </w:pPr>
      <w:bookmarkStart w:id="1" w:name="_Toc367728642"/>
      <w:bookmarkStart w:id="2" w:name="_Toc367783014"/>
      <w:bookmarkStart w:id="3" w:name="_Toc433882347"/>
      <w:r>
        <w:lastRenderedPageBreak/>
        <w:t>Background</w:t>
      </w:r>
      <w:bookmarkEnd w:id="1"/>
      <w:bookmarkEnd w:id="2"/>
      <w:bookmarkEnd w:id="3"/>
    </w:p>
    <w:p w:rsidR="008B51CB" w:rsidRPr="00B65001" w:rsidRDefault="008B51CB" w:rsidP="00235FC5">
      <w:r w:rsidRPr="00B65001">
        <w:t xml:space="preserve">The </w:t>
      </w:r>
      <w:r w:rsidRPr="00B65001">
        <w:rPr>
          <w:i/>
        </w:rPr>
        <w:t>Intergovernmental Agreement on Implementing Water Reform in the Murray–Darling Basin</w:t>
      </w:r>
      <w:r w:rsidRPr="00B65001">
        <w:t xml:space="preserve"> (IGA) is an undertaking by the Australian Government and the Murray–Darling Basin state governments to build on existing achievements by implementing water reforms t</w:t>
      </w:r>
      <w:r w:rsidR="00C65B11">
        <w:t>hat</w:t>
      </w:r>
      <w:r w:rsidRPr="00B65001">
        <w:t xml:space="preserve"> further improve the </w:t>
      </w:r>
      <w:r w:rsidR="00601D38" w:rsidRPr="00B65001">
        <w:t xml:space="preserve">Basin’s </w:t>
      </w:r>
      <w:r w:rsidRPr="00B65001">
        <w:t xml:space="preserve">health and secure a future for its communities. </w:t>
      </w:r>
    </w:p>
    <w:p w:rsidR="00576E1F" w:rsidRPr="00A259E5" w:rsidRDefault="00155E6F" w:rsidP="00B65001">
      <w:r w:rsidRPr="00A259E5">
        <w:t>Part 7 of the IGA commits the Australian Governme</w:t>
      </w:r>
      <w:r w:rsidR="005827F4" w:rsidRPr="00A259E5">
        <w:t xml:space="preserve">nt to providing </w:t>
      </w:r>
      <w:r w:rsidR="00C65B11">
        <w:t xml:space="preserve">financial </w:t>
      </w:r>
      <w:r w:rsidR="005827F4" w:rsidRPr="00A259E5">
        <w:t>support to the B</w:t>
      </w:r>
      <w:r w:rsidRPr="00A259E5">
        <w:t xml:space="preserve">asin states via the </w:t>
      </w:r>
      <w:r w:rsidRPr="00A259E5">
        <w:rPr>
          <w:i/>
        </w:rPr>
        <w:t>National Partnership Agreement on Implementing Water Reform in the Murray–Darling Basin</w:t>
      </w:r>
      <w:r w:rsidRPr="00A259E5">
        <w:t xml:space="preserve"> (the NPA).</w:t>
      </w:r>
      <w:r w:rsidR="00885C75" w:rsidRPr="00A259E5">
        <w:t xml:space="preserve"> </w:t>
      </w:r>
    </w:p>
    <w:p w:rsidR="00FF5985" w:rsidRDefault="00942857" w:rsidP="004F4629">
      <w:r w:rsidRPr="00A259E5">
        <w:t xml:space="preserve">As part of their responsibilities under the </w:t>
      </w:r>
      <w:r w:rsidR="00576E1F" w:rsidRPr="00A259E5">
        <w:t>NP</w:t>
      </w:r>
      <w:r w:rsidR="00932981" w:rsidRPr="00A259E5">
        <w:t>A</w:t>
      </w:r>
      <w:r w:rsidRPr="00A259E5">
        <w:t xml:space="preserve">, each </w:t>
      </w:r>
      <w:r w:rsidR="005827F4" w:rsidRPr="00A259E5">
        <w:t>B</w:t>
      </w:r>
      <w:r w:rsidR="00ED76EE" w:rsidRPr="00A259E5">
        <w:t xml:space="preserve">asin state </w:t>
      </w:r>
      <w:r w:rsidRPr="00A259E5">
        <w:t xml:space="preserve">has committed to </w:t>
      </w:r>
      <w:r w:rsidR="00576E1F" w:rsidRPr="00A259E5">
        <w:t xml:space="preserve">implementing the </w:t>
      </w:r>
      <w:r w:rsidR="00814F75" w:rsidRPr="00A259E5">
        <w:t>agreement</w:t>
      </w:r>
      <w:r w:rsidR="00576E1F" w:rsidRPr="00A259E5">
        <w:t xml:space="preserve"> in accord</w:t>
      </w:r>
      <w:r w:rsidR="00B579DD" w:rsidRPr="00A259E5">
        <w:t>ance with milestones set out in</w:t>
      </w:r>
      <w:r w:rsidR="00576E1F" w:rsidRPr="00A259E5">
        <w:t xml:space="preserve"> the </w:t>
      </w:r>
      <w:r w:rsidR="00814F75" w:rsidRPr="00A259E5">
        <w:t>agreement</w:t>
      </w:r>
      <w:r w:rsidR="00576E1F" w:rsidRPr="00A259E5">
        <w:t>, and reporting on milestone progress</w:t>
      </w:r>
      <w:r w:rsidR="008B51CB" w:rsidRPr="00A259E5">
        <w:t xml:space="preserve"> through an annual </w:t>
      </w:r>
      <w:r w:rsidR="00601D38" w:rsidRPr="00A259E5">
        <w:t>‘s</w:t>
      </w:r>
      <w:r w:rsidR="008B51CB" w:rsidRPr="00A259E5">
        <w:t xml:space="preserve">tatement of </w:t>
      </w:r>
      <w:r w:rsidR="00601D38" w:rsidRPr="00A259E5">
        <w:t>a</w:t>
      </w:r>
      <w:r w:rsidR="008B51CB" w:rsidRPr="00A259E5">
        <w:t>ssurance</w:t>
      </w:r>
      <w:r w:rsidR="00601D38" w:rsidRPr="00A259E5">
        <w:t>’</w:t>
      </w:r>
      <w:r w:rsidR="00814F75" w:rsidRPr="00A259E5">
        <w:t>.</w:t>
      </w:r>
    </w:p>
    <w:p w:rsidR="00B65001" w:rsidRPr="00A259E5" w:rsidRDefault="00B65001" w:rsidP="004F4629"/>
    <w:p w:rsidR="00942857" w:rsidRPr="005649E9" w:rsidRDefault="00E246E2" w:rsidP="005F7B36">
      <w:pPr>
        <w:pStyle w:val="Heading2List"/>
      </w:pPr>
      <w:bookmarkStart w:id="4" w:name="_Toc258998444"/>
      <w:bookmarkStart w:id="5" w:name="_Toc265517297"/>
      <w:bookmarkStart w:id="6" w:name="_Toc296344233"/>
      <w:bookmarkStart w:id="7" w:name="_Toc367728643"/>
      <w:bookmarkStart w:id="8" w:name="_Toc367783015"/>
      <w:bookmarkStart w:id="9" w:name="_Toc433882348"/>
      <w:r>
        <w:t>Assessor</w:t>
      </w:r>
      <w:r w:rsidR="00814F75">
        <w:t>’s</w:t>
      </w:r>
      <w:r w:rsidR="00942857" w:rsidRPr="005649E9">
        <w:t xml:space="preserve"> role</w:t>
      </w:r>
      <w:bookmarkEnd w:id="4"/>
      <w:bookmarkEnd w:id="5"/>
      <w:bookmarkEnd w:id="6"/>
      <w:bookmarkEnd w:id="7"/>
      <w:bookmarkEnd w:id="8"/>
      <w:bookmarkEnd w:id="9"/>
    </w:p>
    <w:p w:rsidR="000113B9" w:rsidRPr="00A259E5" w:rsidRDefault="004F1389" w:rsidP="00DC30D4">
      <w:r w:rsidRPr="00A259E5">
        <w:t xml:space="preserve">Using the statements of assurance and any supporting documentation provided by each participating Basin state, </w:t>
      </w:r>
      <w:r>
        <w:t>t</w:t>
      </w:r>
      <w:r w:rsidR="001A1B9B" w:rsidRPr="00A259E5">
        <w:t xml:space="preserve">he </w:t>
      </w:r>
      <w:r w:rsidR="00AC7CF7">
        <w:t>Assessor is required to evaluate</w:t>
      </w:r>
      <w:r w:rsidR="001A1B9B" w:rsidRPr="00A259E5">
        <w:t xml:space="preserve"> jurisdictional perfo</w:t>
      </w:r>
      <w:r>
        <w:t>rmance against milestones in</w:t>
      </w:r>
      <w:r w:rsidR="001A1B9B" w:rsidRPr="00A259E5">
        <w:t xml:space="preserve"> </w:t>
      </w:r>
      <w:r>
        <w:t xml:space="preserve">Schedule A </w:t>
      </w:r>
      <w:r w:rsidRPr="00A259E5">
        <w:t>to the NPA (see Appendix 1)</w:t>
      </w:r>
      <w:r>
        <w:t xml:space="preserve">, as described </w:t>
      </w:r>
      <w:r w:rsidR="00AC7CF7">
        <w:t>in Part 4 of</w:t>
      </w:r>
      <w:r w:rsidR="00814F75" w:rsidRPr="00A259E5">
        <w:t xml:space="preserve"> the NP</w:t>
      </w:r>
      <w:r w:rsidR="00932981" w:rsidRPr="00A259E5">
        <w:t>A</w:t>
      </w:r>
      <w:r w:rsidR="000113B9" w:rsidRPr="00A259E5">
        <w:t xml:space="preserve">. </w:t>
      </w:r>
      <w:r w:rsidR="00C37D64" w:rsidRPr="00A259E5">
        <w:t xml:space="preserve"> </w:t>
      </w:r>
    </w:p>
    <w:p w:rsidR="0085760B" w:rsidRPr="00A259E5" w:rsidRDefault="0085760B" w:rsidP="0085760B">
      <w:r w:rsidRPr="00A259E5">
        <w:t xml:space="preserve">This </w:t>
      </w:r>
      <w:r>
        <w:t>Assessor’s</w:t>
      </w:r>
      <w:r w:rsidRPr="00A259E5">
        <w:t xml:space="preserve"> report </w:t>
      </w:r>
      <w:r>
        <w:t>provides advice to</w:t>
      </w:r>
      <w:r w:rsidRPr="00A259E5">
        <w:t xml:space="preserve"> the Commonwealth Minister with portfolio responsibility for water in relation to Basin state performance against milestones outlined in Schedule </w:t>
      </w:r>
      <w:r>
        <w:t>A</w:t>
      </w:r>
      <w:r w:rsidRPr="00A259E5">
        <w:t>, the extent to which they have been met and, where the state has not met a performance milestone, any steps and activities that it took to meet the milestone.</w:t>
      </w:r>
    </w:p>
    <w:p w:rsidR="0085760B" w:rsidRDefault="0085760B" w:rsidP="0085760B">
      <w:pPr>
        <w:rPr>
          <w:color w:val="000000"/>
        </w:rPr>
      </w:pPr>
      <w:r w:rsidRPr="00A259E5">
        <w:rPr>
          <w:color w:val="000000"/>
        </w:rPr>
        <w:t>The Minister will decide whether payment should be made to a Basin state under the NPA.</w:t>
      </w:r>
    </w:p>
    <w:p w:rsidR="00AC7CF7" w:rsidRPr="00A259E5" w:rsidRDefault="00AC7CF7" w:rsidP="00AC7CF7">
      <w:r w:rsidRPr="00A259E5">
        <w:t>The</w:t>
      </w:r>
      <w:r>
        <w:t xml:space="preserve"> National Water Commission was initially tasked with </w:t>
      </w:r>
      <w:r w:rsidR="00BA4905">
        <w:t>the A</w:t>
      </w:r>
      <w:r w:rsidR="004F1389">
        <w:t xml:space="preserve">ssessor’s role and completed </w:t>
      </w:r>
      <w:r w:rsidR="007C7C65">
        <w:t xml:space="preserve">the required </w:t>
      </w:r>
      <w:r>
        <w:t>assessment</w:t>
      </w:r>
      <w:r w:rsidR="004F1389">
        <w:t>s in 2013 and 2014</w:t>
      </w:r>
      <w:r w:rsidRPr="00A259E5">
        <w:t xml:space="preserve">. </w:t>
      </w:r>
      <w:r w:rsidRPr="00AC7CF7">
        <w:t xml:space="preserve">The </w:t>
      </w:r>
      <w:r w:rsidRPr="00AC7CF7">
        <w:rPr>
          <w:i/>
        </w:rPr>
        <w:t>National Water Commission (Abolition) Act 2015</w:t>
      </w:r>
      <w:r w:rsidRPr="00AC7CF7">
        <w:t xml:space="preserve"> abolished the</w:t>
      </w:r>
      <w:r w:rsidR="004F1389">
        <w:t xml:space="preserve"> National Water Commission in</w:t>
      </w:r>
      <w:r w:rsidR="004F1389" w:rsidRPr="004F1389">
        <w:t xml:space="preserve"> </w:t>
      </w:r>
      <w:r w:rsidR="004F1389" w:rsidRPr="00AC7CF7">
        <w:t>June 2015</w:t>
      </w:r>
      <w:r w:rsidR="0085760B">
        <w:t>. The A</w:t>
      </w:r>
      <w:r w:rsidR="007C7C65">
        <w:t>ssessor’s role has subsequently been transferred to the Department of Agriculture and Water Resources.</w:t>
      </w:r>
    </w:p>
    <w:p w:rsidR="00FF5985" w:rsidRPr="00A259E5" w:rsidRDefault="00FF5985" w:rsidP="005062BA">
      <w:pPr>
        <w:rPr>
          <w:color w:val="000000"/>
        </w:rPr>
      </w:pPr>
    </w:p>
    <w:p w:rsidR="000113B9" w:rsidRPr="005649E9" w:rsidRDefault="000113B9" w:rsidP="00814F75">
      <w:pPr>
        <w:pStyle w:val="Heading2List"/>
      </w:pPr>
      <w:bookmarkStart w:id="10" w:name="_Toc258998446"/>
      <w:bookmarkStart w:id="11" w:name="_Toc265517299"/>
      <w:bookmarkStart w:id="12" w:name="_Toc296344235"/>
      <w:bookmarkStart w:id="13" w:name="_Toc367728644"/>
      <w:bookmarkStart w:id="14" w:name="_Toc367783016"/>
      <w:bookmarkStart w:id="15" w:name="_Toc433882349"/>
      <w:bookmarkStart w:id="16" w:name="_Toc215119295"/>
      <w:bookmarkStart w:id="17" w:name="_Toc342543761"/>
      <w:r w:rsidRPr="005649E9">
        <w:t>Assessment scope</w:t>
      </w:r>
      <w:bookmarkEnd w:id="10"/>
      <w:bookmarkEnd w:id="11"/>
      <w:bookmarkEnd w:id="12"/>
      <w:bookmarkEnd w:id="13"/>
      <w:bookmarkEnd w:id="14"/>
      <w:bookmarkEnd w:id="15"/>
    </w:p>
    <w:p w:rsidR="007E06F8" w:rsidRDefault="00086A15" w:rsidP="007E06F8">
      <w:r>
        <w:t>This</w:t>
      </w:r>
      <w:r w:rsidR="000113B9" w:rsidRPr="00A259E5">
        <w:t xml:space="preserve"> assessment</w:t>
      </w:r>
      <w:r w:rsidR="00203933" w:rsidRPr="00A259E5">
        <w:t xml:space="preserve"> </w:t>
      </w:r>
      <w:r>
        <w:t>is</w:t>
      </w:r>
      <w:r w:rsidR="000113B9" w:rsidRPr="00A259E5">
        <w:t xml:space="preserve"> limited to </w:t>
      </w:r>
      <w:r w:rsidR="008A7FCA" w:rsidRPr="00A259E5">
        <w:t>the actions listed in Schedule A</w:t>
      </w:r>
      <w:r w:rsidR="000113B9" w:rsidRPr="00A259E5">
        <w:t xml:space="preserve"> of the </w:t>
      </w:r>
      <w:r w:rsidR="00814F75" w:rsidRPr="00A259E5">
        <w:t>NP</w:t>
      </w:r>
      <w:r w:rsidR="00932981" w:rsidRPr="00A259E5">
        <w:t>A</w:t>
      </w:r>
      <w:r w:rsidR="001729E6" w:rsidRPr="00A259E5">
        <w:t>.</w:t>
      </w:r>
      <w:r w:rsidR="000113B9" w:rsidRPr="00A259E5">
        <w:t xml:space="preserve"> </w:t>
      </w:r>
      <w:r>
        <w:t>It</w:t>
      </w:r>
      <w:r w:rsidR="007E06F8" w:rsidRPr="00A259E5">
        <w:t xml:space="preserve"> addresses milestone progress made by the Basin states during the assessment period </w:t>
      </w:r>
      <w:r w:rsidR="00761D78" w:rsidRPr="00A259E5">
        <w:t xml:space="preserve">from </w:t>
      </w:r>
      <w:r>
        <w:t>1 July 2014</w:t>
      </w:r>
      <w:r w:rsidR="007E06F8" w:rsidRPr="00A259E5">
        <w:t xml:space="preserve"> to 30 June 201</w:t>
      </w:r>
      <w:r>
        <w:t>5</w:t>
      </w:r>
      <w:r w:rsidR="007E06F8" w:rsidRPr="00A259E5">
        <w:t xml:space="preserve">. </w:t>
      </w:r>
    </w:p>
    <w:p w:rsidR="00086A15" w:rsidRPr="00A259E5" w:rsidRDefault="00086A15" w:rsidP="007E06F8"/>
    <w:p w:rsidR="000113B9" w:rsidRPr="005649E9" w:rsidRDefault="000113B9" w:rsidP="00814F75">
      <w:pPr>
        <w:pStyle w:val="Heading2List"/>
      </w:pPr>
      <w:bookmarkStart w:id="18" w:name="_Toc265517300"/>
      <w:bookmarkStart w:id="19" w:name="_Toc296344236"/>
      <w:bookmarkStart w:id="20" w:name="_Toc367728645"/>
      <w:bookmarkStart w:id="21" w:name="_Toc367783017"/>
      <w:bookmarkStart w:id="22" w:name="_Toc433882350"/>
      <w:bookmarkStart w:id="23" w:name="_Toc258998447"/>
      <w:r w:rsidRPr="005649E9">
        <w:t>Assessment approach</w:t>
      </w:r>
      <w:bookmarkEnd w:id="18"/>
      <w:bookmarkEnd w:id="19"/>
      <w:bookmarkEnd w:id="20"/>
      <w:bookmarkEnd w:id="21"/>
      <w:bookmarkEnd w:id="22"/>
    </w:p>
    <w:p w:rsidR="00326A2A" w:rsidRPr="00A259E5" w:rsidRDefault="00326A2A" w:rsidP="00326A2A">
      <w:r w:rsidRPr="00A259E5">
        <w:t xml:space="preserve">Each Basin state was required to provide a statement of assurance to </w:t>
      </w:r>
      <w:r>
        <w:t>the Department</w:t>
      </w:r>
      <w:r w:rsidRPr="00A259E5">
        <w:t xml:space="preserve">. The information provided in the statements of assurance and publicly available material was compared with </w:t>
      </w:r>
      <w:r>
        <w:t>milestones in Schedule A</w:t>
      </w:r>
      <w:r w:rsidRPr="00A259E5">
        <w:t xml:space="preserve">. </w:t>
      </w:r>
    </w:p>
    <w:p w:rsidR="00FF5985" w:rsidRDefault="00326A2A" w:rsidP="005062BA">
      <w:r>
        <w:t xml:space="preserve">In </w:t>
      </w:r>
      <w:r w:rsidR="000077D8" w:rsidRPr="00A259E5">
        <w:t xml:space="preserve">conducting </w:t>
      </w:r>
      <w:r w:rsidR="00086A15">
        <w:t>this assessment, the Department</w:t>
      </w:r>
      <w:r w:rsidR="000113B9" w:rsidRPr="00A259E5">
        <w:t xml:space="preserve"> </w:t>
      </w:r>
      <w:r w:rsidR="00086A15">
        <w:t xml:space="preserve">consulted </w:t>
      </w:r>
      <w:r w:rsidR="000113B9" w:rsidRPr="00A259E5">
        <w:t xml:space="preserve">with Australian Government agencies, including the </w:t>
      </w:r>
      <w:r w:rsidR="00086A15" w:rsidRPr="00A259E5">
        <w:t xml:space="preserve">Commonwealth Environmental Water Office (CEWO) </w:t>
      </w:r>
      <w:r w:rsidR="000113B9" w:rsidRPr="00A259E5">
        <w:t xml:space="preserve">and </w:t>
      </w:r>
      <w:r>
        <w:t xml:space="preserve">the </w:t>
      </w:r>
      <w:r w:rsidR="000113B9" w:rsidRPr="00A259E5">
        <w:t>Murray–Darling Basin Authority</w:t>
      </w:r>
      <w:r w:rsidR="00AB5F91" w:rsidRPr="00A259E5">
        <w:t xml:space="preserve"> (MDBA)</w:t>
      </w:r>
      <w:r w:rsidR="000113B9" w:rsidRPr="00A259E5">
        <w:t>.</w:t>
      </w:r>
      <w:r>
        <w:t xml:space="preserve"> </w:t>
      </w:r>
      <w:r w:rsidR="00B65001">
        <w:t>Basin states</w:t>
      </w:r>
      <w:r w:rsidR="000113B9" w:rsidRPr="00A259E5">
        <w:t xml:space="preserve"> were given an opportunity to comment and provide feedback before</w:t>
      </w:r>
      <w:r w:rsidR="000077D8" w:rsidRPr="00A259E5">
        <w:t xml:space="preserve"> </w:t>
      </w:r>
      <w:r w:rsidR="00B65001">
        <w:t>the assessment was finalised</w:t>
      </w:r>
      <w:r w:rsidR="000113B9" w:rsidRPr="00A259E5">
        <w:t>.</w:t>
      </w:r>
    </w:p>
    <w:p w:rsidR="00086A15" w:rsidRPr="00A259E5" w:rsidRDefault="00086A15" w:rsidP="005062BA"/>
    <w:p w:rsidR="008142F0" w:rsidRPr="005649E9" w:rsidRDefault="008142F0" w:rsidP="008142F0">
      <w:pPr>
        <w:pStyle w:val="Heading1List"/>
      </w:pPr>
      <w:bookmarkStart w:id="24" w:name="_Toc433882351"/>
      <w:bookmarkStart w:id="25" w:name="_Toc366575416"/>
      <w:bookmarkStart w:id="26" w:name="_Toc367728654"/>
      <w:bookmarkStart w:id="27" w:name="_Toc367783026"/>
      <w:bookmarkStart w:id="28" w:name="_Toc258998452"/>
      <w:bookmarkStart w:id="29" w:name="_Toc265517307"/>
      <w:bookmarkStart w:id="30" w:name="_Toc296344242"/>
      <w:bookmarkStart w:id="31" w:name="_Toc258998458"/>
      <w:bookmarkEnd w:id="23"/>
      <w:r>
        <w:lastRenderedPageBreak/>
        <w:t xml:space="preserve">Assessment for </w:t>
      </w:r>
      <w:r w:rsidR="00F539C5">
        <w:t xml:space="preserve">the </w:t>
      </w:r>
      <w:r>
        <w:t>Australian Capital Territory</w:t>
      </w:r>
      <w:bookmarkEnd w:id="24"/>
    </w:p>
    <w:p w:rsidR="008142F0" w:rsidRDefault="008142F0" w:rsidP="008142F0">
      <w:pPr>
        <w:pStyle w:val="Heading2List"/>
      </w:pPr>
      <w:bookmarkStart w:id="32" w:name="_Toc433882352"/>
      <w:r w:rsidRPr="005649E9">
        <w:t>Summary of findings</w:t>
      </w:r>
      <w:bookmarkEnd w:id="32"/>
    </w:p>
    <w:p w:rsidR="00FB0504" w:rsidRPr="001E3034" w:rsidRDefault="00FB0504" w:rsidP="00FB0504">
      <w:r w:rsidRPr="001E3034">
        <w:t>Findings for the Australian Capital Territory (ACT) are summarised below in the order they appear in the agreement. Full findings and details of the assessment follow in subsequent sections of this chapter.</w:t>
      </w:r>
    </w:p>
    <w:p w:rsidR="00FB0504" w:rsidRPr="001E3034" w:rsidRDefault="00FB0504" w:rsidP="00FB0504">
      <w:pPr>
        <w:pStyle w:val="TableName"/>
        <w:rPr>
          <w:sz w:val="20"/>
          <w:szCs w:val="20"/>
          <w:lang w:val="en-AU"/>
        </w:rPr>
      </w:pPr>
      <w:bookmarkStart w:id="33" w:name="_Toc400617361"/>
      <w:r w:rsidRPr="001E3034">
        <w:rPr>
          <w:sz w:val="20"/>
          <w:szCs w:val="20"/>
          <w:lang w:val="en-AU"/>
        </w:rPr>
        <w:t>Table 2.1: Summary of findings for the Australian Capital Territory</w:t>
      </w:r>
      <w:bookmarkEnd w:id="33"/>
      <w:r w:rsidRPr="001E3034">
        <w:rPr>
          <w:sz w:val="20"/>
          <w:szCs w:val="20"/>
          <w:lang w:val="en-AU"/>
        </w:rPr>
        <w:t xml:space="preserve"> </w:t>
      </w:r>
    </w:p>
    <w:tbl>
      <w:tblPr>
        <w:tblW w:w="4937" w:type="pct"/>
        <w:tblInd w:w="108" w:type="dxa"/>
        <w:tblBorders>
          <w:top w:val="single" w:sz="4" w:space="0" w:color="0D223F"/>
          <w:bottom w:val="single" w:sz="4" w:space="0" w:color="0D223F"/>
          <w:insideH w:val="single" w:sz="4" w:space="0" w:color="0D223F"/>
        </w:tblBorders>
        <w:tblLook w:val="04A0"/>
      </w:tblPr>
      <w:tblGrid>
        <w:gridCol w:w="3335"/>
        <w:gridCol w:w="3333"/>
        <w:gridCol w:w="1936"/>
      </w:tblGrid>
      <w:tr w:rsidR="00FB0504" w:rsidRPr="001E3034" w:rsidTr="00FB0504">
        <w:trPr>
          <w:trHeight w:val="60"/>
          <w:tblHeader/>
        </w:trPr>
        <w:tc>
          <w:tcPr>
            <w:tcW w:w="1938" w:type="pct"/>
            <w:tcBorders>
              <w:top w:val="nil"/>
              <w:bottom w:val="single" w:sz="4" w:space="0" w:color="0D223F"/>
            </w:tcBorders>
            <w:shd w:val="clear" w:color="auto" w:fill="0D223F"/>
          </w:tcPr>
          <w:p w:rsidR="00FB0504" w:rsidRPr="001E3034" w:rsidRDefault="00FB0504" w:rsidP="00FB0504">
            <w:pPr>
              <w:pStyle w:val="TableHeading"/>
              <w:rPr>
                <w:sz w:val="20"/>
                <w:szCs w:val="20"/>
                <w:lang w:val="en-AU"/>
              </w:rPr>
            </w:pPr>
            <w:r w:rsidRPr="001E3034">
              <w:rPr>
                <w:sz w:val="20"/>
                <w:szCs w:val="20"/>
                <w:lang w:val="en-AU"/>
              </w:rPr>
              <w:t>National Partnership commitments</w:t>
            </w:r>
          </w:p>
        </w:tc>
        <w:tc>
          <w:tcPr>
            <w:tcW w:w="1937" w:type="pct"/>
            <w:tcBorders>
              <w:top w:val="nil"/>
              <w:bottom w:val="single" w:sz="4" w:space="0" w:color="0D223F"/>
            </w:tcBorders>
            <w:shd w:val="clear" w:color="auto" w:fill="0D223F"/>
          </w:tcPr>
          <w:p w:rsidR="00FB0504" w:rsidRPr="001E3034" w:rsidRDefault="00FB0504" w:rsidP="00FB0504">
            <w:pPr>
              <w:pStyle w:val="TableHeading"/>
              <w:rPr>
                <w:sz w:val="20"/>
                <w:szCs w:val="20"/>
                <w:lang w:val="en-AU"/>
              </w:rPr>
            </w:pPr>
            <w:r w:rsidRPr="001E3034">
              <w:rPr>
                <w:sz w:val="20"/>
                <w:szCs w:val="20"/>
                <w:lang w:val="en-AU"/>
              </w:rPr>
              <w:t>Assessment summary</w:t>
            </w:r>
          </w:p>
        </w:tc>
        <w:tc>
          <w:tcPr>
            <w:tcW w:w="1125" w:type="pct"/>
            <w:tcBorders>
              <w:top w:val="nil"/>
              <w:bottom w:val="single" w:sz="4" w:space="0" w:color="0D223F"/>
            </w:tcBorders>
            <w:shd w:val="clear" w:color="auto" w:fill="0D223F"/>
          </w:tcPr>
          <w:p w:rsidR="00FB0504" w:rsidRPr="001E3034" w:rsidRDefault="00FB0504" w:rsidP="00FB0504">
            <w:pPr>
              <w:pStyle w:val="TableHeading"/>
              <w:rPr>
                <w:sz w:val="20"/>
                <w:szCs w:val="20"/>
                <w:lang w:val="en-AU"/>
              </w:rPr>
            </w:pPr>
            <w:r w:rsidRPr="001E3034">
              <w:rPr>
                <w:sz w:val="20"/>
                <w:szCs w:val="20"/>
                <w:lang w:val="en-AU"/>
              </w:rPr>
              <w:t xml:space="preserve">Finding </w:t>
            </w:r>
          </w:p>
        </w:tc>
      </w:tr>
      <w:tr w:rsidR="00FB0504" w:rsidRPr="001E3034" w:rsidTr="00FB0504">
        <w:trPr>
          <w:trHeight w:val="60"/>
        </w:trPr>
        <w:tc>
          <w:tcPr>
            <w:tcW w:w="1938"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TableTextind1"/>
              <w:rPr>
                <w:szCs w:val="20"/>
              </w:rPr>
            </w:pPr>
            <w:r w:rsidRPr="001E3034">
              <w:rPr>
                <w:szCs w:val="20"/>
              </w:rPr>
              <w:t>6)</w:t>
            </w:r>
            <w:r w:rsidRPr="001E3034">
              <w:rPr>
                <w:szCs w:val="20"/>
              </w:rPr>
              <w:tab/>
              <w:t>The state has supported the Commonwealth in bridging the gap</w:t>
            </w:r>
            <w:r w:rsidR="001621EB">
              <w:rPr>
                <w:szCs w:val="20"/>
              </w:rPr>
              <w:t>.</w:t>
            </w:r>
          </w:p>
          <w:p w:rsidR="00FB0504" w:rsidRPr="001E3034" w:rsidRDefault="00FB0504" w:rsidP="00FB0504">
            <w:pPr>
              <w:pStyle w:val="TableTextind1"/>
              <w:rPr>
                <w:szCs w:val="20"/>
              </w:rPr>
            </w:pPr>
          </w:p>
        </w:tc>
        <w:tc>
          <w:tcPr>
            <w:tcW w:w="1937"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ListBullet"/>
              <w:ind w:left="253" w:hanging="253"/>
            </w:pPr>
            <w:r w:rsidRPr="001E3034">
              <w:t>The ACT has made progress in removing volumetric or other barriers to permanent trade out of water irrigation areas that are inconsistent with the Basin Plan water trading rules.</w:t>
            </w:r>
          </w:p>
          <w:p w:rsidR="00FB0504" w:rsidRPr="001E3034" w:rsidRDefault="0098279E" w:rsidP="00FB0504">
            <w:pPr>
              <w:pStyle w:val="ListBullet"/>
              <w:ind w:left="253" w:hanging="253"/>
            </w:pPr>
            <w:r>
              <w:t xml:space="preserve">The </w:t>
            </w:r>
            <w:r w:rsidR="00FB0504" w:rsidRPr="001E3034">
              <w:t>ACT did not introduce any restrictions on the trading of water access entitlements.</w:t>
            </w:r>
          </w:p>
          <w:p w:rsidR="00FB0504" w:rsidRPr="001E3034" w:rsidRDefault="0098279E" w:rsidP="00FB0504">
            <w:pPr>
              <w:pStyle w:val="ListBullet"/>
              <w:ind w:left="253" w:hanging="253"/>
            </w:pPr>
            <w:r>
              <w:t xml:space="preserve">The </w:t>
            </w:r>
            <w:r w:rsidR="00FB0504" w:rsidRPr="001E3034">
              <w:t>ACT did not take any action to impede Commonwealth measures to acquire water.</w:t>
            </w:r>
          </w:p>
          <w:p w:rsidR="00FB0504" w:rsidRPr="001E3034" w:rsidRDefault="0098279E" w:rsidP="00FB0504">
            <w:pPr>
              <w:pStyle w:val="ListBullet"/>
              <w:ind w:left="253" w:hanging="253"/>
            </w:pPr>
            <w:r>
              <w:t xml:space="preserve">The </w:t>
            </w:r>
            <w:r w:rsidR="00FB0504" w:rsidRPr="001E3034">
              <w:t>ACT has not been involved in Commonwealth applications for water trading.</w:t>
            </w:r>
          </w:p>
          <w:p w:rsidR="00FB0504" w:rsidRPr="001E3034" w:rsidRDefault="0098279E" w:rsidP="0098279E">
            <w:pPr>
              <w:pStyle w:val="ListBullet"/>
              <w:ind w:left="253" w:hanging="253"/>
            </w:pPr>
            <w:r>
              <w:t xml:space="preserve">The </w:t>
            </w:r>
            <w:r w:rsidR="00FB0504" w:rsidRPr="001E3034">
              <w:t>ACT entitlements in regulated surface water systems</w:t>
            </w:r>
            <w:r>
              <w:t xml:space="preserve"> </w:t>
            </w:r>
            <w:r w:rsidR="00FB0504" w:rsidRPr="001E3034">
              <w:t xml:space="preserve">are consistent with the provisions of </w:t>
            </w:r>
            <w:r w:rsidR="00FA2ACD">
              <w:t xml:space="preserve">the </w:t>
            </w:r>
            <w:r w:rsidR="00FB0504" w:rsidRPr="001E3034">
              <w:t>N</w:t>
            </w:r>
            <w:r w:rsidR="00FA2ACD">
              <w:t xml:space="preserve">ational </w:t>
            </w:r>
            <w:r w:rsidR="00FB0504" w:rsidRPr="001E3034">
              <w:t>W</w:t>
            </w:r>
            <w:r w:rsidR="00FA2ACD">
              <w:t xml:space="preserve">ater </w:t>
            </w:r>
            <w:r w:rsidR="00FB0504" w:rsidRPr="001E3034">
              <w:t>I</w:t>
            </w:r>
            <w:r w:rsidR="00FA2ACD">
              <w:t>nitiative (NWI)</w:t>
            </w:r>
            <w:r w:rsidR="00FB0504" w:rsidRPr="001E3034">
              <w:t xml:space="preserve"> clauses 28–32.</w:t>
            </w:r>
          </w:p>
        </w:tc>
        <w:tc>
          <w:tcPr>
            <w:tcW w:w="1125" w:type="pct"/>
            <w:tcBorders>
              <w:top w:val="single" w:sz="4" w:space="0" w:color="0D223F"/>
              <w:bottom w:val="single" w:sz="4" w:space="0" w:color="0D223F"/>
            </w:tcBorders>
            <w:shd w:val="clear" w:color="auto" w:fill="auto"/>
          </w:tcPr>
          <w:p w:rsidR="00FB0504" w:rsidRPr="001E3034" w:rsidRDefault="00003C33" w:rsidP="00FB0504">
            <w:pPr>
              <w:pStyle w:val="TableText"/>
              <w:rPr>
                <w:sz w:val="20"/>
                <w:szCs w:val="20"/>
              </w:rPr>
            </w:pPr>
            <w:r w:rsidRPr="00C63464">
              <w:rPr>
                <w:sz w:val="20"/>
                <w:szCs w:val="20"/>
              </w:rPr>
              <w:t xml:space="preserve">Commitment </w:t>
            </w:r>
            <w:r>
              <w:rPr>
                <w:sz w:val="20"/>
                <w:szCs w:val="20"/>
              </w:rPr>
              <w:t>partially</w:t>
            </w:r>
            <w:r w:rsidRPr="00C63464">
              <w:rPr>
                <w:sz w:val="20"/>
                <w:szCs w:val="20"/>
              </w:rPr>
              <w:t xml:space="preserve"> met</w:t>
            </w:r>
            <w:r>
              <w:rPr>
                <w:sz w:val="20"/>
                <w:szCs w:val="20"/>
              </w:rPr>
              <w:t>. Steps and activities are underway to fully meet the milestone</w:t>
            </w:r>
            <w:r w:rsidR="001621EB">
              <w:rPr>
                <w:sz w:val="20"/>
                <w:szCs w:val="20"/>
              </w:rPr>
              <w:t>.</w:t>
            </w:r>
          </w:p>
        </w:tc>
      </w:tr>
      <w:tr w:rsidR="00FB0504" w:rsidRPr="001E3034" w:rsidTr="00FB0504">
        <w:trPr>
          <w:trHeight w:val="60"/>
        </w:trPr>
        <w:tc>
          <w:tcPr>
            <w:tcW w:w="1938"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TableTextind1"/>
              <w:rPr>
                <w:szCs w:val="20"/>
              </w:rPr>
            </w:pPr>
            <w:r w:rsidRPr="001E3034">
              <w:rPr>
                <w:szCs w:val="20"/>
              </w:rPr>
              <w:t>7)</w:t>
            </w:r>
            <w:r w:rsidRPr="001E3034">
              <w:rPr>
                <w:szCs w:val="20"/>
              </w:rP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r w:rsidR="001621EB">
              <w:rPr>
                <w:szCs w:val="20"/>
              </w:rPr>
              <w:t>.</w:t>
            </w:r>
          </w:p>
        </w:tc>
        <w:tc>
          <w:tcPr>
            <w:tcW w:w="1937" w:type="pct"/>
            <w:tcBorders>
              <w:top w:val="single" w:sz="4" w:space="0" w:color="0D223F"/>
              <w:bottom w:val="single" w:sz="4" w:space="0" w:color="0D223F"/>
              <w:right w:val="single" w:sz="4" w:space="0" w:color="0D223F"/>
            </w:tcBorders>
            <w:shd w:val="clear" w:color="auto" w:fill="auto"/>
          </w:tcPr>
          <w:p w:rsidR="00FB0504" w:rsidRPr="001E3034" w:rsidRDefault="001103F4" w:rsidP="00FB0504">
            <w:pPr>
              <w:pStyle w:val="ListBullet"/>
              <w:ind w:left="253" w:hanging="283"/>
            </w:pPr>
            <w:r>
              <w:t>Not applicable to the ACT</w:t>
            </w:r>
            <w:r w:rsidR="001621EB">
              <w:t>.</w:t>
            </w:r>
          </w:p>
        </w:tc>
        <w:tc>
          <w:tcPr>
            <w:tcW w:w="1125" w:type="pct"/>
            <w:tcBorders>
              <w:top w:val="single" w:sz="4" w:space="0" w:color="0D223F"/>
              <w:bottom w:val="single" w:sz="4" w:space="0" w:color="0D223F"/>
            </w:tcBorders>
            <w:shd w:val="clear" w:color="auto" w:fill="auto"/>
          </w:tcPr>
          <w:p w:rsidR="00FB0504" w:rsidRPr="001E3034" w:rsidRDefault="00FB0504" w:rsidP="00FB0504">
            <w:pPr>
              <w:pStyle w:val="TableText"/>
              <w:rPr>
                <w:sz w:val="20"/>
                <w:szCs w:val="20"/>
              </w:rPr>
            </w:pPr>
            <w:r w:rsidRPr="001E3034">
              <w:rPr>
                <w:sz w:val="20"/>
                <w:szCs w:val="20"/>
              </w:rPr>
              <w:t>Not applicable</w:t>
            </w:r>
            <w:r w:rsidR="001621EB">
              <w:rPr>
                <w:sz w:val="20"/>
                <w:szCs w:val="20"/>
              </w:rPr>
              <w:t>.</w:t>
            </w:r>
          </w:p>
        </w:tc>
      </w:tr>
      <w:tr w:rsidR="00FB0504" w:rsidRPr="001E3034" w:rsidTr="00FB0504">
        <w:trPr>
          <w:trHeight w:val="60"/>
        </w:trPr>
        <w:tc>
          <w:tcPr>
            <w:tcW w:w="1938"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TableTextind1"/>
              <w:rPr>
                <w:szCs w:val="20"/>
              </w:rPr>
            </w:pPr>
            <w:r w:rsidRPr="001E3034">
              <w:rPr>
                <w:szCs w:val="20"/>
              </w:rPr>
              <w:t>8)</w:t>
            </w:r>
            <w:r w:rsidRPr="001E3034">
              <w:rPr>
                <w:szCs w:val="20"/>
              </w:rPr>
              <w:tab/>
              <w:t>The state has cooperated in arrangements for Basin Plan environmental watering</w:t>
            </w:r>
            <w:r w:rsidR="001621EB">
              <w:rPr>
                <w:szCs w:val="20"/>
              </w:rPr>
              <w:t>.</w:t>
            </w:r>
          </w:p>
        </w:tc>
        <w:tc>
          <w:tcPr>
            <w:tcW w:w="1937"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ListBullet"/>
              <w:ind w:left="253" w:hanging="253"/>
            </w:pPr>
            <w:r w:rsidRPr="001E3034">
              <w:t>The ACT has participated where applicable in the arrangements for Basin Plan environmental watering.</w:t>
            </w:r>
          </w:p>
        </w:tc>
        <w:tc>
          <w:tcPr>
            <w:tcW w:w="1125" w:type="pct"/>
            <w:tcBorders>
              <w:top w:val="single" w:sz="4" w:space="0" w:color="0D223F"/>
              <w:bottom w:val="single" w:sz="4" w:space="0" w:color="0D223F"/>
            </w:tcBorders>
            <w:shd w:val="clear" w:color="auto" w:fill="auto"/>
          </w:tcPr>
          <w:p w:rsidR="00FB0504" w:rsidRPr="001E3034" w:rsidRDefault="00FB0504" w:rsidP="00FB0504">
            <w:pPr>
              <w:pStyle w:val="TableText"/>
              <w:rPr>
                <w:sz w:val="20"/>
                <w:szCs w:val="20"/>
              </w:rPr>
            </w:pPr>
            <w:r w:rsidRPr="001E3034">
              <w:rPr>
                <w:sz w:val="20"/>
                <w:szCs w:val="20"/>
              </w:rPr>
              <w:t>Commitment met</w:t>
            </w:r>
            <w:r w:rsidR="001621EB">
              <w:rPr>
                <w:sz w:val="20"/>
                <w:szCs w:val="20"/>
              </w:rPr>
              <w:t>.</w:t>
            </w:r>
          </w:p>
        </w:tc>
      </w:tr>
      <w:tr w:rsidR="00FB0504" w:rsidRPr="001E3034" w:rsidTr="00FB0504">
        <w:trPr>
          <w:trHeight w:val="60"/>
        </w:trPr>
        <w:tc>
          <w:tcPr>
            <w:tcW w:w="1938" w:type="pct"/>
            <w:tcBorders>
              <w:top w:val="single" w:sz="4" w:space="0" w:color="0D223F"/>
              <w:bottom w:val="single" w:sz="4" w:space="0" w:color="0D223F"/>
              <w:right w:val="single" w:sz="4" w:space="0" w:color="0D223F"/>
            </w:tcBorders>
            <w:shd w:val="clear" w:color="auto" w:fill="auto"/>
          </w:tcPr>
          <w:p w:rsidR="00FB0504" w:rsidRPr="001E3034" w:rsidRDefault="00FB0504" w:rsidP="00FB0504">
            <w:pPr>
              <w:pStyle w:val="TableTextind1"/>
              <w:rPr>
                <w:szCs w:val="20"/>
              </w:rPr>
            </w:pPr>
            <w:r w:rsidRPr="001E3034">
              <w:rPr>
                <w:szCs w:val="20"/>
              </w:rPr>
              <w:lastRenderedPageBreak/>
              <w:t>9)</w:t>
            </w:r>
            <w:r w:rsidRPr="001E3034">
              <w:rPr>
                <w:szCs w:val="20"/>
              </w:rPr>
              <w:tab/>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rsidR="00FB0504" w:rsidRPr="001E3034" w:rsidRDefault="001103F4" w:rsidP="00FB0504">
            <w:pPr>
              <w:pStyle w:val="ListBullet"/>
              <w:ind w:left="253" w:hanging="253"/>
            </w:pPr>
            <w:r>
              <w:t>Not applicable to the ACT</w:t>
            </w:r>
            <w:r w:rsidR="001621EB">
              <w:t>.</w:t>
            </w:r>
          </w:p>
        </w:tc>
        <w:tc>
          <w:tcPr>
            <w:tcW w:w="1125" w:type="pct"/>
            <w:tcBorders>
              <w:top w:val="single" w:sz="4" w:space="0" w:color="0D223F"/>
              <w:bottom w:val="single" w:sz="4" w:space="0" w:color="0D223F"/>
            </w:tcBorders>
            <w:shd w:val="clear" w:color="auto" w:fill="auto"/>
          </w:tcPr>
          <w:p w:rsidR="00FB0504" w:rsidRPr="001E3034" w:rsidRDefault="00FB0504" w:rsidP="00FB0504">
            <w:pPr>
              <w:pStyle w:val="TableText"/>
              <w:rPr>
                <w:sz w:val="20"/>
                <w:szCs w:val="20"/>
              </w:rPr>
            </w:pPr>
            <w:r w:rsidRPr="001E3034">
              <w:rPr>
                <w:sz w:val="20"/>
                <w:szCs w:val="20"/>
              </w:rPr>
              <w:t>Not applicable</w:t>
            </w:r>
            <w:r w:rsidR="001621EB">
              <w:rPr>
                <w:sz w:val="20"/>
                <w:szCs w:val="20"/>
              </w:rPr>
              <w:t>.</w:t>
            </w:r>
          </w:p>
        </w:tc>
      </w:tr>
    </w:tbl>
    <w:p w:rsidR="00FB0504" w:rsidRDefault="00FB0504" w:rsidP="00FB0504">
      <w:pPr>
        <w:pStyle w:val="BodyText"/>
        <w:rPr>
          <w:lang w:val="en-US"/>
        </w:rPr>
      </w:pPr>
    </w:p>
    <w:p w:rsidR="00FB0504" w:rsidRDefault="00FB0504" w:rsidP="00FB0504">
      <w:pPr>
        <w:pStyle w:val="Heading2List"/>
      </w:pPr>
      <w:bookmarkStart w:id="34" w:name="_Toc401664288"/>
      <w:bookmarkStart w:id="35" w:name="_Toc433882353"/>
      <w:r w:rsidRPr="00BB3307">
        <w:t xml:space="preserve">Bridging the </w:t>
      </w:r>
      <w:r>
        <w:t>g</w:t>
      </w:r>
      <w:r w:rsidRPr="00BB3307">
        <w:t>ap</w:t>
      </w:r>
      <w:bookmarkEnd w:id="34"/>
      <w:bookmarkEnd w:id="35"/>
      <w:r>
        <w:t xml:space="preserve"> </w:t>
      </w:r>
    </w:p>
    <w:p w:rsidR="00FB0504" w:rsidRDefault="00FB0504" w:rsidP="00FB0504">
      <w:pPr>
        <w:pStyle w:val="ListNumber"/>
        <w:numPr>
          <w:ilvl w:val="0"/>
          <w:numId w:val="0"/>
        </w:numPr>
        <w:rPr>
          <w:b/>
          <w:sz w:val="24"/>
          <w:szCs w:val="24"/>
        </w:rPr>
      </w:pPr>
      <w:r w:rsidRPr="00F3124F">
        <w:rPr>
          <w:b/>
          <w:sz w:val="24"/>
          <w:szCs w:val="24"/>
        </w:rPr>
        <w:t>Removal of barriers</w:t>
      </w:r>
    </w:p>
    <w:p w:rsidR="00F02075" w:rsidRDefault="00081F0A" w:rsidP="00FB0504">
      <w:r w:rsidRPr="00081F0A">
        <w:t>The Basin Plan Water Trading Rules came into effect on 1 July 2014. In June 2015 the MDBA provided its preliminary views on issues it considered to be high priority for the consistency of ACT’s arrangements with the Basin Plan Trading Rules. Based on the MDBA’s advice to date, the Department considers the ACT’s interstate trading arrangements are inconsistent with the Basin Plan Water Trading Rules. The Department understands that the ACT has attempted to address this matter but has been unsuccessful to date in securing a commitment from New South Wales to progress the issue. </w:t>
      </w:r>
    </w:p>
    <w:p w:rsidR="00FB0504" w:rsidRDefault="00081F0A" w:rsidP="00FB0504">
      <w:r w:rsidRPr="00081F0A">
        <w:t>Given the ongoing obligations associated with Milestone 6, the Department anticipates that the ACT will work cooperatively with New South Wales and the MDBA during 2015-16 to agree a work program and timeframes to enable interstate trade to occur consistent with Basin Plan Water Trading Rules.</w:t>
      </w:r>
    </w:p>
    <w:p w:rsidR="00FB0504" w:rsidRPr="00F42B4F" w:rsidRDefault="00FB0504" w:rsidP="00FB0504">
      <w:pPr>
        <w:rPr>
          <w:b/>
          <w:sz w:val="24"/>
          <w:szCs w:val="24"/>
        </w:rPr>
      </w:pPr>
      <w:r w:rsidRPr="00F3124F">
        <w:rPr>
          <w:b/>
          <w:sz w:val="24"/>
          <w:szCs w:val="24"/>
        </w:rPr>
        <w:t>Restrictions on trade</w:t>
      </w:r>
    </w:p>
    <w:p w:rsidR="00FB0504" w:rsidRPr="009C6A19" w:rsidRDefault="00FB0504" w:rsidP="00FB0504">
      <w:r w:rsidRPr="009C6A19">
        <w:t>The ACT’s Statement of Assurance confirmed that during the assessment period the ACT has not introduced any restrictions or suspensions on the trading of water access entitlements (ACT Govt 2015). The MDBA has confirmed that it is not aware of any new restrictions that were introduced in 2014-15 in the ACT that are inconsistent with the Basin Plan.</w:t>
      </w:r>
    </w:p>
    <w:p w:rsidR="00FB0504" w:rsidRDefault="00FB0504" w:rsidP="00FB0504">
      <w:pPr>
        <w:rPr>
          <w:rFonts w:cs="Arial"/>
          <w:i/>
        </w:rPr>
      </w:pPr>
      <w:r>
        <w:rPr>
          <w:b/>
          <w:sz w:val="24"/>
          <w:szCs w:val="24"/>
        </w:rPr>
        <w:t>Actions to impede Commonwealth water acquisitions</w:t>
      </w:r>
    </w:p>
    <w:p w:rsidR="00FB0504" w:rsidRPr="009C6A19" w:rsidRDefault="00FB0504" w:rsidP="00FB0504">
      <w:r w:rsidRPr="009C6A19">
        <w:t>The ACT stated in its Statement of Assurance that it did not take any action to impede Commonwealth measures to acquire water for environmental purposes during 2014–15.</w:t>
      </w:r>
    </w:p>
    <w:p w:rsidR="00FB0504" w:rsidRPr="00FB0504" w:rsidRDefault="00FB0504" w:rsidP="00FB0504">
      <w:pPr>
        <w:pStyle w:val="Heading4"/>
        <w:rPr>
          <w:b w:val="0"/>
          <w:i/>
          <w:color w:val="auto"/>
          <w:sz w:val="24"/>
        </w:rPr>
      </w:pPr>
      <w:r w:rsidRPr="00FB0504">
        <w:rPr>
          <w:color w:val="auto"/>
          <w:sz w:val="24"/>
        </w:rPr>
        <w:t>Processing times for trades</w:t>
      </w:r>
    </w:p>
    <w:p w:rsidR="00FB0504" w:rsidRPr="009C6A19" w:rsidRDefault="00FB0504" w:rsidP="00FB0504">
      <w:pPr>
        <w:rPr>
          <w:i/>
        </w:rPr>
      </w:pPr>
      <w:r w:rsidRPr="009C6A19">
        <w:t xml:space="preserve">The ACT confirmed that the Commonwealth had not sought to acquire water within the ACT during the assessment period </w:t>
      </w:r>
      <w:r w:rsidRPr="009C6A19">
        <w:rPr>
          <w:noProof/>
        </w:rPr>
        <w:t>(ACT Govt 2015)</w:t>
      </w:r>
      <w:r w:rsidRPr="009C6A19">
        <w:t>. However, it is noted that the Commonwealth did acquire general security entitlements from the water utility, Icon Water (previously ACTEW), for water held in the lower Murrumbidgee River system.</w:t>
      </w:r>
    </w:p>
    <w:p w:rsidR="00FB0504" w:rsidRPr="00F627CC" w:rsidRDefault="00FB0504" w:rsidP="00FB0504">
      <w:pPr>
        <w:pStyle w:val="BodyText"/>
        <w:rPr>
          <w:b/>
          <w:sz w:val="24"/>
        </w:rPr>
      </w:pPr>
      <w:r w:rsidRPr="00F3124F">
        <w:rPr>
          <w:b/>
          <w:sz w:val="24"/>
        </w:rPr>
        <w:t>NWI-consistent entitlements</w:t>
      </w:r>
    </w:p>
    <w:p w:rsidR="00FB0504" w:rsidRPr="009C6A19" w:rsidRDefault="00FB0504" w:rsidP="00FB0504">
      <w:pPr>
        <w:pStyle w:val="BodyText"/>
        <w:rPr>
          <w:sz w:val="20"/>
        </w:rPr>
      </w:pPr>
      <w:r w:rsidRPr="009C6A19">
        <w:rPr>
          <w:sz w:val="20"/>
        </w:rPr>
        <w:t xml:space="preserve">The ACT’s water access entitlements in regulated surface water systems are consistent with the provisions of clauses 28–32 of the NWI (NWC 2014). </w:t>
      </w:r>
    </w:p>
    <w:p w:rsidR="00FB0504" w:rsidRPr="009C6A19" w:rsidRDefault="00FB0504" w:rsidP="00FB0504">
      <w:pPr>
        <w:pStyle w:val="BodyText"/>
        <w:rPr>
          <w:sz w:val="20"/>
        </w:rPr>
      </w:pPr>
    </w:p>
    <w:p w:rsidR="00FB0504" w:rsidRDefault="00FB0504" w:rsidP="00FB0504">
      <w:pPr>
        <w:pStyle w:val="Heading2List"/>
      </w:pPr>
      <w:bookmarkStart w:id="36" w:name="_Toc401664289"/>
      <w:bookmarkStart w:id="37" w:name="_Toc433882354"/>
      <w:r>
        <w:t>Implementation of the Constraints Management Strategy</w:t>
      </w:r>
      <w:bookmarkEnd w:id="36"/>
      <w:bookmarkEnd w:id="37"/>
      <w:r>
        <w:t xml:space="preserve"> </w:t>
      </w:r>
    </w:p>
    <w:p w:rsidR="00FB0504" w:rsidRPr="009C6A19" w:rsidRDefault="00FB0504" w:rsidP="00FB0504">
      <w:pPr>
        <w:pStyle w:val="BodyText"/>
        <w:rPr>
          <w:sz w:val="20"/>
          <w:szCs w:val="18"/>
        </w:rPr>
      </w:pPr>
      <w:r w:rsidRPr="009C6A19">
        <w:rPr>
          <w:sz w:val="20"/>
          <w:szCs w:val="18"/>
        </w:rPr>
        <w:t>Not applicable to the ACT.</w:t>
      </w:r>
    </w:p>
    <w:p w:rsidR="00FB0504" w:rsidRDefault="00FB0504" w:rsidP="00FB0504">
      <w:pPr>
        <w:pStyle w:val="Heading2List"/>
      </w:pPr>
      <w:bookmarkStart w:id="38" w:name="_Toc401664290"/>
      <w:bookmarkStart w:id="39" w:name="_Toc433882355"/>
      <w:r>
        <w:t>Cooperation in environmental watering</w:t>
      </w:r>
      <w:bookmarkEnd w:id="38"/>
      <w:bookmarkEnd w:id="39"/>
    </w:p>
    <w:p w:rsidR="00FB0504" w:rsidRPr="00FB0504" w:rsidRDefault="00FB0504" w:rsidP="00FB0504">
      <w:pPr>
        <w:pStyle w:val="Heading4"/>
        <w:rPr>
          <w:b w:val="0"/>
          <w:i/>
          <w:color w:val="auto"/>
          <w:sz w:val="24"/>
        </w:rPr>
      </w:pPr>
      <w:r w:rsidRPr="00FB0504">
        <w:rPr>
          <w:color w:val="auto"/>
          <w:sz w:val="24"/>
        </w:rPr>
        <w:t>Characteristics of licensed entitlements</w:t>
      </w:r>
    </w:p>
    <w:p w:rsidR="00FB0504" w:rsidRPr="009C6A19" w:rsidRDefault="00FB0504" w:rsidP="00FB0504">
      <w:pPr>
        <w:pStyle w:val="BodyText"/>
        <w:rPr>
          <w:sz w:val="20"/>
        </w:rPr>
      </w:pPr>
      <w:r w:rsidRPr="009C6A19">
        <w:rPr>
          <w:sz w:val="20"/>
        </w:rPr>
        <w:t xml:space="preserve">The ACT has not taken any action to alter the characteristics of licensed entitlements held for environmental use. The ACT’s </w:t>
      </w:r>
      <w:r>
        <w:rPr>
          <w:sz w:val="20"/>
        </w:rPr>
        <w:t>Statement of A</w:t>
      </w:r>
      <w:r w:rsidRPr="009C6A19">
        <w:rPr>
          <w:sz w:val="20"/>
        </w:rPr>
        <w:t xml:space="preserve">ssurance confirmed that environmental watering from streams occurs before water is diverted for consumptive use </w:t>
      </w:r>
      <w:r w:rsidRPr="009C6A19">
        <w:rPr>
          <w:noProof/>
          <w:sz w:val="20"/>
        </w:rPr>
        <w:t>(ACT Govt 2015)</w:t>
      </w:r>
      <w:r w:rsidRPr="009C6A19">
        <w:rPr>
          <w:sz w:val="20"/>
        </w:rPr>
        <w:t xml:space="preserve">. </w:t>
      </w:r>
    </w:p>
    <w:p w:rsidR="00FB0504" w:rsidRDefault="00FB0504" w:rsidP="00FB0504">
      <w:pPr>
        <w:pStyle w:val="BodyText"/>
        <w:rPr>
          <w:b/>
          <w:sz w:val="24"/>
        </w:rPr>
      </w:pPr>
      <w:r>
        <w:rPr>
          <w:b/>
          <w:sz w:val="24"/>
        </w:rPr>
        <w:t>Management of environmental water consistent with the Basin Plan</w:t>
      </w:r>
    </w:p>
    <w:p w:rsidR="00FB0504" w:rsidRPr="009C6A19" w:rsidRDefault="00FB0504" w:rsidP="00FB0504">
      <w:pPr>
        <w:pStyle w:val="BodyText"/>
        <w:rPr>
          <w:sz w:val="20"/>
        </w:rPr>
      </w:pPr>
      <w:r w:rsidRPr="009C6A19">
        <w:rPr>
          <w:sz w:val="20"/>
        </w:rPr>
        <w:t xml:space="preserve">The ACT’s Statement of Assurance confirmed that it has been working with the MDBA on a Water Resource Plan which includes the approach taken to account for </w:t>
      </w:r>
      <w:r w:rsidR="00083EFE">
        <w:rPr>
          <w:sz w:val="20"/>
        </w:rPr>
        <w:t xml:space="preserve">how </w:t>
      </w:r>
      <w:r w:rsidRPr="009C6A19">
        <w:rPr>
          <w:sz w:val="20"/>
        </w:rPr>
        <w:t xml:space="preserve">environmental watering </w:t>
      </w:r>
      <w:r w:rsidR="00083EFE">
        <w:rPr>
          <w:sz w:val="20"/>
        </w:rPr>
        <w:t xml:space="preserve">occurs </w:t>
      </w:r>
      <w:r w:rsidRPr="009C6A19">
        <w:rPr>
          <w:sz w:val="20"/>
        </w:rPr>
        <w:t>in the ACT.</w:t>
      </w:r>
    </w:p>
    <w:p w:rsidR="00FB0504" w:rsidRDefault="00FB0504" w:rsidP="00FB0504">
      <w:pPr>
        <w:pStyle w:val="BodyText"/>
        <w:rPr>
          <w:b/>
          <w:sz w:val="24"/>
        </w:rPr>
      </w:pPr>
      <w:r>
        <w:rPr>
          <w:b/>
          <w:sz w:val="24"/>
        </w:rPr>
        <w:t>Consultation on environmental watering</w:t>
      </w:r>
    </w:p>
    <w:p w:rsidR="00FB0504" w:rsidRPr="009C6A19" w:rsidRDefault="00FB0504" w:rsidP="00FB0504">
      <w:pPr>
        <w:pStyle w:val="BodyText"/>
        <w:rPr>
          <w:sz w:val="20"/>
          <w:szCs w:val="18"/>
        </w:rPr>
      </w:pPr>
      <w:r w:rsidRPr="009C6A19">
        <w:rPr>
          <w:sz w:val="20"/>
          <w:szCs w:val="18"/>
        </w:rPr>
        <w:t>Not applicable to the ACT.</w:t>
      </w:r>
    </w:p>
    <w:p w:rsidR="00FB0504" w:rsidRDefault="00FB0504" w:rsidP="00FB0504">
      <w:pPr>
        <w:pStyle w:val="BodyText"/>
        <w:rPr>
          <w:b/>
          <w:sz w:val="24"/>
        </w:rPr>
      </w:pPr>
      <w:r>
        <w:rPr>
          <w:b/>
          <w:sz w:val="24"/>
        </w:rPr>
        <w:t>Long-term environmental watering plans</w:t>
      </w:r>
    </w:p>
    <w:p w:rsidR="00FB0504" w:rsidRPr="00A42946" w:rsidRDefault="00FB0504" w:rsidP="00FB0504">
      <w:pPr>
        <w:rPr>
          <w:szCs w:val="24"/>
        </w:rPr>
      </w:pPr>
      <w:r w:rsidRPr="00A42946">
        <w:rPr>
          <w:szCs w:val="24"/>
        </w:rPr>
        <w:t xml:space="preserve">The Basin-wide environmental watering strategy was released </w:t>
      </w:r>
      <w:r w:rsidR="001621EB">
        <w:rPr>
          <w:szCs w:val="24"/>
        </w:rPr>
        <w:t>on</w:t>
      </w:r>
      <w:r w:rsidRPr="00A42946">
        <w:rPr>
          <w:szCs w:val="24"/>
        </w:rPr>
        <w:t xml:space="preserve"> 24 November 2014. Therefore, there is no assessment of this milestone because the specified 12 month period has not yet elapsed.</w:t>
      </w:r>
    </w:p>
    <w:p w:rsidR="00FB0504" w:rsidRPr="00C03605" w:rsidRDefault="00FB0504" w:rsidP="00FB0504">
      <w:pPr>
        <w:pStyle w:val="BodyText"/>
        <w:rPr>
          <w:szCs w:val="18"/>
        </w:rPr>
      </w:pPr>
    </w:p>
    <w:p w:rsidR="00FB0504" w:rsidRDefault="00FB0504" w:rsidP="00FB0504">
      <w:pPr>
        <w:pStyle w:val="Heading2List"/>
      </w:pPr>
      <w:bookmarkStart w:id="40" w:name="_Toc401664291"/>
      <w:bookmarkStart w:id="41" w:name="_Toc433882356"/>
      <w:r>
        <w:t>Supply measures projects</w:t>
      </w:r>
      <w:bookmarkEnd w:id="40"/>
      <w:bookmarkEnd w:id="41"/>
    </w:p>
    <w:p w:rsidR="00FB0504" w:rsidRPr="009C6A19" w:rsidRDefault="00FB0504" w:rsidP="00FB0504">
      <w:pPr>
        <w:pStyle w:val="BodyText"/>
        <w:rPr>
          <w:sz w:val="20"/>
          <w:szCs w:val="18"/>
        </w:rPr>
      </w:pPr>
      <w:r w:rsidRPr="009C6A19">
        <w:rPr>
          <w:sz w:val="20"/>
          <w:szCs w:val="18"/>
        </w:rPr>
        <w:t>Not applicable to the ACT.</w:t>
      </w:r>
    </w:p>
    <w:p w:rsidR="00FB0504" w:rsidRPr="00FB0504" w:rsidRDefault="00FB0504" w:rsidP="00FB0504">
      <w:pPr>
        <w:pStyle w:val="BodyText"/>
        <w:rPr>
          <w:lang w:val="en-US"/>
        </w:rPr>
      </w:pPr>
    </w:p>
    <w:p w:rsidR="009B48A5" w:rsidRPr="005649E9" w:rsidRDefault="009B48A5" w:rsidP="008142F0">
      <w:pPr>
        <w:pStyle w:val="Heading1List"/>
      </w:pPr>
      <w:bookmarkStart w:id="42" w:name="_Toc433882357"/>
      <w:r>
        <w:t xml:space="preserve">Assessment for </w:t>
      </w:r>
      <w:bookmarkEnd w:id="25"/>
      <w:bookmarkEnd w:id="26"/>
      <w:bookmarkEnd w:id="27"/>
      <w:r w:rsidR="009A2619">
        <w:t>New South Wales</w:t>
      </w:r>
      <w:bookmarkEnd w:id="42"/>
    </w:p>
    <w:p w:rsidR="009B48A5" w:rsidRPr="005649E9" w:rsidRDefault="009B48A5" w:rsidP="000F6C87">
      <w:pPr>
        <w:pStyle w:val="Heading2List"/>
      </w:pPr>
      <w:bookmarkStart w:id="43" w:name="_Toc366575417"/>
      <w:bookmarkStart w:id="44" w:name="_Toc367728655"/>
      <w:bookmarkStart w:id="45" w:name="_Toc367783027"/>
      <w:bookmarkStart w:id="46" w:name="_Toc433882358"/>
      <w:r w:rsidRPr="005649E9">
        <w:t>Summary of findings</w:t>
      </w:r>
      <w:bookmarkEnd w:id="43"/>
      <w:bookmarkEnd w:id="44"/>
      <w:bookmarkEnd w:id="45"/>
      <w:bookmarkEnd w:id="46"/>
    </w:p>
    <w:p w:rsidR="00FB0504" w:rsidRPr="000C2CBC" w:rsidRDefault="00FB0504" w:rsidP="00FB0504">
      <w:r w:rsidRPr="000C2CBC">
        <w:t>Findings for New South Wales are summarised below in the order they appear in the agreement. Full findings and details of the assessment follow in subsequent sections of this chapter.</w:t>
      </w:r>
    </w:p>
    <w:p w:rsidR="00FB0504" w:rsidRPr="000C2CBC" w:rsidRDefault="00FB0504" w:rsidP="00FB0504">
      <w:pPr>
        <w:pStyle w:val="TableName"/>
        <w:rPr>
          <w:sz w:val="20"/>
          <w:lang w:val="en-AU"/>
        </w:rPr>
      </w:pPr>
      <w:bookmarkStart w:id="47" w:name="_Toc366575426"/>
      <w:bookmarkStart w:id="48" w:name="_Toc367728673"/>
      <w:bookmarkStart w:id="49" w:name="_Toc397939466"/>
      <w:r w:rsidRPr="000C2CBC">
        <w:rPr>
          <w:sz w:val="20"/>
          <w:lang w:val="en-AU"/>
        </w:rPr>
        <w:t xml:space="preserve">Table 3.1: Summary of findings for </w:t>
      </w:r>
      <w:bookmarkEnd w:id="47"/>
      <w:bookmarkEnd w:id="48"/>
      <w:r w:rsidRPr="000C2CBC">
        <w:rPr>
          <w:sz w:val="20"/>
          <w:lang w:val="en-AU"/>
        </w:rPr>
        <w:t>New South Wales</w:t>
      </w:r>
      <w:bookmarkEnd w:id="49"/>
      <w:r w:rsidRPr="000C2CBC">
        <w:rPr>
          <w:sz w:val="20"/>
          <w:lang w:val="en-AU"/>
        </w:rPr>
        <w:t xml:space="preserve"> </w:t>
      </w:r>
    </w:p>
    <w:tbl>
      <w:tblPr>
        <w:tblW w:w="4937" w:type="pct"/>
        <w:tblInd w:w="108" w:type="dxa"/>
        <w:tblBorders>
          <w:top w:val="single" w:sz="4" w:space="0" w:color="0D223F"/>
          <w:bottom w:val="single" w:sz="4" w:space="0" w:color="0D223F"/>
          <w:insideH w:val="single" w:sz="4" w:space="0" w:color="0D223F"/>
        </w:tblBorders>
        <w:tblLook w:val="00A0"/>
      </w:tblPr>
      <w:tblGrid>
        <w:gridCol w:w="2977"/>
        <w:gridCol w:w="3691"/>
        <w:gridCol w:w="1936"/>
      </w:tblGrid>
      <w:tr w:rsidR="00FB0504" w:rsidRPr="000C2CBC" w:rsidTr="00BB39A0">
        <w:trPr>
          <w:trHeight w:val="60"/>
          <w:tblHeader/>
        </w:trPr>
        <w:tc>
          <w:tcPr>
            <w:tcW w:w="1730" w:type="pct"/>
            <w:tcBorders>
              <w:top w:val="nil"/>
            </w:tcBorders>
            <w:shd w:val="clear" w:color="auto" w:fill="0D223F"/>
          </w:tcPr>
          <w:p w:rsidR="00FB0504" w:rsidRPr="000C2CBC" w:rsidRDefault="00FB0504" w:rsidP="00FB0504">
            <w:pPr>
              <w:pStyle w:val="TableHeading"/>
              <w:rPr>
                <w:sz w:val="20"/>
                <w:lang w:val="en-AU"/>
              </w:rPr>
            </w:pPr>
            <w:r w:rsidRPr="000C2CBC">
              <w:rPr>
                <w:sz w:val="20"/>
                <w:lang w:val="en-AU"/>
              </w:rPr>
              <w:t>National Partnership commitments</w:t>
            </w:r>
          </w:p>
        </w:tc>
        <w:tc>
          <w:tcPr>
            <w:tcW w:w="2145" w:type="pct"/>
            <w:tcBorders>
              <w:top w:val="nil"/>
            </w:tcBorders>
            <w:shd w:val="clear" w:color="auto" w:fill="0D223F"/>
          </w:tcPr>
          <w:p w:rsidR="00FB0504" w:rsidRPr="000C2CBC" w:rsidRDefault="00FB0504" w:rsidP="00FB0504">
            <w:pPr>
              <w:pStyle w:val="TableHeading"/>
              <w:rPr>
                <w:sz w:val="20"/>
                <w:lang w:val="en-AU"/>
              </w:rPr>
            </w:pPr>
            <w:r w:rsidRPr="000C2CBC">
              <w:rPr>
                <w:sz w:val="20"/>
                <w:lang w:val="en-AU"/>
              </w:rPr>
              <w:t>Assessment summary</w:t>
            </w:r>
          </w:p>
        </w:tc>
        <w:tc>
          <w:tcPr>
            <w:tcW w:w="1125" w:type="pct"/>
            <w:tcBorders>
              <w:top w:val="nil"/>
            </w:tcBorders>
            <w:shd w:val="clear" w:color="auto" w:fill="0D223F"/>
          </w:tcPr>
          <w:p w:rsidR="00FB0504" w:rsidRPr="000C2CBC" w:rsidRDefault="00FB0504" w:rsidP="00FB0504">
            <w:pPr>
              <w:pStyle w:val="TableHeading"/>
              <w:rPr>
                <w:sz w:val="20"/>
                <w:lang w:val="en-AU"/>
              </w:rPr>
            </w:pPr>
            <w:r w:rsidRPr="000C2CBC">
              <w:rPr>
                <w:sz w:val="20"/>
                <w:lang w:val="en-AU"/>
              </w:rPr>
              <w:t xml:space="preserve">Finding </w:t>
            </w:r>
          </w:p>
        </w:tc>
      </w:tr>
      <w:tr w:rsidR="00FB0504" w:rsidRPr="000C2CBC" w:rsidTr="00BB39A0">
        <w:trPr>
          <w:trHeight w:val="60"/>
        </w:trPr>
        <w:tc>
          <w:tcPr>
            <w:tcW w:w="1730" w:type="pct"/>
            <w:tcBorders>
              <w:right w:val="single" w:sz="4" w:space="0" w:color="0D223F"/>
            </w:tcBorders>
          </w:tcPr>
          <w:p w:rsidR="00FB0504" w:rsidRPr="000C2CBC" w:rsidRDefault="00FB0504" w:rsidP="00FB0504">
            <w:pPr>
              <w:pStyle w:val="TableTextind1"/>
            </w:pPr>
            <w:r w:rsidRPr="000C2CBC">
              <w:t>6)</w:t>
            </w:r>
            <w:r w:rsidRPr="000C2CBC">
              <w:tab/>
              <w:t>The state has supported the Commonwealth in bridging the gap</w:t>
            </w:r>
            <w:r w:rsidR="001621EB">
              <w:t>.</w:t>
            </w:r>
          </w:p>
          <w:p w:rsidR="00FB0504" w:rsidRPr="000C2CBC" w:rsidRDefault="00FB0504" w:rsidP="00FB0504">
            <w:pPr>
              <w:pStyle w:val="TableTextind1"/>
            </w:pPr>
          </w:p>
        </w:tc>
        <w:tc>
          <w:tcPr>
            <w:tcW w:w="2145" w:type="pct"/>
            <w:tcBorders>
              <w:right w:val="single" w:sz="4" w:space="0" w:color="0D223F"/>
            </w:tcBorders>
          </w:tcPr>
          <w:p w:rsidR="00FB0504" w:rsidRPr="000C2CBC" w:rsidRDefault="00FB0504" w:rsidP="00FB0504">
            <w:pPr>
              <w:pStyle w:val="ListBullet"/>
              <w:ind w:left="253" w:hanging="253"/>
            </w:pPr>
            <w:r w:rsidRPr="000C2CBC">
              <w:t xml:space="preserve">New South Wales has </w:t>
            </w:r>
            <w:r>
              <w:t>made progress in removing</w:t>
            </w:r>
            <w:r w:rsidRPr="000C2CBC">
              <w:t xml:space="preserve"> volumetric or other barriers to permanent trade out of water irrigation areas that are inconsistent with the Basin Plan water trading rules.</w:t>
            </w:r>
          </w:p>
          <w:p w:rsidR="00FB0504" w:rsidRPr="000C2CBC" w:rsidRDefault="00FB0504" w:rsidP="00FB0504">
            <w:pPr>
              <w:pStyle w:val="ListBullet"/>
              <w:ind w:left="253" w:hanging="253"/>
            </w:pPr>
            <w:r w:rsidRPr="000C2CBC">
              <w:t>New South Wales did not introduce any restrictions on the trading of water access entitlements.</w:t>
            </w:r>
          </w:p>
          <w:p w:rsidR="00FB0504" w:rsidRPr="000C2CBC" w:rsidRDefault="00FB0504" w:rsidP="00FB0504">
            <w:pPr>
              <w:pStyle w:val="ListBullet"/>
              <w:ind w:left="253" w:hanging="253"/>
            </w:pPr>
            <w:r>
              <w:t>New South Wales</w:t>
            </w:r>
            <w:r w:rsidRPr="000C2CBC">
              <w:t xml:space="preserve"> did not take any action to impede Commonwealth measures to acquire water for environmental purposes.</w:t>
            </w:r>
          </w:p>
          <w:p w:rsidR="00FB0504" w:rsidRPr="000C2CBC" w:rsidRDefault="00FB0504" w:rsidP="00FB0504">
            <w:pPr>
              <w:pStyle w:val="ListBullet"/>
              <w:ind w:left="253" w:hanging="253"/>
            </w:pPr>
            <w:r w:rsidRPr="000C2CBC">
              <w:t>Applications for water entitlement and allocation trades were processed consistent with the agreed service standards for trade processing times.</w:t>
            </w:r>
          </w:p>
          <w:p w:rsidR="00FB0504" w:rsidRPr="000C2CBC" w:rsidRDefault="00FB0504" w:rsidP="00901741">
            <w:pPr>
              <w:pStyle w:val="ListBullet"/>
              <w:ind w:left="253" w:hanging="253"/>
            </w:pPr>
            <w:r w:rsidRPr="000C2CBC">
              <w:t>New South Wales entitlements in regulated surface water systems are consistent with the provisions of NWI clauses 28–32.</w:t>
            </w:r>
          </w:p>
        </w:tc>
        <w:tc>
          <w:tcPr>
            <w:tcW w:w="1125" w:type="pct"/>
          </w:tcPr>
          <w:p w:rsidR="00FB0504" w:rsidRPr="000C2CBC" w:rsidRDefault="00081F0A" w:rsidP="00FB0504">
            <w:pPr>
              <w:pStyle w:val="TableText"/>
              <w:rPr>
                <w:sz w:val="20"/>
              </w:rPr>
            </w:pPr>
            <w:r w:rsidRPr="00C63464">
              <w:rPr>
                <w:sz w:val="20"/>
                <w:szCs w:val="20"/>
              </w:rPr>
              <w:t xml:space="preserve">Commitment </w:t>
            </w:r>
            <w:r>
              <w:rPr>
                <w:sz w:val="20"/>
                <w:szCs w:val="20"/>
              </w:rPr>
              <w:t>partially</w:t>
            </w:r>
            <w:r w:rsidRPr="00C63464">
              <w:rPr>
                <w:sz w:val="20"/>
                <w:szCs w:val="20"/>
              </w:rPr>
              <w:t xml:space="preserve"> met</w:t>
            </w:r>
            <w:r>
              <w:rPr>
                <w:sz w:val="20"/>
                <w:szCs w:val="20"/>
              </w:rPr>
              <w:t>. Steps and activities are underway to fully meet the milestone</w:t>
            </w:r>
            <w:r w:rsidR="001621EB">
              <w:rPr>
                <w:sz w:val="20"/>
                <w:szCs w:val="20"/>
              </w:rPr>
              <w:t>.</w:t>
            </w:r>
          </w:p>
        </w:tc>
      </w:tr>
      <w:tr w:rsidR="00FB0504" w:rsidRPr="000C2CBC" w:rsidTr="00BB39A0">
        <w:trPr>
          <w:trHeight w:val="60"/>
        </w:trPr>
        <w:tc>
          <w:tcPr>
            <w:tcW w:w="1730" w:type="pct"/>
            <w:tcBorders>
              <w:right w:val="single" w:sz="4" w:space="0" w:color="0D223F"/>
            </w:tcBorders>
          </w:tcPr>
          <w:p w:rsidR="00FB0504" w:rsidRPr="000C2CBC" w:rsidRDefault="00FB0504" w:rsidP="00FB0504">
            <w:pPr>
              <w:pStyle w:val="TableTextind1"/>
            </w:pPr>
            <w:r w:rsidRPr="000C2CBC">
              <w:t>7)</w:t>
            </w:r>
            <w:r w:rsidRPr="000C2CBC">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r w:rsidR="001621EB">
              <w:t>.</w:t>
            </w:r>
          </w:p>
        </w:tc>
        <w:tc>
          <w:tcPr>
            <w:tcW w:w="2145" w:type="pct"/>
            <w:tcBorders>
              <w:right w:val="single" w:sz="4" w:space="0" w:color="0D223F"/>
            </w:tcBorders>
          </w:tcPr>
          <w:p w:rsidR="00FB0504" w:rsidRPr="000C2CBC" w:rsidRDefault="00FB0504" w:rsidP="00FB0504">
            <w:pPr>
              <w:pStyle w:val="ListBullet"/>
              <w:ind w:left="253" w:hanging="283"/>
            </w:pPr>
            <w:r w:rsidRPr="00C602D4">
              <w:t>New South Wales has supported development and implementation of the Constraints</w:t>
            </w:r>
            <w:r w:rsidRPr="000C2CBC">
              <w:t xml:space="preserve"> Management Strategy.</w:t>
            </w:r>
          </w:p>
        </w:tc>
        <w:tc>
          <w:tcPr>
            <w:tcW w:w="1125" w:type="pct"/>
          </w:tcPr>
          <w:p w:rsidR="00FB0504" w:rsidRPr="000C2CBC" w:rsidRDefault="00FB0504" w:rsidP="00FB0504">
            <w:pPr>
              <w:pStyle w:val="TableText"/>
              <w:rPr>
                <w:sz w:val="20"/>
              </w:rPr>
            </w:pPr>
            <w:r w:rsidRPr="000C2CBC">
              <w:rPr>
                <w:sz w:val="20"/>
              </w:rPr>
              <w:t>Commitment met</w:t>
            </w:r>
            <w:r w:rsidR="001621EB">
              <w:rPr>
                <w:sz w:val="20"/>
              </w:rPr>
              <w:t>.</w:t>
            </w:r>
          </w:p>
        </w:tc>
      </w:tr>
      <w:tr w:rsidR="00FB0504" w:rsidRPr="000C2CBC" w:rsidTr="00BB39A0">
        <w:trPr>
          <w:trHeight w:val="60"/>
        </w:trPr>
        <w:tc>
          <w:tcPr>
            <w:tcW w:w="1730" w:type="pct"/>
            <w:tcBorders>
              <w:right w:val="single" w:sz="4" w:space="0" w:color="0D223F"/>
            </w:tcBorders>
          </w:tcPr>
          <w:p w:rsidR="00FB0504" w:rsidRPr="000C2CBC" w:rsidRDefault="00FB0504" w:rsidP="00FB0504">
            <w:pPr>
              <w:pStyle w:val="TableTextind1"/>
            </w:pPr>
            <w:r w:rsidRPr="000C2CBC">
              <w:t>8)</w:t>
            </w:r>
            <w:r w:rsidRPr="000C2CBC">
              <w:tab/>
              <w:t>The state has cooperated in arrangements for Basin Plan environmental watering</w:t>
            </w:r>
            <w:r w:rsidR="001621EB">
              <w:t>.</w:t>
            </w:r>
          </w:p>
        </w:tc>
        <w:tc>
          <w:tcPr>
            <w:tcW w:w="2145" w:type="pct"/>
            <w:tcBorders>
              <w:right w:val="single" w:sz="4" w:space="0" w:color="0D223F"/>
            </w:tcBorders>
          </w:tcPr>
          <w:p w:rsidR="00FB0504" w:rsidRPr="000C2CBC" w:rsidRDefault="00FB0504" w:rsidP="00FB0504">
            <w:pPr>
              <w:pStyle w:val="ListBullet"/>
              <w:ind w:left="253" w:hanging="253"/>
            </w:pPr>
            <w:r w:rsidRPr="000C2CBC">
              <w:t>New South Wales did not enhance or diminish licence entitlements held for environmental use relative to like entitlements held and use</w:t>
            </w:r>
            <w:r>
              <w:t>d for other purposes during 2014–15</w:t>
            </w:r>
            <w:r w:rsidRPr="000C2CBC">
              <w:t>.</w:t>
            </w:r>
          </w:p>
          <w:p w:rsidR="00FB0504" w:rsidRPr="000C2CBC" w:rsidRDefault="00FB0504" w:rsidP="00FB0504">
            <w:pPr>
              <w:pStyle w:val="ListBullet"/>
              <w:ind w:left="253" w:hanging="253"/>
            </w:pPr>
            <w:r w:rsidRPr="000C2CBC">
              <w:t xml:space="preserve">New South Wales has </w:t>
            </w:r>
            <w:r>
              <w:t xml:space="preserve">made some progress to support </w:t>
            </w:r>
            <w:r w:rsidRPr="000C2CBC">
              <w:t>measures to facilitate the use of environmental water.</w:t>
            </w:r>
          </w:p>
          <w:p w:rsidR="00FB0504" w:rsidRPr="000C2CBC" w:rsidRDefault="00FB0504" w:rsidP="00FB0504">
            <w:pPr>
              <w:pStyle w:val="ListBullet"/>
              <w:ind w:left="253" w:hanging="253"/>
            </w:pPr>
            <w:r w:rsidRPr="000C2CBC">
              <w:t>New South Wales provided its Annual Environmental Watering Priorities for 201</w:t>
            </w:r>
            <w:r>
              <w:t>5</w:t>
            </w:r>
            <w:r w:rsidRPr="000C2CBC">
              <w:t>-1</w:t>
            </w:r>
            <w:r>
              <w:t>6</w:t>
            </w:r>
            <w:r w:rsidRPr="000C2CBC">
              <w:t>, consistent with the Bas</w:t>
            </w:r>
            <w:r>
              <w:t>in Plan, to the MDBA</w:t>
            </w:r>
            <w:r w:rsidRPr="000C2CBC">
              <w:t xml:space="preserve">. </w:t>
            </w:r>
          </w:p>
          <w:p w:rsidR="00FB0504" w:rsidRPr="0005636E" w:rsidRDefault="00FB0504" w:rsidP="00FB0504">
            <w:pPr>
              <w:pStyle w:val="ListBullet"/>
              <w:ind w:left="253" w:hanging="253"/>
            </w:pPr>
            <w:r w:rsidRPr="0005636E">
              <w:t xml:space="preserve">New South Wales consistently applied the Basin Plan’s </w:t>
            </w:r>
            <w:r w:rsidRPr="001621EB">
              <w:rPr>
                <w:i/>
              </w:rPr>
              <w:t>Principles to be applied in environmental watering</w:t>
            </w:r>
            <w:r>
              <w:t xml:space="preserve"> during 2014</w:t>
            </w:r>
            <w:r w:rsidRPr="0005636E">
              <w:t>–1</w:t>
            </w:r>
            <w:r>
              <w:t>5</w:t>
            </w:r>
            <w:r w:rsidRPr="0005636E">
              <w:t xml:space="preserve">. </w:t>
            </w:r>
          </w:p>
          <w:p w:rsidR="00FB0504" w:rsidRPr="000C2CBC" w:rsidRDefault="00FB0504" w:rsidP="001621EB">
            <w:pPr>
              <w:pStyle w:val="ListBullet"/>
              <w:ind w:left="253" w:hanging="253"/>
              <w:rPr>
                <w:b/>
              </w:rPr>
            </w:pPr>
            <w:r w:rsidRPr="0005636E">
              <w:t xml:space="preserve">Environmental watering has occurred </w:t>
            </w:r>
            <w:r w:rsidR="001621EB">
              <w:t>with</w:t>
            </w:r>
            <w:r w:rsidRPr="0005636E">
              <w:t xml:space="preserve"> regard to the views of local</w:t>
            </w:r>
            <w:r w:rsidRPr="000C2CBC">
              <w:t xml:space="preserve"> communities and persons materially affected by the management of environmental water.</w:t>
            </w:r>
          </w:p>
        </w:tc>
        <w:tc>
          <w:tcPr>
            <w:tcW w:w="1125" w:type="pct"/>
          </w:tcPr>
          <w:p w:rsidR="00FB0504" w:rsidRPr="000C2CBC" w:rsidRDefault="00081F0A" w:rsidP="00FB0504">
            <w:pPr>
              <w:pStyle w:val="TableText"/>
              <w:rPr>
                <w:sz w:val="20"/>
              </w:rPr>
            </w:pPr>
            <w:r w:rsidRPr="00C63464">
              <w:rPr>
                <w:sz w:val="20"/>
                <w:szCs w:val="20"/>
              </w:rPr>
              <w:t xml:space="preserve">Commitment </w:t>
            </w:r>
            <w:r>
              <w:rPr>
                <w:sz w:val="20"/>
                <w:szCs w:val="20"/>
              </w:rPr>
              <w:t>partially</w:t>
            </w:r>
            <w:r w:rsidRPr="00C63464">
              <w:rPr>
                <w:sz w:val="20"/>
                <w:szCs w:val="20"/>
              </w:rPr>
              <w:t xml:space="preserve"> met</w:t>
            </w:r>
            <w:r>
              <w:rPr>
                <w:sz w:val="20"/>
                <w:szCs w:val="20"/>
              </w:rPr>
              <w:t>. Steps and activities are underway to fully meet the milestone</w:t>
            </w:r>
            <w:r w:rsidR="001621EB">
              <w:rPr>
                <w:sz w:val="20"/>
                <w:szCs w:val="20"/>
              </w:rPr>
              <w:t>.</w:t>
            </w:r>
          </w:p>
        </w:tc>
      </w:tr>
      <w:tr w:rsidR="00FB0504" w:rsidRPr="000C2CBC" w:rsidTr="00BB39A0">
        <w:trPr>
          <w:trHeight w:val="60"/>
        </w:trPr>
        <w:tc>
          <w:tcPr>
            <w:tcW w:w="1730" w:type="pct"/>
            <w:tcBorders>
              <w:right w:val="single" w:sz="4" w:space="0" w:color="0D223F"/>
            </w:tcBorders>
          </w:tcPr>
          <w:p w:rsidR="00FB0504" w:rsidRPr="000C2CBC" w:rsidRDefault="00FB0504" w:rsidP="00FB0504">
            <w:pPr>
              <w:pStyle w:val="TableTextind1"/>
            </w:pPr>
            <w:r w:rsidRPr="000C2CBC">
              <w:t>9)</w:t>
            </w:r>
            <w:r w:rsidRPr="000C2CBC">
              <w:tab/>
              <w:t>For New South Wales, Victoria and South Australia only, the State has provided a brief description of supply measure projects for which feasibility and business cases are being developed for consideration under the SDL adjustment mechanism.</w:t>
            </w:r>
          </w:p>
        </w:tc>
        <w:tc>
          <w:tcPr>
            <w:tcW w:w="2145" w:type="pct"/>
            <w:tcBorders>
              <w:right w:val="single" w:sz="4" w:space="0" w:color="0D223F"/>
            </w:tcBorders>
          </w:tcPr>
          <w:p w:rsidR="00FB0504" w:rsidRPr="000C2CBC" w:rsidRDefault="00FB0504" w:rsidP="001621EB">
            <w:pPr>
              <w:pStyle w:val="ListBullet"/>
              <w:ind w:left="253" w:hanging="253"/>
            </w:pPr>
            <w:r w:rsidRPr="000C2CBC">
              <w:t xml:space="preserve">New South Wales has provided a description of supply measure projects. </w:t>
            </w:r>
          </w:p>
        </w:tc>
        <w:tc>
          <w:tcPr>
            <w:tcW w:w="1125" w:type="pct"/>
          </w:tcPr>
          <w:p w:rsidR="00FB0504" w:rsidRPr="000C2CBC" w:rsidRDefault="00FB0504" w:rsidP="00FB0504">
            <w:pPr>
              <w:pStyle w:val="TableText"/>
              <w:rPr>
                <w:sz w:val="20"/>
              </w:rPr>
            </w:pPr>
            <w:r w:rsidRPr="000C2CBC">
              <w:rPr>
                <w:sz w:val="20"/>
              </w:rPr>
              <w:t>Commitment met</w:t>
            </w:r>
            <w:r w:rsidR="001621EB">
              <w:rPr>
                <w:sz w:val="20"/>
              </w:rPr>
              <w:t>.</w:t>
            </w:r>
          </w:p>
        </w:tc>
      </w:tr>
    </w:tbl>
    <w:p w:rsidR="00CA4F32" w:rsidRDefault="00CA4F32" w:rsidP="004936D9"/>
    <w:p w:rsidR="00BB39A0" w:rsidRPr="0069112E" w:rsidRDefault="00BB39A0" w:rsidP="00BB39A0">
      <w:pPr>
        <w:pStyle w:val="Heading2List"/>
      </w:pPr>
      <w:bookmarkStart w:id="50" w:name="_Toc366575418"/>
      <w:bookmarkStart w:id="51" w:name="_Toc367728656"/>
      <w:bookmarkStart w:id="52" w:name="_Toc367783028"/>
      <w:bookmarkStart w:id="53" w:name="_Toc398202573"/>
      <w:bookmarkStart w:id="54" w:name="_Toc433882359"/>
      <w:r w:rsidRPr="0069112E">
        <w:t>Bridging the gap</w:t>
      </w:r>
      <w:bookmarkEnd w:id="50"/>
      <w:bookmarkEnd w:id="51"/>
      <w:bookmarkEnd w:id="52"/>
      <w:bookmarkEnd w:id="53"/>
      <w:bookmarkEnd w:id="54"/>
      <w:r w:rsidRPr="0069112E">
        <w:t xml:space="preserve"> </w:t>
      </w:r>
    </w:p>
    <w:p w:rsidR="00BB39A0" w:rsidRPr="00B86F95" w:rsidRDefault="00BB39A0" w:rsidP="00BB39A0">
      <w:pPr>
        <w:pStyle w:val="Heading3nonumber"/>
        <w:rPr>
          <w:b/>
          <w:sz w:val="24"/>
          <w:lang w:val="en-AU"/>
        </w:rPr>
      </w:pPr>
      <w:r w:rsidRPr="00B86F95">
        <w:rPr>
          <w:b/>
          <w:sz w:val="24"/>
          <w:lang w:val="en-AU"/>
        </w:rPr>
        <w:t xml:space="preserve">Removal of barriers </w:t>
      </w:r>
    </w:p>
    <w:p w:rsidR="00572302" w:rsidRDefault="00081F0A" w:rsidP="00081F0A">
      <w:pPr>
        <w:pStyle w:val="Heading3nonumber"/>
        <w:spacing w:line="260" w:lineRule="atLeast"/>
        <w:rPr>
          <w:rFonts w:eastAsia="Cambria"/>
          <w:kern w:val="0"/>
          <w:sz w:val="20"/>
          <w:szCs w:val="20"/>
          <w:lang w:val="en-AU"/>
        </w:rPr>
      </w:pPr>
      <w:r w:rsidRPr="00081F0A">
        <w:rPr>
          <w:rFonts w:eastAsia="Cambria"/>
          <w:kern w:val="0"/>
          <w:sz w:val="20"/>
          <w:szCs w:val="20"/>
          <w:lang w:val="en-AU"/>
        </w:rPr>
        <w:t xml:space="preserve">The Basin Plan Water Trading Rules came into effect on 1 July 2014. In June 2015 the MDBA provided its preliminary views on issues it considered to be high priority for the consistency of New South Wales’ arrangements with the Basin Plan Trading Rules. Based on the MDBA’s advice to date, the Department considers some of the arrangements for interstate trading and trade closure dates are inconsistent with the Basin Plan Water Trading Rules. The Department understands that these matters remain the subject of discussions between New South Wales, Queensland, the ACT and the MDBA. New South Wales has further advised that it is addressing barriers to trade as part of its Water Resource Plan development. </w:t>
      </w:r>
    </w:p>
    <w:p w:rsidR="00081F0A" w:rsidRPr="00081F0A" w:rsidRDefault="00081F0A" w:rsidP="00081F0A">
      <w:pPr>
        <w:pStyle w:val="Heading3nonumber"/>
        <w:spacing w:line="260" w:lineRule="atLeast"/>
        <w:rPr>
          <w:rFonts w:eastAsia="Cambria"/>
          <w:kern w:val="0"/>
          <w:sz w:val="20"/>
          <w:szCs w:val="20"/>
          <w:lang w:val="en-AU"/>
        </w:rPr>
      </w:pPr>
      <w:r w:rsidRPr="00081F0A">
        <w:rPr>
          <w:rFonts w:eastAsia="Cambria"/>
          <w:kern w:val="0"/>
          <w:sz w:val="20"/>
          <w:szCs w:val="20"/>
          <w:lang w:val="en-AU"/>
        </w:rPr>
        <w:t>Given the ongoing obligations associated with Milestone 6, the Department anticipates that New South Wales will work cooperatively with the MDBA and other Basin States during 2015-16 to agree a work program and timeframes to resolve the issues identified in relation to interstate trading and trade closure dates.</w:t>
      </w:r>
    </w:p>
    <w:p w:rsidR="00BB39A0" w:rsidRPr="00AB0D83" w:rsidRDefault="00BB39A0" w:rsidP="00BB39A0">
      <w:pPr>
        <w:pStyle w:val="Heading3nonumber"/>
        <w:rPr>
          <w:b/>
          <w:sz w:val="24"/>
          <w:lang w:val="en-AU"/>
        </w:rPr>
      </w:pPr>
      <w:r w:rsidRPr="00AB0D83">
        <w:rPr>
          <w:b/>
          <w:sz w:val="24"/>
          <w:lang w:val="en-AU"/>
        </w:rPr>
        <w:t>Restrictions on trade</w:t>
      </w:r>
    </w:p>
    <w:p w:rsidR="00BB39A0" w:rsidRPr="000C2CBC" w:rsidRDefault="00BB39A0" w:rsidP="00BB39A0">
      <w:r w:rsidRPr="000C2CBC">
        <w:t xml:space="preserve">New South Wales’ </w:t>
      </w:r>
      <w:r>
        <w:t>Statement of A</w:t>
      </w:r>
      <w:r w:rsidRPr="000C2CBC">
        <w:t xml:space="preserve">ssurance </w:t>
      </w:r>
      <w:r>
        <w:t>noted</w:t>
      </w:r>
      <w:r w:rsidRPr="000C2CBC">
        <w:t xml:space="preserve"> that no restrictions </w:t>
      </w:r>
      <w:r>
        <w:t>on water purchase</w:t>
      </w:r>
      <w:r w:rsidRPr="000C2CBC">
        <w:t xml:space="preserve">s for environmental purposes were </w:t>
      </w:r>
      <w:r>
        <w:t>introduced</w:t>
      </w:r>
      <w:r w:rsidRPr="000C2CBC">
        <w:t xml:space="preserve"> during the assessment period </w:t>
      </w:r>
      <w:r w:rsidRPr="000C2CBC">
        <w:rPr>
          <w:noProof/>
        </w:rPr>
        <w:t>(NSW Govt 2015)</w:t>
      </w:r>
      <w:r w:rsidRPr="000C2CBC">
        <w:t>.</w:t>
      </w:r>
      <w:r w:rsidRPr="0030776D">
        <w:rPr>
          <w:szCs w:val="18"/>
        </w:rPr>
        <w:t xml:space="preserve"> </w:t>
      </w:r>
      <w:r w:rsidRPr="00C67385">
        <w:rPr>
          <w:szCs w:val="18"/>
        </w:rPr>
        <w:t>The MDBA has confirmed that it is not aware of any new restrictions that were introduc</w:t>
      </w:r>
      <w:r>
        <w:rPr>
          <w:szCs w:val="18"/>
        </w:rPr>
        <w:t>ed in 2014-15 in New South Wales</w:t>
      </w:r>
      <w:r w:rsidRPr="00C67385">
        <w:rPr>
          <w:szCs w:val="18"/>
        </w:rPr>
        <w:t xml:space="preserve"> that are inconsistent with the Basin Plan.</w:t>
      </w:r>
    </w:p>
    <w:p w:rsidR="00BB39A0" w:rsidRPr="00AB0D83" w:rsidRDefault="00BB39A0" w:rsidP="00BB39A0">
      <w:pPr>
        <w:pStyle w:val="Heading3nonumber"/>
        <w:rPr>
          <w:b/>
          <w:sz w:val="24"/>
          <w:lang w:val="en-AU"/>
        </w:rPr>
      </w:pPr>
      <w:r>
        <w:rPr>
          <w:b/>
          <w:sz w:val="24"/>
          <w:lang w:val="en-AU"/>
        </w:rPr>
        <w:t xml:space="preserve">Actions to impede </w:t>
      </w:r>
      <w:r w:rsidRPr="00AB0D83">
        <w:rPr>
          <w:b/>
          <w:sz w:val="24"/>
          <w:lang w:val="en-AU"/>
        </w:rPr>
        <w:t>Commonwealth water</w:t>
      </w:r>
      <w:r w:rsidRPr="002625F9">
        <w:rPr>
          <w:b/>
          <w:sz w:val="24"/>
          <w:lang w:val="en-AU"/>
        </w:rPr>
        <w:t xml:space="preserve"> </w:t>
      </w:r>
      <w:r>
        <w:rPr>
          <w:b/>
          <w:sz w:val="24"/>
          <w:lang w:val="en-AU"/>
        </w:rPr>
        <w:t>acquisitions</w:t>
      </w:r>
    </w:p>
    <w:p w:rsidR="00BB39A0" w:rsidRPr="000C2CBC" w:rsidRDefault="00BB39A0" w:rsidP="00BB39A0">
      <w:r>
        <w:t>New South Wales’ Statement of A</w:t>
      </w:r>
      <w:r w:rsidRPr="000C2CBC">
        <w:t>ssurance confirmed that no actions were taken to impede Commonwealth measures to acquire water for environmental purposes during the assessment period</w:t>
      </w:r>
      <w:r w:rsidR="001621EB">
        <w:t xml:space="preserve"> (NSW Govt 2015)</w:t>
      </w:r>
      <w:r w:rsidRPr="000C2CBC">
        <w:t xml:space="preserve">. </w:t>
      </w:r>
    </w:p>
    <w:p w:rsidR="00BB39A0" w:rsidRPr="00AB0D83" w:rsidRDefault="00BB39A0" w:rsidP="00BB39A0">
      <w:pPr>
        <w:pStyle w:val="Heading3nonumber"/>
        <w:rPr>
          <w:b/>
          <w:sz w:val="24"/>
          <w:lang w:val="en-AU"/>
        </w:rPr>
      </w:pPr>
      <w:r w:rsidRPr="00AB0D83">
        <w:rPr>
          <w:b/>
          <w:sz w:val="24"/>
          <w:lang w:val="en-AU"/>
        </w:rPr>
        <w:t>Processing times for trades</w:t>
      </w:r>
    </w:p>
    <w:p w:rsidR="00BB39A0" w:rsidRPr="000C2CBC" w:rsidRDefault="00BB39A0" w:rsidP="000120CA">
      <w:r w:rsidRPr="000C2CBC">
        <w:t>New South Wales</w:t>
      </w:r>
      <w:r>
        <w:t>’</w:t>
      </w:r>
      <w:r w:rsidRPr="000C2CBC">
        <w:t xml:space="preserve"> </w:t>
      </w:r>
      <w:r>
        <w:t>Statement of A</w:t>
      </w:r>
      <w:r w:rsidRPr="000C2CBC">
        <w:t xml:space="preserve">ssurance </w:t>
      </w:r>
      <w:r>
        <w:t>noted that</w:t>
      </w:r>
      <w:r w:rsidRPr="000C2CBC">
        <w:t xml:space="preserve"> the agreed service standards for water trades to which the Commonwealth was a party</w:t>
      </w:r>
      <w:r>
        <w:t xml:space="preserve"> had been met</w:t>
      </w:r>
      <w:r w:rsidRPr="000C2CBC">
        <w:t xml:space="preserve"> (NSW Govt 2015). This is supported by publicly available data for the 2014-15</w:t>
      </w:r>
      <w:r>
        <w:t xml:space="preserve"> water </w:t>
      </w:r>
      <w:proofErr w:type="gramStart"/>
      <w:r>
        <w:t>year</w:t>
      </w:r>
      <w:proofErr w:type="gramEnd"/>
      <w:r>
        <w:t xml:space="preserve"> on</w:t>
      </w:r>
      <w:r w:rsidRPr="000C2CBC">
        <w:t xml:space="preserve"> New South Wales’ online Water Register</w:t>
      </w:r>
      <w:r w:rsidRPr="000C2CBC">
        <w:rPr>
          <w:rStyle w:val="FootnoteReference"/>
          <w:rFonts w:eastAsia="Times New Roman"/>
        </w:rPr>
        <w:footnoteReference w:id="1"/>
      </w:r>
      <w:r w:rsidRPr="000C2CBC">
        <w:t>.</w:t>
      </w:r>
    </w:p>
    <w:p w:rsidR="00BB39A0" w:rsidRPr="00AB0D83" w:rsidRDefault="00BB39A0" w:rsidP="00BB39A0">
      <w:pPr>
        <w:pStyle w:val="Heading3nonumber"/>
        <w:rPr>
          <w:b/>
          <w:sz w:val="24"/>
          <w:lang w:val="en-AU"/>
        </w:rPr>
      </w:pPr>
      <w:r w:rsidRPr="00AB0D83">
        <w:rPr>
          <w:b/>
          <w:sz w:val="24"/>
          <w:lang w:val="en-AU"/>
        </w:rPr>
        <w:t>NWI-consistent entitlements</w:t>
      </w:r>
    </w:p>
    <w:p w:rsidR="00BB39A0" w:rsidRPr="000C2CBC" w:rsidRDefault="00BB39A0" w:rsidP="00BB39A0">
      <w:pPr>
        <w:pStyle w:val="BodyText"/>
        <w:rPr>
          <w:sz w:val="20"/>
          <w:szCs w:val="18"/>
        </w:rPr>
      </w:pPr>
      <w:r>
        <w:rPr>
          <w:sz w:val="20"/>
          <w:szCs w:val="18"/>
        </w:rPr>
        <w:t>New South Wales’ Statement of A</w:t>
      </w:r>
      <w:r w:rsidRPr="000C2CBC">
        <w:rPr>
          <w:sz w:val="20"/>
          <w:szCs w:val="18"/>
        </w:rPr>
        <w:t>ssurance note</w:t>
      </w:r>
      <w:r>
        <w:rPr>
          <w:sz w:val="20"/>
          <w:szCs w:val="18"/>
        </w:rPr>
        <w:t>d</w:t>
      </w:r>
      <w:r w:rsidRPr="000C2CBC">
        <w:rPr>
          <w:sz w:val="20"/>
          <w:szCs w:val="18"/>
        </w:rPr>
        <w:t xml:space="preserve"> that all water access entitlements in the Murray-Darling Basin are subject to water sharing plans and are consistent with the provisions of clauses 28–32 of the NWI </w:t>
      </w:r>
      <w:r w:rsidRPr="000C2CBC">
        <w:rPr>
          <w:noProof/>
          <w:sz w:val="20"/>
          <w:szCs w:val="18"/>
        </w:rPr>
        <w:t>(NSW Govt 2015; also see NWC 2014)</w:t>
      </w:r>
      <w:r w:rsidRPr="000C2CBC">
        <w:rPr>
          <w:sz w:val="20"/>
          <w:szCs w:val="18"/>
        </w:rPr>
        <w:t xml:space="preserve">. </w:t>
      </w:r>
    </w:p>
    <w:p w:rsidR="00BB39A0" w:rsidRPr="0069112E" w:rsidRDefault="00BB39A0" w:rsidP="00BB39A0">
      <w:pPr>
        <w:pStyle w:val="BodyText"/>
      </w:pPr>
    </w:p>
    <w:p w:rsidR="00BB39A0" w:rsidRPr="0069112E" w:rsidRDefault="00BB39A0" w:rsidP="00BB39A0">
      <w:pPr>
        <w:pStyle w:val="Heading2List"/>
      </w:pPr>
      <w:bookmarkStart w:id="55" w:name="_Toc366575419"/>
      <w:bookmarkStart w:id="56" w:name="_Toc367728657"/>
      <w:bookmarkStart w:id="57" w:name="_Toc367783029"/>
      <w:bookmarkStart w:id="58" w:name="_Toc398202574"/>
      <w:bookmarkStart w:id="59" w:name="_Toc433882360"/>
      <w:r w:rsidRPr="0069112E">
        <w:t>Implementation of the Constraints Management Strategy</w:t>
      </w:r>
      <w:bookmarkEnd w:id="55"/>
      <w:bookmarkEnd w:id="56"/>
      <w:bookmarkEnd w:id="57"/>
      <w:bookmarkEnd w:id="58"/>
      <w:bookmarkEnd w:id="59"/>
      <w:r w:rsidRPr="0069112E">
        <w:t xml:space="preserve"> </w:t>
      </w:r>
    </w:p>
    <w:p w:rsidR="00BB39A0" w:rsidRPr="00161CB9" w:rsidRDefault="00BB39A0" w:rsidP="00BB39A0">
      <w:pPr>
        <w:rPr>
          <w:szCs w:val="18"/>
        </w:rPr>
      </w:pPr>
      <w:bookmarkStart w:id="60" w:name="_Toc366575420"/>
      <w:bookmarkStart w:id="61" w:name="_Toc367728658"/>
      <w:bookmarkStart w:id="62" w:name="_Toc367783030"/>
      <w:r w:rsidRPr="00161CB9">
        <w:rPr>
          <w:szCs w:val="18"/>
        </w:rPr>
        <w:t>The Constraints Management Strategy was published by the MDBA in November 2013.</w:t>
      </w:r>
    </w:p>
    <w:p w:rsidR="00BB39A0" w:rsidRPr="00161CB9" w:rsidRDefault="00BB39A0" w:rsidP="00BB39A0">
      <w:pPr>
        <w:rPr>
          <w:szCs w:val="18"/>
        </w:rPr>
      </w:pPr>
      <w:r w:rsidRPr="00161CB9">
        <w:rPr>
          <w:szCs w:val="18"/>
        </w:rPr>
        <w:t>Schedule A requires that, following publication of the Strategy, any actions taken by the state to remove or address constraints are to be consistent with the measures agreed through the inter-jurisdictional governance procedure for the SDL adjustment mechanism.</w:t>
      </w:r>
    </w:p>
    <w:p w:rsidR="00BB39A0" w:rsidRPr="00161CB9" w:rsidRDefault="00BB39A0" w:rsidP="00BB39A0">
      <w:pPr>
        <w:rPr>
          <w:szCs w:val="18"/>
        </w:rPr>
      </w:pPr>
      <w:r w:rsidRPr="00161CB9">
        <w:rPr>
          <w:szCs w:val="18"/>
        </w:rPr>
        <w:t>New South Wales’ Statement of Assurance noted it is actively participating in Phase 2 of the Constraints Management Strategy and developing business cases for the relaxation of constraints. To develop these business cases, New South Wales has requested funding from the Commonwealth and is following the process agreed through the inter-jurisdictional governance procedure for the Sustainable Diversion Limit adjustment mechanism (NSW</w:t>
      </w:r>
      <w:r w:rsidR="001621EB" w:rsidRPr="00161CB9">
        <w:rPr>
          <w:szCs w:val="18"/>
        </w:rPr>
        <w:t xml:space="preserve"> </w:t>
      </w:r>
      <w:r w:rsidRPr="00161CB9">
        <w:rPr>
          <w:szCs w:val="18"/>
        </w:rPr>
        <w:t>Govt 2015).</w:t>
      </w:r>
    </w:p>
    <w:p w:rsidR="00BB39A0" w:rsidRPr="0069112E" w:rsidRDefault="00BB39A0" w:rsidP="00BB39A0"/>
    <w:p w:rsidR="00BB39A0" w:rsidRPr="0069112E" w:rsidRDefault="00BB39A0" w:rsidP="00BB39A0">
      <w:pPr>
        <w:pStyle w:val="Heading2List"/>
      </w:pPr>
      <w:bookmarkStart w:id="63" w:name="_Toc398202575"/>
      <w:bookmarkStart w:id="64" w:name="_Toc433882361"/>
      <w:r w:rsidRPr="0069112E">
        <w:t>Cooperation in environmental watering</w:t>
      </w:r>
      <w:bookmarkEnd w:id="60"/>
      <w:bookmarkEnd w:id="61"/>
      <w:bookmarkEnd w:id="62"/>
      <w:bookmarkEnd w:id="63"/>
      <w:bookmarkEnd w:id="64"/>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Characteristics of licensed entitlements</w:t>
      </w:r>
    </w:p>
    <w:p w:rsidR="00BB39A0" w:rsidRPr="000C2CBC" w:rsidRDefault="00BB39A0" w:rsidP="00BB39A0">
      <w:pPr>
        <w:pStyle w:val="BodyText"/>
        <w:rPr>
          <w:sz w:val="20"/>
        </w:rPr>
      </w:pPr>
      <w:r w:rsidRPr="000C2CBC">
        <w:rPr>
          <w:sz w:val="20"/>
        </w:rPr>
        <w:t>New South Wales</w:t>
      </w:r>
      <w:r>
        <w:rPr>
          <w:sz w:val="20"/>
        </w:rPr>
        <w:t>’ Statement of A</w:t>
      </w:r>
      <w:r w:rsidRPr="000C2CBC">
        <w:rPr>
          <w:sz w:val="20"/>
        </w:rPr>
        <w:t>ssurance confirmed that characteristics of licence entitlements held for environmental use were not enhanced or diminished relative to like entitlements held and used for other purposes during 201</w:t>
      </w:r>
      <w:r>
        <w:rPr>
          <w:sz w:val="20"/>
        </w:rPr>
        <w:t>4–15</w:t>
      </w:r>
      <w:r w:rsidRPr="000C2CBC">
        <w:rPr>
          <w:sz w:val="20"/>
        </w:rPr>
        <w:t xml:space="preserve"> </w:t>
      </w:r>
      <w:r>
        <w:rPr>
          <w:noProof/>
          <w:sz w:val="20"/>
        </w:rPr>
        <w:t>(NSW Govt 2015</w:t>
      </w:r>
      <w:r w:rsidRPr="000C2CBC">
        <w:rPr>
          <w:noProof/>
          <w:sz w:val="20"/>
        </w:rPr>
        <w:t>)</w:t>
      </w:r>
      <w:r w:rsidRPr="000C2CBC">
        <w:rPr>
          <w:sz w:val="20"/>
        </w:rPr>
        <w:t xml:space="preserve">. </w:t>
      </w:r>
      <w:r w:rsidRPr="009C5AE6">
        <w:rPr>
          <w:sz w:val="20"/>
        </w:rPr>
        <w:t>The MDBA has confirmed that it has not been notified of any restrictions that would constitute discriminatory or preferential treatment for licensed entitlements held f</w:t>
      </w:r>
      <w:r w:rsidR="0037220D">
        <w:rPr>
          <w:sz w:val="20"/>
        </w:rPr>
        <w:t>or environmental use</w:t>
      </w:r>
      <w:r w:rsidRPr="009C5AE6">
        <w:rPr>
          <w:sz w:val="20"/>
        </w:rPr>
        <w:t>.</w:t>
      </w:r>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 xml:space="preserve">Measures implemented to facilitate the use of environmental water </w:t>
      </w:r>
    </w:p>
    <w:p w:rsidR="00216E6E" w:rsidRDefault="00216E6E" w:rsidP="00216E6E">
      <w:pPr>
        <w:spacing w:after="200" w:line="276" w:lineRule="auto"/>
        <w:rPr>
          <w:rFonts w:eastAsia="Calibri"/>
          <w:iCs/>
        </w:rPr>
      </w:pPr>
      <w:r w:rsidRPr="00216E6E">
        <w:rPr>
          <w:rFonts w:eastAsia="Calibri"/>
        </w:rPr>
        <w:t xml:space="preserve">As part of the </w:t>
      </w:r>
      <w:proofErr w:type="spellStart"/>
      <w:r w:rsidRPr="00216E6E">
        <w:rPr>
          <w:rFonts w:eastAsia="Calibri"/>
        </w:rPr>
        <w:t>Nimmie-Caira</w:t>
      </w:r>
      <w:proofErr w:type="spellEnd"/>
      <w:r w:rsidRPr="00216E6E">
        <w:rPr>
          <w:rFonts w:eastAsia="Calibri"/>
        </w:rPr>
        <w:t xml:space="preserve"> Enhanced Environmental Water Delivery Project, an agreement between the Commonwealth and New South Wales governments for the Protection and Re-use of Commonwealth Environmental Water held in the Murrumbidgee Catchment was made on 20 June 2014. Although this project has commenced, New South Wales </w:t>
      </w:r>
      <w:r w:rsidRPr="00216E6E">
        <w:rPr>
          <w:rFonts w:eastAsia="Calibri"/>
          <w:iCs/>
        </w:rPr>
        <w:t xml:space="preserve">has advised that </w:t>
      </w:r>
      <w:r w:rsidRPr="00216E6E">
        <w:rPr>
          <w:rFonts w:eastAsia="Calibri"/>
        </w:rPr>
        <w:t>it will seek to re-negotiate the project agreement because it has formed the view that t</w:t>
      </w:r>
      <w:r w:rsidRPr="00216E6E">
        <w:rPr>
          <w:rFonts w:eastAsia="Calibri"/>
          <w:iCs/>
        </w:rPr>
        <w:t>his work would duplicate its efforts to develop and implement prerequisite policy measures</w:t>
      </w:r>
      <w:r w:rsidR="006D28B8">
        <w:rPr>
          <w:rFonts w:eastAsia="Calibri"/>
          <w:iCs/>
        </w:rPr>
        <w:t xml:space="preserve"> (PPMs)</w:t>
      </w:r>
      <w:r w:rsidRPr="00216E6E">
        <w:rPr>
          <w:rFonts w:eastAsia="Calibri"/>
          <w:iCs/>
        </w:rPr>
        <w:t xml:space="preserve">. Under this approach, the work anticipated under the </w:t>
      </w:r>
      <w:proofErr w:type="spellStart"/>
      <w:r w:rsidRPr="00216E6E">
        <w:rPr>
          <w:rFonts w:eastAsia="Calibri"/>
          <w:iCs/>
        </w:rPr>
        <w:t>Nimmie-Caira</w:t>
      </w:r>
      <w:proofErr w:type="spellEnd"/>
      <w:r w:rsidRPr="00216E6E">
        <w:rPr>
          <w:rFonts w:eastAsia="Calibri"/>
          <w:iCs/>
        </w:rPr>
        <w:t xml:space="preserve"> Agreement would be completed as part of N</w:t>
      </w:r>
      <w:r w:rsidR="002771BB">
        <w:rPr>
          <w:rFonts w:eastAsia="Calibri"/>
          <w:iCs/>
        </w:rPr>
        <w:t xml:space="preserve">ew </w:t>
      </w:r>
      <w:r w:rsidRPr="00216E6E">
        <w:rPr>
          <w:rFonts w:eastAsia="Calibri"/>
          <w:iCs/>
        </w:rPr>
        <w:t>S</w:t>
      </w:r>
      <w:r w:rsidR="002771BB">
        <w:rPr>
          <w:rFonts w:eastAsia="Calibri"/>
          <w:iCs/>
        </w:rPr>
        <w:t xml:space="preserve">outh </w:t>
      </w:r>
      <w:r w:rsidRPr="00216E6E">
        <w:rPr>
          <w:rFonts w:eastAsia="Calibri"/>
          <w:iCs/>
        </w:rPr>
        <w:t>W</w:t>
      </w:r>
      <w:r w:rsidR="002771BB">
        <w:rPr>
          <w:rFonts w:eastAsia="Calibri"/>
          <w:iCs/>
        </w:rPr>
        <w:t>ales</w:t>
      </w:r>
      <w:r w:rsidRPr="00216E6E">
        <w:rPr>
          <w:rFonts w:eastAsia="Calibri"/>
          <w:iCs/>
        </w:rPr>
        <w:t>’ broader prerequisite policy measures implementation plan. N</w:t>
      </w:r>
      <w:r w:rsidR="002771BB">
        <w:rPr>
          <w:rFonts w:eastAsia="Calibri"/>
          <w:iCs/>
        </w:rPr>
        <w:t xml:space="preserve">ew </w:t>
      </w:r>
      <w:r w:rsidRPr="00216E6E">
        <w:rPr>
          <w:rFonts w:eastAsia="Calibri"/>
          <w:iCs/>
        </w:rPr>
        <w:t>S</w:t>
      </w:r>
      <w:r w:rsidR="002771BB">
        <w:rPr>
          <w:rFonts w:eastAsia="Calibri"/>
          <w:iCs/>
        </w:rPr>
        <w:t xml:space="preserve">outh </w:t>
      </w:r>
      <w:r w:rsidRPr="00216E6E">
        <w:rPr>
          <w:rFonts w:eastAsia="Calibri"/>
          <w:iCs/>
        </w:rPr>
        <w:t>W</w:t>
      </w:r>
      <w:r w:rsidR="002771BB">
        <w:rPr>
          <w:rFonts w:eastAsia="Calibri"/>
          <w:iCs/>
        </w:rPr>
        <w:t>ales</w:t>
      </w:r>
      <w:r w:rsidRPr="00216E6E">
        <w:rPr>
          <w:rFonts w:eastAsia="Calibri"/>
          <w:iCs/>
        </w:rPr>
        <w:t xml:space="preserve"> maintains that this approach will be more efficient in terms of modelling effort, and will ensure a consistent approach is applied to all valleys. </w:t>
      </w:r>
    </w:p>
    <w:p w:rsidR="00216E6E" w:rsidRPr="00216E6E" w:rsidRDefault="00216E6E" w:rsidP="00216E6E">
      <w:pPr>
        <w:spacing w:after="200" w:line="276" w:lineRule="auto"/>
        <w:rPr>
          <w:rFonts w:eastAsia="Calibri"/>
          <w:iCs/>
        </w:rPr>
      </w:pPr>
      <w:r w:rsidRPr="00216E6E">
        <w:rPr>
          <w:rFonts w:eastAsia="Calibri"/>
        </w:rPr>
        <w:t xml:space="preserve">While New South Wales has not delivered against the project commitments as per the </w:t>
      </w:r>
      <w:proofErr w:type="spellStart"/>
      <w:r w:rsidRPr="00216E6E">
        <w:rPr>
          <w:rFonts w:eastAsia="Calibri"/>
        </w:rPr>
        <w:t>Nimmie-Caira</w:t>
      </w:r>
      <w:proofErr w:type="spellEnd"/>
      <w:r w:rsidRPr="00216E6E">
        <w:rPr>
          <w:rFonts w:eastAsia="Calibri"/>
        </w:rPr>
        <w:t xml:space="preserve"> Project Agreement, it has undertaken other activities to cooperate in arrangements for Basin Plan environmental watering. For example, New South Wales has submitted its </w:t>
      </w:r>
      <w:r w:rsidRPr="00216E6E">
        <w:rPr>
          <w:rFonts w:eastAsia="Calibri"/>
          <w:iCs/>
        </w:rPr>
        <w:t xml:space="preserve">prerequisite policy measure implementation plan to the MDBA. The </w:t>
      </w:r>
      <w:proofErr w:type="spellStart"/>
      <w:r w:rsidRPr="00216E6E">
        <w:rPr>
          <w:rFonts w:eastAsia="Calibri"/>
          <w:iCs/>
        </w:rPr>
        <w:t>Nimmie-Caira</w:t>
      </w:r>
      <w:proofErr w:type="spellEnd"/>
      <w:r w:rsidRPr="00216E6E">
        <w:rPr>
          <w:rFonts w:eastAsia="Calibri"/>
          <w:iCs/>
        </w:rPr>
        <w:t xml:space="preserve"> also forms part of the proposed package of supply measures under the Sustainable Diversion Limit adjustment mechanism. </w:t>
      </w:r>
      <w:r w:rsidRPr="00216E6E">
        <w:rPr>
          <w:rFonts w:eastAsia="Calibri"/>
        </w:rPr>
        <w:t xml:space="preserve">New South Wales </w:t>
      </w:r>
      <w:r w:rsidRPr="00216E6E">
        <w:rPr>
          <w:rFonts w:eastAsia="Calibri"/>
          <w:iCs/>
        </w:rPr>
        <w:t>submitted a business case for the supply measure project titled ‘</w:t>
      </w:r>
      <w:proofErr w:type="spellStart"/>
      <w:r w:rsidRPr="00216E6E">
        <w:rPr>
          <w:rFonts w:eastAsia="Calibri"/>
          <w:iCs/>
        </w:rPr>
        <w:t>Nimmie-Caira</w:t>
      </w:r>
      <w:proofErr w:type="spellEnd"/>
      <w:r w:rsidRPr="00216E6E">
        <w:rPr>
          <w:rFonts w:eastAsia="Calibri"/>
          <w:iCs/>
        </w:rPr>
        <w:t xml:space="preserve"> Infrastructure Modification Proposal’ on 12 August 2015.</w:t>
      </w:r>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 xml:space="preserve">Annual environmental watering priorities </w:t>
      </w:r>
    </w:p>
    <w:p w:rsidR="00BB39A0" w:rsidRPr="000C2CBC" w:rsidRDefault="00BB39A0" w:rsidP="00BB39A0">
      <w:r w:rsidRPr="000C2CBC">
        <w:t>Consistent with this requirement, New South Wales submitted its Annual Environmen</w:t>
      </w:r>
      <w:r>
        <w:t>tal Watering Priorities for 2015</w:t>
      </w:r>
      <w:r w:rsidRPr="000C2CBC">
        <w:t>–1</w:t>
      </w:r>
      <w:r>
        <w:t>6</w:t>
      </w:r>
      <w:r w:rsidRPr="000C2CBC">
        <w:t xml:space="preserve"> to the MDBA in May</w:t>
      </w:r>
      <w:r>
        <w:t xml:space="preserve"> 2015 (NSW Govt 2015</w:t>
      </w:r>
      <w:r w:rsidRPr="000C2CBC">
        <w:t>). The following annual watering priorities are available on the website of the New South Wales Office of Environment and Heritage</w:t>
      </w:r>
      <w:r w:rsidRPr="000C2CBC">
        <w:rPr>
          <w:rStyle w:val="FootnoteReference"/>
        </w:rPr>
        <w:footnoteReference w:id="2"/>
      </w:r>
      <w:r w:rsidRPr="000C2CBC">
        <w:t>:</w:t>
      </w:r>
    </w:p>
    <w:p w:rsidR="00BB39A0" w:rsidRPr="001E3A21" w:rsidRDefault="00BB39A0" w:rsidP="00BB39A0">
      <w:pPr>
        <w:pStyle w:val="ListParagraph"/>
        <w:numPr>
          <w:ilvl w:val="0"/>
          <w:numId w:val="27"/>
        </w:numPr>
        <w:rPr>
          <w:lang w:eastAsia="en-AU"/>
        </w:rPr>
      </w:pPr>
      <w:r w:rsidRPr="001E3A21">
        <w:rPr>
          <w:lang w:eastAsia="en-AU"/>
        </w:rPr>
        <w:t xml:space="preserve">Gwydir </w:t>
      </w:r>
    </w:p>
    <w:p w:rsidR="00BB39A0" w:rsidRPr="001E3A21" w:rsidRDefault="00BB39A0" w:rsidP="00BB39A0">
      <w:pPr>
        <w:pStyle w:val="ListParagraph"/>
        <w:numPr>
          <w:ilvl w:val="0"/>
          <w:numId w:val="27"/>
        </w:numPr>
        <w:rPr>
          <w:lang w:eastAsia="en-AU"/>
        </w:rPr>
      </w:pPr>
      <w:r w:rsidRPr="001E3A21">
        <w:rPr>
          <w:lang w:eastAsia="en-AU"/>
        </w:rPr>
        <w:t xml:space="preserve">Macquarie </w:t>
      </w:r>
    </w:p>
    <w:p w:rsidR="00BB39A0" w:rsidRPr="001E3A21" w:rsidRDefault="00BB39A0" w:rsidP="00BB39A0">
      <w:pPr>
        <w:pStyle w:val="ListParagraph"/>
        <w:numPr>
          <w:ilvl w:val="0"/>
          <w:numId w:val="27"/>
        </w:numPr>
        <w:rPr>
          <w:lang w:eastAsia="en-AU"/>
        </w:rPr>
      </w:pPr>
      <w:r w:rsidRPr="001E3A21">
        <w:rPr>
          <w:lang w:eastAsia="en-AU"/>
        </w:rPr>
        <w:t xml:space="preserve">Lachlan </w:t>
      </w:r>
    </w:p>
    <w:p w:rsidR="00BB39A0" w:rsidRPr="001E3A21" w:rsidRDefault="00BB39A0" w:rsidP="00BB39A0">
      <w:pPr>
        <w:pStyle w:val="ListParagraph"/>
        <w:numPr>
          <w:ilvl w:val="0"/>
          <w:numId w:val="27"/>
        </w:numPr>
        <w:rPr>
          <w:lang w:eastAsia="en-AU"/>
        </w:rPr>
      </w:pPr>
      <w:r w:rsidRPr="001E3A21">
        <w:rPr>
          <w:lang w:eastAsia="en-AU"/>
        </w:rPr>
        <w:t>Murrumbidgee</w:t>
      </w:r>
    </w:p>
    <w:p w:rsidR="00BB39A0" w:rsidRPr="001E3A21" w:rsidRDefault="00BB39A0" w:rsidP="00BB39A0">
      <w:pPr>
        <w:pStyle w:val="ListParagraph"/>
        <w:numPr>
          <w:ilvl w:val="0"/>
          <w:numId w:val="27"/>
        </w:numPr>
        <w:rPr>
          <w:lang w:eastAsia="en-AU"/>
        </w:rPr>
      </w:pPr>
      <w:r w:rsidRPr="001E3A21">
        <w:rPr>
          <w:lang w:eastAsia="en-AU"/>
        </w:rPr>
        <w:t>Murray and Lower Darling.</w:t>
      </w:r>
    </w:p>
    <w:p w:rsidR="00BB39A0" w:rsidRPr="000C2CBC" w:rsidRDefault="00BB39A0" w:rsidP="00BB39A0">
      <w:pPr>
        <w:autoSpaceDE w:val="0"/>
        <w:autoSpaceDN w:val="0"/>
        <w:adjustRightInd w:val="0"/>
        <w:spacing w:after="0"/>
        <w:rPr>
          <w:rFonts w:eastAsia="Calibri" w:cs="Arial"/>
          <w:color w:val="000000"/>
          <w:lang w:eastAsia="en-AU"/>
        </w:rPr>
      </w:pPr>
      <w:r w:rsidRPr="000C2CBC">
        <w:t>New South Wales</w:t>
      </w:r>
      <w:r>
        <w:t>’</w:t>
      </w:r>
      <w:r w:rsidRPr="000C2CBC">
        <w:t xml:space="preserve"> </w:t>
      </w:r>
      <w:r>
        <w:t>Statement of A</w:t>
      </w:r>
      <w:r w:rsidRPr="000C2CBC">
        <w:t xml:space="preserve">ssurance </w:t>
      </w:r>
      <w:r>
        <w:t>noted that t</w:t>
      </w:r>
      <w:r w:rsidRPr="00CC0569">
        <w:t xml:space="preserve">he </w:t>
      </w:r>
      <w:r w:rsidRPr="000C2CBC">
        <w:t>Annual Environmen</w:t>
      </w:r>
      <w:r>
        <w:t xml:space="preserve">tal Watering Priorities </w:t>
      </w:r>
      <w:r w:rsidRPr="00CC0569">
        <w:t xml:space="preserve">were developed through Environmental Water Advisory Groups (EWAGs) and </w:t>
      </w:r>
      <w:r>
        <w:t>we</w:t>
      </w:r>
      <w:r w:rsidRPr="00CC0569">
        <w:t xml:space="preserve">re derived from annual environmental watering plans. The EWAGs include observers from all holders of environmental water, representatives of agencies responsible for planned environmental water, and representatives of holders of ecological assets (National Parks and Wildlife Services, private </w:t>
      </w:r>
      <w:proofErr w:type="spellStart"/>
      <w:r w:rsidRPr="00CC0569">
        <w:t>Ramsar</w:t>
      </w:r>
      <w:proofErr w:type="spellEnd"/>
      <w:r w:rsidRPr="00CC0569">
        <w:t xml:space="preserve"> site managers), as well as a diversity of peak and local </w:t>
      </w:r>
      <w:r>
        <w:t>stakeholder groups</w:t>
      </w:r>
      <w:r w:rsidRPr="00CC0569">
        <w:t>.</w:t>
      </w:r>
      <w:r w:rsidRPr="000C2CBC">
        <w:rPr>
          <w:rFonts w:eastAsia="Calibri" w:cs="Arial"/>
          <w:color w:val="000000"/>
          <w:lang w:eastAsia="en-AU"/>
        </w:rPr>
        <w:t xml:space="preserve"> </w:t>
      </w:r>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Management of environmental water consistent with Basin Plan</w:t>
      </w:r>
    </w:p>
    <w:p w:rsidR="00BB39A0" w:rsidRPr="00646FE6" w:rsidRDefault="00BB39A0" w:rsidP="000120CA">
      <w:pPr>
        <w:rPr>
          <w:b/>
          <w:i/>
          <w:kern w:val="28"/>
          <w:lang w:eastAsia="en-AU"/>
        </w:rPr>
      </w:pPr>
      <w:r w:rsidRPr="00646FE6">
        <w:t xml:space="preserve">New South Wales has provided a summary table that details the deliveries of both planned and held environmental water undertaken in the state during the 2014-15 assessment </w:t>
      </w:r>
      <w:proofErr w:type="gramStart"/>
      <w:r w:rsidRPr="00646FE6">
        <w:t>period</w:t>
      </w:r>
      <w:proofErr w:type="gramEnd"/>
      <w:r w:rsidRPr="00646FE6">
        <w:t xml:space="preserve">. </w:t>
      </w:r>
    </w:p>
    <w:p w:rsidR="00BB39A0" w:rsidRPr="00646FE6" w:rsidRDefault="00BB39A0" w:rsidP="00BB39A0">
      <w:r w:rsidRPr="00646FE6">
        <w:t>A</w:t>
      </w:r>
      <w:r>
        <w:t>s detailed in New South Wales’ Statement of A</w:t>
      </w:r>
      <w:r w:rsidRPr="00646FE6">
        <w:t>ssurance, he</w:t>
      </w:r>
      <w:r>
        <w:t xml:space="preserve">ld environmental water has </w:t>
      </w:r>
      <w:r w:rsidRPr="00646FE6">
        <w:t>contributed to environmental watering events in New South Wales during 2014-15 and has occurred in collaboration with Commonwealth agencies. Additional information on the environmental watering events undertaken in 2014-15 is provided by the MDBA’s</w:t>
      </w:r>
      <w:r w:rsidRPr="00646FE6">
        <w:rPr>
          <w:i/>
        </w:rPr>
        <w:t xml:space="preserve"> 2015–16 Basin Annual Environmental Watering Priorities </w:t>
      </w:r>
      <w:r w:rsidRPr="00646FE6">
        <w:t>report, including descriptions of ecological responses recorded in the Gwydir, Macquarie and Murrumbidgee systems (MDBA 2015).</w:t>
      </w:r>
    </w:p>
    <w:p w:rsidR="00A02FE8" w:rsidRDefault="00BB39A0" w:rsidP="00A02FE8">
      <w:r w:rsidRPr="00646FE6">
        <w:t xml:space="preserve">Planned environmental water in New South Wales is an element of the state’s existing statutory water sharing plans and within this context New South Wales’ </w:t>
      </w:r>
      <w:r>
        <w:t>Statement of A</w:t>
      </w:r>
      <w:r w:rsidRPr="00646FE6">
        <w:t xml:space="preserve">ssurance </w:t>
      </w:r>
      <w:r>
        <w:t>maintained</w:t>
      </w:r>
      <w:r w:rsidRPr="00646FE6">
        <w:t xml:space="preserve"> that all environmental watering events have been consistently undertaken in line with the Basin Plan’s </w:t>
      </w:r>
      <w:r w:rsidRPr="00646FE6">
        <w:rPr>
          <w:i/>
        </w:rPr>
        <w:t>Principles to be applied in environmental watering</w:t>
      </w:r>
      <w:r w:rsidRPr="00646FE6">
        <w:t xml:space="preserve"> (NSW Govt 2015).</w:t>
      </w:r>
    </w:p>
    <w:p w:rsidR="00A02FE8" w:rsidRPr="00A02FE8" w:rsidRDefault="00A02FE8" w:rsidP="00A02FE8">
      <w:pPr>
        <w:rPr>
          <w:rFonts w:eastAsia="Calibri"/>
        </w:rPr>
      </w:pPr>
      <w:r w:rsidRPr="00A02FE8">
        <w:rPr>
          <w:rFonts w:eastAsia="Calibri"/>
        </w:rPr>
        <w:t>The Department is aware that in March 2015 New South Wales amended planned environmental water arrangements in the</w:t>
      </w:r>
      <w:r w:rsidRPr="00A02FE8">
        <w:rPr>
          <w:rFonts w:eastAsia="Calibri"/>
          <w:i/>
          <w:iCs/>
        </w:rPr>
        <w:t xml:space="preserve"> Upper Namoi and Lower Namoi Regulated River Water Sharing Plan</w:t>
      </w:r>
      <w:r w:rsidRPr="00A02FE8">
        <w:rPr>
          <w:rFonts w:eastAsia="Calibri"/>
          <w:iCs/>
        </w:rPr>
        <w:t>.</w:t>
      </w:r>
      <w:r w:rsidRPr="00A02FE8">
        <w:rPr>
          <w:rFonts w:eastAsia="Calibri"/>
        </w:rPr>
        <w:t xml:space="preserve"> This matter has been the subject of discussions between N</w:t>
      </w:r>
      <w:r w:rsidR="00F11CDF">
        <w:rPr>
          <w:rFonts w:eastAsia="Calibri"/>
        </w:rPr>
        <w:t xml:space="preserve">ew </w:t>
      </w:r>
      <w:r w:rsidRPr="00A02FE8">
        <w:rPr>
          <w:rFonts w:eastAsia="Calibri"/>
        </w:rPr>
        <w:t>S</w:t>
      </w:r>
      <w:r w:rsidR="00F11CDF">
        <w:rPr>
          <w:rFonts w:eastAsia="Calibri"/>
        </w:rPr>
        <w:t xml:space="preserve">outh </w:t>
      </w:r>
      <w:r w:rsidRPr="00A02FE8">
        <w:rPr>
          <w:rFonts w:eastAsia="Calibri"/>
        </w:rPr>
        <w:t>W</w:t>
      </w:r>
      <w:r w:rsidR="00F11CDF">
        <w:rPr>
          <w:rFonts w:eastAsia="Calibri"/>
        </w:rPr>
        <w:t>ales</w:t>
      </w:r>
      <w:r w:rsidRPr="00A02FE8">
        <w:rPr>
          <w:rFonts w:eastAsia="Calibri"/>
        </w:rPr>
        <w:t xml:space="preserve"> and the MDBA regarding the consistency of these changes with the Basin Plan, and New South Wales has provided further information to inform the MDBA’s pending determination on the matter. The Commonwealth Environmental Water Holder has also expressed concern that these changes to supplementary access rules in the Namoi will result in Commonwealth environmental water substituting for the planned environmental water that existed prior to these amendments. </w:t>
      </w:r>
    </w:p>
    <w:p w:rsidR="00BB39A0" w:rsidRDefault="00A02FE8" w:rsidP="00A02FE8">
      <w:pPr>
        <w:rPr>
          <w:rFonts w:eastAsia="Calibri"/>
        </w:rPr>
      </w:pPr>
      <w:r w:rsidRPr="00A02FE8">
        <w:rPr>
          <w:rFonts w:eastAsia="Calibri"/>
        </w:rPr>
        <w:t>Within this context, New South Wales has advised that extractions within the Namoi regulated River will still be managed within the Long Term Average Annual Extraction Limit set within the water sharing plan, and that the total volume of Planned Environmental Water will remain protected by the plan limit. N</w:t>
      </w:r>
      <w:r w:rsidR="00F11CDF">
        <w:rPr>
          <w:rFonts w:eastAsia="Calibri"/>
        </w:rPr>
        <w:t xml:space="preserve">ew </w:t>
      </w:r>
      <w:r w:rsidRPr="00A02FE8">
        <w:rPr>
          <w:rFonts w:eastAsia="Calibri"/>
        </w:rPr>
        <w:t>S</w:t>
      </w:r>
      <w:r w:rsidR="00F11CDF">
        <w:rPr>
          <w:rFonts w:eastAsia="Calibri"/>
        </w:rPr>
        <w:t xml:space="preserve">outh </w:t>
      </w:r>
      <w:r w:rsidRPr="00A02FE8">
        <w:rPr>
          <w:rFonts w:eastAsia="Calibri"/>
        </w:rPr>
        <w:t>W</w:t>
      </w:r>
      <w:r w:rsidR="00F11CDF">
        <w:rPr>
          <w:rFonts w:eastAsia="Calibri"/>
        </w:rPr>
        <w:t>ales</w:t>
      </w:r>
      <w:r w:rsidRPr="00A02FE8">
        <w:rPr>
          <w:rFonts w:eastAsia="Calibri"/>
        </w:rPr>
        <w:t xml:space="preserve"> further advised that the amendment has been made for a trial period only, (i.e. it may revert back to the original wording in 2019), and that during the trial, studies on fish response, primary production and food webs will be undertaken to inform future evaluation of the rule changes. In the event that the MDBA finds these changes to be inconsistent with the Basin Plan (milestone 8(d) refers), the Department would expect New South Wales will work cooperatively with the MDBA during 2015-16  to address any areas of inconsistency that are identified</w:t>
      </w:r>
      <w:r>
        <w:rPr>
          <w:rFonts w:eastAsia="Calibri"/>
        </w:rPr>
        <w:t>.</w:t>
      </w:r>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Consultation on environmental watering</w:t>
      </w:r>
    </w:p>
    <w:p w:rsidR="00BB39A0" w:rsidRPr="00646FE6" w:rsidRDefault="00BB39A0" w:rsidP="00BB39A0">
      <w:r>
        <w:t>New South Wales’ S</w:t>
      </w:r>
      <w:r w:rsidRPr="00646FE6">
        <w:t xml:space="preserve">tatement of </w:t>
      </w:r>
      <w:r>
        <w:t>A</w:t>
      </w:r>
      <w:r w:rsidRPr="00646FE6">
        <w:t>ssurance note</w:t>
      </w:r>
      <w:r>
        <w:t>d</w:t>
      </w:r>
      <w:r w:rsidRPr="00646FE6">
        <w:t xml:space="preserve"> that all approvals for environmental water releases are required to demonstrate adequate community consultation and communication, including notification to all affected landholders. All events have been endorsed by Environmental Water Advisory Groups and decisions to approve environmental watering events are based on demonstration of local community support for the </w:t>
      </w:r>
      <w:r>
        <w:t>event (NSW Govt 2015</w:t>
      </w:r>
      <w:r w:rsidRPr="00646FE6">
        <w:t xml:space="preserve">).  </w:t>
      </w:r>
    </w:p>
    <w:p w:rsidR="00BB39A0" w:rsidRDefault="00BB39A0" w:rsidP="00BB39A0">
      <w:r w:rsidRPr="00A42946">
        <w:t xml:space="preserve">Environmental Watering Advisory Groups (EWAGs) are the primary collaborative forum to guide the use of environmental water in </w:t>
      </w:r>
      <w:r w:rsidRPr="00646FE6">
        <w:t>New South Wales</w:t>
      </w:r>
      <w:r w:rsidRPr="00A42946">
        <w:t>. The objective of each EWAG is to combine the knowledge and experience of stakeholders, including regional community representatives</w:t>
      </w:r>
      <w:r w:rsidR="009E22DE">
        <w:t>,</w:t>
      </w:r>
      <w:r w:rsidRPr="00A42946">
        <w:t xml:space="preserve"> to provide advice on the use of managed environmental water in their catchment. Over time, EWAGs are </w:t>
      </w:r>
      <w:r>
        <w:t xml:space="preserve">also </w:t>
      </w:r>
      <w:r w:rsidRPr="00A42946">
        <w:t>progressively influencing the focus of monitoring and</w:t>
      </w:r>
      <w:r>
        <w:t xml:space="preserve"> </w:t>
      </w:r>
      <w:r w:rsidRPr="00A42946">
        <w:t xml:space="preserve">other forms of scientific investigation. </w:t>
      </w:r>
    </w:p>
    <w:p w:rsidR="00BB39A0" w:rsidRPr="00646FE6" w:rsidRDefault="00BB39A0" w:rsidP="00BB39A0">
      <w:pPr>
        <w:rPr>
          <w:lang w:eastAsia="en-AU"/>
        </w:rPr>
      </w:pPr>
      <w:r w:rsidRPr="00646FE6">
        <w:rPr>
          <w:lang w:eastAsia="en-AU"/>
        </w:rPr>
        <w:t>At present there are three statutory EWAGs:</w:t>
      </w:r>
    </w:p>
    <w:p w:rsidR="00BB39A0" w:rsidRPr="00646FE6" w:rsidRDefault="00F8685D" w:rsidP="00BB39A0">
      <w:pPr>
        <w:pStyle w:val="ListParagraph"/>
        <w:numPr>
          <w:ilvl w:val="0"/>
          <w:numId w:val="25"/>
        </w:numPr>
        <w:rPr>
          <w:lang w:eastAsia="en-AU"/>
        </w:rPr>
      </w:pPr>
      <w:hyperlink r:id="rId9" w:history="1">
        <w:r w:rsidR="00BB39A0" w:rsidRPr="00646FE6">
          <w:rPr>
            <w:color w:val="21598D"/>
            <w:u w:val="single"/>
            <w:lang w:eastAsia="en-AU"/>
          </w:rPr>
          <w:t>Gwydir Environmental Contingency Allowance Operations Advisory Committee</w:t>
        </w:r>
      </w:hyperlink>
    </w:p>
    <w:p w:rsidR="00BB39A0" w:rsidRPr="00646FE6" w:rsidRDefault="00F8685D" w:rsidP="00BB39A0">
      <w:pPr>
        <w:pStyle w:val="ListParagraph"/>
        <w:numPr>
          <w:ilvl w:val="0"/>
          <w:numId w:val="25"/>
        </w:numPr>
        <w:rPr>
          <w:lang w:eastAsia="en-AU"/>
        </w:rPr>
      </w:pPr>
      <w:hyperlink r:id="rId10" w:history="1">
        <w:r w:rsidR="00BB39A0" w:rsidRPr="00646FE6">
          <w:rPr>
            <w:color w:val="21598D"/>
            <w:u w:val="single"/>
            <w:lang w:eastAsia="en-AU"/>
          </w:rPr>
          <w:t>Macquarie and Cudgegong Environmental Flow Reference Group</w:t>
        </w:r>
      </w:hyperlink>
    </w:p>
    <w:p w:rsidR="00BB39A0" w:rsidRPr="00646FE6" w:rsidRDefault="00F8685D" w:rsidP="00BB39A0">
      <w:pPr>
        <w:pStyle w:val="ListParagraph"/>
        <w:numPr>
          <w:ilvl w:val="0"/>
          <w:numId w:val="25"/>
        </w:numPr>
        <w:rPr>
          <w:lang w:eastAsia="en-AU"/>
        </w:rPr>
      </w:pPr>
      <w:hyperlink r:id="rId11" w:history="1">
        <w:r w:rsidR="00BB39A0" w:rsidRPr="00646FE6">
          <w:rPr>
            <w:color w:val="21598D"/>
            <w:u w:val="single"/>
            <w:lang w:eastAsia="en-AU"/>
          </w:rPr>
          <w:t>Murrumbidgee Environmental Water Allowance Reference Group</w:t>
        </w:r>
      </w:hyperlink>
    </w:p>
    <w:p w:rsidR="00BB39A0" w:rsidRPr="00646FE6" w:rsidRDefault="00BB39A0" w:rsidP="00BB39A0">
      <w:pPr>
        <w:rPr>
          <w:lang w:eastAsia="en-AU"/>
        </w:rPr>
      </w:pPr>
      <w:proofErr w:type="gramStart"/>
      <w:r w:rsidRPr="00646FE6">
        <w:rPr>
          <w:lang w:eastAsia="en-AU"/>
        </w:rPr>
        <w:t>and</w:t>
      </w:r>
      <w:proofErr w:type="gramEnd"/>
      <w:r w:rsidRPr="00646FE6">
        <w:rPr>
          <w:lang w:eastAsia="en-AU"/>
        </w:rPr>
        <w:t xml:space="preserve"> two non-statutory EWAGs:</w:t>
      </w:r>
    </w:p>
    <w:p w:rsidR="00BB39A0" w:rsidRPr="00490C77" w:rsidRDefault="00F8685D" w:rsidP="00BB39A0">
      <w:pPr>
        <w:pStyle w:val="ListParagraph"/>
        <w:numPr>
          <w:ilvl w:val="0"/>
          <w:numId w:val="25"/>
        </w:numPr>
        <w:rPr>
          <w:color w:val="21598D"/>
          <w:sz w:val="18"/>
          <w:szCs w:val="18"/>
          <w:u w:val="single"/>
          <w:lang w:eastAsia="en-AU"/>
        </w:rPr>
      </w:pPr>
      <w:hyperlink r:id="rId12" w:history="1">
        <w:r w:rsidR="00BB39A0" w:rsidRPr="00490C77">
          <w:rPr>
            <w:color w:val="21598D"/>
            <w:sz w:val="18"/>
            <w:szCs w:val="18"/>
            <w:u w:val="single"/>
            <w:lang w:eastAsia="en-AU"/>
          </w:rPr>
          <w:t xml:space="preserve">Lachlan </w:t>
        </w:r>
        <w:proofErr w:type="spellStart"/>
        <w:r w:rsidR="00BB39A0" w:rsidRPr="00490C77">
          <w:rPr>
            <w:color w:val="21598D"/>
            <w:sz w:val="18"/>
            <w:szCs w:val="18"/>
            <w:u w:val="single"/>
            <w:lang w:eastAsia="en-AU"/>
          </w:rPr>
          <w:t>Riverine</w:t>
        </w:r>
        <w:proofErr w:type="spellEnd"/>
        <w:r w:rsidR="00BB39A0" w:rsidRPr="00490C77">
          <w:rPr>
            <w:color w:val="21598D"/>
            <w:sz w:val="18"/>
            <w:szCs w:val="18"/>
            <w:u w:val="single"/>
            <w:lang w:eastAsia="en-AU"/>
          </w:rPr>
          <w:t xml:space="preserve"> Working Group</w:t>
        </w:r>
      </w:hyperlink>
    </w:p>
    <w:p w:rsidR="00BB39A0" w:rsidRPr="00646FE6" w:rsidRDefault="00F8685D" w:rsidP="00BB39A0">
      <w:pPr>
        <w:pStyle w:val="ListParagraph"/>
        <w:numPr>
          <w:ilvl w:val="0"/>
          <w:numId w:val="25"/>
        </w:numPr>
        <w:rPr>
          <w:sz w:val="18"/>
          <w:szCs w:val="18"/>
        </w:rPr>
      </w:pPr>
      <w:hyperlink r:id="rId13" w:history="1">
        <w:r w:rsidR="00BB39A0" w:rsidRPr="00490C77">
          <w:rPr>
            <w:color w:val="21598D"/>
            <w:sz w:val="18"/>
            <w:szCs w:val="18"/>
            <w:u w:val="single"/>
            <w:lang w:eastAsia="en-AU"/>
          </w:rPr>
          <w:t>Murray Lower Darling Environmental Water Advisory Group</w:t>
        </w:r>
      </w:hyperlink>
      <w:r w:rsidR="00BB39A0" w:rsidRPr="00490C77">
        <w:rPr>
          <w:sz w:val="18"/>
          <w:szCs w:val="18"/>
        </w:rPr>
        <w:t xml:space="preserve"> </w:t>
      </w:r>
      <w:r w:rsidR="00BB39A0" w:rsidRPr="00646FE6">
        <w:rPr>
          <w:sz w:val="22"/>
          <w:szCs w:val="22"/>
          <w:lang w:eastAsia="en-AU"/>
        </w:rPr>
        <w:t>.</w:t>
      </w:r>
    </w:p>
    <w:p w:rsidR="00BB39A0" w:rsidRDefault="00BB39A0" w:rsidP="00BB39A0">
      <w:pPr>
        <w:pStyle w:val="ListParagraph"/>
        <w:numPr>
          <w:ilvl w:val="0"/>
          <w:numId w:val="0"/>
        </w:numPr>
        <w:autoSpaceDE w:val="0"/>
        <w:autoSpaceDN w:val="0"/>
        <w:adjustRightInd w:val="0"/>
        <w:spacing w:after="0" w:line="240" w:lineRule="auto"/>
        <w:ind w:left="360"/>
        <w:rPr>
          <w:sz w:val="22"/>
          <w:szCs w:val="22"/>
          <w:lang w:eastAsia="en-AU"/>
        </w:rPr>
      </w:pPr>
    </w:p>
    <w:p w:rsidR="00BB39A0" w:rsidRDefault="00BB39A0" w:rsidP="00BB39A0">
      <w:pPr>
        <w:pStyle w:val="ListParagraph"/>
        <w:numPr>
          <w:ilvl w:val="0"/>
          <w:numId w:val="0"/>
        </w:numPr>
        <w:autoSpaceDE w:val="0"/>
        <w:autoSpaceDN w:val="0"/>
        <w:adjustRightInd w:val="0"/>
        <w:spacing w:after="0" w:line="240" w:lineRule="auto"/>
        <w:ind w:left="360"/>
        <w:rPr>
          <w:sz w:val="22"/>
          <w:szCs w:val="22"/>
          <w:lang w:eastAsia="en-AU"/>
        </w:rPr>
      </w:pPr>
    </w:p>
    <w:p w:rsidR="00BB39A0" w:rsidRPr="00A42946" w:rsidRDefault="00BB39A0" w:rsidP="00BB39A0">
      <w:r w:rsidRPr="00A42946">
        <w:t xml:space="preserve">An independent review of EWAGs was commissioned by </w:t>
      </w:r>
      <w:r>
        <w:t>New South Wales</w:t>
      </w:r>
      <w:r w:rsidRPr="00A42946">
        <w:t xml:space="preserve"> to provide objective information on their performance, particularly from diverse stakeholder perspectives. Overall, the review found that EWAGs are a successful mechanism for public participation in environmental water management and reflect an effective localism approach</w:t>
      </w:r>
      <w:r>
        <w:t xml:space="preserve"> (</w:t>
      </w:r>
      <w:proofErr w:type="spellStart"/>
      <w:r>
        <w:t>Lukasiewicz</w:t>
      </w:r>
      <w:proofErr w:type="spellEnd"/>
      <w:r>
        <w:t xml:space="preserve"> &amp; Dare 2014)</w:t>
      </w:r>
      <w:r w:rsidRPr="00A42946">
        <w:t>.</w:t>
      </w:r>
    </w:p>
    <w:p w:rsidR="00BB39A0" w:rsidRPr="000120CA" w:rsidRDefault="00BB39A0" w:rsidP="00BB39A0">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 xml:space="preserve">Long-term environmental watering plans </w:t>
      </w:r>
    </w:p>
    <w:p w:rsidR="00BB39A0" w:rsidRPr="00A42946" w:rsidRDefault="00BB39A0" w:rsidP="00BB39A0">
      <w:pPr>
        <w:rPr>
          <w:szCs w:val="24"/>
        </w:rPr>
      </w:pPr>
      <w:r w:rsidRPr="00A42946">
        <w:rPr>
          <w:szCs w:val="24"/>
        </w:rPr>
        <w:t xml:space="preserve">The Basin-wide environmental watering strategy was </w:t>
      </w:r>
      <w:r w:rsidR="009E22DE">
        <w:rPr>
          <w:szCs w:val="24"/>
        </w:rPr>
        <w:t>r</w:t>
      </w:r>
      <w:r w:rsidRPr="00A42946">
        <w:rPr>
          <w:szCs w:val="24"/>
        </w:rPr>
        <w:t xml:space="preserve">eleased </w:t>
      </w:r>
      <w:r w:rsidR="009E22DE">
        <w:rPr>
          <w:szCs w:val="24"/>
        </w:rPr>
        <w:t>on</w:t>
      </w:r>
      <w:r w:rsidRPr="00A42946">
        <w:rPr>
          <w:szCs w:val="24"/>
        </w:rPr>
        <w:t xml:space="preserve"> 24 November 2014. Therefore, there is no assessment of this milestone because the specified 12 month period has not yet elapsed.</w:t>
      </w:r>
    </w:p>
    <w:p w:rsidR="00BB39A0" w:rsidRPr="0069112E" w:rsidRDefault="00BB39A0" w:rsidP="00BB39A0"/>
    <w:p w:rsidR="00BB39A0" w:rsidRPr="0069112E" w:rsidRDefault="00BB39A0" w:rsidP="00BB39A0">
      <w:pPr>
        <w:pStyle w:val="Heading2List"/>
      </w:pPr>
      <w:bookmarkStart w:id="65" w:name="_Toc366575421"/>
      <w:bookmarkStart w:id="66" w:name="_Toc367728659"/>
      <w:bookmarkStart w:id="67" w:name="_Toc367783031"/>
      <w:bookmarkStart w:id="68" w:name="_Toc398202576"/>
      <w:bookmarkStart w:id="69" w:name="_Toc433882362"/>
      <w:r w:rsidRPr="0069112E">
        <w:t>Supply measures projects</w:t>
      </w:r>
      <w:bookmarkEnd w:id="65"/>
      <w:bookmarkEnd w:id="66"/>
      <w:bookmarkEnd w:id="67"/>
      <w:bookmarkEnd w:id="68"/>
      <w:bookmarkEnd w:id="69"/>
    </w:p>
    <w:p w:rsidR="00BB39A0" w:rsidRPr="00A42946" w:rsidRDefault="00BB39A0" w:rsidP="00BB39A0">
      <w:pPr>
        <w:rPr>
          <w:szCs w:val="18"/>
        </w:rPr>
      </w:pPr>
      <w:r w:rsidRPr="00A42946">
        <w:rPr>
          <w:szCs w:val="18"/>
        </w:rPr>
        <w:t xml:space="preserve">New South Wales’ Statement of Assurance noted that descriptions of potential supply measure projects have been provided to the Sustainable Diversion Limit Adjustment Advisory Committee. A summary of SDL adjustment project proposals that have </w:t>
      </w:r>
      <w:r w:rsidR="00043465">
        <w:rPr>
          <w:szCs w:val="18"/>
        </w:rPr>
        <w:t xml:space="preserve">to date </w:t>
      </w:r>
      <w:r w:rsidRPr="00A42946">
        <w:rPr>
          <w:szCs w:val="18"/>
        </w:rPr>
        <w:t>been agreed by the Committee to proceed to business case development is publicly available on the MDBA's website</w:t>
      </w:r>
      <w:r w:rsidRPr="00A42946">
        <w:rPr>
          <w:rStyle w:val="FootnoteReference"/>
          <w:szCs w:val="18"/>
        </w:rPr>
        <w:footnoteReference w:id="3"/>
      </w:r>
      <w:r w:rsidRPr="00A42946">
        <w:rPr>
          <w:szCs w:val="18"/>
        </w:rPr>
        <w:t xml:space="preserve">. </w:t>
      </w:r>
    </w:p>
    <w:p w:rsidR="00BB39A0" w:rsidRDefault="00BB39A0" w:rsidP="00BB39A0"/>
    <w:p w:rsidR="00BB39A0" w:rsidRDefault="00BB39A0" w:rsidP="00BB39A0"/>
    <w:p w:rsidR="00BB39A0" w:rsidRDefault="00BB39A0" w:rsidP="00BB39A0"/>
    <w:p w:rsidR="00BB39A0" w:rsidRDefault="00BB39A0" w:rsidP="00BB39A0"/>
    <w:p w:rsidR="00BB39A0" w:rsidRDefault="00BB39A0" w:rsidP="00BB39A0"/>
    <w:p w:rsidR="00BB39A0" w:rsidRDefault="00BB39A0" w:rsidP="004936D9"/>
    <w:p w:rsidR="00DE716B" w:rsidRDefault="00DE716B" w:rsidP="00A33CCD">
      <w:pPr>
        <w:pStyle w:val="BodyText"/>
      </w:pPr>
    </w:p>
    <w:p w:rsidR="004425A6" w:rsidRPr="005649E9" w:rsidRDefault="004425A6" w:rsidP="004425A6">
      <w:pPr>
        <w:pStyle w:val="Heading1List"/>
      </w:pPr>
      <w:bookmarkStart w:id="70" w:name="_Toc371506153"/>
      <w:bookmarkStart w:id="71" w:name="_Toc396746165"/>
      <w:bookmarkStart w:id="72" w:name="_Toc433882363"/>
      <w:bookmarkStart w:id="73" w:name="_Toc396746171"/>
      <w:bookmarkStart w:id="74" w:name="_Toc367728667"/>
      <w:bookmarkEnd w:id="16"/>
      <w:bookmarkEnd w:id="17"/>
      <w:bookmarkEnd w:id="28"/>
      <w:bookmarkEnd w:id="29"/>
      <w:bookmarkEnd w:id="30"/>
      <w:bookmarkEnd w:id="31"/>
      <w:r>
        <w:t>Assessment for Queensland</w:t>
      </w:r>
      <w:bookmarkEnd w:id="70"/>
      <w:bookmarkEnd w:id="71"/>
      <w:bookmarkEnd w:id="72"/>
    </w:p>
    <w:p w:rsidR="004425A6" w:rsidRPr="005649E9" w:rsidRDefault="004425A6" w:rsidP="004425A6">
      <w:pPr>
        <w:pStyle w:val="Heading2List"/>
      </w:pPr>
      <w:bookmarkStart w:id="75" w:name="_Toc371506154"/>
      <w:bookmarkStart w:id="76" w:name="_Toc396746166"/>
      <w:bookmarkStart w:id="77" w:name="_Toc433882364"/>
      <w:r w:rsidRPr="005649E9">
        <w:t>Summary of findings</w:t>
      </w:r>
      <w:bookmarkEnd w:id="75"/>
      <w:bookmarkEnd w:id="76"/>
      <w:bookmarkEnd w:id="77"/>
    </w:p>
    <w:p w:rsidR="000120CA" w:rsidRPr="00577410" w:rsidRDefault="000120CA" w:rsidP="000120CA">
      <w:r w:rsidRPr="00577410">
        <w:t>Findings for Queensland are summarised below in the order they appear in the agreement. Full findings and details of the assessment follow in subsequent sections of this chapter.</w:t>
      </w:r>
    </w:p>
    <w:p w:rsidR="000120CA" w:rsidRPr="00577410" w:rsidRDefault="000120CA" w:rsidP="000120CA">
      <w:pPr>
        <w:pStyle w:val="TableName"/>
        <w:rPr>
          <w:sz w:val="20"/>
          <w:lang w:val="en-AU"/>
        </w:rPr>
      </w:pPr>
      <w:bookmarkStart w:id="78" w:name="_Toc396745828"/>
      <w:bookmarkStart w:id="79" w:name="_Toc400617363"/>
      <w:r w:rsidRPr="00577410">
        <w:rPr>
          <w:sz w:val="20"/>
          <w:lang w:val="en-AU"/>
        </w:rPr>
        <w:t>Table 4.1: Summary of findings for Queensland</w:t>
      </w:r>
      <w:bookmarkEnd w:id="78"/>
      <w:bookmarkEnd w:id="79"/>
    </w:p>
    <w:tbl>
      <w:tblPr>
        <w:tblW w:w="4937" w:type="pct"/>
        <w:tblInd w:w="108" w:type="dxa"/>
        <w:tblBorders>
          <w:top w:val="single" w:sz="4" w:space="0" w:color="0D223F"/>
          <w:bottom w:val="single" w:sz="4" w:space="0" w:color="0D223F"/>
          <w:insideH w:val="single" w:sz="4" w:space="0" w:color="0D223F"/>
        </w:tblBorders>
        <w:tblLook w:val="04A0"/>
      </w:tblPr>
      <w:tblGrid>
        <w:gridCol w:w="3335"/>
        <w:gridCol w:w="3333"/>
        <w:gridCol w:w="1936"/>
      </w:tblGrid>
      <w:tr w:rsidR="000120CA" w:rsidRPr="00712173" w:rsidTr="000120CA">
        <w:trPr>
          <w:trHeight w:val="60"/>
          <w:tblHeader/>
        </w:trPr>
        <w:tc>
          <w:tcPr>
            <w:tcW w:w="1938" w:type="pct"/>
            <w:tcBorders>
              <w:top w:val="nil"/>
              <w:bottom w:val="single" w:sz="4" w:space="0" w:color="0D223F"/>
            </w:tcBorders>
            <w:shd w:val="clear" w:color="auto" w:fill="0D223F"/>
          </w:tcPr>
          <w:p w:rsidR="000120CA" w:rsidRPr="00712173" w:rsidRDefault="000120CA" w:rsidP="000120CA">
            <w:pPr>
              <w:pStyle w:val="TableHeading"/>
              <w:rPr>
                <w:lang w:val="en-AU"/>
              </w:rPr>
            </w:pPr>
            <w:r w:rsidRPr="0075157A">
              <w:rPr>
                <w:lang w:val="en-AU"/>
              </w:rPr>
              <w:t>National Partnership commitments</w:t>
            </w:r>
          </w:p>
        </w:tc>
        <w:tc>
          <w:tcPr>
            <w:tcW w:w="1937" w:type="pct"/>
            <w:tcBorders>
              <w:top w:val="nil"/>
              <w:bottom w:val="single" w:sz="4" w:space="0" w:color="0D223F"/>
            </w:tcBorders>
            <w:shd w:val="clear" w:color="auto" w:fill="0D223F"/>
          </w:tcPr>
          <w:p w:rsidR="000120CA" w:rsidRPr="005134D4" w:rsidRDefault="000120CA" w:rsidP="000120CA">
            <w:pPr>
              <w:pStyle w:val="TableHeading"/>
              <w:rPr>
                <w:lang w:val="en-AU"/>
              </w:rPr>
            </w:pPr>
            <w:r w:rsidRPr="005134D4">
              <w:rPr>
                <w:lang w:val="en-AU"/>
              </w:rPr>
              <w:t>Assessment summary</w:t>
            </w:r>
          </w:p>
        </w:tc>
        <w:tc>
          <w:tcPr>
            <w:tcW w:w="1125" w:type="pct"/>
            <w:tcBorders>
              <w:top w:val="nil"/>
              <w:bottom w:val="single" w:sz="4" w:space="0" w:color="0D223F"/>
            </w:tcBorders>
            <w:shd w:val="clear" w:color="auto" w:fill="0D223F"/>
          </w:tcPr>
          <w:p w:rsidR="000120CA" w:rsidRPr="00712173" w:rsidRDefault="000120CA" w:rsidP="000120CA">
            <w:pPr>
              <w:pStyle w:val="TableHeading"/>
              <w:rPr>
                <w:lang w:val="en-AU"/>
              </w:rPr>
            </w:pPr>
            <w:r w:rsidRPr="0075157A">
              <w:rPr>
                <w:lang w:val="en-AU"/>
              </w:rPr>
              <w:t>Finding</w:t>
            </w:r>
            <w:r>
              <w:rPr>
                <w:lang w:val="en-AU"/>
              </w:rPr>
              <w:t xml:space="preserve"> </w:t>
            </w:r>
          </w:p>
        </w:tc>
      </w:tr>
      <w:tr w:rsidR="000120CA" w:rsidRPr="0075319D" w:rsidTr="000120CA">
        <w:trPr>
          <w:trHeight w:val="60"/>
        </w:trPr>
        <w:tc>
          <w:tcPr>
            <w:tcW w:w="1938" w:type="pct"/>
            <w:tcBorders>
              <w:top w:val="single" w:sz="4" w:space="0" w:color="0D223F"/>
              <w:bottom w:val="single" w:sz="4" w:space="0" w:color="0D223F"/>
              <w:right w:val="single" w:sz="4" w:space="0" w:color="0D223F"/>
            </w:tcBorders>
            <w:shd w:val="clear" w:color="auto" w:fill="auto"/>
          </w:tcPr>
          <w:p w:rsidR="000120CA" w:rsidRPr="009E22DE" w:rsidRDefault="000120CA" w:rsidP="000120CA">
            <w:pPr>
              <w:pStyle w:val="TableTextind1"/>
            </w:pPr>
            <w:r w:rsidRPr="009E22DE">
              <w:t>6)</w:t>
            </w:r>
            <w:r w:rsidRPr="009E22DE">
              <w:tab/>
              <w:t>The state has supported the Commonwealth in bridging the gap</w:t>
            </w:r>
            <w:r w:rsidR="009E22DE">
              <w:t>.</w:t>
            </w:r>
          </w:p>
          <w:p w:rsidR="000120CA" w:rsidRPr="009E22DE" w:rsidRDefault="000120CA" w:rsidP="000120CA">
            <w:pPr>
              <w:pStyle w:val="TableTextind1"/>
            </w:pPr>
          </w:p>
        </w:tc>
        <w:tc>
          <w:tcPr>
            <w:tcW w:w="1937" w:type="pct"/>
            <w:tcBorders>
              <w:top w:val="single" w:sz="4" w:space="0" w:color="0D223F"/>
              <w:bottom w:val="single" w:sz="4" w:space="0" w:color="0D223F"/>
              <w:right w:val="single" w:sz="4" w:space="0" w:color="0D223F"/>
            </w:tcBorders>
            <w:shd w:val="clear" w:color="auto" w:fill="auto"/>
          </w:tcPr>
          <w:p w:rsidR="000120CA" w:rsidRPr="0075319D" w:rsidRDefault="000120CA" w:rsidP="000120CA">
            <w:pPr>
              <w:pStyle w:val="ListBullet"/>
              <w:ind w:left="253" w:hanging="283"/>
            </w:pPr>
            <w:r w:rsidRPr="0075319D">
              <w:t xml:space="preserve">Queensland has made progress in removing volumetric or other barriers to permanent trade out of water irrigation areas that are inconsistent with the Basin Plan water trading rules. </w:t>
            </w:r>
          </w:p>
          <w:p w:rsidR="000120CA" w:rsidRPr="0075319D" w:rsidRDefault="000120CA" w:rsidP="000120CA">
            <w:pPr>
              <w:pStyle w:val="ListBullet"/>
              <w:ind w:left="253" w:hanging="283"/>
            </w:pPr>
            <w:r w:rsidRPr="0075319D">
              <w:t xml:space="preserve">Queensland did not introduce any restrictions on the trading of water access entitlements. </w:t>
            </w:r>
          </w:p>
          <w:p w:rsidR="000120CA" w:rsidRPr="0075319D" w:rsidRDefault="000120CA" w:rsidP="000120CA">
            <w:pPr>
              <w:pStyle w:val="ListBullet"/>
              <w:ind w:left="253" w:hanging="283"/>
            </w:pPr>
            <w:r w:rsidRPr="0075319D">
              <w:t xml:space="preserve">Queensland did not take any action to impede Commonwealth measures to acquire water for environmental purposes. </w:t>
            </w:r>
          </w:p>
          <w:p w:rsidR="000120CA" w:rsidRPr="0075319D" w:rsidRDefault="000120CA" w:rsidP="000120CA">
            <w:pPr>
              <w:pStyle w:val="ListBullet"/>
              <w:ind w:left="253" w:hanging="283"/>
            </w:pPr>
            <w:r w:rsidRPr="0075319D">
              <w:t>Applications for water entitlement and allocation trades were processed consistent with the agreed service standards for trade processing times.</w:t>
            </w:r>
          </w:p>
          <w:p w:rsidR="000120CA" w:rsidRPr="0075319D" w:rsidRDefault="000120CA" w:rsidP="00901741">
            <w:pPr>
              <w:pStyle w:val="ListBullet"/>
              <w:ind w:left="253" w:hanging="283"/>
            </w:pPr>
            <w:r w:rsidRPr="0075319D">
              <w:t>Queensland entitlements in supplemented (regulated) surface water systems are consistent with the provisions of NWI clauses 28–32.</w:t>
            </w:r>
          </w:p>
        </w:tc>
        <w:tc>
          <w:tcPr>
            <w:tcW w:w="1125" w:type="pct"/>
            <w:tcBorders>
              <w:top w:val="single" w:sz="4" w:space="0" w:color="0D223F"/>
              <w:bottom w:val="single" w:sz="4" w:space="0" w:color="0D223F"/>
            </w:tcBorders>
            <w:shd w:val="clear" w:color="auto" w:fill="auto"/>
          </w:tcPr>
          <w:p w:rsidR="000120CA" w:rsidRPr="0075319D" w:rsidRDefault="0075319D" w:rsidP="000120CA">
            <w:pPr>
              <w:pStyle w:val="TableText"/>
            </w:pPr>
            <w:r w:rsidRPr="00C63464">
              <w:rPr>
                <w:sz w:val="20"/>
                <w:szCs w:val="20"/>
              </w:rPr>
              <w:t xml:space="preserve">Commitment </w:t>
            </w:r>
            <w:r>
              <w:rPr>
                <w:sz w:val="20"/>
                <w:szCs w:val="20"/>
              </w:rPr>
              <w:t>partially</w:t>
            </w:r>
            <w:r w:rsidRPr="00C63464">
              <w:rPr>
                <w:sz w:val="20"/>
                <w:szCs w:val="20"/>
              </w:rPr>
              <w:t xml:space="preserve"> met</w:t>
            </w:r>
            <w:r>
              <w:rPr>
                <w:sz w:val="20"/>
                <w:szCs w:val="20"/>
              </w:rPr>
              <w:t>. Steps and activities are underway to fully meet the milestone</w:t>
            </w:r>
            <w:r w:rsidR="009E22DE">
              <w:rPr>
                <w:sz w:val="20"/>
                <w:szCs w:val="20"/>
              </w:rPr>
              <w:t>.</w:t>
            </w:r>
          </w:p>
        </w:tc>
      </w:tr>
      <w:tr w:rsidR="000120CA" w:rsidRPr="0054360B" w:rsidTr="000120CA">
        <w:trPr>
          <w:trHeight w:val="60"/>
        </w:trPr>
        <w:tc>
          <w:tcPr>
            <w:tcW w:w="1938" w:type="pct"/>
            <w:tcBorders>
              <w:top w:val="single" w:sz="4" w:space="0" w:color="0D223F"/>
              <w:bottom w:val="single" w:sz="4" w:space="0" w:color="0D223F"/>
              <w:right w:val="single" w:sz="4" w:space="0" w:color="0D223F"/>
            </w:tcBorders>
            <w:shd w:val="clear" w:color="auto" w:fill="auto"/>
          </w:tcPr>
          <w:p w:rsidR="000120CA" w:rsidRPr="009E22DE" w:rsidRDefault="000120CA" w:rsidP="000120CA">
            <w:pPr>
              <w:pStyle w:val="TableTextind1"/>
              <w:rPr>
                <w:szCs w:val="20"/>
              </w:rPr>
            </w:pPr>
            <w:r w:rsidRPr="009E22DE">
              <w:rPr>
                <w:szCs w:val="20"/>
              </w:rPr>
              <w:t>7)</w:t>
            </w:r>
            <w:r w:rsidRPr="009E22DE">
              <w:rPr>
                <w:szCs w:val="20"/>
              </w:rP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r w:rsidR="009E22DE">
              <w:rPr>
                <w:szCs w:val="20"/>
              </w:rPr>
              <w:t>.</w:t>
            </w:r>
          </w:p>
        </w:tc>
        <w:tc>
          <w:tcPr>
            <w:tcW w:w="1937" w:type="pct"/>
            <w:tcBorders>
              <w:top w:val="single" w:sz="4" w:space="0" w:color="0D223F"/>
              <w:bottom w:val="single" w:sz="4" w:space="0" w:color="0D223F"/>
              <w:right w:val="single" w:sz="4" w:space="0" w:color="0D223F"/>
            </w:tcBorders>
            <w:shd w:val="clear" w:color="auto" w:fill="auto"/>
          </w:tcPr>
          <w:p w:rsidR="000120CA" w:rsidRPr="009F42A6" w:rsidRDefault="000120CA" w:rsidP="000120CA">
            <w:pPr>
              <w:pStyle w:val="ListBullet"/>
              <w:ind w:left="253" w:hanging="283"/>
            </w:pPr>
            <w:r w:rsidRPr="009F42A6">
              <w:t>Not applicable to Queensland</w:t>
            </w:r>
            <w:r>
              <w:t>.</w:t>
            </w:r>
          </w:p>
        </w:tc>
        <w:tc>
          <w:tcPr>
            <w:tcW w:w="1125" w:type="pct"/>
            <w:tcBorders>
              <w:top w:val="single" w:sz="4" w:space="0" w:color="0D223F"/>
              <w:bottom w:val="single" w:sz="4" w:space="0" w:color="0D223F"/>
            </w:tcBorders>
            <w:shd w:val="clear" w:color="auto" w:fill="auto"/>
          </w:tcPr>
          <w:p w:rsidR="000120CA" w:rsidRPr="00175F1A" w:rsidRDefault="009E22DE" w:rsidP="000120CA">
            <w:pPr>
              <w:pStyle w:val="TableText"/>
              <w:rPr>
                <w:highlight w:val="yellow"/>
              </w:rPr>
            </w:pPr>
            <w:r>
              <w:rPr>
                <w:sz w:val="20"/>
              </w:rPr>
              <w:t>Not applicable.</w:t>
            </w:r>
          </w:p>
        </w:tc>
      </w:tr>
      <w:tr w:rsidR="000120CA" w:rsidRPr="0054360B" w:rsidTr="000120CA">
        <w:trPr>
          <w:trHeight w:val="60"/>
        </w:trPr>
        <w:tc>
          <w:tcPr>
            <w:tcW w:w="1938" w:type="pct"/>
            <w:tcBorders>
              <w:top w:val="single" w:sz="4" w:space="0" w:color="0D223F"/>
              <w:bottom w:val="single" w:sz="4" w:space="0" w:color="0D223F"/>
              <w:right w:val="single" w:sz="4" w:space="0" w:color="0D223F"/>
            </w:tcBorders>
            <w:shd w:val="clear" w:color="auto" w:fill="auto"/>
          </w:tcPr>
          <w:p w:rsidR="000120CA" w:rsidRPr="009E22DE" w:rsidRDefault="000120CA" w:rsidP="000120CA">
            <w:pPr>
              <w:pStyle w:val="TableTextind1"/>
              <w:rPr>
                <w:szCs w:val="20"/>
              </w:rPr>
            </w:pPr>
            <w:r w:rsidRPr="009E22DE">
              <w:rPr>
                <w:szCs w:val="20"/>
              </w:rPr>
              <w:t>8)</w:t>
            </w:r>
            <w:r w:rsidRPr="009E22DE">
              <w:rPr>
                <w:szCs w:val="20"/>
              </w:rPr>
              <w:tab/>
              <w:t>The state has cooperated in arrangements for Basin Plan environmental watering</w:t>
            </w:r>
            <w:r w:rsidR="009E22DE">
              <w:rPr>
                <w:szCs w:val="20"/>
              </w:rPr>
              <w:t>.</w:t>
            </w:r>
          </w:p>
        </w:tc>
        <w:tc>
          <w:tcPr>
            <w:tcW w:w="1937" w:type="pct"/>
            <w:tcBorders>
              <w:top w:val="single" w:sz="4" w:space="0" w:color="0D223F"/>
              <w:bottom w:val="single" w:sz="4" w:space="0" w:color="0D223F"/>
              <w:right w:val="single" w:sz="4" w:space="0" w:color="0D223F"/>
            </w:tcBorders>
            <w:shd w:val="clear" w:color="auto" w:fill="auto"/>
          </w:tcPr>
          <w:p w:rsidR="000120CA" w:rsidRPr="00181774" w:rsidRDefault="000120CA" w:rsidP="000120CA">
            <w:pPr>
              <w:pStyle w:val="ListBullet"/>
              <w:ind w:left="253" w:hanging="253"/>
            </w:pPr>
            <w:r>
              <w:t>The c</w:t>
            </w:r>
            <w:r w:rsidRPr="00535592">
              <w:t xml:space="preserve">haracteristics of licensed entitlements held for environmental </w:t>
            </w:r>
            <w:r>
              <w:t xml:space="preserve">water </w:t>
            </w:r>
            <w:r w:rsidRPr="00535592">
              <w:t xml:space="preserve">use </w:t>
            </w:r>
            <w:r>
              <w:t xml:space="preserve">in Queensland </w:t>
            </w:r>
            <w:r w:rsidRPr="00535592">
              <w:t>have not been enhanced or diminished relative to like entitlements held and used for other purposes</w:t>
            </w:r>
            <w:r>
              <w:t xml:space="preserve">. </w:t>
            </w:r>
          </w:p>
          <w:p w:rsidR="000120CA" w:rsidRPr="009F42A6" w:rsidRDefault="000120CA" w:rsidP="000120CA">
            <w:pPr>
              <w:pStyle w:val="ListBullet"/>
              <w:ind w:left="253" w:hanging="253"/>
            </w:pPr>
            <w:r w:rsidRPr="009F42A6">
              <w:t xml:space="preserve">Queensland </w:t>
            </w:r>
            <w:r>
              <w:t xml:space="preserve">has </w:t>
            </w:r>
            <w:r w:rsidRPr="009F42A6">
              <w:t xml:space="preserve">provided </w:t>
            </w:r>
            <w:r>
              <w:t>a</w:t>
            </w:r>
            <w:r w:rsidRPr="009F42A6">
              <w:t xml:space="preserve">nnual </w:t>
            </w:r>
            <w:r>
              <w:t>e</w:t>
            </w:r>
            <w:r w:rsidRPr="009F42A6">
              <w:t xml:space="preserve">nvironmental </w:t>
            </w:r>
            <w:r>
              <w:t>w</w:t>
            </w:r>
            <w:r w:rsidRPr="009F42A6">
              <w:t xml:space="preserve">atering </w:t>
            </w:r>
            <w:r>
              <w:t>p</w:t>
            </w:r>
            <w:r w:rsidRPr="009F42A6">
              <w:t>riorities</w:t>
            </w:r>
            <w:r>
              <w:t xml:space="preserve">, </w:t>
            </w:r>
            <w:r w:rsidRPr="009F42A6">
              <w:t>consistent with the Basin Plan, to the MDBA.</w:t>
            </w:r>
            <w:r w:rsidRPr="009F42A6">
              <w:rPr>
                <w:i/>
              </w:rPr>
              <w:t xml:space="preserve"> </w:t>
            </w:r>
          </w:p>
          <w:p w:rsidR="000120CA" w:rsidRPr="00490C77" w:rsidRDefault="000120CA" w:rsidP="000120CA">
            <w:pPr>
              <w:pStyle w:val="ListBullet"/>
              <w:ind w:left="253" w:hanging="253"/>
            </w:pPr>
            <w:r>
              <w:t>Queensland</w:t>
            </w:r>
            <w:r w:rsidRPr="00490C77">
              <w:t xml:space="preserve"> </w:t>
            </w:r>
            <w:r w:rsidR="009E22DE">
              <w:t xml:space="preserve">consistently </w:t>
            </w:r>
            <w:r w:rsidRPr="00490C77">
              <w:t xml:space="preserve">applied the Basin Plan’s </w:t>
            </w:r>
            <w:r w:rsidRPr="00CF474C">
              <w:rPr>
                <w:i/>
              </w:rPr>
              <w:t>Principles to be applied in environmental watering</w:t>
            </w:r>
            <w:r w:rsidRPr="00490C77">
              <w:t xml:space="preserve"> during 201</w:t>
            </w:r>
            <w:r>
              <w:t>4</w:t>
            </w:r>
            <w:r w:rsidRPr="00490C77">
              <w:t>–1</w:t>
            </w:r>
            <w:r>
              <w:t>5</w:t>
            </w:r>
            <w:r w:rsidRPr="00490C77">
              <w:t xml:space="preserve">.  </w:t>
            </w:r>
          </w:p>
          <w:p w:rsidR="000120CA" w:rsidRPr="009F42A6" w:rsidRDefault="000120CA" w:rsidP="000120CA">
            <w:pPr>
              <w:pStyle w:val="ListBullet"/>
              <w:ind w:left="253" w:hanging="253"/>
            </w:pPr>
            <w:r w:rsidRPr="009F42A6">
              <w:t xml:space="preserve">Environmental watering has occurred </w:t>
            </w:r>
            <w:r>
              <w:t>with</w:t>
            </w:r>
            <w:r w:rsidRPr="009F42A6">
              <w:t xml:space="preserve"> regard to the views of local communities and persons materially affected by the management of environmental water.</w:t>
            </w:r>
          </w:p>
        </w:tc>
        <w:tc>
          <w:tcPr>
            <w:tcW w:w="1125" w:type="pct"/>
            <w:tcBorders>
              <w:top w:val="single" w:sz="4" w:space="0" w:color="0D223F"/>
              <w:bottom w:val="single" w:sz="4" w:space="0" w:color="0D223F"/>
            </w:tcBorders>
            <w:shd w:val="clear" w:color="auto" w:fill="auto"/>
          </w:tcPr>
          <w:p w:rsidR="000120CA" w:rsidRPr="00175F1A" w:rsidRDefault="000120CA" w:rsidP="000120CA">
            <w:pPr>
              <w:pStyle w:val="TableText"/>
              <w:rPr>
                <w:highlight w:val="yellow"/>
              </w:rPr>
            </w:pPr>
            <w:r w:rsidRPr="000C2CBC">
              <w:rPr>
                <w:sz w:val="20"/>
              </w:rPr>
              <w:t>Commitment met</w:t>
            </w:r>
            <w:r w:rsidR="009E22DE">
              <w:rPr>
                <w:sz w:val="20"/>
              </w:rPr>
              <w:t>.</w:t>
            </w:r>
          </w:p>
        </w:tc>
      </w:tr>
      <w:tr w:rsidR="000120CA" w:rsidRPr="0054360B" w:rsidTr="000120CA">
        <w:trPr>
          <w:trHeight w:val="60"/>
        </w:trPr>
        <w:tc>
          <w:tcPr>
            <w:tcW w:w="1938" w:type="pct"/>
            <w:tcBorders>
              <w:top w:val="single" w:sz="4" w:space="0" w:color="0D223F"/>
              <w:bottom w:val="single" w:sz="4" w:space="0" w:color="0D223F"/>
              <w:right w:val="single" w:sz="4" w:space="0" w:color="0D223F"/>
            </w:tcBorders>
            <w:shd w:val="clear" w:color="auto" w:fill="auto"/>
          </w:tcPr>
          <w:p w:rsidR="000120CA" w:rsidRPr="009E22DE" w:rsidRDefault="000120CA" w:rsidP="000120CA">
            <w:pPr>
              <w:pStyle w:val="TableTextind1"/>
              <w:rPr>
                <w:szCs w:val="20"/>
              </w:rPr>
            </w:pPr>
            <w:r w:rsidRPr="009E22DE">
              <w:rPr>
                <w:szCs w:val="20"/>
              </w:rPr>
              <w:t>9)</w:t>
            </w:r>
            <w:r w:rsidRPr="009E22DE">
              <w:rPr>
                <w:szCs w:val="20"/>
              </w:rPr>
              <w:tab/>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rsidR="000120CA" w:rsidRPr="009F42A6" w:rsidRDefault="000120CA" w:rsidP="000120CA">
            <w:pPr>
              <w:pStyle w:val="ListBullet"/>
              <w:ind w:left="253" w:hanging="253"/>
            </w:pPr>
            <w:r w:rsidRPr="009F42A6">
              <w:t>Not applicable to Queensland</w:t>
            </w:r>
            <w:r>
              <w:t>.</w:t>
            </w:r>
          </w:p>
        </w:tc>
        <w:tc>
          <w:tcPr>
            <w:tcW w:w="1125" w:type="pct"/>
            <w:tcBorders>
              <w:top w:val="single" w:sz="4" w:space="0" w:color="0D223F"/>
              <w:bottom w:val="single" w:sz="4" w:space="0" w:color="0D223F"/>
            </w:tcBorders>
            <w:shd w:val="clear" w:color="auto" w:fill="auto"/>
          </w:tcPr>
          <w:p w:rsidR="000120CA" w:rsidRPr="009E22DE" w:rsidRDefault="009E22DE" w:rsidP="000120CA">
            <w:pPr>
              <w:pStyle w:val="TableText"/>
              <w:rPr>
                <w:sz w:val="20"/>
                <w:szCs w:val="20"/>
                <w:highlight w:val="yellow"/>
              </w:rPr>
            </w:pPr>
            <w:r>
              <w:rPr>
                <w:sz w:val="20"/>
                <w:szCs w:val="20"/>
              </w:rPr>
              <w:t>Not applicable.</w:t>
            </w:r>
          </w:p>
        </w:tc>
      </w:tr>
    </w:tbl>
    <w:p w:rsidR="000120CA" w:rsidRDefault="000120CA" w:rsidP="000120CA">
      <w:pPr>
        <w:pStyle w:val="Heading2List"/>
      </w:pPr>
      <w:bookmarkStart w:id="80" w:name="_Toc371506155"/>
      <w:bookmarkStart w:id="81" w:name="_Toc396746167"/>
      <w:bookmarkStart w:id="82" w:name="_Toc401664300"/>
      <w:bookmarkStart w:id="83" w:name="_Toc433882365"/>
      <w:r w:rsidRPr="00BB3307">
        <w:t xml:space="preserve">Bridging the </w:t>
      </w:r>
      <w:r>
        <w:t>g</w:t>
      </w:r>
      <w:r w:rsidRPr="00BB3307">
        <w:t>ap</w:t>
      </w:r>
      <w:bookmarkEnd w:id="80"/>
      <w:bookmarkEnd w:id="81"/>
      <w:bookmarkEnd w:id="82"/>
      <w:bookmarkEnd w:id="83"/>
      <w:r>
        <w:t xml:space="preserve"> </w:t>
      </w:r>
    </w:p>
    <w:p w:rsidR="000120CA" w:rsidRPr="007E772C" w:rsidRDefault="000120CA" w:rsidP="000120CA">
      <w:pPr>
        <w:pStyle w:val="Heading3nonumber"/>
        <w:rPr>
          <w:b/>
          <w:sz w:val="24"/>
          <w:lang w:val="en-AU" w:eastAsia="en-AU"/>
        </w:rPr>
      </w:pPr>
      <w:r w:rsidRPr="00222966">
        <w:rPr>
          <w:b/>
          <w:sz w:val="24"/>
          <w:lang w:val="en-AU" w:eastAsia="en-AU"/>
        </w:rPr>
        <w:t>Removal of barriers</w:t>
      </w:r>
      <w:r w:rsidRPr="007E772C">
        <w:rPr>
          <w:b/>
          <w:sz w:val="24"/>
          <w:lang w:val="en-AU" w:eastAsia="en-AU"/>
        </w:rPr>
        <w:t xml:space="preserve"> </w:t>
      </w:r>
    </w:p>
    <w:p w:rsidR="00531FB0" w:rsidRDefault="0075319D" w:rsidP="0075319D">
      <w:pPr>
        <w:pStyle w:val="Heading3nonumber"/>
        <w:spacing w:line="260" w:lineRule="atLeast"/>
        <w:rPr>
          <w:noProof/>
          <w:sz w:val="20"/>
          <w:szCs w:val="20"/>
        </w:rPr>
      </w:pPr>
      <w:r>
        <w:rPr>
          <w:noProof/>
          <w:sz w:val="20"/>
          <w:szCs w:val="20"/>
        </w:rPr>
        <w:t>The Basin Plan Water Trading R</w:t>
      </w:r>
      <w:r w:rsidRPr="00C63464">
        <w:rPr>
          <w:noProof/>
          <w:sz w:val="20"/>
          <w:szCs w:val="20"/>
        </w:rPr>
        <w:t xml:space="preserve">ules came into effect on 1 July 2014. </w:t>
      </w:r>
      <w:r>
        <w:rPr>
          <w:noProof/>
          <w:sz w:val="20"/>
          <w:szCs w:val="20"/>
        </w:rPr>
        <w:t>I</w:t>
      </w:r>
      <w:r w:rsidRPr="00C63464">
        <w:rPr>
          <w:noProof/>
          <w:sz w:val="20"/>
          <w:szCs w:val="20"/>
        </w:rPr>
        <w:t xml:space="preserve">n </w:t>
      </w:r>
      <w:r>
        <w:rPr>
          <w:noProof/>
          <w:sz w:val="20"/>
          <w:szCs w:val="20"/>
        </w:rPr>
        <w:t>June 2015</w:t>
      </w:r>
      <w:r w:rsidRPr="00C63464">
        <w:rPr>
          <w:noProof/>
          <w:sz w:val="20"/>
          <w:szCs w:val="20"/>
        </w:rPr>
        <w:t xml:space="preserve"> </w:t>
      </w:r>
      <w:r>
        <w:rPr>
          <w:noProof/>
          <w:sz w:val="20"/>
          <w:szCs w:val="20"/>
        </w:rPr>
        <w:t xml:space="preserve">the </w:t>
      </w:r>
      <w:r w:rsidRPr="00C63464">
        <w:rPr>
          <w:noProof/>
          <w:sz w:val="20"/>
          <w:szCs w:val="20"/>
        </w:rPr>
        <w:t xml:space="preserve">MDBA </w:t>
      </w:r>
      <w:r>
        <w:rPr>
          <w:noProof/>
          <w:sz w:val="20"/>
          <w:szCs w:val="20"/>
        </w:rPr>
        <w:t>provided its preliminary views</w:t>
      </w:r>
      <w:r w:rsidRPr="00C63464">
        <w:rPr>
          <w:noProof/>
          <w:sz w:val="20"/>
          <w:szCs w:val="20"/>
        </w:rPr>
        <w:t xml:space="preserve"> </w:t>
      </w:r>
      <w:r>
        <w:rPr>
          <w:noProof/>
          <w:sz w:val="20"/>
          <w:szCs w:val="20"/>
        </w:rPr>
        <w:t xml:space="preserve">on issues it considered to be high priority for the consistency of Queensland’s arrangements with the Basin Plan Trading </w:t>
      </w:r>
      <w:r w:rsidR="00531FB0">
        <w:rPr>
          <w:noProof/>
          <w:sz w:val="20"/>
          <w:szCs w:val="20"/>
        </w:rPr>
        <w:t>R</w:t>
      </w:r>
      <w:r>
        <w:rPr>
          <w:noProof/>
          <w:sz w:val="20"/>
          <w:szCs w:val="20"/>
        </w:rPr>
        <w:t xml:space="preserve">ules. </w:t>
      </w:r>
      <w:r w:rsidRPr="003D08A2">
        <w:rPr>
          <w:noProof/>
          <w:sz w:val="20"/>
          <w:szCs w:val="20"/>
        </w:rPr>
        <w:t>Based on</w:t>
      </w:r>
      <w:r>
        <w:rPr>
          <w:noProof/>
          <w:sz w:val="20"/>
          <w:szCs w:val="20"/>
        </w:rPr>
        <w:t xml:space="preserve"> the MDBA’s advice to date, the Department considers Queensland’s intersta</w:t>
      </w:r>
      <w:r w:rsidRPr="00C63464">
        <w:rPr>
          <w:noProof/>
          <w:sz w:val="20"/>
          <w:szCs w:val="20"/>
        </w:rPr>
        <w:t xml:space="preserve">te </w:t>
      </w:r>
      <w:r>
        <w:rPr>
          <w:noProof/>
          <w:sz w:val="20"/>
          <w:szCs w:val="20"/>
        </w:rPr>
        <w:t>trading</w:t>
      </w:r>
      <w:r w:rsidRPr="00C63464">
        <w:rPr>
          <w:noProof/>
          <w:sz w:val="20"/>
          <w:szCs w:val="20"/>
        </w:rPr>
        <w:t xml:space="preserve"> arrangements </w:t>
      </w:r>
      <w:r>
        <w:rPr>
          <w:noProof/>
          <w:sz w:val="20"/>
          <w:szCs w:val="20"/>
        </w:rPr>
        <w:t>and issues related to conjunctive storage conditions are</w:t>
      </w:r>
      <w:r w:rsidRPr="00C63464">
        <w:rPr>
          <w:noProof/>
          <w:sz w:val="20"/>
          <w:szCs w:val="20"/>
        </w:rPr>
        <w:t xml:space="preserve"> in</w:t>
      </w:r>
      <w:r>
        <w:rPr>
          <w:noProof/>
          <w:sz w:val="20"/>
          <w:szCs w:val="20"/>
        </w:rPr>
        <w:t>consistent with the Basin Plan Water Trading R</w:t>
      </w:r>
      <w:r w:rsidRPr="00C63464">
        <w:rPr>
          <w:noProof/>
          <w:sz w:val="20"/>
          <w:szCs w:val="20"/>
        </w:rPr>
        <w:t xml:space="preserve">ules. The </w:t>
      </w:r>
      <w:r>
        <w:rPr>
          <w:noProof/>
          <w:sz w:val="20"/>
          <w:szCs w:val="20"/>
        </w:rPr>
        <w:t>Department understands that these</w:t>
      </w:r>
      <w:r w:rsidRPr="00C63464">
        <w:rPr>
          <w:noProof/>
          <w:sz w:val="20"/>
          <w:szCs w:val="20"/>
        </w:rPr>
        <w:t xml:space="preserve"> matter</w:t>
      </w:r>
      <w:r>
        <w:rPr>
          <w:noProof/>
          <w:sz w:val="20"/>
          <w:szCs w:val="20"/>
        </w:rPr>
        <w:t>s</w:t>
      </w:r>
      <w:r w:rsidRPr="00C63464">
        <w:rPr>
          <w:noProof/>
          <w:sz w:val="20"/>
          <w:szCs w:val="20"/>
        </w:rPr>
        <w:t xml:space="preserve"> remain the subject of discussions between </w:t>
      </w:r>
      <w:r>
        <w:rPr>
          <w:noProof/>
          <w:sz w:val="20"/>
          <w:szCs w:val="20"/>
        </w:rPr>
        <w:t>Queensland, New South Wales</w:t>
      </w:r>
      <w:r w:rsidRPr="00C63464">
        <w:rPr>
          <w:noProof/>
          <w:sz w:val="20"/>
          <w:szCs w:val="20"/>
        </w:rPr>
        <w:t xml:space="preserve"> and the MDBA. </w:t>
      </w:r>
      <w:r>
        <w:rPr>
          <w:noProof/>
          <w:sz w:val="20"/>
          <w:szCs w:val="20"/>
        </w:rPr>
        <w:t xml:space="preserve">Queensland has further advised that agreement has not yet been reached regarding the materiality and extent of inconsistency associated with these issues. </w:t>
      </w:r>
    </w:p>
    <w:p w:rsidR="0075319D" w:rsidRDefault="0075319D" w:rsidP="0075319D">
      <w:pPr>
        <w:pStyle w:val="Heading3nonumber"/>
        <w:spacing w:line="260" w:lineRule="atLeast"/>
        <w:rPr>
          <w:noProof/>
          <w:sz w:val="20"/>
          <w:szCs w:val="20"/>
        </w:rPr>
      </w:pPr>
      <w:r>
        <w:rPr>
          <w:noProof/>
          <w:sz w:val="20"/>
          <w:szCs w:val="20"/>
        </w:rPr>
        <w:t>Given the ongoing obligations associated with Milestone 6, the Department anticipates that Queensland will work cooperatively</w:t>
      </w:r>
      <w:r w:rsidRPr="00C63464">
        <w:rPr>
          <w:noProof/>
          <w:sz w:val="20"/>
          <w:szCs w:val="20"/>
        </w:rPr>
        <w:t xml:space="preserve"> with the MDBA</w:t>
      </w:r>
      <w:r>
        <w:rPr>
          <w:noProof/>
          <w:sz w:val="20"/>
          <w:szCs w:val="20"/>
        </w:rPr>
        <w:t xml:space="preserve"> during</w:t>
      </w:r>
      <w:r w:rsidRPr="00C63464">
        <w:rPr>
          <w:noProof/>
          <w:sz w:val="20"/>
          <w:szCs w:val="20"/>
        </w:rPr>
        <w:t xml:space="preserve"> 2015-16</w:t>
      </w:r>
      <w:r>
        <w:rPr>
          <w:noProof/>
          <w:sz w:val="20"/>
          <w:szCs w:val="20"/>
        </w:rPr>
        <w:t xml:space="preserve"> to</w:t>
      </w:r>
      <w:r w:rsidRPr="00C63464">
        <w:rPr>
          <w:noProof/>
          <w:sz w:val="20"/>
          <w:szCs w:val="20"/>
        </w:rPr>
        <w:t xml:space="preserve"> </w:t>
      </w:r>
      <w:r>
        <w:rPr>
          <w:noProof/>
          <w:sz w:val="20"/>
          <w:szCs w:val="20"/>
        </w:rPr>
        <w:t>agree a work program and</w:t>
      </w:r>
      <w:r w:rsidRPr="00C63464">
        <w:rPr>
          <w:noProof/>
          <w:sz w:val="20"/>
          <w:szCs w:val="20"/>
        </w:rPr>
        <w:t xml:space="preserve"> </w:t>
      </w:r>
      <w:r>
        <w:rPr>
          <w:noProof/>
          <w:sz w:val="20"/>
          <w:szCs w:val="20"/>
        </w:rPr>
        <w:t xml:space="preserve">timeframes to resolve </w:t>
      </w:r>
      <w:r w:rsidRPr="00C63464">
        <w:rPr>
          <w:noProof/>
          <w:sz w:val="20"/>
          <w:szCs w:val="20"/>
        </w:rPr>
        <w:t>inconsistencies with Basin Plan Water Trading Rules</w:t>
      </w:r>
      <w:r>
        <w:rPr>
          <w:noProof/>
          <w:sz w:val="20"/>
          <w:szCs w:val="20"/>
        </w:rPr>
        <w:t>.</w:t>
      </w:r>
    </w:p>
    <w:p w:rsidR="000120CA" w:rsidRPr="006C26A2" w:rsidRDefault="000120CA" w:rsidP="000120CA">
      <w:pPr>
        <w:pStyle w:val="Heading3nonumber"/>
        <w:rPr>
          <w:b/>
          <w:sz w:val="24"/>
          <w:lang w:val="en-AU" w:eastAsia="en-AU"/>
        </w:rPr>
      </w:pPr>
      <w:r w:rsidRPr="006C26A2">
        <w:rPr>
          <w:b/>
          <w:sz w:val="24"/>
          <w:lang w:val="en-AU" w:eastAsia="en-AU"/>
        </w:rPr>
        <w:t>Restrictions on trade</w:t>
      </w:r>
    </w:p>
    <w:p w:rsidR="000120CA" w:rsidRDefault="000120CA" w:rsidP="000120CA">
      <w:pPr>
        <w:rPr>
          <w:szCs w:val="18"/>
        </w:rPr>
      </w:pPr>
      <w:r w:rsidRPr="009C6641">
        <w:t xml:space="preserve">Queensland’s </w:t>
      </w:r>
      <w:r>
        <w:t>Statement of Assurance st</w:t>
      </w:r>
      <w:r w:rsidRPr="009C6641">
        <w:t xml:space="preserve">ated that it did not introduce any restrictions or suspensions on the trading of water access entitlements during the assessment period </w:t>
      </w:r>
      <w:r w:rsidRPr="009C6641">
        <w:rPr>
          <w:noProof/>
        </w:rPr>
        <w:t>(Qld Govt 2015)</w:t>
      </w:r>
      <w:r w:rsidRPr="009C6641">
        <w:t>.</w:t>
      </w:r>
      <w:r>
        <w:t xml:space="preserve"> </w:t>
      </w:r>
      <w:r w:rsidRPr="00C67385">
        <w:rPr>
          <w:szCs w:val="18"/>
        </w:rPr>
        <w:t>The MDBA has confirmed that it is not aware of any new restrictions that were introduc</w:t>
      </w:r>
      <w:r>
        <w:rPr>
          <w:szCs w:val="18"/>
        </w:rPr>
        <w:t>ed in 2014-15 in Queensland</w:t>
      </w:r>
      <w:r w:rsidRPr="00C67385">
        <w:rPr>
          <w:szCs w:val="18"/>
        </w:rPr>
        <w:t xml:space="preserve"> that are inconsistent with the Basin Plan.</w:t>
      </w:r>
    </w:p>
    <w:p w:rsidR="000120CA" w:rsidRPr="006C26A2" w:rsidRDefault="000120CA" w:rsidP="000120CA">
      <w:pPr>
        <w:pStyle w:val="Heading3nonumber"/>
        <w:rPr>
          <w:b/>
          <w:sz w:val="24"/>
          <w:lang w:val="en-AU" w:eastAsia="en-AU"/>
        </w:rPr>
      </w:pPr>
      <w:r>
        <w:rPr>
          <w:b/>
          <w:sz w:val="24"/>
          <w:lang w:val="en-AU" w:eastAsia="en-AU"/>
        </w:rPr>
        <w:t xml:space="preserve">Actions to impede </w:t>
      </w:r>
      <w:r w:rsidRPr="006C26A2">
        <w:rPr>
          <w:b/>
          <w:sz w:val="24"/>
          <w:lang w:val="en-AU" w:eastAsia="en-AU"/>
        </w:rPr>
        <w:t>Commonwealth water</w:t>
      </w:r>
      <w:r>
        <w:rPr>
          <w:b/>
          <w:sz w:val="24"/>
          <w:lang w:val="en-AU" w:eastAsia="en-AU"/>
        </w:rPr>
        <w:t xml:space="preserve"> acquisitions</w:t>
      </w:r>
    </w:p>
    <w:p w:rsidR="000120CA" w:rsidRPr="00BD15CC" w:rsidRDefault="000120CA" w:rsidP="00394319">
      <w:pPr>
        <w:spacing w:before="120"/>
      </w:pPr>
      <w:r w:rsidRPr="00BD15CC">
        <w:t xml:space="preserve">Queensland confirmed in its Statement of Assurance that it did not take any action to impede Commonwealth measures to acquire water for environmental purposes during 2014–15 </w:t>
      </w:r>
      <w:r w:rsidRPr="00BD15CC">
        <w:rPr>
          <w:noProof/>
        </w:rPr>
        <w:t>(Qld Govt 2015)</w:t>
      </w:r>
      <w:r w:rsidRPr="00BD15CC">
        <w:t xml:space="preserve">.  </w:t>
      </w:r>
    </w:p>
    <w:p w:rsidR="000120CA" w:rsidRPr="006C26A2" w:rsidRDefault="000120CA" w:rsidP="00394319">
      <w:pPr>
        <w:pStyle w:val="Heading3nonumber"/>
        <w:spacing w:before="240" w:beforeAutospacing="0"/>
        <w:rPr>
          <w:b/>
          <w:sz w:val="24"/>
          <w:lang w:val="en-AU" w:eastAsia="en-AU"/>
        </w:rPr>
      </w:pPr>
      <w:r w:rsidRPr="006C26A2">
        <w:rPr>
          <w:b/>
          <w:sz w:val="24"/>
          <w:lang w:val="en-AU" w:eastAsia="en-AU"/>
        </w:rPr>
        <w:t>Processing times for trades</w:t>
      </w:r>
    </w:p>
    <w:p w:rsidR="000120CA" w:rsidRPr="00BD15CC" w:rsidRDefault="000120CA" w:rsidP="000120CA">
      <w:pPr>
        <w:rPr>
          <w:i/>
        </w:rPr>
      </w:pPr>
      <w:r w:rsidRPr="00BD15CC">
        <w:t>Queensland stated it had processed all entitlement and allocation trades to which the Commonwealth was a party within the agreed service standard (Qld Govt 2015).</w:t>
      </w:r>
    </w:p>
    <w:p w:rsidR="000120CA" w:rsidRPr="006C26A2" w:rsidRDefault="000120CA" w:rsidP="00394319">
      <w:pPr>
        <w:pStyle w:val="Heading3nonumber"/>
        <w:spacing w:before="240" w:beforeAutospacing="0"/>
        <w:rPr>
          <w:b/>
          <w:sz w:val="24"/>
          <w:lang w:val="en-AU" w:eastAsia="en-AU"/>
        </w:rPr>
      </w:pPr>
      <w:r w:rsidRPr="006C26A2">
        <w:rPr>
          <w:b/>
          <w:sz w:val="24"/>
          <w:lang w:val="en-AU" w:eastAsia="en-AU"/>
        </w:rPr>
        <w:t>NWI-consistent entitlements</w:t>
      </w:r>
    </w:p>
    <w:p w:rsidR="000120CA" w:rsidRPr="00BD15CC" w:rsidRDefault="000120CA" w:rsidP="000120CA">
      <w:pPr>
        <w:pStyle w:val="BodyText"/>
        <w:rPr>
          <w:sz w:val="20"/>
          <w:szCs w:val="20"/>
        </w:rPr>
      </w:pPr>
      <w:r w:rsidRPr="00BD15CC">
        <w:rPr>
          <w:sz w:val="20"/>
          <w:szCs w:val="20"/>
        </w:rPr>
        <w:t xml:space="preserve">Trading has been facilitated in all regulated (supplemented) water supply schemes in Queensland and the specification of entitlements in these areas is consistent with the provisions of clauses 28–32 of the NWI (Qld Govt 2015). </w:t>
      </w:r>
    </w:p>
    <w:p w:rsidR="000120CA" w:rsidRPr="00EB7309" w:rsidRDefault="000120CA" w:rsidP="000120CA">
      <w:pPr>
        <w:pStyle w:val="BodyText"/>
      </w:pPr>
    </w:p>
    <w:p w:rsidR="000120CA" w:rsidRDefault="000120CA" w:rsidP="000120CA">
      <w:pPr>
        <w:pStyle w:val="Heading2List"/>
      </w:pPr>
      <w:bookmarkStart w:id="84" w:name="_Toc371506156"/>
      <w:bookmarkStart w:id="85" w:name="_Toc396746168"/>
      <w:bookmarkStart w:id="86" w:name="_Toc401664301"/>
      <w:bookmarkStart w:id="87" w:name="_Toc433882366"/>
      <w:r>
        <w:t>Implementation of the Constraints Management Strategy</w:t>
      </w:r>
      <w:bookmarkEnd w:id="84"/>
      <w:bookmarkEnd w:id="85"/>
      <w:bookmarkEnd w:id="86"/>
      <w:bookmarkEnd w:id="87"/>
      <w:r>
        <w:t xml:space="preserve"> </w:t>
      </w:r>
    </w:p>
    <w:p w:rsidR="000120CA" w:rsidRPr="00BD15CC" w:rsidRDefault="000120CA" w:rsidP="000120CA">
      <w:r w:rsidRPr="00BD15CC">
        <w:t xml:space="preserve">This milestone </w:t>
      </w:r>
      <w:r w:rsidR="006D28B8">
        <w:t>is not applicable to Queensland</w:t>
      </w:r>
      <w:r w:rsidRPr="00BD15CC">
        <w:t>.</w:t>
      </w:r>
    </w:p>
    <w:p w:rsidR="000120CA" w:rsidRPr="00EC0DFB" w:rsidRDefault="000120CA" w:rsidP="000120CA">
      <w:pPr>
        <w:rPr>
          <w:sz w:val="18"/>
        </w:rPr>
      </w:pPr>
    </w:p>
    <w:p w:rsidR="000120CA" w:rsidRDefault="000120CA" w:rsidP="000120CA">
      <w:pPr>
        <w:pStyle w:val="Heading2List"/>
      </w:pPr>
      <w:bookmarkStart w:id="88" w:name="_Toc371506157"/>
      <w:bookmarkStart w:id="89" w:name="_Toc396746169"/>
      <w:bookmarkStart w:id="90" w:name="_Toc401664302"/>
      <w:bookmarkStart w:id="91" w:name="_Toc433882367"/>
      <w:r>
        <w:t>Cooperation in environmental watering</w:t>
      </w:r>
      <w:bookmarkEnd w:id="88"/>
      <w:bookmarkEnd w:id="89"/>
      <w:bookmarkEnd w:id="90"/>
      <w:bookmarkEnd w:id="91"/>
    </w:p>
    <w:p w:rsidR="000120CA" w:rsidRPr="000120CA" w:rsidRDefault="000120CA" w:rsidP="000120CA">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Characteristics of licensed entitlements</w:t>
      </w:r>
    </w:p>
    <w:p w:rsidR="000120CA" w:rsidRPr="00B023A5" w:rsidRDefault="000120CA" w:rsidP="000120CA">
      <w:pPr>
        <w:rPr>
          <w:i/>
        </w:rPr>
      </w:pPr>
      <w:r w:rsidRPr="00B023A5">
        <w:t>Queensland’s Statement of Assurance confirmed that characteristics of licence entitlements held for environmental use were not enhanced or diminished relative to like entitlements held and used for other purposes during 201</w:t>
      </w:r>
      <w:r w:rsidR="003E63B3">
        <w:t>4</w:t>
      </w:r>
      <w:r w:rsidRPr="00B023A5">
        <w:t>–1</w:t>
      </w:r>
      <w:r w:rsidR="003E63B3">
        <w:t>5</w:t>
      </w:r>
      <w:r w:rsidRPr="00B023A5">
        <w:t xml:space="preserve"> </w:t>
      </w:r>
      <w:r w:rsidRPr="00B023A5">
        <w:rPr>
          <w:noProof/>
        </w:rPr>
        <w:t>(Qld Govt 2015)</w:t>
      </w:r>
      <w:r w:rsidR="0057747B">
        <w:t xml:space="preserve">. </w:t>
      </w:r>
      <w:r w:rsidRPr="00B023A5">
        <w:t>The MDBA has confirmed that it has not been notified of any restrictions that would constitute discriminatory or preferential treatment for licensed entitlements held f</w:t>
      </w:r>
      <w:r w:rsidR="00A1562C">
        <w:t>or environment</w:t>
      </w:r>
      <w:r w:rsidRPr="00B023A5">
        <w:t xml:space="preserve">. </w:t>
      </w:r>
    </w:p>
    <w:p w:rsidR="000120CA" w:rsidRPr="000120CA" w:rsidRDefault="000120CA" w:rsidP="000120CA">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 xml:space="preserve">Annual environmental watering priorities </w:t>
      </w:r>
    </w:p>
    <w:p w:rsidR="000120CA" w:rsidRPr="004D71F1" w:rsidRDefault="000120CA" w:rsidP="000120CA">
      <w:pPr>
        <w:pStyle w:val="BodyText"/>
        <w:rPr>
          <w:sz w:val="20"/>
          <w:szCs w:val="20"/>
        </w:rPr>
      </w:pPr>
      <w:r w:rsidRPr="004D71F1">
        <w:rPr>
          <w:sz w:val="20"/>
          <w:szCs w:val="18"/>
        </w:rPr>
        <w:t xml:space="preserve">Queensland’s Statement of Assurance confirmed that </w:t>
      </w:r>
      <w:r w:rsidRPr="004D71F1">
        <w:rPr>
          <w:rFonts w:cs="TradeGothicLTStd-Light"/>
          <w:spacing w:val="-1"/>
          <w:sz w:val="20"/>
          <w:szCs w:val="18"/>
        </w:rPr>
        <w:t>the MDBA was provided with annual environmental watering priorities, consistent with the Basin Plan (Qld</w:t>
      </w:r>
      <w:r w:rsidRPr="004D71F1">
        <w:rPr>
          <w:rFonts w:cs="TradeGothicLTStd-Light"/>
          <w:noProof/>
          <w:spacing w:val="-1"/>
          <w:sz w:val="20"/>
          <w:szCs w:val="18"/>
        </w:rPr>
        <w:t> Govt 2015)</w:t>
      </w:r>
      <w:r w:rsidRPr="004D71F1">
        <w:rPr>
          <w:rFonts w:cs="TradeGothicLTStd-Light"/>
          <w:spacing w:val="-1"/>
          <w:sz w:val="20"/>
          <w:szCs w:val="18"/>
        </w:rPr>
        <w:t xml:space="preserve">. Queensland’s 2015-16 </w:t>
      </w:r>
      <w:r w:rsidRPr="004D71F1">
        <w:rPr>
          <w:sz w:val="20"/>
          <w:szCs w:val="20"/>
        </w:rPr>
        <w:t>watering priorities for the Queensland component of the Murray-Darling Basin are publicly availabl</w:t>
      </w:r>
      <w:r w:rsidR="00FD4773">
        <w:rPr>
          <w:sz w:val="20"/>
          <w:szCs w:val="20"/>
        </w:rPr>
        <w:t>e on the Department of Natural R</w:t>
      </w:r>
      <w:r w:rsidRPr="004D71F1">
        <w:rPr>
          <w:sz w:val="20"/>
          <w:szCs w:val="20"/>
        </w:rPr>
        <w:t>esources and Mines website</w:t>
      </w:r>
      <w:r w:rsidR="00141167">
        <w:rPr>
          <w:rStyle w:val="FootnoteReference"/>
          <w:sz w:val="20"/>
          <w:szCs w:val="20"/>
        </w:rPr>
        <w:footnoteReference w:id="4"/>
      </w:r>
      <w:r w:rsidRPr="004D71F1">
        <w:rPr>
          <w:sz w:val="20"/>
          <w:szCs w:val="20"/>
        </w:rPr>
        <w:t>.</w:t>
      </w:r>
    </w:p>
    <w:p w:rsidR="000120CA" w:rsidRPr="000120CA" w:rsidRDefault="000120CA" w:rsidP="000120CA">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Management and delivery of environmental water consistent with Basin Plan</w:t>
      </w:r>
    </w:p>
    <w:p w:rsidR="000120CA" w:rsidRPr="004D71F1" w:rsidRDefault="000120CA" w:rsidP="000120CA">
      <w:pPr>
        <w:pStyle w:val="BodyText"/>
        <w:rPr>
          <w:sz w:val="20"/>
          <w:szCs w:val="20"/>
        </w:rPr>
      </w:pPr>
      <w:r w:rsidRPr="004D71F1">
        <w:rPr>
          <w:sz w:val="20"/>
          <w:szCs w:val="20"/>
        </w:rPr>
        <w:t xml:space="preserve">Queensland’s Statement of Assurance noted that it managed and delivered both planned and held environmental water in the Queensland Murray–Darling Basin consistent with its existing water resource plans </w:t>
      </w:r>
      <w:r w:rsidR="00141167">
        <w:rPr>
          <w:sz w:val="20"/>
          <w:szCs w:val="20"/>
        </w:rPr>
        <w:t xml:space="preserve">(WRPs) </w:t>
      </w:r>
      <w:r w:rsidRPr="004D71F1">
        <w:rPr>
          <w:sz w:val="20"/>
          <w:szCs w:val="20"/>
        </w:rPr>
        <w:t>and resource operations plans</w:t>
      </w:r>
      <w:r w:rsidR="00141167">
        <w:rPr>
          <w:sz w:val="20"/>
          <w:szCs w:val="20"/>
        </w:rPr>
        <w:t xml:space="preserve"> (ROPs)</w:t>
      </w:r>
      <w:r w:rsidRPr="004D71F1">
        <w:rPr>
          <w:sz w:val="20"/>
          <w:szCs w:val="20"/>
        </w:rPr>
        <w:t xml:space="preserve">, which have transitional status under the Commonwealth </w:t>
      </w:r>
      <w:r w:rsidRPr="00A1562C">
        <w:rPr>
          <w:i/>
          <w:sz w:val="20"/>
          <w:szCs w:val="20"/>
        </w:rPr>
        <w:t>Water Act 2007</w:t>
      </w:r>
      <w:r w:rsidRPr="004D71F1">
        <w:rPr>
          <w:sz w:val="20"/>
          <w:szCs w:val="20"/>
        </w:rPr>
        <w:t xml:space="preserve"> (Qld Govt 2015).</w:t>
      </w:r>
    </w:p>
    <w:p w:rsidR="000120CA" w:rsidRPr="004D71F1" w:rsidRDefault="000120CA" w:rsidP="000120CA">
      <w:pPr>
        <w:pStyle w:val="BodyText"/>
        <w:rPr>
          <w:sz w:val="20"/>
          <w:szCs w:val="20"/>
        </w:rPr>
      </w:pPr>
      <w:r w:rsidRPr="004D71F1">
        <w:rPr>
          <w:sz w:val="20"/>
          <w:szCs w:val="20"/>
        </w:rPr>
        <w:t xml:space="preserve">These water resource plans have provision for low flow event management, in the form of cease to pump rules, which support native fish and waterbird refuges, the identified priorities for 2014-15.  </w:t>
      </w:r>
    </w:p>
    <w:p w:rsidR="000120CA" w:rsidRPr="000120CA" w:rsidRDefault="000120CA" w:rsidP="000120CA">
      <w:pPr>
        <w:pStyle w:val="Heading4"/>
        <w:rPr>
          <w:rFonts w:eastAsia="Times New Roman"/>
          <w:b w:val="0"/>
          <w:i/>
          <w:color w:val="auto"/>
          <w:kern w:val="28"/>
          <w:sz w:val="24"/>
          <w:szCs w:val="28"/>
          <w:lang w:eastAsia="en-AU"/>
        </w:rPr>
      </w:pPr>
      <w:r w:rsidRPr="000120CA">
        <w:rPr>
          <w:rFonts w:eastAsia="Times New Roman"/>
          <w:color w:val="auto"/>
          <w:kern w:val="28"/>
          <w:sz w:val="24"/>
          <w:szCs w:val="28"/>
          <w:lang w:eastAsia="en-AU"/>
        </w:rPr>
        <w:t>Consultation on environmental watering</w:t>
      </w:r>
    </w:p>
    <w:p w:rsidR="000120CA" w:rsidRPr="004D71F1" w:rsidRDefault="000120CA" w:rsidP="000120CA">
      <w:r w:rsidRPr="004D71F1">
        <w:t>Queensland’s Statement of Assurance stated that environmental watering was undertaken in accordance with state-based WRPs and ROPs (Qld Govt 2015). Queensland has stated that, in developing these plans, extensive stakeholder consultation was undertaken. Community consultation reports are publicly available on the website of the Department of Natural Resources and Mines</w:t>
      </w:r>
      <w:r w:rsidR="00141167">
        <w:rPr>
          <w:rStyle w:val="FootnoteReference"/>
        </w:rPr>
        <w:footnoteReference w:id="5"/>
      </w:r>
      <w:r w:rsidRPr="004D71F1">
        <w:t xml:space="preserve"> </w:t>
      </w:r>
    </w:p>
    <w:p w:rsidR="000120CA" w:rsidRPr="004D71F1" w:rsidRDefault="000120CA" w:rsidP="000120CA">
      <w:r w:rsidRPr="004D71F1">
        <w:t>Queensland also noted that it consulted directly with the CEWO and the New South Wales Government in preparing its annual environmental watering priorities for 2015–16 (Qld Govt 2015). Further detail of the consultation undertaken is provided in the Queensland Annual Watering Priorities Report for 2015-16</w:t>
      </w:r>
      <w:r w:rsidR="00141167">
        <w:rPr>
          <w:rStyle w:val="FootnoteReference"/>
        </w:rPr>
        <w:footnoteReference w:id="6"/>
      </w:r>
      <w:r w:rsidR="00141167">
        <w:t>.</w:t>
      </w:r>
    </w:p>
    <w:p w:rsidR="000120CA" w:rsidRPr="00D65CC3" w:rsidRDefault="000120CA" w:rsidP="000120CA">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 xml:space="preserve">Long-term environmental watering plans </w:t>
      </w:r>
    </w:p>
    <w:p w:rsidR="000120CA" w:rsidRPr="004D71F1" w:rsidRDefault="000120CA" w:rsidP="000120CA">
      <w:bookmarkStart w:id="92" w:name="_Toc371506158"/>
      <w:bookmarkStart w:id="93" w:name="_Toc396746170"/>
      <w:bookmarkStart w:id="94" w:name="_Toc401664303"/>
      <w:r w:rsidRPr="004D71F1">
        <w:t xml:space="preserve">The Basin-wide environmental watering strategy was released </w:t>
      </w:r>
      <w:r w:rsidR="00AE648E">
        <w:t>on</w:t>
      </w:r>
      <w:r w:rsidRPr="004D71F1">
        <w:t xml:space="preserve"> 24 November 2014. Therefore, there is no assessment of this milestone because the specified 12 month period has not yet elapsed.</w:t>
      </w:r>
    </w:p>
    <w:p w:rsidR="000120CA" w:rsidRPr="00A42946" w:rsidRDefault="000120CA" w:rsidP="000120CA">
      <w:pPr>
        <w:rPr>
          <w:szCs w:val="24"/>
        </w:rPr>
      </w:pPr>
    </w:p>
    <w:p w:rsidR="000120CA" w:rsidRDefault="000120CA" w:rsidP="000120CA">
      <w:pPr>
        <w:pStyle w:val="Heading2List"/>
      </w:pPr>
      <w:bookmarkStart w:id="95" w:name="_Toc433882368"/>
      <w:r>
        <w:t>Supply measures projects</w:t>
      </w:r>
      <w:bookmarkEnd w:id="92"/>
      <w:bookmarkEnd w:id="93"/>
      <w:bookmarkEnd w:id="94"/>
      <w:bookmarkEnd w:id="95"/>
    </w:p>
    <w:p w:rsidR="000120CA" w:rsidRPr="004D71F1" w:rsidRDefault="000120CA" w:rsidP="000120CA">
      <w:pPr>
        <w:pStyle w:val="Heading3nonumber"/>
        <w:spacing w:line="260" w:lineRule="atLeast"/>
        <w:rPr>
          <w:rFonts w:eastAsia="Cambria"/>
          <w:kern w:val="0"/>
          <w:sz w:val="20"/>
          <w:szCs w:val="20"/>
          <w:lang w:val="en-AU"/>
        </w:rPr>
      </w:pPr>
      <w:r w:rsidRPr="004D71F1">
        <w:rPr>
          <w:rFonts w:eastAsia="Cambria"/>
          <w:kern w:val="0"/>
          <w:sz w:val="20"/>
          <w:szCs w:val="20"/>
          <w:lang w:val="en-AU"/>
        </w:rPr>
        <w:t>This milestone is not applicable to Queensland.</w:t>
      </w:r>
    </w:p>
    <w:p w:rsidR="004425A6" w:rsidRDefault="004425A6" w:rsidP="004425A6"/>
    <w:p w:rsidR="006C6C13" w:rsidRPr="005649E9" w:rsidRDefault="006C6C13" w:rsidP="006C6C13">
      <w:pPr>
        <w:pStyle w:val="Heading1List"/>
      </w:pPr>
      <w:bookmarkStart w:id="96" w:name="_Toc433882369"/>
      <w:r>
        <w:t>Assessment for South Australia</w:t>
      </w:r>
      <w:bookmarkEnd w:id="73"/>
      <w:bookmarkEnd w:id="96"/>
    </w:p>
    <w:p w:rsidR="006C6C13" w:rsidRPr="005649E9" w:rsidRDefault="006C6C13" w:rsidP="006C6C13">
      <w:pPr>
        <w:pStyle w:val="Heading2List"/>
      </w:pPr>
      <w:bookmarkStart w:id="97" w:name="_Toc396746172"/>
      <w:bookmarkStart w:id="98" w:name="_Toc433882370"/>
      <w:r w:rsidRPr="005649E9">
        <w:t>Summary of findings</w:t>
      </w:r>
      <w:bookmarkEnd w:id="97"/>
      <w:bookmarkEnd w:id="98"/>
    </w:p>
    <w:p w:rsidR="00D65CC3" w:rsidRPr="00F57755" w:rsidRDefault="00D65CC3" w:rsidP="00D65CC3">
      <w:pPr>
        <w:rPr>
          <w:szCs w:val="18"/>
        </w:rPr>
      </w:pPr>
      <w:r w:rsidRPr="00F57755">
        <w:rPr>
          <w:szCs w:val="18"/>
        </w:rPr>
        <w:t>Findings for South Australia are summarised below in the order they appear in the agreement. Full findings and details of the assessment follow in subsequent sections of this chapter.</w:t>
      </w:r>
    </w:p>
    <w:p w:rsidR="00D65CC3" w:rsidRPr="006E1629" w:rsidRDefault="00D65CC3" w:rsidP="00D65CC3">
      <w:pPr>
        <w:pStyle w:val="TableName"/>
        <w:rPr>
          <w:sz w:val="20"/>
        </w:rPr>
      </w:pPr>
      <w:bookmarkStart w:id="99" w:name="_Toc396745829"/>
      <w:bookmarkStart w:id="100" w:name="_Toc400617364"/>
      <w:r w:rsidRPr="006E1629">
        <w:rPr>
          <w:sz w:val="20"/>
          <w:lang w:val="en-AU"/>
        </w:rPr>
        <w:t>Table 5.1: Summary of findings for South Australia</w:t>
      </w:r>
      <w:bookmarkEnd w:id="99"/>
      <w:bookmarkEnd w:id="100"/>
      <w:r w:rsidRPr="006E1629">
        <w:rPr>
          <w:sz w:val="20"/>
        </w:rPr>
        <w:t xml:space="preserve"> </w:t>
      </w:r>
    </w:p>
    <w:tbl>
      <w:tblPr>
        <w:tblW w:w="4937" w:type="pct"/>
        <w:tblInd w:w="108" w:type="dxa"/>
        <w:tblBorders>
          <w:top w:val="single" w:sz="4" w:space="0" w:color="0D223F"/>
          <w:bottom w:val="single" w:sz="4" w:space="0" w:color="0D223F"/>
          <w:insideH w:val="single" w:sz="4" w:space="0" w:color="0D223F"/>
        </w:tblBorders>
        <w:tblLook w:val="04A0"/>
      </w:tblPr>
      <w:tblGrid>
        <w:gridCol w:w="3261"/>
        <w:gridCol w:w="3407"/>
        <w:gridCol w:w="1936"/>
      </w:tblGrid>
      <w:tr w:rsidR="00D65CC3" w:rsidRPr="00F57755" w:rsidTr="00D65CC3">
        <w:trPr>
          <w:trHeight w:val="60"/>
          <w:tblHeader/>
        </w:trPr>
        <w:tc>
          <w:tcPr>
            <w:tcW w:w="1895" w:type="pct"/>
            <w:tcBorders>
              <w:top w:val="nil"/>
              <w:left w:val="nil"/>
              <w:bottom w:val="single" w:sz="4" w:space="0" w:color="0D223F"/>
            </w:tcBorders>
            <w:shd w:val="clear" w:color="auto" w:fill="0D223F"/>
          </w:tcPr>
          <w:p w:rsidR="00D65CC3" w:rsidRPr="00F57755" w:rsidRDefault="00D65CC3" w:rsidP="00F328D9">
            <w:pPr>
              <w:pStyle w:val="TableHeading"/>
              <w:rPr>
                <w:sz w:val="20"/>
                <w:szCs w:val="20"/>
                <w:lang w:val="en-AU"/>
              </w:rPr>
            </w:pPr>
            <w:r w:rsidRPr="00F57755">
              <w:rPr>
                <w:sz w:val="20"/>
                <w:szCs w:val="20"/>
                <w:lang w:val="en-AU"/>
              </w:rPr>
              <w:t>National Partnership commitments</w:t>
            </w:r>
          </w:p>
        </w:tc>
        <w:tc>
          <w:tcPr>
            <w:tcW w:w="1980" w:type="pct"/>
            <w:tcBorders>
              <w:top w:val="nil"/>
              <w:bottom w:val="single" w:sz="4" w:space="0" w:color="0D223F"/>
            </w:tcBorders>
            <w:shd w:val="clear" w:color="auto" w:fill="0D223F"/>
          </w:tcPr>
          <w:p w:rsidR="00D65CC3" w:rsidRPr="00F57755" w:rsidRDefault="00D65CC3" w:rsidP="00F328D9">
            <w:pPr>
              <w:pStyle w:val="TableHeading"/>
              <w:rPr>
                <w:sz w:val="20"/>
                <w:szCs w:val="20"/>
                <w:lang w:val="en-AU"/>
              </w:rPr>
            </w:pPr>
            <w:r w:rsidRPr="00F57755">
              <w:rPr>
                <w:sz w:val="20"/>
                <w:szCs w:val="20"/>
                <w:lang w:val="en-AU"/>
              </w:rPr>
              <w:t>Assessment summary</w:t>
            </w:r>
          </w:p>
        </w:tc>
        <w:tc>
          <w:tcPr>
            <w:tcW w:w="1125" w:type="pct"/>
            <w:tcBorders>
              <w:top w:val="nil"/>
              <w:bottom w:val="single" w:sz="4" w:space="0" w:color="0D223F"/>
            </w:tcBorders>
            <w:shd w:val="clear" w:color="auto" w:fill="0D223F"/>
          </w:tcPr>
          <w:p w:rsidR="00D65CC3" w:rsidRPr="00F57755" w:rsidRDefault="00D65CC3" w:rsidP="00F328D9">
            <w:pPr>
              <w:pStyle w:val="TableHeading"/>
              <w:rPr>
                <w:sz w:val="20"/>
                <w:szCs w:val="20"/>
                <w:lang w:val="en-AU"/>
              </w:rPr>
            </w:pPr>
            <w:r w:rsidRPr="00F57755">
              <w:rPr>
                <w:sz w:val="20"/>
                <w:szCs w:val="20"/>
                <w:lang w:val="en-AU"/>
              </w:rPr>
              <w:t xml:space="preserve">Finding </w:t>
            </w:r>
          </w:p>
        </w:tc>
      </w:tr>
      <w:tr w:rsidR="00D65CC3" w:rsidRPr="00F57755" w:rsidTr="00D65CC3">
        <w:trPr>
          <w:trHeight w:val="60"/>
        </w:trPr>
        <w:tc>
          <w:tcPr>
            <w:tcW w:w="1895" w:type="pct"/>
            <w:tcBorders>
              <w:top w:val="single" w:sz="4" w:space="0" w:color="0D223F"/>
              <w:left w:val="nil"/>
              <w:bottom w:val="single" w:sz="4" w:space="0" w:color="0D223F"/>
              <w:right w:val="single" w:sz="4" w:space="0" w:color="0D223F"/>
            </w:tcBorders>
            <w:shd w:val="clear" w:color="auto" w:fill="auto"/>
          </w:tcPr>
          <w:p w:rsidR="00D65CC3" w:rsidRPr="00F57755" w:rsidRDefault="00D65CC3" w:rsidP="00F328D9">
            <w:pPr>
              <w:pStyle w:val="TableTextind1"/>
              <w:rPr>
                <w:szCs w:val="20"/>
              </w:rPr>
            </w:pPr>
            <w:r w:rsidRPr="00F57755">
              <w:rPr>
                <w:szCs w:val="20"/>
              </w:rPr>
              <w:t>6)</w:t>
            </w:r>
            <w:r w:rsidRPr="00F57755">
              <w:rPr>
                <w:szCs w:val="20"/>
              </w:rPr>
              <w:tab/>
              <w:t>The state has supported the Commonwealth in bridging the gap</w:t>
            </w:r>
            <w:r w:rsidR="00CE05B2">
              <w:rPr>
                <w:szCs w:val="20"/>
              </w:rPr>
              <w:t>.</w:t>
            </w:r>
          </w:p>
          <w:p w:rsidR="00D65CC3" w:rsidRPr="00F57755" w:rsidRDefault="00D65CC3" w:rsidP="00F328D9">
            <w:pPr>
              <w:pStyle w:val="TableTextind1"/>
              <w:rPr>
                <w:szCs w:val="20"/>
              </w:rPr>
            </w:pPr>
          </w:p>
        </w:tc>
        <w:tc>
          <w:tcPr>
            <w:tcW w:w="1980" w:type="pct"/>
            <w:tcBorders>
              <w:top w:val="single" w:sz="4" w:space="0" w:color="0D223F"/>
              <w:bottom w:val="single" w:sz="4" w:space="0" w:color="0D223F"/>
              <w:right w:val="single" w:sz="4" w:space="0" w:color="0D223F"/>
            </w:tcBorders>
            <w:shd w:val="clear" w:color="auto" w:fill="auto"/>
          </w:tcPr>
          <w:p w:rsidR="00D65CC3" w:rsidRPr="00F57755" w:rsidRDefault="00D65CC3" w:rsidP="00F328D9">
            <w:pPr>
              <w:pStyle w:val="ListBullet"/>
              <w:ind w:left="253" w:hanging="253"/>
            </w:pPr>
            <w:r w:rsidRPr="00F57755">
              <w:t xml:space="preserve">South Australia has </w:t>
            </w:r>
            <w:r w:rsidR="0075319D">
              <w:t>removed</w:t>
            </w:r>
            <w:r w:rsidRPr="00F57755">
              <w:t xml:space="preserve"> volumetric or other barriers to permanent trade out of water irrigation areas that are inconsistent with the Basin Plan water trading rules.</w:t>
            </w:r>
          </w:p>
          <w:p w:rsidR="00D65CC3" w:rsidRPr="00F57755" w:rsidRDefault="00D65CC3" w:rsidP="00F328D9">
            <w:pPr>
              <w:pStyle w:val="ListBullet"/>
              <w:ind w:left="253" w:hanging="253"/>
            </w:pPr>
            <w:r w:rsidRPr="00F57755">
              <w:t>South Australia did not introduce any restrictions on the trading of water access entitlements.</w:t>
            </w:r>
          </w:p>
          <w:p w:rsidR="00D65CC3" w:rsidRPr="00F57755" w:rsidRDefault="00D65CC3" w:rsidP="00F328D9">
            <w:pPr>
              <w:pStyle w:val="ListBullet"/>
              <w:ind w:left="253" w:hanging="253"/>
            </w:pPr>
            <w:r w:rsidRPr="00F57755">
              <w:t>South Australia did not take any action to impede Commonwealth measures to acquire water for environmental purposes.</w:t>
            </w:r>
          </w:p>
          <w:p w:rsidR="00D65CC3" w:rsidRPr="00F57755" w:rsidRDefault="00D65CC3" w:rsidP="00F328D9">
            <w:pPr>
              <w:pStyle w:val="ListBullet"/>
              <w:ind w:left="253" w:hanging="253"/>
            </w:pPr>
            <w:r w:rsidRPr="00F57755">
              <w:t>Applications for water entitlement and allocation trades were processed consistent with the agreed service standards for trade processing times.</w:t>
            </w:r>
          </w:p>
          <w:p w:rsidR="00D65CC3" w:rsidRPr="00F57755" w:rsidRDefault="00D65CC3" w:rsidP="00901741">
            <w:pPr>
              <w:pStyle w:val="ListBullet"/>
              <w:ind w:left="253" w:hanging="253"/>
            </w:pPr>
            <w:r w:rsidRPr="00F57755">
              <w:t>The River Murray Prescribed Water Course is the only regulated surface water system within the South Australian Murray–Darling Basin. Water access entitlements for this system are consistent with clauses 28–32 of the NWI.</w:t>
            </w:r>
          </w:p>
        </w:tc>
        <w:tc>
          <w:tcPr>
            <w:tcW w:w="1125" w:type="pct"/>
            <w:tcBorders>
              <w:top w:val="single" w:sz="4" w:space="0" w:color="0D223F"/>
              <w:bottom w:val="single" w:sz="4" w:space="0" w:color="0D223F"/>
            </w:tcBorders>
            <w:shd w:val="clear" w:color="auto" w:fill="auto"/>
          </w:tcPr>
          <w:p w:rsidR="00D65CC3" w:rsidRPr="00F57755" w:rsidRDefault="00D65CC3" w:rsidP="00F328D9">
            <w:pPr>
              <w:pStyle w:val="TableText"/>
              <w:rPr>
                <w:sz w:val="20"/>
                <w:szCs w:val="20"/>
              </w:rPr>
            </w:pPr>
            <w:r w:rsidRPr="000246FF">
              <w:rPr>
                <w:sz w:val="20"/>
                <w:szCs w:val="20"/>
              </w:rPr>
              <w:t>Commitment met</w:t>
            </w:r>
            <w:r w:rsidR="00CE05B2">
              <w:rPr>
                <w:sz w:val="20"/>
                <w:szCs w:val="20"/>
              </w:rPr>
              <w:t>.</w:t>
            </w:r>
          </w:p>
        </w:tc>
      </w:tr>
      <w:tr w:rsidR="00D65CC3" w:rsidRPr="00F57755" w:rsidTr="00D65CC3">
        <w:trPr>
          <w:trHeight w:val="60"/>
        </w:trPr>
        <w:tc>
          <w:tcPr>
            <w:tcW w:w="1895" w:type="pct"/>
            <w:tcBorders>
              <w:top w:val="single" w:sz="4" w:space="0" w:color="0D223F"/>
              <w:left w:val="nil"/>
              <w:bottom w:val="single" w:sz="4" w:space="0" w:color="0D223F"/>
              <w:right w:val="single" w:sz="4" w:space="0" w:color="0D223F"/>
            </w:tcBorders>
            <w:shd w:val="clear" w:color="auto" w:fill="auto"/>
          </w:tcPr>
          <w:p w:rsidR="00D65CC3" w:rsidRPr="00F57755" w:rsidRDefault="00D65CC3" w:rsidP="00F328D9">
            <w:pPr>
              <w:pStyle w:val="TableTextind1"/>
              <w:rPr>
                <w:szCs w:val="20"/>
              </w:rPr>
            </w:pPr>
            <w:r w:rsidRPr="00F57755">
              <w:rPr>
                <w:szCs w:val="20"/>
              </w:rPr>
              <w:t>7)</w:t>
            </w:r>
            <w:r w:rsidRPr="00F57755">
              <w:rPr>
                <w:szCs w:val="20"/>
              </w:rP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p>
        </w:tc>
        <w:tc>
          <w:tcPr>
            <w:tcW w:w="1980" w:type="pct"/>
            <w:tcBorders>
              <w:top w:val="single" w:sz="4" w:space="0" w:color="0D223F"/>
              <w:bottom w:val="single" w:sz="4" w:space="0" w:color="0D223F"/>
              <w:right w:val="single" w:sz="4" w:space="0" w:color="0D223F"/>
            </w:tcBorders>
            <w:shd w:val="clear" w:color="auto" w:fill="auto"/>
          </w:tcPr>
          <w:p w:rsidR="00D65CC3" w:rsidRPr="00F57755" w:rsidRDefault="00D65CC3" w:rsidP="00F328D9">
            <w:pPr>
              <w:pStyle w:val="ListBullet"/>
              <w:ind w:left="253" w:hanging="283"/>
            </w:pPr>
            <w:r w:rsidRPr="00F57755">
              <w:t>South Australia has supported development and implementation of the Constraints Management Strategy.</w:t>
            </w:r>
          </w:p>
        </w:tc>
        <w:tc>
          <w:tcPr>
            <w:tcW w:w="1125" w:type="pct"/>
            <w:tcBorders>
              <w:top w:val="single" w:sz="4" w:space="0" w:color="0D223F"/>
              <w:bottom w:val="single" w:sz="4" w:space="0" w:color="0D223F"/>
            </w:tcBorders>
            <w:shd w:val="clear" w:color="auto" w:fill="auto"/>
          </w:tcPr>
          <w:p w:rsidR="00D65CC3" w:rsidRPr="00F57755" w:rsidRDefault="00D65CC3" w:rsidP="00F328D9">
            <w:pPr>
              <w:pStyle w:val="TableText"/>
              <w:rPr>
                <w:sz w:val="20"/>
                <w:szCs w:val="20"/>
              </w:rPr>
            </w:pPr>
            <w:r w:rsidRPr="00F57755">
              <w:rPr>
                <w:sz w:val="20"/>
                <w:szCs w:val="20"/>
              </w:rPr>
              <w:t>Commitment met</w:t>
            </w:r>
          </w:p>
        </w:tc>
      </w:tr>
      <w:tr w:rsidR="00D65CC3" w:rsidRPr="00F57755" w:rsidTr="00D65CC3">
        <w:trPr>
          <w:trHeight w:val="60"/>
        </w:trPr>
        <w:tc>
          <w:tcPr>
            <w:tcW w:w="1895" w:type="pct"/>
            <w:tcBorders>
              <w:top w:val="single" w:sz="4" w:space="0" w:color="0D223F"/>
              <w:left w:val="nil"/>
              <w:bottom w:val="single" w:sz="4" w:space="0" w:color="0D223F"/>
              <w:right w:val="single" w:sz="4" w:space="0" w:color="0D223F"/>
            </w:tcBorders>
            <w:shd w:val="clear" w:color="auto" w:fill="auto"/>
          </w:tcPr>
          <w:p w:rsidR="00D65CC3" w:rsidRPr="00F57755" w:rsidRDefault="00D65CC3" w:rsidP="00F328D9">
            <w:pPr>
              <w:pStyle w:val="TableTextind1"/>
              <w:rPr>
                <w:szCs w:val="20"/>
              </w:rPr>
            </w:pPr>
            <w:r w:rsidRPr="00F57755">
              <w:rPr>
                <w:szCs w:val="20"/>
              </w:rPr>
              <w:t>8)</w:t>
            </w:r>
            <w:r w:rsidRPr="00F57755">
              <w:rPr>
                <w:szCs w:val="20"/>
              </w:rPr>
              <w:tab/>
              <w:t>The state has cooperated in arrangements for Basin Plan environmental watering</w:t>
            </w:r>
            <w:r w:rsidR="00CE05B2">
              <w:rPr>
                <w:szCs w:val="20"/>
              </w:rPr>
              <w:t>.</w:t>
            </w:r>
          </w:p>
        </w:tc>
        <w:tc>
          <w:tcPr>
            <w:tcW w:w="1980" w:type="pct"/>
            <w:tcBorders>
              <w:top w:val="single" w:sz="4" w:space="0" w:color="0D223F"/>
              <w:bottom w:val="single" w:sz="4" w:space="0" w:color="0D223F"/>
              <w:right w:val="single" w:sz="4" w:space="0" w:color="0D223F"/>
            </w:tcBorders>
            <w:shd w:val="clear" w:color="auto" w:fill="auto"/>
          </w:tcPr>
          <w:p w:rsidR="00D65CC3" w:rsidRPr="00F57755" w:rsidRDefault="00D65CC3" w:rsidP="00F328D9">
            <w:pPr>
              <w:pStyle w:val="ListBullet"/>
              <w:ind w:left="253" w:hanging="253"/>
            </w:pPr>
            <w:r w:rsidRPr="00F57755">
              <w:t xml:space="preserve">South Australia did not enhance or diminish licence entitlements held for environmental use relative to like entitlements held and used for other purposes during 2014–15. </w:t>
            </w:r>
          </w:p>
          <w:p w:rsidR="00D65CC3" w:rsidRPr="00F57755" w:rsidRDefault="00D65CC3" w:rsidP="00F328D9">
            <w:pPr>
              <w:pStyle w:val="ListBullet"/>
              <w:ind w:left="253" w:hanging="253"/>
            </w:pPr>
            <w:r w:rsidRPr="00F57755">
              <w:t>South Australia provided its annual environmental watering priorities for 2015–16, consistent with the Basin Plan, to the MDBA in May 2015.</w:t>
            </w:r>
          </w:p>
          <w:p w:rsidR="00D65CC3" w:rsidRPr="00F57755" w:rsidRDefault="00D65CC3" w:rsidP="00F328D9">
            <w:pPr>
              <w:pStyle w:val="ListBullet"/>
              <w:ind w:left="253" w:hanging="253"/>
            </w:pPr>
            <w:r w:rsidRPr="00F57755">
              <w:t xml:space="preserve">South Australia consistently applied the Basin Plan’s </w:t>
            </w:r>
            <w:r w:rsidRPr="00F57755">
              <w:rPr>
                <w:i/>
              </w:rPr>
              <w:t>Principles to be applied in environmental watering</w:t>
            </w:r>
            <w:r w:rsidRPr="00F57755">
              <w:t xml:space="preserve"> during 2014–15.  </w:t>
            </w:r>
          </w:p>
          <w:p w:rsidR="00D65CC3" w:rsidRPr="00F57755" w:rsidRDefault="00D65CC3" w:rsidP="00F328D9">
            <w:pPr>
              <w:pStyle w:val="ListBullet"/>
              <w:ind w:left="253" w:hanging="253"/>
            </w:pPr>
            <w:r w:rsidRPr="00F57755">
              <w:t xml:space="preserve">Environmental watering in regulated catchments has occurred with regard to the views of local communities and persons materially affected by the management of environmental water. </w:t>
            </w:r>
          </w:p>
        </w:tc>
        <w:tc>
          <w:tcPr>
            <w:tcW w:w="1125" w:type="pct"/>
            <w:tcBorders>
              <w:top w:val="single" w:sz="4" w:space="0" w:color="0D223F"/>
              <w:bottom w:val="single" w:sz="4" w:space="0" w:color="0D223F"/>
            </w:tcBorders>
            <w:shd w:val="clear" w:color="auto" w:fill="auto"/>
          </w:tcPr>
          <w:p w:rsidR="00D65CC3" w:rsidRPr="00F57755" w:rsidRDefault="00D65CC3" w:rsidP="00F328D9">
            <w:pPr>
              <w:pStyle w:val="TableText"/>
              <w:rPr>
                <w:sz w:val="20"/>
                <w:szCs w:val="20"/>
              </w:rPr>
            </w:pPr>
            <w:r w:rsidRPr="00F57755">
              <w:rPr>
                <w:sz w:val="20"/>
                <w:szCs w:val="20"/>
              </w:rPr>
              <w:t>Commitment met</w:t>
            </w:r>
            <w:r w:rsidR="00CE05B2">
              <w:rPr>
                <w:sz w:val="20"/>
                <w:szCs w:val="20"/>
              </w:rPr>
              <w:t>.</w:t>
            </w:r>
          </w:p>
        </w:tc>
      </w:tr>
      <w:tr w:rsidR="00D65CC3" w:rsidRPr="00F57755" w:rsidTr="00D65CC3">
        <w:trPr>
          <w:trHeight w:val="60"/>
        </w:trPr>
        <w:tc>
          <w:tcPr>
            <w:tcW w:w="1895" w:type="pct"/>
            <w:tcBorders>
              <w:top w:val="single" w:sz="4" w:space="0" w:color="0D223F"/>
              <w:left w:val="nil"/>
              <w:bottom w:val="single" w:sz="4" w:space="0" w:color="0D223F"/>
              <w:right w:val="single" w:sz="4" w:space="0" w:color="0D223F"/>
            </w:tcBorders>
            <w:shd w:val="clear" w:color="auto" w:fill="auto"/>
          </w:tcPr>
          <w:p w:rsidR="00D65CC3" w:rsidRPr="00F57755" w:rsidRDefault="00D65CC3" w:rsidP="00F328D9">
            <w:pPr>
              <w:pStyle w:val="TableTextind1"/>
              <w:rPr>
                <w:szCs w:val="20"/>
              </w:rPr>
            </w:pPr>
            <w:r w:rsidRPr="00F57755">
              <w:rPr>
                <w:szCs w:val="20"/>
              </w:rPr>
              <w:t>9)</w:t>
            </w:r>
            <w:r w:rsidRPr="00F57755">
              <w:rPr>
                <w:szCs w:val="20"/>
              </w:rPr>
              <w:tab/>
              <w:t>For New South Wales, Victoria and South Australia only, the state has provided a brief description of supply measure projects for which feasibility and business cases are being developed for consideration under the SDL adjustment mechanism.</w:t>
            </w:r>
          </w:p>
        </w:tc>
        <w:tc>
          <w:tcPr>
            <w:tcW w:w="1980" w:type="pct"/>
            <w:tcBorders>
              <w:top w:val="single" w:sz="4" w:space="0" w:color="0D223F"/>
              <w:bottom w:val="single" w:sz="4" w:space="0" w:color="0D223F"/>
              <w:right w:val="single" w:sz="4" w:space="0" w:color="0D223F"/>
            </w:tcBorders>
            <w:shd w:val="clear" w:color="auto" w:fill="auto"/>
          </w:tcPr>
          <w:p w:rsidR="00D65CC3" w:rsidRPr="00F57755" w:rsidRDefault="00D65CC3" w:rsidP="00CE05B2">
            <w:pPr>
              <w:pStyle w:val="TableText"/>
              <w:numPr>
                <w:ilvl w:val="0"/>
                <w:numId w:val="19"/>
              </w:numPr>
              <w:ind w:left="253" w:hanging="253"/>
              <w:rPr>
                <w:sz w:val="20"/>
                <w:szCs w:val="20"/>
              </w:rPr>
            </w:pPr>
            <w:r w:rsidRPr="00F57755">
              <w:rPr>
                <w:sz w:val="20"/>
                <w:szCs w:val="20"/>
              </w:rPr>
              <w:t xml:space="preserve">South Australia has provided the Commonwealth with a description of supply measure projects for which business cases are being developed for consideration under the SDL adjustment mechanism. </w:t>
            </w:r>
          </w:p>
        </w:tc>
        <w:tc>
          <w:tcPr>
            <w:tcW w:w="1125" w:type="pct"/>
            <w:tcBorders>
              <w:top w:val="single" w:sz="4" w:space="0" w:color="0D223F"/>
              <w:bottom w:val="single" w:sz="4" w:space="0" w:color="0D223F"/>
            </w:tcBorders>
            <w:shd w:val="clear" w:color="auto" w:fill="auto"/>
          </w:tcPr>
          <w:p w:rsidR="00D65CC3" w:rsidRPr="00F57755" w:rsidRDefault="00D65CC3" w:rsidP="00F328D9">
            <w:pPr>
              <w:pStyle w:val="TableText"/>
              <w:rPr>
                <w:sz w:val="20"/>
                <w:szCs w:val="20"/>
              </w:rPr>
            </w:pPr>
            <w:r w:rsidRPr="00F57755">
              <w:rPr>
                <w:sz w:val="20"/>
                <w:szCs w:val="20"/>
              </w:rPr>
              <w:t>Commitment met</w:t>
            </w:r>
            <w:r w:rsidR="00CE05B2">
              <w:rPr>
                <w:sz w:val="20"/>
                <w:szCs w:val="20"/>
              </w:rPr>
              <w:t>.</w:t>
            </w:r>
          </w:p>
        </w:tc>
      </w:tr>
    </w:tbl>
    <w:p w:rsidR="00D65CC3" w:rsidRDefault="00D65CC3" w:rsidP="00D65CC3">
      <w:pPr>
        <w:pStyle w:val="Heading2List"/>
        <w:numPr>
          <w:ilvl w:val="0"/>
          <w:numId w:val="0"/>
        </w:numPr>
        <w:ind w:left="737"/>
      </w:pPr>
      <w:bookmarkStart w:id="101" w:name="_Toc397340663"/>
    </w:p>
    <w:p w:rsidR="00D65CC3" w:rsidRDefault="00D65CC3" w:rsidP="00D65CC3">
      <w:pPr>
        <w:pStyle w:val="Heading2List"/>
      </w:pPr>
      <w:bookmarkStart w:id="102" w:name="_Toc401664306"/>
      <w:bookmarkStart w:id="103" w:name="_Toc433882371"/>
      <w:r w:rsidRPr="00BB3307">
        <w:t xml:space="preserve">Bridging the </w:t>
      </w:r>
      <w:r>
        <w:t>g</w:t>
      </w:r>
      <w:r w:rsidRPr="00BB3307">
        <w:t>ap</w:t>
      </w:r>
      <w:bookmarkEnd w:id="101"/>
      <w:bookmarkEnd w:id="102"/>
      <w:bookmarkEnd w:id="103"/>
      <w:r>
        <w:t xml:space="preserve"> </w:t>
      </w:r>
    </w:p>
    <w:p w:rsidR="00D65CC3" w:rsidRDefault="00D65CC3" w:rsidP="00D65CC3">
      <w:pPr>
        <w:rPr>
          <w:b/>
          <w:sz w:val="24"/>
          <w:szCs w:val="24"/>
        </w:rPr>
      </w:pPr>
      <w:r w:rsidRPr="000A39A1">
        <w:rPr>
          <w:b/>
          <w:sz w:val="24"/>
          <w:szCs w:val="24"/>
        </w:rPr>
        <w:t>Removal of barriers</w:t>
      </w:r>
    </w:p>
    <w:p w:rsidR="0075319D" w:rsidRDefault="0075319D" w:rsidP="00D65CC3">
      <w:pPr>
        <w:rPr>
          <w:noProof/>
        </w:rPr>
      </w:pPr>
      <w:r>
        <w:rPr>
          <w:noProof/>
        </w:rPr>
        <w:t>The Basin Plan Water Trading R</w:t>
      </w:r>
      <w:r w:rsidRPr="00C63464">
        <w:rPr>
          <w:noProof/>
        </w:rPr>
        <w:t xml:space="preserve">ules came into effect on 1 July 2014. </w:t>
      </w:r>
      <w:r>
        <w:rPr>
          <w:noProof/>
        </w:rPr>
        <w:t>I</w:t>
      </w:r>
      <w:r w:rsidRPr="00C63464">
        <w:rPr>
          <w:noProof/>
        </w:rPr>
        <w:t xml:space="preserve">n </w:t>
      </w:r>
      <w:r>
        <w:rPr>
          <w:noProof/>
        </w:rPr>
        <w:t>June 2015</w:t>
      </w:r>
      <w:r w:rsidRPr="00C63464">
        <w:rPr>
          <w:noProof/>
        </w:rPr>
        <w:t xml:space="preserve"> </w:t>
      </w:r>
      <w:r>
        <w:rPr>
          <w:noProof/>
        </w:rPr>
        <w:t xml:space="preserve">the </w:t>
      </w:r>
      <w:r w:rsidRPr="00C63464">
        <w:rPr>
          <w:noProof/>
        </w:rPr>
        <w:t xml:space="preserve">MDBA </w:t>
      </w:r>
      <w:r>
        <w:rPr>
          <w:noProof/>
        </w:rPr>
        <w:t>provided its preliminary views</w:t>
      </w:r>
      <w:r w:rsidRPr="00C63464">
        <w:rPr>
          <w:noProof/>
        </w:rPr>
        <w:t xml:space="preserve"> </w:t>
      </w:r>
      <w:r>
        <w:rPr>
          <w:noProof/>
        </w:rPr>
        <w:t>on issues it considered to be high priority for the consistency of South Australia’s arrangements with the Basin Plan Trading Rules. In particular, the restriction on</w:t>
      </w:r>
      <w:r w:rsidRPr="00C63464">
        <w:rPr>
          <w:noProof/>
        </w:rPr>
        <w:t xml:space="preserve"> </w:t>
      </w:r>
      <w:r>
        <w:rPr>
          <w:noProof/>
        </w:rPr>
        <w:t>trade in the Eastern Mount Lofty Ranges was highlighted</w:t>
      </w:r>
      <w:r w:rsidRPr="00C63464">
        <w:rPr>
          <w:noProof/>
        </w:rPr>
        <w:t xml:space="preserve">. </w:t>
      </w:r>
      <w:r>
        <w:rPr>
          <w:noProof/>
        </w:rPr>
        <w:t xml:space="preserve">The MDBA is now satified that this matter has been resolved with the issueing of tradeable licences in the </w:t>
      </w:r>
      <w:r>
        <w:t>Eastern Mount Lofty Ranges.</w:t>
      </w:r>
      <w:r>
        <w:rPr>
          <w:noProof/>
        </w:rPr>
        <w:t xml:space="preserve"> In considering the ongoing obligations associated with Milestone 6, the Department anticipates that discussions between South Australia and the MDBA will continue. If any further areas of inconsistency with the Trading Rules are identified, South Australia will need to work cooperatively</w:t>
      </w:r>
      <w:r w:rsidRPr="00C63464">
        <w:rPr>
          <w:noProof/>
        </w:rPr>
        <w:t xml:space="preserve"> with the MDBA</w:t>
      </w:r>
      <w:r>
        <w:rPr>
          <w:noProof/>
        </w:rPr>
        <w:t xml:space="preserve"> during</w:t>
      </w:r>
      <w:r w:rsidRPr="00C63464">
        <w:rPr>
          <w:noProof/>
        </w:rPr>
        <w:t xml:space="preserve"> 2015-16</w:t>
      </w:r>
      <w:r>
        <w:rPr>
          <w:noProof/>
        </w:rPr>
        <w:t xml:space="preserve"> to develop</w:t>
      </w:r>
      <w:r w:rsidRPr="00C63464">
        <w:rPr>
          <w:noProof/>
        </w:rPr>
        <w:t xml:space="preserve"> a work program </w:t>
      </w:r>
      <w:r>
        <w:rPr>
          <w:noProof/>
        </w:rPr>
        <w:t>and agree</w:t>
      </w:r>
      <w:r w:rsidRPr="00C63464">
        <w:rPr>
          <w:noProof/>
        </w:rPr>
        <w:t xml:space="preserve"> timeframes to </w:t>
      </w:r>
      <w:r>
        <w:rPr>
          <w:noProof/>
        </w:rPr>
        <w:t>address any inconsistencies.</w:t>
      </w:r>
    </w:p>
    <w:p w:rsidR="00D65CC3" w:rsidRPr="00D65CC3" w:rsidRDefault="00D65CC3" w:rsidP="00D65CC3">
      <w:pPr>
        <w:rPr>
          <w:b/>
          <w:i/>
          <w:sz w:val="24"/>
          <w:szCs w:val="24"/>
        </w:rPr>
      </w:pPr>
      <w:r w:rsidRPr="00D65CC3">
        <w:rPr>
          <w:b/>
          <w:sz w:val="24"/>
          <w:szCs w:val="24"/>
        </w:rPr>
        <w:t>Restrictions on trade</w:t>
      </w:r>
    </w:p>
    <w:p w:rsidR="00D65CC3" w:rsidRPr="00C67385" w:rsidRDefault="00D65CC3" w:rsidP="00D65CC3">
      <w:pPr>
        <w:rPr>
          <w:szCs w:val="18"/>
        </w:rPr>
      </w:pPr>
      <w:r w:rsidRPr="00C67385">
        <w:rPr>
          <w:szCs w:val="18"/>
        </w:rPr>
        <w:t>South Australia stated that in 2014–15 it did not introduce any restrictions or suspensions on the trade of water access entitlements (SA Govt 2015). The MDBA has confirmed that it is not aware of any new restrictions that were introduced in 2014-15 in South Australia that are inconsistent with the Basin Plan.</w:t>
      </w:r>
    </w:p>
    <w:p w:rsidR="00D65CC3" w:rsidRPr="000A39A1" w:rsidRDefault="00D65CC3" w:rsidP="00D65CC3">
      <w:pPr>
        <w:rPr>
          <w:b/>
          <w:sz w:val="24"/>
          <w:szCs w:val="24"/>
        </w:rPr>
      </w:pPr>
      <w:r>
        <w:rPr>
          <w:b/>
          <w:sz w:val="24"/>
          <w:szCs w:val="24"/>
        </w:rPr>
        <w:t>Actions to impede Commonwealth water acquisitions</w:t>
      </w:r>
    </w:p>
    <w:p w:rsidR="00D65CC3" w:rsidRPr="00C67385" w:rsidRDefault="00D65CC3" w:rsidP="00D65CC3">
      <w:pPr>
        <w:rPr>
          <w:szCs w:val="18"/>
        </w:rPr>
      </w:pPr>
      <w:r w:rsidRPr="00C67385">
        <w:rPr>
          <w:szCs w:val="18"/>
        </w:rPr>
        <w:t xml:space="preserve">South Australia confirmed in its Statement of Assurance that it did not take any action to impede Commonwealth measures to acquire water for environmental purposes during 2014–15 </w:t>
      </w:r>
      <w:r w:rsidRPr="00C67385">
        <w:rPr>
          <w:noProof/>
          <w:szCs w:val="18"/>
        </w:rPr>
        <w:t>(SA Govt 2015)</w:t>
      </w:r>
      <w:r w:rsidRPr="00C67385">
        <w:rPr>
          <w:szCs w:val="18"/>
        </w:rPr>
        <w:t xml:space="preserve">. </w:t>
      </w:r>
    </w:p>
    <w:p w:rsidR="00D65CC3" w:rsidRPr="00D65CC3" w:rsidRDefault="00D65CC3" w:rsidP="00D65CC3">
      <w:pPr>
        <w:pStyle w:val="Heading4"/>
        <w:rPr>
          <w:b w:val="0"/>
          <w:i/>
          <w:color w:val="auto"/>
          <w:sz w:val="24"/>
        </w:rPr>
      </w:pPr>
      <w:r w:rsidRPr="00D65CC3">
        <w:rPr>
          <w:color w:val="auto"/>
          <w:sz w:val="24"/>
        </w:rPr>
        <w:t>Processing times for trades</w:t>
      </w:r>
    </w:p>
    <w:p w:rsidR="00D65CC3" w:rsidRPr="00C67385" w:rsidRDefault="00D65CC3" w:rsidP="00D65CC3">
      <w:pPr>
        <w:rPr>
          <w:i/>
        </w:rPr>
      </w:pPr>
      <w:r w:rsidRPr="00C67385">
        <w:t>South Australia stated that it had met the agreed processing times for each water entitlement and allocation trade to which the Commonwealth was a party during the reporting period (SA Govt 2015). These findings are supported by data publicly available from South Australia’s water trade reporting website</w:t>
      </w:r>
      <w:r w:rsidRPr="00C67385">
        <w:rPr>
          <w:rStyle w:val="FootnoteReference"/>
          <w:szCs w:val="18"/>
        </w:rPr>
        <w:footnoteReference w:id="7"/>
      </w:r>
      <w:r w:rsidRPr="00C67385">
        <w:t xml:space="preserve">. </w:t>
      </w:r>
    </w:p>
    <w:p w:rsidR="00D65CC3" w:rsidRPr="00D65CC3" w:rsidRDefault="00D65CC3" w:rsidP="00D65CC3">
      <w:pPr>
        <w:pStyle w:val="Heading4"/>
        <w:rPr>
          <w:b w:val="0"/>
          <w:i/>
          <w:color w:val="auto"/>
          <w:sz w:val="24"/>
        </w:rPr>
      </w:pPr>
      <w:r w:rsidRPr="00D65CC3">
        <w:rPr>
          <w:color w:val="auto"/>
          <w:sz w:val="24"/>
        </w:rPr>
        <w:t>NWI-consistent entitlements</w:t>
      </w:r>
    </w:p>
    <w:p w:rsidR="00D65CC3" w:rsidRPr="00C67385" w:rsidRDefault="00D65CC3" w:rsidP="00D65CC3">
      <w:pPr>
        <w:pStyle w:val="BodyText"/>
        <w:rPr>
          <w:sz w:val="20"/>
          <w:szCs w:val="18"/>
        </w:rPr>
      </w:pPr>
      <w:r w:rsidRPr="00C67385">
        <w:rPr>
          <w:sz w:val="20"/>
          <w:szCs w:val="18"/>
        </w:rPr>
        <w:t xml:space="preserve">The River Murray Prescribed Water Course is the only regulated surface water system within the South Australian Murray–Darling Basin. Water access entitlements for this system have been unbundled in line with clauses 28–32 of the NWI since 2009 (NWC 2014). </w:t>
      </w:r>
      <w:bookmarkStart w:id="104" w:name="_Toc396746173"/>
    </w:p>
    <w:p w:rsidR="00D65CC3" w:rsidRPr="00EB7309" w:rsidRDefault="00D65CC3" w:rsidP="00D65CC3">
      <w:pPr>
        <w:pStyle w:val="BodyText"/>
      </w:pPr>
    </w:p>
    <w:p w:rsidR="00D65CC3" w:rsidRDefault="00D65CC3" w:rsidP="00D65CC3">
      <w:pPr>
        <w:pStyle w:val="Heading2List"/>
      </w:pPr>
      <w:bookmarkStart w:id="105" w:name="_Toc401664307"/>
      <w:bookmarkStart w:id="106" w:name="_Toc433882372"/>
      <w:r>
        <w:t>Implementation of the Constraints Management Strategy</w:t>
      </w:r>
      <w:bookmarkEnd w:id="104"/>
      <w:bookmarkEnd w:id="105"/>
      <w:bookmarkEnd w:id="106"/>
      <w:r>
        <w:t xml:space="preserve"> </w:t>
      </w:r>
    </w:p>
    <w:p w:rsidR="00D65CC3" w:rsidRPr="00C67385" w:rsidRDefault="00D65CC3" w:rsidP="00D65CC3">
      <w:r w:rsidRPr="00C67385">
        <w:t>The MDBA published the Constraints Management Strategy in November 2013.</w:t>
      </w:r>
    </w:p>
    <w:p w:rsidR="00D65CC3" w:rsidRPr="00C67385" w:rsidRDefault="00D65CC3" w:rsidP="00D65CC3">
      <w:r w:rsidRPr="00C67385">
        <w:t>Schedule A requires that, following publication of the strategy, any actions taken by the state to remove or address constraints are to be consistent with the measures agreed through the inter-jurisdictional governance procedure for the SDL adjustment mechanism.</w:t>
      </w:r>
    </w:p>
    <w:p w:rsidR="00D65CC3" w:rsidRPr="00C67385" w:rsidRDefault="00D65CC3" w:rsidP="00D65CC3">
      <w:r w:rsidRPr="00C67385">
        <w:t>The Department is aware that South Australia is developing business cases for the constraint focus areas for which it is the proponent. Under the revised assessment timeframes agreed by Ministerial Council 29 May 2015, States have until 30 November 2015 to prepare and submit constraint business cases.</w:t>
      </w:r>
    </w:p>
    <w:p w:rsidR="00D65CC3" w:rsidRDefault="00D65CC3" w:rsidP="00D65CC3"/>
    <w:p w:rsidR="00D65CC3" w:rsidRDefault="00D65CC3" w:rsidP="00D65CC3">
      <w:pPr>
        <w:pStyle w:val="Heading2List"/>
      </w:pPr>
      <w:bookmarkStart w:id="107" w:name="_Toc396746174"/>
      <w:bookmarkStart w:id="108" w:name="_Toc401664308"/>
      <w:bookmarkStart w:id="109" w:name="_Toc433882373"/>
      <w:r>
        <w:t>Cooperation in environmental watering</w:t>
      </w:r>
      <w:bookmarkEnd w:id="107"/>
      <w:bookmarkEnd w:id="108"/>
      <w:bookmarkEnd w:id="109"/>
    </w:p>
    <w:p w:rsidR="00D65CC3" w:rsidRPr="00D65CC3" w:rsidRDefault="00D65CC3" w:rsidP="00D65CC3">
      <w:pPr>
        <w:pStyle w:val="Heading4"/>
        <w:rPr>
          <w:b w:val="0"/>
          <w:i/>
          <w:color w:val="auto"/>
          <w:sz w:val="24"/>
        </w:rPr>
      </w:pPr>
      <w:r w:rsidRPr="00D65CC3">
        <w:rPr>
          <w:color w:val="auto"/>
          <w:sz w:val="24"/>
        </w:rPr>
        <w:t>Characteristics of licensed entitlements</w:t>
      </w:r>
    </w:p>
    <w:p w:rsidR="00D65CC3" w:rsidRPr="00C67385" w:rsidRDefault="00D65CC3" w:rsidP="00D65CC3">
      <w:pPr>
        <w:pStyle w:val="BodyText"/>
        <w:rPr>
          <w:sz w:val="20"/>
          <w:szCs w:val="20"/>
        </w:rPr>
      </w:pPr>
      <w:r w:rsidRPr="00C67385">
        <w:rPr>
          <w:sz w:val="20"/>
          <w:szCs w:val="20"/>
        </w:rPr>
        <w:t xml:space="preserve">South Australia’s Statement of Assurance noted that characteristics of licence entitlements held for environmental use were not enhanced or diminished relative to like entitlements held and used for other purposes during 2014–15 (SA Govt 2015). </w:t>
      </w:r>
      <w:r w:rsidRPr="004D592F">
        <w:rPr>
          <w:sz w:val="20"/>
          <w:szCs w:val="20"/>
        </w:rPr>
        <w:t>The MDBA have not been notified of any restrictions that would constitute discriminatory or preferential treatment for licensed entitlements held for environmental use.</w:t>
      </w:r>
    </w:p>
    <w:p w:rsidR="00D65CC3" w:rsidRPr="00C67385" w:rsidRDefault="00D65CC3" w:rsidP="00D65CC3">
      <w:pPr>
        <w:pStyle w:val="BodyText"/>
        <w:rPr>
          <w:b/>
          <w:sz w:val="28"/>
        </w:rPr>
      </w:pPr>
      <w:r w:rsidRPr="000A4FB2">
        <w:rPr>
          <w:sz w:val="20"/>
          <w:szCs w:val="18"/>
        </w:rPr>
        <w:t xml:space="preserve">The Department is aware that South Australia has prepared a draft Water Allocation Plan for the River Murray Prescribed Watercourse. </w:t>
      </w:r>
      <w:r w:rsidRPr="000A4FB2">
        <w:rPr>
          <w:iCs/>
          <w:sz w:val="20"/>
          <w:szCs w:val="18"/>
        </w:rPr>
        <w:t xml:space="preserve">The Commonwealth Environmental Water Holder </w:t>
      </w:r>
      <w:r>
        <w:rPr>
          <w:iCs/>
          <w:sz w:val="20"/>
          <w:szCs w:val="18"/>
        </w:rPr>
        <w:t xml:space="preserve">(CEWH) </w:t>
      </w:r>
      <w:r w:rsidRPr="000A4FB2">
        <w:rPr>
          <w:iCs/>
          <w:sz w:val="20"/>
          <w:szCs w:val="18"/>
        </w:rPr>
        <w:t>has expressed concern that the proposed principles for allocating water in dry conditions may result in the substitution of planned environmental water with held environmental water</w:t>
      </w:r>
      <w:r w:rsidRPr="000A4FB2">
        <w:rPr>
          <w:sz w:val="20"/>
          <w:szCs w:val="18"/>
        </w:rPr>
        <w:t xml:space="preserve"> (specifically where there is a requirement for the Minister to give consideration to environmental water made available by the </w:t>
      </w:r>
      <w:r>
        <w:rPr>
          <w:sz w:val="20"/>
          <w:szCs w:val="18"/>
        </w:rPr>
        <w:t>CEWH</w:t>
      </w:r>
      <w:r w:rsidRPr="000A4FB2">
        <w:rPr>
          <w:sz w:val="20"/>
          <w:szCs w:val="18"/>
        </w:rPr>
        <w:t xml:space="preserve"> to South Australia, when determining the volume to be allocated to other users). </w:t>
      </w:r>
      <w:r w:rsidR="006D28B8">
        <w:rPr>
          <w:iCs/>
          <w:sz w:val="20"/>
          <w:szCs w:val="18"/>
        </w:rPr>
        <w:t>T</w:t>
      </w:r>
      <w:r w:rsidRPr="000A4FB2">
        <w:rPr>
          <w:iCs/>
          <w:sz w:val="20"/>
          <w:szCs w:val="18"/>
        </w:rPr>
        <w:t>he Department</w:t>
      </w:r>
      <w:r w:rsidR="006D28B8">
        <w:rPr>
          <w:iCs/>
          <w:sz w:val="20"/>
          <w:szCs w:val="18"/>
        </w:rPr>
        <w:t xml:space="preserve"> anticipates</w:t>
      </w:r>
      <w:r w:rsidRPr="000A4FB2">
        <w:rPr>
          <w:iCs/>
          <w:sz w:val="20"/>
          <w:szCs w:val="18"/>
        </w:rPr>
        <w:t xml:space="preserve"> that South Australia will consider the issues raised by the CEWH when finalising the River Murray WAP during 2015-16.</w:t>
      </w:r>
    </w:p>
    <w:p w:rsidR="00D65CC3" w:rsidRDefault="00D65CC3" w:rsidP="00D65CC3">
      <w:pPr>
        <w:pStyle w:val="BodyText"/>
        <w:rPr>
          <w:b/>
          <w:sz w:val="24"/>
        </w:rPr>
      </w:pPr>
      <w:r>
        <w:rPr>
          <w:b/>
          <w:sz w:val="24"/>
        </w:rPr>
        <w:t>Annual environmental watering priorities</w:t>
      </w:r>
    </w:p>
    <w:p w:rsidR="00D65CC3" w:rsidRPr="00F57755" w:rsidRDefault="00D65CC3" w:rsidP="00D65CC3">
      <w:pPr>
        <w:pStyle w:val="BodyText"/>
        <w:rPr>
          <w:color w:val="1F497D"/>
          <w:sz w:val="20"/>
          <w:szCs w:val="20"/>
        </w:rPr>
      </w:pPr>
      <w:r w:rsidRPr="00F57755">
        <w:rPr>
          <w:sz w:val="20"/>
          <w:szCs w:val="18"/>
        </w:rPr>
        <w:t xml:space="preserve">South Australia’s </w:t>
      </w:r>
      <w:r>
        <w:rPr>
          <w:sz w:val="20"/>
          <w:szCs w:val="18"/>
        </w:rPr>
        <w:t>Statement of Assurance confirmed</w:t>
      </w:r>
      <w:r w:rsidRPr="00F57755">
        <w:rPr>
          <w:sz w:val="20"/>
          <w:szCs w:val="18"/>
        </w:rPr>
        <w:t xml:space="preserve"> that the MDBA was provided with annual environmental watering priorities, consistent with the Basin Plan,</w:t>
      </w:r>
      <w:r>
        <w:rPr>
          <w:sz w:val="20"/>
          <w:szCs w:val="18"/>
        </w:rPr>
        <w:t xml:space="preserve"> prior to 31 May 2015</w:t>
      </w:r>
      <w:r w:rsidRPr="00F57755">
        <w:rPr>
          <w:sz w:val="20"/>
          <w:szCs w:val="18"/>
        </w:rPr>
        <w:t>.</w:t>
      </w:r>
      <w:r>
        <w:rPr>
          <w:sz w:val="20"/>
          <w:szCs w:val="18"/>
        </w:rPr>
        <w:t xml:space="preserve"> </w:t>
      </w:r>
      <w:r w:rsidRPr="00F57755">
        <w:rPr>
          <w:rFonts w:cs="TradeGothicLTStd-Light"/>
          <w:noProof/>
          <w:spacing w:val="-1"/>
          <w:sz w:val="20"/>
          <w:szCs w:val="18"/>
        </w:rPr>
        <w:t xml:space="preserve">The annual watering priorities are </w:t>
      </w:r>
      <w:r>
        <w:rPr>
          <w:rFonts w:cs="TradeGothicLTStd-Light"/>
          <w:noProof/>
          <w:spacing w:val="-1"/>
          <w:sz w:val="20"/>
          <w:szCs w:val="18"/>
        </w:rPr>
        <w:t>also</w:t>
      </w:r>
      <w:r w:rsidRPr="00F57755">
        <w:rPr>
          <w:rFonts w:cs="TradeGothicLTStd-Light"/>
          <w:noProof/>
          <w:spacing w:val="-1"/>
          <w:sz w:val="20"/>
          <w:szCs w:val="18"/>
        </w:rPr>
        <w:t xml:space="preserve"> publicly available on </w:t>
      </w:r>
      <w:r>
        <w:rPr>
          <w:rFonts w:cs="TradeGothicLTStd-Light"/>
          <w:noProof/>
          <w:spacing w:val="-1"/>
          <w:sz w:val="20"/>
          <w:szCs w:val="18"/>
        </w:rPr>
        <w:t>the</w:t>
      </w:r>
      <w:r w:rsidRPr="00F57755">
        <w:rPr>
          <w:rFonts w:cs="TradeGothicLTStd-Light"/>
          <w:noProof/>
          <w:spacing w:val="-1"/>
          <w:sz w:val="20"/>
          <w:szCs w:val="18"/>
        </w:rPr>
        <w:t xml:space="preserve"> DEWNR’s websit</w:t>
      </w:r>
      <w:r w:rsidRPr="00F57755">
        <w:rPr>
          <w:rFonts w:cs="TradeGothicLTStd-Light"/>
          <w:noProof/>
          <w:spacing w:val="-1"/>
          <w:szCs w:val="18"/>
        </w:rPr>
        <w:t>e</w:t>
      </w:r>
      <w:r w:rsidR="00CE05B2">
        <w:rPr>
          <w:rStyle w:val="FootnoteReference"/>
          <w:noProof/>
          <w:spacing w:val="-1"/>
          <w:szCs w:val="18"/>
        </w:rPr>
        <w:footnoteReference w:id="8"/>
      </w:r>
      <w:r w:rsidRPr="00F57755">
        <w:rPr>
          <w:rFonts w:cs="TradeGothicLTStd-Light"/>
          <w:noProof/>
          <w:spacing w:val="-1"/>
          <w:sz w:val="20"/>
          <w:szCs w:val="18"/>
        </w:rPr>
        <w:t>.</w:t>
      </w:r>
      <w:r w:rsidRPr="00C67385">
        <w:rPr>
          <w:rFonts w:cs="TradeGothicLTStd-Light"/>
          <w:noProof/>
          <w:spacing w:val="-1"/>
          <w:sz w:val="20"/>
          <w:szCs w:val="18"/>
        </w:rPr>
        <w:t xml:space="preserve"> </w:t>
      </w:r>
    </w:p>
    <w:p w:rsidR="00D65CC3" w:rsidRPr="00D65CC3" w:rsidRDefault="00D65CC3" w:rsidP="00D65CC3">
      <w:pPr>
        <w:pStyle w:val="Heading4"/>
        <w:rPr>
          <w:rFonts w:cs="TradeGothicLTStd-Light"/>
          <w:b w:val="0"/>
          <w:i/>
          <w:color w:val="auto"/>
          <w:spacing w:val="-1"/>
          <w:sz w:val="24"/>
        </w:rPr>
      </w:pPr>
      <w:r w:rsidRPr="00D65CC3">
        <w:rPr>
          <w:rFonts w:cs="TradeGothicLTStd-Light"/>
          <w:color w:val="auto"/>
          <w:spacing w:val="-1"/>
          <w:sz w:val="24"/>
        </w:rPr>
        <w:t>Management of environmental water consistent with Basin Plan</w:t>
      </w:r>
    </w:p>
    <w:p w:rsidR="00D65CC3" w:rsidRPr="00C67385" w:rsidRDefault="00D65CC3" w:rsidP="00D65CC3">
      <w:pPr>
        <w:rPr>
          <w:szCs w:val="18"/>
        </w:rPr>
      </w:pPr>
      <w:r w:rsidRPr="00C67385">
        <w:rPr>
          <w:szCs w:val="18"/>
        </w:rPr>
        <w:t xml:space="preserve">South Australia confirmed in its Statement of Assurance that </w:t>
      </w:r>
      <w:r w:rsidRPr="00C67385">
        <w:t xml:space="preserve">management and delivery of both planned and held </w:t>
      </w:r>
      <w:r w:rsidRPr="00C67385">
        <w:rPr>
          <w:szCs w:val="18"/>
        </w:rPr>
        <w:t xml:space="preserve">environmental water was undertaken consistent with the </w:t>
      </w:r>
      <w:r w:rsidRPr="00C67385">
        <w:rPr>
          <w:i/>
          <w:szCs w:val="18"/>
        </w:rPr>
        <w:t>Principles to be applied in environmental watering</w:t>
      </w:r>
      <w:r w:rsidRPr="00C67385">
        <w:rPr>
          <w:szCs w:val="18"/>
        </w:rPr>
        <w:t xml:space="preserve"> (SA Govt 2015).  </w:t>
      </w:r>
    </w:p>
    <w:p w:rsidR="00D65CC3" w:rsidRPr="00C67385" w:rsidRDefault="00D65CC3" w:rsidP="00D65CC3">
      <w:pPr>
        <w:rPr>
          <w:szCs w:val="18"/>
        </w:rPr>
      </w:pPr>
      <w:r w:rsidRPr="00C67385">
        <w:rPr>
          <w:szCs w:val="18"/>
        </w:rPr>
        <w:t>Each year South Australia prepares the Annual Environmental Watering Plan for the South Australian River Murray to guide planned and held environmental water delivery in the state. It documents the agreed program for environmental water delivery along the River Murray in South Australia, including the Lower Lakes, Coorong and Murray Mouth.</w:t>
      </w:r>
    </w:p>
    <w:p w:rsidR="00D65CC3" w:rsidRPr="00C67385" w:rsidRDefault="00D65CC3" w:rsidP="00D65CC3">
      <w:pPr>
        <w:rPr>
          <w:szCs w:val="18"/>
        </w:rPr>
      </w:pPr>
      <w:r w:rsidRPr="00C67385">
        <w:rPr>
          <w:szCs w:val="18"/>
        </w:rPr>
        <w:t xml:space="preserve">In the 2014-15 assessment </w:t>
      </w:r>
      <w:proofErr w:type="gramStart"/>
      <w:r w:rsidRPr="00C67385">
        <w:rPr>
          <w:szCs w:val="18"/>
        </w:rPr>
        <w:t>period</w:t>
      </w:r>
      <w:proofErr w:type="gramEnd"/>
      <w:r w:rsidRPr="00C67385">
        <w:rPr>
          <w:szCs w:val="18"/>
        </w:rPr>
        <w:t xml:space="preserve">, annual environmental watering priorities were also developed for the Eastern Mount Lofty Ranges, and the South Australian Murray regions. </w:t>
      </w:r>
    </w:p>
    <w:p w:rsidR="00D65CC3" w:rsidRPr="00C67385" w:rsidRDefault="00D65CC3" w:rsidP="00D65CC3">
      <w:pPr>
        <w:rPr>
          <w:szCs w:val="18"/>
        </w:rPr>
      </w:pPr>
      <w:r w:rsidRPr="00C67385">
        <w:rPr>
          <w:szCs w:val="18"/>
        </w:rPr>
        <w:t>Environmental water arrangements for the management and delivery of environmental water differ between regions. In the River Murray held environment</w:t>
      </w:r>
      <w:r>
        <w:rPr>
          <w:szCs w:val="18"/>
        </w:rPr>
        <w:t>al water is available from four</w:t>
      </w:r>
      <w:r w:rsidRPr="00C67385">
        <w:rPr>
          <w:szCs w:val="18"/>
        </w:rPr>
        <w:t xml:space="preserve"> sources – the C</w:t>
      </w:r>
      <w:r>
        <w:rPr>
          <w:szCs w:val="18"/>
        </w:rPr>
        <w:t>EWH</w:t>
      </w:r>
      <w:r w:rsidRPr="00C67385">
        <w:rPr>
          <w:szCs w:val="18"/>
        </w:rPr>
        <w:t xml:space="preserve">, The Living Murray, </w:t>
      </w:r>
      <w:proofErr w:type="gramStart"/>
      <w:r w:rsidRPr="00C67385">
        <w:rPr>
          <w:szCs w:val="18"/>
        </w:rPr>
        <w:t>the</w:t>
      </w:r>
      <w:proofErr w:type="gramEnd"/>
      <w:r w:rsidRPr="00C67385">
        <w:rPr>
          <w:szCs w:val="18"/>
        </w:rPr>
        <w:t xml:space="preserve"> South Australian Government and non-government organisations. There is no held environmental water in the Eastern Mount Lofty Ranges Water Resource Plan area. Rather, the management of water for the environment occurs primarily through planned environmental water. Environmental watering rules are set through the Eastern Mount Lofty Ranges WAP which came into effect on 17 December 2013.</w:t>
      </w:r>
    </w:p>
    <w:p w:rsidR="00D65CC3" w:rsidRPr="00C67385" w:rsidRDefault="00D65CC3" w:rsidP="00D65CC3">
      <w:pPr>
        <w:rPr>
          <w:szCs w:val="18"/>
        </w:rPr>
      </w:pPr>
      <w:r w:rsidRPr="00C67385">
        <w:rPr>
          <w:szCs w:val="18"/>
        </w:rPr>
        <w:t xml:space="preserve">South Australia’s Basin Plan Schedule 12 reporting confirms that environmental watering undertaken in 2014-15 was consistent with the </w:t>
      </w:r>
      <w:r w:rsidRPr="00C67385">
        <w:rPr>
          <w:i/>
          <w:szCs w:val="18"/>
        </w:rPr>
        <w:t>Principles to be applied in environmental watering</w:t>
      </w:r>
      <w:r w:rsidRPr="00C67385">
        <w:rPr>
          <w:szCs w:val="18"/>
        </w:rPr>
        <w:t>, and provides a detailed account of the environmental watering events undertaken, the volumes used and the purpose of the watering.</w:t>
      </w:r>
    </w:p>
    <w:p w:rsidR="00D65CC3" w:rsidRPr="00D65CC3" w:rsidRDefault="00D65CC3" w:rsidP="00D65CC3">
      <w:pPr>
        <w:pStyle w:val="Heading4"/>
        <w:rPr>
          <w:b w:val="0"/>
          <w:i/>
          <w:color w:val="auto"/>
          <w:sz w:val="24"/>
        </w:rPr>
      </w:pPr>
      <w:r w:rsidRPr="00D65CC3">
        <w:rPr>
          <w:color w:val="auto"/>
          <w:sz w:val="24"/>
        </w:rPr>
        <w:t xml:space="preserve">Consultation on </w:t>
      </w:r>
      <w:r w:rsidRPr="00D65CC3">
        <w:rPr>
          <w:rFonts w:cs="TradeGothicLTStd-Light"/>
          <w:color w:val="auto"/>
          <w:spacing w:val="-1"/>
          <w:sz w:val="24"/>
        </w:rPr>
        <w:t xml:space="preserve">environmental </w:t>
      </w:r>
      <w:r w:rsidRPr="00D65CC3">
        <w:rPr>
          <w:color w:val="auto"/>
          <w:sz w:val="24"/>
        </w:rPr>
        <w:t>watering</w:t>
      </w:r>
    </w:p>
    <w:p w:rsidR="00D65CC3" w:rsidRPr="00C67385" w:rsidRDefault="00D65CC3" w:rsidP="00D65CC3">
      <w:pPr>
        <w:pStyle w:val="BodyText"/>
        <w:rPr>
          <w:sz w:val="20"/>
          <w:szCs w:val="18"/>
        </w:rPr>
      </w:pPr>
      <w:r w:rsidRPr="00C67385">
        <w:rPr>
          <w:sz w:val="20"/>
          <w:szCs w:val="18"/>
        </w:rPr>
        <w:t>Schedule 12 reporting for the Basin Plan provided by South Australia stated that during 2014-15 the DEWNR consulted a large range of stakeholders regarding environmental watering decisions. Stakeholders engaged to inform the delivery of environment water during 2014-15 included:</w:t>
      </w:r>
    </w:p>
    <w:p w:rsidR="00D65CC3" w:rsidRPr="00C67385" w:rsidRDefault="00D65CC3" w:rsidP="00D65CC3">
      <w:pPr>
        <w:pStyle w:val="ListBullet"/>
        <w:rPr>
          <w:szCs w:val="18"/>
        </w:rPr>
      </w:pPr>
      <w:r w:rsidRPr="00C67385">
        <w:rPr>
          <w:szCs w:val="18"/>
        </w:rPr>
        <w:t>The Commonwealth Environmental Water Holder</w:t>
      </w:r>
    </w:p>
    <w:p w:rsidR="00D65CC3" w:rsidRPr="00C67385" w:rsidRDefault="00D65CC3" w:rsidP="00D65CC3">
      <w:pPr>
        <w:pStyle w:val="ListBullet"/>
        <w:rPr>
          <w:szCs w:val="18"/>
        </w:rPr>
      </w:pPr>
      <w:r w:rsidRPr="00C67385">
        <w:rPr>
          <w:szCs w:val="18"/>
        </w:rPr>
        <w:t>Local Action Planning (LAP) officers</w:t>
      </w:r>
    </w:p>
    <w:p w:rsidR="00D65CC3" w:rsidRPr="00C67385" w:rsidRDefault="00D65CC3" w:rsidP="00D65CC3">
      <w:pPr>
        <w:pStyle w:val="ListBullet"/>
        <w:rPr>
          <w:szCs w:val="18"/>
        </w:rPr>
      </w:pPr>
      <w:r w:rsidRPr="00C67385">
        <w:rPr>
          <w:szCs w:val="18"/>
        </w:rPr>
        <w:t xml:space="preserve">The First Peoples of the Murray and </w:t>
      </w:r>
      <w:proofErr w:type="spellStart"/>
      <w:r w:rsidRPr="00C67385">
        <w:rPr>
          <w:szCs w:val="18"/>
        </w:rPr>
        <w:t>Mallee</w:t>
      </w:r>
      <w:proofErr w:type="spellEnd"/>
      <w:r w:rsidRPr="00C67385">
        <w:rPr>
          <w:szCs w:val="18"/>
        </w:rPr>
        <w:t xml:space="preserve"> region </w:t>
      </w:r>
    </w:p>
    <w:p w:rsidR="00D65CC3" w:rsidRPr="00C67385" w:rsidRDefault="00D65CC3" w:rsidP="00D65CC3">
      <w:pPr>
        <w:pStyle w:val="ListBullet"/>
        <w:rPr>
          <w:szCs w:val="18"/>
        </w:rPr>
      </w:pPr>
      <w:proofErr w:type="spellStart"/>
      <w:r w:rsidRPr="00C67385">
        <w:rPr>
          <w:szCs w:val="18"/>
        </w:rPr>
        <w:t>Ngarrindjeri</w:t>
      </w:r>
      <w:proofErr w:type="spellEnd"/>
      <w:r w:rsidRPr="00C67385">
        <w:rPr>
          <w:szCs w:val="18"/>
        </w:rPr>
        <w:t xml:space="preserve"> Regional Authority, including the Mannum Aboriginal Community Association Incorporated</w:t>
      </w:r>
    </w:p>
    <w:p w:rsidR="00D65CC3" w:rsidRPr="00C67385" w:rsidRDefault="00D65CC3" w:rsidP="00D65CC3">
      <w:pPr>
        <w:pStyle w:val="ListBullet"/>
        <w:rPr>
          <w:szCs w:val="18"/>
        </w:rPr>
      </w:pPr>
      <w:r w:rsidRPr="00C67385">
        <w:rPr>
          <w:szCs w:val="18"/>
        </w:rPr>
        <w:t xml:space="preserve">Chowilla Coordination Committee and the Chowilla Community Committee, First Peoples of the Murray and </w:t>
      </w:r>
      <w:proofErr w:type="spellStart"/>
      <w:r w:rsidRPr="00C67385">
        <w:rPr>
          <w:szCs w:val="18"/>
        </w:rPr>
        <w:t>Mallee</w:t>
      </w:r>
      <w:proofErr w:type="spellEnd"/>
      <w:r w:rsidRPr="00C67385">
        <w:rPr>
          <w:szCs w:val="18"/>
        </w:rPr>
        <w:t xml:space="preserve"> region, landowners, councils and SA Water staff regarding the potential impacts and outcomes of the first testing of the Chowilla Environmental Regulator in spring 2014</w:t>
      </w:r>
    </w:p>
    <w:p w:rsidR="00D65CC3" w:rsidRPr="00C67385" w:rsidRDefault="00D65CC3" w:rsidP="00D65CC3">
      <w:pPr>
        <w:pStyle w:val="ListBullet"/>
        <w:rPr>
          <w:szCs w:val="18"/>
        </w:rPr>
      </w:pPr>
      <w:r w:rsidRPr="00C67385">
        <w:rPr>
          <w:szCs w:val="18"/>
        </w:rPr>
        <w:t xml:space="preserve">The Community Advisory Panel (CAP) and the Scientific Advisory Group (SAG) for the Lower Lakes, Coorong and Murray Mouth and the </w:t>
      </w:r>
      <w:proofErr w:type="spellStart"/>
      <w:r w:rsidRPr="00C67385">
        <w:rPr>
          <w:szCs w:val="18"/>
        </w:rPr>
        <w:t>Ngarrindjeri</w:t>
      </w:r>
      <w:proofErr w:type="spellEnd"/>
      <w:r w:rsidRPr="00C67385">
        <w:rPr>
          <w:szCs w:val="18"/>
        </w:rPr>
        <w:t xml:space="preserve"> Regional Authority (through the </w:t>
      </w:r>
      <w:proofErr w:type="spellStart"/>
      <w:r w:rsidRPr="00C67385">
        <w:rPr>
          <w:szCs w:val="18"/>
        </w:rPr>
        <w:t>Kungan</w:t>
      </w:r>
      <w:proofErr w:type="spellEnd"/>
      <w:r w:rsidRPr="00C67385">
        <w:rPr>
          <w:szCs w:val="18"/>
        </w:rPr>
        <w:t xml:space="preserve"> </w:t>
      </w:r>
      <w:proofErr w:type="spellStart"/>
      <w:r w:rsidRPr="00C67385">
        <w:rPr>
          <w:szCs w:val="18"/>
        </w:rPr>
        <w:t>Ngarrindjeri</w:t>
      </w:r>
      <w:proofErr w:type="spellEnd"/>
      <w:r w:rsidRPr="00C67385">
        <w:rPr>
          <w:szCs w:val="18"/>
        </w:rPr>
        <w:t xml:space="preserve"> Yunnan Agreement (KNYA) Taskforce and </w:t>
      </w:r>
      <w:proofErr w:type="spellStart"/>
      <w:r w:rsidRPr="00C67385">
        <w:rPr>
          <w:szCs w:val="18"/>
        </w:rPr>
        <w:t>Yarluwar</w:t>
      </w:r>
      <w:proofErr w:type="spellEnd"/>
      <w:r w:rsidRPr="00C67385">
        <w:rPr>
          <w:szCs w:val="18"/>
        </w:rPr>
        <w:t xml:space="preserve"> </w:t>
      </w:r>
      <w:proofErr w:type="spellStart"/>
      <w:r w:rsidRPr="00C67385">
        <w:rPr>
          <w:szCs w:val="18"/>
        </w:rPr>
        <w:t>Ruwe</w:t>
      </w:r>
      <w:proofErr w:type="spellEnd"/>
      <w:r w:rsidRPr="00C67385">
        <w:rPr>
          <w:szCs w:val="18"/>
        </w:rPr>
        <w:t xml:space="preserve"> Committee) regarding the timing and delivery of environmental water for the Coorong, Lower Lakes and Murray Mouth</w:t>
      </w:r>
    </w:p>
    <w:p w:rsidR="00D65CC3" w:rsidRPr="00C67385" w:rsidRDefault="00D65CC3" w:rsidP="00D65CC3">
      <w:pPr>
        <w:pStyle w:val="ListBullet"/>
        <w:rPr>
          <w:szCs w:val="18"/>
        </w:rPr>
      </w:pPr>
      <w:r w:rsidRPr="00C67385">
        <w:rPr>
          <w:szCs w:val="18"/>
        </w:rPr>
        <w:t>The Barrage Operations Advisory Group, the Environmental Flows Reference Group, the Chowilla Operations Group and the River Murray Operations Working Group</w:t>
      </w:r>
    </w:p>
    <w:p w:rsidR="00D65CC3" w:rsidRPr="00C67385" w:rsidRDefault="00D65CC3" w:rsidP="00D65CC3">
      <w:pPr>
        <w:pStyle w:val="ListBullet"/>
        <w:rPr>
          <w:szCs w:val="18"/>
        </w:rPr>
      </w:pPr>
      <w:r w:rsidRPr="00C67385">
        <w:rPr>
          <w:szCs w:val="18"/>
        </w:rPr>
        <w:t>Local landholders</w:t>
      </w:r>
    </w:p>
    <w:p w:rsidR="00D65CC3" w:rsidRPr="00824349" w:rsidRDefault="00D65CC3" w:rsidP="00D65CC3">
      <w:pPr>
        <w:pStyle w:val="ListBullet"/>
        <w:rPr>
          <w:sz w:val="18"/>
          <w:szCs w:val="18"/>
        </w:rPr>
      </w:pPr>
      <w:r w:rsidRPr="00C67385">
        <w:rPr>
          <w:szCs w:val="18"/>
        </w:rPr>
        <w:t>Other key stakeholders including local government and SA Water</w:t>
      </w:r>
      <w:r>
        <w:rPr>
          <w:sz w:val="18"/>
          <w:szCs w:val="18"/>
        </w:rPr>
        <w:t>.</w:t>
      </w:r>
      <w:r w:rsidRPr="00824349">
        <w:rPr>
          <w:sz w:val="18"/>
          <w:szCs w:val="18"/>
        </w:rPr>
        <w:t xml:space="preserve"> </w:t>
      </w:r>
    </w:p>
    <w:p w:rsidR="00D65CC3" w:rsidRPr="00D65CC3" w:rsidRDefault="00D65CC3" w:rsidP="00D65CC3">
      <w:pPr>
        <w:pStyle w:val="Heading4"/>
        <w:rPr>
          <w:b w:val="0"/>
          <w:i/>
          <w:color w:val="auto"/>
          <w:sz w:val="24"/>
        </w:rPr>
      </w:pPr>
      <w:r w:rsidRPr="00D65CC3">
        <w:rPr>
          <w:rFonts w:cs="TradeGothicLTStd-Light"/>
          <w:color w:val="auto"/>
          <w:spacing w:val="-1"/>
          <w:sz w:val="24"/>
        </w:rPr>
        <w:t xml:space="preserve">Long-term environmental watering </w:t>
      </w:r>
    </w:p>
    <w:p w:rsidR="00D65CC3" w:rsidRPr="00C67385" w:rsidRDefault="00D65CC3" w:rsidP="00D65CC3">
      <w:r w:rsidRPr="00C67385">
        <w:t xml:space="preserve">The Basin-wide environmental watering strategy was released </w:t>
      </w:r>
      <w:r w:rsidR="007E29A1">
        <w:t>on</w:t>
      </w:r>
      <w:r w:rsidRPr="00C67385">
        <w:t xml:space="preserve"> 24 November 2014. Therefore, there is no assessment of this milestone because the specified 12 month period has not yet elapsed.</w:t>
      </w:r>
    </w:p>
    <w:p w:rsidR="00D65CC3" w:rsidRPr="00C67385" w:rsidRDefault="00D65CC3" w:rsidP="00D65CC3">
      <w:r w:rsidRPr="00C67385">
        <w:t xml:space="preserve">South Australia noted that it has commenced consultation on the proposed content of the long term environmental water plans during 2014-15 (SA Govt 2015). </w:t>
      </w:r>
    </w:p>
    <w:p w:rsidR="00D65CC3" w:rsidRPr="00C67385" w:rsidRDefault="00D65CC3" w:rsidP="00D65CC3"/>
    <w:p w:rsidR="00D65CC3" w:rsidRDefault="00D65CC3" w:rsidP="00D65CC3">
      <w:pPr>
        <w:pStyle w:val="Heading2List"/>
      </w:pPr>
      <w:bookmarkStart w:id="110" w:name="_Toc396746175"/>
      <w:bookmarkStart w:id="111" w:name="_Toc401664309"/>
      <w:bookmarkStart w:id="112" w:name="_Toc433882374"/>
      <w:r>
        <w:t>Supply measures projects</w:t>
      </w:r>
      <w:bookmarkEnd w:id="110"/>
      <w:bookmarkEnd w:id="111"/>
      <w:bookmarkEnd w:id="112"/>
    </w:p>
    <w:p w:rsidR="00D65CC3" w:rsidRPr="00C67385" w:rsidRDefault="00D65CC3" w:rsidP="00D65CC3">
      <w:pPr>
        <w:rPr>
          <w:i/>
        </w:rPr>
      </w:pPr>
      <w:r w:rsidRPr="00C67385">
        <w:t>Business cases for the Phase 2 assessment process have been submitted to the Sustainable Diversion Limit Adjustment Advisory Committee. A summary of each of the proposals is publicly available on the MDBA's website</w:t>
      </w:r>
      <w:r w:rsidRPr="00C67385">
        <w:rPr>
          <w:rStyle w:val="FootnoteReference"/>
        </w:rPr>
        <w:footnoteReference w:id="9"/>
      </w:r>
      <w:r w:rsidRPr="00C67385">
        <w:t>.</w:t>
      </w:r>
    </w:p>
    <w:p w:rsidR="008142F0" w:rsidRPr="005649E9" w:rsidRDefault="008142F0" w:rsidP="008142F0">
      <w:pPr>
        <w:pStyle w:val="Heading1List"/>
      </w:pPr>
      <w:bookmarkStart w:id="113" w:name="_Toc433882375"/>
      <w:r>
        <w:t>Assessment for Victoria</w:t>
      </w:r>
      <w:bookmarkEnd w:id="113"/>
    </w:p>
    <w:p w:rsidR="008142F0" w:rsidRPr="005649E9" w:rsidRDefault="008142F0" w:rsidP="008142F0">
      <w:pPr>
        <w:pStyle w:val="Heading2List"/>
      </w:pPr>
      <w:bookmarkStart w:id="114" w:name="_Toc433882376"/>
      <w:r w:rsidRPr="005649E9">
        <w:t>Summary of findings</w:t>
      </w:r>
      <w:bookmarkEnd w:id="114"/>
    </w:p>
    <w:p w:rsidR="00D65CC3" w:rsidRPr="00C165B3" w:rsidRDefault="00D65CC3" w:rsidP="00D65CC3">
      <w:r w:rsidRPr="00C165B3">
        <w:t>Findings for Victoria are summarised below in the order they appear in the agreement. Full findings and details of the assessment follow in subsequent sections of this chapter.</w:t>
      </w:r>
    </w:p>
    <w:p w:rsidR="00D65CC3" w:rsidRPr="00C165B3" w:rsidRDefault="00D65CC3" w:rsidP="00D65CC3">
      <w:pPr>
        <w:pStyle w:val="TableName"/>
        <w:rPr>
          <w:sz w:val="20"/>
          <w:lang w:val="en-AU"/>
        </w:rPr>
      </w:pPr>
      <w:bookmarkStart w:id="115" w:name="_Toc400617365"/>
      <w:r w:rsidRPr="00C165B3">
        <w:rPr>
          <w:sz w:val="20"/>
          <w:lang w:val="en-AU"/>
        </w:rPr>
        <w:t>Table 6.1: Summary of findings for Victoria</w:t>
      </w:r>
      <w:bookmarkEnd w:id="115"/>
      <w:r w:rsidRPr="00C165B3">
        <w:rPr>
          <w:sz w:val="20"/>
          <w:lang w:val="en-AU"/>
        </w:rPr>
        <w:t xml:space="preserve"> </w:t>
      </w:r>
    </w:p>
    <w:tbl>
      <w:tblPr>
        <w:tblW w:w="4937" w:type="pct"/>
        <w:tblInd w:w="108" w:type="dxa"/>
        <w:tblBorders>
          <w:top w:val="single" w:sz="4" w:space="0" w:color="0D223F"/>
          <w:bottom w:val="single" w:sz="4" w:space="0" w:color="0D223F"/>
          <w:insideH w:val="single" w:sz="4" w:space="0" w:color="0D223F"/>
        </w:tblBorders>
        <w:tblLook w:val="04A0"/>
      </w:tblPr>
      <w:tblGrid>
        <w:gridCol w:w="3335"/>
        <w:gridCol w:w="3333"/>
        <w:gridCol w:w="1936"/>
      </w:tblGrid>
      <w:tr w:rsidR="00D65CC3" w:rsidRPr="00C165B3" w:rsidTr="00F328D9">
        <w:trPr>
          <w:trHeight w:val="60"/>
          <w:tblHeader/>
        </w:trPr>
        <w:tc>
          <w:tcPr>
            <w:tcW w:w="1938" w:type="pct"/>
            <w:tcBorders>
              <w:top w:val="nil"/>
              <w:bottom w:val="single" w:sz="4" w:space="0" w:color="0D223F"/>
            </w:tcBorders>
            <w:shd w:val="clear" w:color="auto" w:fill="0D223F"/>
          </w:tcPr>
          <w:p w:rsidR="00D65CC3" w:rsidRPr="00C165B3" w:rsidRDefault="00D65CC3" w:rsidP="00F328D9">
            <w:pPr>
              <w:pStyle w:val="TableHeading"/>
              <w:rPr>
                <w:sz w:val="20"/>
                <w:szCs w:val="20"/>
                <w:lang w:val="en-AU"/>
              </w:rPr>
            </w:pPr>
            <w:r w:rsidRPr="00C165B3">
              <w:rPr>
                <w:sz w:val="20"/>
                <w:szCs w:val="20"/>
                <w:lang w:val="en-AU"/>
              </w:rPr>
              <w:t>National Partnership commitments</w:t>
            </w:r>
          </w:p>
        </w:tc>
        <w:tc>
          <w:tcPr>
            <w:tcW w:w="1937" w:type="pct"/>
            <w:tcBorders>
              <w:top w:val="nil"/>
              <w:bottom w:val="single" w:sz="4" w:space="0" w:color="0D223F"/>
            </w:tcBorders>
            <w:shd w:val="clear" w:color="auto" w:fill="0D223F"/>
          </w:tcPr>
          <w:p w:rsidR="00D65CC3" w:rsidRPr="00C165B3" w:rsidRDefault="00D65CC3" w:rsidP="00F328D9">
            <w:pPr>
              <w:pStyle w:val="TableHeading"/>
              <w:rPr>
                <w:sz w:val="20"/>
                <w:szCs w:val="20"/>
                <w:lang w:val="en-AU"/>
              </w:rPr>
            </w:pPr>
            <w:r w:rsidRPr="00C165B3">
              <w:rPr>
                <w:sz w:val="20"/>
                <w:szCs w:val="20"/>
                <w:lang w:val="en-AU"/>
              </w:rPr>
              <w:t>Assessment summary</w:t>
            </w:r>
          </w:p>
        </w:tc>
        <w:tc>
          <w:tcPr>
            <w:tcW w:w="1125" w:type="pct"/>
            <w:tcBorders>
              <w:top w:val="nil"/>
              <w:bottom w:val="single" w:sz="4" w:space="0" w:color="0D223F"/>
            </w:tcBorders>
            <w:shd w:val="clear" w:color="auto" w:fill="0D223F"/>
          </w:tcPr>
          <w:p w:rsidR="00D65CC3" w:rsidRPr="00C165B3" w:rsidRDefault="00D65CC3" w:rsidP="00F328D9">
            <w:pPr>
              <w:pStyle w:val="TableHeading"/>
              <w:rPr>
                <w:sz w:val="20"/>
                <w:szCs w:val="20"/>
                <w:lang w:val="en-AU"/>
              </w:rPr>
            </w:pPr>
            <w:r w:rsidRPr="00C165B3">
              <w:rPr>
                <w:sz w:val="20"/>
                <w:szCs w:val="20"/>
                <w:lang w:val="en-AU"/>
              </w:rPr>
              <w:t xml:space="preserve">Finding </w:t>
            </w:r>
          </w:p>
        </w:tc>
      </w:tr>
      <w:tr w:rsidR="00D65CC3" w:rsidRPr="00C165B3" w:rsidTr="00F328D9">
        <w:trPr>
          <w:trHeight w:val="60"/>
        </w:trPr>
        <w:tc>
          <w:tcPr>
            <w:tcW w:w="1938" w:type="pct"/>
            <w:tcBorders>
              <w:top w:val="single" w:sz="4" w:space="0" w:color="0D223F"/>
              <w:bottom w:val="single" w:sz="4" w:space="0" w:color="0D223F"/>
              <w:right w:val="single" w:sz="4" w:space="0" w:color="0D223F"/>
            </w:tcBorders>
            <w:shd w:val="clear" w:color="auto" w:fill="auto"/>
          </w:tcPr>
          <w:p w:rsidR="00D65CC3" w:rsidRPr="00C165B3" w:rsidRDefault="00D65CC3" w:rsidP="00F328D9">
            <w:pPr>
              <w:pStyle w:val="TableTextind1"/>
              <w:rPr>
                <w:szCs w:val="20"/>
              </w:rPr>
            </w:pPr>
            <w:r w:rsidRPr="00C165B3">
              <w:rPr>
                <w:szCs w:val="20"/>
              </w:rPr>
              <w:t>6)</w:t>
            </w:r>
            <w:r w:rsidRPr="00C165B3">
              <w:rPr>
                <w:szCs w:val="20"/>
              </w:rPr>
              <w:tab/>
              <w:t>The state has supported the Commonwealth in bridging the gap</w:t>
            </w:r>
            <w:r w:rsidR="007E29A1">
              <w:rPr>
                <w:szCs w:val="20"/>
              </w:rPr>
              <w:t>.</w:t>
            </w:r>
          </w:p>
          <w:p w:rsidR="00D65CC3" w:rsidRPr="00C165B3" w:rsidRDefault="00D65CC3" w:rsidP="00F328D9">
            <w:pPr>
              <w:pStyle w:val="TableTextind1"/>
              <w:rPr>
                <w:szCs w:val="20"/>
              </w:rPr>
            </w:pPr>
          </w:p>
        </w:tc>
        <w:tc>
          <w:tcPr>
            <w:tcW w:w="1937" w:type="pct"/>
            <w:tcBorders>
              <w:top w:val="single" w:sz="4" w:space="0" w:color="0D223F"/>
              <w:bottom w:val="single" w:sz="4" w:space="0" w:color="0D223F"/>
              <w:right w:val="single" w:sz="4" w:space="0" w:color="0D223F"/>
            </w:tcBorders>
            <w:shd w:val="clear" w:color="auto" w:fill="auto"/>
          </w:tcPr>
          <w:p w:rsidR="00D65CC3" w:rsidRPr="00516F35" w:rsidRDefault="00D65CC3" w:rsidP="00D65CC3">
            <w:pPr>
              <w:pStyle w:val="TableText"/>
              <w:numPr>
                <w:ilvl w:val="0"/>
                <w:numId w:val="19"/>
              </w:numPr>
              <w:ind w:left="316"/>
              <w:rPr>
                <w:sz w:val="20"/>
                <w:szCs w:val="20"/>
              </w:rPr>
            </w:pPr>
            <w:r w:rsidRPr="00516F35">
              <w:rPr>
                <w:sz w:val="20"/>
                <w:szCs w:val="20"/>
              </w:rPr>
              <w:t>Victoria has remov</w:t>
            </w:r>
            <w:r w:rsidR="00516F35">
              <w:rPr>
                <w:sz w:val="20"/>
                <w:szCs w:val="20"/>
              </w:rPr>
              <w:t>ed</w:t>
            </w:r>
            <w:r w:rsidRPr="00516F35">
              <w:rPr>
                <w:sz w:val="20"/>
                <w:szCs w:val="20"/>
              </w:rPr>
              <w:t xml:space="preserve"> volumetric or other barriers to permanent trade out of water irrigation areas that are inconsistent with the Basin Plan water trading rules.</w:t>
            </w:r>
          </w:p>
          <w:p w:rsidR="00D65CC3" w:rsidRPr="00516F35" w:rsidRDefault="00D65CC3" w:rsidP="00D65CC3">
            <w:pPr>
              <w:pStyle w:val="TableText"/>
              <w:numPr>
                <w:ilvl w:val="0"/>
                <w:numId w:val="19"/>
              </w:numPr>
              <w:ind w:left="316"/>
              <w:rPr>
                <w:sz w:val="20"/>
                <w:szCs w:val="20"/>
              </w:rPr>
            </w:pPr>
            <w:r w:rsidRPr="00516F35">
              <w:rPr>
                <w:sz w:val="20"/>
                <w:szCs w:val="20"/>
              </w:rPr>
              <w:t>Victoria did not introduce any restrictions on the trading of water access entitlements.</w:t>
            </w:r>
          </w:p>
          <w:p w:rsidR="00D65CC3" w:rsidRPr="00516F35" w:rsidRDefault="00D65CC3" w:rsidP="00D65CC3">
            <w:pPr>
              <w:pStyle w:val="TableText"/>
              <w:numPr>
                <w:ilvl w:val="0"/>
                <w:numId w:val="19"/>
              </w:numPr>
              <w:ind w:left="316"/>
              <w:rPr>
                <w:sz w:val="20"/>
                <w:szCs w:val="20"/>
              </w:rPr>
            </w:pPr>
            <w:r w:rsidRPr="00516F35">
              <w:rPr>
                <w:sz w:val="20"/>
                <w:szCs w:val="20"/>
              </w:rPr>
              <w:t xml:space="preserve">Victoria did not take any action to impede Commonwealth measures to acquire water for environmental purposes. </w:t>
            </w:r>
          </w:p>
          <w:p w:rsidR="00D65CC3" w:rsidRPr="00516F35" w:rsidRDefault="00D65CC3" w:rsidP="00D65CC3">
            <w:pPr>
              <w:pStyle w:val="TableText"/>
              <w:numPr>
                <w:ilvl w:val="0"/>
                <w:numId w:val="19"/>
              </w:numPr>
              <w:ind w:left="316"/>
              <w:rPr>
                <w:sz w:val="20"/>
                <w:szCs w:val="20"/>
              </w:rPr>
            </w:pPr>
            <w:r w:rsidRPr="00516F35">
              <w:rPr>
                <w:sz w:val="20"/>
                <w:szCs w:val="20"/>
              </w:rPr>
              <w:t>Applications for water entitlement and allocation trades were processed consistent with the agreed service standards for trade processing times.</w:t>
            </w:r>
          </w:p>
          <w:p w:rsidR="00D65CC3" w:rsidRPr="00516F35" w:rsidRDefault="00D65CC3" w:rsidP="008C78B6">
            <w:pPr>
              <w:pStyle w:val="TableText"/>
              <w:numPr>
                <w:ilvl w:val="0"/>
                <w:numId w:val="19"/>
              </w:numPr>
              <w:ind w:left="316"/>
              <w:rPr>
                <w:sz w:val="20"/>
                <w:szCs w:val="20"/>
              </w:rPr>
            </w:pPr>
            <w:r w:rsidRPr="00516F35">
              <w:rPr>
                <w:sz w:val="20"/>
                <w:szCs w:val="20"/>
              </w:rPr>
              <w:t xml:space="preserve">Victorian entitlements in regulated surface water systems are consistent with the provisions of NWI clauses 28–32, with the exceptions of </w:t>
            </w:r>
            <w:proofErr w:type="spellStart"/>
            <w:r w:rsidRPr="00516F35">
              <w:rPr>
                <w:sz w:val="20"/>
                <w:szCs w:val="20"/>
              </w:rPr>
              <w:t>Coliban</w:t>
            </w:r>
            <w:proofErr w:type="spellEnd"/>
            <w:r w:rsidRPr="00516F35">
              <w:rPr>
                <w:sz w:val="20"/>
                <w:szCs w:val="20"/>
              </w:rPr>
              <w:t xml:space="preserve"> and Wimmera. </w:t>
            </w:r>
          </w:p>
        </w:tc>
        <w:tc>
          <w:tcPr>
            <w:tcW w:w="1125" w:type="pct"/>
            <w:tcBorders>
              <w:top w:val="single" w:sz="4" w:space="0" w:color="0D223F"/>
              <w:bottom w:val="single" w:sz="4" w:space="0" w:color="0D223F"/>
            </w:tcBorders>
            <w:shd w:val="clear" w:color="auto" w:fill="auto"/>
          </w:tcPr>
          <w:p w:rsidR="00D65CC3" w:rsidRPr="00516F35" w:rsidRDefault="00D65CC3" w:rsidP="00F328D9">
            <w:pPr>
              <w:pStyle w:val="TableText"/>
              <w:rPr>
                <w:sz w:val="20"/>
                <w:szCs w:val="20"/>
              </w:rPr>
            </w:pPr>
            <w:r w:rsidRPr="00516F35">
              <w:rPr>
                <w:sz w:val="20"/>
                <w:szCs w:val="20"/>
              </w:rPr>
              <w:t>Commitment met</w:t>
            </w:r>
            <w:r w:rsidR="007E29A1">
              <w:rPr>
                <w:sz w:val="20"/>
                <w:szCs w:val="20"/>
              </w:rPr>
              <w:t>.</w:t>
            </w:r>
          </w:p>
        </w:tc>
      </w:tr>
      <w:tr w:rsidR="00D65CC3" w:rsidRPr="00C165B3" w:rsidTr="00F328D9">
        <w:trPr>
          <w:trHeight w:val="60"/>
        </w:trPr>
        <w:tc>
          <w:tcPr>
            <w:tcW w:w="1938" w:type="pct"/>
            <w:tcBorders>
              <w:top w:val="single" w:sz="4" w:space="0" w:color="0D223F"/>
              <w:bottom w:val="single" w:sz="4" w:space="0" w:color="0D223F"/>
              <w:right w:val="single" w:sz="4" w:space="0" w:color="0D223F"/>
            </w:tcBorders>
            <w:shd w:val="clear" w:color="auto" w:fill="auto"/>
          </w:tcPr>
          <w:p w:rsidR="00D65CC3" w:rsidRPr="00C165B3" w:rsidRDefault="00D65CC3" w:rsidP="00F328D9">
            <w:pPr>
              <w:pStyle w:val="TableTextind1"/>
              <w:rPr>
                <w:szCs w:val="20"/>
              </w:rPr>
            </w:pPr>
            <w:r w:rsidRPr="00C165B3">
              <w:rPr>
                <w:szCs w:val="20"/>
              </w:rPr>
              <w:t>7)</w:t>
            </w:r>
            <w:r w:rsidRPr="00C165B3">
              <w:rPr>
                <w:szCs w:val="20"/>
              </w:rPr>
              <w:tab/>
              <w:t>Following publication of the Constraints Management Strategy by the MDBA, confirmation that any actions taken by the state to remove or address constraints are consistent with the measures agreed through the inter-jurisdictional governance procedure for the SDL adjustment mechanism</w:t>
            </w:r>
            <w:r w:rsidR="007E29A1">
              <w:rPr>
                <w:szCs w:val="20"/>
              </w:rPr>
              <w:t>.</w:t>
            </w:r>
          </w:p>
        </w:tc>
        <w:tc>
          <w:tcPr>
            <w:tcW w:w="1937" w:type="pct"/>
            <w:tcBorders>
              <w:top w:val="single" w:sz="4" w:space="0" w:color="0D223F"/>
              <w:bottom w:val="single" w:sz="4" w:space="0" w:color="0D223F"/>
              <w:right w:val="single" w:sz="4" w:space="0" w:color="0D223F"/>
            </w:tcBorders>
            <w:shd w:val="clear" w:color="auto" w:fill="auto"/>
          </w:tcPr>
          <w:p w:rsidR="00D65CC3" w:rsidRPr="00C165B3" w:rsidRDefault="00D65CC3" w:rsidP="00D65CC3">
            <w:pPr>
              <w:pStyle w:val="TableText"/>
              <w:numPr>
                <w:ilvl w:val="0"/>
                <w:numId w:val="19"/>
              </w:numPr>
              <w:ind w:left="316"/>
              <w:rPr>
                <w:sz w:val="20"/>
                <w:szCs w:val="20"/>
              </w:rPr>
            </w:pPr>
            <w:r w:rsidRPr="00C165B3">
              <w:rPr>
                <w:sz w:val="20"/>
                <w:szCs w:val="20"/>
              </w:rPr>
              <w:t xml:space="preserve">Victoria has supported development and implementation of the Constraints Management Strategy. </w:t>
            </w:r>
          </w:p>
        </w:tc>
        <w:tc>
          <w:tcPr>
            <w:tcW w:w="1125" w:type="pct"/>
            <w:tcBorders>
              <w:top w:val="single" w:sz="4" w:space="0" w:color="0D223F"/>
              <w:bottom w:val="single" w:sz="4" w:space="0" w:color="0D223F"/>
            </w:tcBorders>
            <w:shd w:val="clear" w:color="auto" w:fill="auto"/>
          </w:tcPr>
          <w:p w:rsidR="00D65CC3" w:rsidRPr="00C165B3" w:rsidRDefault="00D65CC3" w:rsidP="00F328D9">
            <w:pPr>
              <w:pStyle w:val="TableText"/>
              <w:rPr>
                <w:sz w:val="20"/>
                <w:szCs w:val="20"/>
              </w:rPr>
            </w:pPr>
            <w:r w:rsidRPr="00C165B3">
              <w:rPr>
                <w:sz w:val="20"/>
                <w:szCs w:val="20"/>
              </w:rPr>
              <w:t>Commitment met</w:t>
            </w:r>
            <w:r w:rsidR="007E29A1">
              <w:rPr>
                <w:sz w:val="20"/>
                <w:szCs w:val="20"/>
              </w:rPr>
              <w:t>.</w:t>
            </w:r>
          </w:p>
        </w:tc>
      </w:tr>
      <w:tr w:rsidR="00D65CC3" w:rsidRPr="00C165B3" w:rsidTr="00F328D9">
        <w:trPr>
          <w:trHeight w:val="60"/>
        </w:trPr>
        <w:tc>
          <w:tcPr>
            <w:tcW w:w="1938" w:type="pct"/>
            <w:tcBorders>
              <w:top w:val="single" w:sz="4" w:space="0" w:color="0D223F"/>
              <w:bottom w:val="single" w:sz="4" w:space="0" w:color="0D223F"/>
              <w:right w:val="single" w:sz="4" w:space="0" w:color="0D223F"/>
            </w:tcBorders>
            <w:shd w:val="clear" w:color="auto" w:fill="auto"/>
          </w:tcPr>
          <w:p w:rsidR="00D65CC3" w:rsidRPr="00C165B3" w:rsidRDefault="00D65CC3" w:rsidP="00F328D9">
            <w:pPr>
              <w:pStyle w:val="TableTextind1"/>
              <w:rPr>
                <w:szCs w:val="20"/>
              </w:rPr>
            </w:pPr>
            <w:r w:rsidRPr="00C165B3">
              <w:rPr>
                <w:szCs w:val="20"/>
              </w:rPr>
              <w:t>8)</w:t>
            </w:r>
            <w:r w:rsidRPr="00C165B3">
              <w:rPr>
                <w:szCs w:val="20"/>
              </w:rPr>
              <w:tab/>
              <w:t>The state has cooperated in arrangements for Basin Plan environmental watering</w:t>
            </w:r>
            <w:r w:rsidR="004B59A7">
              <w:rPr>
                <w:szCs w:val="20"/>
              </w:rPr>
              <w:t>.</w:t>
            </w:r>
          </w:p>
        </w:tc>
        <w:tc>
          <w:tcPr>
            <w:tcW w:w="1937" w:type="pct"/>
            <w:tcBorders>
              <w:top w:val="single" w:sz="4" w:space="0" w:color="0D223F"/>
              <w:bottom w:val="single" w:sz="4" w:space="0" w:color="0D223F"/>
              <w:right w:val="single" w:sz="4" w:space="0" w:color="0D223F"/>
            </w:tcBorders>
            <w:shd w:val="clear" w:color="auto" w:fill="auto"/>
          </w:tcPr>
          <w:p w:rsidR="00D65CC3" w:rsidRPr="00C165B3" w:rsidRDefault="00D65CC3" w:rsidP="00D65CC3">
            <w:pPr>
              <w:pStyle w:val="TableText"/>
              <w:numPr>
                <w:ilvl w:val="0"/>
                <w:numId w:val="19"/>
              </w:numPr>
              <w:ind w:left="316"/>
              <w:rPr>
                <w:sz w:val="20"/>
                <w:szCs w:val="20"/>
              </w:rPr>
            </w:pPr>
            <w:r w:rsidRPr="00C165B3">
              <w:rPr>
                <w:sz w:val="20"/>
                <w:szCs w:val="20"/>
              </w:rPr>
              <w:t>The characteristics of licensed entitlements held for environmental water use in Victoria have not been enhanced or diminished relative to like entitlements held and used for other purposes.</w:t>
            </w:r>
          </w:p>
          <w:p w:rsidR="00D65CC3" w:rsidRPr="00C165B3" w:rsidRDefault="00D65CC3" w:rsidP="00D65CC3">
            <w:pPr>
              <w:pStyle w:val="TableText"/>
              <w:numPr>
                <w:ilvl w:val="0"/>
                <w:numId w:val="19"/>
              </w:numPr>
              <w:ind w:left="316"/>
              <w:rPr>
                <w:sz w:val="20"/>
                <w:szCs w:val="20"/>
              </w:rPr>
            </w:pPr>
            <w:r w:rsidRPr="00C165B3">
              <w:rPr>
                <w:sz w:val="20"/>
                <w:szCs w:val="20"/>
              </w:rPr>
              <w:t xml:space="preserve">Victoria has implemented measures to facilitate the use of environmental water. </w:t>
            </w:r>
          </w:p>
          <w:p w:rsidR="00D65CC3" w:rsidRPr="00C165B3" w:rsidRDefault="00D65CC3" w:rsidP="00D65CC3">
            <w:pPr>
              <w:pStyle w:val="TableText"/>
              <w:numPr>
                <w:ilvl w:val="0"/>
                <w:numId w:val="19"/>
              </w:numPr>
              <w:ind w:left="316"/>
              <w:rPr>
                <w:sz w:val="20"/>
                <w:szCs w:val="20"/>
              </w:rPr>
            </w:pPr>
            <w:r w:rsidRPr="00C165B3">
              <w:rPr>
                <w:sz w:val="20"/>
                <w:szCs w:val="20"/>
              </w:rPr>
              <w:t>Victoria has provided annual environmental watering priorities, consistent with the Basin Plan, to the MDBA.</w:t>
            </w:r>
          </w:p>
          <w:p w:rsidR="00D65CC3" w:rsidRPr="00C165B3" w:rsidRDefault="00D65CC3" w:rsidP="00D65CC3">
            <w:pPr>
              <w:pStyle w:val="TableText"/>
              <w:numPr>
                <w:ilvl w:val="0"/>
                <w:numId w:val="19"/>
              </w:numPr>
              <w:ind w:left="316"/>
              <w:rPr>
                <w:sz w:val="20"/>
                <w:szCs w:val="20"/>
              </w:rPr>
            </w:pPr>
            <w:r w:rsidRPr="00C165B3">
              <w:rPr>
                <w:sz w:val="20"/>
                <w:szCs w:val="20"/>
              </w:rPr>
              <w:t xml:space="preserve">Victoria </w:t>
            </w:r>
            <w:r>
              <w:rPr>
                <w:sz w:val="20"/>
                <w:szCs w:val="20"/>
              </w:rPr>
              <w:t xml:space="preserve">consistently </w:t>
            </w:r>
            <w:r w:rsidRPr="00C165B3">
              <w:rPr>
                <w:sz w:val="20"/>
                <w:szCs w:val="20"/>
              </w:rPr>
              <w:t xml:space="preserve">applied the Basin Plan’s </w:t>
            </w:r>
            <w:r w:rsidRPr="00C165B3">
              <w:rPr>
                <w:i/>
                <w:sz w:val="20"/>
                <w:szCs w:val="20"/>
              </w:rPr>
              <w:t>Principles to be applied in environmental watering</w:t>
            </w:r>
            <w:r w:rsidRPr="00C165B3">
              <w:rPr>
                <w:sz w:val="20"/>
                <w:szCs w:val="20"/>
              </w:rPr>
              <w:t xml:space="preserve"> to environmental water received from the CEWH, TLM and Victorian holdings. </w:t>
            </w:r>
          </w:p>
          <w:p w:rsidR="00D65CC3" w:rsidRPr="00C165B3" w:rsidRDefault="00D65CC3" w:rsidP="00D65CC3">
            <w:pPr>
              <w:pStyle w:val="TableText"/>
              <w:numPr>
                <w:ilvl w:val="0"/>
                <w:numId w:val="19"/>
              </w:numPr>
              <w:ind w:left="316"/>
              <w:rPr>
                <w:sz w:val="20"/>
                <w:szCs w:val="20"/>
              </w:rPr>
            </w:pPr>
            <w:r w:rsidRPr="00C165B3">
              <w:rPr>
                <w:sz w:val="20"/>
                <w:szCs w:val="20"/>
              </w:rPr>
              <w:t>Environmental watering in regulated catchments has occurred with regard to the views of local communities and persons materially affected by the management of environmental water.</w:t>
            </w:r>
          </w:p>
        </w:tc>
        <w:tc>
          <w:tcPr>
            <w:tcW w:w="1125" w:type="pct"/>
            <w:tcBorders>
              <w:top w:val="single" w:sz="4" w:space="0" w:color="0D223F"/>
              <w:bottom w:val="single" w:sz="4" w:space="0" w:color="0D223F"/>
            </w:tcBorders>
            <w:shd w:val="clear" w:color="auto" w:fill="auto"/>
          </w:tcPr>
          <w:p w:rsidR="00D65CC3" w:rsidRPr="00C165B3" w:rsidRDefault="00D65CC3" w:rsidP="00F328D9">
            <w:pPr>
              <w:pStyle w:val="TableText"/>
              <w:rPr>
                <w:sz w:val="20"/>
                <w:szCs w:val="20"/>
              </w:rPr>
            </w:pPr>
            <w:r>
              <w:rPr>
                <w:sz w:val="20"/>
                <w:szCs w:val="20"/>
              </w:rPr>
              <w:t>Commitment met</w:t>
            </w:r>
            <w:r w:rsidR="004B59A7">
              <w:rPr>
                <w:sz w:val="20"/>
                <w:szCs w:val="20"/>
              </w:rPr>
              <w:t>.</w:t>
            </w:r>
          </w:p>
        </w:tc>
      </w:tr>
      <w:tr w:rsidR="00D65CC3" w:rsidRPr="00C165B3" w:rsidTr="00F328D9">
        <w:trPr>
          <w:trHeight w:val="60"/>
        </w:trPr>
        <w:tc>
          <w:tcPr>
            <w:tcW w:w="1938" w:type="pct"/>
            <w:tcBorders>
              <w:top w:val="single" w:sz="4" w:space="0" w:color="0D223F"/>
              <w:bottom w:val="single" w:sz="4" w:space="0" w:color="0D223F"/>
              <w:right w:val="single" w:sz="4" w:space="0" w:color="0D223F"/>
            </w:tcBorders>
            <w:shd w:val="clear" w:color="auto" w:fill="auto"/>
          </w:tcPr>
          <w:p w:rsidR="00D65CC3" w:rsidRPr="00C165B3" w:rsidRDefault="00D65CC3" w:rsidP="00F328D9">
            <w:pPr>
              <w:pStyle w:val="TableTextind1"/>
              <w:rPr>
                <w:szCs w:val="20"/>
              </w:rPr>
            </w:pPr>
            <w:r w:rsidRPr="00C165B3">
              <w:rPr>
                <w:szCs w:val="20"/>
              </w:rPr>
              <w:t>9)</w:t>
            </w:r>
            <w:r w:rsidRPr="00C165B3">
              <w:rPr>
                <w:szCs w:val="20"/>
              </w:rPr>
              <w:tab/>
              <w:t>For New South Wales, Victoria and South Australia only, the state has provided a brief description of supply measure projects for which feasibility and business cases are being developed for consideration under the SDL adjustment mechanism.</w:t>
            </w:r>
          </w:p>
        </w:tc>
        <w:tc>
          <w:tcPr>
            <w:tcW w:w="1937" w:type="pct"/>
            <w:tcBorders>
              <w:top w:val="single" w:sz="4" w:space="0" w:color="0D223F"/>
              <w:bottom w:val="single" w:sz="4" w:space="0" w:color="0D223F"/>
              <w:right w:val="single" w:sz="4" w:space="0" w:color="0D223F"/>
            </w:tcBorders>
            <w:shd w:val="clear" w:color="auto" w:fill="auto"/>
          </w:tcPr>
          <w:p w:rsidR="00D65CC3" w:rsidRPr="00C165B3" w:rsidRDefault="00D65CC3" w:rsidP="00D65CC3">
            <w:pPr>
              <w:pStyle w:val="TableText"/>
              <w:numPr>
                <w:ilvl w:val="0"/>
                <w:numId w:val="19"/>
              </w:numPr>
              <w:ind w:left="316"/>
              <w:rPr>
                <w:sz w:val="20"/>
                <w:szCs w:val="20"/>
              </w:rPr>
            </w:pPr>
            <w:r w:rsidRPr="00C165B3">
              <w:rPr>
                <w:sz w:val="20"/>
                <w:szCs w:val="20"/>
              </w:rPr>
              <w:t>Victoria has provided a description of supply measure projects for which business cases are being developed for consideration under the SDL adjustment mechanism.</w:t>
            </w:r>
          </w:p>
        </w:tc>
        <w:tc>
          <w:tcPr>
            <w:tcW w:w="1125" w:type="pct"/>
            <w:tcBorders>
              <w:top w:val="single" w:sz="4" w:space="0" w:color="0D223F"/>
              <w:bottom w:val="single" w:sz="4" w:space="0" w:color="0D223F"/>
            </w:tcBorders>
            <w:shd w:val="clear" w:color="auto" w:fill="auto"/>
          </w:tcPr>
          <w:p w:rsidR="00D65CC3" w:rsidRPr="00C165B3" w:rsidRDefault="00D65CC3" w:rsidP="00F328D9">
            <w:pPr>
              <w:pStyle w:val="TableText"/>
              <w:rPr>
                <w:sz w:val="20"/>
                <w:szCs w:val="20"/>
              </w:rPr>
            </w:pPr>
            <w:r w:rsidRPr="00C165B3">
              <w:rPr>
                <w:sz w:val="20"/>
                <w:szCs w:val="20"/>
              </w:rPr>
              <w:t>Commitment met</w:t>
            </w:r>
            <w:r w:rsidR="008C78B6">
              <w:rPr>
                <w:sz w:val="20"/>
                <w:szCs w:val="20"/>
              </w:rPr>
              <w:t>.</w:t>
            </w:r>
          </w:p>
        </w:tc>
      </w:tr>
    </w:tbl>
    <w:p w:rsidR="00D65CC3" w:rsidRDefault="00D65CC3" w:rsidP="00D65CC3">
      <w:pPr>
        <w:pStyle w:val="Heading2List"/>
        <w:numPr>
          <w:ilvl w:val="0"/>
          <w:numId w:val="0"/>
        </w:numPr>
        <w:ind w:left="737"/>
      </w:pPr>
    </w:p>
    <w:p w:rsidR="00D65CC3" w:rsidRPr="00ED4721" w:rsidRDefault="00D65CC3" w:rsidP="00D65CC3">
      <w:pPr>
        <w:pStyle w:val="Heading2List"/>
      </w:pPr>
      <w:bookmarkStart w:id="116" w:name="_Toc433882377"/>
      <w:r w:rsidRPr="00ED4721">
        <w:t>Bridging the Gap</w:t>
      </w:r>
      <w:bookmarkEnd w:id="116"/>
    </w:p>
    <w:p w:rsidR="00D65CC3" w:rsidRPr="007E772C" w:rsidRDefault="00D65CC3" w:rsidP="00D65CC3">
      <w:pPr>
        <w:pStyle w:val="Heading3nonumber"/>
        <w:rPr>
          <w:b/>
          <w:sz w:val="24"/>
          <w:lang w:val="en-AU" w:eastAsia="en-AU"/>
        </w:rPr>
      </w:pPr>
      <w:r w:rsidRPr="00222966">
        <w:rPr>
          <w:b/>
          <w:sz w:val="24"/>
          <w:lang w:val="en-AU" w:eastAsia="en-AU"/>
        </w:rPr>
        <w:t>Removal of barriers</w:t>
      </w:r>
      <w:r w:rsidRPr="007E772C">
        <w:rPr>
          <w:b/>
          <w:sz w:val="24"/>
          <w:lang w:val="en-AU" w:eastAsia="en-AU"/>
        </w:rPr>
        <w:t xml:space="preserve"> </w:t>
      </w:r>
    </w:p>
    <w:p w:rsidR="00D65CC3" w:rsidRPr="004D592F" w:rsidRDefault="00D65CC3" w:rsidP="00D65CC3">
      <w:r w:rsidRPr="004D592F">
        <w:t>Victoria has made progress towards c</w:t>
      </w:r>
      <w:r w:rsidR="00D10F4E">
        <w:t>onsistency with the Basin Plan Water Trading R</w:t>
      </w:r>
      <w:r w:rsidRPr="004D592F">
        <w:t>ules through the amendment of two Victorian trading rules, as follows:</w:t>
      </w:r>
    </w:p>
    <w:p w:rsidR="00D65CC3" w:rsidRPr="004D592F" w:rsidRDefault="00D65CC3" w:rsidP="00D65CC3">
      <w:pPr>
        <w:pStyle w:val="ListParagraph"/>
        <w:numPr>
          <w:ilvl w:val="0"/>
          <w:numId w:val="39"/>
        </w:numPr>
        <w:spacing w:line="260" w:lineRule="atLeast"/>
        <w:ind w:left="714" w:hanging="357"/>
      </w:pPr>
      <w:r w:rsidRPr="004D592F">
        <w:rPr>
          <w:i/>
        </w:rPr>
        <w:t>The four per cent limit on trade out of irrigation areas:</w:t>
      </w:r>
      <w:r w:rsidRPr="004D592F">
        <w:t xml:space="preserve"> this limit was removed by a Ministerial Order changing the Trading Rules for Declared Systems and came into effect on 1 July 2014.</w:t>
      </w:r>
    </w:p>
    <w:p w:rsidR="00D65CC3" w:rsidRPr="004D592F" w:rsidRDefault="00D65CC3" w:rsidP="00D65CC3">
      <w:pPr>
        <w:pStyle w:val="ListParagraph"/>
        <w:numPr>
          <w:ilvl w:val="0"/>
          <w:numId w:val="39"/>
        </w:numPr>
        <w:spacing w:line="260" w:lineRule="atLeast"/>
      </w:pPr>
      <w:r w:rsidRPr="004D592F">
        <w:rPr>
          <w:i/>
        </w:rPr>
        <w:t>The requirement that a buyer of allocation, or a receiver of a limited-term transfer of a water share, be a landholder:</w:t>
      </w:r>
      <w:r w:rsidRPr="004D592F">
        <w:t xml:space="preserve"> this requirement was included in the </w:t>
      </w:r>
      <w:r w:rsidRPr="004D592F">
        <w:rPr>
          <w:i/>
        </w:rPr>
        <w:t>Water Act 1989</w:t>
      </w:r>
      <w:r w:rsidRPr="004D592F">
        <w:t xml:space="preserve"> (Vic) and the Trading Rules for Declared Systems, and was also built into the Water Register architecture. A Bill to amend the Act was passed by State Parliament on 3 April 2014 and a Ministerial Order changing the Trading Rules for Declared Systems came into effect on 1 July 2014. The new trading rules remove the requirement that the buyer must be the owner or occupier of land. The Water Register was changed on 1 July 2014.</w:t>
      </w:r>
      <w:r w:rsidRPr="004D592F">
        <w:rPr>
          <w:noProof/>
        </w:rPr>
        <w:t xml:space="preserve"> </w:t>
      </w:r>
    </w:p>
    <w:p w:rsidR="00A427BF" w:rsidRDefault="00755A75" w:rsidP="00D65CC3">
      <w:pPr>
        <w:pStyle w:val="ListBullet"/>
        <w:numPr>
          <w:ilvl w:val="0"/>
          <w:numId w:val="0"/>
        </w:numPr>
        <w:rPr>
          <w:noProof/>
        </w:rPr>
      </w:pPr>
      <w:r>
        <w:rPr>
          <w:noProof/>
        </w:rPr>
        <w:t>The Basin Plan Water Trading R</w:t>
      </w:r>
      <w:r w:rsidRPr="00C63464">
        <w:rPr>
          <w:noProof/>
        </w:rPr>
        <w:t xml:space="preserve">ules came into effect on 1 July 2014. </w:t>
      </w:r>
      <w:r>
        <w:rPr>
          <w:noProof/>
        </w:rPr>
        <w:t>I</w:t>
      </w:r>
      <w:r w:rsidRPr="00C63464">
        <w:rPr>
          <w:noProof/>
        </w:rPr>
        <w:t xml:space="preserve">n </w:t>
      </w:r>
      <w:r>
        <w:rPr>
          <w:noProof/>
        </w:rPr>
        <w:t>June 2015</w:t>
      </w:r>
      <w:r w:rsidRPr="00C63464">
        <w:rPr>
          <w:noProof/>
        </w:rPr>
        <w:t xml:space="preserve"> </w:t>
      </w:r>
      <w:r>
        <w:rPr>
          <w:noProof/>
        </w:rPr>
        <w:t xml:space="preserve">the </w:t>
      </w:r>
      <w:r w:rsidRPr="00C63464">
        <w:rPr>
          <w:noProof/>
        </w:rPr>
        <w:t xml:space="preserve">MDBA </w:t>
      </w:r>
      <w:r>
        <w:rPr>
          <w:noProof/>
        </w:rPr>
        <w:t>provided its preliminary views</w:t>
      </w:r>
      <w:r w:rsidRPr="00C63464">
        <w:rPr>
          <w:noProof/>
        </w:rPr>
        <w:t xml:space="preserve"> </w:t>
      </w:r>
      <w:r>
        <w:rPr>
          <w:noProof/>
        </w:rPr>
        <w:t xml:space="preserve">on issues it considered to be high priority for the consistency of Victoria’s arrangements with the Basin Plan Trading Rules. In particular, Victoria’s </w:t>
      </w:r>
      <w:r w:rsidRPr="00414754">
        <w:rPr>
          <w:noProof/>
        </w:rPr>
        <w:t>intrastate</w:t>
      </w:r>
      <w:r w:rsidRPr="00C63464">
        <w:rPr>
          <w:noProof/>
        </w:rPr>
        <w:t xml:space="preserve"> tagging arrangements </w:t>
      </w:r>
      <w:r>
        <w:rPr>
          <w:noProof/>
        </w:rPr>
        <w:t>were highlighted</w:t>
      </w:r>
      <w:r w:rsidRPr="00C63464">
        <w:rPr>
          <w:noProof/>
        </w:rPr>
        <w:t xml:space="preserve">. </w:t>
      </w:r>
      <w:r>
        <w:rPr>
          <w:noProof/>
        </w:rPr>
        <w:t>Victoria has advised that the</w:t>
      </w:r>
      <w:r w:rsidRPr="00806258">
        <w:rPr>
          <w:noProof/>
        </w:rPr>
        <w:t xml:space="preserve"> possible compliance issues with Chapter 12</w:t>
      </w:r>
      <w:r>
        <w:rPr>
          <w:noProof/>
        </w:rPr>
        <w:t xml:space="preserve"> (e.g. </w:t>
      </w:r>
      <w:r w:rsidRPr="00806258">
        <w:rPr>
          <w:noProof/>
        </w:rPr>
        <w:t>12.23</w:t>
      </w:r>
      <w:r>
        <w:rPr>
          <w:noProof/>
        </w:rPr>
        <w:t>)</w:t>
      </w:r>
      <w:r w:rsidRPr="00806258">
        <w:rPr>
          <w:noProof/>
        </w:rPr>
        <w:t xml:space="preserve"> do not affect permanent trade out of water irrigation areas in Victoria. </w:t>
      </w:r>
    </w:p>
    <w:p w:rsidR="00D65CC3" w:rsidRDefault="00755A75" w:rsidP="00D65CC3">
      <w:pPr>
        <w:pStyle w:val="ListBullet"/>
        <w:numPr>
          <w:ilvl w:val="0"/>
          <w:numId w:val="0"/>
        </w:numPr>
        <w:rPr>
          <w:noProof/>
        </w:rPr>
      </w:pPr>
      <w:r>
        <w:rPr>
          <w:noProof/>
        </w:rPr>
        <w:t xml:space="preserve">Given the ongoing obligations associated with Milestone 6, the Department anticipates that continuing discussions between Victoria and the MDBA will establish the nature and extent of any inconsistencies associated with current </w:t>
      </w:r>
      <w:r w:rsidRPr="001F3FB8">
        <w:rPr>
          <w:noProof/>
        </w:rPr>
        <w:t>intrastate</w:t>
      </w:r>
      <w:r>
        <w:rPr>
          <w:noProof/>
        </w:rPr>
        <w:t xml:space="preserve"> tagging arrangements</w:t>
      </w:r>
      <w:r w:rsidRPr="00C63464">
        <w:rPr>
          <w:noProof/>
        </w:rPr>
        <w:t>. </w:t>
      </w:r>
      <w:r>
        <w:rPr>
          <w:noProof/>
        </w:rPr>
        <w:t xml:space="preserve"> In the event of any inconsistency, </w:t>
      </w:r>
      <w:r w:rsidRPr="00C63464">
        <w:rPr>
          <w:noProof/>
        </w:rPr>
        <w:t xml:space="preserve">Victoria </w:t>
      </w:r>
      <w:r>
        <w:rPr>
          <w:noProof/>
        </w:rPr>
        <w:t xml:space="preserve">will need to work cooperatively with </w:t>
      </w:r>
      <w:r w:rsidRPr="00C63464">
        <w:rPr>
          <w:noProof/>
        </w:rPr>
        <w:t>the MDBA</w:t>
      </w:r>
      <w:r>
        <w:rPr>
          <w:noProof/>
        </w:rPr>
        <w:t xml:space="preserve"> during 2015-16 to develop</w:t>
      </w:r>
      <w:r w:rsidRPr="00C63464">
        <w:rPr>
          <w:noProof/>
        </w:rPr>
        <w:t xml:space="preserve"> a work program </w:t>
      </w:r>
      <w:r>
        <w:rPr>
          <w:noProof/>
        </w:rPr>
        <w:t>and agree</w:t>
      </w:r>
      <w:r w:rsidRPr="00C63464">
        <w:rPr>
          <w:noProof/>
        </w:rPr>
        <w:t xml:space="preserve"> timeframes </w:t>
      </w:r>
      <w:r>
        <w:rPr>
          <w:noProof/>
        </w:rPr>
        <w:t>to address these issues.</w:t>
      </w:r>
    </w:p>
    <w:p w:rsidR="00D65CC3" w:rsidRPr="007E772C" w:rsidRDefault="00D65CC3" w:rsidP="00D65CC3">
      <w:pPr>
        <w:pStyle w:val="Heading3nonumber"/>
        <w:spacing w:before="0" w:beforeAutospacing="0"/>
        <w:rPr>
          <w:b/>
          <w:sz w:val="24"/>
          <w:lang w:val="en-AU" w:eastAsia="en-AU"/>
        </w:rPr>
      </w:pPr>
      <w:r w:rsidRPr="007E772C">
        <w:rPr>
          <w:b/>
          <w:sz w:val="24"/>
          <w:lang w:val="en-AU" w:eastAsia="en-AU"/>
        </w:rPr>
        <w:t>Restrictions on trade</w:t>
      </w:r>
    </w:p>
    <w:p w:rsidR="00D65CC3" w:rsidRPr="00421B6A" w:rsidRDefault="00D65CC3" w:rsidP="00D65CC3">
      <w:r w:rsidRPr="004D592F">
        <w:t xml:space="preserve">Victoria’s Statement of Assurance indicated that it did not introduce any restrictions or suspensions on the trading of water access entitlements during the assessment period </w:t>
      </w:r>
      <w:r w:rsidRPr="004D592F">
        <w:rPr>
          <w:noProof/>
        </w:rPr>
        <w:t>(Vic Govt 2015)</w:t>
      </w:r>
      <w:r w:rsidRPr="004D592F">
        <w:t>.</w:t>
      </w:r>
      <w:r w:rsidRPr="00CD722B">
        <w:t xml:space="preserve"> </w:t>
      </w:r>
      <w:r w:rsidRPr="00421B6A">
        <w:t>The MDBA has confirmed that it is not aware of any new restrictions that we</w:t>
      </w:r>
      <w:r>
        <w:t xml:space="preserve">re introduced in 2014-15 in Victoria </w:t>
      </w:r>
      <w:r w:rsidRPr="00421B6A">
        <w:t>that are inconsistent with the Basin Plan.</w:t>
      </w:r>
    </w:p>
    <w:p w:rsidR="00D65CC3" w:rsidRPr="007E772C" w:rsidRDefault="00D65CC3" w:rsidP="00D65CC3">
      <w:pPr>
        <w:pStyle w:val="Heading3nonumber"/>
        <w:spacing w:before="0" w:beforeAutospacing="0"/>
        <w:rPr>
          <w:b/>
          <w:sz w:val="24"/>
          <w:lang w:val="en-AU" w:eastAsia="en-AU"/>
        </w:rPr>
      </w:pPr>
      <w:bookmarkStart w:id="117" w:name="_Toc258998470"/>
      <w:bookmarkStart w:id="118" w:name="_Toc265517315"/>
      <w:r w:rsidRPr="007E772C">
        <w:rPr>
          <w:b/>
          <w:sz w:val="24"/>
          <w:lang w:val="en-AU" w:eastAsia="en-AU"/>
        </w:rPr>
        <w:t>Actions to impede Commonwealth water acquisitions</w:t>
      </w:r>
    </w:p>
    <w:bookmarkEnd w:id="117"/>
    <w:bookmarkEnd w:id="118"/>
    <w:p w:rsidR="00D65CC3" w:rsidRPr="00AE6574" w:rsidRDefault="00D65CC3" w:rsidP="00D65CC3">
      <w:r w:rsidRPr="00AE6574">
        <w:t xml:space="preserve">Victoria reported that it has not taken any action to impede Commonwealth measures to acquire water for environmental purposes during the assessment period </w:t>
      </w:r>
      <w:r w:rsidRPr="00AE6574">
        <w:rPr>
          <w:noProof/>
        </w:rPr>
        <w:t>(Vic Govt 2015)</w:t>
      </w:r>
      <w:r w:rsidRPr="00AE6574">
        <w:t xml:space="preserve">. </w:t>
      </w:r>
    </w:p>
    <w:p w:rsidR="00D65CC3" w:rsidRPr="007E772C" w:rsidRDefault="00D65CC3" w:rsidP="00D65CC3">
      <w:pPr>
        <w:pStyle w:val="Heading3nonumber"/>
        <w:spacing w:before="0" w:beforeAutospacing="0"/>
        <w:rPr>
          <w:b/>
          <w:sz w:val="24"/>
          <w:lang w:val="en-AU" w:eastAsia="en-AU"/>
        </w:rPr>
      </w:pPr>
      <w:r w:rsidRPr="007E772C">
        <w:rPr>
          <w:b/>
          <w:sz w:val="24"/>
          <w:lang w:val="en-AU" w:eastAsia="en-AU"/>
        </w:rPr>
        <w:t>Processing times for trades</w:t>
      </w:r>
    </w:p>
    <w:p w:rsidR="00D65CC3" w:rsidRPr="004D592F" w:rsidRDefault="00D65CC3" w:rsidP="00D65CC3">
      <w:pPr>
        <w:rPr>
          <w:noProof/>
        </w:rPr>
      </w:pPr>
      <w:r w:rsidRPr="004D592F">
        <w:t xml:space="preserve">Victoria provided the processing times for water entitlement and allocation trades completed during 2014–15 to which the Commonwealth was a party. This demonstrated that the standards for entitlement and allocation trade processing times had been met </w:t>
      </w:r>
      <w:r w:rsidRPr="004D592F">
        <w:rPr>
          <w:noProof/>
        </w:rPr>
        <w:t>(Vic Govt 2015).</w:t>
      </w:r>
    </w:p>
    <w:p w:rsidR="00D65CC3" w:rsidRPr="007E772C" w:rsidRDefault="00D65CC3" w:rsidP="00D65CC3">
      <w:pPr>
        <w:pStyle w:val="Heading3nonumber"/>
        <w:spacing w:before="0" w:beforeAutospacing="0"/>
        <w:rPr>
          <w:b/>
          <w:sz w:val="24"/>
          <w:lang w:val="en-AU" w:eastAsia="en-AU"/>
        </w:rPr>
      </w:pPr>
      <w:r w:rsidRPr="007E772C">
        <w:rPr>
          <w:b/>
          <w:sz w:val="24"/>
          <w:lang w:val="en-AU" w:eastAsia="en-AU"/>
        </w:rPr>
        <w:t>NWI-consistent entitlements</w:t>
      </w:r>
    </w:p>
    <w:p w:rsidR="00D65CC3" w:rsidRPr="004D592F" w:rsidRDefault="00D65CC3" w:rsidP="00D65CC3">
      <w:pPr>
        <w:pStyle w:val="BodyText"/>
        <w:rPr>
          <w:sz w:val="20"/>
          <w:szCs w:val="20"/>
        </w:rPr>
      </w:pPr>
      <w:r w:rsidRPr="004D592F">
        <w:rPr>
          <w:sz w:val="20"/>
          <w:szCs w:val="20"/>
        </w:rPr>
        <w:t xml:space="preserve">Victorian entitlements in regulated surface water systems are consistent with the provisions of clauses 28–32 of the NWI, with the exception of the </w:t>
      </w:r>
      <w:proofErr w:type="spellStart"/>
      <w:r w:rsidRPr="004D592F">
        <w:rPr>
          <w:sz w:val="20"/>
          <w:szCs w:val="20"/>
        </w:rPr>
        <w:t>Coliban</w:t>
      </w:r>
      <w:proofErr w:type="spellEnd"/>
      <w:r w:rsidRPr="004D592F">
        <w:rPr>
          <w:sz w:val="20"/>
          <w:szCs w:val="20"/>
        </w:rPr>
        <w:t xml:space="preserve"> and Wimmera systems. </w:t>
      </w:r>
    </w:p>
    <w:p w:rsidR="00D65CC3" w:rsidRPr="004D592F" w:rsidRDefault="00D65CC3" w:rsidP="00D65CC3">
      <w:pPr>
        <w:pStyle w:val="BodyText"/>
        <w:rPr>
          <w:sz w:val="20"/>
          <w:szCs w:val="20"/>
        </w:rPr>
      </w:pPr>
      <w:r w:rsidRPr="004D592F">
        <w:rPr>
          <w:sz w:val="20"/>
          <w:szCs w:val="20"/>
        </w:rPr>
        <w:t xml:space="preserve">In regard to the </w:t>
      </w:r>
      <w:proofErr w:type="spellStart"/>
      <w:r w:rsidRPr="004D592F">
        <w:rPr>
          <w:sz w:val="20"/>
          <w:szCs w:val="20"/>
        </w:rPr>
        <w:t>Coliban</w:t>
      </w:r>
      <w:proofErr w:type="spellEnd"/>
      <w:r w:rsidRPr="004D592F">
        <w:rPr>
          <w:sz w:val="20"/>
          <w:szCs w:val="20"/>
        </w:rPr>
        <w:t xml:space="preserve"> and Wimmera systems, Victoria’s Statement of Assurance noted that the specification of entitlements for consistency with NWI clauses 28 to 32 has not been undertaken.  In view of the possible reconfiguration in the </w:t>
      </w:r>
      <w:proofErr w:type="spellStart"/>
      <w:r w:rsidRPr="004D592F">
        <w:rPr>
          <w:sz w:val="20"/>
          <w:szCs w:val="20"/>
        </w:rPr>
        <w:t>Coliban</w:t>
      </w:r>
      <w:proofErr w:type="spellEnd"/>
      <w:r w:rsidRPr="004D592F">
        <w:rPr>
          <w:sz w:val="20"/>
          <w:szCs w:val="20"/>
        </w:rPr>
        <w:t xml:space="preserve"> and the results of the review in the Wimmera, and given the timeframe agreed in the IGA for specification of entitlements (i.e. within three years of the agreement), this commitment has been met for 2014-15.</w:t>
      </w:r>
    </w:p>
    <w:p w:rsidR="00D65CC3" w:rsidRPr="004D592F" w:rsidRDefault="00D65CC3" w:rsidP="00D65CC3">
      <w:pPr>
        <w:pStyle w:val="BodyText"/>
        <w:rPr>
          <w:sz w:val="20"/>
          <w:szCs w:val="20"/>
        </w:rPr>
      </w:pPr>
      <w:proofErr w:type="spellStart"/>
      <w:r w:rsidRPr="004D592F">
        <w:rPr>
          <w:i/>
          <w:sz w:val="20"/>
          <w:szCs w:val="20"/>
        </w:rPr>
        <w:t>Coliban</w:t>
      </w:r>
      <w:proofErr w:type="spellEnd"/>
      <w:r w:rsidRPr="004D592F">
        <w:rPr>
          <w:sz w:val="20"/>
          <w:szCs w:val="20"/>
        </w:rPr>
        <w:t xml:space="preserve"> - In the </w:t>
      </w:r>
      <w:proofErr w:type="spellStart"/>
      <w:r w:rsidRPr="004D592F">
        <w:rPr>
          <w:sz w:val="20"/>
          <w:szCs w:val="20"/>
        </w:rPr>
        <w:t>Coliban</w:t>
      </w:r>
      <w:proofErr w:type="spellEnd"/>
      <w:r w:rsidRPr="004D592F">
        <w:rPr>
          <w:sz w:val="20"/>
          <w:szCs w:val="20"/>
        </w:rPr>
        <w:t xml:space="preserve"> system, entitlements are held by individuals and companies in the form of take-and-use licences under section 51 of the </w:t>
      </w:r>
      <w:r w:rsidRPr="004D592F">
        <w:rPr>
          <w:i/>
          <w:sz w:val="20"/>
          <w:szCs w:val="20"/>
        </w:rPr>
        <w:t>Water Act 1989</w:t>
      </w:r>
      <w:r w:rsidRPr="004D592F">
        <w:rPr>
          <w:sz w:val="20"/>
          <w:szCs w:val="20"/>
        </w:rPr>
        <w:t xml:space="preserve"> (Vic). The licences are tradeable. The </w:t>
      </w:r>
      <w:proofErr w:type="spellStart"/>
      <w:r w:rsidRPr="004D592F">
        <w:rPr>
          <w:sz w:val="20"/>
          <w:szCs w:val="20"/>
        </w:rPr>
        <w:t>Coliban</w:t>
      </w:r>
      <w:proofErr w:type="spellEnd"/>
      <w:r w:rsidRPr="004D592F">
        <w:rPr>
          <w:sz w:val="20"/>
          <w:szCs w:val="20"/>
        </w:rPr>
        <w:t xml:space="preserve"> regulated water system is relatively small and isolated and is being significantly remodelled. There is no current plan to unbundle entitlements due to the small volume of existing licences, the isolated nature of the system and the likelihood of further significant reconfiguration work (Vic Govt 2015).</w:t>
      </w:r>
    </w:p>
    <w:p w:rsidR="00D65CC3" w:rsidRPr="004D592F" w:rsidRDefault="00D65CC3" w:rsidP="00D65CC3">
      <w:pPr>
        <w:pStyle w:val="BodyText"/>
        <w:rPr>
          <w:sz w:val="20"/>
          <w:szCs w:val="20"/>
        </w:rPr>
      </w:pPr>
      <w:r w:rsidRPr="004D592F">
        <w:rPr>
          <w:i/>
          <w:sz w:val="20"/>
          <w:szCs w:val="20"/>
        </w:rPr>
        <w:t>Wimmera</w:t>
      </w:r>
      <w:r w:rsidRPr="004D592F">
        <w:rPr>
          <w:sz w:val="20"/>
          <w:szCs w:val="20"/>
        </w:rPr>
        <w:t xml:space="preserve"> - The Wimmera system mainly supplies small customers of Grampians Wimmera </w:t>
      </w:r>
      <w:proofErr w:type="spellStart"/>
      <w:r w:rsidRPr="004D592F">
        <w:rPr>
          <w:sz w:val="20"/>
          <w:szCs w:val="20"/>
        </w:rPr>
        <w:t>Mallee</w:t>
      </w:r>
      <w:proofErr w:type="spellEnd"/>
      <w:r w:rsidRPr="004D592F">
        <w:rPr>
          <w:sz w:val="20"/>
          <w:szCs w:val="20"/>
        </w:rPr>
        <w:t xml:space="preserve"> Water, which holds the primary rights on behalf of its customers. Customers have the ability to trade within the existing supply system. The entitlement structure in the Wimmera system has been reviewed. The review recommended no changes to the current domestic and stock supply system as the costs of unbundling greatly exceed the benefits (Vic Govt 2015). </w:t>
      </w:r>
    </w:p>
    <w:p w:rsidR="00D65CC3" w:rsidRDefault="00D65CC3" w:rsidP="00D65CC3">
      <w:pPr>
        <w:pStyle w:val="Heading2List"/>
      </w:pPr>
      <w:bookmarkStart w:id="119" w:name="_Toc401664312"/>
      <w:bookmarkStart w:id="120" w:name="_Toc433882378"/>
      <w:r>
        <w:t>Implementation of the Constraints Management Strategy</w:t>
      </w:r>
      <w:bookmarkEnd w:id="119"/>
      <w:bookmarkEnd w:id="120"/>
      <w:r>
        <w:t xml:space="preserve"> </w:t>
      </w:r>
    </w:p>
    <w:p w:rsidR="00D65CC3" w:rsidRPr="004D592F" w:rsidRDefault="00D65CC3" w:rsidP="00D65CC3">
      <w:r w:rsidRPr="004D592F">
        <w:t>The MDBA published the Constraints Management Strategy in November 2013.</w:t>
      </w:r>
    </w:p>
    <w:p w:rsidR="00D65CC3" w:rsidRPr="004D592F" w:rsidRDefault="00D65CC3" w:rsidP="00D65CC3">
      <w:r w:rsidRPr="004D592F">
        <w:t>Schedule A requires that, following publication of the strategy, any actions taken by Victoria to remove or address constraints are to be consistent with the measures agreed through the inter-jurisdictional governance procedure for the SDL adjustment mechanism.</w:t>
      </w:r>
    </w:p>
    <w:p w:rsidR="00D65CC3" w:rsidRPr="004D592F" w:rsidRDefault="00D65CC3" w:rsidP="00D65CC3">
      <w:r w:rsidRPr="004D592F">
        <w:t>The Department is aware that Victoria is developing business cases for the constraint focus areas for which it is the proponent or joint proponent with New South Wales. Under the revised assessment timeframes agreed by Ministerial Council 29 May 2015, States have until 30 November 2015 to prepare and submit constraint business cases.</w:t>
      </w:r>
    </w:p>
    <w:p w:rsidR="00D65CC3" w:rsidRPr="00FF6556" w:rsidRDefault="00D65CC3" w:rsidP="00D65CC3">
      <w:pPr>
        <w:rPr>
          <w:sz w:val="18"/>
        </w:rPr>
      </w:pPr>
    </w:p>
    <w:p w:rsidR="00D65CC3" w:rsidRDefault="00D65CC3" w:rsidP="00D65CC3">
      <w:pPr>
        <w:pStyle w:val="Heading2List"/>
      </w:pPr>
      <w:bookmarkStart w:id="121" w:name="_Toc401664313"/>
      <w:bookmarkStart w:id="122" w:name="_Toc433882379"/>
      <w:r>
        <w:t>Cooperation in environmental watering</w:t>
      </w:r>
      <w:bookmarkEnd w:id="121"/>
      <w:bookmarkEnd w:id="122"/>
    </w:p>
    <w:p w:rsidR="00D65CC3" w:rsidRPr="00D65CC3" w:rsidRDefault="00D65CC3" w:rsidP="00D65CC3">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Characteristics of licensed entitlements</w:t>
      </w:r>
    </w:p>
    <w:p w:rsidR="00D65CC3" w:rsidRPr="004D592F" w:rsidRDefault="00D65CC3" w:rsidP="00D65CC3">
      <w:pPr>
        <w:pStyle w:val="BodyText"/>
        <w:rPr>
          <w:noProof/>
          <w:sz w:val="20"/>
          <w:szCs w:val="20"/>
        </w:rPr>
      </w:pPr>
      <w:r w:rsidRPr="004D592F">
        <w:rPr>
          <w:sz w:val="20"/>
          <w:szCs w:val="20"/>
        </w:rPr>
        <w:t xml:space="preserve">Victoria’s Statement of Assurance confirmed that characteristics of licence entitlements held for environmental water use were not enhanced or diminished relative to like entitlements held and used for other purposes during the assessment period </w:t>
      </w:r>
      <w:r w:rsidRPr="004D592F">
        <w:rPr>
          <w:noProof/>
          <w:sz w:val="20"/>
          <w:szCs w:val="20"/>
        </w:rPr>
        <w:t xml:space="preserve">(Vic Govt 2015).  </w:t>
      </w:r>
      <w:r w:rsidRPr="004D592F">
        <w:rPr>
          <w:sz w:val="20"/>
          <w:szCs w:val="20"/>
        </w:rPr>
        <w:t>The MDBA have not been notified of any restrictions that would constitute discriminatory or preferential treatment for licensed entitlements held for environmental use.</w:t>
      </w:r>
      <w:r w:rsidRPr="004D592F">
        <w:rPr>
          <w:i/>
          <w:sz w:val="20"/>
          <w:szCs w:val="20"/>
        </w:rPr>
        <w:t xml:space="preserve"> </w:t>
      </w:r>
    </w:p>
    <w:p w:rsidR="00D65CC3" w:rsidRPr="00D65CC3" w:rsidRDefault="00D65CC3" w:rsidP="00D65CC3">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 xml:space="preserve">Measures implemented to facilitate the use of environmental water </w:t>
      </w:r>
    </w:p>
    <w:p w:rsidR="00D65CC3" w:rsidRPr="004D592F" w:rsidRDefault="00D65CC3" w:rsidP="00D65CC3">
      <w:r w:rsidRPr="004D592F">
        <w:t>Schedule A requires that – where feasible and agreed by Victoria, and where associated third-party impacts have been considered – measures will be implemented to facilitate the use of environmental water by protecting environmental water in-stream and on land through:</w:t>
      </w:r>
    </w:p>
    <w:p w:rsidR="00D65CC3" w:rsidRPr="004D592F" w:rsidRDefault="00D65CC3" w:rsidP="00D65CC3">
      <w:pPr>
        <w:pStyle w:val="Bullet1"/>
        <w:rPr>
          <w:sz w:val="20"/>
          <w:szCs w:val="20"/>
        </w:rPr>
      </w:pPr>
      <w:r w:rsidRPr="004D592F">
        <w:rPr>
          <w:sz w:val="20"/>
          <w:szCs w:val="20"/>
        </w:rPr>
        <w:t>the delivery of held environmental water in-stream though arrangements such as water shepherding to facilitate environmental flows</w:t>
      </w:r>
    </w:p>
    <w:p w:rsidR="00D65CC3" w:rsidRPr="004D592F" w:rsidRDefault="00D65CC3" w:rsidP="00D65CC3">
      <w:pPr>
        <w:pStyle w:val="Bullet1"/>
        <w:rPr>
          <w:sz w:val="20"/>
          <w:szCs w:val="20"/>
        </w:rPr>
      </w:pPr>
      <w:proofErr w:type="gramStart"/>
      <w:r w:rsidRPr="004D592F">
        <w:rPr>
          <w:sz w:val="20"/>
          <w:szCs w:val="20"/>
        </w:rPr>
        <w:t>further</w:t>
      </w:r>
      <w:proofErr w:type="gramEnd"/>
      <w:r w:rsidRPr="004D592F">
        <w:rPr>
          <w:sz w:val="20"/>
          <w:szCs w:val="20"/>
        </w:rPr>
        <w:t xml:space="preserve"> use of environmental water at multiple locations along the river, such as through return-flow provisions.</w:t>
      </w:r>
    </w:p>
    <w:p w:rsidR="00D65CC3" w:rsidRPr="004D592F" w:rsidRDefault="00D65CC3" w:rsidP="00D65CC3">
      <w:pPr>
        <w:pStyle w:val="Bullet1"/>
        <w:numPr>
          <w:ilvl w:val="0"/>
          <w:numId w:val="0"/>
        </w:numPr>
        <w:rPr>
          <w:sz w:val="20"/>
          <w:szCs w:val="20"/>
        </w:rPr>
      </w:pPr>
      <w:r w:rsidRPr="004D592F">
        <w:rPr>
          <w:sz w:val="20"/>
          <w:szCs w:val="20"/>
        </w:rPr>
        <w:t>Within this context, Victorian, Commonwealth and TLM environmental water is generally delivered through entitlements held by the Victorian Environmental Water Holder (VEWH). Victoria makes use of return flows to enable environmental watering to be achieved at multiple sites</w:t>
      </w:r>
      <w:r w:rsidR="00A60AC0">
        <w:rPr>
          <w:rStyle w:val="FootnoteReference"/>
          <w:sz w:val="20"/>
          <w:szCs w:val="20"/>
        </w:rPr>
        <w:footnoteReference w:id="10"/>
      </w:r>
      <w:r w:rsidR="00A60AC0">
        <w:rPr>
          <w:sz w:val="20"/>
          <w:szCs w:val="20"/>
        </w:rPr>
        <w:t>.</w:t>
      </w:r>
    </w:p>
    <w:p w:rsidR="00D65CC3" w:rsidRPr="00D65CC3" w:rsidRDefault="00D65CC3" w:rsidP="00D65CC3">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 xml:space="preserve">Annual environmental watering priorities </w:t>
      </w:r>
    </w:p>
    <w:p w:rsidR="00D65CC3" w:rsidRPr="004D592F" w:rsidRDefault="00D65CC3" w:rsidP="00D65CC3">
      <w:pPr>
        <w:rPr>
          <w:rFonts w:cs="TradeGothicLTStd-Light"/>
          <w:noProof/>
          <w:spacing w:val="-1"/>
        </w:rPr>
      </w:pPr>
      <w:r w:rsidRPr="004D592F">
        <w:t xml:space="preserve">Victoria’s Statement of Assurance confirmed that </w:t>
      </w:r>
      <w:r w:rsidRPr="004D592F">
        <w:rPr>
          <w:rFonts w:cs="TradeGothicLTStd-Light"/>
          <w:spacing w:val="-1"/>
        </w:rPr>
        <w:t>the MDBA was provided with annual environmental watering priorities, consistent with the Basin Plan (</w:t>
      </w:r>
      <w:r w:rsidRPr="004D592F">
        <w:rPr>
          <w:rFonts w:cs="TradeGothicLTStd-Light"/>
          <w:noProof/>
          <w:spacing w:val="-1"/>
        </w:rPr>
        <w:t>Vic Govt 2015)</w:t>
      </w:r>
      <w:r w:rsidRPr="004D592F">
        <w:rPr>
          <w:rFonts w:cs="TradeGothicLTStd-Light"/>
          <w:spacing w:val="-1"/>
        </w:rPr>
        <w:t xml:space="preserve">. The 2015–16 seasonal watering plan of the VEWH has also been made publicly available </w:t>
      </w:r>
      <w:r w:rsidRPr="004D592F">
        <w:rPr>
          <w:rFonts w:cs="TradeGothicLTStd-Light"/>
          <w:noProof/>
          <w:spacing w:val="-1"/>
        </w:rPr>
        <w:t>(VEWH 2015)</w:t>
      </w:r>
      <w:r w:rsidRPr="004D592F">
        <w:rPr>
          <w:rStyle w:val="FootnoteReference"/>
          <w:spacing w:val="-1"/>
        </w:rPr>
        <w:footnoteReference w:id="11"/>
      </w:r>
      <w:r w:rsidRPr="004D592F">
        <w:rPr>
          <w:rFonts w:cs="TradeGothicLTStd-Light"/>
          <w:noProof/>
          <w:spacing w:val="-1"/>
        </w:rPr>
        <w:t>.</w:t>
      </w:r>
    </w:p>
    <w:p w:rsidR="00D65CC3" w:rsidRPr="00D65CC3" w:rsidRDefault="00D65CC3" w:rsidP="00D65CC3">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Management and delivery of environmental water consistent with Basin Plan</w:t>
      </w:r>
    </w:p>
    <w:p w:rsidR="00D65CC3" w:rsidRPr="004D592F" w:rsidRDefault="00D65CC3" w:rsidP="00D65CC3">
      <w:r w:rsidRPr="004D592F">
        <w:t xml:space="preserve">Victoria’s Statement of Assurance indicated that management and delivery of planned and held environmental water has been undertaken consistent with the Basin Plan, including the </w:t>
      </w:r>
      <w:r w:rsidRPr="00655344">
        <w:rPr>
          <w:i/>
        </w:rPr>
        <w:t>Principles to be applied in environmental watering</w:t>
      </w:r>
      <w:r w:rsidRPr="004D592F">
        <w:t xml:space="preserve"> (Vic Govt 2015). </w:t>
      </w:r>
    </w:p>
    <w:p w:rsidR="00D65CC3" w:rsidRPr="004D592F" w:rsidRDefault="00D65CC3" w:rsidP="00D65CC3">
      <w:r w:rsidRPr="004D592F">
        <w:t>Held environmental water is managed by the VEWH in collaboration with Commonwealth agencies, such as the CEWH. Publicly available information from the VEWH and MDBA websites confirm that environmental watering that occurred during 2014–15 was broadly consistent with the Victorian Seasonal Watering Plan and with the 2014–15 Basin annual environmental watering priorities</w:t>
      </w:r>
      <w:r w:rsidR="008C78B6">
        <w:rPr>
          <w:rStyle w:val="FootnoteReference"/>
        </w:rPr>
        <w:footnoteReference w:id="12"/>
      </w:r>
      <w:r w:rsidRPr="004D592F">
        <w:t xml:space="preserve">. </w:t>
      </w:r>
    </w:p>
    <w:p w:rsidR="00D65CC3" w:rsidRPr="00D65CC3" w:rsidRDefault="00D65CC3" w:rsidP="00D65CC3">
      <w:pPr>
        <w:pStyle w:val="Heading4"/>
        <w:rPr>
          <w:rFonts w:eastAsia="Times New Roman"/>
          <w:b w:val="0"/>
          <w:i/>
          <w:color w:val="auto"/>
          <w:kern w:val="28"/>
          <w:sz w:val="24"/>
          <w:szCs w:val="28"/>
          <w:lang w:eastAsia="en-AU"/>
        </w:rPr>
      </w:pPr>
      <w:r w:rsidRPr="00D65CC3">
        <w:rPr>
          <w:rFonts w:eastAsia="Times New Roman"/>
          <w:color w:val="auto"/>
          <w:kern w:val="28"/>
          <w:sz w:val="24"/>
          <w:szCs w:val="28"/>
          <w:lang w:eastAsia="en-AU"/>
        </w:rPr>
        <w:t>Consultation on environmental watering</w:t>
      </w:r>
    </w:p>
    <w:p w:rsidR="00D65CC3" w:rsidRPr="004D592F" w:rsidRDefault="00D65CC3" w:rsidP="00D65CC3">
      <w:pPr>
        <w:pStyle w:val="BodyText"/>
        <w:rPr>
          <w:sz w:val="20"/>
        </w:rPr>
      </w:pPr>
      <w:r w:rsidRPr="004D592F">
        <w:rPr>
          <w:sz w:val="20"/>
        </w:rPr>
        <w:t xml:space="preserve">Victoria’s Statement of Assurance indicated that environmental watering has occurred with regard to the views of local communities and persons materially affected by the management of environmental water. </w:t>
      </w:r>
    </w:p>
    <w:p w:rsidR="00D65CC3" w:rsidRPr="004D592F" w:rsidRDefault="00D65CC3" w:rsidP="00D65CC3">
      <w:pPr>
        <w:pStyle w:val="BodyText"/>
        <w:rPr>
          <w:noProof/>
          <w:sz w:val="20"/>
        </w:rPr>
      </w:pPr>
      <w:r w:rsidRPr="004D592F">
        <w:rPr>
          <w:sz w:val="20"/>
        </w:rPr>
        <w:t xml:space="preserve">The VEWH’s seasonal watering plan details the key stakeholders consulted in the development of environmental watering priorities </w:t>
      </w:r>
      <w:r w:rsidRPr="004D592F">
        <w:rPr>
          <w:noProof/>
          <w:sz w:val="20"/>
        </w:rPr>
        <w:t xml:space="preserve">(e.g. </w:t>
      </w:r>
      <w:r w:rsidR="0094178A">
        <w:rPr>
          <w:noProof/>
          <w:sz w:val="20"/>
        </w:rPr>
        <w:t xml:space="preserve">the </w:t>
      </w:r>
      <w:r w:rsidRPr="004D592F">
        <w:rPr>
          <w:noProof/>
          <w:sz w:val="20"/>
        </w:rPr>
        <w:t>Goulburn Broken Catchment Management Authority</w:t>
      </w:r>
      <w:r w:rsidR="0094178A">
        <w:rPr>
          <w:noProof/>
          <w:sz w:val="20"/>
        </w:rPr>
        <w:t>, the</w:t>
      </w:r>
      <w:r w:rsidRPr="004D592F">
        <w:rPr>
          <w:noProof/>
          <w:sz w:val="20"/>
        </w:rPr>
        <w:t xml:space="preserve"> Yorta Yorta Nation Aboriginal Corporation</w:t>
      </w:r>
      <w:r w:rsidR="0094178A">
        <w:rPr>
          <w:noProof/>
          <w:sz w:val="20"/>
        </w:rPr>
        <w:t xml:space="preserve"> and</w:t>
      </w:r>
      <w:r w:rsidRPr="004D592F">
        <w:rPr>
          <w:noProof/>
          <w:sz w:val="20"/>
        </w:rPr>
        <w:t xml:space="preserve"> </w:t>
      </w:r>
      <w:r w:rsidR="0094178A">
        <w:rPr>
          <w:noProof/>
          <w:sz w:val="20"/>
        </w:rPr>
        <w:t xml:space="preserve">the </w:t>
      </w:r>
      <w:r w:rsidRPr="004D592F">
        <w:rPr>
          <w:noProof/>
          <w:sz w:val="20"/>
        </w:rPr>
        <w:t>Gunbower Island Community Reference Group</w:t>
      </w:r>
      <w:r w:rsidR="00655344">
        <w:rPr>
          <w:noProof/>
          <w:sz w:val="20"/>
        </w:rPr>
        <w:t>)</w:t>
      </w:r>
      <w:r w:rsidR="0094178A">
        <w:rPr>
          <w:rStyle w:val="FootnoteReference"/>
          <w:noProof/>
          <w:sz w:val="20"/>
        </w:rPr>
        <w:footnoteReference w:id="13"/>
      </w:r>
      <w:r w:rsidRPr="004D592F">
        <w:rPr>
          <w:sz w:val="20"/>
        </w:rPr>
        <w:t>.</w:t>
      </w:r>
    </w:p>
    <w:p w:rsidR="00D65CC3" w:rsidRDefault="00D65CC3" w:rsidP="00D65CC3">
      <w:pPr>
        <w:pStyle w:val="Heading4"/>
        <w:rPr>
          <w:rFonts w:eastAsia="Times New Roman"/>
          <w:b w:val="0"/>
          <w:i/>
          <w:kern w:val="28"/>
          <w:sz w:val="24"/>
          <w:szCs w:val="28"/>
          <w:lang w:eastAsia="en-AU"/>
        </w:rPr>
      </w:pPr>
    </w:p>
    <w:p w:rsidR="00D65CC3" w:rsidRPr="00FA7C2A" w:rsidRDefault="00D65CC3" w:rsidP="00D65CC3">
      <w:pPr>
        <w:pStyle w:val="Heading4"/>
        <w:rPr>
          <w:rFonts w:eastAsia="Times New Roman"/>
          <w:b w:val="0"/>
          <w:i/>
          <w:kern w:val="28"/>
          <w:sz w:val="24"/>
          <w:szCs w:val="28"/>
          <w:lang w:eastAsia="en-AU"/>
        </w:rPr>
      </w:pPr>
      <w:r w:rsidRPr="00FA7C2A">
        <w:rPr>
          <w:rFonts w:eastAsia="Times New Roman"/>
          <w:kern w:val="28"/>
          <w:sz w:val="24"/>
          <w:szCs w:val="28"/>
          <w:lang w:eastAsia="en-AU"/>
        </w:rPr>
        <w:t>Long-term environmental watering plans</w:t>
      </w:r>
    </w:p>
    <w:p w:rsidR="00D65CC3" w:rsidRPr="004D592F" w:rsidRDefault="00D65CC3" w:rsidP="00D65CC3">
      <w:r w:rsidRPr="004D592F">
        <w:t xml:space="preserve">The Basin-wide environmental watering strategy was released </w:t>
      </w:r>
      <w:r w:rsidR="0094178A">
        <w:t>on</w:t>
      </w:r>
      <w:r w:rsidRPr="004D592F">
        <w:t xml:space="preserve"> 24 November 2014. Therefore, there is no assessment of this milestone because the specified 12 month period has not yet elapsed.</w:t>
      </w:r>
    </w:p>
    <w:p w:rsidR="00D65CC3" w:rsidRDefault="00D65CC3" w:rsidP="00D65CC3"/>
    <w:p w:rsidR="00D65CC3" w:rsidRDefault="00D65CC3" w:rsidP="00D65CC3">
      <w:pPr>
        <w:pStyle w:val="Heading2List"/>
      </w:pPr>
      <w:bookmarkStart w:id="123" w:name="_Toc401664314"/>
      <w:bookmarkStart w:id="124" w:name="_Toc433882380"/>
      <w:r>
        <w:t>Supply measures projects</w:t>
      </w:r>
      <w:bookmarkEnd w:id="123"/>
      <w:bookmarkEnd w:id="124"/>
    </w:p>
    <w:p w:rsidR="00D65CC3" w:rsidRPr="004D592F" w:rsidRDefault="00D65CC3" w:rsidP="00D65CC3">
      <w:pPr>
        <w:rPr>
          <w:sz w:val="22"/>
        </w:rPr>
      </w:pPr>
      <w:r w:rsidRPr="004D592F">
        <w:rPr>
          <w:szCs w:val="18"/>
        </w:rPr>
        <w:t xml:space="preserve">Victoria’s </w:t>
      </w:r>
      <w:r>
        <w:rPr>
          <w:szCs w:val="18"/>
        </w:rPr>
        <w:t>Statement of A</w:t>
      </w:r>
      <w:r w:rsidRPr="004D592F">
        <w:rPr>
          <w:szCs w:val="18"/>
        </w:rPr>
        <w:t xml:space="preserve">ssurance noted that proposals for supply measure projects have been submitted </w:t>
      </w:r>
      <w:r w:rsidR="0094178A">
        <w:rPr>
          <w:szCs w:val="18"/>
        </w:rPr>
        <w:t xml:space="preserve">to the Sustainable Diversion Limit Adjustment Advisory Committee </w:t>
      </w:r>
      <w:r w:rsidRPr="004D592F">
        <w:rPr>
          <w:noProof/>
          <w:szCs w:val="18"/>
        </w:rPr>
        <w:t>(Vic Govt 2015)</w:t>
      </w:r>
      <w:r w:rsidRPr="004D592F">
        <w:rPr>
          <w:szCs w:val="18"/>
        </w:rPr>
        <w:t xml:space="preserve">. Business cases for the Phase 2 assessment process have </w:t>
      </w:r>
      <w:r>
        <w:rPr>
          <w:szCs w:val="18"/>
        </w:rPr>
        <w:t xml:space="preserve">also </w:t>
      </w:r>
      <w:r w:rsidRPr="004D592F">
        <w:rPr>
          <w:szCs w:val="18"/>
        </w:rPr>
        <w:t xml:space="preserve">been submitted to the </w:t>
      </w:r>
      <w:r>
        <w:rPr>
          <w:szCs w:val="18"/>
        </w:rPr>
        <w:t>Commonwealth</w:t>
      </w:r>
      <w:r w:rsidRPr="004D592F">
        <w:rPr>
          <w:szCs w:val="18"/>
        </w:rPr>
        <w:t>. A summary of each of the proposals is publicly available on the MDBA's website</w:t>
      </w:r>
      <w:r w:rsidRPr="004D592F">
        <w:rPr>
          <w:rStyle w:val="FootnoteReference"/>
          <w:szCs w:val="18"/>
        </w:rPr>
        <w:footnoteReference w:id="14"/>
      </w:r>
      <w:r w:rsidRPr="004D592F">
        <w:rPr>
          <w:szCs w:val="18"/>
        </w:rPr>
        <w:t xml:space="preserve">. </w:t>
      </w:r>
    </w:p>
    <w:p w:rsidR="00A259E5" w:rsidRDefault="00A259E5" w:rsidP="00A259E5"/>
    <w:p w:rsidR="008142F0" w:rsidRDefault="008142F0" w:rsidP="00ED4FE4">
      <w:pPr>
        <w:rPr>
          <w:rFonts w:eastAsia="MS Gothic"/>
          <w:bCs/>
          <w:color w:val="0D223F"/>
          <w:sz w:val="35"/>
          <w:szCs w:val="32"/>
        </w:rPr>
      </w:pPr>
      <w:r>
        <w:br w:type="page"/>
      </w:r>
    </w:p>
    <w:p w:rsidR="00527D8E" w:rsidRDefault="00942857" w:rsidP="00527D8E">
      <w:pPr>
        <w:pStyle w:val="Heading1"/>
      </w:pPr>
      <w:bookmarkStart w:id="125" w:name="_Toc433882381"/>
      <w:r>
        <w:t xml:space="preserve">Appendix 1 </w:t>
      </w:r>
      <w:bookmarkStart w:id="126" w:name="_Toc367728669"/>
      <w:bookmarkEnd w:id="74"/>
      <w:r>
        <w:t>Sche</w:t>
      </w:r>
      <w:r w:rsidR="00ED76EE">
        <w:t>dule </w:t>
      </w:r>
      <w:r>
        <w:t xml:space="preserve">A to the </w:t>
      </w:r>
      <w:r w:rsidR="0038595F" w:rsidRPr="0038595F">
        <w:t>National Partnership Agreement on Implementing Water Reform in the Mu</w:t>
      </w:r>
      <w:r w:rsidR="00C37D64">
        <w:t>rray–Darl</w:t>
      </w:r>
      <w:r w:rsidR="0038595F" w:rsidRPr="0038595F">
        <w:t>ing Basi</w:t>
      </w:r>
      <w:r w:rsidR="00791CAC">
        <w:t>n</w:t>
      </w:r>
      <w:bookmarkEnd w:id="126"/>
      <w:bookmarkEnd w:id="125"/>
      <w:r w:rsidR="009A2619">
        <w:t xml:space="preserve"> </w:t>
      </w:r>
    </w:p>
    <w:p w:rsidR="004F78FB" w:rsidRPr="00F229F0" w:rsidRDefault="004F78FB" w:rsidP="006F6D23">
      <w:pPr>
        <w:pStyle w:val="AlphaParagraph0"/>
        <w:numPr>
          <w:ilvl w:val="0"/>
          <w:numId w:val="0"/>
        </w:numPr>
        <w:ind w:left="567" w:hanging="567"/>
        <w:rPr>
          <w:rFonts w:ascii="Arial" w:hAnsi="Arial" w:cs="Arial"/>
          <w:sz w:val="20"/>
        </w:rPr>
      </w:pPr>
      <w:r w:rsidRPr="00F229F0">
        <w:rPr>
          <w:rFonts w:ascii="Arial" w:hAnsi="Arial" w:cs="Arial"/>
          <w:sz w:val="20"/>
        </w:rPr>
        <w:t xml:space="preserve">The Parties agree to meet the performance milestones set out in Schedule A </w:t>
      </w:r>
      <w:r w:rsidR="00CC5888">
        <w:rPr>
          <w:rFonts w:ascii="Arial" w:hAnsi="Arial" w:cs="Arial"/>
          <w:sz w:val="20"/>
        </w:rPr>
        <w:t>–</w:t>
      </w:r>
      <w:r w:rsidR="00CC5888" w:rsidRPr="00F229F0">
        <w:rPr>
          <w:rFonts w:ascii="Arial" w:hAnsi="Arial" w:cs="Arial"/>
          <w:sz w:val="20"/>
        </w:rPr>
        <w:t xml:space="preserve"> </w:t>
      </w:r>
      <w:r w:rsidRPr="00F229F0">
        <w:rPr>
          <w:rFonts w:ascii="Arial" w:hAnsi="Arial" w:cs="Arial"/>
          <w:sz w:val="20"/>
        </w:rPr>
        <w:t>Table A.</w:t>
      </w:r>
    </w:p>
    <w:p w:rsidR="004F78FB" w:rsidRPr="00F229F0" w:rsidRDefault="004F78FB" w:rsidP="005062BA">
      <w:pPr>
        <w:pStyle w:val="Normalnumbered"/>
        <w:rPr>
          <w:rFonts w:ascii="Arial" w:hAnsi="Arial" w:cs="Arial"/>
          <w:b/>
          <w:sz w:val="20"/>
        </w:rPr>
      </w:pPr>
      <w:r w:rsidRPr="00F229F0">
        <w:rPr>
          <w:rFonts w:ascii="Arial" w:hAnsi="Arial" w:cs="Arial"/>
          <w:b/>
          <w:sz w:val="20"/>
        </w:rPr>
        <w:t xml:space="preserve">Schedule </w:t>
      </w:r>
      <w:proofErr w:type="gramStart"/>
      <w:r w:rsidRPr="00F229F0">
        <w:rPr>
          <w:rFonts w:ascii="Arial" w:hAnsi="Arial" w:cs="Arial"/>
          <w:b/>
          <w:sz w:val="20"/>
        </w:rPr>
        <w:t>A</w:t>
      </w:r>
      <w:proofErr w:type="gramEnd"/>
      <w:r w:rsidRPr="00F229F0">
        <w:rPr>
          <w:rFonts w:ascii="Arial" w:hAnsi="Arial" w:cs="Arial"/>
          <w:b/>
          <w:sz w:val="20"/>
        </w:rPr>
        <w:t xml:space="preserve"> </w:t>
      </w:r>
      <w:r w:rsidR="00CC5888">
        <w:rPr>
          <w:rFonts w:ascii="Arial" w:hAnsi="Arial" w:cs="Arial"/>
          <w:b/>
          <w:sz w:val="20"/>
        </w:rPr>
        <w:t>–</w:t>
      </w:r>
      <w:r w:rsidR="00CC5888" w:rsidRPr="00F229F0">
        <w:rPr>
          <w:rFonts w:ascii="Arial" w:hAnsi="Arial" w:cs="Arial"/>
          <w:b/>
          <w:sz w:val="20"/>
        </w:rPr>
        <w:t xml:space="preserve"> </w:t>
      </w:r>
      <w:r w:rsidRPr="00F229F0">
        <w:rPr>
          <w:rFonts w:ascii="Arial" w:hAnsi="Arial" w:cs="Arial"/>
          <w:b/>
          <w:sz w:val="20"/>
        </w:rPr>
        <w:t>Table A: Performance Milestones</w:t>
      </w:r>
    </w:p>
    <w:tbl>
      <w:tblPr>
        <w:tblStyle w:val="TableGrid"/>
        <w:tblW w:w="9498" w:type="dxa"/>
        <w:tblInd w:w="-318" w:type="dxa"/>
        <w:tblLook w:val="04A0"/>
      </w:tblPr>
      <w:tblGrid>
        <w:gridCol w:w="1097"/>
        <w:gridCol w:w="7247"/>
        <w:gridCol w:w="1154"/>
      </w:tblGrid>
      <w:tr w:rsidR="004F78FB" w:rsidRPr="00A12CC0" w:rsidTr="004F78FB">
        <w:trPr>
          <w:trHeight w:val="746"/>
          <w:tblHead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5062BA">
            <w:pPr>
              <w:rPr>
                <w:b/>
                <w:sz w:val="18"/>
                <w:szCs w:val="18"/>
              </w:rPr>
            </w:pPr>
            <w:r w:rsidRPr="00A12CC0">
              <w:rPr>
                <w:b/>
                <w:sz w:val="18"/>
                <w:szCs w:val="18"/>
              </w:rPr>
              <w:t xml:space="preserve">Date </w:t>
            </w:r>
            <w:r w:rsidR="00CC5888">
              <w:rPr>
                <w:b/>
                <w:sz w:val="18"/>
                <w:szCs w:val="18"/>
              </w:rPr>
              <w:t>d</w:t>
            </w:r>
            <w:r w:rsidRPr="00A12CC0">
              <w:rPr>
                <w:b/>
                <w:sz w:val="18"/>
                <w:szCs w:val="18"/>
              </w:rPr>
              <w:t>ue</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5062BA">
            <w:pPr>
              <w:rPr>
                <w:b/>
                <w:sz w:val="18"/>
                <w:szCs w:val="18"/>
              </w:rPr>
            </w:pPr>
            <w:r w:rsidRPr="00A12CC0">
              <w:rPr>
                <w:b/>
                <w:sz w:val="18"/>
                <w:szCs w:val="18"/>
              </w:rPr>
              <w:t>Milestones</w:t>
            </w:r>
            <w:r w:rsidRPr="00A12CC0">
              <w:rPr>
                <w:b/>
                <w:sz w:val="18"/>
                <w:szCs w:val="18"/>
              </w:rPr>
              <w:tab/>
            </w:r>
          </w:p>
        </w:tc>
        <w:tc>
          <w:tcPr>
            <w:tcW w:w="12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5062BA">
            <w:pPr>
              <w:rPr>
                <w:b/>
                <w:sz w:val="18"/>
                <w:szCs w:val="18"/>
              </w:rPr>
            </w:pPr>
            <w:r w:rsidRPr="00A12CC0">
              <w:rPr>
                <w:b/>
                <w:sz w:val="18"/>
                <w:szCs w:val="18"/>
              </w:rPr>
              <w:t>Proportion of annual payment</w:t>
            </w:r>
          </w:p>
        </w:tc>
      </w:tr>
      <w:tr w:rsidR="00527D8E" w:rsidRPr="00A12CC0" w:rsidTr="005B0449">
        <w:trPr>
          <w:trHeight w:val="15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CC5888">
            <w:pPr>
              <w:rPr>
                <w:b/>
                <w:sz w:val="18"/>
                <w:szCs w:val="18"/>
              </w:rPr>
            </w:pPr>
            <w:r w:rsidRPr="00A12CC0">
              <w:rPr>
                <w:b/>
                <w:sz w:val="18"/>
                <w:szCs w:val="18"/>
              </w:rPr>
              <w:t>2013</w:t>
            </w:r>
            <w:r w:rsidR="00CC5888">
              <w:rPr>
                <w:b/>
                <w:sz w:val="18"/>
                <w:szCs w:val="18"/>
              </w:rPr>
              <w:t>–</w:t>
            </w:r>
            <w:r w:rsidRPr="00A12CC0">
              <w:rPr>
                <w:b/>
                <w:sz w:val="18"/>
                <w:szCs w:val="18"/>
              </w:rPr>
              <w:t>14 only</w:t>
            </w:r>
          </w:p>
        </w:tc>
      </w:tr>
      <w:tr w:rsidR="00527D8E" w:rsidRPr="00A12CC0" w:rsidTr="004F78FB">
        <w:trPr>
          <w:trHeight w:val="156"/>
        </w:trPr>
        <w:tc>
          <w:tcPr>
            <w:tcW w:w="1342"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By 28 February 2014 (or first working day thereafter)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rFonts w:eastAsia="MS Mincho"/>
                <w:sz w:val="18"/>
                <w:szCs w:val="18"/>
              </w:rPr>
            </w:pPr>
            <w:r w:rsidRPr="00A12CC0">
              <w:rPr>
                <w:sz w:val="18"/>
                <w:szCs w:val="18"/>
              </w:rPr>
              <w:t>1. For New South Wales, Victoria and South Australia only, the State has provided a brief description of supply measure projects for which feasibility and business cases are being developed for consideration under the SDL adjustment mechanism.</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CC5888">
            <w:pPr>
              <w:rPr>
                <w:sz w:val="18"/>
                <w:szCs w:val="18"/>
              </w:rPr>
            </w:pPr>
            <w:r w:rsidRPr="00A12CC0">
              <w:rPr>
                <w:sz w:val="18"/>
                <w:szCs w:val="18"/>
              </w:rPr>
              <w:t>100% of Payment 1 for 2013</w:t>
            </w:r>
            <w:r w:rsidR="00CC5888">
              <w:rPr>
                <w:sz w:val="18"/>
                <w:szCs w:val="18"/>
              </w:rPr>
              <w:t>–</w:t>
            </w:r>
            <w:r w:rsidRPr="00A12CC0">
              <w:rPr>
                <w:sz w:val="18"/>
                <w:szCs w:val="18"/>
              </w:rPr>
              <w:t>14 (Table 1 refers)</w:t>
            </w:r>
          </w:p>
        </w:tc>
      </w:tr>
      <w:tr w:rsidR="00527D8E" w:rsidRPr="00A12CC0" w:rsidTr="005B0449">
        <w:trPr>
          <w:trHeight w:val="15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CC5888">
            <w:pPr>
              <w:rPr>
                <w:b/>
                <w:sz w:val="18"/>
                <w:szCs w:val="18"/>
              </w:rPr>
            </w:pPr>
            <w:r w:rsidRPr="00A12CC0">
              <w:rPr>
                <w:b/>
                <w:sz w:val="18"/>
                <w:szCs w:val="18"/>
              </w:rPr>
              <w:t>2013</w:t>
            </w:r>
            <w:r w:rsidR="00CC5888">
              <w:rPr>
                <w:b/>
                <w:sz w:val="18"/>
                <w:szCs w:val="18"/>
              </w:rPr>
              <w:t>–</w:t>
            </w:r>
            <w:r w:rsidRPr="00A12CC0">
              <w:rPr>
                <w:b/>
                <w:sz w:val="18"/>
                <w:szCs w:val="18"/>
              </w:rPr>
              <w:t>14 only</w:t>
            </w:r>
          </w:p>
        </w:tc>
      </w:tr>
      <w:tr w:rsidR="004F78FB" w:rsidRPr="00A12CC0" w:rsidTr="004F78FB">
        <w:trPr>
          <w:trHeight w:val="156"/>
        </w:trPr>
        <w:tc>
          <w:tcPr>
            <w:tcW w:w="1342"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rFonts w:eastAsia="MS Mincho"/>
                <w:b/>
                <w:sz w:val="18"/>
                <w:szCs w:val="18"/>
              </w:rPr>
            </w:pPr>
            <w:r w:rsidRPr="00A12CC0">
              <w:rPr>
                <w:sz w:val="18"/>
                <w:szCs w:val="18"/>
              </w:rPr>
              <w:t>By 28 February 2014 (or first working day thereafter)</w:t>
            </w:r>
          </w:p>
        </w:tc>
        <w:tc>
          <w:tcPr>
            <w:tcW w:w="691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2. The State has supported the Commonwealth in Bridging the Gap, as measured by:</w:t>
            </w:r>
          </w:p>
          <w:p w:rsidR="00527D8E" w:rsidRPr="00A12CC0" w:rsidRDefault="00527D8E" w:rsidP="00387FB2">
            <w:pPr>
              <w:pStyle w:val="ListParagraph"/>
              <w:numPr>
                <w:ilvl w:val="0"/>
                <w:numId w:val="29"/>
              </w:numPr>
              <w:rPr>
                <w:sz w:val="18"/>
                <w:szCs w:val="18"/>
              </w:rPr>
            </w:pPr>
            <w:r w:rsidRPr="00A12CC0">
              <w:rPr>
                <w:sz w:val="18"/>
                <w:szCs w:val="18"/>
              </w:rPr>
              <w:t>confirmation that no restrictions were introduced on the trade of water access entitlement, except where consistent with the Basin Plan water trading rules; and</w:t>
            </w:r>
          </w:p>
          <w:p w:rsidR="00527D8E" w:rsidRPr="00A12CC0" w:rsidRDefault="00527D8E" w:rsidP="00387FB2">
            <w:pPr>
              <w:pStyle w:val="ListParagraph"/>
              <w:numPr>
                <w:ilvl w:val="0"/>
                <w:numId w:val="29"/>
              </w:numPr>
              <w:rPr>
                <w:sz w:val="18"/>
                <w:szCs w:val="18"/>
              </w:rPr>
            </w:pPr>
            <w:r w:rsidRPr="00A12CC0">
              <w:rPr>
                <w:sz w:val="18"/>
                <w:szCs w:val="18"/>
              </w:rPr>
              <w:t xml:space="preserve">confirmation that no action has been taken to impede Commonwealth measures to acquire water for environmental purposes; and </w:t>
            </w:r>
          </w:p>
          <w:p w:rsidR="00527D8E" w:rsidRPr="00A12CC0" w:rsidRDefault="00527D8E" w:rsidP="00387FB2">
            <w:pPr>
              <w:pStyle w:val="ListParagraph"/>
              <w:numPr>
                <w:ilvl w:val="0"/>
                <w:numId w:val="29"/>
              </w:numPr>
              <w:rPr>
                <w:sz w:val="18"/>
                <w:szCs w:val="18"/>
              </w:rPr>
            </w:pPr>
            <w:r w:rsidRPr="00A12CC0">
              <w:rPr>
                <w:sz w:val="18"/>
                <w:szCs w:val="18"/>
              </w:rPr>
              <w:t>confirmation that applications for water entitlement and allocation trades, to which the Commonwealth is a party, were processed consistent with the agreed service standards relating to trade processing times for State approval agencies; and</w:t>
            </w:r>
          </w:p>
          <w:p w:rsidR="00527D8E" w:rsidRPr="00A12CC0" w:rsidRDefault="00527D8E" w:rsidP="00387FB2">
            <w:pPr>
              <w:pStyle w:val="ListParagraph"/>
              <w:numPr>
                <w:ilvl w:val="0"/>
                <w:numId w:val="29"/>
              </w:numPr>
              <w:rPr>
                <w:sz w:val="18"/>
                <w:szCs w:val="18"/>
              </w:rPr>
            </w:pPr>
            <w:r w:rsidRPr="00A12CC0">
              <w:rPr>
                <w:sz w:val="18"/>
                <w:szCs w:val="18"/>
              </w:rPr>
              <w:t>specification of entitlements in regulated surface water systems, consistent with clauses 28 to 32 of the National Water Initiative in the timeframe agreed in the IGA, unless where otherwise agreed; and</w:t>
            </w:r>
          </w:p>
          <w:p w:rsidR="00527D8E" w:rsidRPr="00A12CC0" w:rsidRDefault="00527D8E" w:rsidP="005062BA">
            <w:pPr>
              <w:rPr>
                <w:sz w:val="18"/>
                <w:szCs w:val="18"/>
              </w:rPr>
            </w:pPr>
            <w:r w:rsidRPr="00A12CC0">
              <w:rPr>
                <w:sz w:val="18"/>
                <w:szCs w:val="18"/>
              </w:rPr>
              <w:t>3. Following publication of the Constraints Management Strategy by the Authority, confirmation that any actions taken by the state to remove or address constraints are consistent with the measures agreed through the inter-jurisdictional governance procedure for the SDL adjustment mechanism; and</w:t>
            </w:r>
          </w:p>
          <w:p w:rsidR="00527D8E" w:rsidRPr="00A12CC0" w:rsidRDefault="00527D8E" w:rsidP="005062BA">
            <w:pPr>
              <w:rPr>
                <w:sz w:val="18"/>
                <w:szCs w:val="18"/>
              </w:rPr>
            </w:pPr>
          </w:p>
          <w:p w:rsidR="005B0449" w:rsidRPr="00A12CC0" w:rsidRDefault="005B0449" w:rsidP="005062BA">
            <w:pPr>
              <w:rPr>
                <w:sz w:val="18"/>
                <w:szCs w:val="18"/>
              </w:rPr>
            </w:pPr>
          </w:p>
          <w:p w:rsidR="005B0449" w:rsidRPr="00A12CC0" w:rsidRDefault="005B0449" w:rsidP="005062BA">
            <w:pPr>
              <w:rPr>
                <w:sz w:val="18"/>
                <w:szCs w:val="18"/>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CC5888">
            <w:pPr>
              <w:rPr>
                <w:sz w:val="18"/>
                <w:szCs w:val="18"/>
              </w:rPr>
            </w:pPr>
            <w:r w:rsidRPr="00A12CC0">
              <w:rPr>
                <w:sz w:val="18"/>
                <w:szCs w:val="18"/>
              </w:rPr>
              <w:t>100% of Payment 2 for 2013</w:t>
            </w:r>
            <w:r w:rsidR="00CC5888">
              <w:rPr>
                <w:sz w:val="18"/>
                <w:szCs w:val="18"/>
              </w:rPr>
              <w:t>–</w:t>
            </w:r>
            <w:r w:rsidRPr="00A12CC0">
              <w:rPr>
                <w:sz w:val="18"/>
                <w:szCs w:val="18"/>
              </w:rPr>
              <w:t>14 (Table 1 refers)</w:t>
            </w:r>
          </w:p>
        </w:tc>
      </w:tr>
      <w:tr w:rsidR="004F78FB" w:rsidRPr="00A12CC0" w:rsidTr="004F78FB">
        <w:trPr>
          <w:trHeight w:val="156"/>
        </w:trPr>
        <w:tc>
          <w:tcPr>
            <w:tcW w:w="1342"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rFonts w:eastAsia="MS Mincho"/>
                <w:sz w:val="18"/>
                <w:szCs w:val="18"/>
              </w:rPr>
            </w:pPr>
            <w:r w:rsidRPr="00A12CC0">
              <w:rPr>
                <w:sz w:val="18"/>
                <w:szCs w:val="18"/>
              </w:rPr>
              <w:br w:type="page"/>
            </w:r>
          </w:p>
        </w:tc>
        <w:tc>
          <w:tcPr>
            <w:tcW w:w="691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4. The State has cooperated in arrangements for Basin Plan environmental watering, as measured by:</w:t>
            </w:r>
          </w:p>
          <w:p w:rsidR="00527D8E" w:rsidRPr="00A12CC0" w:rsidRDefault="00527D8E" w:rsidP="00387FB2">
            <w:pPr>
              <w:pStyle w:val="ListParagraph"/>
              <w:numPr>
                <w:ilvl w:val="0"/>
                <w:numId w:val="30"/>
              </w:numPr>
              <w:rPr>
                <w:sz w:val="18"/>
                <w:szCs w:val="18"/>
              </w:rPr>
            </w:pPr>
            <w:r w:rsidRPr="00A12CC0">
              <w:rPr>
                <w:sz w:val="18"/>
                <w:szCs w:val="18"/>
              </w:rP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 and</w:t>
            </w:r>
          </w:p>
          <w:p w:rsidR="00527D8E" w:rsidRPr="00A12CC0" w:rsidRDefault="00527D8E" w:rsidP="00387FB2">
            <w:pPr>
              <w:pStyle w:val="ListParagraph"/>
              <w:numPr>
                <w:ilvl w:val="0"/>
                <w:numId w:val="30"/>
              </w:numPr>
              <w:rPr>
                <w:sz w:val="18"/>
                <w:szCs w:val="18"/>
              </w:rPr>
            </w:pPr>
            <w:r w:rsidRPr="00A12CC0">
              <w:rPr>
                <w:sz w:val="18"/>
                <w:szCs w:val="18"/>
              </w:rP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rsidR="00527D8E" w:rsidRPr="00A12CC0" w:rsidRDefault="00527D8E" w:rsidP="00387FB2">
            <w:pPr>
              <w:pStyle w:val="ListParagraph"/>
              <w:rPr>
                <w:sz w:val="18"/>
                <w:szCs w:val="18"/>
              </w:rPr>
            </w:pPr>
            <w:r w:rsidRPr="00A12CC0">
              <w:rPr>
                <w:sz w:val="18"/>
                <w:szCs w:val="18"/>
              </w:rPr>
              <w:t>(</w:t>
            </w:r>
            <w:proofErr w:type="spellStart"/>
            <w:r w:rsidRPr="00A12CC0">
              <w:rPr>
                <w:sz w:val="18"/>
                <w:szCs w:val="18"/>
              </w:rPr>
              <w:t>i</w:t>
            </w:r>
            <w:proofErr w:type="spellEnd"/>
            <w:r w:rsidRPr="00A12CC0">
              <w:rPr>
                <w:sz w:val="18"/>
                <w:szCs w:val="18"/>
              </w:rPr>
              <w:t>) the delivery of held environmental water in-stream though arrangements such as water shepherding to facilitate environmental flows; and</w:t>
            </w:r>
          </w:p>
          <w:p w:rsidR="00527D8E" w:rsidRPr="00A12CC0" w:rsidRDefault="00527D8E" w:rsidP="00387FB2">
            <w:pPr>
              <w:pStyle w:val="ListParagraph"/>
              <w:rPr>
                <w:sz w:val="18"/>
                <w:szCs w:val="18"/>
              </w:rPr>
            </w:pPr>
            <w:r w:rsidRPr="00A12CC0">
              <w:rPr>
                <w:sz w:val="18"/>
                <w:szCs w:val="18"/>
              </w:rPr>
              <w:t>(ii) further use of environmental water at multiple locations along the river, such as through return flow provisions; and</w:t>
            </w:r>
          </w:p>
          <w:p w:rsidR="00527D8E" w:rsidRPr="00A12CC0" w:rsidRDefault="00527D8E" w:rsidP="00387FB2">
            <w:pPr>
              <w:pStyle w:val="ListParagraph"/>
              <w:numPr>
                <w:ilvl w:val="0"/>
                <w:numId w:val="30"/>
              </w:numPr>
              <w:rPr>
                <w:sz w:val="18"/>
                <w:szCs w:val="18"/>
              </w:rPr>
            </w:pPr>
            <w:r w:rsidRPr="00A12CC0">
              <w:rPr>
                <w:sz w:val="18"/>
                <w:szCs w:val="18"/>
              </w:rPr>
              <w:t>confirmation that the Authority has been provided with annual environmental watering priorities, consistent with the Basin Plan; and</w:t>
            </w:r>
          </w:p>
          <w:p w:rsidR="00527D8E" w:rsidRPr="00A12CC0" w:rsidRDefault="00527D8E" w:rsidP="00387FB2">
            <w:pPr>
              <w:pStyle w:val="ListParagraph"/>
              <w:numPr>
                <w:ilvl w:val="0"/>
                <w:numId w:val="30"/>
              </w:numPr>
              <w:rPr>
                <w:sz w:val="18"/>
                <w:szCs w:val="18"/>
              </w:rPr>
            </w:pPr>
            <w:r w:rsidRPr="00A12CC0">
              <w:rPr>
                <w:sz w:val="18"/>
                <w:szCs w:val="18"/>
              </w:rPr>
              <w:t>confirmation that the management and  delivery of planned and held environmental water is consistent with the Basin Plan; including:</w:t>
            </w:r>
          </w:p>
          <w:p w:rsidR="00527D8E" w:rsidRPr="00A12CC0" w:rsidRDefault="00527D8E" w:rsidP="00387FB2">
            <w:pPr>
              <w:pStyle w:val="ListParagraph"/>
              <w:numPr>
                <w:ilvl w:val="1"/>
                <w:numId w:val="30"/>
              </w:numPr>
              <w:rPr>
                <w:sz w:val="18"/>
                <w:szCs w:val="18"/>
              </w:rPr>
            </w:pPr>
            <w:r w:rsidRPr="00A12CC0">
              <w:rPr>
                <w:sz w:val="18"/>
                <w:szCs w:val="18"/>
              </w:rPr>
              <w:t>the environmental watering plan’s Principles to be applied to environmental watering; and</w:t>
            </w:r>
          </w:p>
          <w:p w:rsidR="00527D8E" w:rsidRPr="00A12CC0" w:rsidRDefault="00527D8E" w:rsidP="00387FB2">
            <w:pPr>
              <w:pStyle w:val="ListParagraph"/>
              <w:numPr>
                <w:ilvl w:val="1"/>
                <w:numId w:val="30"/>
              </w:numPr>
              <w:rPr>
                <w:sz w:val="18"/>
                <w:szCs w:val="18"/>
              </w:rPr>
            </w:pPr>
            <w:r w:rsidRPr="00A12CC0">
              <w:rPr>
                <w:sz w:val="18"/>
                <w:szCs w:val="18"/>
              </w:rPr>
              <w:t>that a statement of reasons has been provided to the Authority for any environmental watering undertaken that was not in accordance with the Basin annual environmental watering priorities; and</w:t>
            </w:r>
          </w:p>
          <w:p w:rsidR="00527D8E" w:rsidRPr="00A12CC0" w:rsidRDefault="00527D8E" w:rsidP="00387FB2">
            <w:pPr>
              <w:pStyle w:val="ListParagraph"/>
              <w:numPr>
                <w:ilvl w:val="0"/>
                <w:numId w:val="30"/>
              </w:numPr>
              <w:rPr>
                <w:sz w:val="18"/>
                <w:szCs w:val="18"/>
              </w:rPr>
            </w:pPr>
            <w:r w:rsidRPr="00A12CC0">
              <w:rPr>
                <w:sz w:val="18"/>
                <w:szCs w:val="18"/>
              </w:rPr>
              <w:t>confirmation that environmental watering in regulated catchments has occurred having regard to the views of local communities and persons materially affected by the management of environmental water; and</w:t>
            </w:r>
          </w:p>
          <w:p w:rsidR="00527D8E" w:rsidRPr="00A12CC0" w:rsidRDefault="00527D8E" w:rsidP="00387FB2">
            <w:pPr>
              <w:pStyle w:val="ListParagraph"/>
              <w:numPr>
                <w:ilvl w:val="0"/>
                <w:numId w:val="30"/>
              </w:numPr>
              <w:rPr>
                <w:sz w:val="18"/>
                <w:szCs w:val="18"/>
              </w:rPr>
            </w:pPr>
            <w:r w:rsidRPr="00A12CC0">
              <w:rPr>
                <w:sz w:val="18"/>
                <w:szCs w:val="18"/>
              </w:rPr>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 and</w:t>
            </w:r>
          </w:p>
          <w:p w:rsidR="00D9557A" w:rsidRPr="00A12CC0" w:rsidRDefault="00527D8E" w:rsidP="005062BA">
            <w:pPr>
              <w:rPr>
                <w:sz w:val="18"/>
                <w:szCs w:val="18"/>
              </w:rPr>
            </w:pPr>
            <w:r w:rsidRPr="00A12CC0">
              <w:rPr>
                <w:sz w:val="18"/>
                <w:szCs w:val="18"/>
              </w:rPr>
              <w:t>5. For New South Wales, Victoria and South Australia only, the State has provided a brief description of supply measure projects for which feasibility and business cases are being developed for consideration under the SDL adjustment mechanism.</w:t>
            </w:r>
          </w:p>
          <w:p w:rsidR="005B0449" w:rsidRPr="00A12CC0" w:rsidRDefault="005B0449" w:rsidP="005062BA">
            <w:pPr>
              <w:rPr>
                <w:sz w:val="18"/>
                <w:szCs w:val="18"/>
              </w:rPr>
            </w:pPr>
          </w:p>
          <w:p w:rsidR="00F229F0" w:rsidRPr="00A12CC0" w:rsidRDefault="00F229F0" w:rsidP="005062BA">
            <w:pPr>
              <w:rPr>
                <w:sz w:val="18"/>
                <w:szCs w:val="18"/>
              </w:rPr>
            </w:pPr>
          </w:p>
          <w:p w:rsidR="005B0449" w:rsidRPr="00A12CC0" w:rsidRDefault="005B0449" w:rsidP="005062BA">
            <w:pPr>
              <w:rPr>
                <w:sz w:val="18"/>
                <w:szCs w:val="18"/>
              </w:rPr>
            </w:pP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p>
        </w:tc>
      </w:tr>
      <w:tr w:rsidR="00527D8E" w:rsidRPr="00A12CC0" w:rsidTr="005B0449">
        <w:trPr>
          <w:trHeight w:val="156"/>
        </w:trPr>
        <w:tc>
          <w:tcPr>
            <w:tcW w:w="94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27D8E" w:rsidRPr="00A12CC0" w:rsidRDefault="00527D8E" w:rsidP="00CC5888">
            <w:pPr>
              <w:rPr>
                <w:b/>
                <w:sz w:val="18"/>
                <w:szCs w:val="18"/>
              </w:rPr>
            </w:pPr>
            <w:r w:rsidRPr="00A12CC0">
              <w:rPr>
                <w:b/>
                <w:sz w:val="18"/>
                <w:szCs w:val="18"/>
              </w:rPr>
              <w:t>2014</w:t>
            </w:r>
            <w:r w:rsidR="00CC5888">
              <w:rPr>
                <w:b/>
                <w:sz w:val="18"/>
                <w:szCs w:val="18"/>
              </w:rPr>
              <w:t>–</w:t>
            </w:r>
            <w:r w:rsidRPr="00A12CC0">
              <w:rPr>
                <w:b/>
                <w:sz w:val="18"/>
                <w:szCs w:val="18"/>
              </w:rPr>
              <w:t>15 to 2019</w:t>
            </w:r>
            <w:r w:rsidR="00CC5888">
              <w:rPr>
                <w:b/>
                <w:sz w:val="18"/>
                <w:szCs w:val="18"/>
              </w:rPr>
              <w:t>–</w:t>
            </w:r>
            <w:r w:rsidRPr="00A12CC0">
              <w:rPr>
                <w:b/>
                <w:sz w:val="18"/>
                <w:szCs w:val="18"/>
              </w:rPr>
              <w:t>20</w:t>
            </w:r>
          </w:p>
        </w:tc>
      </w:tr>
      <w:tr w:rsidR="00527D8E" w:rsidRPr="00A12CC0" w:rsidTr="004F78FB">
        <w:trPr>
          <w:trHeight w:val="156"/>
        </w:trPr>
        <w:tc>
          <w:tcPr>
            <w:tcW w:w="1342"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rFonts w:eastAsia="MS Mincho"/>
                <w:b/>
                <w:sz w:val="18"/>
                <w:szCs w:val="18"/>
              </w:rPr>
            </w:pPr>
            <w:r w:rsidRPr="00A12CC0">
              <w:rPr>
                <w:sz w:val="18"/>
                <w:szCs w:val="18"/>
              </w:rPr>
              <w:t>By 31 August  2014, 2015, 2016, 2017, 2018 and</w:t>
            </w:r>
            <w:r w:rsidR="00CC5888">
              <w:rPr>
                <w:sz w:val="18"/>
                <w:szCs w:val="18"/>
              </w:rPr>
              <w:t xml:space="preserve"> </w:t>
            </w:r>
            <w:r w:rsidRPr="00A12CC0">
              <w:rPr>
                <w:sz w:val="18"/>
                <w:szCs w:val="18"/>
              </w:rPr>
              <w:t>2019 (or first working day thereafter)</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6. The State has supported the Commonwealth in Bridging the Gap, as measured by:</w:t>
            </w:r>
          </w:p>
          <w:p w:rsidR="00527D8E" w:rsidRPr="00A12CC0" w:rsidRDefault="00527D8E" w:rsidP="00387FB2">
            <w:pPr>
              <w:pStyle w:val="ListParagraph"/>
              <w:numPr>
                <w:ilvl w:val="0"/>
                <w:numId w:val="31"/>
              </w:numPr>
              <w:rPr>
                <w:sz w:val="18"/>
                <w:szCs w:val="18"/>
              </w:rPr>
            </w:pPr>
            <w:r w:rsidRPr="00A12CC0">
              <w:rPr>
                <w:sz w:val="18"/>
                <w:szCs w:val="18"/>
              </w:rPr>
              <w:t>after the Basin Plan Trade Rules come into effect, confirmation of the removal of volumetric or other barriers to permanent trade out of water irrigation areas that are inconsistent with the Basin Plan water trading rules; and</w:t>
            </w:r>
          </w:p>
          <w:p w:rsidR="00527D8E" w:rsidRPr="00A12CC0" w:rsidRDefault="00527D8E" w:rsidP="00387FB2">
            <w:pPr>
              <w:pStyle w:val="ListParagraph"/>
              <w:numPr>
                <w:ilvl w:val="0"/>
                <w:numId w:val="31"/>
              </w:numPr>
              <w:rPr>
                <w:sz w:val="18"/>
                <w:szCs w:val="18"/>
              </w:rPr>
            </w:pPr>
            <w:r w:rsidRPr="00A12CC0">
              <w:rPr>
                <w:sz w:val="18"/>
                <w:szCs w:val="18"/>
              </w:rPr>
              <w:t>confirmation that no restrictions were introduced on the trade of water access entitlements, except where consistent with the Basin Plan water trading rules; and</w:t>
            </w:r>
          </w:p>
          <w:p w:rsidR="00527D8E" w:rsidRPr="00A12CC0" w:rsidRDefault="00527D8E" w:rsidP="00387FB2">
            <w:pPr>
              <w:pStyle w:val="ListParagraph"/>
              <w:numPr>
                <w:ilvl w:val="0"/>
                <w:numId w:val="31"/>
              </w:numPr>
              <w:rPr>
                <w:sz w:val="18"/>
                <w:szCs w:val="18"/>
              </w:rPr>
            </w:pPr>
            <w:r w:rsidRPr="00A12CC0">
              <w:rPr>
                <w:sz w:val="18"/>
                <w:szCs w:val="18"/>
              </w:rPr>
              <w:t xml:space="preserve">confirmation that no action has been taken to impede Commonwealth measures to acquire water for environmental purposes, except where consistent with the Basin Plan water trading rules; and </w:t>
            </w:r>
          </w:p>
          <w:p w:rsidR="00527D8E" w:rsidRPr="00A12CC0" w:rsidRDefault="00527D8E" w:rsidP="00387FB2">
            <w:pPr>
              <w:pStyle w:val="ListParagraph"/>
              <w:numPr>
                <w:ilvl w:val="0"/>
                <w:numId w:val="31"/>
              </w:numPr>
              <w:rPr>
                <w:sz w:val="18"/>
                <w:szCs w:val="18"/>
              </w:rPr>
            </w:pPr>
            <w:r w:rsidRPr="00A12CC0">
              <w:rPr>
                <w:sz w:val="18"/>
                <w:szCs w:val="18"/>
              </w:rPr>
              <w:t>confirmation that applications for water entitlement and allocation trades, to which the Commonwealth is a party, were processed consistent with the agreed service standards relating to trade processing times</w:t>
            </w:r>
            <w:r w:rsidRPr="00A12CC0">
              <w:rPr>
                <w:color w:val="000000"/>
                <w:sz w:val="18"/>
                <w:szCs w:val="18"/>
              </w:rPr>
              <w:t xml:space="preserve"> </w:t>
            </w:r>
            <w:r w:rsidRPr="00A12CC0">
              <w:rPr>
                <w:sz w:val="18"/>
                <w:szCs w:val="18"/>
              </w:rPr>
              <w:t>for State approval agencies; and</w:t>
            </w:r>
          </w:p>
          <w:p w:rsidR="00527D8E" w:rsidRPr="00A12CC0" w:rsidRDefault="00527D8E" w:rsidP="00387FB2">
            <w:pPr>
              <w:pStyle w:val="ListParagraph"/>
              <w:numPr>
                <w:ilvl w:val="0"/>
                <w:numId w:val="31"/>
              </w:numPr>
              <w:rPr>
                <w:sz w:val="18"/>
                <w:szCs w:val="18"/>
              </w:rPr>
            </w:pPr>
            <w:r w:rsidRPr="00A12CC0">
              <w:rPr>
                <w:sz w:val="18"/>
                <w:szCs w:val="18"/>
              </w:rPr>
              <w:t>specification of entitlements in regulated surface water systems, consistent with clauses 28 to 32 of the National Water Initiative in the timeframe agreed in the IGA, unless where otherwise agreed; and</w:t>
            </w:r>
          </w:p>
          <w:p w:rsidR="005B0449" w:rsidRPr="00A12CC0" w:rsidRDefault="005B0449" w:rsidP="00391E36">
            <w:pPr>
              <w:pStyle w:val="ListParagraph"/>
              <w:numPr>
                <w:ilvl w:val="0"/>
                <w:numId w:val="0"/>
              </w:numPr>
              <w:ind w:left="1004"/>
              <w:rPr>
                <w:sz w:val="18"/>
                <w:szCs w:val="18"/>
              </w:rPr>
            </w:pPr>
          </w:p>
          <w:p w:rsidR="00D9557A" w:rsidRPr="00A12CC0" w:rsidRDefault="00527D8E" w:rsidP="00F229F0">
            <w:pPr>
              <w:rPr>
                <w:sz w:val="18"/>
                <w:szCs w:val="18"/>
              </w:rPr>
            </w:pPr>
            <w:r w:rsidRPr="00A12CC0">
              <w:rPr>
                <w:sz w:val="18"/>
                <w:szCs w:val="18"/>
                <w:shd w:val="clear" w:color="auto" w:fill="FFFFFF" w:themeFill="background1"/>
              </w:rPr>
              <w:t xml:space="preserve">7. Following publication of the Constraints Management Strategy by the Authority, </w:t>
            </w:r>
            <w:r w:rsidRPr="00A12CC0">
              <w:rPr>
                <w:sz w:val="18"/>
                <w:szCs w:val="18"/>
              </w:rPr>
              <w:t>confirmation</w:t>
            </w:r>
            <w:r w:rsidRPr="00A12CC0">
              <w:rPr>
                <w:sz w:val="18"/>
                <w:szCs w:val="18"/>
                <w:shd w:val="clear" w:color="auto" w:fill="FFFFFF" w:themeFill="background1"/>
              </w:rPr>
              <w:t xml:space="preserve"> that any actions taken by </w:t>
            </w:r>
            <w:r w:rsidRPr="00A12CC0">
              <w:rPr>
                <w:sz w:val="18"/>
                <w:szCs w:val="18"/>
              </w:rPr>
              <w:t>the state to remove or address constraints are consistent with the measures agreed through the inter-jurisdictional governance procedure for the SDL adjustment mechanism.</w:t>
            </w:r>
          </w:p>
        </w:tc>
        <w:tc>
          <w:tcPr>
            <w:tcW w:w="1243" w:type="dxa"/>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100%</w:t>
            </w:r>
          </w:p>
        </w:tc>
      </w:tr>
      <w:tr w:rsidR="00527D8E" w:rsidRPr="00A12CC0" w:rsidTr="004F78FB">
        <w:trPr>
          <w:trHeight w:val="656"/>
        </w:trPr>
        <w:tc>
          <w:tcPr>
            <w:tcW w:w="1342" w:type="dxa"/>
            <w:tcBorders>
              <w:top w:val="single" w:sz="4" w:space="0" w:color="auto"/>
              <w:left w:val="single" w:sz="4" w:space="0" w:color="auto"/>
              <w:bottom w:val="single" w:sz="4" w:space="0" w:color="auto"/>
              <w:right w:val="single" w:sz="4" w:space="0" w:color="auto"/>
            </w:tcBorders>
          </w:tcPr>
          <w:p w:rsidR="00527D8E" w:rsidRPr="00A12CC0" w:rsidRDefault="00527D8E" w:rsidP="005062BA">
            <w:pPr>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527D8E" w:rsidRPr="00A12CC0" w:rsidRDefault="00527D8E" w:rsidP="005062BA">
            <w:pPr>
              <w:rPr>
                <w:sz w:val="18"/>
                <w:szCs w:val="18"/>
              </w:rPr>
            </w:pPr>
            <w:r w:rsidRPr="00A12CC0">
              <w:rPr>
                <w:sz w:val="18"/>
                <w:szCs w:val="18"/>
              </w:rPr>
              <w:t>8. The State has cooperated in arrangements for Basin Plan environmental watering, as measured by:</w:t>
            </w:r>
          </w:p>
          <w:p w:rsidR="00527D8E" w:rsidRPr="00A12CC0" w:rsidRDefault="00527D8E" w:rsidP="00387FB2">
            <w:pPr>
              <w:pStyle w:val="ListParagraph"/>
              <w:numPr>
                <w:ilvl w:val="0"/>
                <w:numId w:val="32"/>
              </w:numPr>
              <w:rPr>
                <w:sz w:val="18"/>
                <w:szCs w:val="18"/>
              </w:rPr>
            </w:pPr>
            <w:r w:rsidRPr="00A12CC0">
              <w:rPr>
                <w:sz w:val="18"/>
                <w:szCs w:val="18"/>
              </w:rPr>
              <w:t>Except as otherwise agreed between the Commonwealth and the relevant State(s) to facilitate improved environmental watering, confirmation that the characteristics of licensed entitlements held for environmental use have not been enhanced or diminished relative to like entitlements held and used for other purposes</w:t>
            </w:r>
          </w:p>
          <w:p w:rsidR="00527D8E" w:rsidRPr="00A12CC0" w:rsidRDefault="00527D8E" w:rsidP="00387FB2">
            <w:pPr>
              <w:pStyle w:val="ListParagraph"/>
              <w:numPr>
                <w:ilvl w:val="0"/>
                <w:numId w:val="32"/>
              </w:numPr>
              <w:rPr>
                <w:sz w:val="18"/>
                <w:szCs w:val="18"/>
              </w:rPr>
            </w:pPr>
            <w:r w:rsidRPr="00A12CC0">
              <w:rPr>
                <w:sz w:val="18"/>
                <w:szCs w:val="18"/>
              </w:rPr>
              <w:t>Where feasible and agreed by the relevant Basin State, and where associated third party impacts have been considered, confirmation that measures have been implemented to facilitate the use of environmental water by protecting environmental water in-stream and on land through:</w:t>
            </w:r>
          </w:p>
          <w:p w:rsidR="00527D8E" w:rsidRPr="00A12CC0" w:rsidRDefault="00527D8E" w:rsidP="00387FB2">
            <w:pPr>
              <w:pStyle w:val="ListParagraph"/>
              <w:rPr>
                <w:sz w:val="18"/>
                <w:szCs w:val="18"/>
              </w:rPr>
            </w:pPr>
            <w:r w:rsidRPr="00A12CC0">
              <w:rPr>
                <w:sz w:val="18"/>
                <w:szCs w:val="18"/>
              </w:rPr>
              <w:t>(</w:t>
            </w:r>
            <w:proofErr w:type="spellStart"/>
            <w:r w:rsidRPr="00A12CC0">
              <w:rPr>
                <w:sz w:val="18"/>
                <w:szCs w:val="18"/>
              </w:rPr>
              <w:t>i</w:t>
            </w:r>
            <w:proofErr w:type="spellEnd"/>
            <w:r w:rsidRPr="00A12CC0">
              <w:rPr>
                <w:sz w:val="18"/>
                <w:szCs w:val="18"/>
              </w:rPr>
              <w:t>) the delivery of held environmental water in-stream though arrangements such as water shepherding to facilitate environmental flows; and</w:t>
            </w:r>
          </w:p>
          <w:p w:rsidR="00527D8E" w:rsidRPr="00A12CC0" w:rsidRDefault="00527D8E" w:rsidP="00387FB2">
            <w:pPr>
              <w:pStyle w:val="ListParagraph"/>
              <w:rPr>
                <w:sz w:val="18"/>
                <w:szCs w:val="18"/>
              </w:rPr>
            </w:pPr>
            <w:r w:rsidRPr="00A12CC0">
              <w:rPr>
                <w:sz w:val="18"/>
                <w:szCs w:val="18"/>
              </w:rPr>
              <w:t>(ii) further use of environmental water at multiple locations along the river, such as through return flow provisions; and</w:t>
            </w:r>
          </w:p>
          <w:p w:rsidR="00527D8E" w:rsidRPr="00A12CC0" w:rsidRDefault="00527D8E" w:rsidP="00387FB2">
            <w:pPr>
              <w:pStyle w:val="ListParagraph"/>
              <w:numPr>
                <w:ilvl w:val="0"/>
                <w:numId w:val="32"/>
              </w:numPr>
              <w:rPr>
                <w:sz w:val="18"/>
                <w:szCs w:val="18"/>
              </w:rPr>
            </w:pPr>
            <w:r w:rsidRPr="00A12CC0">
              <w:rPr>
                <w:sz w:val="18"/>
                <w:szCs w:val="18"/>
              </w:rPr>
              <w:t>confirmation that the Authority has been provided with annual environmental watering priorities, consistent with the Basin Plan; and</w:t>
            </w:r>
          </w:p>
          <w:p w:rsidR="00527D8E" w:rsidRPr="00A12CC0" w:rsidRDefault="00527D8E" w:rsidP="00387FB2">
            <w:pPr>
              <w:pStyle w:val="ListParagraph"/>
              <w:numPr>
                <w:ilvl w:val="0"/>
                <w:numId w:val="32"/>
              </w:numPr>
              <w:rPr>
                <w:sz w:val="18"/>
                <w:szCs w:val="18"/>
              </w:rPr>
            </w:pPr>
            <w:r w:rsidRPr="00A12CC0">
              <w:rPr>
                <w:sz w:val="18"/>
                <w:szCs w:val="18"/>
              </w:rPr>
              <w:t>confirmation that the management and  delivery of planned and held environmental water is consistent with the Basin Plan; including:</w:t>
            </w:r>
          </w:p>
          <w:p w:rsidR="00527D8E" w:rsidRPr="00A12CC0" w:rsidRDefault="00527D8E" w:rsidP="00387FB2">
            <w:pPr>
              <w:pStyle w:val="ListParagraph"/>
              <w:numPr>
                <w:ilvl w:val="1"/>
                <w:numId w:val="33"/>
              </w:numPr>
              <w:rPr>
                <w:sz w:val="18"/>
                <w:szCs w:val="18"/>
              </w:rPr>
            </w:pPr>
            <w:r w:rsidRPr="00A12CC0">
              <w:rPr>
                <w:sz w:val="18"/>
                <w:szCs w:val="18"/>
              </w:rPr>
              <w:t>the environmental watering plan’s Principles to be applied to environmental watering; and</w:t>
            </w:r>
          </w:p>
          <w:p w:rsidR="00527D8E" w:rsidRPr="00A12CC0" w:rsidRDefault="00527D8E" w:rsidP="00387FB2">
            <w:pPr>
              <w:pStyle w:val="ListParagraph"/>
              <w:numPr>
                <w:ilvl w:val="1"/>
                <w:numId w:val="33"/>
              </w:numPr>
              <w:rPr>
                <w:sz w:val="18"/>
                <w:szCs w:val="18"/>
              </w:rPr>
            </w:pPr>
            <w:r w:rsidRPr="00A12CC0">
              <w:rPr>
                <w:sz w:val="18"/>
                <w:szCs w:val="18"/>
              </w:rPr>
              <w:t>that a statement of reasons has been provided to the Authority for any environmental watering undertaken that was not in accordance with the Basin annual environmental watering priorities; and</w:t>
            </w:r>
          </w:p>
          <w:p w:rsidR="00527D8E" w:rsidRPr="00A12CC0" w:rsidRDefault="00527D8E" w:rsidP="00387FB2">
            <w:pPr>
              <w:pStyle w:val="ListParagraph"/>
              <w:numPr>
                <w:ilvl w:val="0"/>
                <w:numId w:val="32"/>
              </w:numPr>
              <w:rPr>
                <w:sz w:val="18"/>
                <w:szCs w:val="18"/>
              </w:rPr>
            </w:pPr>
            <w:r w:rsidRPr="00A12CC0">
              <w:rPr>
                <w:sz w:val="18"/>
                <w:szCs w:val="18"/>
              </w:rPr>
              <w:t>confirmation that environmental watering in regulated catchments has occurred having regard to the views of local communities and persons materially affected by the management of environmental water; and</w:t>
            </w:r>
          </w:p>
          <w:p w:rsidR="00527D8E" w:rsidRPr="00A12CC0" w:rsidRDefault="00527D8E" w:rsidP="00387FB2">
            <w:pPr>
              <w:pStyle w:val="ListParagraph"/>
              <w:numPr>
                <w:ilvl w:val="0"/>
                <w:numId w:val="32"/>
              </w:numPr>
              <w:rPr>
                <w:sz w:val="18"/>
                <w:szCs w:val="18"/>
              </w:rPr>
            </w:pPr>
            <w:r w:rsidRPr="00A12CC0">
              <w:rPr>
                <w:sz w:val="18"/>
                <w:szCs w:val="18"/>
              </w:rPr>
              <w:t>12 months after the Authority has made the Basin-wide Environmental Watering Strategy, or within another timeframe agreed between the Authority and Basin State, confirmation that long-term environmental watering plans for surface water resource plan areas have been developed consistent with the requirements of the Basin Plan.</w:t>
            </w:r>
          </w:p>
          <w:p w:rsidR="00527D8E" w:rsidRPr="00A12CC0" w:rsidRDefault="00527D8E" w:rsidP="00CC5888">
            <w:pPr>
              <w:rPr>
                <w:sz w:val="18"/>
                <w:szCs w:val="18"/>
              </w:rPr>
            </w:pPr>
            <w:r w:rsidRPr="00A12CC0">
              <w:rPr>
                <w:sz w:val="18"/>
                <w:szCs w:val="18"/>
              </w:rPr>
              <w:t>9. For New South Wales, Victoria and South Australia only, and for 2014</w:t>
            </w:r>
            <w:r w:rsidR="00CC5888">
              <w:rPr>
                <w:sz w:val="18"/>
                <w:szCs w:val="18"/>
              </w:rPr>
              <w:t>–</w:t>
            </w:r>
            <w:r w:rsidRPr="00A12CC0">
              <w:rPr>
                <w:sz w:val="18"/>
                <w:szCs w:val="18"/>
              </w:rPr>
              <w:t>15 and 2015</w:t>
            </w:r>
            <w:r w:rsidR="00CC5888">
              <w:rPr>
                <w:sz w:val="18"/>
                <w:szCs w:val="18"/>
              </w:rPr>
              <w:t>–</w:t>
            </w:r>
            <w:r w:rsidRPr="00A12CC0">
              <w:rPr>
                <w:sz w:val="18"/>
                <w:szCs w:val="18"/>
              </w:rPr>
              <w:t>16 only, the State has provided a brief description of supply measure projects for which feasibility and business cases are being developed for consideration under the SDL adjustment mechanism.</w:t>
            </w:r>
          </w:p>
        </w:tc>
        <w:tc>
          <w:tcPr>
            <w:tcW w:w="1243" w:type="dxa"/>
            <w:tcBorders>
              <w:top w:val="single" w:sz="4" w:space="0" w:color="auto"/>
              <w:left w:val="single" w:sz="4" w:space="0" w:color="auto"/>
              <w:bottom w:val="single" w:sz="4" w:space="0" w:color="auto"/>
              <w:right w:val="single" w:sz="4" w:space="0" w:color="auto"/>
            </w:tcBorders>
          </w:tcPr>
          <w:p w:rsidR="00527D8E" w:rsidRPr="00A12CC0" w:rsidRDefault="00527D8E" w:rsidP="005062BA">
            <w:pPr>
              <w:rPr>
                <w:sz w:val="18"/>
                <w:szCs w:val="18"/>
              </w:rPr>
            </w:pPr>
          </w:p>
        </w:tc>
      </w:tr>
    </w:tbl>
    <w:p w:rsidR="00527D8E" w:rsidRDefault="00527D8E" w:rsidP="005062BA"/>
    <w:p w:rsidR="005F7B36" w:rsidRDefault="005F7B36" w:rsidP="0053402D">
      <w:pPr>
        <w:pStyle w:val="Heading1"/>
        <w:spacing w:after="240"/>
      </w:pPr>
      <w:bookmarkStart w:id="127" w:name="_Toc367728666"/>
      <w:bookmarkStart w:id="128" w:name="_Toc433882382"/>
      <w:r w:rsidRPr="00712173">
        <w:t>References</w:t>
      </w:r>
      <w:bookmarkEnd w:id="127"/>
      <w:bookmarkEnd w:id="128"/>
    </w:p>
    <w:p w:rsidR="006C4DEF" w:rsidRPr="002779B0" w:rsidRDefault="00CC5888" w:rsidP="006C4DEF">
      <w:pPr>
        <w:pStyle w:val="References"/>
        <w:rPr>
          <w:sz w:val="18"/>
          <w:szCs w:val="18"/>
        </w:rPr>
      </w:pPr>
      <w:bookmarkStart w:id="129" w:name="_ENREF_1"/>
      <w:bookmarkStart w:id="130" w:name="_ENREF_9"/>
      <w:r>
        <w:rPr>
          <w:sz w:val="18"/>
          <w:szCs w:val="18"/>
        </w:rPr>
        <w:t>ACT Govt (</w:t>
      </w:r>
      <w:r w:rsidR="00A75CA4" w:rsidRPr="002779B0">
        <w:rPr>
          <w:sz w:val="18"/>
          <w:szCs w:val="18"/>
        </w:rPr>
        <w:t>A</w:t>
      </w:r>
      <w:r w:rsidR="002779B0">
        <w:rPr>
          <w:sz w:val="18"/>
          <w:szCs w:val="18"/>
        </w:rPr>
        <w:t xml:space="preserve">ustralian </w:t>
      </w:r>
      <w:r w:rsidR="00A75CA4" w:rsidRPr="002779B0">
        <w:rPr>
          <w:sz w:val="18"/>
          <w:szCs w:val="18"/>
        </w:rPr>
        <w:t>C</w:t>
      </w:r>
      <w:r w:rsidR="002779B0">
        <w:rPr>
          <w:sz w:val="18"/>
          <w:szCs w:val="18"/>
        </w:rPr>
        <w:t xml:space="preserve">apital Territory </w:t>
      </w:r>
      <w:r w:rsidR="00A75CA4" w:rsidRPr="002779B0">
        <w:rPr>
          <w:sz w:val="18"/>
          <w:szCs w:val="18"/>
        </w:rPr>
        <w:t>Gov</w:t>
      </w:r>
      <w:r>
        <w:rPr>
          <w:sz w:val="18"/>
          <w:szCs w:val="18"/>
        </w:rPr>
        <w:t>ernmen</w:t>
      </w:r>
      <w:r w:rsidR="004E2C9A" w:rsidRPr="002779B0">
        <w:rPr>
          <w:sz w:val="18"/>
          <w:szCs w:val="18"/>
        </w:rPr>
        <w:t>t</w:t>
      </w:r>
      <w:r>
        <w:rPr>
          <w:sz w:val="18"/>
          <w:szCs w:val="18"/>
        </w:rPr>
        <w:t xml:space="preserve">) </w:t>
      </w:r>
      <w:r w:rsidR="004E2C9A" w:rsidRPr="002779B0">
        <w:rPr>
          <w:sz w:val="18"/>
          <w:szCs w:val="18"/>
        </w:rPr>
        <w:t>201</w:t>
      </w:r>
      <w:r w:rsidR="00424625">
        <w:rPr>
          <w:sz w:val="18"/>
          <w:szCs w:val="18"/>
        </w:rPr>
        <w:t>5</w:t>
      </w:r>
      <w:r w:rsidR="006C4DEF" w:rsidRPr="002779B0">
        <w:rPr>
          <w:sz w:val="18"/>
          <w:szCs w:val="18"/>
        </w:rPr>
        <w:t xml:space="preserve">, </w:t>
      </w:r>
      <w:r w:rsidR="006C4DEF" w:rsidRPr="002779B0">
        <w:rPr>
          <w:i/>
          <w:sz w:val="18"/>
          <w:szCs w:val="18"/>
        </w:rPr>
        <w:t xml:space="preserve">ACT </w:t>
      </w:r>
      <w:r w:rsidR="004E2C9A" w:rsidRPr="002779B0">
        <w:rPr>
          <w:i/>
          <w:sz w:val="18"/>
          <w:szCs w:val="18"/>
        </w:rPr>
        <w:t>– Statement of assurance 201</w:t>
      </w:r>
      <w:r w:rsidR="00424625">
        <w:rPr>
          <w:i/>
          <w:sz w:val="18"/>
          <w:szCs w:val="18"/>
        </w:rPr>
        <w:t>4</w:t>
      </w:r>
      <w:r>
        <w:rPr>
          <w:i/>
          <w:sz w:val="18"/>
          <w:szCs w:val="18"/>
        </w:rPr>
        <w:t>–</w:t>
      </w:r>
      <w:r w:rsidR="004E2C9A" w:rsidRPr="002779B0">
        <w:rPr>
          <w:i/>
          <w:sz w:val="18"/>
          <w:szCs w:val="18"/>
        </w:rPr>
        <w:t>1</w:t>
      </w:r>
      <w:r w:rsidR="00424625">
        <w:rPr>
          <w:i/>
          <w:sz w:val="18"/>
          <w:szCs w:val="18"/>
        </w:rPr>
        <w:t>5</w:t>
      </w:r>
      <w:r w:rsidR="006C4DEF" w:rsidRPr="002779B0">
        <w:rPr>
          <w:sz w:val="18"/>
          <w:szCs w:val="18"/>
        </w:rPr>
        <w:t>, ACT Government, Canberra.</w:t>
      </w:r>
      <w:bookmarkEnd w:id="129"/>
    </w:p>
    <w:p w:rsidR="00424625" w:rsidRPr="00424625" w:rsidRDefault="00424625" w:rsidP="00424625">
      <w:pPr>
        <w:rPr>
          <w:sz w:val="18"/>
          <w:szCs w:val="18"/>
        </w:rPr>
      </w:pPr>
      <w:proofErr w:type="spellStart"/>
      <w:r w:rsidRPr="00424625">
        <w:rPr>
          <w:sz w:val="18"/>
          <w:szCs w:val="18"/>
        </w:rPr>
        <w:t>Lukasiewicz</w:t>
      </w:r>
      <w:proofErr w:type="spellEnd"/>
      <w:r w:rsidRPr="00424625">
        <w:rPr>
          <w:sz w:val="18"/>
          <w:szCs w:val="18"/>
        </w:rPr>
        <w:t xml:space="preserve"> A, Dare L 2014, </w:t>
      </w:r>
      <w:r w:rsidRPr="00424625">
        <w:rPr>
          <w:i/>
          <w:sz w:val="18"/>
          <w:szCs w:val="18"/>
        </w:rPr>
        <w:t>Evaluation of NSW Environmental Water Advisory Groups</w:t>
      </w:r>
      <w:r w:rsidRPr="00424625">
        <w:rPr>
          <w:sz w:val="18"/>
          <w:szCs w:val="18"/>
        </w:rPr>
        <w:t>, University of Canberra.</w:t>
      </w:r>
    </w:p>
    <w:p w:rsidR="00424625" w:rsidRPr="002779B0" w:rsidRDefault="00424625" w:rsidP="00424625">
      <w:pPr>
        <w:pStyle w:val="References"/>
        <w:rPr>
          <w:sz w:val="18"/>
          <w:szCs w:val="18"/>
        </w:rPr>
      </w:pPr>
      <w:r>
        <w:rPr>
          <w:sz w:val="18"/>
          <w:szCs w:val="18"/>
        </w:rPr>
        <w:t>MDBA (Murray–Darling Basin Authority) 2015</w:t>
      </w:r>
      <w:r w:rsidRPr="002779B0">
        <w:rPr>
          <w:sz w:val="18"/>
          <w:szCs w:val="18"/>
        </w:rPr>
        <w:t xml:space="preserve">, </w:t>
      </w:r>
      <w:r w:rsidRPr="007D4C10">
        <w:rPr>
          <w:i/>
          <w:sz w:val="18"/>
          <w:szCs w:val="18"/>
        </w:rPr>
        <w:t>2015-16</w:t>
      </w:r>
      <w:r>
        <w:rPr>
          <w:sz w:val="18"/>
          <w:szCs w:val="18"/>
        </w:rPr>
        <w:t xml:space="preserve"> </w:t>
      </w:r>
      <w:r w:rsidRPr="002779B0">
        <w:rPr>
          <w:i/>
          <w:sz w:val="18"/>
          <w:szCs w:val="18"/>
        </w:rPr>
        <w:t xml:space="preserve">Basin </w:t>
      </w:r>
      <w:r>
        <w:rPr>
          <w:i/>
          <w:sz w:val="18"/>
          <w:szCs w:val="18"/>
        </w:rPr>
        <w:t xml:space="preserve">annual </w:t>
      </w:r>
      <w:r w:rsidRPr="002779B0">
        <w:rPr>
          <w:i/>
          <w:sz w:val="18"/>
          <w:szCs w:val="18"/>
        </w:rPr>
        <w:t xml:space="preserve">environmental watering </w:t>
      </w:r>
      <w:r>
        <w:rPr>
          <w:i/>
          <w:sz w:val="18"/>
          <w:szCs w:val="18"/>
        </w:rPr>
        <w:t>priorites</w:t>
      </w:r>
      <w:r w:rsidRPr="002779B0">
        <w:rPr>
          <w:sz w:val="18"/>
          <w:szCs w:val="18"/>
        </w:rPr>
        <w:t>, MDBA, Canberra.</w:t>
      </w:r>
    </w:p>
    <w:bookmarkEnd w:id="130"/>
    <w:p w:rsidR="00424625" w:rsidRDefault="00424625" w:rsidP="00424625">
      <w:pPr>
        <w:pStyle w:val="References"/>
        <w:rPr>
          <w:sz w:val="18"/>
          <w:szCs w:val="18"/>
        </w:rPr>
      </w:pPr>
      <w:r>
        <w:rPr>
          <w:sz w:val="18"/>
          <w:szCs w:val="18"/>
        </w:rPr>
        <w:t>NSW Govt (</w:t>
      </w:r>
      <w:r w:rsidRPr="002779B0">
        <w:rPr>
          <w:sz w:val="18"/>
          <w:szCs w:val="18"/>
        </w:rPr>
        <w:t>New South Wales Gov</w:t>
      </w:r>
      <w:r>
        <w:rPr>
          <w:sz w:val="18"/>
          <w:szCs w:val="18"/>
        </w:rPr>
        <w:t>ernment)</w:t>
      </w:r>
      <w:r w:rsidRPr="002779B0">
        <w:rPr>
          <w:sz w:val="18"/>
          <w:szCs w:val="18"/>
        </w:rPr>
        <w:t> </w:t>
      </w:r>
      <w:r>
        <w:rPr>
          <w:sz w:val="18"/>
          <w:szCs w:val="18"/>
        </w:rPr>
        <w:t>2015</w:t>
      </w:r>
      <w:r w:rsidRPr="002779B0">
        <w:rPr>
          <w:sz w:val="18"/>
          <w:szCs w:val="18"/>
        </w:rPr>
        <w:t xml:space="preserve">, </w:t>
      </w:r>
      <w:r w:rsidRPr="002779B0">
        <w:rPr>
          <w:i/>
          <w:sz w:val="18"/>
          <w:szCs w:val="18"/>
        </w:rPr>
        <w:t xml:space="preserve">NSW Statement of Assurance for the year </w:t>
      </w:r>
      <w:r>
        <w:rPr>
          <w:i/>
          <w:sz w:val="18"/>
          <w:szCs w:val="18"/>
        </w:rPr>
        <w:t>2014–15</w:t>
      </w:r>
      <w:r w:rsidRPr="002779B0">
        <w:rPr>
          <w:i/>
          <w:sz w:val="18"/>
          <w:szCs w:val="18"/>
        </w:rPr>
        <w:t xml:space="preserve"> against performance milestones in Schedule A of the NPA on implementing water reform in the Murray</w:t>
      </w:r>
      <w:r>
        <w:rPr>
          <w:i/>
          <w:sz w:val="18"/>
          <w:szCs w:val="18"/>
        </w:rPr>
        <w:t>–</w:t>
      </w:r>
      <w:r w:rsidRPr="002779B0">
        <w:rPr>
          <w:i/>
          <w:sz w:val="18"/>
          <w:szCs w:val="18"/>
        </w:rPr>
        <w:t>Darling Basin</w:t>
      </w:r>
      <w:r w:rsidRPr="002779B0">
        <w:rPr>
          <w:sz w:val="18"/>
          <w:szCs w:val="18"/>
        </w:rPr>
        <w:t xml:space="preserve">, New South Wales Government, Sydney. </w:t>
      </w:r>
    </w:p>
    <w:p w:rsidR="00CC5888" w:rsidRPr="002779B0" w:rsidRDefault="00CC5888" w:rsidP="00DC639E">
      <w:pPr>
        <w:pStyle w:val="References"/>
        <w:rPr>
          <w:sz w:val="18"/>
          <w:szCs w:val="18"/>
        </w:rPr>
      </w:pPr>
      <w:r>
        <w:rPr>
          <w:sz w:val="18"/>
          <w:szCs w:val="18"/>
        </w:rPr>
        <w:t>NWC (</w:t>
      </w:r>
      <w:r w:rsidRPr="002779B0">
        <w:rPr>
          <w:sz w:val="18"/>
          <w:szCs w:val="18"/>
        </w:rPr>
        <w:t>National Water Commission</w:t>
      </w:r>
      <w:r>
        <w:rPr>
          <w:sz w:val="18"/>
          <w:szCs w:val="18"/>
        </w:rPr>
        <w:t>)</w:t>
      </w:r>
      <w:r w:rsidRPr="002779B0">
        <w:rPr>
          <w:sz w:val="18"/>
          <w:szCs w:val="18"/>
        </w:rPr>
        <w:t xml:space="preserve"> 2014, </w:t>
      </w:r>
      <w:r w:rsidRPr="002779B0">
        <w:rPr>
          <w:i/>
          <w:sz w:val="18"/>
          <w:szCs w:val="18"/>
        </w:rPr>
        <w:t>National Water Planning Report Card 2013</w:t>
      </w:r>
      <w:r w:rsidRPr="002779B0">
        <w:rPr>
          <w:sz w:val="18"/>
          <w:szCs w:val="18"/>
        </w:rPr>
        <w:t>, NWC, Canberra.</w:t>
      </w:r>
    </w:p>
    <w:p w:rsidR="00BB5ACB" w:rsidRPr="002779B0" w:rsidRDefault="00CC5888" w:rsidP="00BB5ACB">
      <w:pPr>
        <w:pStyle w:val="References"/>
        <w:rPr>
          <w:sz w:val="18"/>
          <w:szCs w:val="18"/>
        </w:rPr>
      </w:pPr>
      <w:r>
        <w:rPr>
          <w:sz w:val="18"/>
          <w:szCs w:val="18"/>
        </w:rPr>
        <w:t>Qld Govt (</w:t>
      </w:r>
      <w:r w:rsidR="00863158" w:rsidRPr="002779B0">
        <w:rPr>
          <w:sz w:val="18"/>
          <w:szCs w:val="18"/>
        </w:rPr>
        <w:t>Queensland Gov</w:t>
      </w:r>
      <w:r>
        <w:rPr>
          <w:sz w:val="18"/>
          <w:szCs w:val="18"/>
        </w:rPr>
        <w:t>ernmen</w:t>
      </w:r>
      <w:r w:rsidR="00863158" w:rsidRPr="002779B0">
        <w:rPr>
          <w:sz w:val="18"/>
          <w:szCs w:val="18"/>
        </w:rPr>
        <w:t>t</w:t>
      </w:r>
      <w:r>
        <w:rPr>
          <w:sz w:val="18"/>
          <w:szCs w:val="18"/>
        </w:rPr>
        <w:t>)</w:t>
      </w:r>
      <w:r w:rsidR="00394319">
        <w:rPr>
          <w:sz w:val="18"/>
          <w:szCs w:val="18"/>
        </w:rPr>
        <w:t> 2015</w:t>
      </w:r>
      <w:r w:rsidR="00407DBD" w:rsidRPr="002779B0">
        <w:rPr>
          <w:sz w:val="18"/>
          <w:szCs w:val="18"/>
        </w:rPr>
        <w:t xml:space="preserve">, </w:t>
      </w:r>
      <w:r w:rsidR="002818A5" w:rsidRPr="002818A5">
        <w:rPr>
          <w:i/>
          <w:sz w:val="18"/>
          <w:szCs w:val="18"/>
        </w:rPr>
        <w:t xml:space="preserve">Queensland </w:t>
      </w:r>
      <w:r w:rsidR="00407DBD" w:rsidRPr="002818A5">
        <w:rPr>
          <w:i/>
          <w:sz w:val="18"/>
          <w:szCs w:val="18"/>
        </w:rPr>
        <w:t>Statement</w:t>
      </w:r>
      <w:r w:rsidR="00407DBD" w:rsidRPr="002779B0">
        <w:rPr>
          <w:i/>
          <w:sz w:val="18"/>
          <w:szCs w:val="18"/>
        </w:rPr>
        <w:t xml:space="preserve"> of Assurance 201</w:t>
      </w:r>
      <w:r w:rsidR="002818A5">
        <w:rPr>
          <w:i/>
          <w:sz w:val="18"/>
          <w:szCs w:val="18"/>
        </w:rPr>
        <w:t>4</w:t>
      </w:r>
      <w:r w:rsidR="00407DBD" w:rsidRPr="002779B0">
        <w:rPr>
          <w:i/>
          <w:sz w:val="18"/>
          <w:szCs w:val="18"/>
        </w:rPr>
        <w:t>–1</w:t>
      </w:r>
      <w:r w:rsidR="002818A5">
        <w:rPr>
          <w:i/>
          <w:sz w:val="18"/>
          <w:szCs w:val="18"/>
        </w:rPr>
        <w:t>5</w:t>
      </w:r>
      <w:r w:rsidR="00407DBD" w:rsidRPr="002779B0">
        <w:rPr>
          <w:sz w:val="18"/>
          <w:szCs w:val="18"/>
        </w:rPr>
        <w:t>, Queenland Government, Brisbane.</w:t>
      </w:r>
      <w:bookmarkStart w:id="131" w:name="_ENREF_8"/>
      <w:r w:rsidR="00BB5ACB" w:rsidRPr="002779B0">
        <w:rPr>
          <w:sz w:val="18"/>
          <w:szCs w:val="18"/>
        </w:rPr>
        <w:t xml:space="preserve"> </w:t>
      </w:r>
    </w:p>
    <w:p w:rsidR="00BB5ACB" w:rsidRPr="002779B0" w:rsidRDefault="00CC5888" w:rsidP="00BB5ACB">
      <w:pPr>
        <w:pStyle w:val="References"/>
        <w:rPr>
          <w:sz w:val="18"/>
          <w:szCs w:val="18"/>
        </w:rPr>
      </w:pPr>
      <w:bookmarkStart w:id="132" w:name="_ENREF_5"/>
      <w:r>
        <w:rPr>
          <w:sz w:val="18"/>
          <w:szCs w:val="18"/>
        </w:rPr>
        <w:t xml:space="preserve">SA </w:t>
      </w:r>
      <w:r w:rsidR="009622F0" w:rsidRPr="002779B0">
        <w:rPr>
          <w:sz w:val="18"/>
          <w:szCs w:val="18"/>
        </w:rPr>
        <w:t>Govt </w:t>
      </w:r>
      <w:r>
        <w:rPr>
          <w:sz w:val="18"/>
          <w:szCs w:val="18"/>
        </w:rPr>
        <w:t xml:space="preserve">(South Australian Government) </w:t>
      </w:r>
      <w:r w:rsidR="009622F0" w:rsidRPr="002779B0">
        <w:rPr>
          <w:sz w:val="18"/>
          <w:szCs w:val="18"/>
        </w:rPr>
        <w:t>201</w:t>
      </w:r>
      <w:r w:rsidR="00424625">
        <w:rPr>
          <w:sz w:val="18"/>
          <w:szCs w:val="18"/>
        </w:rPr>
        <w:t>5</w:t>
      </w:r>
      <w:r w:rsidR="00BB5ACB" w:rsidRPr="002779B0">
        <w:rPr>
          <w:sz w:val="18"/>
          <w:szCs w:val="18"/>
        </w:rPr>
        <w:t xml:space="preserve">, </w:t>
      </w:r>
      <w:r w:rsidR="009622F0" w:rsidRPr="002779B0">
        <w:rPr>
          <w:i/>
          <w:sz w:val="18"/>
          <w:szCs w:val="18"/>
        </w:rPr>
        <w:t>National Partnership Agreement on Implementing Water Reform in the Murray–Darling Basin. 201</w:t>
      </w:r>
      <w:r w:rsidR="00424625">
        <w:rPr>
          <w:i/>
          <w:sz w:val="18"/>
          <w:szCs w:val="18"/>
        </w:rPr>
        <w:t>5</w:t>
      </w:r>
      <w:r w:rsidR="00BB5ACB" w:rsidRPr="002779B0">
        <w:rPr>
          <w:i/>
          <w:sz w:val="18"/>
          <w:szCs w:val="18"/>
        </w:rPr>
        <w:t xml:space="preserve"> Statement of Assurance</w:t>
      </w:r>
      <w:r w:rsidR="009622F0" w:rsidRPr="002779B0">
        <w:rPr>
          <w:i/>
          <w:sz w:val="18"/>
          <w:szCs w:val="18"/>
        </w:rPr>
        <w:t xml:space="preserve"> – South Australia</w:t>
      </w:r>
      <w:r w:rsidR="00BB5ACB" w:rsidRPr="002779B0">
        <w:rPr>
          <w:sz w:val="18"/>
          <w:szCs w:val="18"/>
        </w:rPr>
        <w:t>, South Australian Government, Adelaide.</w:t>
      </w:r>
      <w:bookmarkEnd w:id="132"/>
    </w:p>
    <w:p w:rsidR="00BB5ACB" w:rsidRPr="002779B0" w:rsidRDefault="00BB5ACB" w:rsidP="00BB5ACB">
      <w:pPr>
        <w:pStyle w:val="References"/>
        <w:rPr>
          <w:sz w:val="18"/>
          <w:szCs w:val="18"/>
        </w:rPr>
      </w:pPr>
      <w:r w:rsidRPr="002779B0">
        <w:rPr>
          <w:sz w:val="18"/>
          <w:szCs w:val="18"/>
        </w:rPr>
        <w:t>VEWH (Victorian Environmental Water Holder)</w:t>
      </w:r>
      <w:r w:rsidR="005119A0">
        <w:rPr>
          <w:sz w:val="18"/>
          <w:szCs w:val="18"/>
        </w:rPr>
        <w:t xml:space="preserve"> 2015</w:t>
      </w:r>
      <w:r w:rsidRPr="002779B0">
        <w:rPr>
          <w:sz w:val="18"/>
          <w:szCs w:val="18"/>
        </w:rPr>
        <w:t xml:space="preserve">, </w:t>
      </w:r>
      <w:r w:rsidR="005119A0">
        <w:rPr>
          <w:i/>
          <w:sz w:val="18"/>
          <w:szCs w:val="18"/>
        </w:rPr>
        <w:t>Seasonal Watering Plan 2015–16</w:t>
      </w:r>
      <w:r w:rsidRPr="002779B0">
        <w:rPr>
          <w:sz w:val="18"/>
          <w:szCs w:val="18"/>
        </w:rPr>
        <w:t>, VEWH, Melbourne.</w:t>
      </w:r>
      <w:bookmarkEnd w:id="131"/>
    </w:p>
    <w:p w:rsidR="00407DBD" w:rsidRDefault="00CC5888" w:rsidP="00DC639E">
      <w:pPr>
        <w:pStyle w:val="References"/>
      </w:pPr>
      <w:r w:rsidRPr="002779B0">
        <w:rPr>
          <w:sz w:val="18"/>
          <w:szCs w:val="18"/>
        </w:rPr>
        <w:t>Vic </w:t>
      </w:r>
      <w:r w:rsidR="00BB5ACB" w:rsidRPr="002779B0">
        <w:rPr>
          <w:sz w:val="18"/>
          <w:szCs w:val="18"/>
        </w:rPr>
        <w:t>Govt </w:t>
      </w:r>
      <w:r>
        <w:rPr>
          <w:sz w:val="18"/>
          <w:szCs w:val="18"/>
        </w:rPr>
        <w:t xml:space="preserve">(Victorian Government) </w:t>
      </w:r>
      <w:r w:rsidR="00BB5ACB" w:rsidRPr="002779B0">
        <w:rPr>
          <w:sz w:val="18"/>
          <w:szCs w:val="18"/>
        </w:rPr>
        <w:t>201</w:t>
      </w:r>
      <w:r w:rsidR="00424625">
        <w:rPr>
          <w:sz w:val="18"/>
          <w:szCs w:val="18"/>
        </w:rPr>
        <w:t>5</w:t>
      </w:r>
      <w:r w:rsidR="00BB5ACB" w:rsidRPr="002779B0">
        <w:rPr>
          <w:sz w:val="18"/>
          <w:szCs w:val="18"/>
        </w:rPr>
        <w:t xml:space="preserve">, </w:t>
      </w:r>
      <w:r w:rsidR="00BB5ACB" w:rsidRPr="005119A0">
        <w:rPr>
          <w:i/>
          <w:sz w:val="18"/>
          <w:szCs w:val="18"/>
        </w:rPr>
        <w:t>201</w:t>
      </w:r>
      <w:r w:rsidR="00424625" w:rsidRPr="005119A0">
        <w:rPr>
          <w:i/>
          <w:sz w:val="18"/>
          <w:szCs w:val="18"/>
        </w:rPr>
        <w:t>4</w:t>
      </w:r>
      <w:r w:rsidR="00BB5ACB" w:rsidRPr="005119A0">
        <w:rPr>
          <w:i/>
          <w:sz w:val="18"/>
          <w:szCs w:val="18"/>
        </w:rPr>
        <w:t>–1</w:t>
      </w:r>
      <w:r w:rsidR="00424625" w:rsidRPr="005119A0">
        <w:rPr>
          <w:i/>
          <w:sz w:val="18"/>
          <w:szCs w:val="18"/>
        </w:rPr>
        <w:t>5</w:t>
      </w:r>
      <w:r w:rsidR="00BB5ACB" w:rsidRPr="005119A0">
        <w:rPr>
          <w:i/>
          <w:sz w:val="18"/>
          <w:szCs w:val="18"/>
        </w:rPr>
        <w:t xml:space="preserve"> Statement</w:t>
      </w:r>
      <w:r w:rsidR="00BB5ACB" w:rsidRPr="002779B0">
        <w:rPr>
          <w:i/>
          <w:sz w:val="18"/>
          <w:szCs w:val="18"/>
        </w:rPr>
        <w:t xml:space="preserve"> of Assurance: National Partnership Agreement on Implementing Water Reform in the Murray–Darling Basin</w:t>
      </w:r>
      <w:r w:rsidR="00BB5ACB" w:rsidRPr="002779B0">
        <w:rPr>
          <w:sz w:val="18"/>
          <w:szCs w:val="18"/>
        </w:rPr>
        <w:t>, Victorian Government, Melbourne.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6996"/>
      </w:tblGrid>
      <w:tr w:rsidR="0064184B" w:rsidRPr="00DC639E" w:rsidTr="0048561C">
        <w:tc>
          <w:tcPr>
            <w:tcW w:w="1526" w:type="dxa"/>
          </w:tcPr>
          <w:p w:rsidR="0064184B" w:rsidRPr="00DC639E" w:rsidRDefault="0064184B" w:rsidP="00755A75">
            <w:pPr>
              <w:spacing w:after="0" w:line="240" w:lineRule="auto"/>
            </w:pPr>
          </w:p>
        </w:tc>
        <w:tc>
          <w:tcPr>
            <w:tcW w:w="6996" w:type="dxa"/>
          </w:tcPr>
          <w:p w:rsidR="0064184B" w:rsidRPr="00DC639E" w:rsidRDefault="0064184B" w:rsidP="00DC639E">
            <w:pPr>
              <w:pStyle w:val="References"/>
            </w:pPr>
          </w:p>
        </w:tc>
      </w:tr>
    </w:tbl>
    <w:p w:rsidR="00B60BFC" w:rsidRDefault="00B60BFC" w:rsidP="00755A75">
      <w:pPr>
        <w:pStyle w:val="References"/>
      </w:pPr>
    </w:p>
    <w:sectPr w:rsidR="00B60BFC" w:rsidSect="00EF14ED">
      <w:headerReference w:type="even" r:id="rId14"/>
      <w:headerReference w:type="default" r:id="rId15"/>
      <w:footerReference w:type="even" r:id="rId16"/>
      <w:footerReference w:type="default" r:id="rId17"/>
      <w:headerReference w:type="first" r:id="rId18"/>
      <w:footerReference w:type="first" r:id="rId19"/>
      <w:pgSz w:w="11900" w:h="16840"/>
      <w:pgMar w:top="1418" w:right="1701" w:bottom="1418" w:left="1701" w:header="709" w:footer="335"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CA5" w:rsidRDefault="00294CA5" w:rsidP="005062BA">
      <w:r>
        <w:separator/>
      </w:r>
    </w:p>
    <w:p w:rsidR="00294CA5" w:rsidRDefault="00294CA5" w:rsidP="005062BA"/>
  </w:endnote>
  <w:endnote w:type="continuationSeparator" w:id="0">
    <w:p w:rsidR="00294CA5" w:rsidRDefault="00294CA5" w:rsidP="005062BA">
      <w:r>
        <w:continuationSeparator/>
      </w:r>
    </w:p>
    <w:p w:rsidR="00294CA5" w:rsidRDefault="00294CA5" w:rsidP="005062B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adeGothicLTStd-LightObl">
    <w:altName w:val="Trade Gothic LT Std Light"/>
    <w:panose1 w:val="00000000000000000000"/>
    <w:charset w:val="4D"/>
    <w:family w:val="auto"/>
    <w:notTrueType/>
    <w:pitch w:val="default"/>
    <w:sig w:usb0="00000003" w:usb1="00000000" w:usb2="00000000" w:usb3="00000000" w:csb0="00000001" w:csb1="00000000"/>
  </w:font>
  <w:font w:name="TradeGothicLTStd-Light">
    <w:altName w:val="Trade Gothic LT Std Light"/>
    <w:panose1 w:val="00000000000000000000"/>
    <w:charset w:val="4D"/>
    <w:family w:val="auto"/>
    <w:notTrueType/>
    <w:pitch w:val="default"/>
    <w:sig w:usb0="00000003" w:usb1="00000000" w:usb2="00000000" w:usb3="00000000" w:csb0="00000001" w:csb1="00000000"/>
  </w:font>
  <w:font w:name="TradeGothicLTStd-Bd2">
    <w:altName w:val="Trade Gothic LT Std"/>
    <w:panose1 w:val="00000000000000000000"/>
    <w:charset w:val="4D"/>
    <w:family w:val="auto"/>
    <w:notTrueType/>
    <w:pitch w:val="default"/>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HelveticaNeue LT 55 Roman">
    <w:charset w:val="00"/>
    <w:family w:val="auto"/>
    <w:pitch w:val="variable"/>
    <w:sig w:usb0="80000027"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Neue LT 67 MdCn">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A5" w:rsidRPr="00346918" w:rsidRDefault="00F8685D" w:rsidP="008846C2">
    <w:pPr>
      <w:pStyle w:val="Footer"/>
      <w:framePr w:wrap="around" w:vAnchor="text" w:hAnchor="margin" w:xAlign="right" w:y="1"/>
      <w:rPr>
        <w:rStyle w:val="PageNumber"/>
        <w:rFonts w:ascii="Cambria" w:hAnsi="Cambria"/>
        <w:color w:val="auto"/>
        <w:sz w:val="24"/>
      </w:rPr>
    </w:pPr>
    <w:r>
      <w:rPr>
        <w:rStyle w:val="PageNumber"/>
      </w:rPr>
      <w:fldChar w:fldCharType="begin"/>
    </w:r>
    <w:r w:rsidR="00294CA5">
      <w:rPr>
        <w:rStyle w:val="PageNumber"/>
      </w:rPr>
      <w:instrText xml:space="preserve">PAGE  </w:instrText>
    </w:r>
    <w:r>
      <w:rPr>
        <w:rStyle w:val="PageNumber"/>
      </w:rPr>
      <w:fldChar w:fldCharType="end"/>
    </w:r>
  </w:p>
  <w:p w:rsidR="00294CA5" w:rsidRDefault="00294CA5" w:rsidP="008846C2">
    <w:pPr>
      <w:pStyle w:val="Footer"/>
      <w:ind w:right="360"/>
    </w:pPr>
  </w:p>
  <w:p w:rsidR="00294CA5" w:rsidRDefault="00294CA5" w:rsidP="005062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CA5" w:rsidRDefault="00294CA5" w:rsidP="008B74AE">
    <w:pPr>
      <w:pStyle w:val="Footer"/>
      <w:tabs>
        <w:tab w:val="left" w:pos="0"/>
      </w:tabs>
      <w:ind w:left="-284" w:right="360"/>
      <w:jc w:val="left"/>
    </w:pPr>
    <w:r w:rsidRPr="001B552C">
      <w:rPr>
        <w:sz w:val="16"/>
      </w:rPr>
      <w:t>Murray–Darling Basin National Partnership Agreement: milestone assessment</w:t>
    </w:r>
    <w:r>
      <w:rPr>
        <w:sz w:val="16"/>
      </w:rPr>
      <w:t xml:space="preserve">s </w:t>
    </w:r>
    <w:r>
      <w:rPr>
        <w:sz w:val="16"/>
      </w:rPr>
      <w:br/>
      <w:t>for year ending 30 June 2015</w:t>
    </w:r>
    <w:r w:rsidRPr="001B552C">
      <w:rPr>
        <w:sz w:val="16"/>
      </w:rPr>
      <w:t xml:space="preserve"> </w:t>
    </w:r>
    <w:r>
      <w:tab/>
    </w:r>
    <w:r>
      <w:tab/>
    </w:r>
    <w:r w:rsidR="00F8685D" w:rsidRPr="008B74AE">
      <w:rPr>
        <w:b/>
      </w:rPr>
      <w:fldChar w:fldCharType="begin"/>
    </w:r>
    <w:r w:rsidRPr="008B74AE">
      <w:rPr>
        <w:b/>
      </w:rPr>
      <w:instrText xml:space="preserve"> PAGE   \* MERGEFORMAT </w:instrText>
    </w:r>
    <w:r w:rsidR="00F8685D" w:rsidRPr="008B74AE">
      <w:rPr>
        <w:b/>
      </w:rPr>
      <w:fldChar w:fldCharType="separate"/>
    </w:r>
    <w:r w:rsidR="00E415A3">
      <w:rPr>
        <w:b/>
        <w:noProof/>
      </w:rPr>
      <w:t>2</w:t>
    </w:r>
    <w:r w:rsidR="00F8685D" w:rsidRPr="008B74AE">
      <w:rPr>
        <w:b/>
        <w:noProof/>
      </w:rPr>
      <w:fldChar w:fldCharType="end"/>
    </w:r>
  </w:p>
  <w:p w:rsidR="00294CA5" w:rsidRDefault="00294CA5" w:rsidP="005062B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A3" w:rsidRDefault="00E41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CA5" w:rsidRDefault="00294CA5" w:rsidP="005062BA"/>
    <w:p w:rsidR="00294CA5" w:rsidRDefault="00294CA5" w:rsidP="005062BA"/>
  </w:footnote>
  <w:footnote w:type="continuationSeparator" w:id="0">
    <w:p w:rsidR="00294CA5" w:rsidRDefault="00294CA5" w:rsidP="005062BA">
      <w:r>
        <w:continuationSeparator/>
      </w:r>
    </w:p>
    <w:p w:rsidR="00294CA5" w:rsidRDefault="00294CA5" w:rsidP="005062BA"/>
  </w:footnote>
  <w:footnote w:id="1">
    <w:p w:rsidR="00294CA5" w:rsidRDefault="00294CA5" w:rsidP="00BB39A0">
      <w:pPr>
        <w:pStyle w:val="FootnoteText"/>
      </w:pPr>
      <w:r>
        <w:rPr>
          <w:rStyle w:val="FootnoteReference"/>
        </w:rPr>
        <w:footnoteRef/>
      </w:r>
      <w:r>
        <w:t xml:space="preserve"> </w:t>
      </w:r>
      <w:r w:rsidRPr="0022370A">
        <w:t>http://www.water.nsw.g</w:t>
      </w:r>
      <w:r>
        <w:t>ov.au/water-licensing/registers</w:t>
      </w:r>
    </w:p>
  </w:footnote>
  <w:footnote w:id="2">
    <w:p w:rsidR="00294CA5" w:rsidRPr="000C2CBC" w:rsidRDefault="00294CA5" w:rsidP="00BB39A0">
      <w:pPr>
        <w:rPr>
          <w:rFonts w:eastAsia="Calibri" w:cs="Arial"/>
          <w:color w:val="0000FF"/>
          <w:lang w:eastAsia="en-AU"/>
        </w:rPr>
      </w:pPr>
      <w:r>
        <w:rPr>
          <w:rStyle w:val="FootnoteReference"/>
        </w:rPr>
        <w:footnoteRef/>
      </w:r>
      <w:r>
        <w:t xml:space="preserve"> See section titled ‘Annual plans’ </w:t>
      </w:r>
      <w:hyperlink r:id="rId1" w:history="1">
        <w:r w:rsidRPr="000C2CBC">
          <w:rPr>
            <w:rStyle w:val="Hyperlink"/>
            <w:rFonts w:eastAsia="Calibri" w:cs="Arial"/>
            <w:lang w:eastAsia="en-AU"/>
          </w:rPr>
          <w:t>http://www.environment.nsw.gov.au/environmentalwater/planning-reporting.htm</w:t>
        </w:r>
      </w:hyperlink>
    </w:p>
    <w:p w:rsidR="00294CA5" w:rsidRDefault="00294CA5" w:rsidP="00BB39A0">
      <w:pPr>
        <w:pStyle w:val="FootnoteText"/>
      </w:pPr>
    </w:p>
  </w:footnote>
  <w:footnote w:id="3">
    <w:p w:rsidR="00294CA5" w:rsidRDefault="00294CA5" w:rsidP="00BB39A0">
      <w:pPr>
        <w:pStyle w:val="FootnoteText"/>
      </w:pPr>
      <w:r>
        <w:rPr>
          <w:rStyle w:val="FootnoteReference"/>
        </w:rPr>
        <w:footnoteRef/>
      </w:r>
      <w:r>
        <w:t xml:space="preserve"> </w:t>
      </w:r>
      <w:hyperlink r:id="rId2" w:history="1">
        <w:r w:rsidRPr="00490C77">
          <w:rPr>
            <w:rStyle w:val="Hyperlink"/>
            <w:szCs w:val="18"/>
          </w:rPr>
          <w:t>http://www.mdba.gov.au/what-we-do/water-planning/sdl/proposals</w:t>
        </w:r>
      </w:hyperlink>
    </w:p>
  </w:footnote>
  <w:footnote w:id="4">
    <w:p w:rsidR="00294CA5" w:rsidRPr="00141167" w:rsidRDefault="00294CA5">
      <w:pPr>
        <w:pStyle w:val="FootnoteText"/>
        <w:rPr>
          <w:szCs w:val="18"/>
          <w:lang w:val="en-AU"/>
        </w:rPr>
      </w:pPr>
      <w:r>
        <w:rPr>
          <w:rStyle w:val="FootnoteReference"/>
        </w:rPr>
        <w:footnoteRef/>
      </w:r>
      <w:r>
        <w:t xml:space="preserve"> </w:t>
      </w:r>
      <w:r w:rsidRPr="00141167">
        <w:rPr>
          <w:szCs w:val="18"/>
        </w:rPr>
        <w:t>See: https://www.dnrm.qld.gov.au/__data/assets/pdf_file/0006/104838/environmental-water-2015-16.pdf</w:t>
      </w:r>
    </w:p>
  </w:footnote>
  <w:footnote w:id="5">
    <w:p w:rsidR="00294CA5" w:rsidRPr="00141167" w:rsidRDefault="00294CA5">
      <w:pPr>
        <w:pStyle w:val="FootnoteText"/>
        <w:rPr>
          <w:lang w:val="en-AU"/>
        </w:rPr>
      </w:pPr>
      <w:r>
        <w:rPr>
          <w:rStyle w:val="FootnoteReference"/>
        </w:rPr>
        <w:footnoteRef/>
      </w:r>
      <w:r>
        <w:t xml:space="preserve"> See for example the</w:t>
      </w:r>
      <w:r w:rsidRPr="004D71F1">
        <w:t xml:space="preserve"> </w:t>
      </w:r>
      <w:proofErr w:type="spellStart"/>
      <w:r w:rsidRPr="004D71F1">
        <w:t>Condamine-Balonne</w:t>
      </w:r>
      <w:proofErr w:type="spellEnd"/>
      <w:r>
        <w:t xml:space="preserve"> report</w:t>
      </w:r>
      <w:r w:rsidRPr="004D71F1">
        <w:t>: https://www.dnrm.qld.gov.au/__data/assets/pdf_file/0018/234630/consultation-report.pdf.</w:t>
      </w:r>
    </w:p>
  </w:footnote>
  <w:footnote w:id="6">
    <w:p w:rsidR="00294CA5" w:rsidRPr="00141167" w:rsidRDefault="00294CA5" w:rsidP="00141167">
      <w:pPr>
        <w:rPr>
          <w:sz w:val="18"/>
          <w:szCs w:val="18"/>
        </w:rPr>
      </w:pPr>
      <w:r>
        <w:rPr>
          <w:rStyle w:val="FootnoteReference"/>
        </w:rPr>
        <w:footnoteRef/>
      </w:r>
      <w:r>
        <w:t xml:space="preserve"> </w:t>
      </w:r>
      <w:r w:rsidRPr="00141167">
        <w:rPr>
          <w:sz w:val="18"/>
          <w:szCs w:val="18"/>
        </w:rPr>
        <w:t>See: https://www.dnrm.qld.gov.au/__data/assets/pdf_file/0006/104838/environmental-water-2015-16.pdf</w:t>
      </w:r>
    </w:p>
    <w:p w:rsidR="00294CA5" w:rsidRPr="00141167" w:rsidRDefault="00294CA5">
      <w:pPr>
        <w:pStyle w:val="FootnoteText"/>
        <w:rPr>
          <w:lang w:val="en-AU"/>
        </w:rPr>
      </w:pPr>
    </w:p>
  </w:footnote>
  <w:footnote w:id="7">
    <w:p w:rsidR="00294CA5" w:rsidRPr="00B968BA" w:rsidRDefault="00294CA5" w:rsidP="00D65CC3">
      <w:pPr>
        <w:pStyle w:val="BodyText"/>
      </w:pPr>
      <w:r>
        <w:rPr>
          <w:rStyle w:val="FootnoteReference"/>
        </w:rPr>
        <w:footnoteRef/>
      </w:r>
      <w:r>
        <w:t xml:space="preserve"> </w:t>
      </w:r>
      <w:hyperlink r:id="rId3" w:history="1">
        <w:r w:rsidRPr="00B968BA">
          <w:rPr>
            <w:rStyle w:val="Hyperlink"/>
          </w:rPr>
          <w:t>https://www.waterconnect.sa.gov.au/Systems/WTR/Pages/default.aspx</w:t>
        </w:r>
      </w:hyperlink>
    </w:p>
  </w:footnote>
  <w:footnote w:id="8">
    <w:p w:rsidR="00294CA5" w:rsidRPr="00CE05B2" w:rsidRDefault="00294CA5">
      <w:pPr>
        <w:pStyle w:val="FootnoteText"/>
        <w:rPr>
          <w:lang w:val="en-AU"/>
        </w:rPr>
      </w:pPr>
      <w:r>
        <w:rPr>
          <w:rStyle w:val="FootnoteReference"/>
        </w:rPr>
        <w:footnoteRef/>
      </w:r>
      <w:r>
        <w:t xml:space="preserve"> S</w:t>
      </w:r>
      <w:r w:rsidRPr="00F57755">
        <w:rPr>
          <w:rFonts w:cs="TradeGothicLTStd-Light"/>
          <w:noProof/>
          <w:spacing w:val="-1"/>
          <w:szCs w:val="18"/>
        </w:rPr>
        <w:t xml:space="preserve">ee </w:t>
      </w:r>
      <w:hyperlink r:id="rId4" w:history="1">
        <w:r w:rsidRPr="00F57755">
          <w:rPr>
            <w:rStyle w:val="Hyperlink"/>
          </w:rPr>
          <w:t>http://www.environment.sa.gov.au/managing-natural-resources/river-murray/river-restoration-and-environmental-water</w:t>
        </w:r>
      </w:hyperlink>
    </w:p>
  </w:footnote>
  <w:footnote w:id="9">
    <w:p w:rsidR="00294CA5" w:rsidRPr="00DC62B9" w:rsidRDefault="00294CA5" w:rsidP="00D65CC3">
      <w:pPr>
        <w:pStyle w:val="FootnoteText"/>
        <w:rPr>
          <w:lang w:val="en-AU"/>
        </w:rPr>
      </w:pPr>
      <w:r>
        <w:rPr>
          <w:rStyle w:val="FootnoteReference"/>
        </w:rPr>
        <w:footnoteRef/>
      </w:r>
      <w:r>
        <w:t xml:space="preserve"> </w:t>
      </w:r>
      <w:hyperlink r:id="rId5" w:history="1">
        <w:r w:rsidRPr="006D6F7D">
          <w:rPr>
            <w:rStyle w:val="Hyperlink"/>
            <w:szCs w:val="18"/>
          </w:rPr>
          <w:t>http://www.mdba.gov.au/what-we-do/water-planning/sdl/proposals</w:t>
        </w:r>
      </w:hyperlink>
      <w:r w:rsidRPr="006D6F7D">
        <w:rPr>
          <w:szCs w:val="18"/>
        </w:rPr>
        <w:t>.</w:t>
      </w:r>
    </w:p>
  </w:footnote>
  <w:footnote w:id="10">
    <w:p w:rsidR="00294CA5" w:rsidRPr="00A60AC0" w:rsidRDefault="00294CA5">
      <w:pPr>
        <w:pStyle w:val="FootnoteText"/>
        <w:rPr>
          <w:lang w:val="en-AU"/>
        </w:rPr>
      </w:pPr>
      <w:r>
        <w:rPr>
          <w:rStyle w:val="FootnoteReference"/>
        </w:rPr>
        <w:footnoteRef/>
      </w:r>
      <w:r>
        <w:t xml:space="preserve"> S</w:t>
      </w:r>
      <w:r w:rsidRPr="004D592F">
        <w:rPr>
          <w:sz w:val="20"/>
        </w:rPr>
        <w:t xml:space="preserve">ee: </w:t>
      </w:r>
      <w:hyperlink r:id="rId6" w:history="1">
        <w:r w:rsidRPr="004D592F">
          <w:rPr>
            <w:rStyle w:val="Hyperlink"/>
            <w:sz w:val="20"/>
          </w:rPr>
          <w:t>http://www.vewh.vic.gov.au/__data/assets/pdf_file/0011/305687/Seasonal-Watering-Plan-15_16_Northern_Region.pdf</w:t>
        </w:r>
      </w:hyperlink>
      <w:r w:rsidRPr="004D592F">
        <w:rPr>
          <w:sz w:val="20"/>
        </w:rPr>
        <w:t>)</w:t>
      </w:r>
    </w:p>
  </w:footnote>
  <w:footnote w:id="11">
    <w:p w:rsidR="00294CA5" w:rsidRPr="00AA2E41" w:rsidRDefault="00294CA5" w:rsidP="00D65CC3">
      <w:pPr>
        <w:pStyle w:val="FootnoteText"/>
        <w:rPr>
          <w:lang w:val="en-AU"/>
        </w:rPr>
      </w:pPr>
      <w:r>
        <w:rPr>
          <w:rStyle w:val="FootnoteReference"/>
        </w:rPr>
        <w:footnoteRef/>
      </w:r>
      <w:r>
        <w:tab/>
      </w:r>
      <w:r w:rsidRPr="007A16EE">
        <w:t>http://www.vewh.vic.gov.au/news-and-resources/resource-library/seasonal-watering-plan</w:t>
      </w:r>
    </w:p>
  </w:footnote>
  <w:footnote w:id="12">
    <w:p w:rsidR="00294CA5" w:rsidRPr="008C78B6" w:rsidRDefault="00294CA5">
      <w:pPr>
        <w:pStyle w:val="FootnoteText"/>
        <w:rPr>
          <w:lang w:val="en-AU"/>
        </w:rPr>
      </w:pPr>
      <w:r>
        <w:rPr>
          <w:rStyle w:val="FootnoteReference"/>
        </w:rPr>
        <w:footnoteRef/>
      </w:r>
      <w:r>
        <w:t xml:space="preserve"> S</w:t>
      </w:r>
      <w:r w:rsidRPr="004D592F">
        <w:t xml:space="preserve">ee Watering Updates at </w:t>
      </w:r>
      <w:hyperlink r:id="rId7" w:history="1">
        <w:r w:rsidRPr="004D592F">
          <w:t>http://www.vewh.vic.gov.au/news-and-resources/resource-library/watering-update</w:t>
        </w:r>
      </w:hyperlink>
      <w:r w:rsidRPr="004D592F">
        <w:t xml:space="preserve"> and http://www.mdba.gov.au/media-pubs/publications/basin-annual-environmental-watering-priorities-2015-16)</w:t>
      </w:r>
    </w:p>
  </w:footnote>
  <w:footnote w:id="13">
    <w:p w:rsidR="00294CA5" w:rsidRPr="0094178A" w:rsidRDefault="00294CA5">
      <w:pPr>
        <w:pStyle w:val="FootnoteText"/>
        <w:rPr>
          <w:szCs w:val="18"/>
          <w:lang w:val="en-AU"/>
        </w:rPr>
      </w:pPr>
      <w:r>
        <w:rPr>
          <w:rStyle w:val="FootnoteReference"/>
        </w:rPr>
        <w:footnoteRef/>
      </w:r>
      <w:r>
        <w:t xml:space="preserve"> </w:t>
      </w:r>
      <w:r w:rsidRPr="0094178A">
        <w:rPr>
          <w:noProof/>
          <w:szCs w:val="18"/>
        </w:rPr>
        <w:t>See: http://www.vewh.vic.gov.au/__data/assets/pdf_file/0011/305687/Seasonal-Watering-Plan-15_16_Northern_Region.pdf</w:t>
      </w:r>
    </w:p>
  </w:footnote>
  <w:footnote w:id="14">
    <w:p w:rsidR="00294CA5" w:rsidRPr="00DC62B9" w:rsidRDefault="00294CA5" w:rsidP="00D65CC3">
      <w:pPr>
        <w:pStyle w:val="FootnoteText"/>
        <w:rPr>
          <w:lang w:val="en-AU"/>
        </w:rPr>
      </w:pPr>
      <w:r>
        <w:rPr>
          <w:rStyle w:val="FootnoteReference"/>
        </w:rPr>
        <w:footnoteRef/>
      </w:r>
      <w:r>
        <w:t xml:space="preserve"> </w:t>
      </w:r>
      <w:hyperlink r:id="rId8" w:history="1">
        <w:r w:rsidRPr="006D6F7D">
          <w:rPr>
            <w:rStyle w:val="Hyperlink"/>
            <w:szCs w:val="18"/>
          </w:rPr>
          <w:t>http://www.mdba.gov.au/what-we-do/water-planning/sdl/proposals</w:t>
        </w:r>
      </w:hyperlink>
      <w:r w:rsidRPr="006D6F7D">
        <w:rPr>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A3" w:rsidRDefault="00E41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A3" w:rsidRDefault="00E415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5A3" w:rsidRDefault="00E41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nsid w:val="00D5084F"/>
    <w:multiLevelType w:val="hybridMultilevel"/>
    <w:tmpl w:val="DB2CA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0E209FF"/>
    <w:multiLevelType w:val="hybridMultilevel"/>
    <w:tmpl w:val="87AAFF92"/>
    <w:lvl w:ilvl="0" w:tplc="53B256C8">
      <w:start w:val="1"/>
      <w:numFmt w:val="bullet"/>
      <w:pStyle w:val="Bullet2"/>
      <w:lvlText w:val="–"/>
      <w:lvlJc w:val="left"/>
      <w:pPr>
        <w:tabs>
          <w:tab w:val="num" w:pos="567"/>
        </w:tabs>
        <w:ind w:left="567" w:hanging="283"/>
      </w:pPr>
      <w:rPr>
        <w:rFonts w:ascii="Arial" w:hAnsi="Arial" w:hint="default"/>
        <w:b w:val="0"/>
        <w:i w:val="0"/>
        <w:color w:val="auto"/>
        <w:sz w:val="18"/>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32304B5"/>
    <w:multiLevelType w:val="hybridMultilevel"/>
    <w:tmpl w:val="CBFAC4E6"/>
    <w:lvl w:ilvl="0" w:tplc="591AD570">
      <w:start w:val="1"/>
      <w:numFmt w:val="lowerLetter"/>
      <w:pStyle w:val="Alpha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BB4BCE"/>
    <w:multiLevelType w:val="multilevel"/>
    <w:tmpl w:val="1E7AA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C135DD7"/>
    <w:multiLevelType w:val="hybridMultilevel"/>
    <w:tmpl w:val="E1AABEFC"/>
    <w:lvl w:ilvl="0" w:tplc="1EBC586C">
      <w:start w:val="1"/>
      <w:numFmt w:val="lowerLetter"/>
      <w:lvlText w:val="(%1)"/>
      <w:lvlJc w:val="left"/>
      <w:pPr>
        <w:ind w:left="720" w:hanging="360"/>
      </w:pPr>
      <w:rPr>
        <w:rFonts w:hint="default"/>
      </w:rPr>
    </w:lvl>
    <w:lvl w:ilvl="1" w:tplc="9DAC70EC">
      <w:start w:val="1"/>
      <w:numFmt w:val="lowerLetter"/>
      <w:lvlText w:val="%2."/>
      <w:lvlJc w:val="left"/>
      <w:pPr>
        <w:ind w:left="1440" w:hanging="360"/>
      </w:pPr>
    </w:lvl>
    <w:lvl w:ilvl="2" w:tplc="6A54B222">
      <w:start w:val="1"/>
      <w:numFmt w:val="lowerRoman"/>
      <w:lvlText w:val="%3."/>
      <w:lvlJc w:val="right"/>
      <w:pPr>
        <w:ind w:left="2160" w:hanging="180"/>
      </w:pPr>
    </w:lvl>
    <w:lvl w:ilvl="3" w:tplc="46B879FA" w:tentative="1">
      <w:start w:val="1"/>
      <w:numFmt w:val="decimal"/>
      <w:lvlText w:val="%4."/>
      <w:lvlJc w:val="left"/>
      <w:pPr>
        <w:ind w:left="2880" w:hanging="360"/>
      </w:pPr>
    </w:lvl>
    <w:lvl w:ilvl="4" w:tplc="11D69F74" w:tentative="1">
      <w:start w:val="1"/>
      <w:numFmt w:val="lowerLetter"/>
      <w:lvlText w:val="%5."/>
      <w:lvlJc w:val="left"/>
      <w:pPr>
        <w:ind w:left="3600" w:hanging="360"/>
      </w:pPr>
    </w:lvl>
    <w:lvl w:ilvl="5" w:tplc="A002DB66" w:tentative="1">
      <w:start w:val="1"/>
      <w:numFmt w:val="lowerRoman"/>
      <w:lvlText w:val="%6."/>
      <w:lvlJc w:val="right"/>
      <w:pPr>
        <w:ind w:left="4320" w:hanging="180"/>
      </w:pPr>
    </w:lvl>
    <w:lvl w:ilvl="6" w:tplc="5B36A564" w:tentative="1">
      <w:start w:val="1"/>
      <w:numFmt w:val="decimal"/>
      <w:lvlText w:val="%7."/>
      <w:lvlJc w:val="left"/>
      <w:pPr>
        <w:ind w:left="5040" w:hanging="360"/>
      </w:pPr>
    </w:lvl>
    <w:lvl w:ilvl="7" w:tplc="78B8AC90" w:tentative="1">
      <w:start w:val="1"/>
      <w:numFmt w:val="lowerLetter"/>
      <w:lvlText w:val="%8."/>
      <w:lvlJc w:val="left"/>
      <w:pPr>
        <w:ind w:left="5760" w:hanging="360"/>
      </w:pPr>
    </w:lvl>
    <w:lvl w:ilvl="8" w:tplc="ADA8B94C" w:tentative="1">
      <w:start w:val="1"/>
      <w:numFmt w:val="lowerRoman"/>
      <w:lvlText w:val="%9."/>
      <w:lvlJc w:val="right"/>
      <w:pPr>
        <w:ind w:left="6480" w:hanging="180"/>
      </w:pPr>
    </w:lvl>
  </w:abstractNum>
  <w:abstractNum w:abstractNumId="6">
    <w:nsid w:val="11AC247C"/>
    <w:multiLevelType w:val="hybridMultilevel"/>
    <w:tmpl w:val="2D78C55A"/>
    <w:lvl w:ilvl="0" w:tplc="079AF610">
      <w:start w:val="1"/>
      <w:numFmt w:val="bullet"/>
      <w:pStyle w:val="7Body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8C913B2"/>
    <w:multiLevelType w:val="hybridMultilevel"/>
    <w:tmpl w:val="BED0EA00"/>
    <w:lvl w:ilvl="0" w:tplc="87E2843C">
      <w:start w:val="1"/>
      <w:numFmt w:val="bullet"/>
      <w:pStyle w:val="nwcbullet1"/>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31028"/>
    <w:multiLevelType w:val="hybridMultilevel"/>
    <w:tmpl w:val="161EB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C883882"/>
    <w:multiLevelType w:val="multilevel"/>
    <w:tmpl w:val="1E7AA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1F745BC2"/>
    <w:multiLevelType w:val="multilevel"/>
    <w:tmpl w:val="E5E89F92"/>
    <w:numStyleLink w:val="BulletList"/>
  </w:abstractNum>
  <w:abstractNum w:abstractNumId="11">
    <w:nsid w:val="23CA46B6"/>
    <w:multiLevelType w:val="hybridMultilevel"/>
    <w:tmpl w:val="D2602A2A"/>
    <w:lvl w:ilvl="0" w:tplc="87C04DE6">
      <w:start w:val="1"/>
      <w:numFmt w:val="bullet"/>
      <w:pStyle w:val="Bullet1"/>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F27BDD"/>
    <w:multiLevelType w:val="hybridMultilevel"/>
    <w:tmpl w:val="54BC225C"/>
    <w:lvl w:ilvl="0" w:tplc="8EEA2712">
      <w:start w:val="1"/>
      <w:numFmt w:val="bullet"/>
      <w:pStyle w:val="nwcbullet1blu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C037C6"/>
    <w:multiLevelType w:val="hybridMultilevel"/>
    <w:tmpl w:val="93D833EE"/>
    <w:lvl w:ilvl="0" w:tplc="BC9E722E">
      <w:start w:val="1"/>
      <w:numFmt w:val="bullet"/>
      <w:pStyle w:val="Table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9AF4CE2"/>
    <w:multiLevelType w:val="multilevel"/>
    <w:tmpl w:val="1BF0450A"/>
    <w:styleLink w:val="NWC"/>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737"/>
        </w:tabs>
        <w:ind w:left="737" w:hanging="737"/>
      </w:pPr>
      <w:rPr>
        <w:rFonts w:hint="default"/>
      </w:rPr>
    </w:lvl>
    <w:lvl w:ilvl="5">
      <w:start w:val="1"/>
      <w:numFmt w:val="none"/>
      <w:lvlText w:val=""/>
      <w:lvlJc w:val="left"/>
      <w:pPr>
        <w:tabs>
          <w:tab w:val="num" w:pos="1797"/>
        </w:tabs>
        <w:ind w:left="2160" w:hanging="363"/>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2BAF0D91"/>
    <w:multiLevelType w:val="hybridMultilevel"/>
    <w:tmpl w:val="4C3E5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CB3594"/>
    <w:multiLevelType w:val="hybridMultilevel"/>
    <w:tmpl w:val="3C9EE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EDE3B8F"/>
    <w:multiLevelType w:val="hybridMultilevel"/>
    <w:tmpl w:val="4BFA47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F3C3C02"/>
    <w:multiLevelType w:val="hybridMultilevel"/>
    <w:tmpl w:val="9A02C4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3BC250E0"/>
    <w:multiLevelType w:val="multilevel"/>
    <w:tmpl w:val="C9706950"/>
    <w:styleLink w:val="CurrentList1"/>
    <w:lvl w:ilvl="0">
      <w:start w:val="1"/>
      <w:numFmt w:val="decimal"/>
      <w:lvlText w:val="%1"/>
      <w:lvlJc w:val="left"/>
      <w:pPr>
        <w:tabs>
          <w:tab w:val="num" w:pos="851"/>
        </w:tabs>
        <w:ind w:left="851" w:hanging="851"/>
      </w:pPr>
      <w:rPr>
        <w:rFonts w:hint="default"/>
      </w:rPr>
    </w:lvl>
    <w:lvl w:ilvl="1">
      <w:start w:val="1"/>
      <w:numFmt w:val="decimal"/>
      <w:lvlText w:val="%2.%1"/>
      <w:lvlJc w:val="left"/>
      <w:pPr>
        <w:tabs>
          <w:tab w:val="num" w:pos="851"/>
        </w:tabs>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DDA095B"/>
    <w:multiLevelType w:val="hybridMultilevel"/>
    <w:tmpl w:val="2D3E0DF8"/>
    <w:lvl w:ilvl="0" w:tplc="433CA76C">
      <w:start w:val="1"/>
      <w:numFmt w:val="decimal"/>
      <w:pStyle w:val="NumberedList1"/>
      <w:lvlText w:val="%1."/>
      <w:lvlJc w:val="left"/>
      <w:pPr>
        <w:tabs>
          <w:tab w:val="num" w:pos="284"/>
        </w:tabs>
        <w:ind w:left="284" w:hanging="284"/>
      </w:pPr>
      <w:rPr>
        <w:rFonts w:hint="default"/>
      </w:rPr>
    </w:lvl>
    <w:lvl w:ilvl="1" w:tplc="43DEEC30" w:tentative="1">
      <w:start w:val="1"/>
      <w:numFmt w:val="lowerLetter"/>
      <w:lvlText w:val="%2."/>
      <w:lvlJc w:val="left"/>
      <w:pPr>
        <w:ind w:left="1440" w:hanging="360"/>
      </w:pPr>
    </w:lvl>
    <w:lvl w:ilvl="2" w:tplc="94EA8192" w:tentative="1">
      <w:start w:val="1"/>
      <w:numFmt w:val="lowerRoman"/>
      <w:lvlText w:val="%3."/>
      <w:lvlJc w:val="right"/>
      <w:pPr>
        <w:ind w:left="2160" w:hanging="180"/>
      </w:pPr>
    </w:lvl>
    <w:lvl w:ilvl="3" w:tplc="4E961E78" w:tentative="1">
      <w:start w:val="1"/>
      <w:numFmt w:val="decimal"/>
      <w:lvlText w:val="%4."/>
      <w:lvlJc w:val="left"/>
      <w:pPr>
        <w:ind w:left="2880" w:hanging="360"/>
      </w:pPr>
    </w:lvl>
    <w:lvl w:ilvl="4" w:tplc="5920B68E" w:tentative="1">
      <w:start w:val="1"/>
      <w:numFmt w:val="lowerLetter"/>
      <w:lvlText w:val="%5."/>
      <w:lvlJc w:val="left"/>
      <w:pPr>
        <w:ind w:left="3600" w:hanging="360"/>
      </w:pPr>
    </w:lvl>
    <w:lvl w:ilvl="5" w:tplc="1812B44C" w:tentative="1">
      <w:start w:val="1"/>
      <w:numFmt w:val="lowerRoman"/>
      <w:lvlText w:val="%6."/>
      <w:lvlJc w:val="right"/>
      <w:pPr>
        <w:ind w:left="4320" w:hanging="180"/>
      </w:pPr>
    </w:lvl>
    <w:lvl w:ilvl="6" w:tplc="3544F532" w:tentative="1">
      <w:start w:val="1"/>
      <w:numFmt w:val="decimal"/>
      <w:lvlText w:val="%7."/>
      <w:lvlJc w:val="left"/>
      <w:pPr>
        <w:ind w:left="5040" w:hanging="360"/>
      </w:pPr>
    </w:lvl>
    <w:lvl w:ilvl="7" w:tplc="10E0D818" w:tentative="1">
      <w:start w:val="1"/>
      <w:numFmt w:val="lowerLetter"/>
      <w:lvlText w:val="%8."/>
      <w:lvlJc w:val="left"/>
      <w:pPr>
        <w:ind w:left="5760" w:hanging="360"/>
      </w:pPr>
    </w:lvl>
    <w:lvl w:ilvl="8" w:tplc="CE1EF37A" w:tentative="1">
      <w:start w:val="1"/>
      <w:numFmt w:val="lowerRoman"/>
      <w:lvlText w:val="%9."/>
      <w:lvlJc w:val="right"/>
      <w:pPr>
        <w:ind w:left="6480" w:hanging="180"/>
      </w:pPr>
    </w:lvl>
  </w:abstractNum>
  <w:abstractNum w:abstractNumId="21">
    <w:nsid w:val="4C8C68DD"/>
    <w:multiLevelType w:val="hybridMultilevel"/>
    <w:tmpl w:val="0D5CCDC2"/>
    <w:lvl w:ilvl="0" w:tplc="365E4282">
      <w:start w:val="1"/>
      <w:numFmt w:val="bullet"/>
      <w:pStyle w:val="nwcsourcenotebullet"/>
      <w:lvlText w:val=""/>
      <w:lvlJc w:val="left"/>
      <w:pPr>
        <w:tabs>
          <w:tab w:val="num" w:pos="227"/>
        </w:tabs>
        <w:ind w:left="454" w:hanging="227"/>
      </w:pPr>
      <w:rPr>
        <w:rFonts w:ascii="Symbol" w:hAnsi="Symbol" w:hint="default"/>
        <w:caps w:val="0"/>
        <w:strike w:val="0"/>
        <w:dstrike w:val="0"/>
        <w:vanish w:val="0"/>
        <w:color w:val="999999"/>
        <w:sz w:val="16"/>
        <w:szCs w:val="16"/>
        <w:vertAlign w:val="baseline"/>
      </w:rPr>
    </w:lvl>
    <w:lvl w:ilvl="1" w:tplc="C0946270" w:tentative="1">
      <w:start w:val="1"/>
      <w:numFmt w:val="bullet"/>
      <w:lvlText w:val="o"/>
      <w:lvlJc w:val="left"/>
      <w:pPr>
        <w:tabs>
          <w:tab w:val="num" w:pos="1440"/>
        </w:tabs>
        <w:ind w:left="1440" w:hanging="360"/>
      </w:pPr>
      <w:rPr>
        <w:rFonts w:ascii="Courier New" w:hAnsi="Courier New" w:cs="Courier New" w:hint="default"/>
      </w:rPr>
    </w:lvl>
    <w:lvl w:ilvl="2" w:tplc="021EA84C" w:tentative="1">
      <w:start w:val="1"/>
      <w:numFmt w:val="bullet"/>
      <w:lvlText w:val=""/>
      <w:lvlJc w:val="left"/>
      <w:pPr>
        <w:tabs>
          <w:tab w:val="num" w:pos="2160"/>
        </w:tabs>
        <w:ind w:left="2160" w:hanging="360"/>
      </w:pPr>
      <w:rPr>
        <w:rFonts w:ascii="Wingdings" w:hAnsi="Wingdings" w:hint="default"/>
      </w:rPr>
    </w:lvl>
    <w:lvl w:ilvl="3" w:tplc="F490BEEA" w:tentative="1">
      <w:start w:val="1"/>
      <w:numFmt w:val="bullet"/>
      <w:lvlText w:val=""/>
      <w:lvlJc w:val="left"/>
      <w:pPr>
        <w:tabs>
          <w:tab w:val="num" w:pos="2880"/>
        </w:tabs>
        <w:ind w:left="2880" w:hanging="360"/>
      </w:pPr>
      <w:rPr>
        <w:rFonts w:ascii="Symbol" w:hAnsi="Symbol" w:hint="default"/>
      </w:rPr>
    </w:lvl>
    <w:lvl w:ilvl="4" w:tplc="9CFE6822" w:tentative="1">
      <w:start w:val="1"/>
      <w:numFmt w:val="bullet"/>
      <w:lvlText w:val="o"/>
      <w:lvlJc w:val="left"/>
      <w:pPr>
        <w:tabs>
          <w:tab w:val="num" w:pos="3600"/>
        </w:tabs>
        <w:ind w:left="3600" w:hanging="360"/>
      </w:pPr>
      <w:rPr>
        <w:rFonts w:ascii="Courier New" w:hAnsi="Courier New" w:cs="Courier New" w:hint="default"/>
      </w:rPr>
    </w:lvl>
    <w:lvl w:ilvl="5" w:tplc="6F92A7F2" w:tentative="1">
      <w:start w:val="1"/>
      <w:numFmt w:val="bullet"/>
      <w:lvlText w:val=""/>
      <w:lvlJc w:val="left"/>
      <w:pPr>
        <w:tabs>
          <w:tab w:val="num" w:pos="4320"/>
        </w:tabs>
        <w:ind w:left="4320" w:hanging="360"/>
      </w:pPr>
      <w:rPr>
        <w:rFonts w:ascii="Wingdings" w:hAnsi="Wingdings" w:hint="default"/>
      </w:rPr>
    </w:lvl>
    <w:lvl w:ilvl="6" w:tplc="7518B66C" w:tentative="1">
      <w:start w:val="1"/>
      <w:numFmt w:val="bullet"/>
      <w:lvlText w:val=""/>
      <w:lvlJc w:val="left"/>
      <w:pPr>
        <w:tabs>
          <w:tab w:val="num" w:pos="5040"/>
        </w:tabs>
        <w:ind w:left="5040" w:hanging="360"/>
      </w:pPr>
      <w:rPr>
        <w:rFonts w:ascii="Symbol" w:hAnsi="Symbol" w:hint="default"/>
      </w:rPr>
    </w:lvl>
    <w:lvl w:ilvl="7" w:tplc="C4C09142" w:tentative="1">
      <w:start w:val="1"/>
      <w:numFmt w:val="bullet"/>
      <w:lvlText w:val="o"/>
      <w:lvlJc w:val="left"/>
      <w:pPr>
        <w:tabs>
          <w:tab w:val="num" w:pos="5760"/>
        </w:tabs>
        <w:ind w:left="5760" w:hanging="360"/>
      </w:pPr>
      <w:rPr>
        <w:rFonts w:ascii="Courier New" w:hAnsi="Courier New" w:cs="Courier New" w:hint="default"/>
      </w:rPr>
    </w:lvl>
    <w:lvl w:ilvl="8" w:tplc="3376AC6A" w:tentative="1">
      <w:start w:val="1"/>
      <w:numFmt w:val="bullet"/>
      <w:lvlText w:val=""/>
      <w:lvlJc w:val="left"/>
      <w:pPr>
        <w:tabs>
          <w:tab w:val="num" w:pos="6480"/>
        </w:tabs>
        <w:ind w:left="6480" w:hanging="360"/>
      </w:pPr>
      <w:rPr>
        <w:rFonts w:ascii="Wingdings" w:hAnsi="Wingdings" w:hint="default"/>
      </w:rPr>
    </w:lvl>
  </w:abstractNum>
  <w:abstractNum w:abstractNumId="22">
    <w:nsid w:val="583E0294"/>
    <w:multiLevelType w:val="hybridMultilevel"/>
    <w:tmpl w:val="28C0B058"/>
    <w:lvl w:ilvl="0" w:tplc="FD9CF77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A7181"/>
    <w:multiLevelType w:val="hybridMultilevel"/>
    <w:tmpl w:val="7E7CE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AF539D5"/>
    <w:multiLevelType w:val="multilevel"/>
    <w:tmpl w:val="E79AB038"/>
    <w:name w:val="AGSDash"/>
    <w:lvl w:ilvl="0">
      <w:start w:val="1"/>
      <w:numFmt w:val="bullet"/>
      <w:lvlText w:val=""/>
      <w:lvlJc w:val="left"/>
      <w:pPr>
        <w:tabs>
          <w:tab w:val="num" w:pos="360"/>
        </w:tabs>
        <w:ind w:left="352" w:hanging="352"/>
      </w:pPr>
      <w:rPr>
        <w:rFonts w:ascii="Wingdings" w:hAnsi="Wingdings" w:cs="Wingdings" w:hint="default"/>
      </w:rPr>
    </w:lvl>
    <w:lvl w:ilvl="1">
      <w:start w:val="1"/>
      <w:numFmt w:val="bullet"/>
      <w:lvlText w:val="-"/>
      <w:lvlJc w:val="left"/>
      <w:pPr>
        <w:tabs>
          <w:tab w:val="num" w:pos="712"/>
        </w:tabs>
        <w:ind w:left="703" w:hanging="351"/>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upperLetter"/>
      <w:lvlText w:val="(%4)"/>
      <w:lvlJc w:val="left"/>
      <w:pPr>
        <w:tabs>
          <w:tab w:val="num" w:pos="2061"/>
        </w:tabs>
        <w:ind w:left="1985" w:hanging="28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D61C00"/>
    <w:multiLevelType w:val="hybridMultilevel"/>
    <w:tmpl w:val="3A2E5ACE"/>
    <w:lvl w:ilvl="0" w:tplc="0C090001">
      <w:start w:val="1"/>
      <w:numFmt w:val="lowerLetter"/>
      <w:lvlText w:val="(%1)"/>
      <w:lvlJc w:val="left"/>
      <w:pPr>
        <w:ind w:left="720" w:hanging="360"/>
      </w:pPr>
      <w:rPr>
        <w:rFonts w:hint="default"/>
      </w:rPr>
    </w:lvl>
    <w:lvl w:ilvl="1" w:tplc="0C090003">
      <w:start w:val="1"/>
      <w:numFmt w:val="lowerRoman"/>
      <w:lvlText w:val="%2."/>
      <w:lvlJc w:val="righ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26">
    <w:nsid w:val="5FE80C48"/>
    <w:multiLevelType w:val="multilevel"/>
    <w:tmpl w:val="1166E0AA"/>
    <w:lvl w:ilvl="0">
      <w:start w:val="1"/>
      <w:numFmt w:val="decimal"/>
      <w:pStyle w:val="Heading1List"/>
      <w:lvlText w:val="%1"/>
      <w:lvlJc w:val="left"/>
      <w:pPr>
        <w:tabs>
          <w:tab w:val="num" w:pos="737"/>
        </w:tabs>
        <w:ind w:left="737" w:hanging="737"/>
      </w:pPr>
      <w:rPr>
        <w:rFonts w:hint="default"/>
      </w:rPr>
    </w:lvl>
    <w:lvl w:ilvl="1">
      <w:start w:val="1"/>
      <w:numFmt w:val="decimal"/>
      <w:pStyle w:val="Heading2List"/>
      <w:lvlText w:val="%1.%2"/>
      <w:lvlJc w:val="left"/>
      <w:pPr>
        <w:tabs>
          <w:tab w:val="num" w:pos="737"/>
        </w:tabs>
        <w:ind w:left="737" w:hanging="737"/>
      </w:pPr>
      <w:rPr>
        <w:rFonts w:hint="default"/>
      </w:rPr>
    </w:lvl>
    <w:lvl w:ilvl="2">
      <w:start w:val="1"/>
      <w:numFmt w:val="decimal"/>
      <w:pStyle w:val="Heading3List"/>
      <w:lvlText w:val="%1.%2.%3"/>
      <w:lvlJc w:val="left"/>
      <w:pPr>
        <w:tabs>
          <w:tab w:val="num" w:pos="737"/>
        </w:tabs>
        <w:ind w:left="737" w:hanging="737"/>
      </w:pPr>
      <w:rPr>
        <w:rFonts w:hint="default"/>
      </w:rPr>
    </w:lvl>
    <w:lvl w:ilvl="3">
      <w:start w:val="1"/>
      <w:numFmt w:val="decimal"/>
      <w:lvlText w:val="%1.%2.%3.%4."/>
      <w:lvlJc w:val="left"/>
      <w:pPr>
        <w:tabs>
          <w:tab w:val="num" w:pos="737"/>
        </w:tabs>
        <w:ind w:left="737" w:hanging="737"/>
      </w:pPr>
      <w:rPr>
        <w:rFonts w:hint="default"/>
      </w:rPr>
    </w:lvl>
    <w:lvl w:ilvl="4">
      <w:start w:val="1"/>
      <w:numFmt w:val="decimal"/>
      <w:lvlText w:val="%1.%2.%3.%4.%5."/>
      <w:lvlJc w:val="left"/>
      <w:pPr>
        <w:tabs>
          <w:tab w:val="num" w:pos="737"/>
        </w:tabs>
        <w:ind w:left="737" w:hanging="737"/>
      </w:pPr>
      <w:rPr>
        <w:rFonts w:hint="default"/>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0"/>
        </w:tabs>
        <w:ind w:left="0" w:firstLine="0"/>
      </w:pPr>
      <w:rPr>
        <w:rFonts w:hint="default"/>
      </w:rPr>
    </w:lvl>
  </w:abstractNum>
  <w:abstractNum w:abstractNumId="27">
    <w:nsid w:val="6145648D"/>
    <w:multiLevelType w:val="multilevel"/>
    <w:tmpl w:val="0409001D"/>
    <w:styleLink w:val="NumbersforHeaders"/>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1D204F3"/>
    <w:multiLevelType w:val="hybridMultilevel"/>
    <w:tmpl w:val="10586540"/>
    <w:lvl w:ilvl="0" w:tplc="CA84C682">
      <w:start w:val="1"/>
      <w:numFmt w:val="bullet"/>
      <w:lvlText w:val=""/>
      <w:lvlJc w:val="left"/>
      <w:pPr>
        <w:ind w:left="720" w:hanging="360"/>
      </w:pPr>
      <w:rPr>
        <w:rFonts w:ascii="Symbol" w:hAnsi="Symbol" w:hint="default"/>
      </w:rPr>
    </w:lvl>
    <w:lvl w:ilvl="1" w:tplc="0F44017A" w:tentative="1">
      <w:start w:val="1"/>
      <w:numFmt w:val="bullet"/>
      <w:lvlText w:val="o"/>
      <w:lvlJc w:val="left"/>
      <w:pPr>
        <w:ind w:left="1440" w:hanging="360"/>
      </w:pPr>
      <w:rPr>
        <w:rFonts w:ascii="Courier New" w:hAnsi="Courier New" w:cs="Courier New" w:hint="default"/>
      </w:rPr>
    </w:lvl>
    <w:lvl w:ilvl="2" w:tplc="2132C95A" w:tentative="1">
      <w:start w:val="1"/>
      <w:numFmt w:val="bullet"/>
      <w:lvlText w:val=""/>
      <w:lvlJc w:val="left"/>
      <w:pPr>
        <w:ind w:left="2160" w:hanging="360"/>
      </w:pPr>
      <w:rPr>
        <w:rFonts w:ascii="Wingdings" w:hAnsi="Wingdings" w:hint="default"/>
      </w:rPr>
    </w:lvl>
    <w:lvl w:ilvl="3" w:tplc="1460265C" w:tentative="1">
      <w:start w:val="1"/>
      <w:numFmt w:val="bullet"/>
      <w:lvlText w:val=""/>
      <w:lvlJc w:val="left"/>
      <w:pPr>
        <w:ind w:left="2880" w:hanging="360"/>
      </w:pPr>
      <w:rPr>
        <w:rFonts w:ascii="Symbol" w:hAnsi="Symbol" w:hint="default"/>
      </w:rPr>
    </w:lvl>
    <w:lvl w:ilvl="4" w:tplc="18B8A902" w:tentative="1">
      <w:start w:val="1"/>
      <w:numFmt w:val="bullet"/>
      <w:lvlText w:val="o"/>
      <w:lvlJc w:val="left"/>
      <w:pPr>
        <w:ind w:left="3600" w:hanging="360"/>
      </w:pPr>
      <w:rPr>
        <w:rFonts w:ascii="Courier New" w:hAnsi="Courier New" w:cs="Courier New" w:hint="default"/>
      </w:rPr>
    </w:lvl>
    <w:lvl w:ilvl="5" w:tplc="350EBDF4" w:tentative="1">
      <w:start w:val="1"/>
      <w:numFmt w:val="bullet"/>
      <w:lvlText w:val=""/>
      <w:lvlJc w:val="left"/>
      <w:pPr>
        <w:ind w:left="4320" w:hanging="360"/>
      </w:pPr>
      <w:rPr>
        <w:rFonts w:ascii="Wingdings" w:hAnsi="Wingdings" w:hint="default"/>
      </w:rPr>
    </w:lvl>
    <w:lvl w:ilvl="6" w:tplc="B27270C6" w:tentative="1">
      <w:start w:val="1"/>
      <w:numFmt w:val="bullet"/>
      <w:lvlText w:val=""/>
      <w:lvlJc w:val="left"/>
      <w:pPr>
        <w:ind w:left="5040" w:hanging="360"/>
      </w:pPr>
      <w:rPr>
        <w:rFonts w:ascii="Symbol" w:hAnsi="Symbol" w:hint="default"/>
      </w:rPr>
    </w:lvl>
    <w:lvl w:ilvl="7" w:tplc="CECAB880" w:tentative="1">
      <w:start w:val="1"/>
      <w:numFmt w:val="bullet"/>
      <w:lvlText w:val="o"/>
      <w:lvlJc w:val="left"/>
      <w:pPr>
        <w:ind w:left="5760" w:hanging="360"/>
      </w:pPr>
      <w:rPr>
        <w:rFonts w:ascii="Courier New" w:hAnsi="Courier New" w:cs="Courier New" w:hint="default"/>
      </w:rPr>
    </w:lvl>
    <w:lvl w:ilvl="8" w:tplc="AE20815C" w:tentative="1">
      <w:start w:val="1"/>
      <w:numFmt w:val="bullet"/>
      <w:lvlText w:val=""/>
      <w:lvlJc w:val="left"/>
      <w:pPr>
        <w:ind w:left="6480" w:hanging="360"/>
      </w:pPr>
      <w:rPr>
        <w:rFonts w:ascii="Wingdings" w:hAnsi="Wingdings" w:hint="default"/>
      </w:rPr>
    </w:lvl>
  </w:abstractNum>
  <w:abstractNum w:abstractNumId="29">
    <w:nsid w:val="65456429"/>
    <w:multiLevelType w:val="multilevel"/>
    <w:tmpl w:val="E898CC72"/>
    <w:numStyleLink w:val="KeyPoints"/>
  </w:abstractNum>
  <w:abstractNum w:abstractNumId="30">
    <w:nsid w:val="665632D8"/>
    <w:multiLevelType w:val="hybridMultilevel"/>
    <w:tmpl w:val="AFD03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6C618E8"/>
    <w:multiLevelType w:val="hybridMultilevel"/>
    <w:tmpl w:val="28C0B058"/>
    <w:lvl w:ilvl="0" w:tplc="3CB0793C">
      <w:start w:val="1"/>
      <w:numFmt w:val="lowerLetter"/>
      <w:lvlText w:val="(%1)"/>
      <w:lvlJc w:val="left"/>
      <w:pPr>
        <w:ind w:left="720" w:hanging="360"/>
      </w:pPr>
      <w:rPr>
        <w:rFonts w:hint="default"/>
      </w:rPr>
    </w:lvl>
    <w:lvl w:ilvl="1" w:tplc="57FE03C6">
      <w:start w:val="1"/>
      <w:numFmt w:val="lowerLetter"/>
      <w:lvlText w:val="%2."/>
      <w:lvlJc w:val="left"/>
      <w:pPr>
        <w:ind w:left="1440" w:hanging="360"/>
      </w:pPr>
    </w:lvl>
    <w:lvl w:ilvl="2" w:tplc="FC0A9718" w:tentative="1">
      <w:start w:val="1"/>
      <w:numFmt w:val="lowerRoman"/>
      <w:lvlText w:val="%3."/>
      <w:lvlJc w:val="right"/>
      <w:pPr>
        <w:ind w:left="2160" w:hanging="180"/>
      </w:pPr>
    </w:lvl>
    <w:lvl w:ilvl="3" w:tplc="17DCCC5C" w:tentative="1">
      <w:start w:val="1"/>
      <w:numFmt w:val="decimal"/>
      <w:lvlText w:val="%4."/>
      <w:lvlJc w:val="left"/>
      <w:pPr>
        <w:ind w:left="2880" w:hanging="360"/>
      </w:pPr>
    </w:lvl>
    <w:lvl w:ilvl="4" w:tplc="64B608D2" w:tentative="1">
      <w:start w:val="1"/>
      <w:numFmt w:val="lowerLetter"/>
      <w:lvlText w:val="%5."/>
      <w:lvlJc w:val="left"/>
      <w:pPr>
        <w:ind w:left="3600" w:hanging="360"/>
      </w:pPr>
    </w:lvl>
    <w:lvl w:ilvl="5" w:tplc="BA18A1EA" w:tentative="1">
      <w:start w:val="1"/>
      <w:numFmt w:val="lowerRoman"/>
      <w:lvlText w:val="%6."/>
      <w:lvlJc w:val="right"/>
      <w:pPr>
        <w:ind w:left="4320" w:hanging="180"/>
      </w:pPr>
    </w:lvl>
    <w:lvl w:ilvl="6" w:tplc="2BAA9514" w:tentative="1">
      <w:start w:val="1"/>
      <w:numFmt w:val="decimal"/>
      <w:lvlText w:val="%7."/>
      <w:lvlJc w:val="left"/>
      <w:pPr>
        <w:ind w:left="5040" w:hanging="360"/>
      </w:pPr>
    </w:lvl>
    <w:lvl w:ilvl="7" w:tplc="8D3CE08C" w:tentative="1">
      <w:start w:val="1"/>
      <w:numFmt w:val="lowerLetter"/>
      <w:lvlText w:val="%8."/>
      <w:lvlJc w:val="left"/>
      <w:pPr>
        <w:ind w:left="5760" w:hanging="360"/>
      </w:pPr>
    </w:lvl>
    <w:lvl w:ilvl="8" w:tplc="1E96C7F0" w:tentative="1">
      <w:start w:val="1"/>
      <w:numFmt w:val="lowerRoman"/>
      <w:lvlText w:val="%9."/>
      <w:lvlJc w:val="right"/>
      <w:pPr>
        <w:ind w:left="6480" w:hanging="180"/>
      </w:pPr>
    </w:lvl>
  </w:abstractNum>
  <w:abstractNum w:abstractNumId="32">
    <w:nsid w:val="67F86618"/>
    <w:multiLevelType w:val="hybridMultilevel"/>
    <w:tmpl w:val="FDC4FC42"/>
    <w:lvl w:ilvl="0" w:tplc="0C090001">
      <w:start w:val="1"/>
      <w:numFmt w:val="bullet"/>
      <w:lvlText w:val=""/>
      <w:lvlJc w:val="left"/>
      <w:pPr>
        <w:ind w:left="720" w:hanging="360"/>
      </w:pPr>
      <w:rPr>
        <w:rFonts w:ascii="Symbol" w:hAnsi="Symbol" w:hint="default"/>
      </w:rPr>
    </w:lvl>
    <w:lvl w:ilvl="1" w:tplc="0C090003">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F90E30"/>
    <w:multiLevelType w:val="hybridMultilevel"/>
    <w:tmpl w:val="3C34ED78"/>
    <w:lvl w:ilvl="0" w:tplc="ADA8BB04">
      <w:start w:val="1"/>
      <w:numFmt w:val="bullet"/>
      <w:lvlText w:val=""/>
      <w:lvlJc w:val="left"/>
      <w:pPr>
        <w:ind w:left="720" w:hanging="360"/>
      </w:pPr>
      <w:rPr>
        <w:rFonts w:ascii="Symbol" w:hAnsi="Symbol" w:hint="default"/>
      </w:rPr>
    </w:lvl>
    <w:lvl w:ilvl="1" w:tplc="1430DF0C" w:tentative="1">
      <w:start w:val="1"/>
      <w:numFmt w:val="bullet"/>
      <w:lvlText w:val="o"/>
      <w:lvlJc w:val="left"/>
      <w:pPr>
        <w:ind w:left="1440" w:hanging="360"/>
      </w:pPr>
      <w:rPr>
        <w:rFonts w:ascii="Courier New" w:hAnsi="Courier New" w:cs="Courier New" w:hint="default"/>
      </w:rPr>
    </w:lvl>
    <w:lvl w:ilvl="2" w:tplc="910A9198" w:tentative="1">
      <w:start w:val="1"/>
      <w:numFmt w:val="bullet"/>
      <w:lvlText w:val=""/>
      <w:lvlJc w:val="left"/>
      <w:pPr>
        <w:ind w:left="2160" w:hanging="360"/>
      </w:pPr>
      <w:rPr>
        <w:rFonts w:ascii="Wingdings" w:hAnsi="Wingdings" w:hint="default"/>
      </w:rPr>
    </w:lvl>
    <w:lvl w:ilvl="3" w:tplc="DE3AE754" w:tentative="1">
      <w:start w:val="1"/>
      <w:numFmt w:val="bullet"/>
      <w:lvlText w:val=""/>
      <w:lvlJc w:val="left"/>
      <w:pPr>
        <w:ind w:left="2880" w:hanging="360"/>
      </w:pPr>
      <w:rPr>
        <w:rFonts w:ascii="Symbol" w:hAnsi="Symbol" w:hint="default"/>
      </w:rPr>
    </w:lvl>
    <w:lvl w:ilvl="4" w:tplc="0040198C" w:tentative="1">
      <w:start w:val="1"/>
      <w:numFmt w:val="bullet"/>
      <w:lvlText w:val="o"/>
      <w:lvlJc w:val="left"/>
      <w:pPr>
        <w:ind w:left="3600" w:hanging="360"/>
      </w:pPr>
      <w:rPr>
        <w:rFonts w:ascii="Courier New" w:hAnsi="Courier New" w:cs="Courier New" w:hint="default"/>
      </w:rPr>
    </w:lvl>
    <w:lvl w:ilvl="5" w:tplc="84EA6666" w:tentative="1">
      <w:start w:val="1"/>
      <w:numFmt w:val="bullet"/>
      <w:lvlText w:val=""/>
      <w:lvlJc w:val="left"/>
      <w:pPr>
        <w:ind w:left="4320" w:hanging="360"/>
      </w:pPr>
      <w:rPr>
        <w:rFonts w:ascii="Wingdings" w:hAnsi="Wingdings" w:hint="default"/>
      </w:rPr>
    </w:lvl>
    <w:lvl w:ilvl="6" w:tplc="ED0A239C" w:tentative="1">
      <w:start w:val="1"/>
      <w:numFmt w:val="bullet"/>
      <w:lvlText w:val=""/>
      <w:lvlJc w:val="left"/>
      <w:pPr>
        <w:ind w:left="5040" w:hanging="360"/>
      </w:pPr>
      <w:rPr>
        <w:rFonts w:ascii="Symbol" w:hAnsi="Symbol" w:hint="default"/>
      </w:rPr>
    </w:lvl>
    <w:lvl w:ilvl="7" w:tplc="6F601D64" w:tentative="1">
      <w:start w:val="1"/>
      <w:numFmt w:val="bullet"/>
      <w:lvlText w:val="o"/>
      <w:lvlJc w:val="left"/>
      <w:pPr>
        <w:ind w:left="5760" w:hanging="360"/>
      </w:pPr>
      <w:rPr>
        <w:rFonts w:ascii="Courier New" w:hAnsi="Courier New" w:cs="Courier New" w:hint="default"/>
      </w:rPr>
    </w:lvl>
    <w:lvl w:ilvl="8" w:tplc="E16EB8E8" w:tentative="1">
      <w:start w:val="1"/>
      <w:numFmt w:val="bullet"/>
      <w:lvlText w:val=""/>
      <w:lvlJc w:val="left"/>
      <w:pPr>
        <w:ind w:left="6480" w:hanging="360"/>
      </w:pPr>
      <w:rPr>
        <w:rFonts w:ascii="Wingdings" w:hAnsi="Wingdings" w:hint="default"/>
      </w:rPr>
    </w:lvl>
  </w:abstractNum>
  <w:abstractNum w:abstractNumId="34">
    <w:nsid w:val="6D2A23FF"/>
    <w:multiLevelType w:val="hybridMultilevel"/>
    <w:tmpl w:val="A2761766"/>
    <w:lvl w:ilvl="0" w:tplc="0C090001">
      <w:start w:val="1"/>
      <w:numFmt w:val="bullet"/>
      <w:pStyle w:val="ListParagraph"/>
      <w:lvlText w:val=""/>
      <w:lvlJc w:val="left"/>
      <w:pPr>
        <w:ind w:left="1004" w:hanging="360"/>
      </w:pPr>
      <w:rPr>
        <w:rFonts w:ascii="Symbol" w:hAnsi="Symbol" w:hint="default"/>
      </w:rPr>
    </w:lvl>
    <w:lvl w:ilvl="1" w:tplc="7BC4743A"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6DC31281"/>
    <w:multiLevelType w:val="multilevel"/>
    <w:tmpl w:val="3F8646E2"/>
    <w:lvl w:ilvl="0">
      <w:start w:val="1"/>
      <w:numFmt w:val="decimal"/>
      <w:pStyle w:val="BRH1"/>
      <w:lvlText w:val="%1."/>
      <w:lvlJc w:val="left"/>
      <w:pPr>
        <w:tabs>
          <w:tab w:val="num" w:pos="360"/>
        </w:tabs>
        <w:ind w:left="360" w:hanging="360"/>
      </w:pPr>
      <w:rPr>
        <w:rFonts w:hint="default"/>
      </w:rPr>
    </w:lvl>
    <w:lvl w:ilvl="1">
      <w:start w:val="1"/>
      <w:numFmt w:val="decimal"/>
      <w:pStyle w:val="BRH2"/>
      <w:lvlText w:val="%1.%2."/>
      <w:lvlJc w:val="left"/>
      <w:pPr>
        <w:tabs>
          <w:tab w:val="num" w:pos="792"/>
        </w:tabs>
        <w:ind w:left="792" w:hanging="432"/>
      </w:pPr>
      <w:rPr>
        <w:rFonts w:hint="default"/>
      </w:rPr>
    </w:lvl>
    <w:lvl w:ilvl="2">
      <w:start w:val="1"/>
      <w:numFmt w:val="decimal"/>
      <w:pStyle w:val="BRH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715D516D"/>
    <w:multiLevelType w:val="hybridMultilevel"/>
    <w:tmpl w:val="E1AABEFC"/>
    <w:name w:val="AGSADash"/>
    <w:lvl w:ilvl="0" w:tplc="D332C7B6">
      <w:start w:val="1"/>
      <w:numFmt w:val="lowerLetter"/>
      <w:lvlText w:val="(%1)"/>
      <w:lvlJc w:val="left"/>
      <w:pPr>
        <w:ind w:left="720" w:hanging="360"/>
      </w:pPr>
      <w:rPr>
        <w:rFonts w:hint="default"/>
      </w:rPr>
    </w:lvl>
    <w:lvl w:ilvl="1" w:tplc="1DF24F6A">
      <w:start w:val="1"/>
      <w:numFmt w:val="lowerLetter"/>
      <w:lvlText w:val="%2."/>
      <w:lvlJc w:val="left"/>
      <w:pPr>
        <w:ind w:left="1440" w:hanging="360"/>
      </w:pPr>
    </w:lvl>
    <w:lvl w:ilvl="2" w:tplc="FB2EC91E">
      <w:start w:val="1"/>
      <w:numFmt w:val="lowerRoman"/>
      <w:lvlText w:val="%3."/>
      <w:lvlJc w:val="right"/>
      <w:pPr>
        <w:ind w:left="2160" w:hanging="180"/>
      </w:pPr>
    </w:lvl>
    <w:lvl w:ilvl="3" w:tplc="00169A74" w:tentative="1">
      <w:start w:val="1"/>
      <w:numFmt w:val="decimal"/>
      <w:lvlText w:val="%4."/>
      <w:lvlJc w:val="left"/>
      <w:pPr>
        <w:ind w:left="2880" w:hanging="360"/>
      </w:pPr>
    </w:lvl>
    <w:lvl w:ilvl="4" w:tplc="BCF0C1B4" w:tentative="1">
      <w:start w:val="1"/>
      <w:numFmt w:val="lowerLetter"/>
      <w:lvlText w:val="%5."/>
      <w:lvlJc w:val="left"/>
      <w:pPr>
        <w:ind w:left="3600" w:hanging="360"/>
      </w:pPr>
    </w:lvl>
    <w:lvl w:ilvl="5" w:tplc="B07C1A1C" w:tentative="1">
      <w:start w:val="1"/>
      <w:numFmt w:val="lowerRoman"/>
      <w:lvlText w:val="%6."/>
      <w:lvlJc w:val="right"/>
      <w:pPr>
        <w:ind w:left="4320" w:hanging="180"/>
      </w:pPr>
    </w:lvl>
    <w:lvl w:ilvl="6" w:tplc="10F03984" w:tentative="1">
      <w:start w:val="1"/>
      <w:numFmt w:val="decimal"/>
      <w:lvlText w:val="%7."/>
      <w:lvlJc w:val="left"/>
      <w:pPr>
        <w:ind w:left="5040" w:hanging="360"/>
      </w:pPr>
    </w:lvl>
    <w:lvl w:ilvl="7" w:tplc="D70222A2" w:tentative="1">
      <w:start w:val="1"/>
      <w:numFmt w:val="lowerLetter"/>
      <w:lvlText w:val="%8."/>
      <w:lvlJc w:val="left"/>
      <w:pPr>
        <w:ind w:left="5760" w:hanging="360"/>
      </w:pPr>
    </w:lvl>
    <w:lvl w:ilvl="8" w:tplc="F168B4D0" w:tentative="1">
      <w:start w:val="1"/>
      <w:numFmt w:val="lowerRoman"/>
      <w:lvlText w:val="%9."/>
      <w:lvlJc w:val="right"/>
      <w:pPr>
        <w:ind w:left="6480" w:hanging="180"/>
      </w:pPr>
    </w:lvl>
  </w:abstractNum>
  <w:abstractNum w:abstractNumId="38">
    <w:nsid w:val="73BC4538"/>
    <w:multiLevelType w:val="hybridMultilevel"/>
    <w:tmpl w:val="877E5C26"/>
    <w:lvl w:ilvl="0" w:tplc="65281F80">
      <w:start w:val="1"/>
      <w:numFmt w:val="bullet"/>
      <w:lvlText w:val=""/>
      <w:lvlJc w:val="left"/>
      <w:pPr>
        <w:ind w:left="720" w:hanging="360"/>
      </w:pPr>
      <w:rPr>
        <w:rFonts w:ascii="Symbol" w:hAnsi="Symbol" w:hint="default"/>
      </w:rPr>
    </w:lvl>
    <w:lvl w:ilvl="1" w:tplc="B6F423AA" w:tentative="1">
      <w:start w:val="1"/>
      <w:numFmt w:val="bullet"/>
      <w:lvlText w:val="o"/>
      <w:lvlJc w:val="left"/>
      <w:pPr>
        <w:ind w:left="1440" w:hanging="360"/>
      </w:pPr>
      <w:rPr>
        <w:rFonts w:ascii="Courier New" w:hAnsi="Courier New" w:cs="Courier New" w:hint="default"/>
      </w:rPr>
    </w:lvl>
    <w:lvl w:ilvl="2" w:tplc="7964633E" w:tentative="1">
      <w:start w:val="1"/>
      <w:numFmt w:val="bullet"/>
      <w:lvlText w:val=""/>
      <w:lvlJc w:val="left"/>
      <w:pPr>
        <w:ind w:left="2160" w:hanging="360"/>
      </w:pPr>
      <w:rPr>
        <w:rFonts w:ascii="Wingdings" w:hAnsi="Wingdings" w:hint="default"/>
      </w:rPr>
    </w:lvl>
    <w:lvl w:ilvl="3" w:tplc="A43ABF64" w:tentative="1">
      <w:start w:val="1"/>
      <w:numFmt w:val="bullet"/>
      <w:lvlText w:val=""/>
      <w:lvlJc w:val="left"/>
      <w:pPr>
        <w:ind w:left="2880" w:hanging="360"/>
      </w:pPr>
      <w:rPr>
        <w:rFonts w:ascii="Symbol" w:hAnsi="Symbol" w:hint="default"/>
      </w:rPr>
    </w:lvl>
    <w:lvl w:ilvl="4" w:tplc="083093D4" w:tentative="1">
      <w:start w:val="1"/>
      <w:numFmt w:val="bullet"/>
      <w:lvlText w:val="o"/>
      <w:lvlJc w:val="left"/>
      <w:pPr>
        <w:ind w:left="3600" w:hanging="360"/>
      </w:pPr>
      <w:rPr>
        <w:rFonts w:ascii="Courier New" w:hAnsi="Courier New" w:cs="Courier New" w:hint="default"/>
      </w:rPr>
    </w:lvl>
    <w:lvl w:ilvl="5" w:tplc="9FFAD35A" w:tentative="1">
      <w:start w:val="1"/>
      <w:numFmt w:val="bullet"/>
      <w:lvlText w:val=""/>
      <w:lvlJc w:val="left"/>
      <w:pPr>
        <w:ind w:left="4320" w:hanging="360"/>
      </w:pPr>
      <w:rPr>
        <w:rFonts w:ascii="Wingdings" w:hAnsi="Wingdings" w:hint="default"/>
      </w:rPr>
    </w:lvl>
    <w:lvl w:ilvl="6" w:tplc="D2405D38" w:tentative="1">
      <w:start w:val="1"/>
      <w:numFmt w:val="bullet"/>
      <w:lvlText w:val=""/>
      <w:lvlJc w:val="left"/>
      <w:pPr>
        <w:ind w:left="5040" w:hanging="360"/>
      </w:pPr>
      <w:rPr>
        <w:rFonts w:ascii="Symbol" w:hAnsi="Symbol" w:hint="default"/>
      </w:rPr>
    </w:lvl>
    <w:lvl w:ilvl="7" w:tplc="B1B85178" w:tentative="1">
      <w:start w:val="1"/>
      <w:numFmt w:val="bullet"/>
      <w:lvlText w:val="o"/>
      <w:lvlJc w:val="left"/>
      <w:pPr>
        <w:ind w:left="5760" w:hanging="360"/>
      </w:pPr>
      <w:rPr>
        <w:rFonts w:ascii="Courier New" w:hAnsi="Courier New" w:cs="Courier New" w:hint="default"/>
      </w:rPr>
    </w:lvl>
    <w:lvl w:ilvl="8" w:tplc="D0B08FE4" w:tentative="1">
      <w:start w:val="1"/>
      <w:numFmt w:val="bullet"/>
      <w:lvlText w:val=""/>
      <w:lvlJc w:val="left"/>
      <w:pPr>
        <w:ind w:left="6480" w:hanging="360"/>
      </w:pPr>
      <w:rPr>
        <w:rFonts w:ascii="Wingdings" w:hAnsi="Wingdings" w:hint="default"/>
      </w:rPr>
    </w:lvl>
  </w:abstractNum>
  <w:abstractNum w:abstractNumId="39">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0">
    <w:nsid w:val="771F3E3B"/>
    <w:multiLevelType w:val="hybridMultilevel"/>
    <w:tmpl w:val="F4A03B0C"/>
    <w:lvl w:ilvl="0" w:tplc="0C090001">
      <w:start w:val="1"/>
      <w:numFmt w:val="bullet"/>
      <w:lvlText w:val=""/>
      <w:lvlJc w:val="left"/>
      <w:pPr>
        <w:tabs>
          <w:tab w:val="num" w:pos="369"/>
        </w:tabs>
        <w:ind w:left="369" w:hanging="369"/>
      </w:pPr>
      <w:rPr>
        <w:rFonts w:ascii="Symbol" w:hAnsi="Symbol" w:hint="default"/>
      </w:rPr>
    </w:lvl>
    <w:lvl w:ilvl="1" w:tplc="0C090003">
      <w:start w:val="1"/>
      <w:numFmt w:val="bullet"/>
      <w:pStyle w:val="nwcbullet2"/>
      <w:lvlText w:val="–"/>
      <w:lvlJc w:val="left"/>
      <w:pPr>
        <w:tabs>
          <w:tab w:val="num" w:pos="369"/>
        </w:tabs>
        <w:ind w:left="737" w:hanging="368"/>
      </w:pPr>
      <w:rPr>
        <w:rFonts w:ascii="Times New Roman" w:eastAsia="Times New Roman" w:hAnsi="Times New Roman"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nsid w:val="78854AAC"/>
    <w:multiLevelType w:val="hybridMultilevel"/>
    <w:tmpl w:val="1EFC19C4"/>
    <w:lvl w:ilvl="0" w:tplc="66A89B94">
      <w:start w:val="1"/>
      <w:numFmt w:val="decimal"/>
      <w:pStyle w:val="AlphaParagraph0"/>
      <w:lvlText w:val="%1."/>
      <w:lvlJc w:val="left"/>
      <w:pPr>
        <w:tabs>
          <w:tab w:val="num" w:pos="567"/>
        </w:tabs>
        <w:ind w:left="567" w:hanging="567"/>
      </w:pPr>
      <w:rPr>
        <w:rFonts w:cs="Times New Roman" w:hint="default"/>
        <w:b w:val="0"/>
      </w:rPr>
    </w:lvl>
    <w:lvl w:ilvl="1" w:tplc="10423160">
      <w:start w:val="1"/>
      <w:numFmt w:val="lowerLetter"/>
      <w:lvlText w:val="%2."/>
      <w:lvlJc w:val="left"/>
      <w:pPr>
        <w:tabs>
          <w:tab w:val="num" w:pos="1440"/>
        </w:tabs>
        <w:ind w:left="1440" w:hanging="360"/>
      </w:pPr>
      <w:rPr>
        <w:rFonts w:cs="Times New Roman"/>
      </w:rPr>
    </w:lvl>
    <w:lvl w:ilvl="2" w:tplc="A61AC870">
      <w:start w:val="1"/>
      <w:numFmt w:val="lowerRoman"/>
      <w:lvlText w:val="%3."/>
      <w:lvlJc w:val="right"/>
      <w:pPr>
        <w:tabs>
          <w:tab w:val="num" w:pos="2160"/>
        </w:tabs>
        <w:ind w:left="2160" w:hanging="180"/>
      </w:pPr>
      <w:rPr>
        <w:rFonts w:cs="Times New Roman"/>
      </w:rPr>
    </w:lvl>
    <w:lvl w:ilvl="3" w:tplc="241CD102" w:tentative="1">
      <w:start w:val="1"/>
      <w:numFmt w:val="decimal"/>
      <w:lvlText w:val="%4."/>
      <w:lvlJc w:val="left"/>
      <w:pPr>
        <w:tabs>
          <w:tab w:val="num" w:pos="2880"/>
        </w:tabs>
        <w:ind w:left="2880" w:hanging="360"/>
      </w:pPr>
      <w:rPr>
        <w:rFonts w:cs="Times New Roman"/>
      </w:rPr>
    </w:lvl>
    <w:lvl w:ilvl="4" w:tplc="B42A2CBC" w:tentative="1">
      <w:start w:val="1"/>
      <w:numFmt w:val="lowerLetter"/>
      <w:lvlText w:val="%5."/>
      <w:lvlJc w:val="left"/>
      <w:pPr>
        <w:tabs>
          <w:tab w:val="num" w:pos="3600"/>
        </w:tabs>
        <w:ind w:left="3600" w:hanging="360"/>
      </w:pPr>
      <w:rPr>
        <w:rFonts w:cs="Times New Roman"/>
      </w:rPr>
    </w:lvl>
    <w:lvl w:ilvl="5" w:tplc="79565FF0" w:tentative="1">
      <w:start w:val="1"/>
      <w:numFmt w:val="lowerRoman"/>
      <w:lvlText w:val="%6."/>
      <w:lvlJc w:val="right"/>
      <w:pPr>
        <w:tabs>
          <w:tab w:val="num" w:pos="4320"/>
        </w:tabs>
        <w:ind w:left="4320" w:hanging="180"/>
      </w:pPr>
      <w:rPr>
        <w:rFonts w:cs="Times New Roman"/>
      </w:rPr>
    </w:lvl>
    <w:lvl w:ilvl="6" w:tplc="F6E669F6" w:tentative="1">
      <w:start w:val="1"/>
      <w:numFmt w:val="decimal"/>
      <w:lvlText w:val="%7."/>
      <w:lvlJc w:val="left"/>
      <w:pPr>
        <w:tabs>
          <w:tab w:val="num" w:pos="5040"/>
        </w:tabs>
        <w:ind w:left="5040" w:hanging="360"/>
      </w:pPr>
      <w:rPr>
        <w:rFonts w:cs="Times New Roman"/>
      </w:rPr>
    </w:lvl>
    <w:lvl w:ilvl="7" w:tplc="8A9AE11C" w:tentative="1">
      <w:start w:val="1"/>
      <w:numFmt w:val="lowerLetter"/>
      <w:lvlText w:val="%8."/>
      <w:lvlJc w:val="left"/>
      <w:pPr>
        <w:tabs>
          <w:tab w:val="num" w:pos="5760"/>
        </w:tabs>
        <w:ind w:left="5760" w:hanging="360"/>
      </w:pPr>
      <w:rPr>
        <w:rFonts w:cs="Times New Roman"/>
      </w:rPr>
    </w:lvl>
    <w:lvl w:ilvl="8" w:tplc="8C1EF95C" w:tentative="1">
      <w:start w:val="1"/>
      <w:numFmt w:val="lowerRoman"/>
      <w:lvlText w:val="%9."/>
      <w:lvlJc w:val="right"/>
      <w:pPr>
        <w:tabs>
          <w:tab w:val="num" w:pos="6480"/>
        </w:tabs>
        <w:ind w:left="6480" w:hanging="180"/>
      </w:pPr>
      <w:rPr>
        <w:rFonts w:cs="Times New Roman"/>
      </w:rPr>
    </w:lvl>
  </w:abstractNum>
  <w:abstractNum w:abstractNumId="42">
    <w:nsid w:val="7AED1BD0"/>
    <w:multiLevelType w:val="multilevel"/>
    <w:tmpl w:val="1E7AAA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nsid w:val="7DB13F77"/>
    <w:multiLevelType w:val="hybridMultilevel"/>
    <w:tmpl w:val="56C057DA"/>
    <w:lvl w:ilvl="0" w:tplc="48CC3BCC">
      <w:start w:val="1"/>
      <w:numFmt w:val="lowerLetter"/>
      <w:pStyle w:val="NumberedList2"/>
      <w:lvlText w:val="%1."/>
      <w:lvlJc w:val="left"/>
      <w:pPr>
        <w:tabs>
          <w:tab w:val="num" w:pos="567"/>
        </w:tabs>
        <w:ind w:left="567" w:hanging="283"/>
      </w:pPr>
      <w:rPr>
        <w:rFonts w:hint="default"/>
      </w:rPr>
    </w:lvl>
    <w:lvl w:ilvl="1" w:tplc="50346AD0" w:tentative="1">
      <w:start w:val="1"/>
      <w:numFmt w:val="lowerLetter"/>
      <w:lvlText w:val="%2."/>
      <w:lvlJc w:val="left"/>
      <w:pPr>
        <w:ind w:left="1440" w:hanging="360"/>
      </w:pPr>
    </w:lvl>
    <w:lvl w:ilvl="2" w:tplc="4DC84144" w:tentative="1">
      <w:start w:val="1"/>
      <w:numFmt w:val="lowerRoman"/>
      <w:lvlText w:val="%3."/>
      <w:lvlJc w:val="right"/>
      <w:pPr>
        <w:ind w:left="2160" w:hanging="180"/>
      </w:pPr>
    </w:lvl>
    <w:lvl w:ilvl="3" w:tplc="449A1D28" w:tentative="1">
      <w:start w:val="1"/>
      <w:numFmt w:val="decimal"/>
      <w:lvlText w:val="%4."/>
      <w:lvlJc w:val="left"/>
      <w:pPr>
        <w:ind w:left="2880" w:hanging="360"/>
      </w:pPr>
    </w:lvl>
    <w:lvl w:ilvl="4" w:tplc="D16835E6" w:tentative="1">
      <w:start w:val="1"/>
      <w:numFmt w:val="lowerLetter"/>
      <w:lvlText w:val="%5."/>
      <w:lvlJc w:val="left"/>
      <w:pPr>
        <w:ind w:left="3600" w:hanging="360"/>
      </w:pPr>
    </w:lvl>
    <w:lvl w:ilvl="5" w:tplc="2C844468" w:tentative="1">
      <w:start w:val="1"/>
      <w:numFmt w:val="lowerRoman"/>
      <w:lvlText w:val="%6."/>
      <w:lvlJc w:val="right"/>
      <w:pPr>
        <w:ind w:left="4320" w:hanging="180"/>
      </w:pPr>
    </w:lvl>
    <w:lvl w:ilvl="6" w:tplc="BA2223F6" w:tentative="1">
      <w:start w:val="1"/>
      <w:numFmt w:val="decimal"/>
      <w:lvlText w:val="%7."/>
      <w:lvlJc w:val="left"/>
      <w:pPr>
        <w:ind w:left="5040" w:hanging="360"/>
      </w:pPr>
    </w:lvl>
    <w:lvl w:ilvl="7" w:tplc="1CCAF8D4" w:tentative="1">
      <w:start w:val="1"/>
      <w:numFmt w:val="lowerLetter"/>
      <w:lvlText w:val="%8."/>
      <w:lvlJc w:val="left"/>
      <w:pPr>
        <w:ind w:left="5760" w:hanging="360"/>
      </w:pPr>
    </w:lvl>
    <w:lvl w:ilvl="8" w:tplc="9716A66C" w:tentative="1">
      <w:start w:val="1"/>
      <w:numFmt w:val="lowerRoman"/>
      <w:lvlText w:val="%9."/>
      <w:lvlJc w:val="right"/>
      <w:pPr>
        <w:ind w:left="6480" w:hanging="180"/>
      </w:pPr>
    </w:lvl>
  </w:abstractNum>
  <w:num w:numId="1">
    <w:abstractNumId w:val="11"/>
  </w:num>
  <w:num w:numId="2">
    <w:abstractNumId w:val="2"/>
  </w:num>
  <w:num w:numId="3">
    <w:abstractNumId w:val="20"/>
  </w:num>
  <w:num w:numId="4">
    <w:abstractNumId w:val="19"/>
  </w:num>
  <w:num w:numId="5">
    <w:abstractNumId w:val="14"/>
  </w:num>
  <w:num w:numId="6">
    <w:abstractNumId w:val="7"/>
  </w:num>
  <w:num w:numId="7">
    <w:abstractNumId w:val="40"/>
  </w:num>
  <w:num w:numId="8">
    <w:abstractNumId w:val="21"/>
  </w:num>
  <w:num w:numId="9">
    <w:abstractNumId w:val="36"/>
  </w:num>
  <w:num w:numId="10">
    <w:abstractNumId w:val="6"/>
  </w:num>
  <w:num w:numId="11">
    <w:abstractNumId w:val="12"/>
  </w:num>
  <w:num w:numId="12">
    <w:abstractNumId w:val="3"/>
  </w:num>
  <w:num w:numId="13">
    <w:abstractNumId w:val="35"/>
  </w:num>
  <w:num w:numId="14">
    <w:abstractNumId w:val="24"/>
  </w:num>
  <w:num w:numId="15">
    <w:abstractNumId w:val="17"/>
  </w:num>
  <w:num w:numId="16">
    <w:abstractNumId w:val="32"/>
  </w:num>
  <w:num w:numId="17">
    <w:abstractNumId w:val="1"/>
  </w:num>
  <w:num w:numId="18">
    <w:abstractNumId w:val="16"/>
  </w:num>
  <w:num w:numId="19">
    <w:abstractNumId w:val="33"/>
  </w:num>
  <w:num w:numId="20">
    <w:abstractNumId w:val="43"/>
    <w:lvlOverride w:ilvl="0">
      <w:startOverride w:val="1"/>
    </w:lvlOverride>
  </w:num>
  <w:num w:numId="21">
    <w:abstractNumId w:val="27"/>
  </w:num>
  <w:num w:numId="22">
    <w:abstractNumId w:val="26"/>
  </w:num>
  <w:num w:numId="23">
    <w:abstractNumId w:val="13"/>
  </w:num>
  <w:num w:numId="24">
    <w:abstractNumId w:val="30"/>
  </w:num>
  <w:num w:numId="25">
    <w:abstractNumId w:val="9"/>
  </w:num>
  <w:num w:numId="26">
    <w:abstractNumId w:val="4"/>
  </w:num>
  <w:num w:numId="27">
    <w:abstractNumId w:val="42"/>
  </w:num>
  <w:num w:numId="28">
    <w:abstractNumId w:val="28"/>
  </w:num>
  <w:num w:numId="29">
    <w:abstractNumId w:val="37"/>
  </w:num>
  <w:num w:numId="30">
    <w:abstractNumId w:val="22"/>
  </w:num>
  <w:num w:numId="31">
    <w:abstractNumId w:val="5"/>
  </w:num>
  <w:num w:numId="32">
    <w:abstractNumId w:val="25"/>
  </w:num>
  <w:num w:numId="33">
    <w:abstractNumId w:val="31"/>
  </w:num>
  <w:num w:numId="34">
    <w:abstractNumId w:val="41"/>
  </w:num>
  <w:num w:numId="35">
    <w:abstractNumId w:val="41"/>
    <w:lvlOverride w:ilvl="0">
      <w:startOverride w:val="1"/>
    </w:lvlOverride>
  </w:num>
  <w:num w:numId="36">
    <w:abstractNumId w:val="34"/>
  </w:num>
  <w:num w:numId="37">
    <w:abstractNumId w:val="34"/>
  </w:num>
  <w:num w:numId="38">
    <w:abstractNumId w:val="38"/>
  </w:num>
  <w:num w:numId="39">
    <w:abstractNumId w:val="23"/>
  </w:num>
  <w:num w:numId="40">
    <w:abstractNumId w:val="8"/>
  </w:num>
  <w:num w:numId="41">
    <w:abstractNumId w:val="34"/>
  </w:num>
  <w:num w:numId="42">
    <w:abstractNumId w:val="18"/>
  </w:num>
  <w:num w:numId="43">
    <w:abstractNumId w:val="15"/>
  </w:num>
  <w:num w:numId="44">
    <w:abstractNumId w:val="0"/>
  </w:num>
  <w:num w:numId="45">
    <w:abstractNumId w:val="10"/>
    <w:lvlOverride w:ilvl="0">
      <w:lvl w:ilvl="0">
        <w:start w:val="1"/>
        <w:numFmt w:val="bullet"/>
        <w:pStyle w:val="ListBullet"/>
        <w:lvlText w:val=""/>
        <w:lvlJc w:val="left"/>
        <w:pPr>
          <w:ind w:left="369" w:hanging="369"/>
        </w:pPr>
        <w:rPr>
          <w:rFonts w:ascii="Symbol" w:hAnsi="Symbol" w:hint="default"/>
        </w:rPr>
      </w:lvl>
    </w:lvlOverride>
  </w:num>
  <w:num w:numId="46">
    <w:abstractNumId w:val="39"/>
  </w:num>
  <w:num w:numId="4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9&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r0ezppeff9v92ev5xo55ttua99eteafsvax&quot;&gt;Commission EndNote Library&lt;record-ids&gt;&lt;item&gt;3727&lt;/item&gt;&lt;item&gt;3728&lt;/item&gt;&lt;item&gt;3729&lt;/item&gt;&lt;item&gt;3730&lt;/item&gt;&lt;item&gt;3731&lt;/item&gt;&lt;item&gt;3732&lt;/item&gt;&lt;item&gt;3733&lt;/item&gt;&lt;item&gt;3734&lt;/item&gt;&lt;item&gt;3736&lt;/item&gt;&lt;/record-ids&gt;&lt;/item&gt;&lt;/Libraries&gt;"/>
  </w:docVars>
  <w:rsids>
    <w:rsidRoot w:val="00D72F01"/>
    <w:rsid w:val="00003C33"/>
    <w:rsid w:val="0000666A"/>
    <w:rsid w:val="000077D8"/>
    <w:rsid w:val="000113B9"/>
    <w:rsid w:val="000120CA"/>
    <w:rsid w:val="00012275"/>
    <w:rsid w:val="000130E7"/>
    <w:rsid w:val="000177F4"/>
    <w:rsid w:val="000179ED"/>
    <w:rsid w:val="000207F8"/>
    <w:rsid w:val="000213AE"/>
    <w:rsid w:val="00023736"/>
    <w:rsid w:val="000241AC"/>
    <w:rsid w:val="000242C5"/>
    <w:rsid w:val="0002661C"/>
    <w:rsid w:val="000316E5"/>
    <w:rsid w:val="00033A7F"/>
    <w:rsid w:val="00035265"/>
    <w:rsid w:val="00036CA9"/>
    <w:rsid w:val="000372B2"/>
    <w:rsid w:val="00037995"/>
    <w:rsid w:val="000379AD"/>
    <w:rsid w:val="00043465"/>
    <w:rsid w:val="00043E63"/>
    <w:rsid w:val="00046BF8"/>
    <w:rsid w:val="00050383"/>
    <w:rsid w:val="00050B5E"/>
    <w:rsid w:val="000540CF"/>
    <w:rsid w:val="0005648E"/>
    <w:rsid w:val="0005738B"/>
    <w:rsid w:val="00057AE5"/>
    <w:rsid w:val="00066A03"/>
    <w:rsid w:val="00067ADD"/>
    <w:rsid w:val="00070044"/>
    <w:rsid w:val="00070199"/>
    <w:rsid w:val="000702CE"/>
    <w:rsid w:val="00070651"/>
    <w:rsid w:val="00072E4D"/>
    <w:rsid w:val="0007716F"/>
    <w:rsid w:val="00081F0A"/>
    <w:rsid w:val="0008263E"/>
    <w:rsid w:val="00083493"/>
    <w:rsid w:val="00083EFE"/>
    <w:rsid w:val="00086A15"/>
    <w:rsid w:val="00090FEB"/>
    <w:rsid w:val="00093CAC"/>
    <w:rsid w:val="0009569C"/>
    <w:rsid w:val="000961AA"/>
    <w:rsid w:val="000963A6"/>
    <w:rsid w:val="00096E81"/>
    <w:rsid w:val="000A1426"/>
    <w:rsid w:val="000A1A7B"/>
    <w:rsid w:val="000A2420"/>
    <w:rsid w:val="000A2C92"/>
    <w:rsid w:val="000A5EDF"/>
    <w:rsid w:val="000A65E4"/>
    <w:rsid w:val="000A6834"/>
    <w:rsid w:val="000B23A9"/>
    <w:rsid w:val="000B3D15"/>
    <w:rsid w:val="000B4BAC"/>
    <w:rsid w:val="000B6945"/>
    <w:rsid w:val="000B6C00"/>
    <w:rsid w:val="000B78F0"/>
    <w:rsid w:val="000C1371"/>
    <w:rsid w:val="000C1A06"/>
    <w:rsid w:val="000C255E"/>
    <w:rsid w:val="000C60BE"/>
    <w:rsid w:val="000D34E4"/>
    <w:rsid w:val="000D3E3B"/>
    <w:rsid w:val="000D4F25"/>
    <w:rsid w:val="000D52A1"/>
    <w:rsid w:val="000D5F64"/>
    <w:rsid w:val="000E07E2"/>
    <w:rsid w:val="000E13B2"/>
    <w:rsid w:val="000E1703"/>
    <w:rsid w:val="000E4DBD"/>
    <w:rsid w:val="000E6F21"/>
    <w:rsid w:val="000F5ABD"/>
    <w:rsid w:val="000F5C43"/>
    <w:rsid w:val="000F6C87"/>
    <w:rsid w:val="000F7394"/>
    <w:rsid w:val="000F7B42"/>
    <w:rsid w:val="000F7BD4"/>
    <w:rsid w:val="001006A7"/>
    <w:rsid w:val="001019D3"/>
    <w:rsid w:val="00104EAA"/>
    <w:rsid w:val="00105333"/>
    <w:rsid w:val="00105F59"/>
    <w:rsid w:val="001103F4"/>
    <w:rsid w:val="00110660"/>
    <w:rsid w:val="00110EE4"/>
    <w:rsid w:val="00111D1F"/>
    <w:rsid w:val="00111F1A"/>
    <w:rsid w:val="00115E77"/>
    <w:rsid w:val="0012381F"/>
    <w:rsid w:val="0012387D"/>
    <w:rsid w:val="00123A4A"/>
    <w:rsid w:val="001244C9"/>
    <w:rsid w:val="00125355"/>
    <w:rsid w:val="00131815"/>
    <w:rsid w:val="00132049"/>
    <w:rsid w:val="001353AD"/>
    <w:rsid w:val="0013556E"/>
    <w:rsid w:val="0014101B"/>
    <w:rsid w:val="00141167"/>
    <w:rsid w:val="0014124A"/>
    <w:rsid w:val="00142A1A"/>
    <w:rsid w:val="001473A8"/>
    <w:rsid w:val="00147EB1"/>
    <w:rsid w:val="001524F3"/>
    <w:rsid w:val="0015318D"/>
    <w:rsid w:val="00155E6F"/>
    <w:rsid w:val="00156243"/>
    <w:rsid w:val="00157419"/>
    <w:rsid w:val="001601AF"/>
    <w:rsid w:val="00161CB9"/>
    <w:rsid w:val="001621EB"/>
    <w:rsid w:val="00163E1B"/>
    <w:rsid w:val="00165E4A"/>
    <w:rsid w:val="0016752E"/>
    <w:rsid w:val="00167AC1"/>
    <w:rsid w:val="001729E6"/>
    <w:rsid w:val="00175BD9"/>
    <w:rsid w:val="00175F1A"/>
    <w:rsid w:val="00176CE8"/>
    <w:rsid w:val="00185DB8"/>
    <w:rsid w:val="001866D8"/>
    <w:rsid w:val="00191AD5"/>
    <w:rsid w:val="001929DC"/>
    <w:rsid w:val="001933AD"/>
    <w:rsid w:val="0019370D"/>
    <w:rsid w:val="00193955"/>
    <w:rsid w:val="00193C3E"/>
    <w:rsid w:val="00193CE1"/>
    <w:rsid w:val="00194DD6"/>
    <w:rsid w:val="0019734C"/>
    <w:rsid w:val="001A03CC"/>
    <w:rsid w:val="001A0559"/>
    <w:rsid w:val="001A1B9B"/>
    <w:rsid w:val="001A1EA4"/>
    <w:rsid w:val="001A486B"/>
    <w:rsid w:val="001A58BD"/>
    <w:rsid w:val="001A70F8"/>
    <w:rsid w:val="001B002B"/>
    <w:rsid w:val="001B1155"/>
    <w:rsid w:val="001B530F"/>
    <w:rsid w:val="001B552C"/>
    <w:rsid w:val="001B64C7"/>
    <w:rsid w:val="001B751B"/>
    <w:rsid w:val="001B7DCD"/>
    <w:rsid w:val="001C1476"/>
    <w:rsid w:val="001C4108"/>
    <w:rsid w:val="001C5C34"/>
    <w:rsid w:val="001D2702"/>
    <w:rsid w:val="001D3BB2"/>
    <w:rsid w:val="001E08B7"/>
    <w:rsid w:val="001E3441"/>
    <w:rsid w:val="001E359D"/>
    <w:rsid w:val="001E3BCF"/>
    <w:rsid w:val="001E3D0E"/>
    <w:rsid w:val="001E68D8"/>
    <w:rsid w:val="001E6DF4"/>
    <w:rsid w:val="001E7396"/>
    <w:rsid w:val="001F5C0D"/>
    <w:rsid w:val="001F5D88"/>
    <w:rsid w:val="001F6294"/>
    <w:rsid w:val="00203933"/>
    <w:rsid w:val="002061E5"/>
    <w:rsid w:val="00210DF8"/>
    <w:rsid w:val="00214BFD"/>
    <w:rsid w:val="00215987"/>
    <w:rsid w:val="00216E6E"/>
    <w:rsid w:val="00217D2C"/>
    <w:rsid w:val="00217DE5"/>
    <w:rsid w:val="00220916"/>
    <w:rsid w:val="002211DB"/>
    <w:rsid w:val="00222D7D"/>
    <w:rsid w:val="00222FE2"/>
    <w:rsid w:val="00223465"/>
    <w:rsid w:val="0022370A"/>
    <w:rsid w:val="00227886"/>
    <w:rsid w:val="00227D13"/>
    <w:rsid w:val="00230103"/>
    <w:rsid w:val="002320EC"/>
    <w:rsid w:val="0023300B"/>
    <w:rsid w:val="00233551"/>
    <w:rsid w:val="00234606"/>
    <w:rsid w:val="0023511F"/>
    <w:rsid w:val="002356FE"/>
    <w:rsid w:val="00235FC5"/>
    <w:rsid w:val="00236FA6"/>
    <w:rsid w:val="00237191"/>
    <w:rsid w:val="0024041E"/>
    <w:rsid w:val="0024559F"/>
    <w:rsid w:val="002472BC"/>
    <w:rsid w:val="00250622"/>
    <w:rsid w:val="002508B1"/>
    <w:rsid w:val="00252DB1"/>
    <w:rsid w:val="00255527"/>
    <w:rsid w:val="00255747"/>
    <w:rsid w:val="002562B6"/>
    <w:rsid w:val="002563FC"/>
    <w:rsid w:val="00257517"/>
    <w:rsid w:val="00266FF8"/>
    <w:rsid w:val="0027328D"/>
    <w:rsid w:val="00273568"/>
    <w:rsid w:val="00274767"/>
    <w:rsid w:val="002761BC"/>
    <w:rsid w:val="002771BB"/>
    <w:rsid w:val="002779B0"/>
    <w:rsid w:val="002814D6"/>
    <w:rsid w:val="002818A5"/>
    <w:rsid w:val="00287E7F"/>
    <w:rsid w:val="00292032"/>
    <w:rsid w:val="002949DA"/>
    <w:rsid w:val="00294C81"/>
    <w:rsid w:val="00294CA5"/>
    <w:rsid w:val="002974DB"/>
    <w:rsid w:val="00297502"/>
    <w:rsid w:val="002A13BC"/>
    <w:rsid w:val="002A38D2"/>
    <w:rsid w:val="002A3E72"/>
    <w:rsid w:val="002B24F8"/>
    <w:rsid w:val="002B3F8C"/>
    <w:rsid w:val="002C0ACB"/>
    <w:rsid w:val="002C4301"/>
    <w:rsid w:val="002C473C"/>
    <w:rsid w:val="002C4A40"/>
    <w:rsid w:val="002C76E9"/>
    <w:rsid w:val="002D347C"/>
    <w:rsid w:val="002D3AA5"/>
    <w:rsid w:val="002D58FF"/>
    <w:rsid w:val="002D6EAC"/>
    <w:rsid w:val="002D735C"/>
    <w:rsid w:val="002D75B7"/>
    <w:rsid w:val="002D7693"/>
    <w:rsid w:val="002E2350"/>
    <w:rsid w:val="002E2F16"/>
    <w:rsid w:val="002E39FF"/>
    <w:rsid w:val="002E3FCA"/>
    <w:rsid w:val="002E4513"/>
    <w:rsid w:val="002E47B2"/>
    <w:rsid w:val="002E569C"/>
    <w:rsid w:val="002E6D6D"/>
    <w:rsid w:val="002E7988"/>
    <w:rsid w:val="002F0D55"/>
    <w:rsid w:val="002F0F08"/>
    <w:rsid w:val="002F28F4"/>
    <w:rsid w:val="002F4D1C"/>
    <w:rsid w:val="002F64ED"/>
    <w:rsid w:val="003026B2"/>
    <w:rsid w:val="003034E1"/>
    <w:rsid w:val="00304FA1"/>
    <w:rsid w:val="003057C6"/>
    <w:rsid w:val="003074C4"/>
    <w:rsid w:val="003103DA"/>
    <w:rsid w:val="00310603"/>
    <w:rsid w:val="00310D89"/>
    <w:rsid w:val="003125CE"/>
    <w:rsid w:val="0031276F"/>
    <w:rsid w:val="00316107"/>
    <w:rsid w:val="003162D2"/>
    <w:rsid w:val="00320548"/>
    <w:rsid w:val="00321927"/>
    <w:rsid w:val="00326A2A"/>
    <w:rsid w:val="0033277B"/>
    <w:rsid w:val="00334A0D"/>
    <w:rsid w:val="003376D7"/>
    <w:rsid w:val="00337822"/>
    <w:rsid w:val="00342F12"/>
    <w:rsid w:val="00343DA6"/>
    <w:rsid w:val="00350246"/>
    <w:rsid w:val="003503C4"/>
    <w:rsid w:val="00350B8F"/>
    <w:rsid w:val="00352B2A"/>
    <w:rsid w:val="00354314"/>
    <w:rsid w:val="003556F7"/>
    <w:rsid w:val="00360945"/>
    <w:rsid w:val="0036351E"/>
    <w:rsid w:val="00364183"/>
    <w:rsid w:val="0036458A"/>
    <w:rsid w:val="00365924"/>
    <w:rsid w:val="00371752"/>
    <w:rsid w:val="00371D4F"/>
    <w:rsid w:val="00371FF2"/>
    <w:rsid w:val="0037215F"/>
    <w:rsid w:val="0037220D"/>
    <w:rsid w:val="0037243A"/>
    <w:rsid w:val="00377D53"/>
    <w:rsid w:val="0038245D"/>
    <w:rsid w:val="00383258"/>
    <w:rsid w:val="00383854"/>
    <w:rsid w:val="0038595F"/>
    <w:rsid w:val="00387FB2"/>
    <w:rsid w:val="00390457"/>
    <w:rsid w:val="00390511"/>
    <w:rsid w:val="003911B6"/>
    <w:rsid w:val="00391499"/>
    <w:rsid w:val="00391A82"/>
    <w:rsid w:val="00391E36"/>
    <w:rsid w:val="00392580"/>
    <w:rsid w:val="003931F2"/>
    <w:rsid w:val="00394319"/>
    <w:rsid w:val="00395C8E"/>
    <w:rsid w:val="00396040"/>
    <w:rsid w:val="003A3A49"/>
    <w:rsid w:val="003A4620"/>
    <w:rsid w:val="003A7538"/>
    <w:rsid w:val="003B2FBE"/>
    <w:rsid w:val="003B35AF"/>
    <w:rsid w:val="003B3A79"/>
    <w:rsid w:val="003B3FC8"/>
    <w:rsid w:val="003B400F"/>
    <w:rsid w:val="003B4345"/>
    <w:rsid w:val="003B47B3"/>
    <w:rsid w:val="003B5B19"/>
    <w:rsid w:val="003B71A6"/>
    <w:rsid w:val="003B7C83"/>
    <w:rsid w:val="003C3380"/>
    <w:rsid w:val="003C4A31"/>
    <w:rsid w:val="003C5889"/>
    <w:rsid w:val="003D1160"/>
    <w:rsid w:val="003D12F5"/>
    <w:rsid w:val="003D2773"/>
    <w:rsid w:val="003D71A9"/>
    <w:rsid w:val="003E18B2"/>
    <w:rsid w:val="003E24BC"/>
    <w:rsid w:val="003E2C65"/>
    <w:rsid w:val="003E63B3"/>
    <w:rsid w:val="003E6F7B"/>
    <w:rsid w:val="003F0BE2"/>
    <w:rsid w:val="003F1901"/>
    <w:rsid w:val="003F1C73"/>
    <w:rsid w:val="003F52FF"/>
    <w:rsid w:val="003F534E"/>
    <w:rsid w:val="003F6233"/>
    <w:rsid w:val="004015C0"/>
    <w:rsid w:val="00401A55"/>
    <w:rsid w:val="00407DBD"/>
    <w:rsid w:val="0041039B"/>
    <w:rsid w:val="00415FF9"/>
    <w:rsid w:val="00416C47"/>
    <w:rsid w:val="00416F1B"/>
    <w:rsid w:val="00420C0B"/>
    <w:rsid w:val="00422234"/>
    <w:rsid w:val="00423338"/>
    <w:rsid w:val="00424625"/>
    <w:rsid w:val="00424A02"/>
    <w:rsid w:val="00435F58"/>
    <w:rsid w:val="00436D14"/>
    <w:rsid w:val="00440D95"/>
    <w:rsid w:val="004425A6"/>
    <w:rsid w:val="00443AD4"/>
    <w:rsid w:val="00444A99"/>
    <w:rsid w:val="004458F0"/>
    <w:rsid w:val="00447109"/>
    <w:rsid w:val="00451493"/>
    <w:rsid w:val="00451568"/>
    <w:rsid w:val="00453F7A"/>
    <w:rsid w:val="004548C8"/>
    <w:rsid w:val="00456027"/>
    <w:rsid w:val="00461FFF"/>
    <w:rsid w:val="004646BE"/>
    <w:rsid w:val="00465051"/>
    <w:rsid w:val="004654F9"/>
    <w:rsid w:val="00467440"/>
    <w:rsid w:val="004729E6"/>
    <w:rsid w:val="0047391E"/>
    <w:rsid w:val="004749A4"/>
    <w:rsid w:val="00474D99"/>
    <w:rsid w:val="00475506"/>
    <w:rsid w:val="00476919"/>
    <w:rsid w:val="00477735"/>
    <w:rsid w:val="004778CF"/>
    <w:rsid w:val="00477D25"/>
    <w:rsid w:val="00480ADC"/>
    <w:rsid w:val="00481087"/>
    <w:rsid w:val="00481587"/>
    <w:rsid w:val="00481ACD"/>
    <w:rsid w:val="00482370"/>
    <w:rsid w:val="00483382"/>
    <w:rsid w:val="00483D93"/>
    <w:rsid w:val="0048561C"/>
    <w:rsid w:val="0048630F"/>
    <w:rsid w:val="00490303"/>
    <w:rsid w:val="00490A4D"/>
    <w:rsid w:val="00490C77"/>
    <w:rsid w:val="00492B71"/>
    <w:rsid w:val="004936D9"/>
    <w:rsid w:val="0049658C"/>
    <w:rsid w:val="00497389"/>
    <w:rsid w:val="004A25A9"/>
    <w:rsid w:val="004A57D3"/>
    <w:rsid w:val="004A5E2C"/>
    <w:rsid w:val="004A65DD"/>
    <w:rsid w:val="004B2425"/>
    <w:rsid w:val="004B2921"/>
    <w:rsid w:val="004B3C4E"/>
    <w:rsid w:val="004B3D4F"/>
    <w:rsid w:val="004B59A7"/>
    <w:rsid w:val="004C1687"/>
    <w:rsid w:val="004C2A39"/>
    <w:rsid w:val="004C31FA"/>
    <w:rsid w:val="004C5F9D"/>
    <w:rsid w:val="004C7170"/>
    <w:rsid w:val="004C7700"/>
    <w:rsid w:val="004D1637"/>
    <w:rsid w:val="004D2B42"/>
    <w:rsid w:val="004D3755"/>
    <w:rsid w:val="004D3FB3"/>
    <w:rsid w:val="004D4439"/>
    <w:rsid w:val="004D5937"/>
    <w:rsid w:val="004E011C"/>
    <w:rsid w:val="004E1733"/>
    <w:rsid w:val="004E2C9A"/>
    <w:rsid w:val="004E3374"/>
    <w:rsid w:val="004E3CDB"/>
    <w:rsid w:val="004E4BBC"/>
    <w:rsid w:val="004E55C6"/>
    <w:rsid w:val="004E5D47"/>
    <w:rsid w:val="004E62ED"/>
    <w:rsid w:val="004F0F36"/>
    <w:rsid w:val="004F1147"/>
    <w:rsid w:val="004F1389"/>
    <w:rsid w:val="004F4629"/>
    <w:rsid w:val="004F4BA5"/>
    <w:rsid w:val="004F582F"/>
    <w:rsid w:val="004F67FC"/>
    <w:rsid w:val="004F6C8F"/>
    <w:rsid w:val="004F78FB"/>
    <w:rsid w:val="005022FB"/>
    <w:rsid w:val="00505650"/>
    <w:rsid w:val="005062BA"/>
    <w:rsid w:val="00506B00"/>
    <w:rsid w:val="00506C21"/>
    <w:rsid w:val="00507815"/>
    <w:rsid w:val="005119A0"/>
    <w:rsid w:val="00511B2A"/>
    <w:rsid w:val="00512ABA"/>
    <w:rsid w:val="00513A30"/>
    <w:rsid w:val="00513D68"/>
    <w:rsid w:val="00513E2C"/>
    <w:rsid w:val="005146E5"/>
    <w:rsid w:val="005160DF"/>
    <w:rsid w:val="00516F35"/>
    <w:rsid w:val="00517990"/>
    <w:rsid w:val="0052070D"/>
    <w:rsid w:val="00522137"/>
    <w:rsid w:val="00526F3D"/>
    <w:rsid w:val="00527568"/>
    <w:rsid w:val="00527D8E"/>
    <w:rsid w:val="00530392"/>
    <w:rsid w:val="00531FB0"/>
    <w:rsid w:val="00532014"/>
    <w:rsid w:val="005328B6"/>
    <w:rsid w:val="0053318A"/>
    <w:rsid w:val="00533843"/>
    <w:rsid w:val="0053402D"/>
    <w:rsid w:val="00534B5C"/>
    <w:rsid w:val="00535592"/>
    <w:rsid w:val="0054218C"/>
    <w:rsid w:val="00543977"/>
    <w:rsid w:val="00543CA1"/>
    <w:rsid w:val="005448F1"/>
    <w:rsid w:val="005501B9"/>
    <w:rsid w:val="0055030D"/>
    <w:rsid w:val="005529CE"/>
    <w:rsid w:val="0055309E"/>
    <w:rsid w:val="00555C91"/>
    <w:rsid w:val="00556287"/>
    <w:rsid w:val="005575EE"/>
    <w:rsid w:val="00567603"/>
    <w:rsid w:val="00572302"/>
    <w:rsid w:val="005728E5"/>
    <w:rsid w:val="00573598"/>
    <w:rsid w:val="00573842"/>
    <w:rsid w:val="005754DF"/>
    <w:rsid w:val="00576E1F"/>
    <w:rsid w:val="0057747B"/>
    <w:rsid w:val="00581950"/>
    <w:rsid w:val="005827F4"/>
    <w:rsid w:val="00583781"/>
    <w:rsid w:val="00585813"/>
    <w:rsid w:val="00586BBF"/>
    <w:rsid w:val="005876C3"/>
    <w:rsid w:val="00592260"/>
    <w:rsid w:val="0059333A"/>
    <w:rsid w:val="00593D6B"/>
    <w:rsid w:val="0059686D"/>
    <w:rsid w:val="00597FBA"/>
    <w:rsid w:val="005A3694"/>
    <w:rsid w:val="005A5CEC"/>
    <w:rsid w:val="005A7243"/>
    <w:rsid w:val="005B0449"/>
    <w:rsid w:val="005B0D86"/>
    <w:rsid w:val="005B0F72"/>
    <w:rsid w:val="005B2DAB"/>
    <w:rsid w:val="005B3A75"/>
    <w:rsid w:val="005B4499"/>
    <w:rsid w:val="005B4F49"/>
    <w:rsid w:val="005B505B"/>
    <w:rsid w:val="005C1685"/>
    <w:rsid w:val="005C1E1C"/>
    <w:rsid w:val="005C56E3"/>
    <w:rsid w:val="005C62D4"/>
    <w:rsid w:val="005C642D"/>
    <w:rsid w:val="005D14C4"/>
    <w:rsid w:val="005D28C8"/>
    <w:rsid w:val="005D2C36"/>
    <w:rsid w:val="005E0052"/>
    <w:rsid w:val="005E11E1"/>
    <w:rsid w:val="005E1231"/>
    <w:rsid w:val="005E1904"/>
    <w:rsid w:val="005E2621"/>
    <w:rsid w:val="005E31A6"/>
    <w:rsid w:val="005E50FC"/>
    <w:rsid w:val="005E6387"/>
    <w:rsid w:val="005F0A56"/>
    <w:rsid w:val="005F0E91"/>
    <w:rsid w:val="005F34AA"/>
    <w:rsid w:val="005F3652"/>
    <w:rsid w:val="005F4BFA"/>
    <w:rsid w:val="005F51D7"/>
    <w:rsid w:val="005F750C"/>
    <w:rsid w:val="005F7B36"/>
    <w:rsid w:val="00601D38"/>
    <w:rsid w:val="00602AD1"/>
    <w:rsid w:val="00606C45"/>
    <w:rsid w:val="006071BA"/>
    <w:rsid w:val="006107F0"/>
    <w:rsid w:val="006126DD"/>
    <w:rsid w:val="00613BEC"/>
    <w:rsid w:val="006144CF"/>
    <w:rsid w:val="00617B2B"/>
    <w:rsid w:val="00621C6C"/>
    <w:rsid w:val="0062756B"/>
    <w:rsid w:val="00627736"/>
    <w:rsid w:val="00627B7C"/>
    <w:rsid w:val="0063030E"/>
    <w:rsid w:val="00634DB0"/>
    <w:rsid w:val="00635113"/>
    <w:rsid w:val="00640C29"/>
    <w:rsid w:val="0064102F"/>
    <w:rsid w:val="0064184B"/>
    <w:rsid w:val="00642335"/>
    <w:rsid w:val="00644B15"/>
    <w:rsid w:val="006532B0"/>
    <w:rsid w:val="00654F81"/>
    <w:rsid w:val="00655344"/>
    <w:rsid w:val="00655742"/>
    <w:rsid w:val="00655DB4"/>
    <w:rsid w:val="00660394"/>
    <w:rsid w:val="00660A0D"/>
    <w:rsid w:val="006660D4"/>
    <w:rsid w:val="00670C5E"/>
    <w:rsid w:val="00671E01"/>
    <w:rsid w:val="00675CB6"/>
    <w:rsid w:val="00676D53"/>
    <w:rsid w:val="006774E8"/>
    <w:rsid w:val="00677AE6"/>
    <w:rsid w:val="0068035B"/>
    <w:rsid w:val="006841DC"/>
    <w:rsid w:val="00685C9F"/>
    <w:rsid w:val="00687CCF"/>
    <w:rsid w:val="00690523"/>
    <w:rsid w:val="006909D8"/>
    <w:rsid w:val="0069112E"/>
    <w:rsid w:val="006923F8"/>
    <w:rsid w:val="00693F38"/>
    <w:rsid w:val="00694FDC"/>
    <w:rsid w:val="00695CBD"/>
    <w:rsid w:val="00695F06"/>
    <w:rsid w:val="006A0443"/>
    <w:rsid w:val="006A059C"/>
    <w:rsid w:val="006A3111"/>
    <w:rsid w:val="006A34D1"/>
    <w:rsid w:val="006A4D05"/>
    <w:rsid w:val="006A7C06"/>
    <w:rsid w:val="006B2462"/>
    <w:rsid w:val="006B4D2F"/>
    <w:rsid w:val="006B5562"/>
    <w:rsid w:val="006C05DD"/>
    <w:rsid w:val="006C27CF"/>
    <w:rsid w:val="006C2FD1"/>
    <w:rsid w:val="006C3888"/>
    <w:rsid w:val="006C40D6"/>
    <w:rsid w:val="006C4DEF"/>
    <w:rsid w:val="006C5963"/>
    <w:rsid w:val="006C6B2A"/>
    <w:rsid w:val="006C6C13"/>
    <w:rsid w:val="006C7019"/>
    <w:rsid w:val="006D031A"/>
    <w:rsid w:val="006D17E5"/>
    <w:rsid w:val="006D28B8"/>
    <w:rsid w:val="006D32DF"/>
    <w:rsid w:val="006D6F7D"/>
    <w:rsid w:val="006D78FA"/>
    <w:rsid w:val="006E0333"/>
    <w:rsid w:val="006E2CDA"/>
    <w:rsid w:val="006E5BEA"/>
    <w:rsid w:val="006E698C"/>
    <w:rsid w:val="006F20BA"/>
    <w:rsid w:val="006F20E8"/>
    <w:rsid w:val="006F3C18"/>
    <w:rsid w:val="006F42C4"/>
    <w:rsid w:val="006F6D23"/>
    <w:rsid w:val="00701D25"/>
    <w:rsid w:val="007043EA"/>
    <w:rsid w:val="007044B0"/>
    <w:rsid w:val="00706F0F"/>
    <w:rsid w:val="00707B90"/>
    <w:rsid w:val="00707D66"/>
    <w:rsid w:val="00710390"/>
    <w:rsid w:val="00710A1B"/>
    <w:rsid w:val="007119BC"/>
    <w:rsid w:val="00712173"/>
    <w:rsid w:val="007130E4"/>
    <w:rsid w:val="007203A3"/>
    <w:rsid w:val="007251E6"/>
    <w:rsid w:val="00725DDB"/>
    <w:rsid w:val="00726EA6"/>
    <w:rsid w:val="00726FEF"/>
    <w:rsid w:val="0072707B"/>
    <w:rsid w:val="00733BC6"/>
    <w:rsid w:val="007351AE"/>
    <w:rsid w:val="00735D62"/>
    <w:rsid w:val="007361A8"/>
    <w:rsid w:val="00737101"/>
    <w:rsid w:val="0074284E"/>
    <w:rsid w:val="007463D5"/>
    <w:rsid w:val="00747076"/>
    <w:rsid w:val="0075157A"/>
    <w:rsid w:val="0075316A"/>
    <w:rsid w:val="0075319D"/>
    <w:rsid w:val="00755A75"/>
    <w:rsid w:val="00761C30"/>
    <w:rsid w:val="00761D78"/>
    <w:rsid w:val="007644EF"/>
    <w:rsid w:val="00765FD4"/>
    <w:rsid w:val="00766346"/>
    <w:rsid w:val="00766F50"/>
    <w:rsid w:val="00767169"/>
    <w:rsid w:val="00772E38"/>
    <w:rsid w:val="00773A6A"/>
    <w:rsid w:val="00773B67"/>
    <w:rsid w:val="00776E1A"/>
    <w:rsid w:val="0078242A"/>
    <w:rsid w:val="007844C6"/>
    <w:rsid w:val="00785432"/>
    <w:rsid w:val="00791CAC"/>
    <w:rsid w:val="00792630"/>
    <w:rsid w:val="00794005"/>
    <w:rsid w:val="00796E13"/>
    <w:rsid w:val="007A0AC2"/>
    <w:rsid w:val="007A0E82"/>
    <w:rsid w:val="007A13BE"/>
    <w:rsid w:val="007A2C62"/>
    <w:rsid w:val="007A4515"/>
    <w:rsid w:val="007A5612"/>
    <w:rsid w:val="007A62DD"/>
    <w:rsid w:val="007A6AA8"/>
    <w:rsid w:val="007B4E03"/>
    <w:rsid w:val="007B561A"/>
    <w:rsid w:val="007B6E5A"/>
    <w:rsid w:val="007B79AC"/>
    <w:rsid w:val="007C29A2"/>
    <w:rsid w:val="007C3205"/>
    <w:rsid w:val="007C39BD"/>
    <w:rsid w:val="007C3EDD"/>
    <w:rsid w:val="007C705C"/>
    <w:rsid w:val="007C7C65"/>
    <w:rsid w:val="007D10D4"/>
    <w:rsid w:val="007D3310"/>
    <w:rsid w:val="007D3ACD"/>
    <w:rsid w:val="007D47F1"/>
    <w:rsid w:val="007E06F8"/>
    <w:rsid w:val="007E1501"/>
    <w:rsid w:val="007E29A1"/>
    <w:rsid w:val="007E5116"/>
    <w:rsid w:val="007F200F"/>
    <w:rsid w:val="007F37C9"/>
    <w:rsid w:val="007F51AA"/>
    <w:rsid w:val="00800E00"/>
    <w:rsid w:val="0080171B"/>
    <w:rsid w:val="008017F9"/>
    <w:rsid w:val="00801BDD"/>
    <w:rsid w:val="00803EBB"/>
    <w:rsid w:val="00807EBA"/>
    <w:rsid w:val="00812705"/>
    <w:rsid w:val="008136B4"/>
    <w:rsid w:val="00813C39"/>
    <w:rsid w:val="008142F0"/>
    <w:rsid w:val="008145C6"/>
    <w:rsid w:val="008148E3"/>
    <w:rsid w:val="00814F75"/>
    <w:rsid w:val="0081652F"/>
    <w:rsid w:val="008172A6"/>
    <w:rsid w:val="00817B1B"/>
    <w:rsid w:val="00821149"/>
    <w:rsid w:val="008241A3"/>
    <w:rsid w:val="00831232"/>
    <w:rsid w:val="00832C89"/>
    <w:rsid w:val="00833C30"/>
    <w:rsid w:val="00834028"/>
    <w:rsid w:val="008375AC"/>
    <w:rsid w:val="00840889"/>
    <w:rsid w:val="008412A9"/>
    <w:rsid w:val="008416BA"/>
    <w:rsid w:val="00845596"/>
    <w:rsid w:val="00846376"/>
    <w:rsid w:val="00846418"/>
    <w:rsid w:val="0084719B"/>
    <w:rsid w:val="0084738E"/>
    <w:rsid w:val="00847BE3"/>
    <w:rsid w:val="00853AC7"/>
    <w:rsid w:val="008549C9"/>
    <w:rsid w:val="0085539F"/>
    <w:rsid w:val="008568B1"/>
    <w:rsid w:val="0085760B"/>
    <w:rsid w:val="00863158"/>
    <w:rsid w:val="008643DE"/>
    <w:rsid w:val="00866180"/>
    <w:rsid w:val="008779D3"/>
    <w:rsid w:val="008829F1"/>
    <w:rsid w:val="00883EAC"/>
    <w:rsid w:val="008846C2"/>
    <w:rsid w:val="00884D5B"/>
    <w:rsid w:val="008855C8"/>
    <w:rsid w:val="00885C75"/>
    <w:rsid w:val="00886BEA"/>
    <w:rsid w:val="0088728D"/>
    <w:rsid w:val="008876F3"/>
    <w:rsid w:val="00887D13"/>
    <w:rsid w:val="008907B7"/>
    <w:rsid w:val="00895FC0"/>
    <w:rsid w:val="008A1977"/>
    <w:rsid w:val="008A26A4"/>
    <w:rsid w:val="008A27EF"/>
    <w:rsid w:val="008A3116"/>
    <w:rsid w:val="008A3456"/>
    <w:rsid w:val="008A351F"/>
    <w:rsid w:val="008A6DEA"/>
    <w:rsid w:val="008A7FCA"/>
    <w:rsid w:val="008B0C30"/>
    <w:rsid w:val="008B51CB"/>
    <w:rsid w:val="008B59C1"/>
    <w:rsid w:val="008B74AE"/>
    <w:rsid w:val="008C0952"/>
    <w:rsid w:val="008C3112"/>
    <w:rsid w:val="008C49E1"/>
    <w:rsid w:val="008C665E"/>
    <w:rsid w:val="008C78B6"/>
    <w:rsid w:val="008D01C6"/>
    <w:rsid w:val="008D04D8"/>
    <w:rsid w:val="008D055B"/>
    <w:rsid w:val="008E7887"/>
    <w:rsid w:val="008E7FA9"/>
    <w:rsid w:val="008F27D3"/>
    <w:rsid w:val="008F5834"/>
    <w:rsid w:val="00901741"/>
    <w:rsid w:val="00903AA0"/>
    <w:rsid w:val="009045BE"/>
    <w:rsid w:val="00906020"/>
    <w:rsid w:val="0090638B"/>
    <w:rsid w:val="00910C13"/>
    <w:rsid w:val="00920848"/>
    <w:rsid w:val="009218C4"/>
    <w:rsid w:val="009256EC"/>
    <w:rsid w:val="0092754E"/>
    <w:rsid w:val="00930467"/>
    <w:rsid w:val="00932981"/>
    <w:rsid w:val="00932F99"/>
    <w:rsid w:val="00934645"/>
    <w:rsid w:val="00934716"/>
    <w:rsid w:val="0093518A"/>
    <w:rsid w:val="009372EF"/>
    <w:rsid w:val="00940C19"/>
    <w:rsid w:val="00940CFF"/>
    <w:rsid w:val="0094178A"/>
    <w:rsid w:val="009419AF"/>
    <w:rsid w:val="00942857"/>
    <w:rsid w:val="009450E0"/>
    <w:rsid w:val="00945653"/>
    <w:rsid w:val="009459DA"/>
    <w:rsid w:val="009465F3"/>
    <w:rsid w:val="009469B6"/>
    <w:rsid w:val="00946D08"/>
    <w:rsid w:val="00947F9D"/>
    <w:rsid w:val="009535C1"/>
    <w:rsid w:val="00953682"/>
    <w:rsid w:val="00954250"/>
    <w:rsid w:val="00954DF7"/>
    <w:rsid w:val="00955854"/>
    <w:rsid w:val="00955D3A"/>
    <w:rsid w:val="00955D49"/>
    <w:rsid w:val="00956300"/>
    <w:rsid w:val="009566A6"/>
    <w:rsid w:val="009577D8"/>
    <w:rsid w:val="009622F0"/>
    <w:rsid w:val="00966736"/>
    <w:rsid w:val="00971720"/>
    <w:rsid w:val="009738CD"/>
    <w:rsid w:val="009749AA"/>
    <w:rsid w:val="00974C77"/>
    <w:rsid w:val="00975590"/>
    <w:rsid w:val="00975EA9"/>
    <w:rsid w:val="0098021E"/>
    <w:rsid w:val="00980ADC"/>
    <w:rsid w:val="00981881"/>
    <w:rsid w:val="00982450"/>
    <w:rsid w:val="0098279E"/>
    <w:rsid w:val="00984A66"/>
    <w:rsid w:val="00986A8B"/>
    <w:rsid w:val="00986BD9"/>
    <w:rsid w:val="009905D9"/>
    <w:rsid w:val="00994327"/>
    <w:rsid w:val="009A091A"/>
    <w:rsid w:val="009A0B88"/>
    <w:rsid w:val="009A2619"/>
    <w:rsid w:val="009A2B66"/>
    <w:rsid w:val="009A5CE8"/>
    <w:rsid w:val="009A6469"/>
    <w:rsid w:val="009A78B2"/>
    <w:rsid w:val="009B3507"/>
    <w:rsid w:val="009B3A6C"/>
    <w:rsid w:val="009B44A9"/>
    <w:rsid w:val="009B48A5"/>
    <w:rsid w:val="009B568F"/>
    <w:rsid w:val="009B5DF3"/>
    <w:rsid w:val="009C4563"/>
    <w:rsid w:val="009D0A2F"/>
    <w:rsid w:val="009D1A9F"/>
    <w:rsid w:val="009D441F"/>
    <w:rsid w:val="009D73F1"/>
    <w:rsid w:val="009E22DE"/>
    <w:rsid w:val="009E4022"/>
    <w:rsid w:val="009E6538"/>
    <w:rsid w:val="009F290B"/>
    <w:rsid w:val="009F3589"/>
    <w:rsid w:val="009F3F3F"/>
    <w:rsid w:val="009F42A6"/>
    <w:rsid w:val="009F4BD6"/>
    <w:rsid w:val="00A0059B"/>
    <w:rsid w:val="00A00CE8"/>
    <w:rsid w:val="00A02FE8"/>
    <w:rsid w:val="00A0381A"/>
    <w:rsid w:val="00A03C99"/>
    <w:rsid w:val="00A05379"/>
    <w:rsid w:val="00A06521"/>
    <w:rsid w:val="00A07625"/>
    <w:rsid w:val="00A1179C"/>
    <w:rsid w:val="00A11A83"/>
    <w:rsid w:val="00A11F45"/>
    <w:rsid w:val="00A12CC0"/>
    <w:rsid w:val="00A145B5"/>
    <w:rsid w:val="00A1466D"/>
    <w:rsid w:val="00A1562C"/>
    <w:rsid w:val="00A15E97"/>
    <w:rsid w:val="00A1674A"/>
    <w:rsid w:val="00A17E56"/>
    <w:rsid w:val="00A20636"/>
    <w:rsid w:val="00A2187A"/>
    <w:rsid w:val="00A229A4"/>
    <w:rsid w:val="00A22EBE"/>
    <w:rsid w:val="00A23C16"/>
    <w:rsid w:val="00A259E5"/>
    <w:rsid w:val="00A30B1B"/>
    <w:rsid w:val="00A32954"/>
    <w:rsid w:val="00A33CCD"/>
    <w:rsid w:val="00A427BF"/>
    <w:rsid w:val="00A51991"/>
    <w:rsid w:val="00A51E87"/>
    <w:rsid w:val="00A52FCE"/>
    <w:rsid w:val="00A53863"/>
    <w:rsid w:val="00A538D6"/>
    <w:rsid w:val="00A54373"/>
    <w:rsid w:val="00A54C69"/>
    <w:rsid w:val="00A54ED4"/>
    <w:rsid w:val="00A56129"/>
    <w:rsid w:val="00A60716"/>
    <w:rsid w:val="00A60AC0"/>
    <w:rsid w:val="00A60C41"/>
    <w:rsid w:val="00A64183"/>
    <w:rsid w:val="00A64B06"/>
    <w:rsid w:val="00A70680"/>
    <w:rsid w:val="00A735A7"/>
    <w:rsid w:val="00A742E7"/>
    <w:rsid w:val="00A75292"/>
    <w:rsid w:val="00A75C42"/>
    <w:rsid w:val="00A75CA4"/>
    <w:rsid w:val="00A77884"/>
    <w:rsid w:val="00A81EE3"/>
    <w:rsid w:val="00A82CA8"/>
    <w:rsid w:val="00A847FB"/>
    <w:rsid w:val="00A900D1"/>
    <w:rsid w:val="00A91396"/>
    <w:rsid w:val="00A91641"/>
    <w:rsid w:val="00A92007"/>
    <w:rsid w:val="00A924BA"/>
    <w:rsid w:val="00A9561E"/>
    <w:rsid w:val="00AA1531"/>
    <w:rsid w:val="00AA1D0D"/>
    <w:rsid w:val="00AA2E41"/>
    <w:rsid w:val="00AA5971"/>
    <w:rsid w:val="00AA6F6E"/>
    <w:rsid w:val="00AA798D"/>
    <w:rsid w:val="00AB104E"/>
    <w:rsid w:val="00AB1BF5"/>
    <w:rsid w:val="00AB276D"/>
    <w:rsid w:val="00AB2897"/>
    <w:rsid w:val="00AB491C"/>
    <w:rsid w:val="00AB4C10"/>
    <w:rsid w:val="00AB5F91"/>
    <w:rsid w:val="00AB6F9E"/>
    <w:rsid w:val="00AC3E09"/>
    <w:rsid w:val="00AC7CF7"/>
    <w:rsid w:val="00AD0ECF"/>
    <w:rsid w:val="00AD31D9"/>
    <w:rsid w:val="00AD3A13"/>
    <w:rsid w:val="00AD3D4B"/>
    <w:rsid w:val="00AD40DC"/>
    <w:rsid w:val="00AD5D12"/>
    <w:rsid w:val="00AD6BF9"/>
    <w:rsid w:val="00AD7D2C"/>
    <w:rsid w:val="00AD7ECA"/>
    <w:rsid w:val="00AE08EF"/>
    <w:rsid w:val="00AE0B9A"/>
    <w:rsid w:val="00AE11FC"/>
    <w:rsid w:val="00AE493F"/>
    <w:rsid w:val="00AE5A1F"/>
    <w:rsid w:val="00AE5CFD"/>
    <w:rsid w:val="00AE648E"/>
    <w:rsid w:val="00AF00EF"/>
    <w:rsid w:val="00AF346C"/>
    <w:rsid w:val="00AF383C"/>
    <w:rsid w:val="00AF4089"/>
    <w:rsid w:val="00AF63D0"/>
    <w:rsid w:val="00AF7879"/>
    <w:rsid w:val="00B01690"/>
    <w:rsid w:val="00B051D8"/>
    <w:rsid w:val="00B0643C"/>
    <w:rsid w:val="00B130F6"/>
    <w:rsid w:val="00B15981"/>
    <w:rsid w:val="00B175F9"/>
    <w:rsid w:val="00B17870"/>
    <w:rsid w:val="00B22231"/>
    <w:rsid w:val="00B228C6"/>
    <w:rsid w:val="00B23658"/>
    <w:rsid w:val="00B23F59"/>
    <w:rsid w:val="00B24193"/>
    <w:rsid w:val="00B244D9"/>
    <w:rsid w:val="00B3007C"/>
    <w:rsid w:val="00B31B4B"/>
    <w:rsid w:val="00B3230D"/>
    <w:rsid w:val="00B34797"/>
    <w:rsid w:val="00B40F74"/>
    <w:rsid w:val="00B45D36"/>
    <w:rsid w:val="00B46464"/>
    <w:rsid w:val="00B501EF"/>
    <w:rsid w:val="00B536AD"/>
    <w:rsid w:val="00B54D6B"/>
    <w:rsid w:val="00B56A54"/>
    <w:rsid w:val="00B56E2F"/>
    <w:rsid w:val="00B577B7"/>
    <w:rsid w:val="00B579DD"/>
    <w:rsid w:val="00B60BFC"/>
    <w:rsid w:val="00B63C0C"/>
    <w:rsid w:val="00B65001"/>
    <w:rsid w:val="00B6566D"/>
    <w:rsid w:val="00B7073E"/>
    <w:rsid w:val="00B718D0"/>
    <w:rsid w:val="00B738A9"/>
    <w:rsid w:val="00B74226"/>
    <w:rsid w:val="00B75F32"/>
    <w:rsid w:val="00B763D3"/>
    <w:rsid w:val="00B77661"/>
    <w:rsid w:val="00B80536"/>
    <w:rsid w:val="00B806B5"/>
    <w:rsid w:val="00B82669"/>
    <w:rsid w:val="00B84B9E"/>
    <w:rsid w:val="00B85355"/>
    <w:rsid w:val="00B8545A"/>
    <w:rsid w:val="00B867B1"/>
    <w:rsid w:val="00B87AE4"/>
    <w:rsid w:val="00B93A32"/>
    <w:rsid w:val="00B93A5C"/>
    <w:rsid w:val="00B968BA"/>
    <w:rsid w:val="00B96900"/>
    <w:rsid w:val="00B97095"/>
    <w:rsid w:val="00B971BE"/>
    <w:rsid w:val="00BA03FE"/>
    <w:rsid w:val="00BA4905"/>
    <w:rsid w:val="00BA4F64"/>
    <w:rsid w:val="00BA50D2"/>
    <w:rsid w:val="00BB1CE4"/>
    <w:rsid w:val="00BB3307"/>
    <w:rsid w:val="00BB3498"/>
    <w:rsid w:val="00BB39A0"/>
    <w:rsid w:val="00BB45A1"/>
    <w:rsid w:val="00BB5ACB"/>
    <w:rsid w:val="00BC0628"/>
    <w:rsid w:val="00BC146C"/>
    <w:rsid w:val="00BC1771"/>
    <w:rsid w:val="00BC488E"/>
    <w:rsid w:val="00BC6AA2"/>
    <w:rsid w:val="00BC7219"/>
    <w:rsid w:val="00BC744E"/>
    <w:rsid w:val="00BD27FD"/>
    <w:rsid w:val="00BD5E0E"/>
    <w:rsid w:val="00BD62B6"/>
    <w:rsid w:val="00BD7E68"/>
    <w:rsid w:val="00BE05BC"/>
    <w:rsid w:val="00BE09E0"/>
    <w:rsid w:val="00BE3254"/>
    <w:rsid w:val="00BE4016"/>
    <w:rsid w:val="00BE550A"/>
    <w:rsid w:val="00BE64FC"/>
    <w:rsid w:val="00BE789B"/>
    <w:rsid w:val="00BF03A2"/>
    <w:rsid w:val="00BF1AD1"/>
    <w:rsid w:val="00BF241B"/>
    <w:rsid w:val="00BF2F96"/>
    <w:rsid w:val="00BF3A9E"/>
    <w:rsid w:val="00BF3C3A"/>
    <w:rsid w:val="00BF4A4F"/>
    <w:rsid w:val="00BF5D15"/>
    <w:rsid w:val="00BF708F"/>
    <w:rsid w:val="00C005D2"/>
    <w:rsid w:val="00C02C3D"/>
    <w:rsid w:val="00C05E6C"/>
    <w:rsid w:val="00C15938"/>
    <w:rsid w:val="00C165C8"/>
    <w:rsid w:val="00C169FB"/>
    <w:rsid w:val="00C2011F"/>
    <w:rsid w:val="00C2050E"/>
    <w:rsid w:val="00C22320"/>
    <w:rsid w:val="00C2285F"/>
    <w:rsid w:val="00C2303A"/>
    <w:rsid w:val="00C24A32"/>
    <w:rsid w:val="00C24D4C"/>
    <w:rsid w:val="00C26BF2"/>
    <w:rsid w:val="00C319A0"/>
    <w:rsid w:val="00C33625"/>
    <w:rsid w:val="00C33C23"/>
    <w:rsid w:val="00C35AC0"/>
    <w:rsid w:val="00C37D64"/>
    <w:rsid w:val="00C37FE2"/>
    <w:rsid w:val="00C41F70"/>
    <w:rsid w:val="00C42CC0"/>
    <w:rsid w:val="00C441E6"/>
    <w:rsid w:val="00C44F48"/>
    <w:rsid w:val="00C45304"/>
    <w:rsid w:val="00C50500"/>
    <w:rsid w:val="00C56903"/>
    <w:rsid w:val="00C6222F"/>
    <w:rsid w:val="00C651E4"/>
    <w:rsid w:val="00C65239"/>
    <w:rsid w:val="00C65B11"/>
    <w:rsid w:val="00C66B3C"/>
    <w:rsid w:val="00C66DD8"/>
    <w:rsid w:val="00C70F68"/>
    <w:rsid w:val="00C71F64"/>
    <w:rsid w:val="00C722F0"/>
    <w:rsid w:val="00C736D5"/>
    <w:rsid w:val="00C858FC"/>
    <w:rsid w:val="00C93676"/>
    <w:rsid w:val="00C94CFC"/>
    <w:rsid w:val="00C95801"/>
    <w:rsid w:val="00C967AA"/>
    <w:rsid w:val="00CA130F"/>
    <w:rsid w:val="00CA134D"/>
    <w:rsid w:val="00CA1FB5"/>
    <w:rsid w:val="00CA4F32"/>
    <w:rsid w:val="00CA6117"/>
    <w:rsid w:val="00CA76B9"/>
    <w:rsid w:val="00CB2E79"/>
    <w:rsid w:val="00CB390E"/>
    <w:rsid w:val="00CB53BD"/>
    <w:rsid w:val="00CC1FA8"/>
    <w:rsid w:val="00CC292C"/>
    <w:rsid w:val="00CC2DD5"/>
    <w:rsid w:val="00CC4C1D"/>
    <w:rsid w:val="00CC5888"/>
    <w:rsid w:val="00CC6217"/>
    <w:rsid w:val="00CC6A9C"/>
    <w:rsid w:val="00CC7DB4"/>
    <w:rsid w:val="00CD2CA2"/>
    <w:rsid w:val="00CD32CB"/>
    <w:rsid w:val="00CD3BCA"/>
    <w:rsid w:val="00CD5985"/>
    <w:rsid w:val="00CD5FCE"/>
    <w:rsid w:val="00CD77E7"/>
    <w:rsid w:val="00CE05B2"/>
    <w:rsid w:val="00CE0DA1"/>
    <w:rsid w:val="00CE7265"/>
    <w:rsid w:val="00CE7405"/>
    <w:rsid w:val="00CF474C"/>
    <w:rsid w:val="00CF60FD"/>
    <w:rsid w:val="00CF686C"/>
    <w:rsid w:val="00D048C2"/>
    <w:rsid w:val="00D0605B"/>
    <w:rsid w:val="00D074DE"/>
    <w:rsid w:val="00D10F4E"/>
    <w:rsid w:val="00D11591"/>
    <w:rsid w:val="00D21EEB"/>
    <w:rsid w:val="00D25EAB"/>
    <w:rsid w:val="00D31AC1"/>
    <w:rsid w:val="00D321E2"/>
    <w:rsid w:val="00D33780"/>
    <w:rsid w:val="00D34908"/>
    <w:rsid w:val="00D35499"/>
    <w:rsid w:val="00D41F6A"/>
    <w:rsid w:val="00D42D4B"/>
    <w:rsid w:val="00D44F34"/>
    <w:rsid w:val="00D45E7C"/>
    <w:rsid w:val="00D46E71"/>
    <w:rsid w:val="00D478DB"/>
    <w:rsid w:val="00D50441"/>
    <w:rsid w:val="00D513EF"/>
    <w:rsid w:val="00D53BCE"/>
    <w:rsid w:val="00D5479D"/>
    <w:rsid w:val="00D57225"/>
    <w:rsid w:val="00D62B99"/>
    <w:rsid w:val="00D62C1E"/>
    <w:rsid w:val="00D65CC3"/>
    <w:rsid w:val="00D65D53"/>
    <w:rsid w:val="00D712F9"/>
    <w:rsid w:val="00D72DEB"/>
    <w:rsid w:val="00D72F01"/>
    <w:rsid w:val="00D73E94"/>
    <w:rsid w:val="00D744DF"/>
    <w:rsid w:val="00D7682A"/>
    <w:rsid w:val="00D83AA1"/>
    <w:rsid w:val="00D843E4"/>
    <w:rsid w:val="00D84F4C"/>
    <w:rsid w:val="00D9557A"/>
    <w:rsid w:val="00D9684B"/>
    <w:rsid w:val="00DA1EFD"/>
    <w:rsid w:val="00DA2B44"/>
    <w:rsid w:val="00DA5A11"/>
    <w:rsid w:val="00DA61CF"/>
    <w:rsid w:val="00DA6FBF"/>
    <w:rsid w:val="00DB0024"/>
    <w:rsid w:val="00DB5757"/>
    <w:rsid w:val="00DC00D0"/>
    <w:rsid w:val="00DC30D4"/>
    <w:rsid w:val="00DC61BA"/>
    <w:rsid w:val="00DC62B9"/>
    <w:rsid w:val="00DC639E"/>
    <w:rsid w:val="00DD154F"/>
    <w:rsid w:val="00DD5DDE"/>
    <w:rsid w:val="00DD611A"/>
    <w:rsid w:val="00DE2401"/>
    <w:rsid w:val="00DE5BEF"/>
    <w:rsid w:val="00DE6651"/>
    <w:rsid w:val="00DE716B"/>
    <w:rsid w:val="00DF2AA9"/>
    <w:rsid w:val="00DF336E"/>
    <w:rsid w:val="00DF4000"/>
    <w:rsid w:val="00DF6F5C"/>
    <w:rsid w:val="00DF773D"/>
    <w:rsid w:val="00E00FD0"/>
    <w:rsid w:val="00E03248"/>
    <w:rsid w:val="00E05500"/>
    <w:rsid w:val="00E1056F"/>
    <w:rsid w:val="00E108EE"/>
    <w:rsid w:val="00E12823"/>
    <w:rsid w:val="00E157D0"/>
    <w:rsid w:val="00E164B2"/>
    <w:rsid w:val="00E16522"/>
    <w:rsid w:val="00E21072"/>
    <w:rsid w:val="00E218F1"/>
    <w:rsid w:val="00E219B1"/>
    <w:rsid w:val="00E225E6"/>
    <w:rsid w:val="00E23293"/>
    <w:rsid w:val="00E23F5B"/>
    <w:rsid w:val="00E246E2"/>
    <w:rsid w:val="00E273BD"/>
    <w:rsid w:val="00E275CE"/>
    <w:rsid w:val="00E356AF"/>
    <w:rsid w:val="00E35B12"/>
    <w:rsid w:val="00E40246"/>
    <w:rsid w:val="00E41176"/>
    <w:rsid w:val="00E415A3"/>
    <w:rsid w:val="00E41637"/>
    <w:rsid w:val="00E47BC6"/>
    <w:rsid w:val="00E567C4"/>
    <w:rsid w:val="00E56DC8"/>
    <w:rsid w:val="00E574A0"/>
    <w:rsid w:val="00E720AD"/>
    <w:rsid w:val="00E72295"/>
    <w:rsid w:val="00E72C22"/>
    <w:rsid w:val="00E761EA"/>
    <w:rsid w:val="00E8164D"/>
    <w:rsid w:val="00E82DA7"/>
    <w:rsid w:val="00E83F30"/>
    <w:rsid w:val="00E843C8"/>
    <w:rsid w:val="00E8498D"/>
    <w:rsid w:val="00E8566E"/>
    <w:rsid w:val="00E86DF3"/>
    <w:rsid w:val="00E9346D"/>
    <w:rsid w:val="00E96F89"/>
    <w:rsid w:val="00EA0FFB"/>
    <w:rsid w:val="00EA16D9"/>
    <w:rsid w:val="00EA21BE"/>
    <w:rsid w:val="00EA3266"/>
    <w:rsid w:val="00EA4FFB"/>
    <w:rsid w:val="00EA542A"/>
    <w:rsid w:val="00EA550D"/>
    <w:rsid w:val="00EA6F84"/>
    <w:rsid w:val="00EA74D1"/>
    <w:rsid w:val="00EA768F"/>
    <w:rsid w:val="00EB0832"/>
    <w:rsid w:val="00EB322A"/>
    <w:rsid w:val="00EB3774"/>
    <w:rsid w:val="00EB4711"/>
    <w:rsid w:val="00EB7309"/>
    <w:rsid w:val="00EC0DFB"/>
    <w:rsid w:val="00EC1D83"/>
    <w:rsid w:val="00EC25C4"/>
    <w:rsid w:val="00EC3200"/>
    <w:rsid w:val="00EC3EC4"/>
    <w:rsid w:val="00EC4628"/>
    <w:rsid w:val="00EC4C4A"/>
    <w:rsid w:val="00EC6055"/>
    <w:rsid w:val="00EC6F47"/>
    <w:rsid w:val="00EC7E32"/>
    <w:rsid w:val="00ED105B"/>
    <w:rsid w:val="00ED25A0"/>
    <w:rsid w:val="00ED2A0D"/>
    <w:rsid w:val="00ED4FE4"/>
    <w:rsid w:val="00ED53DE"/>
    <w:rsid w:val="00ED5AB9"/>
    <w:rsid w:val="00ED65BC"/>
    <w:rsid w:val="00ED67A6"/>
    <w:rsid w:val="00ED752B"/>
    <w:rsid w:val="00ED76EE"/>
    <w:rsid w:val="00EE2CB3"/>
    <w:rsid w:val="00EE2E24"/>
    <w:rsid w:val="00EE4296"/>
    <w:rsid w:val="00EE4EEA"/>
    <w:rsid w:val="00EE56F5"/>
    <w:rsid w:val="00EF14ED"/>
    <w:rsid w:val="00EF33E4"/>
    <w:rsid w:val="00EF439C"/>
    <w:rsid w:val="00EF582D"/>
    <w:rsid w:val="00EF6AEA"/>
    <w:rsid w:val="00EF7A0B"/>
    <w:rsid w:val="00F004AD"/>
    <w:rsid w:val="00F02075"/>
    <w:rsid w:val="00F037AD"/>
    <w:rsid w:val="00F0455A"/>
    <w:rsid w:val="00F04759"/>
    <w:rsid w:val="00F104DC"/>
    <w:rsid w:val="00F11668"/>
    <w:rsid w:val="00F118A0"/>
    <w:rsid w:val="00F11CDF"/>
    <w:rsid w:val="00F122C1"/>
    <w:rsid w:val="00F17BE6"/>
    <w:rsid w:val="00F20318"/>
    <w:rsid w:val="00F21C61"/>
    <w:rsid w:val="00F22749"/>
    <w:rsid w:val="00F229F0"/>
    <w:rsid w:val="00F30FBA"/>
    <w:rsid w:val="00F328D9"/>
    <w:rsid w:val="00F32AF7"/>
    <w:rsid w:val="00F33E34"/>
    <w:rsid w:val="00F3538E"/>
    <w:rsid w:val="00F354EE"/>
    <w:rsid w:val="00F427D0"/>
    <w:rsid w:val="00F42BEA"/>
    <w:rsid w:val="00F43DAA"/>
    <w:rsid w:val="00F45F43"/>
    <w:rsid w:val="00F463C1"/>
    <w:rsid w:val="00F47C66"/>
    <w:rsid w:val="00F5046B"/>
    <w:rsid w:val="00F521E2"/>
    <w:rsid w:val="00F539C5"/>
    <w:rsid w:val="00F560F8"/>
    <w:rsid w:val="00F561A8"/>
    <w:rsid w:val="00F56D9F"/>
    <w:rsid w:val="00F57093"/>
    <w:rsid w:val="00F609EF"/>
    <w:rsid w:val="00F60DB0"/>
    <w:rsid w:val="00F63FC1"/>
    <w:rsid w:val="00F65B7C"/>
    <w:rsid w:val="00F67D2A"/>
    <w:rsid w:val="00F7047E"/>
    <w:rsid w:val="00F70A1C"/>
    <w:rsid w:val="00F73570"/>
    <w:rsid w:val="00F738AE"/>
    <w:rsid w:val="00F73F07"/>
    <w:rsid w:val="00F7660E"/>
    <w:rsid w:val="00F76C7B"/>
    <w:rsid w:val="00F8054B"/>
    <w:rsid w:val="00F80B7B"/>
    <w:rsid w:val="00F8235E"/>
    <w:rsid w:val="00F83DA5"/>
    <w:rsid w:val="00F840C2"/>
    <w:rsid w:val="00F85508"/>
    <w:rsid w:val="00F86493"/>
    <w:rsid w:val="00F8685D"/>
    <w:rsid w:val="00F91C72"/>
    <w:rsid w:val="00F91D32"/>
    <w:rsid w:val="00F9343A"/>
    <w:rsid w:val="00F951EF"/>
    <w:rsid w:val="00F95BD4"/>
    <w:rsid w:val="00FA089B"/>
    <w:rsid w:val="00FA1C46"/>
    <w:rsid w:val="00FA2016"/>
    <w:rsid w:val="00FA2ACD"/>
    <w:rsid w:val="00FA2F8F"/>
    <w:rsid w:val="00FA43EF"/>
    <w:rsid w:val="00FA69BF"/>
    <w:rsid w:val="00FA75DF"/>
    <w:rsid w:val="00FB0504"/>
    <w:rsid w:val="00FB166C"/>
    <w:rsid w:val="00FB429A"/>
    <w:rsid w:val="00FB5550"/>
    <w:rsid w:val="00FC185C"/>
    <w:rsid w:val="00FC24B7"/>
    <w:rsid w:val="00FC26D9"/>
    <w:rsid w:val="00FC3C48"/>
    <w:rsid w:val="00FC3D01"/>
    <w:rsid w:val="00FC3EDB"/>
    <w:rsid w:val="00FC560F"/>
    <w:rsid w:val="00FC761D"/>
    <w:rsid w:val="00FD2AF6"/>
    <w:rsid w:val="00FD4773"/>
    <w:rsid w:val="00FD55FD"/>
    <w:rsid w:val="00FD771F"/>
    <w:rsid w:val="00FE0129"/>
    <w:rsid w:val="00FE01AA"/>
    <w:rsid w:val="00FE3166"/>
    <w:rsid w:val="00FE349D"/>
    <w:rsid w:val="00FE4014"/>
    <w:rsid w:val="00FE5D48"/>
    <w:rsid w:val="00FE730E"/>
    <w:rsid w:val="00FE7D8A"/>
    <w:rsid w:val="00FF278A"/>
    <w:rsid w:val="00FF34F1"/>
    <w:rsid w:val="00FF4428"/>
    <w:rsid w:val="00FF4584"/>
    <w:rsid w:val="00FF464C"/>
    <w:rsid w:val="00FF5985"/>
    <w:rsid w:val="00FF5A8E"/>
  </w:rsids>
  <m:mathPr>
    <m:mathFont m:val="Cambria Math"/>
    <m:brkBin m:val="before"/>
    <m:brkBinSub m:val="--"/>
    <m:smallFrac m:val="off"/>
    <m:dispDef m:val="of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uiPriority="99" w:qFormat="1"/>
    <w:lsdException w:name="List Number" w:uiPriority="99" w:qFormat="1"/>
    <w:lsdException w:name="List Bullet 2" w:uiPriority="99"/>
    <w:lsdException w:name="List Bullet 3" w:uiPriority="99"/>
    <w:lsdException w:name="List Bullet 4" w:uiPriority="99"/>
    <w:lsdException w:name="List Bullet 5" w:uiPriority="99"/>
    <w:lsdException w:name="List Number 2" w:semiHidden="0" w:uiPriority="99" w:unhideWhenUsed="0"/>
    <w:lsdException w:name="List Number 3" w:uiPriority="99"/>
    <w:lsdException w:name="List Number 4" w:uiPriority="99"/>
    <w:lsdException w:name="List Number 5" w:semiHidden="0" w:uiPriority="99" w:unhideWhenUsed="0"/>
    <w:lsdException w:name="Title" w:semiHidden="0" w:uiPriority="1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iPriority="61"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1A1EA4"/>
    <w:pPr>
      <w:spacing w:after="120" w:line="260" w:lineRule="atLeast"/>
    </w:pPr>
    <w:rPr>
      <w:rFonts w:ascii="Arial" w:hAnsi="Arial"/>
      <w:lang w:eastAsia="en-US"/>
    </w:rPr>
  </w:style>
  <w:style w:type="paragraph" w:styleId="Heading1">
    <w:name w:val="heading 1"/>
    <w:next w:val="BodyText"/>
    <w:link w:val="Heading1Char"/>
    <w:qFormat/>
    <w:rsid w:val="009B5DF3"/>
    <w:pPr>
      <w:keepNext/>
      <w:keepLines/>
      <w:pageBreakBefore/>
      <w:spacing w:before="480" w:after="480"/>
      <w:outlineLvl w:val="0"/>
    </w:pPr>
    <w:rPr>
      <w:rFonts w:ascii="Arial" w:eastAsia="MS Gothic" w:hAnsi="Arial"/>
      <w:bCs/>
      <w:color w:val="0D223F"/>
      <w:sz w:val="35"/>
      <w:szCs w:val="32"/>
      <w:lang w:eastAsia="en-US"/>
    </w:rPr>
  </w:style>
  <w:style w:type="paragraph" w:styleId="Heading2">
    <w:name w:val="heading 2"/>
    <w:next w:val="BodyText"/>
    <w:link w:val="Heading2Char"/>
    <w:qFormat/>
    <w:rsid w:val="009B5DF3"/>
    <w:pPr>
      <w:keepNext/>
      <w:keepLines/>
      <w:spacing w:before="280" w:after="120"/>
      <w:outlineLvl w:val="1"/>
    </w:pPr>
    <w:rPr>
      <w:rFonts w:ascii="Arial" w:eastAsia="MS Gothic" w:hAnsi="Arial"/>
      <w:b/>
      <w:bCs/>
      <w:color w:val="3C4862"/>
      <w:sz w:val="27"/>
      <w:szCs w:val="26"/>
      <w:lang w:eastAsia="en-US"/>
    </w:rPr>
  </w:style>
  <w:style w:type="paragraph" w:styleId="Heading3">
    <w:name w:val="heading 3"/>
    <w:next w:val="BodyText"/>
    <w:link w:val="Heading3Char"/>
    <w:qFormat/>
    <w:rsid w:val="009B5DF3"/>
    <w:pPr>
      <w:keepNext/>
      <w:keepLines/>
      <w:spacing w:before="300" w:after="60"/>
      <w:outlineLvl w:val="2"/>
    </w:pPr>
    <w:rPr>
      <w:rFonts w:ascii="Arial" w:eastAsia="MS Gothic" w:hAnsi="Arial"/>
      <w:b/>
      <w:bCs/>
      <w:color w:val="0D223F"/>
      <w:sz w:val="22"/>
      <w:szCs w:val="24"/>
      <w:lang w:eastAsia="en-US"/>
    </w:rPr>
  </w:style>
  <w:style w:type="paragraph" w:styleId="Heading4">
    <w:name w:val="heading 4"/>
    <w:next w:val="BodyText"/>
    <w:link w:val="Heading4Char"/>
    <w:qFormat/>
    <w:rsid w:val="00387FB2"/>
    <w:pPr>
      <w:keepNext/>
      <w:keepLines/>
      <w:spacing w:before="240" w:after="60"/>
      <w:outlineLvl w:val="3"/>
    </w:pPr>
    <w:rPr>
      <w:rFonts w:ascii="Arial" w:eastAsia="MS Gothic" w:hAnsi="Arial"/>
      <w:b/>
      <w:bCs/>
      <w:iCs/>
      <w:color w:val="3C4862"/>
      <w:sz w:val="22"/>
      <w:szCs w:val="24"/>
      <w:lang w:eastAsia="en-US"/>
    </w:rPr>
  </w:style>
  <w:style w:type="paragraph" w:styleId="Heading5">
    <w:name w:val="heading 5"/>
    <w:next w:val="BodyText"/>
    <w:link w:val="Heading5Char"/>
    <w:qFormat/>
    <w:rsid w:val="009B5DF3"/>
    <w:pPr>
      <w:keepNext/>
      <w:keepLines/>
      <w:spacing w:before="200" w:after="40"/>
      <w:outlineLvl w:val="4"/>
    </w:pPr>
    <w:rPr>
      <w:rFonts w:ascii="Arial" w:eastAsia="MS Gothic" w:hAnsi="Arial"/>
      <w:b/>
      <w:color w:val="0D223F"/>
      <w:sz w:val="18"/>
      <w:szCs w:val="24"/>
      <w:lang w:eastAsia="en-US"/>
    </w:rPr>
  </w:style>
  <w:style w:type="paragraph" w:styleId="Heading6">
    <w:name w:val="heading 6"/>
    <w:basedOn w:val="Normal"/>
    <w:next w:val="BodyText"/>
    <w:link w:val="Heading6Char"/>
    <w:qFormat/>
    <w:rsid w:val="009B5DF3"/>
    <w:pPr>
      <w:keepNext/>
      <w:keepLines/>
      <w:spacing w:before="200"/>
      <w:outlineLvl w:val="5"/>
    </w:pPr>
    <w:rPr>
      <w:rFonts w:ascii="Calibri" w:eastAsia="MS Gothic" w:hAnsi="Calibri"/>
      <w:i/>
      <w:iCs/>
      <w:color w:val="243F60"/>
    </w:rPr>
  </w:style>
  <w:style w:type="paragraph" w:styleId="Heading7">
    <w:name w:val="heading 7"/>
    <w:basedOn w:val="Normal"/>
    <w:next w:val="BodyText"/>
    <w:link w:val="Heading7Char"/>
    <w:qFormat/>
    <w:rsid w:val="009B5DF3"/>
    <w:pPr>
      <w:keepNext/>
      <w:keepLines/>
      <w:spacing w:before="200"/>
      <w:outlineLvl w:val="6"/>
    </w:pPr>
    <w:rPr>
      <w:rFonts w:ascii="Calibri" w:eastAsia="MS Gothic" w:hAnsi="Calibri"/>
      <w:i/>
      <w:iCs/>
      <w:color w:val="404040"/>
    </w:rPr>
  </w:style>
  <w:style w:type="paragraph" w:styleId="Heading8">
    <w:name w:val="heading 8"/>
    <w:basedOn w:val="Normal"/>
    <w:next w:val="BodyText"/>
    <w:link w:val="Heading8Char"/>
    <w:qFormat/>
    <w:rsid w:val="009B5DF3"/>
    <w:pPr>
      <w:keepNext/>
      <w:keepLines/>
      <w:spacing w:before="200"/>
      <w:outlineLvl w:val="7"/>
    </w:pPr>
    <w:rPr>
      <w:rFonts w:ascii="Calibri" w:eastAsia="MS Gothic" w:hAnsi="Calibri"/>
      <w:color w:val="404040"/>
    </w:rPr>
  </w:style>
  <w:style w:type="paragraph" w:styleId="Heading9">
    <w:name w:val="heading 9"/>
    <w:basedOn w:val="Normal"/>
    <w:next w:val="BodyText"/>
    <w:link w:val="Heading9Char"/>
    <w:qFormat/>
    <w:rsid w:val="009B5DF3"/>
    <w:pPr>
      <w:keepNext/>
      <w:keepLines/>
      <w:spacing w:before="200"/>
      <w:outlineLvl w:val="8"/>
    </w:pPr>
    <w:rPr>
      <w:rFonts w:ascii="Calibri" w:eastAsia="MS Gothic" w:hAnsi="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5DF3"/>
    <w:rPr>
      <w:rFonts w:ascii="Arial" w:eastAsia="MS Gothic" w:hAnsi="Arial"/>
      <w:bCs/>
      <w:color w:val="0D223F"/>
      <w:sz w:val="35"/>
      <w:szCs w:val="32"/>
      <w:lang w:eastAsia="en-US"/>
    </w:rPr>
  </w:style>
  <w:style w:type="character" w:customStyle="1" w:styleId="Heading2Char">
    <w:name w:val="Heading 2 Char"/>
    <w:link w:val="Heading2"/>
    <w:rsid w:val="009B5DF3"/>
    <w:rPr>
      <w:rFonts w:ascii="Arial" w:eastAsia="MS Gothic" w:hAnsi="Arial"/>
      <w:b/>
      <w:bCs/>
      <w:color w:val="3C4862"/>
      <w:sz w:val="27"/>
      <w:szCs w:val="26"/>
      <w:lang w:eastAsia="en-US"/>
    </w:rPr>
  </w:style>
  <w:style w:type="character" w:customStyle="1" w:styleId="Heading3Char">
    <w:name w:val="Heading 3 Char"/>
    <w:link w:val="Heading3"/>
    <w:rsid w:val="009B5DF3"/>
    <w:rPr>
      <w:rFonts w:ascii="Arial" w:eastAsia="MS Gothic" w:hAnsi="Arial"/>
      <w:b/>
      <w:bCs/>
      <w:color w:val="0D223F"/>
      <w:sz w:val="22"/>
      <w:szCs w:val="24"/>
      <w:lang w:eastAsia="en-US"/>
    </w:rPr>
  </w:style>
  <w:style w:type="character" w:customStyle="1" w:styleId="Heading4Char">
    <w:name w:val="Heading 4 Char"/>
    <w:link w:val="Heading4"/>
    <w:rsid w:val="00387FB2"/>
    <w:rPr>
      <w:rFonts w:ascii="Arial" w:eastAsia="MS Gothic" w:hAnsi="Arial"/>
      <w:b/>
      <w:bCs/>
      <w:iCs/>
      <w:color w:val="3C4862"/>
      <w:sz w:val="22"/>
      <w:szCs w:val="24"/>
      <w:lang w:eastAsia="en-US"/>
    </w:rPr>
  </w:style>
  <w:style w:type="character" w:customStyle="1" w:styleId="Heading5Char">
    <w:name w:val="Heading 5 Char"/>
    <w:link w:val="Heading5"/>
    <w:rsid w:val="009B5DF3"/>
    <w:rPr>
      <w:rFonts w:ascii="Arial" w:eastAsia="MS Gothic" w:hAnsi="Arial"/>
      <w:b/>
      <w:color w:val="0D223F"/>
      <w:sz w:val="18"/>
      <w:szCs w:val="24"/>
      <w:lang w:eastAsia="en-US"/>
    </w:rPr>
  </w:style>
  <w:style w:type="paragraph" w:styleId="Header">
    <w:name w:val="header"/>
    <w:basedOn w:val="Normal"/>
    <w:link w:val="HeaderChar"/>
    <w:uiPriority w:val="99"/>
    <w:unhideWhenUsed/>
    <w:rsid w:val="009B5DF3"/>
    <w:pPr>
      <w:tabs>
        <w:tab w:val="center" w:pos="4320"/>
        <w:tab w:val="right" w:pos="8640"/>
      </w:tabs>
    </w:pPr>
  </w:style>
  <w:style w:type="character" w:customStyle="1" w:styleId="HeaderChar">
    <w:name w:val="Header Char"/>
    <w:link w:val="Header"/>
    <w:uiPriority w:val="99"/>
    <w:rsid w:val="009B5DF3"/>
    <w:rPr>
      <w:rFonts w:ascii="Arial" w:hAnsi="Arial"/>
      <w:sz w:val="18"/>
      <w:szCs w:val="24"/>
      <w:lang w:eastAsia="en-US"/>
    </w:rPr>
  </w:style>
  <w:style w:type="paragraph" w:styleId="Footer">
    <w:name w:val="footer"/>
    <w:link w:val="FooterChar"/>
    <w:uiPriority w:val="99"/>
    <w:unhideWhenUsed/>
    <w:rsid w:val="009B5DF3"/>
    <w:pPr>
      <w:tabs>
        <w:tab w:val="center" w:pos="4320"/>
        <w:tab w:val="right" w:pos="8640"/>
      </w:tabs>
      <w:jc w:val="right"/>
    </w:pPr>
    <w:rPr>
      <w:rFonts w:ascii="Arial" w:hAnsi="Arial"/>
      <w:color w:val="3C4862"/>
      <w:sz w:val="18"/>
      <w:szCs w:val="24"/>
      <w:lang w:eastAsia="en-US"/>
    </w:rPr>
  </w:style>
  <w:style w:type="character" w:customStyle="1" w:styleId="FooterChar">
    <w:name w:val="Footer Char"/>
    <w:link w:val="Footer"/>
    <w:uiPriority w:val="99"/>
    <w:rsid w:val="009B5DF3"/>
    <w:rPr>
      <w:rFonts w:ascii="Arial" w:hAnsi="Arial"/>
      <w:color w:val="3C4862"/>
      <w:sz w:val="18"/>
      <w:szCs w:val="24"/>
      <w:lang w:eastAsia="en-US"/>
    </w:rPr>
  </w:style>
  <w:style w:type="paragraph" w:styleId="Title">
    <w:name w:val="Title"/>
    <w:next w:val="Subtitle"/>
    <w:link w:val="TitleChar"/>
    <w:uiPriority w:val="10"/>
    <w:qFormat/>
    <w:rsid w:val="009B5DF3"/>
    <w:pPr>
      <w:spacing w:after="160"/>
      <w:contextualSpacing/>
    </w:pPr>
    <w:rPr>
      <w:rFonts w:ascii="Arial" w:eastAsia="MS Gothic" w:hAnsi="Arial"/>
      <w:color w:val="FFFFFF"/>
      <w:spacing w:val="5"/>
      <w:kern w:val="28"/>
      <w:sz w:val="52"/>
      <w:szCs w:val="52"/>
      <w:lang w:eastAsia="en-US"/>
    </w:rPr>
  </w:style>
  <w:style w:type="character" w:customStyle="1" w:styleId="TitleChar">
    <w:name w:val="Title Char"/>
    <w:link w:val="Title"/>
    <w:uiPriority w:val="10"/>
    <w:rsid w:val="009B5DF3"/>
    <w:rPr>
      <w:rFonts w:ascii="Arial" w:eastAsia="MS Gothic" w:hAnsi="Arial"/>
      <w:color w:val="FFFFFF"/>
      <w:spacing w:val="5"/>
      <w:kern w:val="28"/>
      <w:sz w:val="52"/>
      <w:szCs w:val="52"/>
      <w:lang w:eastAsia="en-US"/>
    </w:rPr>
  </w:style>
  <w:style w:type="paragraph" w:styleId="Subtitle">
    <w:name w:val="Subtitle"/>
    <w:next w:val="BodyText"/>
    <w:link w:val="SubtitleChar"/>
    <w:qFormat/>
    <w:rsid w:val="009B5DF3"/>
    <w:pPr>
      <w:numPr>
        <w:ilvl w:val="1"/>
      </w:numPr>
    </w:pPr>
    <w:rPr>
      <w:rFonts w:ascii="Arial" w:eastAsia="MS Gothic" w:hAnsi="Arial"/>
      <w:iCs/>
      <w:color w:val="FFFFFF"/>
      <w:spacing w:val="15"/>
      <w:sz w:val="32"/>
      <w:szCs w:val="24"/>
      <w:lang w:eastAsia="en-US"/>
    </w:rPr>
  </w:style>
  <w:style w:type="character" w:customStyle="1" w:styleId="SubtitleChar">
    <w:name w:val="Subtitle Char"/>
    <w:link w:val="Subtitle"/>
    <w:rsid w:val="009B5DF3"/>
    <w:rPr>
      <w:rFonts w:ascii="Arial" w:eastAsia="MS Gothic" w:hAnsi="Arial"/>
      <w:iCs/>
      <w:color w:val="FFFFFF"/>
      <w:spacing w:val="15"/>
      <w:sz w:val="32"/>
      <w:szCs w:val="24"/>
      <w:lang w:eastAsia="en-US"/>
    </w:rPr>
  </w:style>
  <w:style w:type="paragraph" w:styleId="TOC1">
    <w:name w:val="toc 1"/>
    <w:next w:val="TOC2"/>
    <w:autoRedefine/>
    <w:uiPriority w:val="39"/>
    <w:rsid w:val="00EA542A"/>
    <w:pPr>
      <w:pBdr>
        <w:bottom w:val="single" w:sz="8" w:space="1" w:color="3C4862"/>
      </w:pBdr>
      <w:tabs>
        <w:tab w:val="left" w:pos="567"/>
        <w:tab w:val="right" w:pos="8222"/>
      </w:tabs>
      <w:spacing w:before="360" w:after="100"/>
    </w:pPr>
    <w:rPr>
      <w:rFonts w:ascii="Arial" w:hAnsi="Arial"/>
      <w:b/>
      <w:color w:val="3C4862"/>
      <w:sz w:val="24"/>
      <w:szCs w:val="24"/>
      <w:lang w:eastAsia="en-US"/>
    </w:rPr>
  </w:style>
  <w:style w:type="paragraph" w:styleId="TOC2">
    <w:name w:val="toc 2"/>
    <w:autoRedefine/>
    <w:uiPriority w:val="39"/>
    <w:rsid w:val="009B5DF3"/>
    <w:pPr>
      <w:tabs>
        <w:tab w:val="left" w:pos="567"/>
        <w:tab w:val="right" w:pos="8222"/>
      </w:tabs>
      <w:spacing w:after="100"/>
    </w:pPr>
    <w:rPr>
      <w:rFonts w:ascii="Arial" w:hAnsi="Arial"/>
      <w:color w:val="333333"/>
      <w:sz w:val="22"/>
      <w:szCs w:val="24"/>
      <w:lang w:eastAsia="en-US"/>
    </w:rPr>
  </w:style>
  <w:style w:type="character" w:styleId="PageNumber">
    <w:name w:val="page number"/>
    <w:uiPriority w:val="99"/>
    <w:semiHidden/>
    <w:unhideWhenUsed/>
    <w:rsid w:val="009B5DF3"/>
    <w:rPr>
      <w:b/>
    </w:rPr>
  </w:style>
  <w:style w:type="character" w:customStyle="1" w:styleId="EmphasisLight">
    <w:name w:val="Emphasis Light"/>
    <w:uiPriority w:val="99"/>
    <w:rsid w:val="009B5DF3"/>
    <w:rPr>
      <w:rFonts w:ascii="Arial" w:hAnsi="Arial" w:cs="TradeGothicLTStd-LightObl"/>
      <w:i/>
      <w:iCs/>
      <w:w w:val="100"/>
    </w:rPr>
  </w:style>
  <w:style w:type="character" w:customStyle="1" w:styleId="HyperlinkLight">
    <w:name w:val="Hyperlink Light"/>
    <w:uiPriority w:val="99"/>
    <w:rsid w:val="009B5DF3"/>
    <w:rPr>
      <w:rFonts w:ascii="Arial" w:hAnsi="Arial" w:cs="TradeGothicLTStd-LightObl"/>
      <w:i/>
      <w:iCs/>
      <w:w w:val="100"/>
    </w:rPr>
  </w:style>
  <w:style w:type="paragraph" w:styleId="BodyText">
    <w:name w:val="Body Text"/>
    <w:link w:val="BodyTextChar"/>
    <w:rsid w:val="009B5DF3"/>
    <w:pPr>
      <w:spacing w:after="120" w:line="260" w:lineRule="atLeast"/>
    </w:pPr>
    <w:rPr>
      <w:rFonts w:ascii="Arial" w:hAnsi="Arial"/>
      <w:sz w:val="18"/>
      <w:szCs w:val="24"/>
      <w:lang w:eastAsia="en-US"/>
    </w:rPr>
  </w:style>
  <w:style w:type="character" w:customStyle="1" w:styleId="BodyTextChar">
    <w:name w:val="Body Text Char"/>
    <w:link w:val="BodyText"/>
    <w:rsid w:val="009B5DF3"/>
    <w:rPr>
      <w:rFonts w:ascii="Arial" w:hAnsi="Arial"/>
      <w:sz w:val="18"/>
      <w:szCs w:val="24"/>
      <w:lang w:eastAsia="en-US"/>
    </w:rPr>
  </w:style>
  <w:style w:type="paragraph" w:customStyle="1" w:styleId="Bullet1">
    <w:name w:val="Bullet 1"/>
    <w:uiPriority w:val="99"/>
    <w:rsid w:val="009B5DF3"/>
    <w:pPr>
      <w:widowControl w:val="0"/>
      <w:numPr>
        <w:numId w:val="1"/>
      </w:numPr>
      <w:suppressAutoHyphens/>
      <w:autoSpaceDE w:val="0"/>
      <w:autoSpaceDN w:val="0"/>
      <w:adjustRightInd w:val="0"/>
      <w:spacing w:after="113" w:line="250" w:lineRule="atLeast"/>
      <w:textAlignment w:val="center"/>
    </w:pPr>
    <w:rPr>
      <w:rFonts w:ascii="Arial" w:hAnsi="Arial" w:cs="TradeGothicLTStd-Light"/>
      <w:spacing w:val="-1"/>
      <w:sz w:val="18"/>
      <w:szCs w:val="18"/>
      <w:lang w:val="en-US" w:eastAsia="en-US"/>
    </w:rPr>
  </w:style>
  <w:style w:type="paragraph" w:customStyle="1" w:styleId="Bullet2">
    <w:name w:val="Bullet 2"/>
    <w:basedOn w:val="BodyText"/>
    <w:uiPriority w:val="99"/>
    <w:rsid w:val="009B5DF3"/>
    <w:pPr>
      <w:numPr>
        <w:numId w:val="2"/>
      </w:numPr>
    </w:pPr>
  </w:style>
  <w:style w:type="paragraph" w:customStyle="1" w:styleId="TableName">
    <w:name w:val="Table Name"/>
    <w:uiPriority w:val="99"/>
    <w:rsid w:val="009B5DF3"/>
    <w:pPr>
      <w:widowControl w:val="0"/>
      <w:suppressAutoHyphens/>
      <w:autoSpaceDE w:val="0"/>
      <w:autoSpaceDN w:val="0"/>
      <w:adjustRightInd w:val="0"/>
      <w:spacing w:before="160" w:after="113" w:line="250" w:lineRule="atLeast"/>
      <w:textAlignment w:val="center"/>
    </w:pPr>
    <w:rPr>
      <w:rFonts w:ascii="Arial" w:hAnsi="Arial" w:cs="TradeGothicLTStd-Bd2"/>
      <w:b/>
      <w:bCs/>
      <w:color w:val="0D223F"/>
      <w:spacing w:val="-1"/>
      <w:sz w:val="18"/>
      <w:szCs w:val="18"/>
      <w:lang w:val="en-US" w:eastAsia="en-US"/>
    </w:rPr>
  </w:style>
  <w:style w:type="paragraph" w:customStyle="1" w:styleId="NoteTableFigure">
    <w:name w:val="Note Table/Figure"/>
    <w:uiPriority w:val="99"/>
    <w:rsid w:val="009B5DF3"/>
    <w:pPr>
      <w:widowControl w:val="0"/>
      <w:suppressAutoHyphens/>
      <w:autoSpaceDE w:val="0"/>
      <w:autoSpaceDN w:val="0"/>
      <w:adjustRightInd w:val="0"/>
      <w:spacing w:before="80" w:after="300" w:line="190" w:lineRule="atLeast"/>
      <w:textAlignment w:val="center"/>
    </w:pPr>
    <w:rPr>
      <w:rFonts w:ascii="Arial" w:hAnsi="Arial" w:cs="TradeGothicLTStd-Light"/>
      <w:spacing w:val="-1"/>
      <w:sz w:val="15"/>
      <w:szCs w:val="15"/>
      <w:lang w:val="en-US" w:eastAsia="en-US"/>
    </w:rPr>
  </w:style>
  <w:style w:type="paragraph" w:customStyle="1" w:styleId="TableHeading">
    <w:name w:val="Table Heading"/>
    <w:basedOn w:val="TableName"/>
    <w:uiPriority w:val="99"/>
    <w:rsid w:val="009B5DF3"/>
    <w:rPr>
      <w:color w:val="FFFFFF"/>
    </w:rPr>
  </w:style>
  <w:style w:type="paragraph" w:customStyle="1" w:styleId="TableText">
    <w:name w:val="Table Text"/>
    <w:uiPriority w:val="99"/>
    <w:rsid w:val="00532014"/>
    <w:pPr>
      <w:widowControl w:val="0"/>
      <w:suppressAutoHyphens/>
      <w:autoSpaceDE w:val="0"/>
      <w:autoSpaceDN w:val="0"/>
      <w:adjustRightInd w:val="0"/>
      <w:spacing w:before="60" w:after="60" w:line="250" w:lineRule="atLeast"/>
      <w:textAlignment w:val="center"/>
    </w:pPr>
    <w:rPr>
      <w:rFonts w:ascii="Arial" w:hAnsi="Arial" w:cs="TradeGothicLTStd-Light"/>
      <w:color w:val="000000"/>
      <w:spacing w:val="-1"/>
      <w:sz w:val="18"/>
      <w:szCs w:val="18"/>
      <w:lang w:eastAsia="en-US"/>
    </w:rPr>
  </w:style>
  <w:style w:type="paragraph" w:customStyle="1" w:styleId="TOCHeading1">
    <w:name w:val="TOC Heading1"/>
    <w:basedOn w:val="Heading1"/>
    <w:next w:val="BodyText"/>
    <w:rsid w:val="007B18EC"/>
    <w:pPr>
      <w:keepNext w:val="0"/>
      <w:keepLines w:val="0"/>
      <w:outlineLvl w:val="9"/>
    </w:pPr>
    <w:rPr>
      <w:rFonts w:eastAsia="Cambria"/>
      <w:bCs w:val="0"/>
      <w:szCs w:val="24"/>
    </w:rPr>
  </w:style>
  <w:style w:type="paragraph" w:customStyle="1" w:styleId="SourceImage">
    <w:name w:val="Source Image"/>
    <w:basedOn w:val="Caption"/>
    <w:qFormat/>
    <w:rsid w:val="009B5DF3"/>
    <w:pPr>
      <w:spacing w:after="400"/>
    </w:pPr>
  </w:style>
  <w:style w:type="table" w:customStyle="1" w:styleId="Table">
    <w:name w:val="Table"/>
    <w:basedOn w:val="TableNormal"/>
    <w:qFormat/>
    <w:rsid w:val="009B5DF3"/>
    <w:rPr>
      <w:rFonts w:ascii="Arial" w:hAnsi="Arial"/>
      <w:sz w:val="18"/>
    </w:rPr>
    <w:tblPr>
      <w:tblInd w:w="0" w:type="dxa"/>
      <w:tblBorders>
        <w:top w:val="single" w:sz="4" w:space="0" w:color="0D223F"/>
        <w:bottom w:val="single" w:sz="4" w:space="0" w:color="0D223F"/>
        <w:insideH w:val="single" w:sz="4" w:space="0" w:color="0D223F"/>
      </w:tblBorders>
      <w:tblCellMar>
        <w:top w:w="0" w:type="dxa"/>
        <w:left w:w="108" w:type="dxa"/>
        <w:bottom w:w="0" w:type="dxa"/>
        <w:right w:w="108" w:type="dxa"/>
      </w:tblCellMar>
    </w:tblPr>
    <w:tcPr>
      <w:shd w:val="clear" w:color="auto" w:fill="auto"/>
    </w:tcPr>
    <w:tblStylePr w:type="firstRow">
      <w:rPr>
        <w:rFonts w:ascii="Courier New" w:hAnsi="Courier New"/>
        <w:b/>
        <w:i w:val="0"/>
        <w:sz w:val="18"/>
      </w:rPr>
      <w:tblPr/>
      <w:tcPr>
        <w:tcBorders>
          <w:top w:val="nil"/>
          <w:bottom w:val="nil"/>
          <w:insideH w:val="nil"/>
        </w:tcBorders>
        <w:shd w:val="clear" w:color="auto" w:fill="0D223F"/>
      </w:tcPr>
    </w:tblStylePr>
  </w:style>
  <w:style w:type="paragraph" w:customStyle="1" w:styleId="BodyTextIndented">
    <w:name w:val="Body Text Indented"/>
    <w:basedOn w:val="BodyText"/>
    <w:qFormat/>
    <w:rsid w:val="009B5DF3"/>
    <w:pPr>
      <w:ind w:left="284"/>
    </w:pPr>
    <w:rPr>
      <w:lang w:val="en-US"/>
    </w:rPr>
  </w:style>
  <w:style w:type="paragraph" w:customStyle="1" w:styleId="NumberedList1">
    <w:name w:val="Numbered List 1"/>
    <w:basedOn w:val="BodyText"/>
    <w:qFormat/>
    <w:rsid w:val="009B5DF3"/>
    <w:pPr>
      <w:numPr>
        <w:numId w:val="3"/>
      </w:numPr>
    </w:pPr>
    <w:rPr>
      <w:lang w:val="en-US"/>
    </w:rPr>
  </w:style>
  <w:style w:type="paragraph" w:customStyle="1" w:styleId="NumberedList2">
    <w:name w:val="Numbered List 2"/>
    <w:basedOn w:val="NumberedList1"/>
    <w:qFormat/>
    <w:rsid w:val="009B5DF3"/>
    <w:pPr>
      <w:numPr>
        <w:numId w:val="20"/>
      </w:numPr>
    </w:pPr>
  </w:style>
  <w:style w:type="paragraph" w:styleId="Caption">
    <w:name w:val="caption"/>
    <w:next w:val="BodyText"/>
    <w:qFormat/>
    <w:rsid w:val="009B5DF3"/>
    <w:pPr>
      <w:spacing w:after="200"/>
    </w:pPr>
    <w:rPr>
      <w:rFonts w:ascii="Arial" w:hAnsi="Arial"/>
      <w:bCs/>
      <w:sz w:val="16"/>
      <w:szCs w:val="18"/>
      <w:lang w:eastAsia="en-US"/>
    </w:rPr>
  </w:style>
  <w:style w:type="table" w:styleId="TableGrid">
    <w:name w:val="Table Grid"/>
    <w:basedOn w:val="TableNormal"/>
    <w:uiPriority w:val="59"/>
    <w:rsid w:val="009B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extBoxStroke">
    <w:name w:val="Text Box Stroke"/>
    <w:basedOn w:val="TableGrid"/>
    <w:qFormat/>
    <w:rsid w:val="009B5DF3"/>
    <w:tblPr>
      <w:tblInd w:w="0" w:type="dxa"/>
      <w:tblBorders>
        <w:top w:val="single" w:sz="8" w:space="0" w:color="0D223F"/>
        <w:left w:val="single" w:sz="8" w:space="0" w:color="0D223F"/>
        <w:bottom w:val="single" w:sz="8" w:space="0" w:color="0D223F"/>
        <w:right w:val="single" w:sz="8" w:space="0" w:color="0D223F"/>
      </w:tblBorders>
      <w:tblCellMar>
        <w:top w:w="0" w:type="dxa"/>
        <w:left w:w="108" w:type="dxa"/>
        <w:bottom w:w="0" w:type="dxa"/>
        <w:right w:w="108" w:type="dxa"/>
      </w:tblCellMar>
    </w:tblPr>
  </w:style>
  <w:style w:type="table" w:customStyle="1" w:styleId="TextBoxFill">
    <w:name w:val="Text Box Fill"/>
    <w:basedOn w:val="TableGrid"/>
    <w:qFormat/>
    <w:rsid w:val="009B5D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E1E1E5"/>
    </w:tcPr>
  </w:style>
  <w:style w:type="paragraph" w:customStyle="1" w:styleId="References">
    <w:name w:val="References"/>
    <w:basedOn w:val="BodyText"/>
    <w:qFormat/>
    <w:rsid w:val="00DC639E"/>
    <w:pPr>
      <w:spacing w:after="200"/>
    </w:pPr>
    <w:rPr>
      <w:rFonts w:cs="TradeGothicLTStd-Light"/>
      <w:noProof/>
      <w:sz w:val="20"/>
      <w:szCs w:val="20"/>
      <w:lang w:val="en-US"/>
    </w:rPr>
  </w:style>
  <w:style w:type="paragraph" w:customStyle="1" w:styleId="Heading1List">
    <w:name w:val="Heading 1 List"/>
    <w:basedOn w:val="Heading1"/>
    <w:next w:val="BodyText"/>
    <w:qFormat/>
    <w:rsid w:val="009B5DF3"/>
    <w:pPr>
      <w:numPr>
        <w:numId w:val="22"/>
      </w:numPr>
    </w:pPr>
  </w:style>
  <w:style w:type="paragraph" w:customStyle="1" w:styleId="Heading2List">
    <w:name w:val="Heading 2 List"/>
    <w:basedOn w:val="Heading2"/>
    <w:next w:val="BodyText"/>
    <w:uiPriority w:val="99"/>
    <w:qFormat/>
    <w:rsid w:val="009B5DF3"/>
    <w:pPr>
      <w:numPr>
        <w:ilvl w:val="1"/>
        <w:numId w:val="22"/>
      </w:numPr>
    </w:pPr>
    <w:rPr>
      <w:lang w:val="en-US"/>
    </w:rPr>
  </w:style>
  <w:style w:type="numbering" w:styleId="111111">
    <w:name w:val="Outline List 2"/>
    <w:basedOn w:val="NoList"/>
    <w:rsid w:val="009B5DF3"/>
  </w:style>
  <w:style w:type="paragraph" w:customStyle="1" w:styleId="Heading3List">
    <w:name w:val="Heading 3 List"/>
    <w:basedOn w:val="Heading3"/>
    <w:next w:val="BodyText"/>
    <w:qFormat/>
    <w:rsid w:val="009B5DF3"/>
    <w:pPr>
      <w:numPr>
        <w:ilvl w:val="2"/>
        <w:numId w:val="22"/>
      </w:numPr>
    </w:pPr>
    <w:rPr>
      <w:lang w:val="en-US"/>
    </w:rPr>
  </w:style>
  <w:style w:type="paragraph" w:customStyle="1" w:styleId="FigureName">
    <w:name w:val="Figure Name"/>
    <w:basedOn w:val="Heading5"/>
    <w:qFormat/>
    <w:rsid w:val="009B5DF3"/>
    <w:pPr>
      <w:spacing w:before="280" w:after="200"/>
    </w:pPr>
  </w:style>
  <w:style w:type="paragraph" w:styleId="TOC3">
    <w:name w:val="toc 3"/>
    <w:autoRedefine/>
    <w:uiPriority w:val="39"/>
    <w:rsid w:val="009B5DF3"/>
    <w:pPr>
      <w:tabs>
        <w:tab w:val="left" w:pos="680"/>
        <w:tab w:val="right" w:pos="8222"/>
      </w:tabs>
      <w:spacing w:after="100"/>
    </w:pPr>
    <w:rPr>
      <w:rFonts w:ascii="Arial" w:hAnsi="Arial"/>
      <w:sz w:val="18"/>
      <w:szCs w:val="24"/>
      <w:lang w:eastAsia="en-US"/>
    </w:rPr>
  </w:style>
  <w:style w:type="character" w:styleId="Hyperlink">
    <w:name w:val="Hyperlink"/>
    <w:uiPriority w:val="99"/>
    <w:rsid w:val="009B5DF3"/>
    <w:rPr>
      <w:color w:val="0000FF"/>
      <w:u w:val="single"/>
    </w:rPr>
  </w:style>
  <w:style w:type="paragraph" w:customStyle="1" w:styleId="ColorfulGrid-Accent11">
    <w:name w:val="Colorful Grid - Accent 11"/>
    <w:basedOn w:val="BodyText"/>
    <w:next w:val="Normal"/>
    <w:link w:val="ColorfulGrid-Accent1Char"/>
    <w:qFormat/>
    <w:rsid w:val="00785432"/>
    <w:pPr>
      <w:ind w:left="567"/>
    </w:pPr>
  </w:style>
  <w:style w:type="character" w:customStyle="1" w:styleId="ColorfulGrid-Accent1Char">
    <w:name w:val="Colorful Grid - Accent 1 Char"/>
    <w:link w:val="ColorfulGrid-Accent11"/>
    <w:rsid w:val="00785432"/>
    <w:rPr>
      <w:rFonts w:ascii="Arial" w:hAnsi="Arial"/>
      <w:sz w:val="18"/>
      <w:lang w:eastAsia="en-US"/>
    </w:rPr>
  </w:style>
  <w:style w:type="character" w:styleId="Emphasis">
    <w:name w:val="Emphasis"/>
    <w:qFormat/>
    <w:rsid w:val="009B5DF3"/>
    <w:rPr>
      <w:i/>
      <w:iCs/>
    </w:rPr>
  </w:style>
  <w:style w:type="paragraph" w:styleId="TOAHeading">
    <w:name w:val="toa heading"/>
    <w:basedOn w:val="Normal"/>
    <w:next w:val="Normal"/>
    <w:link w:val="TOAHeadingChar"/>
    <w:rsid w:val="00350B8F"/>
    <w:pPr>
      <w:spacing w:before="120"/>
    </w:pPr>
    <w:rPr>
      <w:rFonts w:ascii="Calibri" w:eastAsia="MS Gothic" w:hAnsi="Calibri"/>
      <w:b/>
      <w:bCs/>
      <w:sz w:val="24"/>
    </w:rPr>
  </w:style>
  <w:style w:type="character" w:styleId="Strong">
    <w:name w:val="Strong"/>
    <w:qFormat/>
    <w:rsid w:val="009B5DF3"/>
    <w:rPr>
      <w:b/>
      <w:bCs/>
    </w:rPr>
  </w:style>
  <w:style w:type="paragraph" w:styleId="TableofFigures">
    <w:name w:val="table of figures"/>
    <w:basedOn w:val="TOC3"/>
    <w:next w:val="BodyText"/>
    <w:uiPriority w:val="99"/>
    <w:rsid w:val="009B5DF3"/>
    <w:pPr>
      <w:ind w:left="480" w:hanging="480"/>
    </w:pPr>
  </w:style>
  <w:style w:type="paragraph" w:customStyle="1" w:styleId="Footnote">
    <w:name w:val="Footnote"/>
    <w:qFormat/>
    <w:rsid w:val="009B5DF3"/>
    <w:pPr>
      <w:tabs>
        <w:tab w:val="left" w:pos="284"/>
      </w:tabs>
    </w:pPr>
    <w:rPr>
      <w:rFonts w:ascii="Arial" w:hAnsi="Arial"/>
      <w:sz w:val="16"/>
      <w:szCs w:val="24"/>
      <w:lang w:eastAsia="en-US"/>
    </w:rPr>
  </w:style>
  <w:style w:type="numbering" w:customStyle="1" w:styleId="NWC">
    <w:name w:val="NWC"/>
    <w:uiPriority w:val="99"/>
    <w:rsid w:val="00F0455A"/>
    <w:pPr>
      <w:numPr>
        <w:numId w:val="5"/>
      </w:numPr>
    </w:pPr>
  </w:style>
  <w:style w:type="numbering" w:customStyle="1" w:styleId="CurrentList1">
    <w:name w:val="Current List1"/>
    <w:uiPriority w:val="99"/>
    <w:rsid w:val="009B5DF3"/>
    <w:pPr>
      <w:numPr>
        <w:numId w:val="4"/>
      </w:numPr>
    </w:pPr>
  </w:style>
  <w:style w:type="character" w:customStyle="1" w:styleId="Heading6Char">
    <w:name w:val="Heading 6 Char"/>
    <w:link w:val="Heading6"/>
    <w:rsid w:val="009B5DF3"/>
    <w:rPr>
      <w:rFonts w:ascii="Calibri" w:eastAsia="MS Gothic" w:hAnsi="Calibri"/>
      <w:i/>
      <w:iCs/>
      <w:color w:val="243F60"/>
      <w:sz w:val="18"/>
      <w:szCs w:val="24"/>
      <w:lang w:eastAsia="en-US"/>
    </w:rPr>
  </w:style>
  <w:style w:type="paragraph" w:customStyle="1" w:styleId="nwcbodytext">
    <w:name w:val="nwc body text"/>
    <w:rsid w:val="000113B9"/>
    <w:pPr>
      <w:spacing w:after="240" w:line="264" w:lineRule="auto"/>
    </w:pPr>
    <w:rPr>
      <w:rFonts w:ascii="Arial" w:eastAsia="Times New Roman" w:hAnsi="Arial" w:cs="Arial"/>
      <w:lang w:val="en-US" w:eastAsia="en-US"/>
    </w:rPr>
  </w:style>
  <w:style w:type="paragraph" w:customStyle="1" w:styleId="nwcbullet1">
    <w:name w:val="nwc bullet 1"/>
    <w:basedOn w:val="nwcbodytext"/>
    <w:rsid w:val="000113B9"/>
    <w:pPr>
      <w:keepLines/>
      <w:numPr>
        <w:numId w:val="6"/>
      </w:numPr>
      <w:spacing w:before="120"/>
    </w:pPr>
    <w:rPr>
      <w:noProof/>
      <w:lang w:eastAsia="en-AU"/>
    </w:rPr>
  </w:style>
  <w:style w:type="paragraph" w:styleId="CommentText">
    <w:name w:val="annotation text"/>
    <w:basedOn w:val="Normal"/>
    <w:link w:val="CommentTextChar"/>
    <w:uiPriority w:val="99"/>
    <w:rsid w:val="000113B9"/>
    <w:pPr>
      <w:spacing w:after="0" w:line="240" w:lineRule="auto"/>
    </w:pPr>
    <w:rPr>
      <w:rFonts w:ascii="Times New Roman" w:eastAsia="Times New Roman" w:hAnsi="Times New Roman"/>
    </w:rPr>
  </w:style>
  <w:style w:type="character" w:customStyle="1" w:styleId="CommentTextChar">
    <w:name w:val="Comment Text Char"/>
    <w:link w:val="CommentText"/>
    <w:uiPriority w:val="99"/>
    <w:rsid w:val="000113B9"/>
    <w:rPr>
      <w:rFonts w:ascii="Times New Roman" w:eastAsia="Times New Roman" w:hAnsi="Times New Roman"/>
    </w:rPr>
  </w:style>
  <w:style w:type="character" w:styleId="CommentReference">
    <w:name w:val="annotation reference"/>
    <w:uiPriority w:val="99"/>
    <w:rsid w:val="000113B9"/>
    <w:rPr>
      <w:rFonts w:cs="Times New Roman"/>
      <w:sz w:val="16"/>
      <w:szCs w:val="16"/>
    </w:rPr>
  </w:style>
  <w:style w:type="paragraph" w:styleId="FootnoteText">
    <w:name w:val="footnote text"/>
    <w:basedOn w:val="nwcbodytext"/>
    <w:link w:val="FootnoteTextChar"/>
    <w:uiPriority w:val="99"/>
    <w:rsid w:val="000113B9"/>
    <w:pPr>
      <w:spacing w:after="60" w:line="240" w:lineRule="auto"/>
      <w:ind w:left="284" w:hanging="284"/>
    </w:pPr>
    <w:rPr>
      <w:rFonts w:cs="Times New Roman"/>
      <w:sz w:val="18"/>
    </w:rPr>
  </w:style>
  <w:style w:type="character" w:customStyle="1" w:styleId="FootnoteTextChar">
    <w:name w:val="Footnote Text Char"/>
    <w:link w:val="FootnoteText"/>
    <w:uiPriority w:val="99"/>
    <w:rsid w:val="000113B9"/>
    <w:rPr>
      <w:rFonts w:ascii="Arial" w:eastAsia="Times New Roman" w:hAnsi="Arial"/>
      <w:sz w:val="18"/>
      <w:lang w:val="en-US"/>
    </w:rPr>
  </w:style>
  <w:style w:type="character" w:styleId="FootnoteReference">
    <w:name w:val="footnote reference"/>
    <w:uiPriority w:val="99"/>
    <w:rsid w:val="000113B9"/>
    <w:rPr>
      <w:rFonts w:cs="Times New Roman"/>
      <w:vertAlign w:val="superscript"/>
    </w:rPr>
  </w:style>
  <w:style w:type="paragraph" w:styleId="Quote">
    <w:name w:val="Quote"/>
    <w:basedOn w:val="nwcbodytext"/>
    <w:next w:val="nwcbodytext"/>
    <w:link w:val="QuoteChar"/>
    <w:uiPriority w:val="29"/>
    <w:qFormat/>
    <w:rsid w:val="000113B9"/>
    <w:rPr>
      <w:rFonts w:cs="Times New Roman"/>
      <w:i/>
      <w:iCs/>
      <w:color w:val="000000"/>
    </w:rPr>
  </w:style>
  <w:style w:type="character" w:customStyle="1" w:styleId="QuoteChar">
    <w:name w:val="Quote Char"/>
    <w:link w:val="Quote"/>
    <w:uiPriority w:val="29"/>
    <w:rsid w:val="000113B9"/>
    <w:rPr>
      <w:rFonts w:ascii="Arial" w:eastAsia="Times New Roman" w:hAnsi="Arial"/>
      <w:i/>
      <w:iCs/>
      <w:color w:val="000000"/>
    </w:rPr>
  </w:style>
  <w:style w:type="paragraph" w:styleId="ListParagraph">
    <w:name w:val="List Paragraph"/>
    <w:basedOn w:val="Normal"/>
    <w:uiPriority w:val="34"/>
    <w:qFormat/>
    <w:rsid w:val="00387FB2"/>
    <w:pPr>
      <w:numPr>
        <w:numId w:val="36"/>
      </w:numPr>
      <w:spacing w:after="200" w:line="276" w:lineRule="auto"/>
      <w:contextualSpacing/>
    </w:pPr>
    <w:rPr>
      <w:rFonts w:eastAsia="Calibri" w:cs="Arial"/>
    </w:rPr>
  </w:style>
  <w:style w:type="paragraph" w:styleId="BalloonText">
    <w:name w:val="Balloon Text"/>
    <w:basedOn w:val="Normal"/>
    <w:link w:val="BalloonTextChar"/>
    <w:rsid w:val="009B5DF3"/>
    <w:rPr>
      <w:rFonts w:ascii="Lucida Grande" w:hAnsi="Lucida Grande" w:cs="Lucida Grande"/>
      <w:szCs w:val="18"/>
    </w:rPr>
  </w:style>
  <w:style w:type="character" w:customStyle="1" w:styleId="BalloonTextChar">
    <w:name w:val="Balloon Text Char"/>
    <w:link w:val="BalloonText"/>
    <w:rsid w:val="009B5DF3"/>
    <w:rPr>
      <w:rFonts w:ascii="Lucida Grande" w:hAnsi="Lucida Grande" w:cs="Lucida Grande"/>
      <w:sz w:val="18"/>
      <w:szCs w:val="18"/>
      <w:lang w:eastAsia="en-US"/>
    </w:rPr>
  </w:style>
  <w:style w:type="character" w:customStyle="1" w:styleId="TOAHeadingChar">
    <w:name w:val="TOA Heading Char"/>
    <w:link w:val="TOAHeading"/>
    <w:rsid w:val="000113B9"/>
    <w:rPr>
      <w:rFonts w:ascii="Calibri" w:eastAsia="MS Gothic" w:hAnsi="Calibri"/>
      <w:b/>
      <w:bCs/>
      <w:sz w:val="24"/>
      <w:szCs w:val="24"/>
      <w:lang w:eastAsia="en-US"/>
    </w:rPr>
  </w:style>
  <w:style w:type="paragraph" w:customStyle="1" w:styleId="nwcpositionstatement">
    <w:name w:val="nwc position statement"/>
    <w:basedOn w:val="Normal"/>
    <w:autoRedefine/>
    <w:rsid w:val="000113B9"/>
    <w:pPr>
      <w:spacing w:after="240" w:line="240" w:lineRule="auto"/>
    </w:pPr>
    <w:rPr>
      <w:rFonts w:ascii="HelveticaNeue LT 55 Roman" w:eastAsia="Times New Roman" w:hAnsi="HelveticaNeue LT 55 Roman"/>
      <w:sz w:val="22"/>
      <w:szCs w:val="22"/>
    </w:rPr>
  </w:style>
  <w:style w:type="paragraph" w:customStyle="1" w:styleId="Subtitle2">
    <w:name w:val="Subtitle2"/>
    <w:rsid w:val="000113B9"/>
    <w:pPr>
      <w:spacing w:before="600"/>
      <w:jc w:val="right"/>
    </w:pPr>
    <w:rPr>
      <w:rFonts w:ascii="Arial" w:eastAsia="Times New Roman" w:hAnsi="Arial" w:cs="Arial"/>
      <w:color w:val="008080"/>
      <w:lang w:val="en-US" w:eastAsia="en-US"/>
    </w:rPr>
  </w:style>
  <w:style w:type="paragraph" w:customStyle="1" w:styleId="nwcbullet2">
    <w:name w:val="nwc bullet 2"/>
    <w:basedOn w:val="nwcbullet1"/>
    <w:rsid w:val="000113B9"/>
    <w:pPr>
      <w:numPr>
        <w:ilvl w:val="1"/>
        <w:numId w:val="7"/>
      </w:numPr>
      <w:tabs>
        <w:tab w:val="clear" w:pos="369"/>
      </w:tabs>
      <w:spacing w:before="0"/>
      <w:ind w:left="993" w:hanging="284"/>
    </w:pPr>
    <w:rPr>
      <w:noProof w:val="0"/>
      <w:lang w:val="en-AU"/>
    </w:rPr>
  </w:style>
  <w:style w:type="paragraph" w:customStyle="1" w:styleId="nwcbodytextarial">
    <w:name w:val="nwc body text arial"/>
    <w:rsid w:val="000113B9"/>
    <w:pPr>
      <w:spacing w:before="120" w:after="120"/>
    </w:pPr>
    <w:rPr>
      <w:rFonts w:ascii="Arial" w:eastAsia="Times New Roman" w:hAnsi="Arial"/>
      <w:noProof/>
    </w:rPr>
  </w:style>
  <w:style w:type="paragraph" w:customStyle="1" w:styleId="nwcTableheading">
    <w:name w:val="nwcTable: heading"/>
    <w:basedOn w:val="nwcTablecells"/>
    <w:rsid w:val="000113B9"/>
    <w:pPr>
      <w:spacing w:line="280" w:lineRule="exact"/>
    </w:pPr>
    <w:rPr>
      <w:i/>
    </w:rPr>
  </w:style>
  <w:style w:type="paragraph" w:customStyle="1" w:styleId="nwcTablecells">
    <w:name w:val="nwcTable: cells"/>
    <w:rsid w:val="000113B9"/>
    <w:pPr>
      <w:keepNext/>
      <w:tabs>
        <w:tab w:val="right" w:pos="8505"/>
      </w:tabs>
      <w:spacing w:before="40" w:after="40"/>
      <w:ind w:right="113"/>
    </w:pPr>
    <w:rPr>
      <w:rFonts w:ascii="Arial" w:eastAsia="Times New Roman" w:hAnsi="Arial"/>
      <w:sz w:val="18"/>
      <w:lang w:val="en-GB" w:eastAsia="en-US"/>
    </w:rPr>
  </w:style>
  <w:style w:type="paragraph" w:customStyle="1" w:styleId="nwcnotesource">
    <w:name w:val="nwc note source"/>
    <w:basedOn w:val="nwcbodytext"/>
    <w:rsid w:val="000113B9"/>
    <w:pPr>
      <w:keepLines/>
      <w:suppressAutoHyphens/>
      <w:spacing w:after="0"/>
    </w:pPr>
    <w:rPr>
      <w:rFonts w:eastAsia="Times"/>
      <w:color w:val="808080"/>
      <w:sz w:val="16"/>
      <w:lang w:val="en-AU" w:eastAsia="en-AU"/>
    </w:rPr>
  </w:style>
  <w:style w:type="paragraph" w:customStyle="1" w:styleId="nwcsourcenotenumbered">
    <w:name w:val="nwc source note numbered"/>
    <w:basedOn w:val="Normal"/>
    <w:rsid w:val="000113B9"/>
    <w:pPr>
      <w:keepNext/>
      <w:keepLines/>
      <w:suppressAutoHyphens/>
      <w:spacing w:after="0" w:line="240" w:lineRule="auto"/>
      <w:ind w:left="180" w:hanging="180"/>
    </w:pPr>
    <w:rPr>
      <w:rFonts w:eastAsia="Times" w:cs="Arial"/>
      <w:noProof/>
      <w:color w:val="808080"/>
      <w:sz w:val="16"/>
      <w:lang w:eastAsia="en-AU"/>
    </w:rPr>
  </w:style>
  <w:style w:type="paragraph" w:customStyle="1" w:styleId="nwcsourcenotebullet">
    <w:name w:val="nwc source note bullet"/>
    <w:basedOn w:val="Normal"/>
    <w:autoRedefine/>
    <w:rsid w:val="000113B9"/>
    <w:pPr>
      <w:keepNext/>
      <w:keepLines/>
      <w:numPr>
        <w:numId w:val="8"/>
      </w:numPr>
      <w:suppressAutoHyphens/>
      <w:spacing w:after="0" w:line="240" w:lineRule="auto"/>
    </w:pPr>
    <w:rPr>
      <w:rFonts w:eastAsia="Times" w:cs="Arial"/>
      <w:noProof/>
      <w:color w:val="808080"/>
      <w:sz w:val="16"/>
      <w:lang w:eastAsia="en-AU"/>
    </w:rPr>
  </w:style>
  <w:style w:type="paragraph" w:customStyle="1" w:styleId="nwchead4">
    <w:name w:val="nwc head 4"/>
    <w:next w:val="Normal"/>
    <w:rsid w:val="000113B9"/>
    <w:pPr>
      <w:keepNext/>
      <w:keepLines/>
      <w:suppressAutoHyphens/>
      <w:spacing w:before="120" w:after="120"/>
      <w:outlineLvl w:val="3"/>
    </w:pPr>
    <w:rPr>
      <w:rFonts w:ascii="Arial" w:eastAsia="Times" w:hAnsi="Arial"/>
      <w:b/>
      <w:noProof/>
      <w:color w:val="808080"/>
      <w:sz w:val="24"/>
    </w:rPr>
  </w:style>
  <w:style w:type="paragraph" w:customStyle="1" w:styleId="nwcTablecellscentre">
    <w:name w:val="nwcTable: cells centre"/>
    <w:basedOn w:val="nwcTablecells"/>
    <w:rsid w:val="000113B9"/>
    <w:pPr>
      <w:ind w:right="0"/>
      <w:jc w:val="center"/>
    </w:pPr>
  </w:style>
  <w:style w:type="paragraph" w:styleId="TOC4">
    <w:name w:val="toc 4"/>
    <w:basedOn w:val="Normal"/>
    <w:next w:val="Normal"/>
    <w:autoRedefine/>
    <w:rsid w:val="009B5DF3"/>
    <w:pPr>
      <w:ind w:left="720"/>
    </w:pPr>
  </w:style>
  <w:style w:type="paragraph" w:styleId="TOC5">
    <w:name w:val="toc 5"/>
    <w:basedOn w:val="Normal"/>
    <w:next w:val="Normal"/>
    <w:autoRedefine/>
    <w:rsid w:val="009B5DF3"/>
    <w:pPr>
      <w:ind w:left="960"/>
    </w:pPr>
  </w:style>
  <w:style w:type="paragraph" w:styleId="TOC6">
    <w:name w:val="toc 6"/>
    <w:basedOn w:val="Normal"/>
    <w:next w:val="Normal"/>
    <w:autoRedefine/>
    <w:rsid w:val="009B5DF3"/>
    <w:pPr>
      <w:ind w:left="1200"/>
    </w:pPr>
  </w:style>
  <w:style w:type="paragraph" w:styleId="TOC7">
    <w:name w:val="toc 7"/>
    <w:basedOn w:val="Normal"/>
    <w:next w:val="Normal"/>
    <w:autoRedefine/>
    <w:rsid w:val="009B5DF3"/>
    <w:pPr>
      <w:ind w:left="1440"/>
    </w:pPr>
  </w:style>
  <w:style w:type="paragraph" w:styleId="TOC8">
    <w:name w:val="toc 8"/>
    <w:basedOn w:val="Normal"/>
    <w:next w:val="Normal"/>
    <w:autoRedefine/>
    <w:rsid w:val="009B5DF3"/>
    <w:pPr>
      <w:ind w:left="1680"/>
    </w:pPr>
  </w:style>
  <w:style w:type="paragraph" w:styleId="TOC9">
    <w:name w:val="toc 9"/>
    <w:basedOn w:val="Normal"/>
    <w:next w:val="Normal"/>
    <w:autoRedefine/>
    <w:rsid w:val="009B5DF3"/>
    <w:pPr>
      <w:ind w:left="1920"/>
    </w:pPr>
  </w:style>
  <w:style w:type="paragraph" w:customStyle="1" w:styleId="nwcreferences">
    <w:name w:val="nwc references"/>
    <w:basedOn w:val="nwcbodytext"/>
    <w:rsid w:val="000113B9"/>
    <w:pPr>
      <w:spacing w:before="120"/>
      <w:ind w:left="540" w:hanging="540"/>
    </w:pPr>
    <w:rPr>
      <w:lang w:val="en-AU" w:eastAsia="en-AU"/>
    </w:rPr>
  </w:style>
  <w:style w:type="paragraph" w:customStyle="1" w:styleId="nwclist1">
    <w:name w:val="nwc list 1"/>
    <w:basedOn w:val="nwcbullet1"/>
    <w:rsid w:val="000113B9"/>
    <w:pPr>
      <w:numPr>
        <w:numId w:val="0"/>
      </w:numPr>
      <w:tabs>
        <w:tab w:val="left" w:pos="360"/>
      </w:tabs>
      <w:ind w:left="360" w:hanging="360"/>
    </w:pPr>
    <w:rPr>
      <w:noProof w:val="0"/>
      <w:lang w:val="en-AU"/>
    </w:rPr>
  </w:style>
  <w:style w:type="paragraph" w:customStyle="1" w:styleId="nwclist2-b">
    <w:name w:val="nwc list 2 -(b)"/>
    <w:basedOn w:val="nwclist1"/>
    <w:rsid w:val="000113B9"/>
    <w:pPr>
      <w:tabs>
        <w:tab w:val="clear" w:pos="360"/>
      </w:tabs>
      <w:ind w:left="720"/>
    </w:pPr>
  </w:style>
  <w:style w:type="paragraph" w:customStyle="1" w:styleId="nwcTablelist">
    <w:name w:val="nwcTable: list"/>
    <w:basedOn w:val="nwcTablecells"/>
    <w:rsid w:val="000113B9"/>
    <w:pPr>
      <w:spacing w:before="0"/>
    </w:pPr>
    <w:rPr>
      <w:rFonts w:cs="Arial"/>
      <w:szCs w:val="18"/>
    </w:rPr>
  </w:style>
  <w:style w:type="paragraph" w:customStyle="1" w:styleId="nwcquote">
    <w:name w:val="nwc quote"/>
    <w:basedOn w:val="nwcbodytext"/>
    <w:next w:val="nwcbodytext"/>
    <w:rsid w:val="000113B9"/>
    <w:pPr>
      <w:ind w:left="567" w:right="567"/>
    </w:pPr>
    <w:rPr>
      <w:i/>
      <w:lang w:val="en-AU"/>
    </w:rPr>
  </w:style>
  <w:style w:type="paragraph" w:customStyle="1" w:styleId="Heading1nonumber">
    <w:name w:val="Heading 1 no number"/>
    <w:basedOn w:val="Heading1"/>
    <w:link w:val="Heading1nonumberChar"/>
    <w:qFormat/>
    <w:rsid w:val="000113B9"/>
    <w:pPr>
      <w:keepLines w:val="0"/>
      <w:tabs>
        <w:tab w:val="left" w:pos="540"/>
      </w:tabs>
      <w:spacing w:before="0" w:after="180"/>
      <w:ind w:left="360" w:hanging="360"/>
    </w:pPr>
    <w:rPr>
      <w:rFonts w:eastAsia="Times New Roman"/>
      <w:bCs w:val="0"/>
      <w:color w:val="008080"/>
      <w:kern w:val="32"/>
      <w:sz w:val="48"/>
      <w:lang w:val="en-US"/>
    </w:rPr>
  </w:style>
  <w:style w:type="character" w:customStyle="1" w:styleId="Heading1nonumberChar">
    <w:name w:val="Heading 1 no number Char"/>
    <w:link w:val="Heading1nonumber"/>
    <w:rsid w:val="000113B9"/>
    <w:rPr>
      <w:rFonts w:ascii="Arial" w:eastAsia="Times New Roman" w:hAnsi="Arial"/>
      <w:color w:val="008080"/>
      <w:kern w:val="32"/>
      <w:sz w:val="48"/>
      <w:szCs w:val="32"/>
      <w:lang w:val="en-US"/>
    </w:rPr>
  </w:style>
  <w:style w:type="paragraph" w:customStyle="1" w:styleId="Heading3nonumber">
    <w:name w:val="Heading 3 no number"/>
    <w:basedOn w:val="Heading3"/>
    <w:link w:val="Heading3nonumberChar"/>
    <w:uiPriority w:val="99"/>
    <w:qFormat/>
    <w:rsid w:val="000113B9"/>
    <w:pPr>
      <w:keepLines w:val="0"/>
      <w:tabs>
        <w:tab w:val="left" w:pos="720"/>
      </w:tabs>
      <w:spacing w:before="100" w:beforeAutospacing="1" w:after="120"/>
    </w:pPr>
    <w:rPr>
      <w:rFonts w:eastAsia="Times New Roman"/>
      <w:b w:val="0"/>
      <w:bCs w:val="0"/>
      <w:color w:val="auto"/>
      <w:kern w:val="28"/>
      <w:sz w:val="28"/>
      <w:szCs w:val="28"/>
      <w:lang w:val="en-US"/>
    </w:rPr>
  </w:style>
  <w:style w:type="character" w:customStyle="1" w:styleId="Heading3nonumberChar">
    <w:name w:val="Heading 3 no number Char"/>
    <w:link w:val="Heading3nonumber"/>
    <w:rsid w:val="000113B9"/>
    <w:rPr>
      <w:rFonts w:ascii="Arial" w:eastAsia="Times New Roman" w:hAnsi="Arial"/>
      <w:kern w:val="28"/>
      <w:sz w:val="28"/>
      <w:szCs w:val="28"/>
      <w:lang w:val="en-US"/>
    </w:rPr>
  </w:style>
  <w:style w:type="paragraph" w:customStyle="1" w:styleId="Heading2nonumber">
    <w:name w:val="Heading 2 no number"/>
    <w:basedOn w:val="Heading2"/>
    <w:link w:val="Heading2nonumberChar"/>
    <w:qFormat/>
    <w:rsid w:val="000113B9"/>
    <w:pPr>
      <w:keepLines w:val="0"/>
      <w:tabs>
        <w:tab w:val="left" w:pos="720"/>
      </w:tabs>
      <w:spacing w:before="100" w:beforeAutospacing="1"/>
      <w:ind w:left="426" w:hanging="426"/>
    </w:pPr>
    <w:rPr>
      <w:rFonts w:eastAsia="Times New Roman"/>
      <w:b w:val="0"/>
      <w:bCs w:val="0"/>
      <w:color w:val="008080"/>
      <w:kern w:val="32"/>
      <w:sz w:val="36"/>
      <w:szCs w:val="36"/>
      <w:lang w:val="en-US"/>
    </w:rPr>
  </w:style>
  <w:style w:type="character" w:customStyle="1" w:styleId="Heading2nonumberChar">
    <w:name w:val="Heading 2 no number Char"/>
    <w:link w:val="Heading2nonumber"/>
    <w:rsid w:val="000113B9"/>
    <w:rPr>
      <w:rFonts w:ascii="Arial" w:eastAsia="Times New Roman" w:hAnsi="Arial"/>
      <w:color w:val="008080"/>
      <w:kern w:val="32"/>
      <w:sz w:val="36"/>
      <w:szCs w:val="36"/>
      <w:lang w:val="en-US"/>
    </w:rPr>
  </w:style>
  <w:style w:type="paragraph" w:styleId="NormalWeb">
    <w:name w:val="Normal (Web)"/>
    <w:basedOn w:val="Normal"/>
    <w:uiPriority w:val="99"/>
    <w:unhideWhenUsed/>
    <w:rsid w:val="000113B9"/>
    <w:pPr>
      <w:spacing w:before="100" w:beforeAutospacing="1" w:after="100" w:afterAutospacing="1" w:line="240" w:lineRule="auto"/>
    </w:pPr>
    <w:rPr>
      <w:rFonts w:ascii="Times New Roman" w:eastAsia="Times New Roman" w:hAnsi="Times New Roman"/>
      <w:sz w:val="24"/>
      <w:lang w:eastAsia="en-AU"/>
    </w:rPr>
  </w:style>
  <w:style w:type="paragraph" w:customStyle="1" w:styleId="Attachmentsandappendicies">
    <w:name w:val="Attachments and appendicies"/>
    <w:basedOn w:val="Heading1"/>
    <w:link w:val="AttachmentsandappendiciesChar"/>
    <w:qFormat/>
    <w:rsid w:val="000113B9"/>
    <w:pPr>
      <w:keepLines w:val="0"/>
      <w:tabs>
        <w:tab w:val="left" w:pos="540"/>
      </w:tabs>
      <w:spacing w:before="0" w:after="180"/>
    </w:pPr>
    <w:rPr>
      <w:rFonts w:eastAsia="Times New Roman"/>
      <w:bCs w:val="0"/>
      <w:color w:val="008080"/>
      <w:kern w:val="32"/>
      <w:sz w:val="48"/>
      <w:lang w:val="en-US"/>
    </w:rPr>
  </w:style>
  <w:style w:type="character" w:customStyle="1" w:styleId="AttachmentsandappendiciesChar">
    <w:name w:val="Attachments and appendicies Char"/>
    <w:link w:val="Attachmentsandappendicies"/>
    <w:rsid w:val="000113B9"/>
    <w:rPr>
      <w:rFonts w:ascii="Arial" w:eastAsia="Times New Roman" w:hAnsi="Arial"/>
      <w:color w:val="008080"/>
      <w:kern w:val="32"/>
      <w:sz w:val="48"/>
      <w:szCs w:val="32"/>
      <w:lang w:val="en-US"/>
    </w:rPr>
  </w:style>
  <w:style w:type="paragraph" w:customStyle="1" w:styleId="Text">
    <w:name w:val="Text"/>
    <w:basedOn w:val="Normal"/>
    <w:rsid w:val="000113B9"/>
    <w:pPr>
      <w:spacing w:before="100" w:beforeAutospacing="1" w:after="100" w:afterAutospacing="1" w:line="240" w:lineRule="auto"/>
    </w:pPr>
    <w:rPr>
      <w:rFonts w:ascii="HelveticaNeue LT 55 Roman" w:eastAsia="Times New Roman" w:hAnsi="HelveticaNeue LT 55 Roman"/>
      <w:sz w:val="24"/>
      <w:lang w:eastAsia="en-AU"/>
    </w:rPr>
  </w:style>
  <w:style w:type="paragraph" w:customStyle="1" w:styleId="BRH1">
    <w:name w:val="BR H1"/>
    <w:basedOn w:val="Normal"/>
    <w:rsid w:val="000113B9"/>
    <w:pPr>
      <w:numPr>
        <w:numId w:val="9"/>
      </w:numPr>
      <w:spacing w:before="100" w:beforeAutospacing="1" w:after="100" w:afterAutospacing="1" w:line="240" w:lineRule="auto"/>
    </w:pPr>
    <w:rPr>
      <w:rFonts w:ascii="HelveticaNeue LT 67 MdCn" w:eastAsia="Times New Roman" w:hAnsi="HelveticaNeue LT 67 MdCn"/>
      <w:sz w:val="32"/>
      <w:szCs w:val="32"/>
      <w:lang w:eastAsia="en-AU"/>
    </w:rPr>
  </w:style>
  <w:style w:type="paragraph" w:customStyle="1" w:styleId="BRH2">
    <w:name w:val="BR H2"/>
    <w:basedOn w:val="Normal"/>
    <w:rsid w:val="000113B9"/>
    <w:pPr>
      <w:numPr>
        <w:ilvl w:val="1"/>
        <w:numId w:val="9"/>
      </w:numPr>
      <w:spacing w:before="100" w:beforeAutospacing="1" w:after="100" w:afterAutospacing="1" w:line="240" w:lineRule="auto"/>
    </w:pPr>
    <w:rPr>
      <w:rFonts w:ascii="HelveticaNeue LT 67 MdCn" w:eastAsia="Times New Roman" w:hAnsi="HelveticaNeue LT 67 MdCn"/>
      <w:sz w:val="28"/>
      <w:szCs w:val="28"/>
      <w:lang w:eastAsia="en-AU"/>
    </w:rPr>
  </w:style>
  <w:style w:type="paragraph" w:customStyle="1" w:styleId="BRH3">
    <w:name w:val="BR H3"/>
    <w:basedOn w:val="Normal"/>
    <w:rsid w:val="000113B9"/>
    <w:pPr>
      <w:numPr>
        <w:ilvl w:val="2"/>
        <w:numId w:val="9"/>
      </w:numPr>
      <w:spacing w:before="100" w:beforeAutospacing="1" w:after="100" w:afterAutospacing="1" w:line="240" w:lineRule="auto"/>
    </w:pPr>
    <w:rPr>
      <w:rFonts w:ascii="HelveticaNeue LT 67 MdCn" w:eastAsia="Times New Roman" w:hAnsi="HelveticaNeue LT 67 MdCn"/>
      <w:sz w:val="26"/>
      <w:lang w:eastAsia="en-AU"/>
    </w:rPr>
  </w:style>
  <w:style w:type="paragraph" w:customStyle="1" w:styleId="CharChar1Char">
    <w:name w:val="Char Char1 Char"/>
    <w:basedOn w:val="Normal"/>
    <w:rsid w:val="000113B9"/>
    <w:pPr>
      <w:spacing w:after="0" w:line="240" w:lineRule="auto"/>
    </w:pPr>
    <w:rPr>
      <w:rFonts w:eastAsia="Times New Roman"/>
      <w:sz w:val="22"/>
    </w:rPr>
  </w:style>
  <w:style w:type="paragraph" w:customStyle="1" w:styleId="Headconceptual">
    <w:name w:val="Head conceptual"/>
    <w:basedOn w:val="BRH1"/>
    <w:qFormat/>
    <w:rsid w:val="000113B9"/>
    <w:pPr>
      <w:keepNext/>
      <w:numPr>
        <w:numId w:val="0"/>
      </w:numPr>
    </w:pPr>
    <w:rPr>
      <w:rFonts w:ascii="Arial" w:hAnsi="Arial" w:cs="Arial"/>
    </w:rPr>
  </w:style>
  <w:style w:type="paragraph" w:customStyle="1" w:styleId="2headingconcept">
    <w:name w:val="2 heading concept"/>
    <w:basedOn w:val="BRH2"/>
    <w:qFormat/>
    <w:rsid w:val="000113B9"/>
    <w:pPr>
      <w:numPr>
        <w:ilvl w:val="0"/>
        <w:numId w:val="0"/>
      </w:numPr>
    </w:pPr>
  </w:style>
  <w:style w:type="table" w:customStyle="1" w:styleId="NWCstyletableheaderrow">
    <w:name w:val="NWC style table header row"/>
    <w:basedOn w:val="TableNormal"/>
    <w:uiPriority w:val="99"/>
    <w:qFormat/>
    <w:rsid w:val="000113B9"/>
    <w:rPr>
      <w:rFonts w:ascii="Arial" w:eastAsia="Times New Roman" w:hAnsi="Arial"/>
    </w:rPr>
    <w:tblPr>
      <w:tblInd w:w="0" w:type="dxa"/>
      <w:tblBorders>
        <w:top w:val="single" w:sz="12" w:space="0" w:color="008080"/>
      </w:tblBorders>
      <w:tblCellMar>
        <w:top w:w="0" w:type="dxa"/>
        <w:left w:w="108" w:type="dxa"/>
        <w:bottom w:w="0" w:type="dxa"/>
        <w:right w:w="108" w:type="dxa"/>
      </w:tblCellMar>
    </w:tblPr>
    <w:tblStylePr w:type="firstRow">
      <w:rPr>
        <w:rFonts w:ascii="Arial" w:hAnsi="Arial"/>
        <w:i/>
        <w:sz w:val="20"/>
      </w:rPr>
      <w:tblPr>
        <w:jc w:val="center"/>
      </w:tblPr>
      <w:trPr>
        <w:tblHeader/>
        <w:jc w:val="center"/>
      </w:trPr>
      <w:tcPr>
        <w:tcBorders>
          <w:top w:val="single" w:sz="12" w:space="0" w:color="008080"/>
          <w:bottom w:val="single" w:sz="12" w:space="0" w:color="008080"/>
          <w:right w:val="single" w:sz="4" w:space="0" w:color="999999"/>
          <w:insideH w:val="single" w:sz="4" w:space="0" w:color="999999"/>
          <w:insideV w:val="single" w:sz="4" w:space="0" w:color="999999"/>
        </w:tcBorders>
      </w:tcPr>
    </w:tblStylePr>
  </w:style>
  <w:style w:type="table" w:customStyle="1" w:styleId="NWCstyletablerows">
    <w:name w:val="NWC style table rows"/>
    <w:basedOn w:val="TableNormal"/>
    <w:uiPriority w:val="99"/>
    <w:qFormat/>
    <w:rsid w:val="000113B9"/>
    <w:rPr>
      <w:rFonts w:ascii="Arial" w:eastAsia="Times New Roman" w:hAnsi="Arial"/>
    </w:rPr>
    <w:tblPr>
      <w:jc w:val="center"/>
      <w:tblInd w:w="0" w:type="dxa"/>
      <w:tblBorders>
        <w:bottom w:val="single" w:sz="4" w:space="0" w:color="008080"/>
        <w:right w:val="single" w:sz="4" w:space="0" w:color="999999"/>
        <w:insideH w:val="single" w:sz="4" w:space="0" w:color="999999"/>
        <w:insideV w:val="single" w:sz="4" w:space="0" w:color="999999"/>
      </w:tblBorders>
      <w:tblCellMar>
        <w:top w:w="0" w:type="dxa"/>
        <w:left w:w="108" w:type="dxa"/>
        <w:bottom w:w="0" w:type="dxa"/>
        <w:right w:w="108" w:type="dxa"/>
      </w:tblCellMar>
    </w:tblPr>
    <w:trPr>
      <w:jc w:val="center"/>
    </w:trPr>
  </w:style>
  <w:style w:type="table" w:customStyle="1" w:styleId="NWCtable">
    <w:name w:val="NWC table"/>
    <w:basedOn w:val="TableNormal"/>
    <w:uiPriority w:val="99"/>
    <w:qFormat/>
    <w:rsid w:val="000113B9"/>
    <w:rPr>
      <w:rFonts w:ascii="Arial" w:eastAsia="Times New Roman" w:hAnsi="Arial"/>
    </w:rPr>
    <w:tblPr>
      <w:tblInd w:w="0" w:type="dxa"/>
      <w:tblBorders>
        <w:bottom w:val="single" w:sz="4" w:space="0" w:color="008080"/>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tblPr/>
      <w:tcPr>
        <w:tcBorders>
          <w:top w:val="single" w:sz="12" w:space="0" w:color="008080"/>
          <w:bottom w:val="single" w:sz="12" w:space="0" w:color="008080"/>
        </w:tcBorders>
      </w:tcPr>
    </w:tblStylePr>
  </w:style>
  <w:style w:type="paragraph" w:styleId="CommentSubject">
    <w:name w:val="annotation subject"/>
    <w:basedOn w:val="CommentText"/>
    <w:next w:val="CommentText"/>
    <w:link w:val="CommentSubjectChar"/>
    <w:uiPriority w:val="99"/>
    <w:unhideWhenUsed/>
    <w:rsid w:val="000113B9"/>
    <w:rPr>
      <w:b/>
      <w:bCs/>
    </w:rPr>
  </w:style>
  <w:style w:type="character" w:customStyle="1" w:styleId="CommentSubjectChar">
    <w:name w:val="Comment Subject Char"/>
    <w:link w:val="CommentSubject"/>
    <w:uiPriority w:val="99"/>
    <w:rsid w:val="000113B9"/>
    <w:rPr>
      <w:rFonts w:ascii="Times New Roman" w:eastAsia="Times New Roman" w:hAnsi="Times New Roman"/>
      <w:b/>
      <w:bCs/>
    </w:rPr>
  </w:style>
  <w:style w:type="paragraph" w:styleId="Revision">
    <w:name w:val="Revision"/>
    <w:hidden/>
    <w:uiPriority w:val="99"/>
    <w:rsid w:val="000113B9"/>
    <w:rPr>
      <w:rFonts w:ascii="Times New Roman" w:eastAsia="Times New Roman" w:hAnsi="Times New Roman"/>
      <w:sz w:val="24"/>
      <w:szCs w:val="24"/>
      <w:lang w:eastAsia="en-US"/>
    </w:rPr>
  </w:style>
  <w:style w:type="paragraph" w:styleId="NoSpacing">
    <w:name w:val="No Spacing"/>
    <w:uiPriority w:val="1"/>
    <w:qFormat/>
    <w:rsid w:val="000113B9"/>
    <w:rPr>
      <w:rFonts w:ascii="Times New Roman" w:eastAsia="Times New Roman" w:hAnsi="Times New Roman"/>
      <w:sz w:val="24"/>
      <w:szCs w:val="24"/>
      <w:lang w:eastAsia="en-US"/>
    </w:rPr>
  </w:style>
  <w:style w:type="paragraph" w:customStyle="1" w:styleId="Default">
    <w:name w:val="Default"/>
    <w:rsid w:val="000113B9"/>
    <w:pPr>
      <w:autoSpaceDE w:val="0"/>
      <w:autoSpaceDN w:val="0"/>
      <w:adjustRightInd w:val="0"/>
    </w:pPr>
    <w:rPr>
      <w:rFonts w:ascii="Arial" w:eastAsia="Times New Roman" w:hAnsi="Arial" w:cs="Arial"/>
      <w:color w:val="000000"/>
      <w:sz w:val="24"/>
      <w:szCs w:val="24"/>
    </w:rPr>
  </w:style>
  <w:style w:type="paragraph" w:customStyle="1" w:styleId="6Bodytext">
    <w:name w:val="6 Body text"/>
    <w:basedOn w:val="Normal"/>
    <w:link w:val="6BodytextChar"/>
    <w:qFormat/>
    <w:rsid w:val="000113B9"/>
    <w:pPr>
      <w:spacing w:after="170" w:line="280" w:lineRule="exact"/>
    </w:pPr>
    <w:rPr>
      <w:rFonts w:ascii="Times New Roman" w:eastAsia="Calibri" w:hAnsi="Times New Roman"/>
    </w:rPr>
  </w:style>
  <w:style w:type="character" w:customStyle="1" w:styleId="6BodytextChar">
    <w:name w:val="6 Body text Char"/>
    <w:link w:val="6Bodytext"/>
    <w:rsid w:val="000113B9"/>
    <w:rPr>
      <w:rFonts w:ascii="Times New Roman" w:eastAsia="Calibri" w:hAnsi="Times New Roman"/>
      <w:szCs w:val="24"/>
    </w:rPr>
  </w:style>
  <w:style w:type="paragraph" w:customStyle="1" w:styleId="7Bodybullet1">
    <w:name w:val="7 Body bullet 1"/>
    <w:qFormat/>
    <w:rsid w:val="000113B9"/>
    <w:pPr>
      <w:numPr>
        <w:numId w:val="10"/>
      </w:numPr>
      <w:spacing w:after="240" w:line="280" w:lineRule="exact"/>
    </w:pPr>
    <w:rPr>
      <w:rFonts w:ascii="Times New Roman" w:eastAsia="Calibri" w:hAnsi="Times New Roman"/>
      <w:sz w:val="22"/>
      <w:szCs w:val="24"/>
      <w:lang w:eastAsia="en-US"/>
    </w:rPr>
  </w:style>
  <w:style w:type="paragraph" w:customStyle="1" w:styleId="2SectionHeading">
    <w:name w:val="2 Section Heading"/>
    <w:basedOn w:val="Normal"/>
    <w:link w:val="2SectionHeadingChar"/>
    <w:qFormat/>
    <w:rsid w:val="000113B9"/>
    <w:pPr>
      <w:keepNext/>
      <w:spacing w:before="170" w:after="57" w:line="336" w:lineRule="exact"/>
    </w:pPr>
    <w:rPr>
      <w:rFonts w:ascii="Times New Roman" w:eastAsia="Calibri" w:hAnsi="Times New Roman"/>
      <w:color w:val="213F7D"/>
      <w:sz w:val="28"/>
    </w:rPr>
  </w:style>
  <w:style w:type="character" w:customStyle="1" w:styleId="2SectionHeadingChar">
    <w:name w:val="2 Section Heading Char"/>
    <w:link w:val="2SectionHeading"/>
    <w:rsid w:val="000113B9"/>
    <w:rPr>
      <w:rFonts w:ascii="Times New Roman" w:eastAsia="Calibri" w:hAnsi="Times New Roman"/>
      <w:color w:val="213F7D"/>
      <w:sz w:val="28"/>
      <w:szCs w:val="24"/>
    </w:rPr>
  </w:style>
  <w:style w:type="paragraph" w:customStyle="1" w:styleId="tabletext0">
    <w:name w:val="table text"/>
    <w:basedOn w:val="6Bodytext"/>
    <w:qFormat/>
    <w:rsid w:val="000113B9"/>
    <w:pPr>
      <w:shd w:val="clear" w:color="auto" w:fill="FFFFFF"/>
      <w:spacing w:after="0" w:line="240" w:lineRule="auto"/>
    </w:pPr>
    <w:rPr>
      <w:rFonts w:ascii="Arial" w:eastAsia="Times New Roman" w:hAnsi="Arial" w:cs="Arial"/>
      <w:sz w:val="18"/>
      <w:szCs w:val="18"/>
    </w:rPr>
  </w:style>
  <w:style w:type="paragraph" w:customStyle="1" w:styleId="3Sub-sectionheading">
    <w:name w:val="3 Sub-section heading"/>
    <w:qFormat/>
    <w:rsid w:val="000113B9"/>
    <w:pPr>
      <w:keepNext/>
      <w:spacing w:before="170" w:after="57" w:line="264" w:lineRule="exact"/>
    </w:pPr>
    <w:rPr>
      <w:rFonts w:ascii="Arial" w:eastAsia="Calibri" w:hAnsi="Arial"/>
      <w:b/>
      <w:color w:val="717074"/>
      <w:sz w:val="22"/>
      <w:szCs w:val="24"/>
      <w:lang w:eastAsia="en-US"/>
    </w:rPr>
  </w:style>
  <w:style w:type="paragraph" w:styleId="EndnoteText">
    <w:name w:val="endnote text"/>
    <w:basedOn w:val="Normal"/>
    <w:link w:val="EndnoteTextChar"/>
    <w:uiPriority w:val="99"/>
    <w:unhideWhenUsed/>
    <w:rsid w:val="000113B9"/>
    <w:pPr>
      <w:spacing w:after="0" w:line="240" w:lineRule="auto"/>
    </w:pPr>
    <w:rPr>
      <w:rFonts w:ascii="Times New Roman" w:eastAsia="Times New Roman" w:hAnsi="Times New Roman"/>
    </w:rPr>
  </w:style>
  <w:style w:type="character" w:customStyle="1" w:styleId="EndnoteTextChar">
    <w:name w:val="Endnote Text Char"/>
    <w:link w:val="EndnoteText"/>
    <w:uiPriority w:val="99"/>
    <w:rsid w:val="000113B9"/>
    <w:rPr>
      <w:rFonts w:ascii="Times New Roman" w:eastAsia="Times New Roman" w:hAnsi="Times New Roman"/>
    </w:rPr>
  </w:style>
  <w:style w:type="character" w:styleId="FollowedHyperlink">
    <w:name w:val="FollowedHyperlink"/>
    <w:uiPriority w:val="99"/>
    <w:unhideWhenUsed/>
    <w:rsid w:val="000113B9"/>
    <w:rPr>
      <w:color w:val="800080"/>
      <w:u w:val="single"/>
    </w:rPr>
  </w:style>
  <w:style w:type="character" w:styleId="EndnoteReference">
    <w:name w:val="endnote reference"/>
    <w:uiPriority w:val="99"/>
    <w:unhideWhenUsed/>
    <w:rsid w:val="000113B9"/>
    <w:rPr>
      <w:vertAlign w:val="superscript"/>
    </w:rPr>
  </w:style>
  <w:style w:type="paragraph" w:customStyle="1" w:styleId="nwcbodytextblueitalic">
    <w:name w:val="nwc body text blue italic"/>
    <w:basedOn w:val="nwcbodytext"/>
    <w:qFormat/>
    <w:rsid w:val="000113B9"/>
    <w:rPr>
      <w:bCs/>
      <w:i/>
      <w:color w:val="31849B"/>
      <w:lang w:val="en-AU"/>
    </w:rPr>
  </w:style>
  <w:style w:type="paragraph" w:customStyle="1" w:styleId="nwcbullet1blue">
    <w:name w:val="nwc bullet 1 blue"/>
    <w:basedOn w:val="nwcbullet1"/>
    <w:qFormat/>
    <w:rsid w:val="000113B9"/>
    <w:pPr>
      <w:numPr>
        <w:numId w:val="11"/>
      </w:numPr>
    </w:pPr>
    <w:rPr>
      <w:i/>
      <w:noProof w:val="0"/>
      <w:color w:val="31849B"/>
      <w:lang w:val="en-AU"/>
    </w:rPr>
  </w:style>
  <w:style w:type="paragraph" w:customStyle="1" w:styleId="Tabletext1">
    <w:name w:val="Table text"/>
    <w:basedOn w:val="Normal"/>
    <w:uiPriority w:val="17"/>
    <w:rsid w:val="000113B9"/>
    <w:pPr>
      <w:spacing w:before="60" w:after="60" w:line="280" w:lineRule="atLeast"/>
    </w:pPr>
    <w:rPr>
      <w:rFonts w:eastAsia="Times New Roman" w:cs="Arial"/>
    </w:rPr>
  </w:style>
  <w:style w:type="character" w:customStyle="1" w:styleId="nwchyperlinkChar">
    <w:name w:val="nwc hyperlink Char"/>
    <w:rsid w:val="000113B9"/>
    <w:rPr>
      <w:rFonts w:ascii="Arial" w:hAnsi="Arial" w:cs="Arial" w:hint="default"/>
      <w:i/>
      <w:iCs w:val="0"/>
      <w:noProof/>
      <w:color w:val="0000FF"/>
      <w:u w:val="single"/>
      <w:lang w:val="en-AU" w:eastAsia="en-AU" w:bidi="ar-SA"/>
    </w:rPr>
  </w:style>
  <w:style w:type="table" w:customStyle="1" w:styleId="LightList-Accent11">
    <w:name w:val="Light List - Accent 11"/>
    <w:basedOn w:val="TableNormal"/>
    <w:uiPriority w:val="61"/>
    <w:rsid w:val="006A0443"/>
    <w:rPr>
      <w:rFonts w:ascii="Calibri" w:eastAsia="Times New Roman"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Recital">
    <w:name w:val="_Recital"/>
    <w:basedOn w:val="Normal"/>
    <w:rsid w:val="006A0443"/>
    <w:pPr>
      <w:numPr>
        <w:numId w:val="13"/>
      </w:numPr>
      <w:spacing w:before="140" w:after="140" w:line="280" w:lineRule="atLeast"/>
    </w:pPr>
    <w:rPr>
      <w:rFonts w:eastAsia="Times New Roman" w:cs="Arial"/>
      <w:sz w:val="22"/>
      <w:szCs w:val="22"/>
      <w:lang w:eastAsia="en-AU"/>
    </w:rPr>
  </w:style>
  <w:style w:type="paragraph" w:customStyle="1" w:styleId="subsectiontext">
    <w:name w:val="subsectiontext"/>
    <w:basedOn w:val="Normal"/>
    <w:rsid w:val="006A0443"/>
    <w:pPr>
      <w:spacing w:before="100" w:beforeAutospacing="1" w:after="100" w:afterAutospacing="1" w:line="240" w:lineRule="auto"/>
    </w:pPr>
    <w:rPr>
      <w:rFonts w:ascii="Times New Roman" w:eastAsia="Times New Roman" w:hAnsi="Times New Roman"/>
      <w:sz w:val="24"/>
      <w:lang w:eastAsia="en-AU"/>
    </w:rPr>
  </w:style>
  <w:style w:type="paragraph" w:customStyle="1" w:styleId="subsectionnote">
    <w:name w:val="subsectionnote"/>
    <w:basedOn w:val="Normal"/>
    <w:rsid w:val="006A0443"/>
    <w:pPr>
      <w:spacing w:before="100" w:beforeAutospacing="1" w:after="100" w:afterAutospacing="1" w:line="240" w:lineRule="auto"/>
    </w:pPr>
    <w:rPr>
      <w:rFonts w:ascii="Times New Roman" w:eastAsia="Times New Roman" w:hAnsi="Times New Roman"/>
      <w:sz w:val="24"/>
      <w:lang w:eastAsia="en-AU"/>
    </w:rPr>
  </w:style>
  <w:style w:type="paragraph" w:customStyle="1" w:styleId="sectionheading">
    <w:name w:val="sectionheading"/>
    <w:basedOn w:val="Normal"/>
    <w:rsid w:val="006A0443"/>
    <w:pPr>
      <w:spacing w:before="100" w:beforeAutospacing="1" w:after="100" w:afterAutospacing="1" w:line="240" w:lineRule="auto"/>
    </w:pPr>
    <w:rPr>
      <w:rFonts w:ascii="Times New Roman" w:eastAsia="Times New Roman" w:hAnsi="Times New Roman"/>
      <w:sz w:val="24"/>
      <w:lang w:eastAsia="en-AU"/>
    </w:rPr>
  </w:style>
  <w:style w:type="character" w:customStyle="1" w:styleId="Heading7Char">
    <w:name w:val="Heading 7 Char"/>
    <w:link w:val="Heading7"/>
    <w:rsid w:val="009B5DF3"/>
    <w:rPr>
      <w:rFonts w:ascii="Calibri" w:eastAsia="MS Gothic" w:hAnsi="Calibri"/>
      <w:i/>
      <w:iCs/>
      <w:color w:val="404040"/>
      <w:sz w:val="18"/>
      <w:szCs w:val="24"/>
      <w:lang w:eastAsia="en-US"/>
    </w:rPr>
  </w:style>
  <w:style w:type="character" w:customStyle="1" w:styleId="Heading8Char">
    <w:name w:val="Heading 8 Char"/>
    <w:link w:val="Heading8"/>
    <w:rsid w:val="009B5DF3"/>
    <w:rPr>
      <w:rFonts w:ascii="Calibri" w:eastAsia="MS Gothic" w:hAnsi="Calibri"/>
      <w:color w:val="404040"/>
      <w:lang w:eastAsia="en-US"/>
    </w:rPr>
  </w:style>
  <w:style w:type="character" w:customStyle="1" w:styleId="Heading9Char">
    <w:name w:val="Heading 9 Char"/>
    <w:link w:val="Heading9"/>
    <w:rsid w:val="009B5DF3"/>
    <w:rPr>
      <w:rFonts w:ascii="Calibri" w:eastAsia="MS Gothic" w:hAnsi="Calibri"/>
      <w:i/>
      <w:iCs/>
      <w:color w:val="404040"/>
      <w:lang w:eastAsia="en-US"/>
    </w:rPr>
  </w:style>
  <w:style w:type="paragraph" w:customStyle="1" w:styleId="TableTextLeft">
    <w:name w:val="Table Text Left"/>
    <w:uiPriority w:val="99"/>
    <w:rsid w:val="009B5DF3"/>
    <w:pPr>
      <w:widowControl w:val="0"/>
      <w:suppressAutoHyphens/>
      <w:autoSpaceDE w:val="0"/>
      <w:autoSpaceDN w:val="0"/>
      <w:adjustRightInd w:val="0"/>
      <w:spacing w:after="113" w:line="250" w:lineRule="atLeast"/>
      <w:textAlignment w:val="center"/>
    </w:pPr>
    <w:rPr>
      <w:rFonts w:ascii="Arial" w:hAnsi="Arial" w:cs="TradeGothicLTStd-Light"/>
      <w:color w:val="000000"/>
      <w:spacing w:val="-1"/>
      <w:sz w:val="18"/>
      <w:szCs w:val="18"/>
      <w:lang w:val="en-US" w:eastAsia="en-US"/>
    </w:rPr>
  </w:style>
  <w:style w:type="paragraph" w:customStyle="1" w:styleId="TOCHeading2">
    <w:name w:val="TOC Heading2"/>
    <w:basedOn w:val="Heading1"/>
    <w:next w:val="BodyText"/>
    <w:rsid w:val="009B5DF3"/>
    <w:pPr>
      <w:outlineLvl w:val="9"/>
    </w:pPr>
    <w:rPr>
      <w:rFonts w:eastAsia="Cambria"/>
      <w:bCs w:val="0"/>
      <w:szCs w:val="24"/>
    </w:rPr>
  </w:style>
  <w:style w:type="numbering" w:customStyle="1" w:styleId="NumbersforHeaders">
    <w:name w:val="Numbers for Headers"/>
    <w:uiPriority w:val="99"/>
    <w:rsid w:val="009B5DF3"/>
    <w:pPr>
      <w:numPr>
        <w:numId w:val="21"/>
      </w:numPr>
    </w:pPr>
  </w:style>
  <w:style w:type="paragraph" w:customStyle="1" w:styleId="TableNotes">
    <w:name w:val="TableNotes"/>
    <w:basedOn w:val="TableText"/>
    <w:qFormat/>
    <w:rsid w:val="00F229F0"/>
    <w:pPr>
      <w:spacing w:before="40" w:after="0" w:line="240" w:lineRule="auto"/>
    </w:pPr>
    <w:rPr>
      <w:szCs w:val="16"/>
    </w:rPr>
  </w:style>
  <w:style w:type="paragraph" w:customStyle="1" w:styleId="TableNotesHang1">
    <w:name w:val="TableNotesHang1"/>
    <w:basedOn w:val="TableNotes"/>
    <w:qFormat/>
    <w:rsid w:val="009A5CE8"/>
    <w:pPr>
      <w:ind w:left="284" w:hanging="284"/>
    </w:pPr>
  </w:style>
  <w:style w:type="paragraph" w:customStyle="1" w:styleId="TableNotesHang2">
    <w:name w:val="TableNotesHang2"/>
    <w:basedOn w:val="TableNotesHang1"/>
    <w:qFormat/>
    <w:rsid w:val="009A5CE8"/>
    <w:pPr>
      <w:ind w:left="851" w:hanging="567"/>
    </w:pPr>
  </w:style>
  <w:style w:type="paragraph" w:customStyle="1" w:styleId="TableNotesHang3">
    <w:name w:val="TableNotesHang3"/>
    <w:basedOn w:val="TableNotesHang2"/>
    <w:qFormat/>
    <w:rsid w:val="009A5CE8"/>
    <w:pPr>
      <w:ind w:left="1418"/>
    </w:pPr>
  </w:style>
  <w:style w:type="paragraph" w:styleId="BlockText">
    <w:name w:val="Block Text"/>
    <w:basedOn w:val="Normal"/>
    <w:rsid w:val="009A5C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customStyle="1" w:styleId="TableTextind1">
    <w:name w:val="Table Text ind 1"/>
    <w:basedOn w:val="TableText"/>
    <w:qFormat/>
    <w:rsid w:val="00906020"/>
    <w:pPr>
      <w:ind w:left="284" w:hanging="284"/>
    </w:pPr>
    <w:rPr>
      <w:sz w:val="20"/>
    </w:rPr>
  </w:style>
  <w:style w:type="paragraph" w:customStyle="1" w:styleId="TableTextbullet">
    <w:name w:val="Table Text bullet"/>
    <w:basedOn w:val="TableText"/>
    <w:qFormat/>
    <w:rsid w:val="00532014"/>
    <w:pPr>
      <w:numPr>
        <w:numId w:val="23"/>
      </w:numPr>
      <w:ind w:left="317" w:hanging="284"/>
    </w:pPr>
  </w:style>
  <w:style w:type="paragraph" w:styleId="BodyTextFirstIndent">
    <w:name w:val="Body Text First Indent"/>
    <w:basedOn w:val="BodyText"/>
    <w:link w:val="BodyTextFirstIndentChar"/>
    <w:rsid w:val="0037243A"/>
    <w:pPr>
      <w:ind w:firstLine="360"/>
    </w:pPr>
  </w:style>
  <w:style w:type="character" w:customStyle="1" w:styleId="BodyTextFirstIndentChar">
    <w:name w:val="Body Text First Indent Char"/>
    <w:basedOn w:val="BodyTextChar"/>
    <w:link w:val="BodyTextFirstIndent"/>
    <w:rsid w:val="0037243A"/>
    <w:rPr>
      <w:rFonts w:ascii="Arial" w:hAnsi="Arial"/>
      <w:sz w:val="18"/>
      <w:szCs w:val="24"/>
      <w:lang w:eastAsia="en-US"/>
    </w:rPr>
  </w:style>
  <w:style w:type="paragraph" w:styleId="BodyTextIndent">
    <w:name w:val="Body Text Indent"/>
    <w:basedOn w:val="Normal"/>
    <w:link w:val="BodyTextIndentChar"/>
    <w:rsid w:val="0037243A"/>
    <w:pPr>
      <w:ind w:left="283"/>
    </w:pPr>
  </w:style>
  <w:style w:type="character" w:customStyle="1" w:styleId="BodyTextIndentChar">
    <w:name w:val="Body Text Indent Char"/>
    <w:basedOn w:val="DefaultParagraphFont"/>
    <w:link w:val="BodyTextIndent"/>
    <w:rsid w:val="0037243A"/>
    <w:rPr>
      <w:rFonts w:ascii="Arial" w:hAnsi="Arial"/>
      <w:sz w:val="18"/>
      <w:szCs w:val="24"/>
      <w:lang w:eastAsia="en-US"/>
    </w:rPr>
  </w:style>
  <w:style w:type="paragraph" w:customStyle="1" w:styleId="BodyTextind1">
    <w:name w:val="Body Text ind 1"/>
    <w:basedOn w:val="BodyText"/>
    <w:qFormat/>
    <w:rsid w:val="0037243A"/>
    <w:pPr>
      <w:ind w:left="426" w:hanging="426"/>
    </w:pPr>
    <w:rPr>
      <w:snapToGrid w:val="0"/>
    </w:rPr>
  </w:style>
  <w:style w:type="paragraph" w:customStyle="1" w:styleId="BodyTextind2">
    <w:name w:val="Body Text ind 2"/>
    <w:basedOn w:val="BodyText"/>
    <w:qFormat/>
    <w:rsid w:val="0037243A"/>
    <w:pPr>
      <w:ind w:left="851" w:hanging="425"/>
    </w:pPr>
    <w:rPr>
      <w:snapToGrid w:val="0"/>
    </w:rPr>
  </w:style>
  <w:style w:type="paragraph" w:customStyle="1" w:styleId="TableTextind2">
    <w:name w:val="Table Text ind 2"/>
    <w:basedOn w:val="TableTextind1"/>
    <w:qFormat/>
    <w:rsid w:val="00EB4711"/>
    <w:pPr>
      <w:ind w:left="567"/>
    </w:pPr>
  </w:style>
  <w:style w:type="paragraph" w:customStyle="1" w:styleId="TableTextind3">
    <w:name w:val="Table Text ind 3"/>
    <w:basedOn w:val="TableTextind2"/>
    <w:qFormat/>
    <w:rsid w:val="00EB4711"/>
    <w:pPr>
      <w:ind w:left="851"/>
    </w:pPr>
  </w:style>
  <w:style w:type="paragraph" w:customStyle="1" w:styleId="Normalnumbered">
    <w:name w:val="Normal numbered"/>
    <w:basedOn w:val="Normal"/>
    <w:link w:val="NormalnumberedChar"/>
    <w:rsid w:val="00527D8E"/>
    <w:pPr>
      <w:tabs>
        <w:tab w:val="num" w:pos="283"/>
        <w:tab w:val="num" w:pos="567"/>
        <w:tab w:val="num" w:pos="1134"/>
      </w:tabs>
      <w:spacing w:after="240" w:line="260" w:lineRule="exact"/>
      <w:ind w:left="567" w:hanging="567"/>
      <w:jc w:val="both"/>
    </w:pPr>
    <w:rPr>
      <w:rFonts w:ascii="Corbel" w:eastAsia="Times New Roman" w:hAnsi="Corbel"/>
      <w:color w:val="000000"/>
      <w:sz w:val="23"/>
      <w:lang w:eastAsia="en-AU"/>
    </w:rPr>
  </w:style>
  <w:style w:type="character" w:customStyle="1" w:styleId="NormalnumberedChar">
    <w:name w:val="Normal numbered Char"/>
    <w:basedOn w:val="DefaultParagraphFont"/>
    <w:link w:val="Normalnumbered"/>
    <w:locked/>
    <w:rsid w:val="00527D8E"/>
    <w:rPr>
      <w:rFonts w:ascii="Corbel" w:eastAsia="Times New Roman" w:hAnsi="Corbel"/>
      <w:color w:val="000000"/>
      <w:sz w:val="23"/>
    </w:rPr>
  </w:style>
  <w:style w:type="paragraph" w:customStyle="1" w:styleId="AlphaParagraph0">
    <w:name w:val="Alpha Paragraph"/>
    <w:basedOn w:val="Normal"/>
    <w:link w:val="AlphaParagraphCharChar"/>
    <w:rsid w:val="004F78FB"/>
    <w:pPr>
      <w:numPr>
        <w:numId w:val="34"/>
      </w:numPr>
      <w:spacing w:after="240" w:line="260" w:lineRule="exact"/>
      <w:jc w:val="both"/>
    </w:pPr>
    <w:rPr>
      <w:rFonts w:ascii="Corbel" w:eastAsia="Times New Roman" w:hAnsi="Corbel"/>
      <w:color w:val="000000"/>
      <w:sz w:val="23"/>
      <w:lang w:eastAsia="en-AU"/>
    </w:rPr>
  </w:style>
  <w:style w:type="character" w:customStyle="1" w:styleId="AlphaParagraphCharChar">
    <w:name w:val="Alpha Paragraph Char Char"/>
    <w:basedOn w:val="DefaultParagraphFont"/>
    <w:link w:val="AlphaParagraph0"/>
    <w:locked/>
    <w:rsid w:val="004F78FB"/>
    <w:rPr>
      <w:rFonts w:ascii="Corbel" w:eastAsia="Times New Roman" w:hAnsi="Corbel"/>
      <w:color w:val="000000"/>
      <w:sz w:val="23"/>
    </w:rPr>
  </w:style>
  <w:style w:type="paragraph" w:customStyle="1" w:styleId="Alphaparagraph">
    <w:name w:val="Alpha paragraph"/>
    <w:basedOn w:val="BodyText"/>
    <w:link w:val="AlphaparagraphChar"/>
    <w:qFormat/>
    <w:rsid w:val="005062BA"/>
    <w:pPr>
      <w:numPr>
        <w:numId w:val="12"/>
      </w:numPr>
    </w:pPr>
    <w:rPr>
      <w:sz w:val="20"/>
      <w:szCs w:val="20"/>
    </w:rPr>
  </w:style>
  <w:style w:type="character" w:customStyle="1" w:styleId="AlphaparagraphChar">
    <w:name w:val="Alpha paragraph Char"/>
    <w:basedOn w:val="BodyTextChar"/>
    <w:link w:val="Alphaparagraph"/>
    <w:rsid w:val="005062BA"/>
    <w:rPr>
      <w:rFonts w:ascii="Arial" w:hAnsi="Arial"/>
      <w:sz w:val="18"/>
      <w:szCs w:val="24"/>
      <w:lang w:eastAsia="en-US"/>
    </w:rPr>
  </w:style>
  <w:style w:type="numbering" w:customStyle="1" w:styleId="BulletList">
    <w:name w:val="Bullet List"/>
    <w:uiPriority w:val="99"/>
    <w:rsid w:val="00FB0504"/>
    <w:pPr>
      <w:numPr>
        <w:numId w:val="44"/>
      </w:numPr>
    </w:pPr>
  </w:style>
  <w:style w:type="paragraph" w:styleId="ListBullet">
    <w:name w:val="List Bullet"/>
    <w:basedOn w:val="Normal"/>
    <w:uiPriority w:val="99"/>
    <w:unhideWhenUsed/>
    <w:qFormat/>
    <w:rsid w:val="00FB0504"/>
    <w:pPr>
      <w:numPr>
        <w:numId w:val="45"/>
      </w:numPr>
    </w:pPr>
  </w:style>
  <w:style w:type="paragraph" w:styleId="ListBullet2">
    <w:name w:val="List Bullet 2"/>
    <w:basedOn w:val="Normal"/>
    <w:uiPriority w:val="99"/>
    <w:unhideWhenUsed/>
    <w:rsid w:val="00FB0504"/>
    <w:pPr>
      <w:numPr>
        <w:ilvl w:val="1"/>
        <w:numId w:val="45"/>
      </w:numPr>
    </w:pPr>
  </w:style>
  <w:style w:type="paragraph" w:styleId="ListBullet3">
    <w:name w:val="List Bullet 3"/>
    <w:basedOn w:val="Normal"/>
    <w:uiPriority w:val="99"/>
    <w:unhideWhenUsed/>
    <w:rsid w:val="00FB0504"/>
    <w:pPr>
      <w:numPr>
        <w:ilvl w:val="2"/>
        <w:numId w:val="45"/>
      </w:numPr>
    </w:pPr>
  </w:style>
  <w:style w:type="paragraph" w:styleId="ListBullet4">
    <w:name w:val="List Bullet 4"/>
    <w:basedOn w:val="Normal"/>
    <w:uiPriority w:val="99"/>
    <w:unhideWhenUsed/>
    <w:rsid w:val="00FB0504"/>
    <w:pPr>
      <w:numPr>
        <w:ilvl w:val="3"/>
        <w:numId w:val="45"/>
      </w:numPr>
    </w:pPr>
  </w:style>
  <w:style w:type="paragraph" w:styleId="ListBullet5">
    <w:name w:val="List Bullet 5"/>
    <w:basedOn w:val="Normal"/>
    <w:uiPriority w:val="99"/>
    <w:unhideWhenUsed/>
    <w:rsid w:val="00FB0504"/>
    <w:pPr>
      <w:numPr>
        <w:ilvl w:val="4"/>
        <w:numId w:val="45"/>
      </w:numPr>
    </w:pPr>
  </w:style>
  <w:style w:type="numbering" w:customStyle="1" w:styleId="KeyPoints">
    <w:name w:val="Key Points"/>
    <w:basedOn w:val="NoList"/>
    <w:uiPriority w:val="99"/>
    <w:rsid w:val="00FB0504"/>
    <w:pPr>
      <w:numPr>
        <w:numId w:val="46"/>
      </w:numPr>
    </w:pPr>
  </w:style>
  <w:style w:type="paragraph" w:styleId="ListNumber">
    <w:name w:val="List Number"/>
    <w:basedOn w:val="Normal"/>
    <w:uiPriority w:val="99"/>
    <w:qFormat/>
    <w:rsid w:val="00FB0504"/>
    <w:pPr>
      <w:numPr>
        <w:numId w:val="47"/>
      </w:numPr>
    </w:pPr>
  </w:style>
  <w:style w:type="paragraph" w:styleId="ListNumber2">
    <w:name w:val="List Number 2"/>
    <w:basedOn w:val="Normal"/>
    <w:uiPriority w:val="99"/>
    <w:rsid w:val="00FB0504"/>
    <w:pPr>
      <w:numPr>
        <w:ilvl w:val="1"/>
        <w:numId w:val="47"/>
      </w:numPr>
    </w:pPr>
  </w:style>
  <w:style w:type="paragraph" w:styleId="ListNumber3">
    <w:name w:val="List Number 3"/>
    <w:basedOn w:val="Normal"/>
    <w:uiPriority w:val="99"/>
    <w:rsid w:val="00FB0504"/>
    <w:pPr>
      <w:numPr>
        <w:ilvl w:val="2"/>
        <w:numId w:val="47"/>
      </w:numPr>
    </w:pPr>
  </w:style>
  <w:style w:type="paragraph" w:styleId="ListNumber4">
    <w:name w:val="List Number 4"/>
    <w:basedOn w:val="Normal"/>
    <w:uiPriority w:val="99"/>
    <w:rsid w:val="00FB0504"/>
    <w:pPr>
      <w:numPr>
        <w:ilvl w:val="3"/>
        <w:numId w:val="47"/>
      </w:numPr>
    </w:pPr>
  </w:style>
  <w:style w:type="paragraph" w:styleId="ListNumber5">
    <w:name w:val="List Number 5"/>
    <w:basedOn w:val="Normal"/>
    <w:uiPriority w:val="99"/>
    <w:rsid w:val="00FB0504"/>
    <w:pPr>
      <w:numPr>
        <w:ilvl w:val="4"/>
        <w:numId w:val="47"/>
      </w:numPr>
    </w:pPr>
  </w:style>
</w:styles>
</file>

<file path=word/webSettings.xml><?xml version="1.0" encoding="utf-8"?>
<w:webSettings xmlns:r="http://schemas.openxmlformats.org/officeDocument/2006/relationships" xmlns:w="http://schemas.openxmlformats.org/wordprocessingml/2006/main">
  <w:divs>
    <w:div w:id="201288063">
      <w:bodyDiv w:val="1"/>
      <w:marLeft w:val="0"/>
      <w:marRight w:val="0"/>
      <w:marTop w:val="0"/>
      <w:marBottom w:val="0"/>
      <w:divBdr>
        <w:top w:val="none" w:sz="0" w:space="0" w:color="auto"/>
        <w:left w:val="none" w:sz="0" w:space="0" w:color="auto"/>
        <w:bottom w:val="none" w:sz="0" w:space="0" w:color="auto"/>
        <w:right w:val="none" w:sz="0" w:space="0" w:color="auto"/>
      </w:divBdr>
    </w:div>
    <w:div w:id="244801305">
      <w:bodyDiv w:val="1"/>
      <w:marLeft w:val="0"/>
      <w:marRight w:val="0"/>
      <w:marTop w:val="0"/>
      <w:marBottom w:val="0"/>
      <w:divBdr>
        <w:top w:val="none" w:sz="0" w:space="0" w:color="auto"/>
        <w:left w:val="none" w:sz="0" w:space="0" w:color="auto"/>
        <w:bottom w:val="none" w:sz="0" w:space="0" w:color="auto"/>
        <w:right w:val="none" w:sz="0" w:space="0" w:color="auto"/>
      </w:divBdr>
      <w:divsChild>
        <w:div w:id="1526940847">
          <w:marLeft w:val="0"/>
          <w:marRight w:val="0"/>
          <w:marTop w:val="0"/>
          <w:marBottom w:val="0"/>
          <w:divBdr>
            <w:top w:val="none" w:sz="0" w:space="0" w:color="auto"/>
            <w:left w:val="none" w:sz="0" w:space="0" w:color="auto"/>
            <w:bottom w:val="none" w:sz="0" w:space="0" w:color="auto"/>
            <w:right w:val="none" w:sz="0" w:space="0" w:color="auto"/>
          </w:divBdr>
          <w:divsChild>
            <w:div w:id="210461318">
              <w:marLeft w:val="0"/>
              <w:marRight w:val="0"/>
              <w:marTop w:val="0"/>
              <w:marBottom w:val="0"/>
              <w:divBdr>
                <w:top w:val="none" w:sz="0" w:space="0" w:color="auto"/>
                <w:left w:val="none" w:sz="0" w:space="0" w:color="auto"/>
                <w:bottom w:val="none" w:sz="0" w:space="0" w:color="auto"/>
                <w:right w:val="none" w:sz="0" w:space="0" w:color="auto"/>
              </w:divBdr>
              <w:divsChild>
                <w:div w:id="720206550">
                  <w:marLeft w:val="0"/>
                  <w:marRight w:val="0"/>
                  <w:marTop w:val="0"/>
                  <w:marBottom w:val="0"/>
                  <w:divBdr>
                    <w:top w:val="none" w:sz="0" w:space="0" w:color="auto"/>
                    <w:left w:val="none" w:sz="0" w:space="0" w:color="auto"/>
                    <w:bottom w:val="none" w:sz="0" w:space="0" w:color="auto"/>
                    <w:right w:val="none" w:sz="0" w:space="0" w:color="auto"/>
                  </w:divBdr>
                  <w:divsChild>
                    <w:div w:id="1339623923">
                      <w:marLeft w:val="0"/>
                      <w:marRight w:val="0"/>
                      <w:marTop w:val="0"/>
                      <w:marBottom w:val="0"/>
                      <w:divBdr>
                        <w:top w:val="none" w:sz="0" w:space="0" w:color="auto"/>
                        <w:left w:val="none" w:sz="0" w:space="0" w:color="auto"/>
                        <w:bottom w:val="none" w:sz="0" w:space="0" w:color="auto"/>
                        <w:right w:val="none" w:sz="0" w:space="0" w:color="auto"/>
                      </w:divBdr>
                      <w:divsChild>
                        <w:div w:id="941061821">
                          <w:marLeft w:val="0"/>
                          <w:marRight w:val="0"/>
                          <w:marTop w:val="0"/>
                          <w:marBottom w:val="0"/>
                          <w:divBdr>
                            <w:top w:val="none" w:sz="0" w:space="0" w:color="auto"/>
                            <w:left w:val="none" w:sz="0" w:space="0" w:color="auto"/>
                            <w:bottom w:val="none" w:sz="0" w:space="0" w:color="auto"/>
                            <w:right w:val="none" w:sz="0" w:space="0" w:color="auto"/>
                          </w:divBdr>
                          <w:divsChild>
                            <w:div w:id="78207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8827">
      <w:bodyDiv w:val="1"/>
      <w:marLeft w:val="0"/>
      <w:marRight w:val="0"/>
      <w:marTop w:val="0"/>
      <w:marBottom w:val="0"/>
      <w:divBdr>
        <w:top w:val="none" w:sz="0" w:space="0" w:color="auto"/>
        <w:left w:val="none" w:sz="0" w:space="0" w:color="auto"/>
        <w:bottom w:val="none" w:sz="0" w:space="0" w:color="auto"/>
        <w:right w:val="none" w:sz="0" w:space="0" w:color="auto"/>
      </w:divBdr>
    </w:div>
    <w:div w:id="434525351">
      <w:bodyDiv w:val="1"/>
      <w:marLeft w:val="0"/>
      <w:marRight w:val="0"/>
      <w:marTop w:val="0"/>
      <w:marBottom w:val="0"/>
      <w:divBdr>
        <w:top w:val="none" w:sz="0" w:space="0" w:color="auto"/>
        <w:left w:val="none" w:sz="0" w:space="0" w:color="auto"/>
        <w:bottom w:val="none" w:sz="0" w:space="0" w:color="auto"/>
        <w:right w:val="none" w:sz="0" w:space="0" w:color="auto"/>
      </w:divBdr>
    </w:div>
    <w:div w:id="753161931">
      <w:bodyDiv w:val="1"/>
      <w:marLeft w:val="0"/>
      <w:marRight w:val="0"/>
      <w:marTop w:val="0"/>
      <w:marBottom w:val="0"/>
      <w:divBdr>
        <w:top w:val="none" w:sz="0" w:space="0" w:color="auto"/>
        <w:left w:val="none" w:sz="0" w:space="0" w:color="auto"/>
        <w:bottom w:val="none" w:sz="0" w:space="0" w:color="auto"/>
        <w:right w:val="none" w:sz="0" w:space="0" w:color="auto"/>
      </w:divBdr>
      <w:divsChild>
        <w:div w:id="1536041524">
          <w:marLeft w:val="0"/>
          <w:marRight w:val="0"/>
          <w:marTop w:val="0"/>
          <w:marBottom w:val="0"/>
          <w:divBdr>
            <w:top w:val="none" w:sz="0" w:space="0" w:color="auto"/>
            <w:left w:val="none" w:sz="0" w:space="0" w:color="auto"/>
            <w:bottom w:val="none" w:sz="0" w:space="0" w:color="auto"/>
            <w:right w:val="none" w:sz="0" w:space="0" w:color="auto"/>
          </w:divBdr>
          <w:divsChild>
            <w:div w:id="1998917195">
              <w:marLeft w:val="0"/>
              <w:marRight w:val="0"/>
              <w:marTop w:val="0"/>
              <w:marBottom w:val="0"/>
              <w:divBdr>
                <w:top w:val="none" w:sz="0" w:space="0" w:color="auto"/>
                <w:left w:val="none" w:sz="0" w:space="0" w:color="auto"/>
                <w:bottom w:val="none" w:sz="0" w:space="0" w:color="auto"/>
                <w:right w:val="none" w:sz="0" w:space="0" w:color="auto"/>
              </w:divBdr>
              <w:divsChild>
                <w:div w:id="2076732844">
                  <w:marLeft w:val="0"/>
                  <w:marRight w:val="0"/>
                  <w:marTop w:val="0"/>
                  <w:marBottom w:val="0"/>
                  <w:divBdr>
                    <w:top w:val="none" w:sz="0" w:space="0" w:color="auto"/>
                    <w:left w:val="none" w:sz="0" w:space="0" w:color="auto"/>
                    <w:bottom w:val="none" w:sz="0" w:space="0" w:color="auto"/>
                    <w:right w:val="none" w:sz="0" w:space="0" w:color="auto"/>
                  </w:divBdr>
                  <w:divsChild>
                    <w:div w:id="1570116626">
                      <w:marLeft w:val="0"/>
                      <w:marRight w:val="0"/>
                      <w:marTop w:val="0"/>
                      <w:marBottom w:val="0"/>
                      <w:divBdr>
                        <w:top w:val="none" w:sz="0" w:space="0" w:color="auto"/>
                        <w:left w:val="none" w:sz="0" w:space="0" w:color="auto"/>
                        <w:bottom w:val="none" w:sz="0" w:space="0" w:color="auto"/>
                        <w:right w:val="none" w:sz="0" w:space="0" w:color="auto"/>
                      </w:divBdr>
                      <w:divsChild>
                        <w:div w:id="1396703721">
                          <w:marLeft w:val="0"/>
                          <w:marRight w:val="0"/>
                          <w:marTop w:val="0"/>
                          <w:marBottom w:val="0"/>
                          <w:divBdr>
                            <w:top w:val="none" w:sz="0" w:space="0" w:color="auto"/>
                            <w:left w:val="none" w:sz="0" w:space="0" w:color="auto"/>
                            <w:bottom w:val="none" w:sz="0" w:space="0" w:color="auto"/>
                            <w:right w:val="none" w:sz="0" w:space="0" w:color="auto"/>
                          </w:divBdr>
                          <w:divsChild>
                            <w:div w:id="742067783">
                              <w:marLeft w:val="0"/>
                              <w:marRight w:val="0"/>
                              <w:marTop w:val="0"/>
                              <w:marBottom w:val="0"/>
                              <w:divBdr>
                                <w:top w:val="none" w:sz="0" w:space="0" w:color="auto"/>
                                <w:left w:val="none" w:sz="0" w:space="0" w:color="auto"/>
                                <w:bottom w:val="none" w:sz="0" w:space="0" w:color="auto"/>
                                <w:right w:val="none" w:sz="0" w:space="0" w:color="auto"/>
                              </w:divBdr>
                              <w:divsChild>
                                <w:div w:id="108012058">
                                  <w:marLeft w:val="0"/>
                                  <w:marRight w:val="0"/>
                                  <w:marTop w:val="0"/>
                                  <w:marBottom w:val="0"/>
                                  <w:divBdr>
                                    <w:top w:val="none" w:sz="0" w:space="0" w:color="auto"/>
                                    <w:left w:val="none" w:sz="0" w:space="0" w:color="auto"/>
                                    <w:bottom w:val="none" w:sz="0" w:space="0" w:color="auto"/>
                                    <w:right w:val="none" w:sz="0" w:space="0" w:color="auto"/>
                                  </w:divBdr>
                                </w:div>
                                <w:div w:id="1476337107">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278596">
      <w:bodyDiv w:val="1"/>
      <w:marLeft w:val="0"/>
      <w:marRight w:val="0"/>
      <w:marTop w:val="0"/>
      <w:marBottom w:val="0"/>
      <w:divBdr>
        <w:top w:val="none" w:sz="0" w:space="0" w:color="auto"/>
        <w:left w:val="none" w:sz="0" w:space="0" w:color="auto"/>
        <w:bottom w:val="none" w:sz="0" w:space="0" w:color="auto"/>
        <w:right w:val="none" w:sz="0" w:space="0" w:color="auto"/>
      </w:divBdr>
    </w:div>
    <w:div w:id="1325812718">
      <w:bodyDiv w:val="1"/>
      <w:marLeft w:val="0"/>
      <w:marRight w:val="0"/>
      <w:marTop w:val="0"/>
      <w:marBottom w:val="0"/>
      <w:divBdr>
        <w:top w:val="none" w:sz="0" w:space="0" w:color="auto"/>
        <w:left w:val="none" w:sz="0" w:space="0" w:color="auto"/>
        <w:bottom w:val="none" w:sz="0" w:space="0" w:color="auto"/>
        <w:right w:val="none" w:sz="0" w:space="0" w:color="auto"/>
      </w:divBdr>
    </w:div>
    <w:div w:id="1619678046">
      <w:bodyDiv w:val="1"/>
      <w:marLeft w:val="0"/>
      <w:marRight w:val="0"/>
      <w:marTop w:val="0"/>
      <w:marBottom w:val="0"/>
      <w:divBdr>
        <w:top w:val="none" w:sz="0" w:space="0" w:color="auto"/>
        <w:left w:val="none" w:sz="0" w:space="0" w:color="auto"/>
        <w:bottom w:val="none" w:sz="0" w:space="0" w:color="auto"/>
        <w:right w:val="none" w:sz="0" w:space="0" w:color="auto"/>
      </w:divBdr>
      <w:divsChild>
        <w:div w:id="1804352292">
          <w:marLeft w:val="0"/>
          <w:marRight w:val="0"/>
          <w:marTop w:val="0"/>
          <w:marBottom w:val="0"/>
          <w:divBdr>
            <w:top w:val="none" w:sz="0" w:space="0" w:color="auto"/>
            <w:left w:val="none" w:sz="0" w:space="0" w:color="auto"/>
            <w:bottom w:val="none" w:sz="0" w:space="0" w:color="auto"/>
            <w:right w:val="none" w:sz="0" w:space="0" w:color="auto"/>
          </w:divBdr>
          <w:divsChild>
            <w:div w:id="130758896">
              <w:marLeft w:val="0"/>
              <w:marRight w:val="0"/>
              <w:marTop w:val="0"/>
              <w:marBottom w:val="0"/>
              <w:divBdr>
                <w:top w:val="none" w:sz="0" w:space="0" w:color="auto"/>
                <w:left w:val="none" w:sz="0" w:space="0" w:color="auto"/>
                <w:bottom w:val="none" w:sz="0" w:space="0" w:color="auto"/>
                <w:right w:val="none" w:sz="0" w:space="0" w:color="auto"/>
              </w:divBdr>
              <w:divsChild>
                <w:div w:id="1741782172">
                  <w:marLeft w:val="0"/>
                  <w:marRight w:val="0"/>
                  <w:marTop w:val="0"/>
                  <w:marBottom w:val="0"/>
                  <w:divBdr>
                    <w:top w:val="none" w:sz="0" w:space="0" w:color="auto"/>
                    <w:left w:val="none" w:sz="0" w:space="0" w:color="auto"/>
                    <w:bottom w:val="none" w:sz="0" w:space="0" w:color="auto"/>
                    <w:right w:val="none" w:sz="0" w:space="0" w:color="auto"/>
                  </w:divBdr>
                  <w:divsChild>
                    <w:div w:id="1247150480">
                      <w:marLeft w:val="0"/>
                      <w:marRight w:val="0"/>
                      <w:marTop w:val="0"/>
                      <w:marBottom w:val="0"/>
                      <w:divBdr>
                        <w:top w:val="none" w:sz="0" w:space="0" w:color="auto"/>
                        <w:left w:val="none" w:sz="0" w:space="0" w:color="auto"/>
                        <w:bottom w:val="none" w:sz="0" w:space="0" w:color="auto"/>
                        <w:right w:val="none" w:sz="0" w:space="0" w:color="auto"/>
                      </w:divBdr>
                      <w:divsChild>
                        <w:div w:id="826895560">
                          <w:marLeft w:val="0"/>
                          <w:marRight w:val="0"/>
                          <w:marTop w:val="0"/>
                          <w:marBottom w:val="0"/>
                          <w:divBdr>
                            <w:top w:val="none" w:sz="0" w:space="0" w:color="auto"/>
                            <w:left w:val="none" w:sz="0" w:space="0" w:color="auto"/>
                            <w:bottom w:val="none" w:sz="0" w:space="0" w:color="auto"/>
                            <w:right w:val="none" w:sz="0" w:space="0" w:color="auto"/>
                          </w:divBdr>
                          <w:divsChild>
                            <w:div w:id="10038176">
                              <w:marLeft w:val="0"/>
                              <w:marRight w:val="0"/>
                              <w:marTop w:val="0"/>
                              <w:marBottom w:val="0"/>
                              <w:divBdr>
                                <w:top w:val="none" w:sz="0" w:space="0" w:color="auto"/>
                                <w:left w:val="none" w:sz="0" w:space="0" w:color="auto"/>
                                <w:bottom w:val="none" w:sz="0" w:space="0" w:color="auto"/>
                                <w:right w:val="none" w:sz="0" w:space="0" w:color="auto"/>
                              </w:divBdr>
                              <w:divsChild>
                                <w:div w:id="13117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4036392">
      <w:bodyDiv w:val="1"/>
      <w:marLeft w:val="0"/>
      <w:marRight w:val="0"/>
      <w:marTop w:val="0"/>
      <w:marBottom w:val="0"/>
      <w:divBdr>
        <w:top w:val="none" w:sz="0" w:space="0" w:color="auto"/>
        <w:left w:val="none" w:sz="0" w:space="0" w:color="auto"/>
        <w:bottom w:val="none" w:sz="0" w:space="0" w:color="auto"/>
        <w:right w:val="none" w:sz="0" w:space="0" w:color="auto"/>
      </w:divBdr>
      <w:divsChild>
        <w:div w:id="1787580902">
          <w:marLeft w:val="0"/>
          <w:marRight w:val="0"/>
          <w:marTop w:val="0"/>
          <w:marBottom w:val="0"/>
          <w:divBdr>
            <w:top w:val="none" w:sz="0" w:space="0" w:color="auto"/>
            <w:left w:val="none" w:sz="0" w:space="0" w:color="auto"/>
            <w:bottom w:val="none" w:sz="0" w:space="0" w:color="auto"/>
            <w:right w:val="none" w:sz="0" w:space="0" w:color="auto"/>
          </w:divBdr>
          <w:divsChild>
            <w:div w:id="2035954214">
              <w:marLeft w:val="0"/>
              <w:marRight w:val="0"/>
              <w:marTop w:val="0"/>
              <w:marBottom w:val="0"/>
              <w:divBdr>
                <w:top w:val="none" w:sz="0" w:space="0" w:color="auto"/>
                <w:left w:val="none" w:sz="0" w:space="0" w:color="auto"/>
                <w:bottom w:val="none" w:sz="0" w:space="0" w:color="auto"/>
                <w:right w:val="none" w:sz="0" w:space="0" w:color="auto"/>
              </w:divBdr>
              <w:divsChild>
                <w:div w:id="556742896">
                  <w:marLeft w:val="0"/>
                  <w:marRight w:val="0"/>
                  <w:marTop w:val="0"/>
                  <w:marBottom w:val="0"/>
                  <w:divBdr>
                    <w:top w:val="none" w:sz="0" w:space="0" w:color="auto"/>
                    <w:left w:val="none" w:sz="0" w:space="0" w:color="auto"/>
                    <w:bottom w:val="none" w:sz="0" w:space="0" w:color="auto"/>
                    <w:right w:val="none" w:sz="0" w:space="0" w:color="auto"/>
                  </w:divBdr>
                  <w:divsChild>
                    <w:div w:id="1394962047">
                      <w:marLeft w:val="0"/>
                      <w:marRight w:val="0"/>
                      <w:marTop w:val="0"/>
                      <w:marBottom w:val="0"/>
                      <w:divBdr>
                        <w:top w:val="none" w:sz="0" w:space="0" w:color="auto"/>
                        <w:left w:val="none" w:sz="0" w:space="0" w:color="auto"/>
                        <w:bottom w:val="none" w:sz="0" w:space="0" w:color="auto"/>
                        <w:right w:val="none" w:sz="0" w:space="0" w:color="auto"/>
                      </w:divBdr>
                      <w:divsChild>
                        <w:div w:id="237205801">
                          <w:marLeft w:val="0"/>
                          <w:marRight w:val="0"/>
                          <w:marTop w:val="0"/>
                          <w:marBottom w:val="0"/>
                          <w:divBdr>
                            <w:top w:val="none" w:sz="0" w:space="0" w:color="auto"/>
                            <w:left w:val="none" w:sz="0" w:space="0" w:color="auto"/>
                            <w:bottom w:val="none" w:sz="0" w:space="0" w:color="auto"/>
                            <w:right w:val="none" w:sz="0" w:space="0" w:color="auto"/>
                          </w:divBdr>
                          <w:divsChild>
                            <w:div w:id="1957832240">
                              <w:marLeft w:val="0"/>
                              <w:marRight w:val="0"/>
                              <w:marTop w:val="0"/>
                              <w:marBottom w:val="0"/>
                              <w:divBdr>
                                <w:top w:val="none" w:sz="0" w:space="0" w:color="auto"/>
                                <w:left w:val="none" w:sz="0" w:space="0" w:color="auto"/>
                                <w:bottom w:val="none" w:sz="0" w:space="0" w:color="auto"/>
                                <w:right w:val="none" w:sz="0" w:space="0" w:color="auto"/>
                              </w:divBdr>
                              <w:divsChild>
                                <w:div w:id="885872766">
                                  <w:marLeft w:val="0"/>
                                  <w:marRight w:val="0"/>
                                  <w:marTop w:val="0"/>
                                  <w:marBottom w:val="0"/>
                                  <w:divBdr>
                                    <w:top w:val="none" w:sz="0" w:space="0" w:color="auto"/>
                                    <w:left w:val="none" w:sz="0" w:space="0" w:color="auto"/>
                                    <w:bottom w:val="none" w:sz="0" w:space="0" w:color="auto"/>
                                    <w:right w:val="none" w:sz="0" w:space="0" w:color="auto"/>
                                  </w:divBdr>
                                </w:div>
                                <w:div w:id="2509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vironment.nsw.gov.au/environmentalwater/murray-lower-darling.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nvironment.nsw.gov.au/environmentalwater/lachlan.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ironment.nsw.gov.au/environmentalwater/Murrumbidgee.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nvironment.nsw.gov.au/environmentalwater/macquarie.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nvironment.nsw.gov.au/environmentalwater/Gwydir.ht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mdba.gov.au/what-we-do/water-planning/sdl/proposals" TargetMode="External"/><Relationship Id="rId3" Type="http://schemas.openxmlformats.org/officeDocument/2006/relationships/hyperlink" Target="https://www.waterconnect.sa.gov.au/Systems/WTR/Pages/default.aspx" TargetMode="External"/><Relationship Id="rId7" Type="http://schemas.openxmlformats.org/officeDocument/2006/relationships/hyperlink" Target="http://www.vewh.vic.gov.au/news-and-resources/resource-library/watering-update" TargetMode="External"/><Relationship Id="rId2" Type="http://schemas.openxmlformats.org/officeDocument/2006/relationships/hyperlink" Target="http://www.mdba.gov.au/what-we-do/water-planning/sdl/proposals" TargetMode="External"/><Relationship Id="rId1" Type="http://schemas.openxmlformats.org/officeDocument/2006/relationships/hyperlink" Target="http://www.environment.nsw.gov.au/environmentalwater/planning-reporting.htm" TargetMode="External"/><Relationship Id="rId6" Type="http://schemas.openxmlformats.org/officeDocument/2006/relationships/hyperlink" Target="http://www.vewh.vic.gov.au/__data/assets/pdf_file/0011/305687/Seasonal-Watering-Plan-15_16_Northern_Region.pdf" TargetMode="External"/><Relationship Id="rId5" Type="http://schemas.openxmlformats.org/officeDocument/2006/relationships/hyperlink" Target="http://www.mdba.gov.au/what-we-do/water-planning/sdl/proposals" TargetMode="External"/><Relationship Id="rId4" Type="http://schemas.openxmlformats.org/officeDocument/2006/relationships/hyperlink" Target="http://www.environment.sa.gov.au/managing-natural-resources/river-murray/river-restoration-and-environmental-wa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ACB7E-F014-467C-B1D4-1B94A488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9636</Words>
  <Characters>54931</Characters>
  <Application>Microsoft Office Word</Application>
  <DocSecurity>0</DocSecurity>
  <Lines>457</Lines>
  <Paragraphs>128</Paragraphs>
  <ScaleCrop>false</ScaleCrop>
  <Company/>
  <LinksUpToDate>false</LinksUpToDate>
  <CharactersWithSpaces>64439</CharactersWithSpaces>
  <SharedDoc>false</SharedDoc>
  <HLinks>
    <vt:vector size="120" baseType="variant">
      <vt:variant>
        <vt:i4>1048631</vt:i4>
      </vt:variant>
      <vt:variant>
        <vt:i4>116</vt:i4>
      </vt:variant>
      <vt:variant>
        <vt:i4>0</vt:i4>
      </vt:variant>
      <vt:variant>
        <vt:i4>5</vt:i4>
      </vt:variant>
      <vt:variant>
        <vt:lpwstr/>
      </vt:variant>
      <vt:variant>
        <vt:lpwstr>_Toc360811582</vt:lpwstr>
      </vt:variant>
      <vt:variant>
        <vt:i4>1048631</vt:i4>
      </vt:variant>
      <vt:variant>
        <vt:i4>110</vt:i4>
      </vt:variant>
      <vt:variant>
        <vt:i4>0</vt:i4>
      </vt:variant>
      <vt:variant>
        <vt:i4>5</vt:i4>
      </vt:variant>
      <vt:variant>
        <vt:lpwstr/>
      </vt:variant>
      <vt:variant>
        <vt:lpwstr>_Toc360811581</vt:lpwstr>
      </vt:variant>
      <vt:variant>
        <vt:i4>1703995</vt:i4>
      </vt:variant>
      <vt:variant>
        <vt:i4>101</vt:i4>
      </vt:variant>
      <vt:variant>
        <vt:i4>0</vt:i4>
      </vt:variant>
      <vt:variant>
        <vt:i4>5</vt:i4>
      </vt:variant>
      <vt:variant>
        <vt:lpwstr/>
      </vt:variant>
      <vt:variant>
        <vt:lpwstr>_Toc360811920</vt:lpwstr>
      </vt:variant>
      <vt:variant>
        <vt:i4>1638459</vt:i4>
      </vt:variant>
      <vt:variant>
        <vt:i4>95</vt:i4>
      </vt:variant>
      <vt:variant>
        <vt:i4>0</vt:i4>
      </vt:variant>
      <vt:variant>
        <vt:i4>5</vt:i4>
      </vt:variant>
      <vt:variant>
        <vt:lpwstr/>
      </vt:variant>
      <vt:variant>
        <vt:lpwstr>_Toc360811919</vt:lpwstr>
      </vt:variant>
      <vt:variant>
        <vt:i4>1638459</vt:i4>
      </vt:variant>
      <vt:variant>
        <vt:i4>89</vt:i4>
      </vt:variant>
      <vt:variant>
        <vt:i4>0</vt:i4>
      </vt:variant>
      <vt:variant>
        <vt:i4>5</vt:i4>
      </vt:variant>
      <vt:variant>
        <vt:lpwstr/>
      </vt:variant>
      <vt:variant>
        <vt:lpwstr>_Toc360811918</vt:lpwstr>
      </vt:variant>
      <vt:variant>
        <vt:i4>1638459</vt:i4>
      </vt:variant>
      <vt:variant>
        <vt:i4>83</vt:i4>
      </vt:variant>
      <vt:variant>
        <vt:i4>0</vt:i4>
      </vt:variant>
      <vt:variant>
        <vt:i4>5</vt:i4>
      </vt:variant>
      <vt:variant>
        <vt:lpwstr/>
      </vt:variant>
      <vt:variant>
        <vt:lpwstr>_Toc360811917</vt:lpwstr>
      </vt:variant>
      <vt:variant>
        <vt:i4>1638459</vt:i4>
      </vt:variant>
      <vt:variant>
        <vt:i4>77</vt:i4>
      </vt:variant>
      <vt:variant>
        <vt:i4>0</vt:i4>
      </vt:variant>
      <vt:variant>
        <vt:i4>5</vt:i4>
      </vt:variant>
      <vt:variant>
        <vt:lpwstr/>
      </vt:variant>
      <vt:variant>
        <vt:lpwstr>_Toc360811916</vt:lpwstr>
      </vt:variant>
      <vt:variant>
        <vt:i4>1638459</vt:i4>
      </vt:variant>
      <vt:variant>
        <vt:i4>71</vt:i4>
      </vt:variant>
      <vt:variant>
        <vt:i4>0</vt:i4>
      </vt:variant>
      <vt:variant>
        <vt:i4>5</vt:i4>
      </vt:variant>
      <vt:variant>
        <vt:lpwstr/>
      </vt:variant>
      <vt:variant>
        <vt:lpwstr>_Toc360811915</vt:lpwstr>
      </vt:variant>
      <vt:variant>
        <vt:i4>1638459</vt:i4>
      </vt:variant>
      <vt:variant>
        <vt:i4>65</vt:i4>
      </vt:variant>
      <vt:variant>
        <vt:i4>0</vt:i4>
      </vt:variant>
      <vt:variant>
        <vt:i4>5</vt:i4>
      </vt:variant>
      <vt:variant>
        <vt:lpwstr/>
      </vt:variant>
      <vt:variant>
        <vt:lpwstr>_Toc360811914</vt:lpwstr>
      </vt:variant>
      <vt:variant>
        <vt:i4>1638459</vt:i4>
      </vt:variant>
      <vt:variant>
        <vt:i4>59</vt:i4>
      </vt:variant>
      <vt:variant>
        <vt:i4>0</vt:i4>
      </vt:variant>
      <vt:variant>
        <vt:i4>5</vt:i4>
      </vt:variant>
      <vt:variant>
        <vt:lpwstr/>
      </vt:variant>
      <vt:variant>
        <vt:lpwstr>_Toc360811913</vt:lpwstr>
      </vt:variant>
      <vt:variant>
        <vt:i4>1638459</vt:i4>
      </vt:variant>
      <vt:variant>
        <vt:i4>53</vt:i4>
      </vt:variant>
      <vt:variant>
        <vt:i4>0</vt:i4>
      </vt:variant>
      <vt:variant>
        <vt:i4>5</vt:i4>
      </vt:variant>
      <vt:variant>
        <vt:lpwstr/>
      </vt:variant>
      <vt:variant>
        <vt:lpwstr>_Toc360811912</vt:lpwstr>
      </vt:variant>
      <vt:variant>
        <vt:i4>1638459</vt:i4>
      </vt:variant>
      <vt:variant>
        <vt:i4>47</vt:i4>
      </vt:variant>
      <vt:variant>
        <vt:i4>0</vt:i4>
      </vt:variant>
      <vt:variant>
        <vt:i4>5</vt:i4>
      </vt:variant>
      <vt:variant>
        <vt:lpwstr/>
      </vt:variant>
      <vt:variant>
        <vt:lpwstr>_Toc360811911</vt:lpwstr>
      </vt:variant>
      <vt:variant>
        <vt:i4>1638459</vt:i4>
      </vt:variant>
      <vt:variant>
        <vt:i4>41</vt:i4>
      </vt:variant>
      <vt:variant>
        <vt:i4>0</vt:i4>
      </vt:variant>
      <vt:variant>
        <vt:i4>5</vt:i4>
      </vt:variant>
      <vt:variant>
        <vt:lpwstr/>
      </vt:variant>
      <vt:variant>
        <vt:lpwstr>_Toc360811910</vt:lpwstr>
      </vt:variant>
      <vt:variant>
        <vt:i4>1572923</vt:i4>
      </vt:variant>
      <vt:variant>
        <vt:i4>35</vt:i4>
      </vt:variant>
      <vt:variant>
        <vt:i4>0</vt:i4>
      </vt:variant>
      <vt:variant>
        <vt:i4>5</vt:i4>
      </vt:variant>
      <vt:variant>
        <vt:lpwstr/>
      </vt:variant>
      <vt:variant>
        <vt:lpwstr>_Toc360811909</vt:lpwstr>
      </vt:variant>
      <vt:variant>
        <vt:i4>1572923</vt:i4>
      </vt:variant>
      <vt:variant>
        <vt:i4>29</vt:i4>
      </vt:variant>
      <vt:variant>
        <vt:i4>0</vt:i4>
      </vt:variant>
      <vt:variant>
        <vt:i4>5</vt:i4>
      </vt:variant>
      <vt:variant>
        <vt:lpwstr/>
      </vt:variant>
      <vt:variant>
        <vt:lpwstr>_Toc360811908</vt:lpwstr>
      </vt:variant>
      <vt:variant>
        <vt:i4>1572923</vt:i4>
      </vt:variant>
      <vt:variant>
        <vt:i4>23</vt:i4>
      </vt:variant>
      <vt:variant>
        <vt:i4>0</vt:i4>
      </vt:variant>
      <vt:variant>
        <vt:i4>5</vt:i4>
      </vt:variant>
      <vt:variant>
        <vt:lpwstr/>
      </vt:variant>
      <vt:variant>
        <vt:lpwstr>_Toc360811907</vt:lpwstr>
      </vt:variant>
      <vt:variant>
        <vt:i4>1572923</vt:i4>
      </vt:variant>
      <vt:variant>
        <vt:i4>17</vt:i4>
      </vt:variant>
      <vt:variant>
        <vt:i4>0</vt:i4>
      </vt:variant>
      <vt:variant>
        <vt:i4>5</vt:i4>
      </vt:variant>
      <vt:variant>
        <vt:lpwstr/>
      </vt:variant>
      <vt:variant>
        <vt:lpwstr>_Toc360811906</vt:lpwstr>
      </vt:variant>
      <vt:variant>
        <vt:i4>1572923</vt:i4>
      </vt:variant>
      <vt:variant>
        <vt:i4>11</vt:i4>
      </vt:variant>
      <vt:variant>
        <vt:i4>0</vt:i4>
      </vt:variant>
      <vt:variant>
        <vt:i4>5</vt:i4>
      </vt:variant>
      <vt:variant>
        <vt:lpwstr/>
      </vt:variant>
      <vt:variant>
        <vt:lpwstr>_Toc360811905</vt:lpwstr>
      </vt:variant>
      <vt:variant>
        <vt:i4>1572923</vt:i4>
      </vt:variant>
      <vt:variant>
        <vt:i4>5</vt:i4>
      </vt:variant>
      <vt:variant>
        <vt:i4>0</vt:i4>
      </vt:variant>
      <vt:variant>
        <vt:i4>5</vt:i4>
      </vt:variant>
      <vt:variant>
        <vt:lpwstr/>
      </vt:variant>
      <vt:variant>
        <vt:lpwstr>_Toc360811904</vt:lpwstr>
      </vt:variant>
      <vt:variant>
        <vt:i4>7864350</vt:i4>
      </vt:variant>
      <vt:variant>
        <vt:i4>0</vt:i4>
      </vt:variant>
      <vt:variant>
        <vt:i4>0</vt:i4>
      </vt:variant>
      <vt:variant>
        <vt:i4>5</vt:i4>
      </vt:variant>
      <vt:variant>
        <vt:lpwstr>mailto:enquiries@nwc.gov.au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2015-12-15T00:13:00Z</dcterms:created>
  <dcterms:modified xsi:type="dcterms:W3CDTF">2015-12-15T00:13:00Z</dcterms:modified>
</cp:coreProperties>
</file>