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EC" w:rsidRDefault="00E103EC" w:rsidP="00424C1B">
      <w:pPr>
        <w:spacing w:after="0" w:line="240" w:lineRule="auto"/>
        <w:jc w:val="center"/>
        <w:rPr>
          <w:b/>
        </w:rPr>
      </w:pPr>
    </w:p>
    <w:p w:rsidR="00424C1B" w:rsidRDefault="00424C1B" w:rsidP="00424C1B">
      <w:pPr>
        <w:spacing w:after="0" w:line="240" w:lineRule="auto"/>
        <w:jc w:val="center"/>
        <w:rPr>
          <w:b/>
        </w:rPr>
      </w:pPr>
      <w:r w:rsidRPr="00B90A16">
        <w:rPr>
          <w:b/>
        </w:rPr>
        <w:t xml:space="preserve">NATIONAL PARTNERSHIP AGREEMENT ON COAL SEAM GAS AND </w:t>
      </w:r>
      <w:r>
        <w:rPr>
          <w:b/>
        </w:rPr>
        <w:br/>
      </w:r>
      <w:r w:rsidRPr="00B90A16">
        <w:rPr>
          <w:b/>
        </w:rPr>
        <w:t>LARGE COAL MINING DEVELOPMENT</w:t>
      </w:r>
    </w:p>
    <w:p w:rsidR="00727749" w:rsidRPr="00B90A16" w:rsidRDefault="00727749" w:rsidP="00424C1B">
      <w:pPr>
        <w:spacing w:after="0" w:line="240" w:lineRule="auto"/>
        <w:jc w:val="center"/>
        <w:rPr>
          <w:b/>
        </w:rPr>
      </w:pPr>
    </w:p>
    <w:p w:rsidR="00424C1B" w:rsidRPr="00B90A16" w:rsidRDefault="0041044F" w:rsidP="00424C1B">
      <w:pPr>
        <w:spacing w:after="0" w:line="240" w:lineRule="auto"/>
        <w:jc w:val="center"/>
        <w:rPr>
          <w:b/>
        </w:rPr>
      </w:pPr>
      <w:r>
        <w:rPr>
          <w:b/>
        </w:rPr>
        <w:t xml:space="preserve"> </w:t>
      </w:r>
      <w:r w:rsidR="00424C1B" w:rsidRPr="00B90A16">
        <w:rPr>
          <w:b/>
        </w:rPr>
        <w:t>Clause 21 Report</w:t>
      </w:r>
    </w:p>
    <w:p w:rsidR="00424C1B" w:rsidRDefault="00424C1B" w:rsidP="00424C1B">
      <w:pPr>
        <w:spacing w:after="0" w:line="240" w:lineRule="auto"/>
      </w:pPr>
    </w:p>
    <w:p w:rsidR="00727749" w:rsidRDefault="00727749" w:rsidP="00424C1B">
      <w:pPr>
        <w:spacing w:after="0" w:line="240" w:lineRule="auto"/>
      </w:pPr>
    </w:p>
    <w:p w:rsidR="00DF6410" w:rsidRDefault="00DF6410" w:rsidP="00424C1B">
      <w:r>
        <w:t xml:space="preserve">This report has been jointly prepared by the Parties to the </w:t>
      </w:r>
      <w:bookmarkStart w:id="0" w:name="OLE_LINK1"/>
      <w:bookmarkStart w:id="1" w:name="OLE_LINK2"/>
      <w:r w:rsidR="00424C1B">
        <w:t xml:space="preserve">National Partnership Agreement on Coal Seam Gas and Large Coal Mining Development </w:t>
      </w:r>
      <w:bookmarkEnd w:id="0"/>
      <w:bookmarkEnd w:id="1"/>
      <w:r w:rsidR="00424C1B">
        <w:t>(the Agreement)</w:t>
      </w:r>
      <w:r>
        <w:t>.</w:t>
      </w:r>
    </w:p>
    <w:p w:rsidR="00424C1B" w:rsidRDefault="00DF6410" w:rsidP="00424C1B">
      <w:r>
        <w:t>The Agreement</w:t>
      </w:r>
      <w:r w:rsidR="00424C1B">
        <w:t xml:space="preserve"> between the Commonwealth and Queensland, New South Wales, </w:t>
      </w:r>
      <w:r>
        <w:t>South Australian and Victorian G</w:t>
      </w:r>
      <w:r w:rsidR="00424C1B">
        <w:t>overnments was established in 2012. The Agreement aims to strengthen the regulation of coal seam gas and large coal mining development by ensuring that decisions are informed by substantially improved science and independent expert advice.</w:t>
      </w:r>
    </w:p>
    <w:p w:rsidR="00424C1B" w:rsidRDefault="00424C1B" w:rsidP="00424C1B">
      <w:r>
        <w:t xml:space="preserve">The Commonwealth established the Independent Expert Scientific Committee on Coal Seam Gas and Large Coal Mining Development (the IESC) under the </w:t>
      </w:r>
      <w:r>
        <w:rPr>
          <w:i/>
        </w:rPr>
        <w:t xml:space="preserve">Environment Protection and Biodiversity Conservation Act 1999 </w:t>
      </w:r>
      <w:r>
        <w:t>(EPBC Act) in November 2012. The Agreement provides for the Commonwealth and signatory states to the Agreement to seek advice from the IESC at appropriate stages of the approvals process for coal seam gas or large coal mining development proposals that are likely to have a significant impact on water resources, and on which the Party is intending to make a regulatory decision.</w:t>
      </w:r>
    </w:p>
    <w:p w:rsidR="00424C1B" w:rsidRDefault="00424C1B" w:rsidP="00424C1B">
      <w:r>
        <w:t>Clause 21 of the Agreement requires the Parties to:</w:t>
      </w:r>
    </w:p>
    <w:p w:rsidR="00424C1B" w:rsidRPr="00E7566F" w:rsidRDefault="00424C1B" w:rsidP="00424C1B">
      <w:pPr>
        <w:spacing w:after="0" w:line="240" w:lineRule="auto"/>
        <w:ind w:left="720"/>
      </w:pPr>
      <w:r>
        <w:rPr>
          <w:i/>
        </w:rPr>
        <w:t>...r</w:t>
      </w:r>
      <w:r w:rsidRPr="00174153">
        <w:rPr>
          <w:i/>
        </w:rPr>
        <w:t>eport to the Standing Council on En</w:t>
      </w:r>
      <w:r>
        <w:rPr>
          <w:i/>
        </w:rPr>
        <w:t>vironment and Water by 30 April </w:t>
      </w:r>
      <w:r w:rsidRPr="00174153">
        <w:rPr>
          <w:i/>
        </w:rPr>
        <w:t>2014 on their performance in referring app</w:t>
      </w:r>
      <w:r>
        <w:rPr>
          <w:i/>
        </w:rPr>
        <w:t>lications to the IESC between 1 April 2013 and 31 March </w:t>
      </w:r>
      <w:r w:rsidRPr="00174153">
        <w:rPr>
          <w:i/>
        </w:rPr>
        <w:t>2014</w:t>
      </w:r>
    </w:p>
    <w:p w:rsidR="00424C1B" w:rsidRDefault="00424C1B" w:rsidP="00424C1B">
      <w:pPr>
        <w:spacing w:after="0" w:line="240" w:lineRule="auto"/>
        <w:rPr>
          <w:b/>
        </w:rPr>
      </w:pPr>
    </w:p>
    <w:p w:rsidR="00424C1B" w:rsidRDefault="00424C1B" w:rsidP="00424C1B">
      <w:pPr>
        <w:spacing w:after="0" w:line="240" w:lineRule="auto"/>
      </w:pPr>
      <w:r>
        <w:t xml:space="preserve">As the Standing Council on Environment and Water was discontinued in December 2013, the Parties have agreed to satisfy Clause 21 by providing this report on their performance. </w:t>
      </w:r>
    </w:p>
    <w:p w:rsidR="00424C1B" w:rsidRDefault="00424C1B" w:rsidP="00424C1B">
      <w:pPr>
        <w:spacing w:after="0" w:line="240" w:lineRule="auto"/>
      </w:pPr>
    </w:p>
    <w:p w:rsidR="00424C1B" w:rsidRDefault="00424C1B" w:rsidP="00424C1B">
      <w:pPr>
        <w:spacing w:after="0" w:line="240" w:lineRule="auto"/>
      </w:pPr>
      <w:r>
        <w:t xml:space="preserve">Table 1 below identifies the number of project applications referred to the IESC for advice by each Party for the period 1 April 2013 to 31 March 2014. </w:t>
      </w:r>
    </w:p>
    <w:p w:rsidR="00727749" w:rsidRDefault="00727749" w:rsidP="00424C1B">
      <w:pPr>
        <w:spacing w:after="0" w:line="240" w:lineRule="auto"/>
      </w:pPr>
    </w:p>
    <w:p w:rsidR="00424C1B" w:rsidRDefault="00424C1B" w:rsidP="00424C1B">
      <w:pPr>
        <w:spacing w:after="0" w:line="240" w:lineRule="auto"/>
      </w:pPr>
    </w:p>
    <w:p w:rsidR="00424C1B" w:rsidRPr="008C52E8" w:rsidRDefault="00424C1B" w:rsidP="00424C1B">
      <w:pPr>
        <w:spacing w:after="0" w:line="240" w:lineRule="auto"/>
        <w:ind w:left="1440"/>
        <w:rPr>
          <w:sz w:val="18"/>
          <w:szCs w:val="18"/>
        </w:rPr>
      </w:pPr>
      <w:proofErr w:type="gramStart"/>
      <w:r w:rsidRPr="008C52E8">
        <w:rPr>
          <w:b/>
          <w:sz w:val="18"/>
          <w:szCs w:val="18"/>
        </w:rPr>
        <w:t>Table 1.</w:t>
      </w:r>
      <w:proofErr w:type="gramEnd"/>
      <w:r w:rsidRPr="008C52E8">
        <w:rPr>
          <w:sz w:val="18"/>
          <w:szCs w:val="18"/>
        </w:rPr>
        <w:t xml:space="preserve"> Number of project applications referred by each Party to the IESC.</w:t>
      </w:r>
    </w:p>
    <w:p w:rsidR="00424C1B" w:rsidRDefault="00424C1B" w:rsidP="00424C1B">
      <w:pPr>
        <w:spacing w:after="0" w:line="240" w:lineRule="auto"/>
      </w:pPr>
    </w:p>
    <w:tbl>
      <w:tblPr>
        <w:tblStyle w:val="MediumShading1-Accent11"/>
        <w:tblW w:w="0" w:type="auto"/>
        <w:jc w:val="center"/>
        <w:tblLook w:val="04A0"/>
      </w:tblPr>
      <w:tblGrid>
        <w:gridCol w:w="3201"/>
        <w:gridCol w:w="2835"/>
      </w:tblGrid>
      <w:tr w:rsidR="00424C1B" w:rsidRPr="00FC4BF2" w:rsidTr="00424C1B">
        <w:trPr>
          <w:cnfStyle w:val="100000000000"/>
          <w:trHeight w:val="616"/>
          <w:jc w:val="center"/>
        </w:trPr>
        <w:tc>
          <w:tcPr>
            <w:cnfStyle w:val="001000000000"/>
            <w:tcW w:w="3201" w:type="dxa"/>
          </w:tcPr>
          <w:p w:rsidR="00424C1B" w:rsidRPr="00FC4BF2" w:rsidRDefault="00424C1B" w:rsidP="00424C1B">
            <w:pPr>
              <w:spacing w:after="0" w:line="240" w:lineRule="auto"/>
              <w:rPr>
                <w:sz w:val="18"/>
                <w:szCs w:val="18"/>
              </w:rPr>
            </w:pPr>
            <w:r w:rsidRPr="00FC4BF2">
              <w:rPr>
                <w:sz w:val="18"/>
                <w:szCs w:val="18"/>
              </w:rPr>
              <w:t>Jurisdiction</w:t>
            </w:r>
          </w:p>
        </w:tc>
        <w:tc>
          <w:tcPr>
            <w:tcW w:w="2835" w:type="dxa"/>
          </w:tcPr>
          <w:p w:rsidR="00424C1B" w:rsidRPr="00FC4BF2" w:rsidRDefault="00424C1B" w:rsidP="00424C1B">
            <w:pPr>
              <w:spacing w:after="0" w:line="240" w:lineRule="auto"/>
              <w:cnfStyle w:val="100000000000"/>
              <w:rPr>
                <w:sz w:val="18"/>
                <w:szCs w:val="18"/>
              </w:rPr>
            </w:pPr>
            <w:r w:rsidRPr="00FC4BF2">
              <w:rPr>
                <w:sz w:val="18"/>
                <w:szCs w:val="18"/>
              </w:rPr>
              <w:t>No. of applications referred to IESC between 1 April 2013 and 31 March 2014</w:t>
            </w:r>
          </w:p>
        </w:tc>
      </w:tr>
      <w:tr w:rsidR="00424C1B" w:rsidRPr="00FC4BF2" w:rsidTr="00424C1B">
        <w:trPr>
          <w:cnfStyle w:val="000000100000"/>
          <w:trHeight w:val="326"/>
          <w:jc w:val="center"/>
        </w:trPr>
        <w:tc>
          <w:tcPr>
            <w:cnfStyle w:val="001000000000"/>
            <w:tcW w:w="3201" w:type="dxa"/>
          </w:tcPr>
          <w:p w:rsidR="00424C1B" w:rsidRPr="00FC4BF2" w:rsidRDefault="00424C1B" w:rsidP="00424C1B">
            <w:pPr>
              <w:spacing w:after="0" w:line="240" w:lineRule="auto"/>
              <w:rPr>
                <w:b w:val="0"/>
                <w:sz w:val="18"/>
                <w:szCs w:val="18"/>
              </w:rPr>
            </w:pPr>
            <w:r w:rsidRPr="00FC4BF2">
              <w:rPr>
                <w:b w:val="0"/>
                <w:sz w:val="18"/>
                <w:szCs w:val="18"/>
              </w:rPr>
              <w:t>Commonwealth</w:t>
            </w:r>
          </w:p>
        </w:tc>
        <w:tc>
          <w:tcPr>
            <w:tcW w:w="2835" w:type="dxa"/>
          </w:tcPr>
          <w:p w:rsidR="00424C1B" w:rsidRPr="00FC4BF2" w:rsidRDefault="00424C1B" w:rsidP="00424C1B">
            <w:pPr>
              <w:spacing w:after="0" w:line="240" w:lineRule="auto"/>
              <w:cnfStyle w:val="000000100000"/>
              <w:rPr>
                <w:sz w:val="18"/>
                <w:szCs w:val="18"/>
              </w:rPr>
            </w:pPr>
            <w:r w:rsidRPr="00FC4BF2">
              <w:rPr>
                <w:sz w:val="18"/>
                <w:szCs w:val="18"/>
              </w:rPr>
              <w:t>13</w:t>
            </w:r>
          </w:p>
        </w:tc>
      </w:tr>
      <w:tr w:rsidR="00424C1B" w:rsidRPr="00FC4BF2" w:rsidTr="00424C1B">
        <w:trPr>
          <w:cnfStyle w:val="000000010000"/>
          <w:trHeight w:val="326"/>
          <w:jc w:val="center"/>
        </w:trPr>
        <w:tc>
          <w:tcPr>
            <w:cnfStyle w:val="001000000000"/>
            <w:tcW w:w="3201" w:type="dxa"/>
          </w:tcPr>
          <w:p w:rsidR="00424C1B" w:rsidRPr="00FC4BF2" w:rsidRDefault="00424C1B" w:rsidP="00424C1B">
            <w:pPr>
              <w:spacing w:after="0" w:line="240" w:lineRule="auto"/>
              <w:rPr>
                <w:b w:val="0"/>
                <w:sz w:val="18"/>
                <w:szCs w:val="18"/>
              </w:rPr>
            </w:pPr>
            <w:r w:rsidRPr="00FC4BF2">
              <w:rPr>
                <w:b w:val="0"/>
                <w:sz w:val="18"/>
                <w:szCs w:val="18"/>
              </w:rPr>
              <w:t>Joint Commonwealth &amp; Queensland</w:t>
            </w:r>
          </w:p>
        </w:tc>
        <w:tc>
          <w:tcPr>
            <w:tcW w:w="2835" w:type="dxa"/>
          </w:tcPr>
          <w:p w:rsidR="00424C1B" w:rsidRPr="00FC4BF2" w:rsidRDefault="00592815" w:rsidP="00424C1B">
            <w:pPr>
              <w:spacing w:after="0" w:line="240" w:lineRule="auto"/>
              <w:cnfStyle w:val="000000010000"/>
              <w:rPr>
                <w:sz w:val="18"/>
                <w:szCs w:val="18"/>
              </w:rPr>
            </w:pPr>
            <w:r>
              <w:rPr>
                <w:sz w:val="18"/>
                <w:szCs w:val="18"/>
              </w:rPr>
              <w:t>6</w:t>
            </w:r>
          </w:p>
        </w:tc>
      </w:tr>
      <w:tr w:rsidR="00424C1B" w:rsidRPr="00FC4BF2" w:rsidTr="00424C1B">
        <w:trPr>
          <w:cnfStyle w:val="000000100000"/>
          <w:trHeight w:val="326"/>
          <w:jc w:val="center"/>
        </w:trPr>
        <w:tc>
          <w:tcPr>
            <w:cnfStyle w:val="001000000000"/>
            <w:tcW w:w="3201" w:type="dxa"/>
          </w:tcPr>
          <w:p w:rsidR="00424C1B" w:rsidRPr="00FC4BF2" w:rsidRDefault="00424C1B" w:rsidP="00424C1B">
            <w:pPr>
              <w:spacing w:after="0" w:line="240" w:lineRule="auto"/>
              <w:rPr>
                <w:b w:val="0"/>
                <w:sz w:val="18"/>
                <w:szCs w:val="18"/>
              </w:rPr>
            </w:pPr>
            <w:r w:rsidRPr="00FC4BF2">
              <w:rPr>
                <w:b w:val="0"/>
                <w:sz w:val="18"/>
                <w:szCs w:val="18"/>
              </w:rPr>
              <w:t>Queensland</w:t>
            </w:r>
          </w:p>
        </w:tc>
        <w:tc>
          <w:tcPr>
            <w:tcW w:w="2835" w:type="dxa"/>
          </w:tcPr>
          <w:p w:rsidR="00424C1B" w:rsidRPr="00FC4BF2" w:rsidRDefault="00592815" w:rsidP="00424C1B">
            <w:pPr>
              <w:spacing w:after="0" w:line="240" w:lineRule="auto"/>
              <w:cnfStyle w:val="000000100000"/>
              <w:rPr>
                <w:sz w:val="18"/>
                <w:szCs w:val="18"/>
              </w:rPr>
            </w:pPr>
            <w:r>
              <w:rPr>
                <w:sz w:val="18"/>
                <w:szCs w:val="18"/>
              </w:rPr>
              <w:t>4</w:t>
            </w:r>
          </w:p>
        </w:tc>
      </w:tr>
      <w:tr w:rsidR="00424C1B" w:rsidRPr="00FC4BF2" w:rsidTr="00424C1B">
        <w:trPr>
          <w:cnfStyle w:val="000000010000"/>
          <w:trHeight w:val="308"/>
          <w:jc w:val="center"/>
        </w:trPr>
        <w:tc>
          <w:tcPr>
            <w:cnfStyle w:val="001000000000"/>
            <w:tcW w:w="3201" w:type="dxa"/>
          </w:tcPr>
          <w:p w:rsidR="00424C1B" w:rsidRPr="00FC4BF2" w:rsidRDefault="00424C1B" w:rsidP="00424C1B">
            <w:pPr>
              <w:spacing w:after="0" w:line="240" w:lineRule="auto"/>
              <w:rPr>
                <w:b w:val="0"/>
                <w:sz w:val="18"/>
                <w:szCs w:val="18"/>
              </w:rPr>
            </w:pPr>
            <w:r w:rsidRPr="00FC4BF2">
              <w:rPr>
                <w:b w:val="0"/>
                <w:sz w:val="18"/>
                <w:szCs w:val="18"/>
              </w:rPr>
              <w:t>New South Wales</w:t>
            </w:r>
          </w:p>
        </w:tc>
        <w:tc>
          <w:tcPr>
            <w:tcW w:w="2835" w:type="dxa"/>
          </w:tcPr>
          <w:p w:rsidR="00424C1B" w:rsidRPr="00FC4BF2" w:rsidRDefault="001E1C32" w:rsidP="00424C1B">
            <w:pPr>
              <w:spacing w:after="0" w:line="240" w:lineRule="auto"/>
              <w:cnfStyle w:val="000000010000"/>
              <w:rPr>
                <w:sz w:val="18"/>
                <w:szCs w:val="18"/>
              </w:rPr>
            </w:pPr>
            <w:r>
              <w:rPr>
                <w:sz w:val="18"/>
                <w:szCs w:val="18"/>
              </w:rPr>
              <w:t>2</w:t>
            </w:r>
          </w:p>
        </w:tc>
      </w:tr>
      <w:tr w:rsidR="00424C1B" w:rsidRPr="00FC4BF2" w:rsidTr="00424C1B">
        <w:trPr>
          <w:cnfStyle w:val="000000100000"/>
          <w:trHeight w:val="326"/>
          <w:jc w:val="center"/>
        </w:trPr>
        <w:tc>
          <w:tcPr>
            <w:cnfStyle w:val="001000000000"/>
            <w:tcW w:w="3201" w:type="dxa"/>
          </w:tcPr>
          <w:p w:rsidR="00424C1B" w:rsidRPr="00FC4BF2" w:rsidRDefault="00424C1B" w:rsidP="00424C1B">
            <w:pPr>
              <w:spacing w:after="0" w:line="240" w:lineRule="auto"/>
              <w:rPr>
                <w:b w:val="0"/>
                <w:sz w:val="18"/>
                <w:szCs w:val="18"/>
              </w:rPr>
            </w:pPr>
            <w:r w:rsidRPr="00FC4BF2">
              <w:rPr>
                <w:b w:val="0"/>
                <w:sz w:val="18"/>
                <w:szCs w:val="18"/>
              </w:rPr>
              <w:t>Victoria</w:t>
            </w:r>
          </w:p>
        </w:tc>
        <w:tc>
          <w:tcPr>
            <w:tcW w:w="2835" w:type="dxa"/>
          </w:tcPr>
          <w:p w:rsidR="00424C1B" w:rsidRPr="00FC4BF2" w:rsidRDefault="00424C1B" w:rsidP="00424C1B">
            <w:pPr>
              <w:spacing w:after="0" w:line="240" w:lineRule="auto"/>
              <w:cnfStyle w:val="000000100000"/>
              <w:rPr>
                <w:sz w:val="18"/>
                <w:szCs w:val="18"/>
              </w:rPr>
            </w:pPr>
            <w:r>
              <w:rPr>
                <w:sz w:val="18"/>
                <w:szCs w:val="18"/>
              </w:rPr>
              <w:t>0</w:t>
            </w:r>
          </w:p>
        </w:tc>
      </w:tr>
      <w:tr w:rsidR="00424C1B" w:rsidRPr="00FC4BF2" w:rsidTr="00424C1B">
        <w:trPr>
          <w:cnfStyle w:val="000000010000"/>
          <w:trHeight w:val="326"/>
          <w:jc w:val="center"/>
        </w:trPr>
        <w:tc>
          <w:tcPr>
            <w:cnfStyle w:val="001000000000"/>
            <w:tcW w:w="3201" w:type="dxa"/>
          </w:tcPr>
          <w:p w:rsidR="00424C1B" w:rsidRPr="00FC4BF2" w:rsidRDefault="00424C1B" w:rsidP="00424C1B">
            <w:pPr>
              <w:spacing w:after="0" w:line="240" w:lineRule="auto"/>
              <w:rPr>
                <w:b w:val="0"/>
                <w:sz w:val="18"/>
                <w:szCs w:val="18"/>
              </w:rPr>
            </w:pPr>
            <w:r w:rsidRPr="00FC4BF2">
              <w:rPr>
                <w:b w:val="0"/>
                <w:sz w:val="18"/>
                <w:szCs w:val="18"/>
              </w:rPr>
              <w:t>South Australia</w:t>
            </w:r>
          </w:p>
        </w:tc>
        <w:tc>
          <w:tcPr>
            <w:tcW w:w="2835" w:type="dxa"/>
          </w:tcPr>
          <w:p w:rsidR="00424C1B" w:rsidRPr="00FC4BF2" w:rsidRDefault="00424C1B" w:rsidP="00424C1B">
            <w:pPr>
              <w:spacing w:after="0" w:line="240" w:lineRule="auto"/>
              <w:cnfStyle w:val="000000010000"/>
              <w:rPr>
                <w:sz w:val="18"/>
                <w:szCs w:val="18"/>
              </w:rPr>
            </w:pPr>
            <w:r>
              <w:rPr>
                <w:sz w:val="18"/>
                <w:szCs w:val="18"/>
              </w:rPr>
              <w:t>0</w:t>
            </w:r>
          </w:p>
        </w:tc>
      </w:tr>
      <w:tr w:rsidR="00424C1B" w:rsidRPr="00FC4BF2" w:rsidTr="00424C1B">
        <w:trPr>
          <w:cnfStyle w:val="000000100000"/>
          <w:trHeight w:val="308"/>
          <w:jc w:val="center"/>
        </w:trPr>
        <w:tc>
          <w:tcPr>
            <w:cnfStyle w:val="001000000000"/>
            <w:tcW w:w="3201" w:type="dxa"/>
          </w:tcPr>
          <w:p w:rsidR="00424C1B" w:rsidRPr="00FC4BF2" w:rsidRDefault="00424C1B" w:rsidP="00424C1B">
            <w:pPr>
              <w:spacing w:after="0" w:line="240" w:lineRule="auto"/>
              <w:rPr>
                <w:sz w:val="18"/>
                <w:szCs w:val="18"/>
              </w:rPr>
            </w:pPr>
            <w:r w:rsidRPr="00FC4BF2">
              <w:rPr>
                <w:sz w:val="18"/>
                <w:szCs w:val="18"/>
              </w:rPr>
              <w:t>TOTAL</w:t>
            </w:r>
          </w:p>
        </w:tc>
        <w:tc>
          <w:tcPr>
            <w:tcW w:w="2835" w:type="dxa"/>
          </w:tcPr>
          <w:p w:rsidR="00424C1B" w:rsidRPr="00FC4BF2" w:rsidRDefault="001E1C32" w:rsidP="00424C1B">
            <w:pPr>
              <w:spacing w:after="0" w:line="240" w:lineRule="auto"/>
              <w:cnfStyle w:val="000000100000"/>
              <w:rPr>
                <w:b/>
                <w:sz w:val="18"/>
                <w:szCs w:val="18"/>
              </w:rPr>
            </w:pPr>
            <w:r>
              <w:rPr>
                <w:b/>
                <w:sz w:val="18"/>
                <w:szCs w:val="18"/>
              </w:rPr>
              <w:t>2</w:t>
            </w:r>
            <w:r w:rsidR="00592815">
              <w:rPr>
                <w:b/>
                <w:sz w:val="18"/>
                <w:szCs w:val="18"/>
              </w:rPr>
              <w:t>5</w:t>
            </w:r>
          </w:p>
        </w:tc>
      </w:tr>
    </w:tbl>
    <w:p w:rsidR="00424C1B" w:rsidRDefault="00424C1B" w:rsidP="00424C1B">
      <w:pPr>
        <w:spacing w:after="0" w:line="240" w:lineRule="auto"/>
        <w:sectPr w:rsidR="00424C1B" w:rsidSect="001A06CA">
          <w:headerReference w:type="even" r:id="rId11"/>
          <w:headerReference w:type="default" r:id="rId12"/>
          <w:footerReference w:type="even" r:id="rId13"/>
          <w:footerReference w:type="default" r:id="rId14"/>
          <w:headerReference w:type="first" r:id="rId15"/>
          <w:footerReference w:type="first" r:id="rId16"/>
          <w:pgSz w:w="11906" w:h="16838"/>
          <w:pgMar w:top="851" w:right="1274" w:bottom="567" w:left="1276" w:header="425" w:footer="425" w:gutter="0"/>
          <w:pgNumType w:start="1"/>
          <w:cols w:space="708"/>
          <w:titlePg/>
          <w:docGrid w:linePitch="360"/>
        </w:sectPr>
      </w:pPr>
    </w:p>
    <w:p w:rsidR="00424C1B" w:rsidRDefault="00424C1B" w:rsidP="00424C1B">
      <w:pPr>
        <w:spacing w:after="0" w:line="240" w:lineRule="auto"/>
      </w:pPr>
      <w:r w:rsidRPr="00515F68">
        <w:lastRenderedPageBreak/>
        <w:t>Table 2 below</w:t>
      </w:r>
      <w:r>
        <w:t xml:space="preserve"> identifies the project applications referred to the IESC by the Parties for period</w:t>
      </w:r>
      <w:r w:rsidRPr="00515F68">
        <w:t xml:space="preserve"> 1 April 2013 </w:t>
      </w:r>
      <w:r>
        <w:t>to</w:t>
      </w:r>
      <w:r w:rsidRPr="00515F68">
        <w:t xml:space="preserve"> 31 March 2014</w:t>
      </w:r>
      <w:r>
        <w:t>.</w:t>
      </w:r>
    </w:p>
    <w:p w:rsidR="00424C1B" w:rsidRDefault="00424C1B" w:rsidP="00424C1B">
      <w:pPr>
        <w:spacing w:after="0" w:line="240" w:lineRule="auto"/>
      </w:pPr>
    </w:p>
    <w:p w:rsidR="00424C1B" w:rsidRPr="008C52E8" w:rsidRDefault="00424C1B" w:rsidP="00424C1B">
      <w:pPr>
        <w:spacing w:after="0" w:line="240" w:lineRule="auto"/>
        <w:ind w:left="720"/>
        <w:rPr>
          <w:sz w:val="20"/>
          <w:szCs w:val="20"/>
        </w:rPr>
      </w:pPr>
      <w:proofErr w:type="gramStart"/>
      <w:r w:rsidRPr="008C52E8">
        <w:rPr>
          <w:b/>
          <w:sz w:val="20"/>
          <w:szCs w:val="20"/>
        </w:rPr>
        <w:t>Table 2</w:t>
      </w:r>
      <w:r w:rsidRPr="008C52E8">
        <w:rPr>
          <w:sz w:val="20"/>
          <w:szCs w:val="20"/>
        </w:rPr>
        <w:t>.</w:t>
      </w:r>
      <w:proofErr w:type="gramEnd"/>
      <w:r w:rsidRPr="008C52E8">
        <w:rPr>
          <w:sz w:val="20"/>
          <w:szCs w:val="20"/>
        </w:rPr>
        <w:t xml:space="preserve"> </w:t>
      </w:r>
      <w:r>
        <w:rPr>
          <w:sz w:val="20"/>
          <w:szCs w:val="20"/>
        </w:rPr>
        <w:t>Details of p</w:t>
      </w:r>
      <w:r w:rsidRPr="008C52E8">
        <w:rPr>
          <w:sz w:val="20"/>
          <w:szCs w:val="20"/>
        </w:rPr>
        <w:t>roject applications referred to the IESC for advice.</w:t>
      </w:r>
    </w:p>
    <w:p w:rsidR="00424C1B" w:rsidRPr="008C52E8" w:rsidRDefault="00424C1B" w:rsidP="00424C1B">
      <w:pPr>
        <w:spacing w:after="0" w:line="240" w:lineRule="auto"/>
        <w:rPr>
          <w:sz w:val="20"/>
          <w:szCs w:val="20"/>
        </w:rPr>
      </w:pPr>
      <w:r w:rsidRPr="008C52E8">
        <w:rPr>
          <w:sz w:val="20"/>
          <w:szCs w:val="20"/>
        </w:rPr>
        <w:t xml:space="preserve"> </w:t>
      </w:r>
    </w:p>
    <w:tbl>
      <w:tblPr>
        <w:tblStyle w:val="MediumShading1-Accent11"/>
        <w:tblW w:w="0" w:type="auto"/>
        <w:jc w:val="center"/>
        <w:tblInd w:w="-111" w:type="dxa"/>
        <w:tblLook w:val="04A0"/>
      </w:tblPr>
      <w:tblGrid>
        <w:gridCol w:w="416"/>
        <w:gridCol w:w="3162"/>
        <w:gridCol w:w="924"/>
        <w:gridCol w:w="1371"/>
        <w:gridCol w:w="1071"/>
        <w:gridCol w:w="1306"/>
      </w:tblGrid>
      <w:tr w:rsidR="00424C1B" w:rsidRPr="00D77AD0" w:rsidTr="00424C1B">
        <w:trPr>
          <w:cnfStyle w:val="100000000000"/>
          <w:trHeight w:val="472"/>
          <w:jc w:val="center"/>
        </w:trPr>
        <w:tc>
          <w:tcPr>
            <w:cnfStyle w:val="001000000000"/>
            <w:tcW w:w="416" w:type="dxa"/>
          </w:tcPr>
          <w:p w:rsidR="00424C1B" w:rsidRPr="00D77AD0" w:rsidRDefault="00424C1B" w:rsidP="00424C1B">
            <w:pPr>
              <w:spacing w:after="60" w:line="240" w:lineRule="auto"/>
              <w:jc w:val="center"/>
              <w:rPr>
                <w:rFonts w:eastAsia="Times New Roman" w:cs="Arial"/>
                <w:bCs w:val="0"/>
                <w:sz w:val="16"/>
                <w:szCs w:val="16"/>
                <w:lang w:eastAsia="en-AU"/>
              </w:rPr>
            </w:pPr>
            <w:r w:rsidRPr="00D77AD0">
              <w:rPr>
                <w:rFonts w:eastAsia="Times New Roman" w:cs="Arial"/>
                <w:bCs w:val="0"/>
                <w:sz w:val="16"/>
                <w:szCs w:val="16"/>
                <w:lang w:eastAsia="en-AU"/>
              </w:rPr>
              <w:t>#</w:t>
            </w:r>
          </w:p>
        </w:tc>
        <w:tc>
          <w:tcPr>
            <w:tcW w:w="3162" w:type="dxa"/>
          </w:tcPr>
          <w:p w:rsidR="00424C1B" w:rsidRPr="00D77AD0" w:rsidRDefault="00424C1B" w:rsidP="00424C1B">
            <w:pPr>
              <w:spacing w:after="60" w:line="240" w:lineRule="auto"/>
              <w:cnfStyle w:val="100000000000"/>
              <w:rPr>
                <w:rFonts w:eastAsia="Times New Roman" w:cs="Arial"/>
                <w:bCs w:val="0"/>
                <w:sz w:val="16"/>
                <w:szCs w:val="16"/>
                <w:lang w:eastAsia="en-AU"/>
              </w:rPr>
            </w:pPr>
            <w:r w:rsidRPr="00D77AD0">
              <w:rPr>
                <w:rFonts w:eastAsia="Times New Roman" w:cs="Arial"/>
                <w:bCs w:val="0"/>
                <w:sz w:val="16"/>
                <w:szCs w:val="16"/>
                <w:lang w:eastAsia="en-AU"/>
              </w:rPr>
              <w:t>Project Title</w:t>
            </w:r>
          </w:p>
        </w:tc>
        <w:tc>
          <w:tcPr>
            <w:tcW w:w="924" w:type="dxa"/>
          </w:tcPr>
          <w:p w:rsidR="00424C1B" w:rsidRPr="00D77AD0" w:rsidRDefault="00424C1B" w:rsidP="00424C1B">
            <w:pPr>
              <w:spacing w:after="60" w:line="240" w:lineRule="auto"/>
              <w:jc w:val="center"/>
              <w:cnfStyle w:val="100000000000"/>
              <w:rPr>
                <w:rFonts w:eastAsia="Times New Roman" w:cs="Arial"/>
                <w:bCs w:val="0"/>
                <w:sz w:val="16"/>
                <w:szCs w:val="16"/>
                <w:lang w:eastAsia="en-AU"/>
              </w:rPr>
            </w:pPr>
            <w:r w:rsidRPr="00D77AD0">
              <w:rPr>
                <w:rFonts w:eastAsia="Times New Roman" w:cs="Arial"/>
                <w:bCs w:val="0"/>
                <w:sz w:val="16"/>
                <w:szCs w:val="16"/>
                <w:lang w:eastAsia="en-AU"/>
              </w:rPr>
              <w:t>Location</w:t>
            </w:r>
          </w:p>
        </w:tc>
        <w:tc>
          <w:tcPr>
            <w:tcW w:w="1371" w:type="dxa"/>
          </w:tcPr>
          <w:p w:rsidR="00424C1B" w:rsidRPr="00D77AD0" w:rsidRDefault="00424C1B" w:rsidP="00424C1B">
            <w:pPr>
              <w:spacing w:after="60" w:line="240" w:lineRule="auto"/>
              <w:jc w:val="center"/>
              <w:cnfStyle w:val="100000000000"/>
              <w:rPr>
                <w:rFonts w:eastAsia="Times New Roman" w:cs="Arial"/>
                <w:bCs w:val="0"/>
                <w:sz w:val="16"/>
                <w:szCs w:val="16"/>
                <w:lang w:eastAsia="en-AU"/>
              </w:rPr>
            </w:pPr>
            <w:r w:rsidRPr="00D77AD0">
              <w:rPr>
                <w:rFonts w:eastAsia="Times New Roman" w:cs="Arial"/>
                <w:bCs w:val="0"/>
                <w:sz w:val="16"/>
                <w:szCs w:val="16"/>
                <w:lang w:eastAsia="en-AU"/>
              </w:rPr>
              <w:t>Requesting regulator</w:t>
            </w:r>
          </w:p>
        </w:tc>
        <w:tc>
          <w:tcPr>
            <w:tcW w:w="1071" w:type="dxa"/>
          </w:tcPr>
          <w:p w:rsidR="00424C1B" w:rsidRPr="00D77AD0" w:rsidRDefault="00424C1B" w:rsidP="00424C1B">
            <w:pPr>
              <w:spacing w:after="60" w:line="240" w:lineRule="auto"/>
              <w:jc w:val="center"/>
              <w:cnfStyle w:val="100000000000"/>
              <w:rPr>
                <w:rFonts w:eastAsia="Times New Roman" w:cs="Arial"/>
                <w:bCs w:val="0"/>
                <w:sz w:val="16"/>
                <w:szCs w:val="16"/>
                <w:lang w:eastAsia="en-AU"/>
              </w:rPr>
            </w:pPr>
            <w:r w:rsidRPr="00D77AD0">
              <w:rPr>
                <w:rFonts w:eastAsia="Times New Roman" w:cs="Arial"/>
                <w:bCs w:val="0"/>
                <w:sz w:val="16"/>
                <w:szCs w:val="16"/>
                <w:lang w:eastAsia="en-AU"/>
              </w:rPr>
              <w:t>Stage referred</w:t>
            </w:r>
          </w:p>
        </w:tc>
        <w:tc>
          <w:tcPr>
            <w:tcW w:w="1306" w:type="dxa"/>
          </w:tcPr>
          <w:p w:rsidR="00424C1B" w:rsidRPr="00D77AD0" w:rsidRDefault="00424C1B" w:rsidP="00424C1B">
            <w:pPr>
              <w:spacing w:after="60" w:line="240" w:lineRule="auto"/>
              <w:jc w:val="center"/>
              <w:cnfStyle w:val="100000000000"/>
              <w:rPr>
                <w:rFonts w:eastAsia="Times New Roman" w:cs="Arial"/>
                <w:bCs w:val="0"/>
                <w:sz w:val="16"/>
                <w:szCs w:val="16"/>
                <w:lang w:eastAsia="en-AU"/>
              </w:rPr>
            </w:pPr>
            <w:r w:rsidRPr="00D77AD0">
              <w:rPr>
                <w:rFonts w:eastAsia="Times New Roman" w:cs="Arial"/>
                <w:bCs w:val="0"/>
                <w:sz w:val="16"/>
                <w:szCs w:val="16"/>
                <w:lang w:eastAsia="en-AU"/>
              </w:rPr>
              <w:t>IESC advice provided to regulator</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numPr>
                <w:ilvl w:val="0"/>
                <w:numId w:val="19"/>
              </w:numPr>
              <w:rPr>
                <w:b w:val="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Cobbora Coal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371" w:type="dxa"/>
          </w:tcPr>
          <w:p w:rsidR="00424C1B" w:rsidRPr="002B1570" w:rsidRDefault="00424C1B" w:rsidP="00424C1B">
            <w:pPr>
              <w:spacing w:after="60" w:line="240" w:lineRule="auto"/>
              <w:jc w:val="center"/>
              <w:cnfStyle w:val="000000100000"/>
              <w:rPr>
                <w:rFonts w:cs="Arial"/>
                <w:sz w:val="16"/>
                <w:szCs w:val="16"/>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r w:rsidRPr="002B1570">
              <w:rPr>
                <w:rFonts w:eastAsia="Times New Roman" w:cs="Arial"/>
                <w:color w:val="000000"/>
                <w:sz w:val="16"/>
                <w:szCs w:val="16"/>
                <w:lang w:eastAsia="en-AU"/>
              </w:rPr>
              <w:t>)</w:t>
            </w:r>
          </w:p>
        </w:tc>
        <w:tc>
          <w:tcPr>
            <w:tcW w:w="1306" w:type="dxa"/>
          </w:tcPr>
          <w:p w:rsidR="00424C1B" w:rsidRPr="002B1570" w:rsidRDefault="00424C1B" w:rsidP="00424C1B">
            <w:pPr>
              <w:spacing w:after="60" w:line="240" w:lineRule="auto"/>
              <w:ind w:left="-113" w:right="-113"/>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18 Apr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The Range Project</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jc w:val="center"/>
              <w:cnfStyle w:val="000000010000"/>
              <w:rPr>
                <w:rFonts w:cs="Arial"/>
                <w:sz w:val="16"/>
                <w:szCs w:val="16"/>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r w:rsidRPr="002B1570">
              <w:rPr>
                <w:rFonts w:eastAsia="Times New Roman" w:cs="Arial"/>
                <w:color w:val="000000"/>
                <w:sz w:val="16"/>
                <w:szCs w:val="16"/>
                <w:lang w:eastAsia="en-AU"/>
              </w:rPr>
              <w:t>)</w:t>
            </w:r>
          </w:p>
        </w:tc>
        <w:tc>
          <w:tcPr>
            <w:tcW w:w="1306" w:type="dxa"/>
          </w:tcPr>
          <w:p w:rsidR="00424C1B" w:rsidRPr="002B1570" w:rsidRDefault="00424C1B" w:rsidP="00424C1B">
            <w:pPr>
              <w:spacing w:after="60" w:line="240" w:lineRule="auto"/>
              <w:ind w:left="-113" w:right="-113"/>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18 Apr 2013</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proofErr w:type="spellStart"/>
            <w:r w:rsidRPr="002B1570">
              <w:rPr>
                <w:rFonts w:eastAsia="Times New Roman" w:cs="Arial"/>
                <w:color w:val="000000"/>
                <w:sz w:val="16"/>
                <w:szCs w:val="16"/>
                <w:lang w:eastAsia="en-AU"/>
              </w:rPr>
              <w:t>Foxleigh</w:t>
            </w:r>
            <w:proofErr w:type="spellEnd"/>
            <w:r w:rsidRPr="002B1570">
              <w:rPr>
                <w:rFonts w:eastAsia="Times New Roman" w:cs="Arial"/>
                <w:color w:val="000000"/>
                <w:sz w:val="16"/>
                <w:szCs w:val="16"/>
                <w:lang w:eastAsia="en-AU"/>
              </w:rPr>
              <w:t xml:space="preserve"> Coal Mine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jc w:val="center"/>
              <w:cnfStyle w:val="000000100000"/>
              <w:rPr>
                <w:rFonts w:cs="Arial"/>
                <w:sz w:val="16"/>
                <w:szCs w:val="16"/>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r w:rsidRPr="002B1570">
              <w:rPr>
                <w:rFonts w:eastAsia="Times New Roman" w:cs="Arial"/>
                <w:color w:val="000000"/>
                <w:sz w:val="16"/>
                <w:szCs w:val="16"/>
                <w:lang w:eastAsia="en-AU"/>
              </w:rPr>
              <w:t>)</w:t>
            </w:r>
          </w:p>
        </w:tc>
        <w:tc>
          <w:tcPr>
            <w:tcW w:w="1306" w:type="dxa"/>
          </w:tcPr>
          <w:p w:rsidR="00424C1B" w:rsidRPr="002B1570" w:rsidRDefault="00424C1B" w:rsidP="00424C1B">
            <w:pPr>
              <w:spacing w:after="60" w:line="240" w:lineRule="auto"/>
              <w:ind w:left="-113" w:right="-113"/>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18 Apr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proofErr w:type="spellStart"/>
            <w:r w:rsidRPr="002B1570">
              <w:rPr>
                <w:rFonts w:eastAsia="Times New Roman" w:cs="Arial"/>
                <w:color w:val="000000"/>
                <w:sz w:val="16"/>
                <w:szCs w:val="16"/>
                <w:lang w:eastAsia="en-AU"/>
              </w:rPr>
              <w:t>Bengalla</w:t>
            </w:r>
            <w:proofErr w:type="spellEnd"/>
            <w:r w:rsidRPr="002B1570">
              <w:rPr>
                <w:rFonts w:eastAsia="Times New Roman" w:cs="Arial"/>
                <w:color w:val="000000"/>
                <w:sz w:val="16"/>
                <w:szCs w:val="16"/>
                <w:lang w:eastAsia="en-AU"/>
              </w:rPr>
              <w:t xml:space="preserve"> Mine Extension</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371" w:type="dxa"/>
          </w:tcPr>
          <w:p w:rsidR="00424C1B" w:rsidRPr="002B1570" w:rsidRDefault="00424C1B" w:rsidP="00424C1B">
            <w:pPr>
              <w:spacing w:after="60" w:line="240" w:lineRule="auto"/>
              <w:jc w:val="center"/>
              <w:cnfStyle w:val="000000010000"/>
              <w:rPr>
                <w:rFonts w:cs="Arial"/>
                <w:sz w:val="16"/>
                <w:szCs w:val="16"/>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70" w:right="-170"/>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24 May 2013</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proofErr w:type="spellStart"/>
            <w:r w:rsidRPr="002B1570">
              <w:rPr>
                <w:rFonts w:eastAsia="Times New Roman" w:cs="Arial"/>
                <w:color w:val="000000"/>
                <w:sz w:val="16"/>
                <w:szCs w:val="16"/>
                <w:lang w:eastAsia="en-AU"/>
              </w:rPr>
              <w:t>Wallarah</w:t>
            </w:r>
            <w:proofErr w:type="spellEnd"/>
            <w:r w:rsidRPr="002B1570">
              <w:rPr>
                <w:rFonts w:eastAsia="Times New Roman" w:cs="Arial"/>
                <w:color w:val="000000"/>
                <w:sz w:val="16"/>
                <w:szCs w:val="16"/>
                <w:lang w:eastAsia="en-AU"/>
              </w:rPr>
              <w:t xml:space="preserve"> 2 Underground Coal Mine</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371" w:type="dxa"/>
          </w:tcPr>
          <w:p w:rsidR="00424C1B" w:rsidRPr="002B1570" w:rsidRDefault="00424C1B" w:rsidP="00424C1B">
            <w:pPr>
              <w:spacing w:after="60" w:line="240" w:lineRule="auto"/>
              <w:jc w:val="center"/>
              <w:cnfStyle w:val="000000100000"/>
              <w:rPr>
                <w:rFonts w:cs="Arial"/>
                <w:sz w:val="16"/>
                <w:szCs w:val="16"/>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24 May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Watermark Coal Project</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371" w:type="dxa"/>
          </w:tcPr>
          <w:p w:rsidR="00424C1B" w:rsidRPr="002B1570" w:rsidRDefault="00424C1B" w:rsidP="00424C1B">
            <w:pPr>
              <w:spacing w:after="60" w:line="240" w:lineRule="auto"/>
              <w:jc w:val="center"/>
              <w:cnfStyle w:val="000000010000"/>
              <w:rPr>
                <w:rFonts w:cs="Arial"/>
                <w:sz w:val="16"/>
                <w:szCs w:val="16"/>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27 May 2013</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Bowen Gas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24 May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Galilee Coal (Northern Export Facility)</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r w:rsidRPr="002B1570">
              <w:rPr>
                <w:rFonts w:eastAsia="Times New Roman" w:cs="Arial"/>
                <w:color w:val="000000"/>
                <w:sz w:val="16"/>
                <w:szCs w:val="16"/>
                <w:lang w:eastAsia="en-AU"/>
              </w:rPr>
              <w:t>)</w:t>
            </w:r>
          </w:p>
        </w:tc>
        <w:tc>
          <w:tcPr>
            <w:tcW w:w="1306" w:type="dxa"/>
          </w:tcPr>
          <w:p w:rsidR="00424C1B" w:rsidRPr="002B1570" w:rsidRDefault="00424C1B" w:rsidP="00424C1B">
            <w:pPr>
              <w:spacing w:after="60" w:line="240" w:lineRule="auto"/>
              <w:ind w:left="-113" w:right="-113"/>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24 May 2013</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proofErr w:type="spellStart"/>
            <w:r w:rsidRPr="002B1570">
              <w:rPr>
                <w:rFonts w:eastAsia="Times New Roman" w:cs="Arial"/>
                <w:color w:val="000000"/>
                <w:sz w:val="16"/>
                <w:szCs w:val="16"/>
                <w:lang w:eastAsia="en-AU"/>
              </w:rPr>
              <w:t>Coalpac</w:t>
            </w:r>
            <w:proofErr w:type="spellEnd"/>
            <w:r w:rsidRPr="002B1570">
              <w:rPr>
                <w:rFonts w:eastAsia="Times New Roman" w:cs="Arial"/>
                <w:color w:val="000000"/>
                <w:sz w:val="16"/>
                <w:szCs w:val="16"/>
                <w:lang w:eastAsia="en-AU"/>
              </w:rPr>
              <w:t xml:space="preserve"> Consolidation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371" w:type="dxa"/>
          </w:tcPr>
          <w:p w:rsidR="00424C1B" w:rsidRPr="002B1570" w:rsidRDefault="00424C1B" w:rsidP="00424C1B">
            <w:pPr>
              <w:spacing w:after="60" w:line="240" w:lineRule="auto"/>
              <w:jc w:val="center"/>
              <w:cnfStyle w:val="000000100000"/>
              <w:rPr>
                <w:rFonts w:cs="Arial"/>
                <w:sz w:val="16"/>
                <w:szCs w:val="16"/>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100000"/>
              <w:rPr>
                <w:rFonts w:cs="Arial"/>
                <w:sz w:val="16"/>
                <w:szCs w:val="16"/>
              </w:rPr>
            </w:pPr>
            <w:r w:rsidRPr="002B1570">
              <w:rPr>
                <w:rFonts w:eastAsia="Times New Roman" w:cs="Arial"/>
                <w:color w:val="000000"/>
                <w:sz w:val="16"/>
                <w:szCs w:val="16"/>
                <w:lang w:eastAsia="en-AU"/>
              </w:rPr>
              <w:t>27 Jun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proofErr w:type="spellStart"/>
            <w:r w:rsidRPr="002B1570">
              <w:rPr>
                <w:rFonts w:eastAsia="Times New Roman" w:cs="Arial"/>
                <w:color w:val="000000"/>
                <w:sz w:val="16"/>
                <w:szCs w:val="16"/>
                <w:lang w:eastAsia="en-AU"/>
              </w:rPr>
              <w:t>Byerwen</w:t>
            </w:r>
            <w:proofErr w:type="spellEnd"/>
            <w:r w:rsidRPr="002B1570">
              <w:rPr>
                <w:rFonts w:eastAsia="Times New Roman" w:cs="Arial"/>
                <w:color w:val="000000"/>
                <w:sz w:val="16"/>
                <w:szCs w:val="16"/>
                <w:lang w:eastAsia="en-AU"/>
              </w:rPr>
              <w:t xml:space="preserve"> Coal Mine</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ind w:left="-57"/>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 xml:space="preserve">QLD &amp; </w:t>
            </w:r>
            <w:r>
              <w:rPr>
                <w:rFonts w:eastAsia="Times New Roman" w:cs="Arial"/>
                <w:color w:val="000000"/>
                <w:sz w:val="16"/>
                <w:szCs w:val="16"/>
                <w:lang w:eastAsia="en-AU"/>
              </w:rPr>
              <w:t>CWLTH</w:t>
            </w:r>
          </w:p>
        </w:tc>
        <w:tc>
          <w:tcPr>
            <w:tcW w:w="1071" w:type="dxa"/>
          </w:tcPr>
          <w:p w:rsidR="00424C1B" w:rsidRPr="002B1570" w:rsidRDefault="00424C1B" w:rsidP="00424C1B">
            <w:pPr>
              <w:spacing w:after="60"/>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26 Aug 2013</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Arrow Surat Gas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ind w:left="-57"/>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 xml:space="preserve">QLD &amp; </w:t>
            </w:r>
            <w:r>
              <w:rPr>
                <w:rFonts w:eastAsia="Times New Roman" w:cs="Arial"/>
                <w:color w:val="000000"/>
                <w:sz w:val="16"/>
                <w:szCs w:val="16"/>
                <w:lang w:eastAsia="en-AU"/>
              </w:rPr>
              <w:t>CWLTH</w:t>
            </w:r>
          </w:p>
        </w:tc>
        <w:tc>
          <w:tcPr>
            <w:tcW w:w="1071" w:type="dxa"/>
          </w:tcPr>
          <w:p w:rsidR="00424C1B" w:rsidRPr="002B1570" w:rsidRDefault="00424C1B" w:rsidP="00424C1B">
            <w:pPr>
              <w:spacing w:after="60"/>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p>
        </w:tc>
        <w:tc>
          <w:tcPr>
            <w:tcW w:w="1306" w:type="dxa"/>
          </w:tcPr>
          <w:p w:rsidR="00424C1B" w:rsidRPr="002B1570" w:rsidRDefault="00424C1B" w:rsidP="00424C1B">
            <w:pPr>
              <w:spacing w:after="60" w:line="240" w:lineRule="auto"/>
              <w:ind w:left="-113" w:right="-113"/>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22 Aug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bookmarkStart w:id="2" w:name="gloucester"/>
            <w:bookmarkEnd w:id="2"/>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Galilee Coal (Northern Export Facility)</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r w:rsidRPr="002B1570">
              <w:rPr>
                <w:rFonts w:eastAsia="Times New Roman" w:cs="Arial"/>
                <w:color w:val="000000"/>
                <w:sz w:val="16"/>
                <w:szCs w:val="16"/>
                <w:lang w:eastAsia="en-AU"/>
              </w:rPr>
              <w:t>)</w:t>
            </w:r>
          </w:p>
        </w:tc>
        <w:tc>
          <w:tcPr>
            <w:tcW w:w="1306" w:type="dxa"/>
          </w:tcPr>
          <w:p w:rsidR="00424C1B" w:rsidRPr="002B1570" w:rsidRDefault="00424C1B" w:rsidP="00424C1B">
            <w:pPr>
              <w:spacing w:after="60" w:line="240" w:lineRule="auto"/>
              <w:ind w:left="-113" w:right="-113"/>
              <w:jc w:val="center"/>
              <w:cnfStyle w:val="000000010000"/>
              <w:rPr>
                <w:rFonts w:cs="Arial"/>
                <w:sz w:val="16"/>
                <w:szCs w:val="16"/>
              </w:rPr>
            </w:pPr>
            <w:r w:rsidRPr="002B1570">
              <w:rPr>
                <w:rFonts w:eastAsia="Times New Roman" w:cs="Arial"/>
                <w:color w:val="000000"/>
                <w:sz w:val="16"/>
                <w:szCs w:val="16"/>
                <w:lang w:eastAsia="en-AU"/>
              </w:rPr>
              <w:t>14 Nov 2013</w:t>
            </w:r>
          </w:p>
        </w:tc>
      </w:tr>
      <w:tr w:rsidR="00424C1B" w:rsidRPr="002B1570" w:rsidTr="00424C1B">
        <w:trPr>
          <w:cnfStyle w:val="000000100000"/>
          <w:trHeight w:val="311"/>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Duchess Paradise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WA</w:t>
            </w:r>
          </w:p>
        </w:tc>
        <w:tc>
          <w:tcPr>
            <w:tcW w:w="13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100000"/>
              <w:rPr>
                <w:rFonts w:cs="Arial"/>
                <w:sz w:val="16"/>
                <w:szCs w:val="16"/>
              </w:rPr>
            </w:pPr>
            <w:r w:rsidRPr="002B1570">
              <w:rPr>
                <w:rFonts w:cs="Arial"/>
                <w:sz w:val="16"/>
                <w:szCs w:val="16"/>
              </w:rPr>
              <w:t>12 Dec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Carmichael Coal Mine and Rail Project</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ind w:left="-57"/>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 xml:space="preserve">QLD &amp; </w:t>
            </w: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r w:rsidRPr="002B1570">
              <w:rPr>
                <w:rFonts w:eastAsia="Times New Roman" w:cs="Arial"/>
                <w:color w:val="000000"/>
                <w:sz w:val="16"/>
                <w:szCs w:val="16"/>
                <w:lang w:eastAsia="en-AU"/>
              </w:rPr>
              <w:t>)</w:t>
            </w:r>
          </w:p>
        </w:tc>
        <w:tc>
          <w:tcPr>
            <w:tcW w:w="1306" w:type="dxa"/>
          </w:tcPr>
          <w:p w:rsidR="00424C1B" w:rsidRPr="002B1570" w:rsidRDefault="00424C1B" w:rsidP="00424C1B">
            <w:pPr>
              <w:spacing w:after="60" w:line="240" w:lineRule="auto"/>
              <w:ind w:left="-113" w:right="-113"/>
              <w:jc w:val="center"/>
              <w:cnfStyle w:val="000000010000"/>
              <w:rPr>
                <w:rFonts w:cs="Arial"/>
                <w:sz w:val="16"/>
                <w:szCs w:val="16"/>
              </w:rPr>
            </w:pPr>
            <w:r w:rsidRPr="002B1570">
              <w:rPr>
                <w:rFonts w:cs="Arial"/>
                <w:sz w:val="16"/>
                <w:szCs w:val="16"/>
              </w:rPr>
              <w:t>16 Dec 2013</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Springsure Creek Coal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100000"/>
              <w:rPr>
                <w:rFonts w:cs="Arial"/>
                <w:sz w:val="16"/>
                <w:szCs w:val="16"/>
              </w:rPr>
            </w:pPr>
            <w:r w:rsidRPr="002B1570">
              <w:rPr>
                <w:rFonts w:cs="Arial"/>
                <w:sz w:val="16"/>
                <w:szCs w:val="16"/>
              </w:rPr>
              <w:t>12 Dec 2013</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Meteor Downs South Coal Project</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424C1B" w:rsidP="00424C1B">
            <w:pPr>
              <w:spacing w:after="60" w:line="240" w:lineRule="auto"/>
              <w:ind w:left="-113" w:right="-113"/>
              <w:jc w:val="center"/>
              <w:cnfStyle w:val="000000010000"/>
              <w:rPr>
                <w:rFonts w:cs="Arial"/>
                <w:sz w:val="16"/>
                <w:szCs w:val="16"/>
              </w:rPr>
            </w:pPr>
            <w:r w:rsidRPr="002B1570">
              <w:rPr>
                <w:rFonts w:cs="Arial"/>
                <w:sz w:val="16"/>
                <w:szCs w:val="16"/>
              </w:rPr>
              <w:t>12 Dec 2013</w:t>
            </w:r>
          </w:p>
        </w:tc>
      </w:tr>
      <w:tr w:rsidR="00424C1B" w:rsidRPr="002B1570" w:rsidTr="00424C1B">
        <w:trPr>
          <w:cnfStyle w:val="00000010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Moranbah South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QLD</w:t>
            </w:r>
          </w:p>
        </w:tc>
        <w:tc>
          <w:tcPr>
            <w:tcW w:w="1371" w:type="dxa"/>
          </w:tcPr>
          <w:p w:rsidR="00424C1B" w:rsidRPr="002B1570" w:rsidRDefault="00832E78"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 xml:space="preserve">QLD &amp; </w:t>
            </w:r>
            <w:r w:rsidR="00424C1B">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EIA (</w:t>
            </w:r>
            <w:r>
              <w:rPr>
                <w:rFonts w:eastAsia="Times New Roman" w:cs="Arial"/>
                <w:color w:val="000000"/>
                <w:sz w:val="16"/>
                <w:szCs w:val="16"/>
                <w:lang w:eastAsia="en-AU"/>
              </w:rPr>
              <w:t>supp</w:t>
            </w:r>
            <w:r w:rsidRPr="002B1570">
              <w:rPr>
                <w:rFonts w:eastAsia="Times New Roman" w:cs="Arial"/>
                <w:color w:val="000000"/>
                <w:sz w:val="16"/>
                <w:szCs w:val="16"/>
                <w:lang w:eastAsia="en-AU"/>
              </w:rPr>
              <w:t>)</w:t>
            </w:r>
          </w:p>
        </w:tc>
        <w:tc>
          <w:tcPr>
            <w:tcW w:w="1306" w:type="dxa"/>
          </w:tcPr>
          <w:p w:rsidR="00424C1B" w:rsidRPr="002B1570" w:rsidRDefault="00592815" w:rsidP="00424C1B">
            <w:pPr>
              <w:spacing w:after="60"/>
              <w:jc w:val="center"/>
              <w:cnfStyle w:val="000000100000"/>
              <w:rPr>
                <w:rFonts w:cs="Arial"/>
                <w:sz w:val="16"/>
                <w:szCs w:val="16"/>
              </w:rPr>
            </w:pPr>
            <w:r>
              <w:rPr>
                <w:rFonts w:eastAsia="Times New Roman" w:cs="Arial"/>
                <w:color w:val="000000"/>
                <w:sz w:val="16"/>
                <w:szCs w:val="16"/>
                <w:lang w:eastAsia="en-AU"/>
              </w:rPr>
              <w:t>10 Feb 2014</w:t>
            </w:r>
          </w:p>
        </w:tc>
      </w:tr>
      <w:tr w:rsidR="00424C1B" w:rsidRPr="002B1570" w:rsidTr="00424C1B">
        <w:trPr>
          <w:cnfStyle w:val="000000010000"/>
          <w:trHeight w:val="284"/>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Bulga Coal Optimisation Project</w:t>
            </w:r>
          </w:p>
        </w:tc>
        <w:tc>
          <w:tcPr>
            <w:tcW w:w="924"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3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CWLTH</w:t>
            </w:r>
          </w:p>
        </w:tc>
        <w:tc>
          <w:tcPr>
            <w:tcW w:w="1071" w:type="dxa"/>
          </w:tcPr>
          <w:p w:rsidR="00424C1B" w:rsidRPr="002B1570" w:rsidRDefault="00424C1B" w:rsidP="00424C1B">
            <w:pPr>
              <w:spacing w:after="60" w:line="240" w:lineRule="auto"/>
              <w:jc w:val="center"/>
              <w:cnfStyle w:val="000000010000"/>
              <w:rPr>
                <w:rFonts w:eastAsia="Times New Roman" w:cs="Arial"/>
                <w:color w:val="000000"/>
                <w:sz w:val="16"/>
                <w:szCs w:val="16"/>
                <w:lang w:eastAsia="en-AU"/>
              </w:rPr>
            </w:pPr>
            <w:r w:rsidRPr="002B1570">
              <w:rPr>
                <w:rFonts w:eastAsia="Times New Roman" w:cs="Arial"/>
                <w:color w:val="000000"/>
                <w:sz w:val="16"/>
                <w:szCs w:val="16"/>
                <w:lang w:eastAsia="en-AU"/>
              </w:rPr>
              <w:t>EIA (draft)</w:t>
            </w:r>
          </w:p>
        </w:tc>
        <w:tc>
          <w:tcPr>
            <w:tcW w:w="1306" w:type="dxa"/>
          </w:tcPr>
          <w:p w:rsidR="00424C1B" w:rsidRPr="002B1570" w:rsidRDefault="00592815" w:rsidP="00424C1B">
            <w:pPr>
              <w:spacing w:after="60"/>
              <w:jc w:val="center"/>
              <w:cnfStyle w:val="000000010000"/>
              <w:rPr>
                <w:rFonts w:cs="Arial"/>
                <w:sz w:val="16"/>
                <w:szCs w:val="16"/>
              </w:rPr>
            </w:pPr>
            <w:r>
              <w:rPr>
                <w:rFonts w:eastAsia="Times New Roman" w:cs="Arial"/>
                <w:color w:val="000000"/>
                <w:sz w:val="16"/>
                <w:szCs w:val="16"/>
                <w:lang w:eastAsia="en-AU"/>
              </w:rPr>
              <w:t>10 Feb 2014</w:t>
            </w:r>
          </w:p>
        </w:tc>
      </w:tr>
      <w:tr w:rsidR="00424C1B" w:rsidRPr="002B1570" w:rsidTr="00424C1B">
        <w:trPr>
          <w:cnfStyle w:val="000000100000"/>
          <w:trHeight w:val="263"/>
          <w:jc w:val="center"/>
        </w:trPr>
        <w:tc>
          <w:tcPr>
            <w:cnfStyle w:val="001000000000"/>
            <w:tcW w:w="416" w:type="dxa"/>
          </w:tcPr>
          <w:p w:rsidR="00424C1B" w:rsidRDefault="00424C1B" w:rsidP="00424C1B">
            <w:pPr>
              <w:pStyle w:val="ListNumber"/>
              <w:rPr>
                <w:rFonts w:eastAsia="Times New Roman" w:cs="Arial"/>
                <w:b w:val="0"/>
                <w:color w:val="000000"/>
                <w:sz w:val="16"/>
                <w:szCs w:val="16"/>
                <w:lang w:eastAsia="en-AU"/>
              </w:rPr>
            </w:pPr>
          </w:p>
        </w:tc>
        <w:tc>
          <w:tcPr>
            <w:tcW w:w="3162" w:type="dxa"/>
          </w:tcPr>
          <w:p w:rsidR="00424C1B" w:rsidRPr="002B1570" w:rsidRDefault="00424C1B" w:rsidP="00424C1B">
            <w:pPr>
              <w:spacing w:after="60" w:line="240" w:lineRule="auto"/>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Spur Hill Underground Coal Project</w:t>
            </w:r>
          </w:p>
        </w:tc>
        <w:tc>
          <w:tcPr>
            <w:tcW w:w="924"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3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NSW</w:t>
            </w:r>
          </w:p>
        </w:tc>
        <w:tc>
          <w:tcPr>
            <w:tcW w:w="1071" w:type="dxa"/>
          </w:tcPr>
          <w:p w:rsidR="00424C1B" w:rsidRPr="002B1570" w:rsidRDefault="00424C1B" w:rsidP="00424C1B">
            <w:pPr>
              <w:spacing w:after="60" w:line="240" w:lineRule="auto"/>
              <w:jc w:val="center"/>
              <w:cnfStyle w:val="000000100000"/>
              <w:rPr>
                <w:rFonts w:eastAsia="Times New Roman" w:cs="Arial"/>
                <w:color w:val="000000"/>
                <w:sz w:val="16"/>
                <w:szCs w:val="16"/>
                <w:lang w:eastAsia="en-AU"/>
              </w:rPr>
            </w:pPr>
            <w:r w:rsidRPr="002B1570">
              <w:rPr>
                <w:rFonts w:eastAsia="Times New Roman" w:cs="Arial"/>
                <w:color w:val="000000"/>
                <w:sz w:val="16"/>
                <w:szCs w:val="16"/>
                <w:lang w:eastAsia="en-AU"/>
              </w:rPr>
              <w:t>Gateway</w:t>
            </w:r>
          </w:p>
        </w:tc>
        <w:tc>
          <w:tcPr>
            <w:tcW w:w="1306" w:type="dxa"/>
          </w:tcPr>
          <w:p w:rsidR="00424C1B" w:rsidRPr="002B1570" w:rsidRDefault="00592815" w:rsidP="00424C1B">
            <w:pPr>
              <w:spacing w:after="60"/>
              <w:jc w:val="center"/>
              <w:cnfStyle w:val="000000100000"/>
              <w:rPr>
                <w:rFonts w:cs="Arial"/>
                <w:sz w:val="16"/>
                <w:szCs w:val="16"/>
              </w:rPr>
            </w:pPr>
            <w:r>
              <w:rPr>
                <w:rFonts w:eastAsia="Times New Roman" w:cs="Arial"/>
                <w:color w:val="000000"/>
                <w:sz w:val="16"/>
                <w:szCs w:val="16"/>
                <w:lang w:eastAsia="en-AU"/>
              </w:rPr>
              <w:t>10 Feb 2014</w:t>
            </w:r>
          </w:p>
        </w:tc>
      </w:tr>
      <w:tr w:rsidR="00EB00A3" w:rsidRPr="002B1570" w:rsidTr="00424C1B">
        <w:trPr>
          <w:cnfStyle w:val="000000010000"/>
          <w:trHeight w:val="263"/>
          <w:jc w:val="center"/>
        </w:trPr>
        <w:tc>
          <w:tcPr>
            <w:cnfStyle w:val="001000000000"/>
            <w:tcW w:w="416" w:type="dxa"/>
          </w:tcPr>
          <w:p w:rsidR="00EB00A3" w:rsidRDefault="00EB00A3" w:rsidP="00424C1B">
            <w:pPr>
              <w:pStyle w:val="ListNumber"/>
              <w:rPr>
                <w:rFonts w:eastAsia="Times New Roman" w:cs="Arial"/>
                <w:b w:val="0"/>
                <w:color w:val="000000"/>
                <w:sz w:val="16"/>
                <w:szCs w:val="16"/>
                <w:lang w:eastAsia="en-AU"/>
              </w:rPr>
            </w:pPr>
          </w:p>
        </w:tc>
        <w:tc>
          <w:tcPr>
            <w:tcW w:w="3162" w:type="dxa"/>
          </w:tcPr>
          <w:p w:rsidR="00EB00A3" w:rsidRPr="002B1570" w:rsidRDefault="00EB00A3" w:rsidP="00424C1B">
            <w:pPr>
              <w:spacing w:after="60" w:line="240" w:lineRule="auto"/>
              <w:cnfStyle w:val="000000010000"/>
              <w:rPr>
                <w:rFonts w:eastAsia="Times New Roman" w:cs="Arial"/>
                <w:color w:val="000000"/>
                <w:sz w:val="16"/>
                <w:szCs w:val="16"/>
                <w:lang w:eastAsia="en-AU"/>
              </w:rPr>
            </w:pPr>
            <w:r>
              <w:rPr>
                <w:rFonts w:eastAsia="Times New Roman" w:cs="Arial"/>
                <w:color w:val="000000"/>
                <w:sz w:val="16"/>
                <w:szCs w:val="16"/>
                <w:lang w:eastAsia="en-AU"/>
              </w:rPr>
              <w:t>Bylong Coal Project</w:t>
            </w:r>
          </w:p>
        </w:tc>
        <w:tc>
          <w:tcPr>
            <w:tcW w:w="924" w:type="dxa"/>
          </w:tcPr>
          <w:p w:rsidR="00EB00A3" w:rsidRPr="002B1570" w:rsidRDefault="00EB00A3"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NSW</w:t>
            </w:r>
          </w:p>
        </w:tc>
        <w:tc>
          <w:tcPr>
            <w:tcW w:w="1371" w:type="dxa"/>
          </w:tcPr>
          <w:p w:rsidR="00EB00A3" w:rsidRPr="002B1570" w:rsidRDefault="00EB00A3"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NSW</w:t>
            </w:r>
          </w:p>
        </w:tc>
        <w:tc>
          <w:tcPr>
            <w:tcW w:w="1071" w:type="dxa"/>
          </w:tcPr>
          <w:p w:rsidR="00EB00A3" w:rsidRPr="002B1570" w:rsidRDefault="008B19AE"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Gateway</w:t>
            </w:r>
          </w:p>
        </w:tc>
        <w:tc>
          <w:tcPr>
            <w:tcW w:w="1306" w:type="dxa"/>
          </w:tcPr>
          <w:p w:rsidR="00EB00A3" w:rsidRPr="002B1570" w:rsidRDefault="00C12B48" w:rsidP="00C12B48">
            <w:pPr>
              <w:spacing w:after="60"/>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14 Mar 2014</w:t>
            </w:r>
          </w:p>
        </w:tc>
      </w:tr>
      <w:tr w:rsidR="00EB00A3" w:rsidRPr="002B1570" w:rsidTr="00424C1B">
        <w:trPr>
          <w:cnfStyle w:val="000000100000"/>
          <w:trHeight w:val="263"/>
          <w:jc w:val="center"/>
        </w:trPr>
        <w:tc>
          <w:tcPr>
            <w:cnfStyle w:val="001000000000"/>
            <w:tcW w:w="416" w:type="dxa"/>
          </w:tcPr>
          <w:p w:rsidR="00EB00A3" w:rsidRDefault="00EB00A3" w:rsidP="00424C1B">
            <w:pPr>
              <w:pStyle w:val="ListNumber"/>
              <w:rPr>
                <w:rFonts w:eastAsia="Times New Roman" w:cs="Arial"/>
                <w:b w:val="0"/>
                <w:color w:val="000000"/>
                <w:sz w:val="16"/>
                <w:szCs w:val="16"/>
                <w:lang w:eastAsia="en-AU"/>
              </w:rPr>
            </w:pPr>
          </w:p>
        </w:tc>
        <w:tc>
          <w:tcPr>
            <w:tcW w:w="3162" w:type="dxa"/>
          </w:tcPr>
          <w:p w:rsidR="00EB00A3" w:rsidRPr="002B1570" w:rsidRDefault="00EB00A3" w:rsidP="00424C1B">
            <w:pPr>
              <w:spacing w:after="60" w:line="240" w:lineRule="auto"/>
              <w:cnfStyle w:val="000000100000"/>
              <w:rPr>
                <w:rFonts w:eastAsia="Times New Roman" w:cs="Arial"/>
                <w:color w:val="000000"/>
                <w:sz w:val="16"/>
                <w:szCs w:val="16"/>
                <w:lang w:eastAsia="en-AU"/>
              </w:rPr>
            </w:pPr>
            <w:r>
              <w:rPr>
                <w:rFonts w:eastAsia="Times New Roman" w:cs="Arial"/>
                <w:color w:val="000000"/>
                <w:sz w:val="16"/>
                <w:szCs w:val="16"/>
                <w:lang w:eastAsia="en-AU"/>
              </w:rPr>
              <w:t>Teresa Coal Project</w:t>
            </w:r>
          </w:p>
        </w:tc>
        <w:tc>
          <w:tcPr>
            <w:tcW w:w="924" w:type="dxa"/>
          </w:tcPr>
          <w:p w:rsidR="00EB00A3" w:rsidRPr="002B1570" w:rsidRDefault="00EB00A3"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QLD</w:t>
            </w:r>
          </w:p>
        </w:tc>
        <w:tc>
          <w:tcPr>
            <w:tcW w:w="1371" w:type="dxa"/>
          </w:tcPr>
          <w:p w:rsidR="00EB00A3" w:rsidRPr="002B1570" w:rsidRDefault="00EB00A3"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QLD &amp; CWLTH</w:t>
            </w:r>
          </w:p>
        </w:tc>
        <w:tc>
          <w:tcPr>
            <w:tcW w:w="1071" w:type="dxa"/>
          </w:tcPr>
          <w:p w:rsidR="00EB00A3" w:rsidRPr="002B1570" w:rsidRDefault="008B19AE"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EIA (draft)</w:t>
            </w:r>
          </w:p>
        </w:tc>
        <w:tc>
          <w:tcPr>
            <w:tcW w:w="1306" w:type="dxa"/>
          </w:tcPr>
          <w:p w:rsidR="00EB00A3" w:rsidRPr="002B1570" w:rsidRDefault="00C12B48" w:rsidP="00C12B48">
            <w:pPr>
              <w:spacing w:after="60"/>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14 Mar 2014</w:t>
            </w:r>
          </w:p>
        </w:tc>
      </w:tr>
      <w:tr w:rsidR="008B19AE" w:rsidRPr="002B1570" w:rsidTr="00424C1B">
        <w:trPr>
          <w:cnfStyle w:val="000000010000"/>
          <w:trHeight w:val="263"/>
          <w:jc w:val="center"/>
        </w:trPr>
        <w:tc>
          <w:tcPr>
            <w:cnfStyle w:val="001000000000"/>
            <w:tcW w:w="416" w:type="dxa"/>
          </w:tcPr>
          <w:p w:rsidR="008B19AE" w:rsidRDefault="008B19AE" w:rsidP="00424C1B">
            <w:pPr>
              <w:pStyle w:val="ListNumber"/>
              <w:rPr>
                <w:rFonts w:eastAsia="Times New Roman" w:cs="Arial"/>
                <w:b w:val="0"/>
                <w:color w:val="000000"/>
                <w:sz w:val="16"/>
                <w:szCs w:val="16"/>
                <w:lang w:eastAsia="en-AU"/>
              </w:rPr>
            </w:pPr>
          </w:p>
        </w:tc>
        <w:tc>
          <w:tcPr>
            <w:tcW w:w="3162" w:type="dxa"/>
          </w:tcPr>
          <w:p w:rsidR="008B19AE" w:rsidRDefault="008B19AE" w:rsidP="00424C1B">
            <w:pPr>
              <w:spacing w:after="60" w:line="240" w:lineRule="auto"/>
              <w:cnfStyle w:val="000000010000"/>
              <w:rPr>
                <w:rFonts w:eastAsia="Times New Roman" w:cs="Arial"/>
                <w:color w:val="000000"/>
                <w:sz w:val="16"/>
                <w:szCs w:val="16"/>
                <w:lang w:eastAsia="en-AU"/>
              </w:rPr>
            </w:pPr>
            <w:r>
              <w:rPr>
                <w:rFonts w:eastAsia="Times New Roman" w:cs="Arial"/>
                <w:color w:val="000000"/>
                <w:sz w:val="16"/>
                <w:szCs w:val="16"/>
                <w:lang w:eastAsia="en-AU"/>
              </w:rPr>
              <w:t>North Surat Development</w:t>
            </w:r>
          </w:p>
        </w:tc>
        <w:tc>
          <w:tcPr>
            <w:tcW w:w="924" w:type="dxa"/>
          </w:tcPr>
          <w:p w:rsidR="008B19AE" w:rsidRDefault="008B19AE"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QLD</w:t>
            </w:r>
          </w:p>
        </w:tc>
        <w:tc>
          <w:tcPr>
            <w:tcW w:w="1371" w:type="dxa"/>
          </w:tcPr>
          <w:p w:rsidR="008B19AE" w:rsidRDefault="008B19AE"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CWLTH</w:t>
            </w:r>
          </w:p>
        </w:tc>
        <w:tc>
          <w:tcPr>
            <w:tcW w:w="1071" w:type="dxa"/>
          </w:tcPr>
          <w:p w:rsidR="008B19AE" w:rsidRDefault="008B19AE"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EIA (draft)</w:t>
            </w:r>
          </w:p>
        </w:tc>
        <w:tc>
          <w:tcPr>
            <w:tcW w:w="1306" w:type="dxa"/>
          </w:tcPr>
          <w:p w:rsidR="008B19AE" w:rsidRPr="002B1570" w:rsidRDefault="002169C6" w:rsidP="00424C1B">
            <w:pPr>
              <w:spacing w:after="60"/>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due by end April 2014</w:t>
            </w:r>
          </w:p>
        </w:tc>
      </w:tr>
      <w:tr w:rsidR="008B19AE" w:rsidRPr="002B1570" w:rsidTr="00424C1B">
        <w:trPr>
          <w:cnfStyle w:val="000000100000"/>
          <w:trHeight w:val="263"/>
          <w:jc w:val="center"/>
        </w:trPr>
        <w:tc>
          <w:tcPr>
            <w:cnfStyle w:val="001000000000"/>
            <w:tcW w:w="416" w:type="dxa"/>
          </w:tcPr>
          <w:p w:rsidR="008B19AE" w:rsidRDefault="008B19AE" w:rsidP="00424C1B">
            <w:pPr>
              <w:pStyle w:val="ListNumber"/>
              <w:rPr>
                <w:rFonts w:eastAsia="Times New Roman" w:cs="Arial"/>
                <w:b w:val="0"/>
                <w:color w:val="000000"/>
                <w:sz w:val="16"/>
                <w:szCs w:val="16"/>
                <w:lang w:eastAsia="en-AU"/>
              </w:rPr>
            </w:pPr>
          </w:p>
        </w:tc>
        <w:tc>
          <w:tcPr>
            <w:tcW w:w="3162" w:type="dxa"/>
          </w:tcPr>
          <w:p w:rsidR="008B19AE" w:rsidRDefault="008B19AE" w:rsidP="00424C1B">
            <w:pPr>
              <w:spacing w:after="60" w:line="240" w:lineRule="auto"/>
              <w:cnfStyle w:val="000000100000"/>
              <w:rPr>
                <w:rFonts w:eastAsia="Times New Roman" w:cs="Arial"/>
                <w:color w:val="000000"/>
                <w:sz w:val="16"/>
                <w:szCs w:val="16"/>
                <w:lang w:eastAsia="en-AU"/>
              </w:rPr>
            </w:pPr>
            <w:r>
              <w:rPr>
                <w:rFonts w:eastAsia="Times New Roman" w:cs="Arial"/>
                <w:color w:val="000000"/>
                <w:sz w:val="16"/>
                <w:szCs w:val="16"/>
                <w:lang w:eastAsia="en-AU"/>
              </w:rPr>
              <w:t>Liddell Coal Operations</w:t>
            </w:r>
          </w:p>
        </w:tc>
        <w:tc>
          <w:tcPr>
            <w:tcW w:w="924" w:type="dxa"/>
          </w:tcPr>
          <w:p w:rsidR="008B19AE" w:rsidRDefault="008B19AE"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NSW</w:t>
            </w:r>
          </w:p>
        </w:tc>
        <w:tc>
          <w:tcPr>
            <w:tcW w:w="1371" w:type="dxa"/>
          </w:tcPr>
          <w:p w:rsidR="008B19AE" w:rsidRDefault="008B19AE"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CWLTH</w:t>
            </w:r>
          </w:p>
        </w:tc>
        <w:tc>
          <w:tcPr>
            <w:tcW w:w="1071" w:type="dxa"/>
          </w:tcPr>
          <w:p w:rsidR="008B19AE" w:rsidRDefault="008B19AE"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EIA (draft)</w:t>
            </w:r>
          </w:p>
        </w:tc>
        <w:tc>
          <w:tcPr>
            <w:tcW w:w="1306" w:type="dxa"/>
          </w:tcPr>
          <w:p w:rsidR="008B19AE" w:rsidRPr="002B1570" w:rsidRDefault="002169C6" w:rsidP="00424C1B">
            <w:pPr>
              <w:spacing w:after="60"/>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due by end April 2014</w:t>
            </w:r>
          </w:p>
        </w:tc>
      </w:tr>
      <w:tr w:rsidR="008B19AE" w:rsidRPr="002B1570" w:rsidTr="00424C1B">
        <w:trPr>
          <w:cnfStyle w:val="000000010000"/>
          <w:trHeight w:val="263"/>
          <w:jc w:val="center"/>
        </w:trPr>
        <w:tc>
          <w:tcPr>
            <w:cnfStyle w:val="001000000000"/>
            <w:tcW w:w="416" w:type="dxa"/>
          </w:tcPr>
          <w:p w:rsidR="008B19AE" w:rsidRDefault="008B19AE" w:rsidP="00424C1B">
            <w:pPr>
              <w:pStyle w:val="ListNumber"/>
              <w:rPr>
                <w:rFonts w:eastAsia="Times New Roman" w:cs="Arial"/>
                <w:b w:val="0"/>
                <w:color w:val="000000"/>
                <w:sz w:val="16"/>
                <w:szCs w:val="16"/>
                <w:lang w:eastAsia="en-AU"/>
              </w:rPr>
            </w:pPr>
          </w:p>
        </w:tc>
        <w:tc>
          <w:tcPr>
            <w:tcW w:w="3162" w:type="dxa"/>
          </w:tcPr>
          <w:p w:rsidR="008B19AE" w:rsidRDefault="008B19AE" w:rsidP="00424C1B">
            <w:pPr>
              <w:spacing w:after="60" w:line="240" w:lineRule="auto"/>
              <w:cnfStyle w:val="000000010000"/>
              <w:rPr>
                <w:rFonts w:eastAsia="Times New Roman" w:cs="Arial"/>
                <w:color w:val="000000"/>
                <w:sz w:val="16"/>
                <w:szCs w:val="16"/>
                <w:lang w:eastAsia="en-AU"/>
              </w:rPr>
            </w:pPr>
            <w:r>
              <w:rPr>
                <w:rFonts w:eastAsia="Times New Roman" w:cs="Arial"/>
                <w:color w:val="000000"/>
                <w:sz w:val="16"/>
                <w:szCs w:val="16"/>
                <w:lang w:eastAsia="en-AU"/>
              </w:rPr>
              <w:t>Red Hill Mining Lease</w:t>
            </w:r>
          </w:p>
        </w:tc>
        <w:tc>
          <w:tcPr>
            <w:tcW w:w="924" w:type="dxa"/>
          </w:tcPr>
          <w:p w:rsidR="008B19AE" w:rsidRDefault="008B19AE"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QLD</w:t>
            </w:r>
          </w:p>
        </w:tc>
        <w:tc>
          <w:tcPr>
            <w:tcW w:w="1371" w:type="dxa"/>
          </w:tcPr>
          <w:p w:rsidR="008B19AE" w:rsidRDefault="008B19AE"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QLD &amp; CWLTH</w:t>
            </w:r>
          </w:p>
        </w:tc>
        <w:tc>
          <w:tcPr>
            <w:tcW w:w="1071" w:type="dxa"/>
          </w:tcPr>
          <w:p w:rsidR="008B19AE" w:rsidRDefault="008B19AE" w:rsidP="00424C1B">
            <w:pPr>
              <w:spacing w:after="60" w:line="240" w:lineRule="auto"/>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EIA (draft)</w:t>
            </w:r>
          </w:p>
        </w:tc>
        <w:tc>
          <w:tcPr>
            <w:tcW w:w="1306" w:type="dxa"/>
          </w:tcPr>
          <w:p w:rsidR="008B19AE" w:rsidRPr="002B1570" w:rsidRDefault="002169C6" w:rsidP="00C12B48">
            <w:pPr>
              <w:spacing w:after="60"/>
              <w:jc w:val="center"/>
              <w:cnfStyle w:val="000000010000"/>
              <w:rPr>
                <w:rFonts w:eastAsia="Times New Roman" w:cs="Arial"/>
                <w:color w:val="000000"/>
                <w:sz w:val="16"/>
                <w:szCs w:val="16"/>
                <w:lang w:eastAsia="en-AU"/>
              </w:rPr>
            </w:pPr>
            <w:r>
              <w:rPr>
                <w:rFonts w:eastAsia="Times New Roman" w:cs="Arial"/>
                <w:color w:val="000000"/>
                <w:sz w:val="16"/>
                <w:szCs w:val="16"/>
                <w:lang w:eastAsia="en-AU"/>
              </w:rPr>
              <w:t>due by end April 2014</w:t>
            </w:r>
          </w:p>
        </w:tc>
      </w:tr>
      <w:tr w:rsidR="008B19AE" w:rsidRPr="002B1570" w:rsidTr="00424C1B">
        <w:trPr>
          <w:cnfStyle w:val="000000100000"/>
          <w:trHeight w:val="263"/>
          <w:jc w:val="center"/>
        </w:trPr>
        <w:tc>
          <w:tcPr>
            <w:cnfStyle w:val="001000000000"/>
            <w:tcW w:w="416" w:type="dxa"/>
          </w:tcPr>
          <w:p w:rsidR="008B19AE" w:rsidRDefault="008B19AE" w:rsidP="00424C1B">
            <w:pPr>
              <w:pStyle w:val="ListNumber"/>
              <w:rPr>
                <w:rFonts w:eastAsia="Times New Roman" w:cs="Arial"/>
                <w:b w:val="0"/>
                <w:color w:val="000000"/>
                <w:sz w:val="16"/>
                <w:szCs w:val="16"/>
                <w:lang w:eastAsia="en-AU"/>
              </w:rPr>
            </w:pPr>
          </w:p>
        </w:tc>
        <w:tc>
          <w:tcPr>
            <w:tcW w:w="3162" w:type="dxa"/>
          </w:tcPr>
          <w:p w:rsidR="008B19AE" w:rsidRDefault="00C12B48" w:rsidP="00424C1B">
            <w:pPr>
              <w:spacing w:after="60" w:line="240" w:lineRule="auto"/>
              <w:cnfStyle w:val="000000100000"/>
              <w:rPr>
                <w:rFonts w:eastAsia="Times New Roman" w:cs="Arial"/>
                <w:color w:val="000000"/>
                <w:sz w:val="16"/>
                <w:szCs w:val="16"/>
                <w:lang w:eastAsia="en-AU"/>
              </w:rPr>
            </w:pPr>
            <w:r>
              <w:rPr>
                <w:rFonts w:eastAsia="Times New Roman" w:cs="Arial"/>
                <w:color w:val="000000"/>
                <w:sz w:val="16"/>
                <w:szCs w:val="16"/>
                <w:lang w:eastAsia="en-AU"/>
              </w:rPr>
              <w:t>New Acland Coal Mine Stag</w:t>
            </w:r>
            <w:r w:rsidR="008B19AE">
              <w:rPr>
                <w:rFonts w:eastAsia="Times New Roman" w:cs="Arial"/>
                <w:color w:val="000000"/>
                <w:sz w:val="16"/>
                <w:szCs w:val="16"/>
                <w:lang w:eastAsia="en-AU"/>
              </w:rPr>
              <w:t>e 3</w:t>
            </w:r>
          </w:p>
        </w:tc>
        <w:tc>
          <w:tcPr>
            <w:tcW w:w="924" w:type="dxa"/>
          </w:tcPr>
          <w:p w:rsidR="008B19AE" w:rsidRDefault="008B19AE"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QLD</w:t>
            </w:r>
          </w:p>
        </w:tc>
        <w:tc>
          <w:tcPr>
            <w:tcW w:w="1371" w:type="dxa"/>
          </w:tcPr>
          <w:p w:rsidR="008B19AE" w:rsidRDefault="008B19AE"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QLD &amp; CWLTH</w:t>
            </w:r>
          </w:p>
        </w:tc>
        <w:tc>
          <w:tcPr>
            <w:tcW w:w="1071" w:type="dxa"/>
          </w:tcPr>
          <w:p w:rsidR="008B19AE" w:rsidRDefault="008B19AE" w:rsidP="00424C1B">
            <w:pPr>
              <w:spacing w:after="60" w:line="240" w:lineRule="auto"/>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EIA (draft)</w:t>
            </w:r>
          </w:p>
        </w:tc>
        <w:tc>
          <w:tcPr>
            <w:tcW w:w="1306" w:type="dxa"/>
          </w:tcPr>
          <w:p w:rsidR="008B19AE" w:rsidRPr="002B1570" w:rsidRDefault="002169C6" w:rsidP="00C12B48">
            <w:pPr>
              <w:spacing w:after="60"/>
              <w:jc w:val="center"/>
              <w:cnfStyle w:val="000000100000"/>
              <w:rPr>
                <w:rFonts w:eastAsia="Times New Roman" w:cs="Arial"/>
                <w:color w:val="000000"/>
                <w:sz w:val="16"/>
                <w:szCs w:val="16"/>
                <w:lang w:eastAsia="en-AU"/>
              </w:rPr>
            </w:pPr>
            <w:r>
              <w:rPr>
                <w:rFonts w:eastAsia="Times New Roman" w:cs="Arial"/>
                <w:color w:val="000000"/>
                <w:sz w:val="16"/>
                <w:szCs w:val="16"/>
                <w:lang w:eastAsia="en-AU"/>
              </w:rPr>
              <w:t>due by end April 2014</w:t>
            </w:r>
          </w:p>
        </w:tc>
      </w:tr>
    </w:tbl>
    <w:p w:rsidR="00424C1B" w:rsidRDefault="00424C1B" w:rsidP="00424C1B">
      <w:pPr>
        <w:pStyle w:val="ListNumber"/>
        <w:numPr>
          <w:ilvl w:val="0"/>
          <w:numId w:val="0"/>
        </w:numPr>
        <w:rPr>
          <w:b/>
        </w:rPr>
      </w:pPr>
    </w:p>
    <w:sectPr w:rsidR="00424C1B" w:rsidSect="00AE2482">
      <w:headerReference w:type="even" r:id="rId17"/>
      <w:headerReference w:type="default" r:id="rId18"/>
      <w:footerReference w:type="even" r:id="rId19"/>
      <w:footerReference w:type="default" r:id="rId20"/>
      <w:headerReference w:type="first" r:id="rId21"/>
      <w:footerReference w:type="first" r:id="rId22"/>
      <w:pgSz w:w="11906" w:h="16838"/>
      <w:pgMar w:top="1134" w:right="1276" w:bottom="567" w:left="1276"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7F" w:rsidRDefault="00DD3C7F" w:rsidP="00A60185">
      <w:pPr>
        <w:spacing w:after="0" w:line="240" w:lineRule="auto"/>
      </w:pPr>
      <w:r>
        <w:separator/>
      </w:r>
    </w:p>
  </w:endnote>
  <w:endnote w:type="continuationSeparator" w:id="0">
    <w:p w:rsidR="00DD3C7F" w:rsidRDefault="00DD3C7F"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Default="003538DB" w:rsidP="00424C1B">
    <w:pPr>
      <w:pStyle w:val="Footerclassification"/>
    </w:pPr>
    <w:r>
      <w:fldChar w:fldCharType="begin"/>
    </w:r>
    <w:r w:rsidR="00DD3C7F">
      <w:instrText xml:space="preserve"> DOCPROPERTY DLM \* MERGEFORMAT </w:instrText>
    </w:r>
    <w:r>
      <w:fldChar w:fldCharType="end"/>
    </w:r>
    <w:r>
      <w:fldChar w:fldCharType="begin"/>
    </w:r>
    <w:r w:rsidR="00DD3C7F">
      <w:instrText xml:space="preserve"> DOCPROPERTY Spacer \* MERGEFORMAT </w:instrText>
    </w:r>
    <w:r>
      <w:fldChar w:fldCharType="end"/>
    </w:r>
    <w:r>
      <w:fldChar w:fldCharType="begin"/>
    </w:r>
    <w:r w:rsidR="00DD3C7F">
      <w:instrText xml:space="preserve"> DOCPROPERTY SecurityClassification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Default="00DD3C7F">
    <w:pPr>
      <w:pStyle w:val="Footer"/>
      <w:jc w:val="center"/>
    </w:pPr>
  </w:p>
  <w:p w:rsidR="00DD3C7F" w:rsidRDefault="003538DB" w:rsidP="00424C1B">
    <w:pPr>
      <w:pStyle w:val="Footerclassification"/>
    </w:pPr>
    <w:r>
      <w:fldChar w:fldCharType="begin"/>
    </w:r>
    <w:r w:rsidR="00DD3C7F">
      <w:instrText xml:space="preserve"> DOCPROPERTY DLM \* MERGEFORMAT </w:instrText>
    </w:r>
    <w:r>
      <w:fldChar w:fldCharType="end"/>
    </w:r>
    <w:r>
      <w:fldChar w:fldCharType="begin"/>
    </w:r>
    <w:r w:rsidR="00DD3C7F">
      <w:instrText xml:space="preserve"> DOCPROPERTY Spacer \* MERGEFORMAT </w:instrText>
    </w:r>
    <w:r>
      <w:fldChar w:fldCharType="end"/>
    </w:r>
    <w:r>
      <w:fldChar w:fldCharType="begin"/>
    </w:r>
    <w:r w:rsidR="00DD3C7F">
      <w:instrText xml:space="preserve"> DOCPROPERTY SecurityClassification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Pr="004C4795" w:rsidRDefault="003538DB" w:rsidP="00424C1B">
    <w:pPr>
      <w:pStyle w:val="Footerclassification"/>
    </w:pPr>
    <w:r>
      <w:rPr>
        <w:sz w:val="22"/>
      </w:rPr>
      <w:fldChar w:fldCharType="begin"/>
    </w:r>
    <w:r w:rsidR="00DD3C7F">
      <w:rPr>
        <w:sz w:val="22"/>
      </w:rPr>
      <w:instrText xml:space="preserve"> DOCPROPERTY Sensitivity \* MERGEFORMAT </w:instrText>
    </w:r>
    <w:r>
      <w:rPr>
        <w:sz w:val="22"/>
      </w:rPr>
      <w:fldChar w:fldCharType="end"/>
    </w:r>
    <w:r>
      <w:rPr>
        <w:i/>
        <w:sz w:val="22"/>
      </w:rPr>
      <w:fldChar w:fldCharType="begin"/>
    </w:r>
    <w:r w:rsidR="00DD3C7F">
      <w:rPr>
        <w:i/>
        <w:sz w:val="22"/>
      </w:rPr>
      <w:instrText xml:space="preserve"> DOCPROPERTY Legislation \* MERGEFORMAT </w:instrText>
    </w:r>
    <w:r>
      <w:rPr>
        <w:i/>
        <w:sz w:val="22"/>
      </w:rPr>
      <w:fldChar w:fldCharType="end"/>
    </w:r>
    <w:r>
      <w:fldChar w:fldCharType="begin"/>
    </w:r>
    <w:r w:rsidR="00DD3C7F">
      <w:instrText xml:space="preserve"> DOCPROPERTY DLM \* MERGEFORMAT </w:instrText>
    </w:r>
    <w:r>
      <w:fldChar w:fldCharType="end"/>
    </w:r>
    <w:r>
      <w:fldChar w:fldCharType="begin"/>
    </w:r>
    <w:r w:rsidR="00DD3C7F">
      <w:instrText xml:space="preserve"> DOCPROPERTY Spacer \* MERGEFORMAT </w:instrText>
    </w:r>
    <w:r>
      <w:fldChar w:fldCharType="end"/>
    </w:r>
    <w:r>
      <w:fldChar w:fldCharType="begin"/>
    </w:r>
    <w:r w:rsidR="00DD3C7F">
      <w:instrText xml:space="preserve"> DOCPROPERTY SecurityClassification \* MERGEFORMAT </w:instrTex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Default="003538DB" w:rsidP="003A5F9E">
    <w:pPr>
      <w:pStyle w:val="Footerclassification"/>
    </w:pPr>
    <w:r>
      <w:fldChar w:fldCharType="begin"/>
    </w:r>
    <w:r w:rsidR="00DD3C7F">
      <w:instrText xml:space="preserve"> DOCPROPERTY DLM \* MERGEFORMAT </w:instrText>
    </w:r>
    <w:r>
      <w:fldChar w:fldCharType="end"/>
    </w:r>
    <w:r>
      <w:fldChar w:fldCharType="begin"/>
    </w:r>
    <w:r w:rsidR="00DD3C7F">
      <w:instrText xml:space="preserve"> DOCPROPERTY Spacer \* MERGEFORMAT </w:instrText>
    </w:r>
    <w:r>
      <w:fldChar w:fldCharType="end"/>
    </w:r>
    <w:r>
      <w:fldChar w:fldCharType="begin"/>
    </w:r>
    <w:r w:rsidR="00DD3C7F">
      <w:instrText xml:space="preserve"> DOCPROPERTY SecurityClassification \* MERGEFORMAT </w:instrTex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DD3C7F" w:rsidRDefault="003538DB">
        <w:pPr>
          <w:pStyle w:val="Footer"/>
          <w:jc w:val="center"/>
        </w:pPr>
        <w:fldSimple w:instr=" PAGE   \* MERGEFORMAT ">
          <w:r w:rsidR="00AE2482">
            <w:rPr>
              <w:noProof/>
            </w:rPr>
            <w:t>2</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8079"/>
      <w:docPartObj>
        <w:docPartGallery w:val="Page Numbers (Bottom of Page)"/>
        <w:docPartUnique/>
      </w:docPartObj>
    </w:sdtPr>
    <w:sdtContent>
      <w:p w:rsidR="00AE2482" w:rsidRDefault="00AE2482">
        <w:pPr>
          <w:pStyle w:val="Footer"/>
          <w:jc w:val="center"/>
        </w:pPr>
        <w:r>
          <w:t>2</w:t>
        </w:r>
      </w:p>
    </w:sdtContent>
  </w:sdt>
  <w:p w:rsidR="00DD3C7F" w:rsidRDefault="00DD3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7F" w:rsidRDefault="00DD3C7F" w:rsidP="00A60185">
      <w:pPr>
        <w:spacing w:after="0" w:line="240" w:lineRule="auto"/>
      </w:pPr>
      <w:r>
        <w:separator/>
      </w:r>
    </w:p>
  </w:footnote>
  <w:footnote w:type="continuationSeparator" w:id="0">
    <w:p w:rsidR="00DD3C7F" w:rsidRDefault="00DD3C7F"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Default="003538DB" w:rsidP="00424C1B">
    <w:pPr>
      <w:pStyle w:val="Classification"/>
    </w:pPr>
    <w:r>
      <w:fldChar w:fldCharType="begin"/>
    </w:r>
    <w:r w:rsidR="00DD3C7F">
      <w:instrText xml:space="preserve"> DOCPROPERTY SecurityClassification \* MERGEFORMAT </w:instrText>
    </w:r>
    <w:r>
      <w:fldChar w:fldCharType="end"/>
    </w:r>
    <w:r>
      <w:fldChar w:fldCharType="begin"/>
    </w:r>
    <w:r w:rsidR="00DD3C7F">
      <w:instrText xml:space="preserve"> DOCPROPERTY Spacer \* MERGEFORMAT </w:instrText>
    </w:r>
    <w:r>
      <w:fldChar w:fldCharType="end"/>
    </w:r>
    <w:r>
      <w:fldChar w:fldCharType="begin"/>
    </w:r>
    <w:r w:rsidR="00DD3C7F">
      <w:instrText xml:space="preserve"> DOCPROPERTY DLM \* MERGEFORMAT </w:instrText>
    </w:r>
    <w:r>
      <w:fldChar w:fldCharType="end"/>
    </w:r>
  </w:p>
  <w:p w:rsidR="00DD3C7F" w:rsidRDefault="003538DB" w:rsidP="00E45765">
    <w:pPr>
      <w:pStyle w:val="Classification"/>
    </w:pPr>
    <w:r>
      <w:fldChar w:fldCharType="begin"/>
    </w:r>
    <w:r w:rsidR="00DD3C7F">
      <w:instrText xml:space="preserve"> DOCPROPERTY SecurityClassification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Default="003538DB" w:rsidP="00424C1B">
    <w:pPr>
      <w:pStyle w:val="Classification"/>
    </w:pPr>
    <w:r>
      <w:fldChar w:fldCharType="begin"/>
    </w:r>
    <w:r w:rsidR="00DD3C7F">
      <w:instrText xml:space="preserve"> DOCPROPERTY SecurityClassification \* MERGEFORMAT </w:instrText>
    </w:r>
    <w:r>
      <w:fldChar w:fldCharType="end"/>
    </w:r>
    <w:r>
      <w:fldChar w:fldCharType="begin"/>
    </w:r>
    <w:r w:rsidR="00DD3C7F">
      <w:instrText xml:space="preserve"> DOCPROPERTY Spacer \* MERGEFORMAT </w:instrText>
    </w:r>
    <w:r>
      <w:fldChar w:fldCharType="end"/>
    </w:r>
    <w:r>
      <w:fldChar w:fldCharType="begin"/>
    </w:r>
    <w:r w:rsidR="00DD3C7F">
      <w:instrText xml:space="preserve"> DOCPROPERTY DLM \* MERGEFORMAT </w:instrTex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EC" w:rsidRPr="00E103EC" w:rsidRDefault="00E103EC" w:rsidP="00E103EC">
    <w:pPr>
      <w:pStyle w:val="Header"/>
    </w:pPr>
    <w:r w:rsidRPr="00E103EC">
      <w:rPr>
        <w:noProof/>
        <w:lang w:eastAsia="en-AU"/>
      </w:rPr>
      <w:drawing>
        <wp:inline distT="0" distB="0" distL="0" distR="0">
          <wp:extent cx="2140748" cy="1231271"/>
          <wp:effectExtent l="19050" t="0" r="0" b="0"/>
          <wp:docPr id="1" name="Picture 1" descr="Description: Work:Logos all:SEWPaC Logo:DSEWPaC_inline_strip_black.eps"/>
          <wp:cNvGraphicFramePr/>
          <a:graphic xmlns:a="http://schemas.openxmlformats.org/drawingml/2006/main">
            <a:graphicData uri="http://schemas.openxmlformats.org/drawingml/2006/picture">
              <pic:pic xmlns:pic="http://schemas.openxmlformats.org/drawingml/2006/picture">
                <pic:nvPicPr>
                  <pic:cNvPr id="0" name="Picture 5" descr="Description: Work:Logos all:SEWPaC Logo:DSEWPaC_inline_strip_black.eps"/>
                  <pic:cNvPicPr>
                    <a:picLocks noChangeAspect="1" noChangeArrowheads="1"/>
                  </pic:cNvPicPr>
                </pic:nvPicPr>
                <pic:blipFill>
                  <a:blip r:embed="rId1"/>
                  <a:stretch>
                    <a:fillRect/>
                  </a:stretch>
                </pic:blipFill>
                <pic:spPr bwMode="auto">
                  <a:xfrm>
                    <a:off x="0" y="0"/>
                    <a:ext cx="2140748" cy="1231271"/>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Default="003538DB" w:rsidP="003A5F9E">
    <w:pPr>
      <w:pStyle w:val="Classification"/>
    </w:pPr>
    <w:r>
      <w:fldChar w:fldCharType="begin"/>
    </w:r>
    <w:r w:rsidR="00DD3C7F">
      <w:instrText xml:space="preserve"> DOCPROPERTY SecurityClassification \* MERGEFORMAT </w:instrText>
    </w:r>
    <w:r>
      <w:fldChar w:fldCharType="end"/>
    </w:r>
    <w:r>
      <w:fldChar w:fldCharType="begin"/>
    </w:r>
    <w:r w:rsidR="00DD3C7F">
      <w:instrText xml:space="preserve"> DOCPROPERTY Spacer \* MERGEFORMAT </w:instrText>
    </w:r>
    <w:r>
      <w:fldChar w:fldCharType="end"/>
    </w:r>
    <w:r>
      <w:fldChar w:fldCharType="begin"/>
    </w:r>
    <w:r w:rsidR="00DD3C7F">
      <w:instrText xml:space="preserve"> DOCPROPERTY DLM \* MERGEFORMAT </w:instrText>
    </w:r>
    <w:r>
      <w:fldChar w:fldCharType="end"/>
    </w:r>
  </w:p>
  <w:p w:rsidR="00DD3C7F" w:rsidRDefault="003538DB" w:rsidP="00E45765">
    <w:pPr>
      <w:pStyle w:val="Classification"/>
    </w:pPr>
    <w:r>
      <w:fldChar w:fldCharType="begin"/>
    </w:r>
    <w:r w:rsidR="00DD3C7F">
      <w:instrText xml:space="preserve"> DOCPROPERTY SecurityClassification \* MERGEFORMAT </w:instrTex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Default="00DD3C7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F" w:rsidRPr="00727749" w:rsidRDefault="00DD3C7F" w:rsidP="007277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180EA54"/>
    <w:lvl w:ilvl="0">
      <w:start w:val="1"/>
      <w:numFmt w:val="decimal"/>
      <w:lvlText w:val="%1."/>
      <w:lvlJc w:val="left"/>
      <w:pPr>
        <w:tabs>
          <w:tab w:val="num" w:pos="643"/>
        </w:tabs>
        <w:ind w:left="643" w:hanging="360"/>
      </w:pPr>
    </w:lvl>
  </w:abstractNum>
  <w:abstractNum w:abstractNumId="1">
    <w:nsid w:val="FFFFFF88"/>
    <w:multiLevelType w:val="singleLevel"/>
    <w:tmpl w:val="745C7B64"/>
    <w:lvl w:ilvl="0">
      <w:start w:val="1"/>
      <w:numFmt w:val="decimal"/>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F745BC2"/>
    <w:multiLevelType w:val="multilevel"/>
    <w:tmpl w:val="E5E89F92"/>
    <w:numStyleLink w:val="BulletList"/>
  </w:abstractNum>
  <w:abstractNum w:abstractNumId="4">
    <w:nsid w:val="25416CA9"/>
    <w:multiLevelType w:val="hybridMultilevel"/>
    <w:tmpl w:val="ECF078E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5456429"/>
    <w:multiLevelType w:val="multilevel"/>
    <w:tmpl w:val="80A22D9C"/>
    <w:lvl w:ilvl="0">
      <w:start w:val="1"/>
      <w:numFmt w:val="decimal"/>
      <w:pStyle w:val="ListNumber"/>
      <w:lvlText w:val="%1."/>
      <w:lvlJc w:val="left"/>
      <w:pPr>
        <w:ind w:left="369" w:hanging="369"/>
      </w:pPr>
      <w:rPr>
        <w:rFonts w:ascii="Arial" w:hAnsi="Arial" w:hint="default"/>
        <w:b w:val="0"/>
        <w:i w:val="0"/>
        <w:color w:val="auto"/>
        <w:sz w:val="22"/>
      </w:rPr>
    </w:lvl>
    <w:lvl w:ilvl="1">
      <w:start w:val="1"/>
      <w:numFmt w:val="lowerLetter"/>
      <w:pStyle w:val="ListNumber2"/>
      <w:lvlText w:val="%2."/>
      <w:lvlJc w:val="left"/>
      <w:pPr>
        <w:ind w:left="738" w:hanging="369"/>
      </w:pPr>
      <w:rPr>
        <w:rFonts w:hint="default"/>
        <w:b w:val="0"/>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65EA0797"/>
    <w:multiLevelType w:val="hybridMultilevel"/>
    <w:tmpl w:val="D150699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72740BFD"/>
    <w:multiLevelType w:val="multilevel"/>
    <w:tmpl w:val="4B4C067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2"/>
  </w:num>
  <w:num w:numId="3">
    <w:abstractNumId w:val="6"/>
  </w:num>
  <w:num w:numId="4">
    <w:abstractNumId w:val="5"/>
  </w:num>
  <w:num w:numId="5">
    <w:abstractNumId w:val="7"/>
  </w:num>
  <w:num w:numId="6">
    <w:abstractNumId w:val="3"/>
  </w:num>
  <w:num w:numId="7">
    <w:abstractNumId w:val="7"/>
  </w:num>
  <w:num w:numId="8">
    <w:abstractNumId w:val="1"/>
  </w:num>
  <w:num w:numId="9">
    <w:abstractNumId w:val="0"/>
  </w:num>
  <w:num w:numId="10">
    <w:abstractNumId w:val="7"/>
  </w:num>
  <w:num w:numId="11">
    <w:abstractNumId w:val="7"/>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docVars>
    <w:docVar w:name="SecurityClassificationInHeader" w:val="True"/>
  </w:docVars>
  <w:rsids>
    <w:rsidRoot w:val="007B56B5"/>
    <w:rsid w:val="0000099F"/>
    <w:rsid w:val="00002B0E"/>
    <w:rsid w:val="000037BF"/>
    <w:rsid w:val="00004AEE"/>
    <w:rsid w:val="00005CAA"/>
    <w:rsid w:val="00007598"/>
    <w:rsid w:val="00010210"/>
    <w:rsid w:val="00014060"/>
    <w:rsid w:val="00015ADA"/>
    <w:rsid w:val="00015C51"/>
    <w:rsid w:val="00016E11"/>
    <w:rsid w:val="00017B92"/>
    <w:rsid w:val="00017BB8"/>
    <w:rsid w:val="00020C99"/>
    <w:rsid w:val="00020F42"/>
    <w:rsid w:val="00021506"/>
    <w:rsid w:val="00023380"/>
    <w:rsid w:val="000260F8"/>
    <w:rsid w:val="0002707B"/>
    <w:rsid w:val="00030659"/>
    <w:rsid w:val="00031219"/>
    <w:rsid w:val="0005148E"/>
    <w:rsid w:val="0005270A"/>
    <w:rsid w:val="000546CA"/>
    <w:rsid w:val="0006144C"/>
    <w:rsid w:val="00063AF2"/>
    <w:rsid w:val="000642C0"/>
    <w:rsid w:val="00071986"/>
    <w:rsid w:val="0007206B"/>
    <w:rsid w:val="000736E1"/>
    <w:rsid w:val="000759E5"/>
    <w:rsid w:val="00080A47"/>
    <w:rsid w:val="0008365A"/>
    <w:rsid w:val="0008410F"/>
    <w:rsid w:val="00084AC6"/>
    <w:rsid w:val="000853EA"/>
    <w:rsid w:val="00085C49"/>
    <w:rsid w:val="00086D82"/>
    <w:rsid w:val="00090A2F"/>
    <w:rsid w:val="00091608"/>
    <w:rsid w:val="0009257B"/>
    <w:rsid w:val="0009304B"/>
    <w:rsid w:val="0009333C"/>
    <w:rsid w:val="0009390A"/>
    <w:rsid w:val="00096E03"/>
    <w:rsid w:val="0009704F"/>
    <w:rsid w:val="000A0F11"/>
    <w:rsid w:val="000A125A"/>
    <w:rsid w:val="000A24E7"/>
    <w:rsid w:val="000A4275"/>
    <w:rsid w:val="000A57CD"/>
    <w:rsid w:val="000A6AF1"/>
    <w:rsid w:val="000A6C70"/>
    <w:rsid w:val="000B0444"/>
    <w:rsid w:val="000B3758"/>
    <w:rsid w:val="000B3871"/>
    <w:rsid w:val="000B7681"/>
    <w:rsid w:val="000B7B42"/>
    <w:rsid w:val="000C02B7"/>
    <w:rsid w:val="000C0739"/>
    <w:rsid w:val="000C0D7A"/>
    <w:rsid w:val="000C3E4B"/>
    <w:rsid w:val="000C5342"/>
    <w:rsid w:val="000C5DFC"/>
    <w:rsid w:val="000C63ED"/>
    <w:rsid w:val="000C706A"/>
    <w:rsid w:val="000D069E"/>
    <w:rsid w:val="000D1DEC"/>
    <w:rsid w:val="000D21D1"/>
    <w:rsid w:val="000D2887"/>
    <w:rsid w:val="000D300D"/>
    <w:rsid w:val="000D35F3"/>
    <w:rsid w:val="000D4100"/>
    <w:rsid w:val="000D61D0"/>
    <w:rsid w:val="000D6D63"/>
    <w:rsid w:val="000D7D95"/>
    <w:rsid w:val="000E0081"/>
    <w:rsid w:val="000E0262"/>
    <w:rsid w:val="000E07CF"/>
    <w:rsid w:val="000E72EA"/>
    <w:rsid w:val="000F56A8"/>
    <w:rsid w:val="000F7249"/>
    <w:rsid w:val="000F7C8E"/>
    <w:rsid w:val="00102435"/>
    <w:rsid w:val="0010402B"/>
    <w:rsid w:val="00110D58"/>
    <w:rsid w:val="00113A1C"/>
    <w:rsid w:val="0011498E"/>
    <w:rsid w:val="00117A45"/>
    <w:rsid w:val="001219EE"/>
    <w:rsid w:val="001224AE"/>
    <w:rsid w:val="00126E64"/>
    <w:rsid w:val="00127169"/>
    <w:rsid w:val="001337D4"/>
    <w:rsid w:val="0013623C"/>
    <w:rsid w:val="00143480"/>
    <w:rsid w:val="00147C12"/>
    <w:rsid w:val="001527A1"/>
    <w:rsid w:val="001530DC"/>
    <w:rsid w:val="00153379"/>
    <w:rsid w:val="00154989"/>
    <w:rsid w:val="00155A9F"/>
    <w:rsid w:val="00160262"/>
    <w:rsid w:val="00165245"/>
    <w:rsid w:val="0016780A"/>
    <w:rsid w:val="001706CA"/>
    <w:rsid w:val="00171DB8"/>
    <w:rsid w:val="00172A5B"/>
    <w:rsid w:val="00173EBF"/>
    <w:rsid w:val="00177486"/>
    <w:rsid w:val="0018112F"/>
    <w:rsid w:val="0018130E"/>
    <w:rsid w:val="001842A2"/>
    <w:rsid w:val="001855DA"/>
    <w:rsid w:val="00187FA8"/>
    <w:rsid w:val="00191C5D"/>
    <w:rsid w:val="00192F5E"/>
    <w:rsid w:val="00197772"/>
    <w:rsid w:val="001A06CA"/>
    <w:rsid w:val="001A286C"/>
    <w:rsid w:val="001A51C8"/>
    <w:rsid w:val="001A76BB"/>
    <w:rsid w:val="001B1719"/>
    <w:rsid w:val="001B1DEA"/>
    <w:rsid w:val="001B326A"/>
    <w:rsid w:val="001B4CA8"/>
    <w:rsid w:val="001B5121"/>
    <w:rsid w:val="001B5A5A"/>
    <w:rsid w:val="001C1D95"/>
    <w:rsid w:val="001C2CC9"/>
    <w:rsid w:val="001C39E3"/>
    <w:rsid w:val="001C3B93"/>
    <w:rsid w:val="001C4F3D"/>
    <w:rsid w:val="001C68AF"/>
    <w:rsid w:val="001C79BE"/>
    <w:rsid w:val="001D0CDC"/>
    <w:rsid w:val="001D1D82"/>
    <w:rsid w:val="001D5281"/>
    <w:rsid w:val="001E0274"/>
    <w:rsid w:val="001E09CF"/>
    <w:rsid w:val="001E1182"/>
    <w:rsid w:val="001E1C32"/>
    <w:rsid w:val="001E1CE4"/>
    <w:rsid w:val="001E25B3"/>
    <w:rsid w:val="001E45F7"/>
    <w:rsid w:val="001F1496"/>
    <w:rsid w:val="00202C90"/>
    <w:rsid w:val="00203537"/>
    <w:rsid w:val="0020552E"/>
    <w:rsid w:val="00213DE8"/>
    <w:rsid w:val="00214AE2"/>
    <w:rsid w:val="00214B4E"/>
    <w:rsid w:val="00216118"/>
    <w:rsid w:val="002169C6"/>
    <w:rsid w:val="00216FCC"/>
    <w:rsid w:val="002202A2"/>
    <w:rsid w:val="002209AB"/>
    <w:rsid w:val="002251E3"/>
    <w:rsid w:val="00227A95"/>
    <w:rsid w:val="00230D12"/>
    <w:rsid w:val="00231CC6"/>
    <w:rsid w:val="002473FC"/>
    <w:rsid w:val="002517F5"/>
    <w:rsid w:val="00251FBE"/>
    <w:rsid w:val="00252E3C"/>
    <w:rsid w:val="0025407D"/>
    <w:rsid w:val="002574CA"/>
    <w:rsid w:val="00262198"/>
    <w:rsid w:val="00262656"/>
    <w:rsid w:val="00263441"/>
    <w:rsid w:val="00264707"/>
    <w:rsid w:val="0026507F"/>
    <w:rsid w:val="00267643"/>
    <w:rsid w:val="00271CAA"/>
    <w:rsid w:val="0027290D"/>
    <w:rsid w:val="00274C18"/>
    <w:rsid w:val="002825EB"/>
    <w:rsid w:val="00282782"/>
    <w:rsid w:val="00285F1B"/>
    <w:rsid w:val="00292B81"/>
    <w:rsid w:val="0029793D"/>
    <w:rsid w:val="002A11A4"/>
    <w:rsid w:val="002A4EF8"/>
    <w:rsid w:val="002B18AE"/>
    <w:rsid w:val="002B220A"/>
    <w:rsid w:val="002B3674"/>
    <w:rsid w:val="002B766C"/>
    <w:rsid w:val="002B76D0"/>
    <w:rsid w:val="002C1C93"/>
    <w:rsid w:val="002C2FB1"/>
    <w:rsid w:val="002C5066"/>
    <w:rsid w:val="002D419A"/>
    <w:rsid w:val="002D4AAC"/>
    <w:rsid w:val="002E2152"/>
    <w:rsid w:val="002E234A"/>
    <w:rsid w:val="002E3BAF"/>
    <w:rsid w:val="002E5531"/>
    <w:rsid w:val="002E5D24"/>
    <w:rsid w:val="002F025E"/>
    <w:rsid w:val="002F045A"/>
    <w:rsid w:val="002F1755"/>
    <w:rsid w:val="002F18F8"/>
    <w:rsid w:val="002F3FC8"/>
    <w:rsid w:val="002F6703"/>
    <w:rsid w:val="0030039D"/>
    <w:rsid w:val="0030171F"/>
    <w:rsid w:val="00302B2F"/>
    <w:rsid w:val="0030326F"/>
    <w:rsid w:val="00304541"/>
    <w:rsid w:val="00306AC3"/>
    <w:rsid w:val="00310701"/>
    <w:rsid w:val="00313F8F"/>
    <w:rsid w:val="00315557"/>
    <w:rsid w:val="00315980"/>
    <w:rsid w:val="00316F7F"/>
    <w:rsid w:val="00320DFB"/>
    <w:rsid w:val="003218E8"/>
    <w:rsid w:val="003232B4"/>
    <w:rsid w:val="00323727"/>
    <w:rsid w:val="00323CA9"/>
    <w:rsid w:val="003244F4"/>
    <w:rsid w:val="00325230"/>
    <w:rsid w:val="00330DCE"/>
    <w:rsid w:val="00331E11"/>
    <w:rsid w:val="00332294"/>
    <w:rsid w:val="003333B8"/>
    <w:rsid w:val="00334761"/>
    <w:rsid w:val="0033598D"/>
    <w:rsid w:val="00335A95"/>
    <w:rsid w:val="00341DCD"/>
    <w:rsid w:val="00344897"/>
    <w:rsid w:val="0034563E"/>
    <w:rsid w:val="003518D6"/>
    <w:rsid w:val="003538DB"/>
    <w:rsid w:val="0035460C"/>
    <w:rsid w:val="003556BD"/>
    <w:rsid w:val="003559E1"/>
    <w:rsid w:val="00360418"/>
    <w:rsid w:val="003605BB"/>
    <w:rsid w:val="00365147"/>
    <w:rsid w:val="00365D0A"/>
    <w:rsid w:val="0037016E"/>
    <w:rsid w:val="00370E93"/>
    <w:rsid w:val="00372908"/>
    <w:rsid w:val="003744A1"/>
    <w:rsid w:val="003764D2"/>
    <w:rsid w:val="00377900"/>
    <w:rsid w:val="00380681"/>
    <w:rsid w:val="00383020"/>
    <w:rsid w:val="00383945"/>
    <w:rsid w:val="00390317"/>
    <w:rsid w:val="00390F95"/>
    <w:rsid w:val="003968BA"/>
    <w:rsid w:val="00396D6E"/>
    <w:rsid w:val="003975FD"/>
    <w:rsid w:val="003A0F88"/>
    <w:rsid w:val="003A37C3"/>
    <w:rsid w:val="003A5F9E"/>
    <w:rsid w:val="003B3DF0"/>
    <w:rsid w:val="003B6068"/>
    <w:rsid w:val="003B60CC"/>
    <w:rsid w:val="003B7418"/>
    <w:rsid w:val="003C2443"/>
    <w:rsid w:val="003C3BEE"/>
    <w:rsid w:val="003C5D5A"/>
    <w:rsid w:val="003C5DA3"/>
    <w:rsid w:val="003D0C67"/>
    <w:rsid w:val="003D4BCD"/>
    <w:rsid w:val="003D5140"/>
    <w:rsid w:val="003D6AE1"/>
    <w:rsid w:val="003D7EEF"/>
    <w:rsid w:val="003D7FB7"/>
    <w:rsid w:val="003E1021"/>
    <w:rsid w:val="003E15EF"/>
    <w:rsid w:val="003E2100"/>
    <w:rsid w:val="003E3195"/>
    <w:rsid w:val="003F6F5B"/>
    <w:rsid w:val="0040054F"/>
    <w:rsid w:val="00400782"/>
    <w:rsid w:val="0040342D"/>
    <w:rsid w:val="00406989"/>
    <w:rsid w:val="0041044F"/>
    <w:rsid w:val="0041192D"/>
    <w:rsid w:val="00413D8E"/>
    <w:rsid w:val="00413EE1"/>
    <w:rsid w:val="0042128E"/>
    <w:rsid w:val="00421FEC"/>
    <w:rsid w:val="00422748"/>
    <w:rsid w:val="00424C1B"/>
    <w:rsid w:val="00425269"/>
    <w:rsid w:val="00430252"/>
    <w:rsid w:val="00432B60"/>
    <w:rsid w:val="00433D3C"/>
    <w:rsid w:val="00434A49"/>
    <w:rsid w:val="00435AAF"/>
    <w:rsid w:val="0044046B"/>
    <w:rsid w:val="00440698"/>
    <w:rsid w:val="00445A4F"/>
    <w:rsid w:val="00452916"/>
    <w:rsid w:val="00453D76"/>
    <w:rsid w:val="004540E2"/>
    <w:rsid w:val="00455A78"/>
    <w:rsid w:val="00456867"/>
    <w:rsid w:val="0046116B"/>
    <w:rsid w:val="0046173C"/>
    <w:rsid w:val="00461777"/>
    <w:rsid w:val="00462898"/>
    <w:rsid w:val="004712A5"/>
    <w:rsid w:val="004720A9"/>
    <w:rsid w:val="0047266F"/>
    <w:rsid w:val="00476D6B"/>
    <w:rsid w:val="00483474"/>
    <w:rsid w:val="00485FF0"/>
    <w:rsid w:val="004871DC"/>
    <w:rsid w:val="00492C16"/>
    <w:rsid w:val="004A0678"/>
    <w:rsid w:val="004A0C47"/>
    <w:rsid w:val="004A4393"/>
    <w:rsid w:val="004A48A3"/>
    <w:rsid w:val="004A576F"/>
    <w:rsid w:val="004A782A"/>
    <w:rsid w:val="004A7DAE"/>
    <w:rsid w:val="004B0D92"/>
    <w:rsid w:val="004B0EC0"/>
    <w:rsid w:val="004B3F17"/>
    <w:rsid w:val="004B4500"/>
    <w:rsid w:val="004B66F1"/>
    <w:rsid w:val="004B6DF7"/>
    <w:rsid w:val="004C3EA0"/>
    <w:rsid w:val="004C67F3"/>
    <w:rsid w:val="004D1DAE"/>
    <w:rsid w:val="004D7635"/>
    <w:rsid w:val="004E1A8E"/>
    <w:rsid w:val="004E4E2E"/>
    <w:rsid w:val="004F57B9"/>
    <w:rsid w:val="004F60AC"/>
    <w:rsid w:val="004F66A2"/>
    <w:rsid w:val="004F7169"/>
    <w:rsid w:val="00500D66"/>
    <w:rsid w:val="005058A8"/>
    <w:rsid w:val="00506D4E"/>
    <w:rsid w:val="005071F2"/>
    <w:rsid w:val="00514C8E"/>
    <w:rsid w:val="005259FF"/>
    <w:rsid w:val="0052681E"/>
    <w:rsid w:val="00527851"/>
    <w:rsid w:val="00531DBF"/>
    <w:rsid w:val="00534AD1"/>
    <w:rsid w:val="00541105"/>
    <w:rsid w:val="00542EB5"/>
    <w:rsid w:val="00545759"/>
    <w:rsid w:val="00545BE0"/>
    <w:rsid w:val="0055021F"/>
    <w:rsid w:val="005522E9"/>
    <w:rsid w:val="00553DF5"/>
    <w:rsid w:val="00562E85"/>
    <w:rsid w:val="0056332F"/>
    <w:rsid w:val="005654B0"/>
    <w:rsid w:val="00567E9C"/>
    <w:rsid w:val="005735C7"/>
    <w:rsid w:val="00577732"/>
    <w:rsid w:val="00581C39"/>
    <w:rsid w:val="00585198"/>
    <w:rsid w:val="00586CB3"/>
    <w:rsid w:val="005903B6"/>
    <w:rsid w:val="00591AA2"/>
    <w:rsid w:val="00592815"/>
    <w:rsid w:val="00592F10"/>
    <w:rsid w:val="005931E7"/>
    <w:rsid w:val="005975A1"/>
    <w:rsid w:val="005A0197"/>
    <w:rsid w:val="005A0247"/>
    <w:rsid w:val="005A4A7E"/>
    <w:rsid w:val="005A5617"/>
    <w:rsid w:val="005A6A81"/>
    <w:rsid w:val="005B02B3"/>
    <w:rsid w:val="005B140D"/>
    <w:rsid w:val="005B466F"/>
    <w:rsid w:val="005B6D94"/>
    <w:rsid w:val="005C0206"/>
    <w:rsid w:val="005C1FEA"/>
    <w:rsid w:val="005C2672"/>
    <w:rsid w:val="005C2DFF"/>
    <w:rsid w:val="005C3495"/>
    <w:rsid w:val="005D008A"/>
    <w:rsid w:val="005D019D"/>
    <w:rsid w:val="005D0354"/>
    <w:rsid w:val="005D19FE"/>
    <w:rsid w:val="005D6098"/>
    <w:rsid w:val="005D7C4A"/>
    <w:rsid w:val="005E2419"/>
    <w:rsid w:val="005E3DFC"/>
    <w:rsid w:val="005E5D52"/>
    <w:rsid w:val="005E60AF"/>
    <w:rsid w:val="005F0B4F"/>
    <w:rsid w:val="005F1DEA"/>
    <w:rsid w:val="005F2CC3"/>
    <w:rsid w:val="0060056A"/>
    <w:rsid w:val="00601EF2"/>
    <w:rsid w:val="00603944"/>
    <w:rsid w:val="0060462F"/>
    <w:rsid w:val="006058F3"/>
    <w:rsid w:val="0060609B"/>
    <w:rsid w:val="00606F65"/>
    <w:rsid w:val="00607FC9"/>
    <w:rsid w:val="0061002D"/>
    <w:rsid w:val="006120EA"/>
    <w:rsid w:val="00622FE1"/>
    <w:rsid w:val="0062521C"/>
    <w:rsid w:val="006257E6"/>
    <w:rsid w:val="00626116"/>
    <w:rsid w:val="006269D3"/>
    <w:rsid w:val="006276D0"/>
    <w:rsid w:val="0062798B"/>
    <w:rsid w:val="00627C88"/>
    <w:rsid w:val="00630112"/>
    <w:rsid w:val="0063079B"/>
    <w:rsid w:val="00630A2B"/>
    <w:rsid w:val="00632DC7"/>
    <w:rsid w:val="006357FB"/>
    <w:rsid w:val="00635C5E"/>
    <w:rsid w:val="006406FC"/>
    <w:rsid w:val="00643B47"/>
    <w:rsid w:val="00645CB8"/>
    <w:rsid w:val="00651D50"/>
    <w:rsid w:val="00653E16"/>
    <w:rsid w:val="00653F7B"/>
    <w:rsid w:val="00654B4D"/>
    <w:rsid w:val="00655089"/>
    <w:rsid w:val="00657220"/>
    <w:rsid w:val="00657ABF"/>
    <w:rsid w:val="0066104B"/>
    <w:rsid w:val="0066109E"/>
    <w:rsid w:val="006655EE"/>
    <w:rsid w:val="00665D8A"/>
    <w:rsid w:val="00667C10"/>
    <w:rsid w:val="00667EF4"/>
    <w:rsid w:val="0067302B"/>
    <w:rsid w:val="00676FCA"/>
    <w:rsid w:val="00677177"/>
    <w:rsid w:val="0068378F"/>
    <w:rsid w:val="006844AE"/>
    <w:rsid w:val="0068612E"/>
    <w:rsid w:val="00686A8B"/>
    <w:rsid w:val="00686E71"/>
    <w:rsid w:val="00687607"/>
    <w:rsid w:val="00687C92"/>
    <w:rsid w:val="0069534E"/>
    <w:rsid w:val="006965E9"/>
    <w:rsid w:val="0069669C"/>
    <w:rsid w:val="006A074A"/>
    <w:rsid w:val="006A1200"/>
    <w:rsid w:val="006A1AE4"/>
    <w:rsid w:val="006A3786"/>
    <w:rsid w:val="006A47D3"/>
    <w:rsid w:val="006A4F4E"/>
    <w:rsid w:val="006A5661"/>
    <w:rsid w:val="006A7C7F"/>
    <w:rsid w:val="006A7E9B"/>
    <w:rsid w:val="006B14DB"/>
    <w:rsid w:val="006B1EE8"/>
    <w:rsid w:val="006B1FFD"/>
    <w:rsid w:val="006B21C4"/>
    <w:rsid w:val="006B4FD2"/>
    <w:rsid w:val="006C09DC"/>
    <w:rsid w:val="006C1A92"/>
    <w:rsid w:val="006C4A1A"/>
    <w:rsid w:val="006D0393"/>
    <w:rsid w:val="006D1A83"/>
    <w:rsid w:val="006D1B10"/>
    <w:rsid w:val="006D1E85"/>
    <w:rsid w:val="006D4BB5"/>
    <w:rsid w:val="006D5258"/>
    <w:rsid w:val="006D6129"/>
    <w:rsid w:val="006D6808"/>
    <w:rsid w:val="006D69DE"/>
    <w:rsid w:val="006E1CFE"/>
    <w:rsid w:val="006E25EB"/>
    <w:rsid w:val="006E3DC4"/>
    <w:rsid w:val="006E3EB2"/>
    <w:rsid w:val="006E57F1"/>
    <w:rsid w:val="006F0D91"/>
    <w:rsid w:val="006F10C4"/>
    <w:rsid w:val="006F1372"/>
    <w:rsid w:val="006F1898"/>
    <w:rsid w:val="006F1EA2"/>
    <w:rsid w:val="006F5603"/>
    <w:rsid w:val="00701400"/>
    <w:rsid w:val="0070207B"/>
    <w:rsid w:val="007037CF"/>
    <w:rsid w:val="0071252E"/>
    <w:rsid w:val="00713CB4"/>
    <w:rsid w:val="00713FA2"/>
    <w:rsid w:val="007152A9"/>
    <w:rsid w:val="00716663"/>
    <w:rsid w:val="007167C0"/>
    <w:rsid w:val="00720481"/>
    <w:rsid w:val="00720E46"/>
    <w:rsid w:val="007237ED"/>
    <w:rsid w:val="00727749"/>
    <w:rsid w:val="00730772"/>
    <w:rsid w:val="0073220F"/>
    <w:rsid w:val="00732E31"/>
    <w:rsid w:val="00733193"/>
    <w:rsid w:val="00742799"/>
    <w:rsid w:val="00744429"/>
    <w:rsid w:val="007470BF"/>
    <w:rsid w:val="00751C97"/>
    <w:rsid w:val="0075664B"/>
    <w:rsid w:val="0075732A"/>
    <w:rsid w:val="00757539"/>
    <w:rsid w:val="00760262"/>
    <w:rsid w:val="0076310C"/>
    <w:rsid w:val="00765624"/>
    <w:rsid w:val="0076744F"/>
    <w:rsid w:val="00767BCE"/>
    <w:rsid w:val="007707DE"/>
    <w:rsid w:val="00770B5D"/>
    <w:rsid w:val="007722AA"/>
    <w:rsid w:val="0077237C"/>
    <w:rsid w:val="0077416C"/>
    <w:rsid w:val="007752F1"/>
    <w:rsid w:val="00776768"/>
    <w:rsid w:val="007858EB"/>
    <w:rsid w:val="00787557"/>
    <w:rsid w:val="00790DFA"/>
    <w:rsid w:val="00792C4B"/>
    <w:rsid w:val="007953DA"/>
    <w:rsid w:val="0079770A"/>
    <w:rsid w:val="007A2573"/>
    <w:rsid w:val="007A36C7"/>
    <w:rsid w:val="007A570A"/>
    <w:rsid w:val="007A605E"/>
    <w:rsid w:val="007A6A1A"/>
    <w:rsid w:val="007B106C"/>
    <w:rsid w:val="007B133B"/>
    <w:rsid w:val="007B1A4E"/>
    <w:rsid w:val="007B3D05"/>
    <w:rsid w:val="007B56B5"/>
    <w:rsid w:val="007C0C81"/>
    <w:rsid w:val="007C1328"/>
    <w:rsid w:val="007C38C4"/>
    <w:rsid w:val="007C4FF0"/>
    <w:rsid w:val="007C63C9"/>
    <w:rsid w:val="007C7383"/>
    <w:rsid w:val="007C799B"/>
    <w:rsid w:val="007D14B4"/>
    <w:rsid w:val="007D2191"/>
    <w:rsid w:val="007D2FC3"/>
    <w:rsid w:val="007D5962"/>
    <w:rsid w:val="007E24F6"/>
    <w:rsid w:val="007F03AE"/>
    <w:rsid w:val="007F1FCB"/>
    <w:rsid w:val="00800F64"/>
    <w:rsid w:val="0080181B"/>
    <w:rsid w:val="00801F62"/>
    <w:rsid w:val="00802414"/>
    <w:rsid w:val="00802F0B"/>
    <w:rsid w:val="0080725C"/>
    <w:rsid w:val="00807E21"/>
    <w:rsid w:val="008100F8"/>
    <w:rsid w:val="00810A67"/>
    <w:rsid w:val="00811062"/>
    <w:rsid w:val="00821A31"/>
    <w:rsid w:val="00822339"/>
    <w:rsid w:val="00823CDB"/>
    <w:rsid w:val="00825E51"/>
    <w:rsid w:val="0083042B"/>
    <w:rsid w:val="008316C6"/>
    <w:rsid w:val="0083216E"/>
    <w:rsid w:val="00832E78"/>
    <w:rsid w:val="00833CF7"/>
    <w:rsid w:val="008349A8"/>
    <w:rsid w:val="0084181F"/>
    <w:rsid w:val="00843089"/>
    <w:rsid w:val="008434F6"/>
    <w:rsid w:val="00845601"/>
    <w:rsid w:val="00846BDA"/>
    <w:rsid w:val="008523BB"/>
    <w:rsid w:val="00855C5C"/>
    <w:rsid w:val="0086151E"/>
    <w:rsid w:val="00861F2E"/>
    <w:rsid w:val="00865980"/>
    <w:rsid w:val="00865F3A"/>
    <w:rsid w:val="008672EB"/>
    <w:rsid w:val="00873C12"/>
    <w:rsid w:val="00881313"/>
    <w:rsid w:val="0089152D"/>
    <w:rsid w:val="0089195E"/>
    <w:rsid w:val="00894AEF"/>
    <w:rsid w:val="00895C7E"/>
    <w:rsid w:val="008970A8"/>
    <w:rsid w:val="008A04BB"/>
    <w:rsid w:val="008A24DA"/>
    <w:rsid w:val="008A2B4A"/>
    <w:rsid w:val="008A3C96"/>
    <w:rsid w:val="008B05DB"/>
    <w:rsid w:val="008B19AE"/>
    <w:rsid w:val="008B2115"/>
    <w:rsid w:val="008B3194"/>
    <w:rsid w:val="008B34B7"/>
    <w:rsid w:val="008B4019"/>
    <w:rsid w:val="008B65C9"/>
    <w:rsid w:val="008B7B00"/>
    <w:rsid w:val="008C119E"/>
    <w:rsid w:val="008C171D"/>
    <w:rsid w:val="008C2D4A"/>
    <w:rsid w:val="008C51AF"/>
    <w:rsid w:val="008C536D"/>
    <w:rsid w:val="008D26F4"/>
    <w:rsid w:val="008D3900"/>
    <w:rsid w:val="008D6E1D"/>
    <w:rsid w:val="008D711B"/>
    <w:rsid w:val="008E713B"/>
    <w:rsid w:val="008E732F"/>
    <w:rsid w:val="008E79D0"/>
    <w:rsid w:val="008F1B18"/>
    <w:rsid w:val="008F1F57"/>
    <w:rsid w:val="008F39B4"/>
    <w:rsid w:val="008F4162"/>
    <w:rsid w:val="00900EA5"/>
    <w:rsid w:val="00903E02"/>
    <w:rsid w:val="0090462B"/>
    <w:rsid w:val="00905E83"/>
    <w:rsid w:val="00907878"/>
    <w:rsid w:val="00913175"/>
    <w:rsid w:val="009141EC"/>
    <w:rsid w:val="00914692"/>
    <w:rsid w:val="00914A74"/>
    <w:rsid w:val="00915387"/>
    <w:rsid w:val="00916EDB"/>
    <w:rsid w:val="009172EC"/>
    <w:rsid w:val="00921EAD"/>
    <w:rsid w:val="009240A6"/>
    <w:rsid w:val="009242EF"/>
    <w:rsid w:val="00924397"/>
    <w:rsid w:val="0092548A"/>
    <w:rsid w:val="00926C68"/>
    <w:rsid w:val="00932291"/>
    <w:rsid w:val="0093276A"/>
    <w:rsid w:val="0093408E"/>
    <w:rsid w:val="00935368"/>
    <w:rsid w:val="009368EC"/>
    <w:rsid w:val="00941991"/>
    <w:rsid w:val="00944005"/>
    <w:rsid w:val="00947CBC"/>
    <w:rsid w:val="00952DDF"/>
    <w:rsid w:val="00954246"/>
    <w:rsid w:val="00956DE8"/>
    <w:rsid w:val="009612B1"/>
    <w:rsid w:val="0096150A"/>
    <w:rsid w:val="0096170E"/>
    <w:rsid w:val="00971ACD"/>
    <w:rsid w:val="00971D72"/>
    <w:rsid w:val="009761DC"/>
    <w:rsid w:val="00976E4A"/>
    <w:rsid w:val="00980C6A"/>
    <w:rsid w:val="00982CFA"/>
    <w:rsid w:val="00992A58"/>
    <w:rsid w:val="009A303B"/>
    <w:rsid w:val="009B18FE"/>
    <w:rsid w:val="009B260A"/>
    <w:rsid w:val="009B38BE"/>
    <w:rsid w:val="009B4A1B"/>
    <w:rsid w:val="009B57A5"/>
    <w:rsid w:val="009C09B8"/>
    <w:rsid w:val="009C333F"/>
    <w:rsid w:val="009C3D0F"/>
    <w:rsid w:val="009C56D4"/>
    <w:rsid w:val="009C64CA"/>
    <w:rsid w:val="009D2FDC"/>
    <w:rsid w:val="009D7FA6"/>
    <w:rsid w:val="009E02AA"/>
    <w:rsid w:val="009E2913"/>
    <w:rsid w:val="009E2B40"/>
    <w:rsid w:val="009F35E2"/>
    <w:rsid w:val="009F46B3"/>
    <w:rsid w:val="009F5BEB"/>
    <w:rsid w:val="009F5F5B"/>
    <w:rsid w:val="009F65F9"/>
    <w:rsid w:val="009F68BA"/>
    <w:rsid w:val="009F6E66"/>
    <w:rsid w:val="009F7C99"/>
    <w:rsid w:val="00A004F1"/>
    <w:rsid w:val="00A017CC"/>
    <w:rsid w:val="00A03F27"/>
    <w:rsid w:val="00A06277"/>
    <w:rsid w:val="00A06B26"/>
    <w:rsid w:val="00A079DC"/>
    <w:rsid w:val="00A111C2"/>
    <w:rsid w:val="00A1503B"/>
    <w:rsid w:val="00A15AF7"/>
    <w:rsid w:val="00A232A4"/>
    <w:rsid w:val="00A253AC"/>
    <w:rsid w:val="00A27314"/>
    <w:rsid w:val="00A277BD"/>
    <w:rsid w:val="00A305B0"/>
    <w:rsid w:val="00A32BE5"/>
    <w:rsid w:val="00A337A8"/>
    <w:rsid w:val="00A338E7"/>
    <w:rsid w:val="00A343B2"/>
    <w:rsid w:val="00A35CAA"/>
    <w:rsid w:val="00A36E7F"/>
    <w:rsid w:val="00A37E9D"/>
    <w:rsid w:val="00A403B9"/>
    <w:rsid w:val="00A41E65"/>
    <w:rsid w:val="00A41F14"/>
    <w:rsid w:val="00A43E0A"/>
    <w:rsid w:val="00A44CFB"/>
    <w:rsid w:val="00A51D33"/>
    <w:rsid w:val="00A52486"/>
    <w:rsid w:val="00A539B1"/>
    <w:rsid w:val="00A54B36"/>
    <w:rsid w:val="00A55F5B"/>
    <w:rsid w:val="00A60185"/>
    <w:rsid w:val="00A62E97"/>
    <w:rsid w:val="00A63C1A"/>
    <w:rsid w:val="00A65959"/>
    <w:rsid w:val="00A661EA"/>
    <w:rsid w:val="00A66D3F"/>
    <w:rsid w:val="00A67444"/>
    <w:rsid w:val="00A704C7"/>
    <w:rsid w:val="00A717FA"/>
    <w:rsid w:val="00A73372"/>
    <w:rsid w:val="00A76E34"/>
    <w:rsid w:val="00A81F62"/>
    <w:rsid w:val="00A81FC0"/>
    <w:rsid w:val="00A830E5"/>
    <w:rsid w:val="00A87135"/>
    <w:rsid w:val="00A87858"/>
    <w:rsid w:val="00A93280"/>
    <w:rsid w:val="00A950E6"/>
    <w:rsid w:val="00A95951"/>
    <w:rsid w:val="00A95A01"/>
    <w:rsid w:val="00AA0702"/>
    <w:rsid w:val="00AA2548"/>
    <w:rsid w:val="00AA2C11"/>
    <w:rsid w:val="00AA4414"/>
    <w:rsid w:val="00AA58C4"/>
    <w:rsid w:val="00AB11C8"/>
    <w:rsid w:val="00AB60CF"/>
    <w:rsid w:val="00AB6434"/>
    <w:rsid w:val="00AB6B4B"/>
    <w:rsid w:val="00AB6C14"/>
    <w:rsid w:val="00AC08A8"/>
    <w:rsid w:val="00AC0BF3"/>
    <w:rsid w:val="00AC3D85"/>
    <w:rsid w:val="00AC4212"/>
    <w:rsid w:val="00AC73E5"/>
    <w:rsid w:val="00AD43AE"/>
    <w:rsid w:val="00AD56C8"/>
    <w:rsid w:val="00AD58F2"/>
    <w:rsid w:val="00AD5BA0"/>
    <w:rsid w:val="00AE02CA"/>
    <w:rsid w:val="00AE2482"/>
    <w:rsid w:val="00AE68C1"/>
    <w:rsid w:val="00B00313"/>
    <w:rsid w:val="00B01599"/>
    <w:rsid w:val="00B0197B"/>
    <w:rsid w:val="00B0529F"/>
    <w:rsid w:val="00B102E3"/>
    <w:rsid w:val="00B1165F"/>
    <w:rsid w:val="00B1418B"/>
    <w:rsid w:val="00B14538"/>
    <w:rsid w:val="00B21195"/>
    <w:rsid w:val="00B24B22"/>
    <w:rsid w:val="00B25233"/>
    <w:rsid w:val="00B25310"/>
    <w:rsid w:val="00B26806"/>
    <w:rsid w:val="00B26A36"/>
    <w:rsid w:val="00B26B9B"/>
    <w:rsid w:val="00B32F8F"/>
    <w:rsid w:val="00B404DC"/>
    <w:rsid w:val="00B44B9A"/>
    <w:rsid w:val="00B47CDA"/>
    <w:rsid w:val="00B50564"/>
    <w:rsid w:val="00B54DE9"/>
    <w:rsid w:val="00B553EC"/>
    <w:rsid w:val="00B55E3D"/>
    <w:rsid w:val="00B62B98"/>
    <w:rsid w:val="00B63C58"/>
    <w:rsid w:val="00B644BA"/>
    <w:rsid w:val="00B65E27"/>
    <w:rsid w:val="00B70ED4"/>
    <w:rsid w:val="00B807C8"/>
    <w:rsid w:val="00B85A15"/>
    <w:rsid w:val="00B93DD0"/>
    <w:rsid w:val="00B97265"/>
    <w:rsid w:val="00B97732"/>
    <w:rsid w:val="00BA4E4B"/>
    <w:rsid w:val="00BA65A8"/>
    <w:rsid w:val="00BA6D19"/>
    <w:rsid w:val="00BA7461"/>
    <w:rsid w:val="00BA7DA9"/>
    <w:rsid w:val="00BB029A"/>
    <w:rsid w:val="00BB4BFB"/>
    <w:rsid w:val="00BC019D"/>
    <w:rsid w:val="00BC4215"/>
    <w:rsid w:val="00BD1A6F"/>
    <w:rsid w:val="00BD42C5"/>
    <w:rsid w:val="00BD5F54"/>
    <w:rsid w:val="00BD615C"/>
    <w:rsid w:val="00BD683B"/>
    <w:rsid w:val="00BE033E"/>
    <w:rsid w:val="00BE15B5"/>
    <w:rsid w:val="00BE3401"/>
    <w:rsid w:val="00BE4871"/>
    <w:rsid w:val="00BE5761"/>
    <w:rsid w:val="00BE6456"/>
    <w:rsid w:val="00BE6D3C"/>
    <w:rsid w:val="00BE7852"/>
    <w:rsid w:val="00BE7DBF"/>
    <w:rsid w:val="00BF3F7C"/>
    <w:rsid w:val="00BF671B"/>
    <w:rsid w:val="00BF7343"/>
    <w:rsid w:val="00BF7CEE"/>
    <w:rsid w:val="00C011F8"/>
    <w:rsid w:val="00C03880"/>
    <w:rsid w:val="00C03EAA"/>
    <w:rsid w:val="00C07509"/>
    <w:rsid w:val="00C119A1"/>
    <w:rsid w:val="00C12B48"/>
    <w:rsid w:val="00C132E3"/>
    <w:rsid w:val="00C135CF"/>
    <w:rsid w:val="00C158A5"/>
    <w:rsid w:val="00C16262"/>
    <w:rsid w:val="00C173B0"/>
    <w:rsid w:val="00C17F88"/>
    <w:rsid w:val="00C21486"/>
    <w:rsid w:val="00C22CE3"/>
    <w:rsid w:val="00C22E15"/>
    <w:rsid w:val="00C24D10"/>
    <w:rsid w:val="00C26827"/>
    <w:rsid w:val="00C2683F"/>
    <w:rsid w:val="00C27D7D"/>
    <w:rsid w:val="00C3184D"/>
    <w:rsid w:val="00C31B3D"/>
    <w:rsid w:val="00C42B90"/>
    <w:rsid w:val="00C44DB4"/>
    <w:rsid w:val="00C4714E"/>
    <w:rsid w:val="00C50842"/>
    <w:rsid w:val="00C5222B"/>
    <w:rsid w:val="00C5366B"/>
    <w:rsid w:val="00C5504F"/>
    <w:rsid w:val="00C63376"/>
    <w:rsid w:val="00C633F6"/>
    <w:rsid w:val="00C634DE"/>
    <w:rsid w:val="00C748E5"/>
    <w:rsid w:val="00C7494B"/>
    <w:rsid w:val="00C74F97"/>
    <w:rsid w:val="00C8276E"/>
    <w:rsid w:val="00C842AC"/>
    <w:rsid w:val="00C8460F"/>
    <w:rsid w:val="00C85444"/>
    <w:rsid w:val="00C86DC8"/>
    <w:rsid w:val="00C94C29"/>
    <w:rsid w:val="00C977AD"/>
    <w:rsid w:val="00CA0723"/>
    <w:rsid w:val="00CA384F"/>
    <w:rsid w:val="00CA4F35"/>
    <w:rsid w:val="00CA6B8D"/>
    <w:rsid w:val="00CB0987"/>
    <w:rsid w:val="00CB0B5D"/>
    <w:rsid w:val="00CB1690"/>
    <w:rsid w:val="00CB4E89"/>
    <w:rsid w:val="00CB6BBD"/>
    <w:rsid w:val="00CB7763"/>
    <w:rsid w:val="00CC1AE6"/>
    <w:rsid w:val="00CC20CD"/>
    <w:rsid w:val="00CC4365"/>
    <w:rsid w:val="00CC47EC"/>
    <w:rsid w:val="00CD11B0"/>
    <w:rsid w:val="00CD228E"/>
    <w:rsid w:val="00CD3A95"/>
    <w:rsid w:val="00CD5428"/>
    <w:rsid w:val="00CE2DBA"/>
    <w:rsid w:val="00CE5371"/>
    <w:rsid w:val="00CE5DFA"/>
    <w:rsid w:val="00CE71C2"/>
    <w:rsid w:val="00CF0D5B"/>
    <w:rsid w:val="00CF42D5"/>
    <w:rsid w:val="00CF4EDA"/>
    <w:rsid w:val="00D021CB"/>
    <w:rsid w:val="00D04F0D"/>
    <w:rsid w:val="00D0562E"/>
    <w:rsid w:val="00D10F1A"/>
    <w:rsid w:val="00D116F8"/>
    <w:rsid w:val="00D11EE7"/>
    <w:rsid w:val="00D1535C"/>
    <w:rsid w:val="00D15410"/>
    <w:rsid w:val="00D17596"/>
    <w:rsid w:val="00D22892"/>
    <w:rsid w:val="00D2323D"/>
    <w:rsid w:val="00D24EA7"/>
    <w:rsid w:val="00D26D3A"/>
    <w:rsid w:val="00D30800"/>
    <w:rsid w:val="00D337D5"/>
    <w:rsid w:val="00D3508B"/>
    <w:rsid w:val="00D36CF4"/>
    <w:rsid w:val="00D45EE3"/>
    <w:rsid w:val="00D50618"/>
    <w:rsid w:val="00D509E9"/>
    <w:rsid w:val="00D53B1C"/>
    <w:rsid w:val="00D57822"/>
    <w:rsid w:val="00D6363D"/>
    <w:rsid w:val="00D64914"/>
    <w:rsid w:val="00D804C9"/>
    <w:rsid w:val="00D80F3B"/>
    <w:rsid w:val="00D82BC8"/>
    <w:rsid w:val="00D8583E"/>
    <w:rsid w:val="00D85E55"/>
    <w:rsid w:val="00D91114"/>
    <w:rsid w:val="00D91831"/>
    <w:rsid w:val="00D92EFB"/>
    <w:rsid w:val="00D941CF"/>
    <w:rsid w:val="00DA1B12"/>
    <w:rsid w:val="00DA2717"/>
    <w:rsid w:val="00DA54C9"/>
    <w:rsid w:val="00DA6739"/>
    <w:rsid w:val="00DA6CAE"/>
    <w:rsid w:val="00DB1A9E"/>
    <w:rsid w:val="00DB31D6"/>
    <w:rsid w:val="00DB34FC"/>
    <w:rsid w:val="00DB3FA3"/>
    <w:rsid w:val="00DB4005"/>
    <w:rsid w:val="00DB7A4A"/>
    <w:rsid w:val="00DC1188"/>
    <w:rsid w:val="00DC1538"/>
    <w:rsid w:val="00DC2AFA"/>
    <w:rsid w:val="00DC34EB"/>
    <w:rsid w:val="00DC4690"/>
    <w:rsid w:val="00DC781A"/>
    <w:rsid w:val="00DD0A1A"/>
    <w:rsid w:val="00DD0B3E"/>
    <w:rsid w:val="00DD0E48"/>
    <w:rsid w:val="00DD166C"/>
    <w:rsid w:val="00DD3C7F"/>
    <w:rsid w:val="00DD427D"/>
    <w:rsid w:val="00DD488E"/>
    <w:rsid w:val="00DE287E"/>
    <w:rsid w:val="00DE633A"/>
    <w:rsid w:val="00DF0E1D"/>
    <w:rsid w:val="00DF1E5B"/>
    <w:rsid w:val="00DF2275"/>
    <w:rsid w:val="00DF3F5E"/>
    <w:rsid w:val="00DF6410"/>
    <w:rsid w:val="00DF7BCD"/>
    <w:rsid w:val="00E01B7D"/>
    <w:rsid w:val="00E02D3A"/>
    <w:rsid w:val="00E0596E"/>
    <w:rsid w:val="00E06F66"/>
    <w:rsid w:val="00E103EC"/>
    <w:rsid w:val="00E138B9"/>
    <w:rsid w:val="00E22AD5"/>
    <w:rsid w:val="00E25EE2"/>
    <w:rsid w:val="00E26282"/>
    <w:rsid w:val="00E356E5"/>
    <w:rsid w:val="00E36F81"/>
    <w:rsid w:val="00E41945"/>
    <w:rsid w:val="00E44648"/>
    <w:rsid w:val="00E452FA"/>
    <w:rsid w:val="00E45765"/>
    <w:rsid w:val="00E45E10"/>
    <w:rsid w:val="00E45F86"/>
    <w:rsid w:val="00E5098C"/>
    <w:rsid w:val="00E51DDA"/>
    <w:rsid w:val="00E527C3"/>
    <w:rsid w:val="00E5762D"/>
    <w:rsid w:val="00E60213"/>
    <w:rsid w:val="00E72B7C"/>
    <w:rsid w:val="00E74D29"/>
    <w:rsid w:val="00E760B1"/>
    <w:rsid w:val="00E77BF2"/>
    <w:rsid w:val="00E77D9F"/>
    <w:rsid w:val="00E80392"/>
    <w:rsid w:val="00E83C74"/>
    <w:rsid w:val="00E83CEE"/>
    <w:rsid w:val="00E8776C"/>
    <w:rsid w:val="00E9070F"/>
    <w:rsid w:val="00E91FD3"/>
    <w:rsid w:val="00E9226D"/>
    <w:rsid w:val="00E923D6"/>
    <w:rsid w:val="00E952A2"/>
    <w:rsid w:val="00E953EA"/>
    <w:rsid w:val="00EA0424"/>
    <w:rsid w:val="00EA2ECE"/>
    <w:rsid w:val="00EA337A"/>
    <w:rsid w:val="00EA3BB6"/>
    <w:rsid w:val="00EA5941"/>
    <w:rsid w:val="00EA6D28"/>
    <w:rsid w:val="00EB00A3"/>
    <w:rsid w:val="00EB21B0"/>
    <w:rsid w:val="00EB4974"/>
    <w:rsid w:val="00EB4DFB"/>
    <w:rsid w:val="00EB60CE"/>
    <w:rsid w:val="00EB7578"/>
    <w:rsid w:val="00EB7D53"/>
    <w:rsid w:val="00EC22EF"/>
    <w:rsid w:val="00EC4A71"/>
    <w:rsid w:val="00EC4DDE"/>
    <w:rsid w:val="00ED272E"/>
    <w:rsid w:val="00ED4717"/>
    <w:rsid w:val="00ED5EB8"/>
    <w:rsid w:val="00ED7BA5"/>
    <w:rsid w:val="00EE1E28"/>
    <w:rsid w:val="00EE3146"/>
    <w:rsid w:val="00EE6A55"/>
    <w:rsid w:val="00EF05C6"/>
    <w:rsid w:val="00EF41A1"/>
    <w:rsid w:val="00EF4F8D"/>
    <w:rsid w:val="00EF50BB"/>
    <w:rsid w:val="00EF746E"/>
    <w:rsid w:val="00EF7DAD"/>
    <w:rsid w:val="00F00192"/>
    <w:rsid w:val="00F01DF6"/>
    <w:rsid w:val="00F0340D"/>
    <w:rsid w:val="00F048C7"/>
    <w:rsid w:val="00F1173C"/>
    <w:rsid w:val="00F1410D"/>
    <w:rsid w:val="00F145CD"/>
    <w:rsid w:val="00F204CD"/>
    <w:rsid w:val="00F20E65"/>
    <w:rsid w:val="00F22420"/>
    <w:rsid w:val="00F227C7"/>
    <w:rsid w:val="00F23756"/>
    <w:rsid w:val="00F2523A"/>
    <w:rsid w:val="00F25FFA"/>
    <w:rsid w:val="00F2760E"/>
    <w:rsid w:val="00F310D2"/>
    <w:rsid w:val="00F316AC"/>
    <w:rsid w:val="00F336BF"/>
    <w:rsid w:val="00F33B62"/>
    <w:rsid w:val="00F34911"/>
    <w:rsid w:val="00F36F3D"/>
    <w:rsid w:val="00F42A33"/>
    <w:rsid w:val="00F453F4"/>
    <w:rsid w:val="00F45B1C"/>
    <w:rsid w:val="00F477BD"/>
    <w:rsid w:val="00F50095"/>
    <w:rsid w:val="00F53491"/>
    <w:rsid w:val="00F56462"/>
    <w:rsid w:val="00F6508C"/>
    <w:rsid w:val="00F65A1C"/>
    <w:rsid w:val="00F66F50"/>
    <w:rsid w:val="00F71F4E"/>
    <w:rsid w:val="00F7552F"/>
    <w:rsid w:val="00F764A7"/>
    <w:rsid w:val="00F77BD6"/>
    <w:rsid w:val="00F803B9"/>
    <w:rsid w:val="00F81C37"/>
    <w:rsid w:val="00F82FF8"/>
    <w:rsid w:val="00F8330D"/>
    <w:rsid w:val="00F84305"/>
    <w:rsid w:val="00F8485C"/>
    <w:rsid w:val="00F87149"/>
    <w:rsid w:val="00F87FFE"/>
    <w:rsid w:val="00F91335"/>
    <w:rsid w:val="00F93437"/>
    <w:rsid w:val="00F937C5"/>
    <w:rsid w:val="00F93C3F"/>
    <w:rsid w:val="00F954C9"/>
    <w:rsid w:val="00F977DD"/>
    <w:rsid w:val="00FA5875"/>
    <w:rsid w:val="00FA61AA"/>
    <w:rsid w:val="00FA62B5"/>
    <w:rsid w:val="00FA69A4"/>
    <w:rsid w:val="00FB0473"/>
    <w:rsid w:val="00FB1279"/>
    <w:rsid w:val="00FB1495"/>
    <w:rsid w:val="00FB440B"/>
    <w:rsid w:val="00FB50F3"/>
    <w:rsid w:val="00FC1AF2"/>
    <w:rsid w:val="00FC280C"/>
    <w:rsid w:val="00FC779B"/>
    <w:rsid w:val="00FD1694"/>
    <w:rsid w:val="00FD2FE0"/>
    <w:rsid w:val="00FD3C20"/>
    <w:rsid w:val="00FD5BFE"/>
    <w:rsid w:val="00FD7636"/>
    <w:rsid w:val="00FD79DA"/>
    <w:rsid w:val="00FD7CD2"/>
    <w:rsid w:val="00FE3229"/>
    <w:rsid w:val="00FE5666"/>
    <w:rsid w:val="00FE74C3"/>
    <w:rsid w:val="00FF0B9F"/>
    <w:rsid w:val="00FF215C"/>
    <w:rsid w:val="00FF31E2"/>
    <w:rsid w:val="00FF3B60"/>
    <w:rsid w:val="00FF49E8"/>
    <w:rsid w:val="00FF672F"/>
    <w:rsid w:val="00FF6B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26507F"/>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0037BF"/>
    <w:pPr>
      <w:spacing w:after="0"/>
    </w:pPr>
  </w:style>
  <w:style w:type="character" w:styleId="CommentReference">
    <w:name w:val="annotation reference"/>
    <w:basedOn w:val="DefaultParagraphFont"/>
    <w:uiPriority w:val="99"/>
    <w:semiHidden/>
    <w:unhideWhenUsed/>
    <w:rsid w:val="00992A58"/>
    <w:rPr>
      <w:sz w:val="16"/>
      <w:szCs w:val="16"/>
    </w:rPr>
  </w:style>
  <w:style w:type="paragraph" w:styleId="CommentText">
    <w:name w:val="annotation text"/>
    <w:basedOn w:val="Normal"/>
    <w:link w:val="CommentTextChar"/>
    <w:uiPriority w:val="99"/>
    <w:semiHidden/>
    <w:unhideWhenUsed/>
    <w:rsid w:val="00992A58"/>
    <w:pPr>
      <w:spacing w:line="240" w:lineRule="auto"/>
    </w:pPr>
    <w:rPr>
      <w:sz w:val="20"/>
      <w:szCs w:val="20"/>
    </w:rPr>
  </w:style>
  <w:style w:type="character" w:customStyle="1" w:styleId="CommentTextChar">
    <w:name w:val="Comment Text Char"/>
    <w:basedOn w:val="DefaultParagraphFont"/>
    <w:link w:val="CommentText"/>
    <w:uiPriority w:val="99"/>
    <w:semiHidden/>
    <w:rsid w:val="00992A58"/>
    <w:rPr>
      <w:sz w:val="20"/>
      <w:szCs w:val="20"/>
      <w:lang w:eastAsia="en-US"/>
    </w:rPr>
  </w:style>
  <w:style w:type="paragraph" w:styleId="CommentSubject">
    <w:name w:val="annotation subject"/>
    <w:basedOn w:val="CommentText"/>
    <w:next w:val="CommentText"/>
    <w:link w:val="CommentSubjectChar"/>
    <w:uiPriority w:val="99"/>
    <w:semiHidden/>
    <w:unhideWhenUsed/>
    <w:rsid w:val="00992A58"/>
    <w:rPr>
      <w:b/>
      <w:bCs/>
    </w:rPr>
  </w:style>
  <w:style w:type="character" w:customStyle="1" w:styleId="CommentSubjectChar">
    <w:name w:val="Comment Subject Char"/>
    <w:basedOn w:val="CommentTextChar"/>
    <w:link w:val="CommentSubject"/>
    <w:uiPriority w:val="99"/>
    <w:semiHidden/>
    <w:rsid w:val="00992A58"/>
    <w:rPr>
      <w:b/>
      <w:bCs/>
    </w:rPr>
  </w:style>
  <w:style w:type="character" w:styleId="Hyperlink">
    <w:name w:val="Hyperlink"/>
    <w:basedOn w:val="DefaultParagraphFont"/>
    <w:uiPriority w:val="99"/>
    <w:unhideWhenUsed/>
    <w:rsid w:val="0096150A"/>
    <w:rPr>
      <w:color w:val="0000FF" w:themeColor="hyperlink"/>
      <w:u w:val="single"/>
    </w:rPr>
  </w:style>
  <w:style w:type="paragraph" w:styleId="NormalWeb">
    <w:name w:val="Normal (Web)"/>
    <w:basedOn w:val="Normal"/>
    <w:uiPriority w:val="99"/>
    <w:semiHidden/>
    <w:unhideWhenUsed/>
    <w:rsid w:val="00F1410D"/>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F1410D"/>
    <w:rPr>
      <w:b/>
      <w:bCs/>
    </w:rPr>
  </w:style>
  <w:style w:type="paragraph" w:customStyle="1" w:styleId="Default">
    <w:name w:val="Default"/>
    <w:rsid w:val="00665D8A"/>
    <w:pPr>
      <w:autoSpaceDE w:val="0"/>
      <w:autoSpaceDN w:val="0"/>
      <w:adjustRightInd w:val="0"/>
    </w:pPr>
    <w:rPr>
      <w:rFonts w:ascii="Corbel" w:hAnsi="Corbel" w:cs="Corbel"/>
      <w:color w:val="000000"/>
      <w:sz w:val="24"/>
      <w:szCs w:val="24"/>
    </w:rPr>
  </w:style>
  <w:style w:type="table" w:customStyle="1" w:styleId="MediumShading1-Accent11">
    <w:name w:val="Medium Shading 1 - Accent 11"/>
    <w:basedOn w:val="TableNormal"/>
    <w:uiPriority w:val="63"/>
    <w:rsid w:val="00424C1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918658">
      <w:bodyDiv w:val="1"/>
      <w:marLeft w:val="0"/>
      <w:marRight w:val="0"/>
      <w:marTop w:val="0"/>
      <w:marBottom w:val="0"/>
      <w:divBdr>
        <w:top w:val="none" w:sz="0" w:space="0" w:color="auto"/>
        <w:left w:val="none" w:sz="0" w:space="0" w:color="auto"/>
        <w:bottom w:val="none" w:sz="0" w:space="0" w:color="auto"/>
        <w:right w:val="none" w:sz="0" w:space="0" w:color="auto"/>
      </w:divBdr>
    </w:div>
    <w:div w:id="103422176">
      <w:bodyDiv w:val="1"/>
      <w:marLeft w:val="0"/>
      <w:marRight w:val="0"/>
      <w:marTop w:val="0"/>
      <w:marBottom w:val="0"/>
      <w:divBdr>
        <w:top w:val="none" w:sz="0" w:space="0" w:color="auto"/>
        <w:left w:val="none" w:sz="0" w:space="0" w:color="auto"/>
        <w:bottom w:val="none" w:sz="0" w:space="0" w:color="auto"/>
        <w:right w:val="none" w:sz="0" w:space="0" w:color="auto"/>
      </w:divBdr>
      <w:divsChild>
        <w:div w:id="213397647">
          <w:marLeft w:val="0"/>
          <w:marRight w:val="0"/>
          <w:marTop w:val="0"/>
          <w:marBottom w:val="0"/>
          <w:divBdr>
            <w:top w:val="none" w:sz="0" w:space="0" w:color="auto"/>
            <w:left w:val="none" w:sz="0" w:space="0" w:color="auto"/>
            <w:bottom w:val="none" w:sz="0" w:space="0" w:color="auto"/>
            <w:right w:val="none" w:sz="0" w:space="0" w:color="auto"/>
          </w:divBdr>
        </w:div>
      </w:divsChild>
    </w:div>
    <w:div w:id="150027103">
      <w:bodyDiv w:val="1"/>
      <w:marLeft w:val="0"/>
      <w:marRight w:val="0"/>
      <w:marTop w:val="0"/>
      <w:marBottom w:val="0"/>
      <w:divBdr>
        <w:top w:val="none" w:sz="0" w:space="0" w:color="auto"/>
        <w:left w:val="none" w:sz="0" w:space="0" w:color="auto"/>
        <w:bottom w:val="none" w:sz="0" w:space="0" w:color="auto"/>
        <w:right w:val="none" w:sz="0" w:space="0" w:color="auto"/>
      </w:divBdr>
      <w:divsChild>
        <w:div w:id="938870031">
          <w:marLeft w:val="0"/>
          <w:marRight w:val="0"/>
          <w:marTop w:val="0"/>
          <w:marBottom w:val="0"/>
          <w:divBdr>
            <w:top w:val="none" w:sz="0" w:space="0" w:color="auto"/>
            <w:left w:val="none" w:sz="0" w:space="0" w:color="auto"/>
            <w:bottom w:val="none" w:sz="0" w:space="0" w:color="auto"/>
            <w:right w:val="none" w:sz="0" w:space="0" w:color="auto"/>
          </w:divBdr>
        </w:div>
      </w:divsChild>
    </w:div>
    <w:div w:id="186603892">
      <w:bodyDiv w:val="1"/>
      <w:marLeft w:val="0"/>
      <w:marRight w:val="0"/>
      <w:marTop w:val="0"/>
      <w:marBottom w:val="0"/>
      <w:divBdr>
        <w:top w:val="none" w:sz="0" w:space="0" w:color="auto"/>
        <w:left w:val="none" w:sz="0" w:space="0" w:color="auto"/>
        <w:bottom w:val="none" w:sz="0" w:space="0" w:color="auto"/>
        <w:right w:val="none" w:sz="0" w:space="0" w:color="auto"/>
      </w:divBdr>
      <w:divsChild>
        <w:div w:id="1241715170">
          <w:marLeft w:val="0"/>
          <w:marRight w:val="0"/>
          <w:marTop w:val="0"/>
          <w:marBottom w:val="0"/>
          <w:divBdr>
            <w:top w:val="none" w:sz="0" w:space="0" w:color="auto"/>
            <w:left w:val="none" w:sz="0" w:space="0" w:color="auto"/>
            <w:bottom w:val="none" w:sz="0" w:space="0" w:color="auto"/>
            <w:right w:val="none" w:sz="0" w:space="0" w:color="auto"/>
          </w:divBdr>
        </w:div>
      </w:divsChild>
    </w:div>
    <w:div w:id="351107883">
      <w:bodyDiv w:val="1"/>
      <w:marLeft w:val="0"/>
      <w:marRight w:val="0"/>
      <w:marTop w:val="0"/>
      <w:marBottom w:val="0"/>
      <w:divBdr>
        <w:top w:val="none" w:sz="0" w:space="0" w:color="auto"/>
        <w:left w:val="none" w:sz="0" w:space="0" w:color="auto"/>
        <w:bottom w:val="none" w:sz="0" w:space="0" w:color="auto"/>
        <w:right w:val="none" w:sz="0" w:space="0" w:color="auto"/>
      </w:divBdr>
    </w:div>
    <w:div w:id="552273164">
      <w:bodyDiv w:val="1"/>
      <w:marLeft w:val="0"/>
      <w:marRight w:val="0"/>
      <w:marTop w:val="0"/>
      <w:marBottom w:val="0"/>
      <w:divBdr>
        <w:top w:val="none" w:sz="0" w:space="0" w:color="auto"/>
        <w:left w:val="none" w:sz="0" w:space="0" w:color="auto"/>
        <w:bottom w:val="none" w:sz="0" w:space="0" w:color="auto"/>
        <w:right w:val="none" w:sz="0" w:space="0" w:color="auto"/>
      </w:divBdr>
      <w:divsChild>
        <w:div w:id="361327558">
          <w:marLeft w:val="0"/>
          <w:marRight w:val="0"/>
          <w:marTop w:val="0"/>
          <w:marBottom w:val="0"/>
          <w:divBdr>
            <w:top w:val="none" w:sz="0" w:space="0" w:color="auto"/>
            <w:left w:val="none" w:sz="0" w:space="0" w:color="auto"/>
            <w:bottom w:val="none" w:sz="0" w:space="0" w:color="auto"/>
            <w:right w:val="none" w:sz="0" w:space="0" w:color="auto"/>
          </w:divBdr>
        </w:div>
      </w:divsChild>
    </w:div>
    <w:div w:id="1195583507">
      <w:bodyDiv w:val="1"/>
      <w:marLeft w:val="0"/>
      <w:marRight w:val="0"/>
      <w:marTop w:val="0"/>
      <w:marBottom w:val="0"/>
      <w:divBdr>
        <w:top w:val="none" w:sz="0" w:space="0" w:color="auto"/>
        <w:left w:val="none" w:sz="0" w:space="0" w:color="auto"/>
        <w:bottom w:val="none" w:sz="0" w:space="0" w:color="auto"/>
        <w:right w:val="none" w:sz="0" w:space="0" w:color="auto"/>
      </w:divBdr>
    </w:div>
    <w:div w:id="1360475510">
      <w:bodyDiv w:val="1"/>
      <w:marLeft w:val="0"/>
      <w:marRight w:val="0"/>
      <w:marTop w:val="0"/>
      <w:marBottom w:val="0"/>
      <w:divBdr>
        <w:top w:val="none" w:sz="0" w:space="0" w:color="auto"/>
        <w:left w:val="none" w:sz="0" w:space="0" w:color="auto"/>
        <w:bottom w:val="none" w:sz="0" w:space="0" w:color="auto"/>
        <w:right w:val="none" w:sz="0" w:space="0" w:color="auto"/>
      </w:divBdr>
    </w:div>
    <w:div w:id="1530601798">
      <w:bodyDiv w:val="1"/>
      <w:marLeft w:val="0"/>
      <w:marRight w:val="0"/>
      <w:marTop w:val="0"/>
      <w:marBottom w:val="0"/>
      <w:divBdr>
        <w:top w:val="none" w:sz="0" w:space="0" w:color="auto"/>
        <w:left w:val="none" w:sz="0" w:space="0" w:color="auto"/>
        <w:bottom w:val="none" w:sz="0" w:space="0" w:color="auto"/>
        <w:right w:val="none" w:sz="0" w:space="0" w:color="auto"/>
      </w:divBdr>
    </w:div>
    <w:div w:id="1604799472">
      <w:bodyDiv w:val="1"/>
      <w:marLeft w:val="0"/>
      <w:marRight w:val="0"/>
      <w:marTop w:val="0"/>
      <w:marBottom w:val="0"/>
      <w:divBdr>
        <w:top w:val="none" w:sz="0" w:space="0" w:color="auto"/>
        <w:left w:val="none" w:sz="0" w:space="0" w:color="auto"/>
        <w:bottom w:val="none" w:sz="0" w:space="0" w:color="auto"/>
        <w:right w:val="none" w:sz="0" w:space="0" w:color="auto"/>
      </w:divBdr>
    </w:div>
    <w:div w:id="1760131713">
      <w:bodyDiv w:val="1"/>
      <w:marLeft w:val="0"/>
      <w:marRight w:val="0"/>
      <w:marTop w:val="0"/>
      <w:marBottom w:val="0"/>
      <w:divBdr>
        <w:top w:val="none" w:sz="0" w:space="0" w:color="auto"/>
        <w:left w:val="none" w:sz="0" w:space="0" w:color="auto"/>
        <w:bottom w:val="none" w:sz="0" w:space="0" w:color="auto"/>
        <w:right w:val="none" w:sz="0" w:space="0" w:color="auto"/>
      </w:divBdr>
    </w:div>
    <w:div w:id="17936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8A51-AB7D-4D1A-BC5F-2420A2AB4CD3}">
  <ds:schemaRefs>
    <ds:schemaRef ds:uri="http://schemas.microsoft.com/sharepoint/v3/contenttype/forms"/>
  </ds:schemaRefs>
</ds:datastoreItem>
</file>

<file path=customXml/itemProps2.xml><?xml version="1.0" encoding="utf-8"?>
<ds:datastoreItem xmlns:ds="http://schemas.openxmlformats.org/officeDocument/2006/customXml" ds:itemID="{107CF1A1-4A29-4248-818B-C9F7C42E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87FB23-7D6E-4532-9F46-08A0FA05F80F}">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0BCACA1E-68D0-4653-834E-4F534CDD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Commonwealth-State Reference Group on Coal Seam Gas &amp; Large Coal Mining Development</vt:lpstr>
    </vt:vector>
  </TitlesOfParts>
  <Company>DEWHA</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Partnership Agreement on Coal Seam Gas and Large Coal Mining Development  Clause 21 report</dc:title>
  <dc:creator>Department of the Environment</dc:creator>
  <cp:lastModifiedBy>Rebecca Durack</cp:lastModifiedBy>
  <cp:revision>2</cp:revision>
  <cp:lastPrinted>2014-04-10T01:57:00Z</cp:lastPrinted>
  <dcterms:created xsi:type="dcterms:W3CDTF">2014-05-08T04:00:00Z</dcterms:created>
  <dcterms:modified xsi:type="dcterms:W3CDTF">2014-05-08T04:00:00Z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0x0101002CCFDE829610E747A8B1C44A08AE0B0B</vt:lpwstr>
  </property>
  <property fmtid="{D5CDD505-2E9C-101B-9397-08002B2CF9AE}" pid="3" name="Publishing Section">
    <vt:lpwstr>Information Management Division</vt:lpwstr>
  </property>
  <property fmtid="{D5CDD505-2E9C-101B-9397-08002B2CF9AE}" pid="4" name="SecurityClassification">
    <vt:lpwstr/>
  </property>
  <property fmtid="{D5CDD505-2E9C-101B-9397-08002B2CF9AE}" pid="5" name="DLM">
    <vt:lpwstr/>
  </property>
  <property fmtid="{D5CDD505-2E9C-101B-9397-08002B2CF9AE}" pid="6" name="Sensitivity">
    <vt:lpwstr/>
  </property>
  <property fmtid="{D5CDD505-2E9C-101B-9397-08002B2CF9AE}" pid="7" name="Spacer">
    <vt:lpwstr/>
  </property>
  <property fmtid="{D5CDD505-2E9C-101B-9397-08002B2CF9AE}" pid="8" name="Legislation">
    <vt:lpwstr/>
  </property>
</Properties>
</file>