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C5C1" w14:textId="160F52D9" w:rsidR="003F6005" w:rsidRDefault="003F6005" w:rsidP="00D40655">
      <w:bookmarkStart w:id="0" w:name="Name"/>
    </w:p>
    <w:p w14:paraId="475A3E3C" w14:textId="741E9455" w:rsidR="00841B92" w:rsidRPr="004C1353" w:rsidRDefault="005F24DF" w:rsidP="00D40655">
      <w:bookmarkStart w:id="1" w:name="Position"/>
      <w:bookmarkEnd w:id="0"/>
      <w:r w:rsidRPr="004C1353">
        <w:t>Mr Ian Curnow</w:t>
      </w:r>
      <w:r w:rsidR="00D40655" w:rsidRPr="004C1353">
        <w:br/>
      </w:r>
      <w:bookmarkStart w:id="2" w:name="Organisation"/>
      <w:bookmarkEnd w:id="1"/>
      <w:r w:rsidR="00841B92" w:rsidRPr="004C1353">
        <w:t xml:space="preserve">Senior </w:t>
      </w:r>
      <w:r w:rsidRPr="004C1353">
        <w:t>Executive Director</w:t>
      </w:r>
      <w:r w:rsidR="00D40655" w:rsidRPr="004C1353">
        <w:br/>
      </w:r>
      <w:bookmarkStart w:id="3" w:name="Address"/>
      <w:bookmarkEnd w:id="2"/>
      <w:r w:rsidRPr="004C1353">
        <w:rPr>
          <w:rFonts w:asciiTheme="majorHAnsi" w:hAnsiTheme="majorHAnsi" w:cs="Arial"/>
          <w:noProof/>
        </w:rPr>
        <w:t>Northern Territory Department of Industry, Tourism and Trade</w:t>
      </w:r>
      <w:r w:rsidR="00D40655" w:rsidRPr="004C1353">
        <w:br/>
      </w:r>
      <w:bookmarkEnd w:id="3"/>
      <w:r w:rsidR="00841B92" w:rsidRPr="004C1353">
        <w:t>GPO Box 3000</w:t>
      </w:r>
      <w:r w:rsidR="004855B2">
        <w:br/>
      </w:r>
      <w:proofErr w:type="gramStart"/>
      <w:r w:rsidR="00841B92" w:rsidRPr="004C1353">
        <w:t xml:space="preserve">Darwin </w:t>
      </w:r>
      <w:r w:rsidR="004C4C0E">
        <w:t xml:space="preserve"> </w:t>
      </w:r>
      <w:r w:rsidR="00841B92" w:rsidRPr="004C1353">
        <w:t>NT</w:t>
      </w:r>
      <w:proofErr w:type="gramEnd"/>
      <w:r w:rsidR="00841B92" w:rsidRPr="004C1353">
        <w:t xml:space="preserve">  0801</w:t>
      </w:r>
    </w:p>
    <w:p w14:paraId="2F58D4E0" w14:textId="6430A018" w:rsidR="005F24DF" w:rsidRDefault="005F24DF" w:rsidP="000A44DC">
      <w:pPr>
        <w:spacing w:after="200"/>
      </w:pPr>
    </w:p>
    <w:p w14:paraId="2B90D767" w14:textId="4EACF366" w:rsidR="00FD476C" w:rsidRPr="004C1353" w:rsidRDefault="001F4075" w:rsidP="000A44DC">
      <w:pPr>
        <w:spacing w:after="200"/>
      </w:pPr>
      <w:r w:rsidRPr="004C1353">
        <w:t xml:space="preserve">Dear </w:t>
      </w:r>
      <w:r w:rsidR="005F24DF" w:rsidRPr="004C1353">
        <w:t xml:space="preserve">Mr Curnow </w:t>
      </w:r>
    </w:p>
    <w:p w14:paraId="302BF1BE" w14:textId="1B874EDD" w:rsidR="00FD476C" w:rsidRPr="004C1353" w:rsidRDefault="003F6005" w:rsidP="000A44DC">
      <w:pPr>
        <w:spacing w:after="200"/>
      </w:pPr>
      <w:r w:rsidRPr="004C1353">
        <w:t xml:space="preserve">I am writing to you as Delegate of the Minister for the Environment in relation to the wildlife trade assessments of the </w:t>
      </w:r>
      <w:r w:rsidR="00D213F1" w:rsidRPr="004C1353">
        <w:t>N</w:t>
      </w:r>
      <w:r w:rsidR="00177F02" w:rsidRPr="004C1353">
        <w:t xml:space="preserve">orthern </w:t>
      </w:r>
      <w:r w:rsidR="00D213F1" w:rsidRPr="004C1353">
        <w:t>T</w:t>
      </w:r>
      <w:r w:rsidR="00177F02" w:rsidRPr="004C1353">
        <w:t>erritory</w:t>
      </w:r>
      <w:r w:rsidR="00D213F1" w:rsidRPr="004C1353">
        <w:t xml:space="preserve"> Offshore Net and Line Fishery (</w:t>
      </w:r>
      <w:r w:rsidR="00943102">
        <w:t>the fishery</w:t>
      </w:r>
      <w:r w:rsidR="00D213F1" w:rsidRPr="004C1353">
        <w:t>)</w:t>
      </w:r>
      <w:r w:rsidRPr="004C1353">
        <w:t xml:space="preserve"> under the </w:t>
      </w:r>
      <w:r w:rsidRPr="004C1353">
        <w:rPr>
          <w:i/>
          <w:iCs/>
        </w:rPr>
        <w:t>Environment Protection and Biodiversity Conservation Act 1999</w:t>
      </w:r>
      <w:r w:rsidRPr="004C1353">
        <w:t xml:space="preserve"> (EPBC Act). </w:t>
      </w:r>
    </w:p>
    <w:p w14:paraId="3785ACE1" w14:textId="12DA0F3A" w:rsidR="00E30583" w:rsidRPr="00540052" w:rsidRDefault="00E30583" w:rsidP="000A44DC">
      <w:pPr>
        <w:spacing w:after="200"/>
        <w:rPr>
          <w:b/>
          <w:bCs/>
          <w:highlight w:val="yellow"/>
        </w:rPr>
      </w:pPr>
      <w:r w:rsidRPr="004C1353">
        <w:t xml:space="preserve">In </w:t>
      </w:r>
      <w:r w:rsidR="00D213F1" w:rsidRPr="004C1353">
        <w:t>November</w:t>
      </w:r>
      <w:r w:rsidRPr="004C1353">
        <w:t xml:space="preserve"> 2021, the </w:t>
      </w:r>
      <w:r w:rsidR="00506012" w:rsidRPr="004C1353">
        <w:rPr>
          <w:rFonts w:asciiTheme="majorHAnsi" w:hAnsiTheme="majorHAnsi" w:cs="Arial"/>
          <w:noProof/>
        </w:rPr>
        <w:t xml:space="preserve">Northern Territory Department of Industry, Tourism and Trade (DITT) </w:t>
      </w:r>
      <w:r w:rsidRPr="004C1353">
        <w:t xml:space="preserve">applied for export approval for the fishery under the EPBC Act. The application has now been assessed and I have declared the fishery an approved Wildlife Trade Operation (WTO) under Part 13A of the EPBC Act until </w:t>
      </w:r>
      <w:r w:rsidR="00C47506" w:rsidRPr="004C1353">
        <w:t>2</w:t>
      </w:r>
      <w:r w:rsidR="00D3449C">
        <w:t>8</w:t>
      </w:r>
      <w:r w:rsidRPr="004C1353">
        <w:t xml:space="preserve"> </w:t>
      </w:r>
      <w:r w:rsidR="00C47506" w:rsidRPr="004C1353">
        <w:t xml:space="preserve">March </w:t>
      </w:r>
      <w:r w:rsidRPr="004C1353">
        <w:t xml:space="preserve">2025. This approval is contingent on </w:t>
      </w:r>
      <w:r w:rsidR="004C1353" w:rsidRPr="004C1353">
        <w:t>7</w:t>
      </w:r>
      <w:r w:rsidR="00AE59C4" w:rsidRPr="004C1353">
        <w:t xml:space="preserve"> </w:t>
      </w:r>
      <w:r w:rsidRPr="004C1353">
        <w:t xml:space="preserve">conditions being met by </w:t>
      </w:r>
      <w:r w:rsidR="00540052" w:rsidRPr="004C1353">
        <w:t>DITT</w:t>
      </w:r>
      <w:r w:rsidRPr="004C1353">
        <w:t xml:space="preserve"> during the period of the WTO (</w:t>
      </w:r>
      <w:r w:rsidRPr="004C1353">
        <w:rPr>
          <w:b/>
          <w:bCs/>
          <w:u w:val="single"/>
        </w:rPr>
        <w:t>Attachment A</w:t>
      </w:r>
      <w:r w:rsidRPr="004C1353">
        <w:t xml:space="preserve">). I have also accredited the fishery’s management regime under Part 13 of the EPBC Act and this approval is contingent on </w:t>
      </w:r>
      <w:r w:rsidR="00000E5A">
        <w:t>similar</w:t>
      </w:r>
      <w:r w:rsidR="00AE59C4" w:rsidRPr="004C1353">
        <w:t xml:space="preserve"> </w:t>
      </w:r>
      <w:r w:rsidRPr="004C1353">
        <w:t xml:space="preserve">conditions being met by </w:t>
      </w:r>
      <w:r w:rsidR="00540052" w:rsidRPr="004C1353">
        <w:t>DITT</w:t>
      </w:r>
      <w:r w:rsidRPr="004C1353">
        <w:t xml:space="preserve"> (</w:t>
      </w:r>
      <w:r w:rsidRPr="004C1353">
        <w:rPr>
          <w:b/>
          <w:bCs/>
          <w:u w:val="single"/>
        </w:rPr>
        <w:t>Attachment</w:t>
      </w:r>
      <w:r w:rsidRPr="00E30583">
        <w:rPr>
          <w:b/>
          <w:bCs/>
          <w:u w:val="single"/>
        </w:rPr>
        <w:t xml:space="preserve"> B</w:t>
      </w:r>
      <w:r w:rsidRPr="00E30583">
        <w:t>).</w:t>
      </w:r>
    </w:p>
    <w:p w14:paraId="01BEEC45" w14:textId="77777777" w:rsidR="00E30583" w:rsidRPr="002E4601" w:rsidRDefault="00E30583" w:rsidP="000A44DC">
      <w:pPr>
        <w:keepNext/>
        <w:spacing w:after="200" w:line="276" w:lineRule="auto"/>
        <w:rPr>
          <w:rFonts w:cs="Arial"/>
        </w:rPr>
      </w:pPr>
      <w:r w:rsidRPr="002E4601">
        <w:rPr>
          <w:rFonts w:cs="Arial"/>
        </w:rPr>
        <w:t xml:space="preserve">Please note a person whose interests are affected by this decision may make an application to the department for the reasons for the decision and may apply to the Administrative Appeals Tribunal to have it reviewed. I have enclosed information on these processes at </w:t>
      </w:r>
      <w:r w:rsidRPr="002E4601">
        <w:rPr>
          <w:rFonts w:cs="Arial"/>
          <w:b/>
          <w:bCs/>
          <w:u w:val="single"/>
        </w:rPr>
        <w:t>Attachment C</w:t>
      </w:r>
      <w:r w:rsidRPr="002E4601">
        <w:rPr>
          <w:rFonts w:cs="Arial"/>
        </w:rPr>
        <w:t>.</w:t>
      </w:r>
    </w:p>
    <w:p w14:paraId="56785931" w14:textId="77460C9B" w:rsidR="00AE70CF" w:rsidRPr="002E4601" w:rsidRDefault="00E30583" w:rsidP="000A44DC">
      <w:pPr>
        <w:keepNext/>
        <w:spacing w:after="200" w:line="276" w:lineRule="auto"/>
        <w:rPr>
          <w:rFonts w:cs="Arial"/>
        </w:rPr>
      </w:pPr>
      <w:r w:rsidRPr="002E4601">
        <w:rPr>
          <w:rFonts w:cs="Arial"/>
        </w:rPr>
        <w:t xml:space="preserve">I look forward to assessing </w:t>
      </w:r>
      <w:r w:rsidR="00506012" w:rsidRPr="002E4601">
        <w:rPr>
          <w:rFonts w:cs="Arial"/>
        </w:rPr>
        <w:t>DITT</w:t>
      </w:r>
      <w:r w:rsidRPr="002E4601">
        <w:rPr>
          <w:rFonts w:cs="Arial"/>
        </w:rPr>
        <w:t>’s progress against the conditions in the annual reports for this fishery.</w:t>
      </w:r>
    </w:p>
    <w:p w14:paraId="3EBE71D7" w14:textId="45B18E7B" w:rsidR="004616B6" w:rsidRPr="00805E7A" w:rsidRDefault="004616B6" w:rsidP="000A44DC">
      <w:pPr>
        <w:spacing w:after="200"/>
        <w:rPr>
          <w:rFonts w:asciiTheme="majorHAnsi" w:hAnsiTheme="majorHAnsi"/>
          <w:szCs w:val="24"/>
        </w:rPr>
      </w:pPr>
      <w:r w:rsidRPr="00805E7A">
        <w:rPr>
          <w:rFonts w:asciiTheme="majorHAnsi" w:hAnsiTheme="majorHAnsi"/>
          <w:szCs w:val="24"/>
        </w:rPr>
        <w:t>Yours sincerely</w:t>
      </w:r>
    </w:p>
    <w:p w14:paraId="7EF09750" w14:textId="6EE9DBDC" w:rsidR="004616B6" w:rsidRDefault="004616B6" w:rsidP="000A44DC">
      <w:pPr>
        <w:spacing w:after="200"/>
        <w:rPr>
          <w:rFonts w:ascii="Times New Roman" w:hAnsi="Times New Roman"/>
          <w:szCs w:val="24"/>
        </w:rPr>
      </w:pPr>
    </w:p>
    <w:p w14:paraId="1CA4743F" w14:textId="77777777" w:rsidR="004616B6" w:rsidRPr="004616B6" w:rsidRDefault="004616B6" w:rsidP="000A44DC">
      <w:pPr>
        <w:spacing w:after="200"/>
        <w:rPr>
          <w:rFonts w:ascii="Times New Roman" w:hAnsi="Times New Roman"/>
          <w:szCs w:val="24"/>
        </w:rPr>
      </w:pPr>
    </w:p>
    <w:p w14:paraId="0F6D3863" w14:textId="77777777" w:rsidR="004616B6" w:rsidRPr="00805E7A" w:rsidRDefault="004616B6" w:rsidP="004616B6">
      <w:pPr>
        <w:rPr>
          <w:szCs w:val="24"/>
        </w:rPr>
      </w:pPr>
      <w:r w:rsidRPr="00805E7A">
        <w:rPr>
          <w:szCs w:val="24"/>
        </w:rPr>
        <w:t>Adam Sincock</w:t>
      </w:r>
    </w:p>
    <w:p w14:paraId="6C18F9CA" w14:textId="77777777" w:rsidR="004616B6" w:rsidRPr="00805E7A" w:rsidRDefault="004616B6" w:rsidP="004616B6">
      <w:pPr>
        <w:rPr>
          <w:szCs w:val="24"/>
        </w:rPr>
      </w:pPr>
      <w:r w:rsidRPr="00805E7A">
        <w:rPr>
          <w:szCs w:val="24"/>
        </w:rPr>
        <w:t>Principal Director</w:t>
      </w:r>
    </w:p>
    <w:p w14:paraId="1533B3B2" w14:textId="77777777" w:rsidR="004616B6" w:rsidRPr="00805E7A" w:rsidRDefault="004616B6" w:rsidP="004616B6">
      <w:pPr>
        <w:rPr>
          <w:szCs w:val="24"/>
        </w:rPr>
      </w:pPr>
      <w:r w:rsidRPr="00805E7A">
        <w:rPr>
          <w:szCs w:val="24"/>
        </w:rPr>
        <w:t>Wildlife Trade Office</w:t>
      </w:r>
    </w:p>
    <w:p w14:paraId="7B816A22" w14:textId="77777777" w:rsidR="004616B6" w:rsidRPr="00805E7A" w:rsidRDefault="004616B6" w:rsidP="004616B6">
      <w:pPr>
        <w:rPr>
          <w:szCs w:val="24"/>
        </w:rPr>
      </w:pPr>
      <w:r w:rsidRPr="00805E7A">
        <w:rPr>
          <w:szCs w:val="24"/>
        </w:rPr>
        <w:t>Delegate of the Minister for the Environment</w:t>
      </w:r>
    </w:p>
    <w:p w14:paraId="2ED19C94" w14:textId="77777777" w:rsidR="004616B6" w:rsidRPr="00805E7A" w:rsidRDefault="004616B6" w:rsidP="004616B6">
      <w:pPr>
        <w:rPr>
          <w:szCs w:val="24"/>
        </w:rPr>
      </w:pPr>
    </w:p>
    <w:p w14:paraId="3A70A7EB" w14:textId="78100517" w:rsidR="004616B6" w:rsidRPr="00805E7A" w:rsidRDefault="003E3994" w:rsidP="004616B6">
      <w:pPr>
        <w:rPr>
          <w:szCs w:val="24"/>
        </w:rPr>
      </w:pPr>
      <w:r w:rsidRPr="00805E7A">
        <w:rPr>
          <w:szCs w:val="24"/>
        </w:rPr>
        <w:t>2</w:t>
      </w:r>
      <w:r w:rsidR="002E4601">
        <w:rPr>
          <w:szCs w:val="24"/>
        </w:rPr>
        <w:t>9</w:t>
      </w:r>
      <w:r w:rsidR="004616B6" w:rsidRPr="00805E7A">
        <w:rPr>
          <w:szCs w:val="24"/>
        </w:rPr>
        <w:t xml:space="preserve"> </w:t>
      </w:r>
      <w:r w:rsidR="000A2E8F" w:rsidRPr="00805E7A">
        <w:rPr>
          <w:szCs w:val="24"/>
        </w:rPr>
        <w:t xml:space="preserve">March </w:t>
      </w:r>
      <w:r w:rsidR="004616B6" w:rsidRPr="00805E7A">
        <w:rPr>
          <w:szCs w:val="24"/>
        </w:rPr>
        <w:t>2022</w:t>
      </w:r>
    </w:p>
    <w:p w14:paraId="3AECA573" w14:textId="7C56F66F" w:rsidR="00BC3696" w:rsidRDefault="00BC3696" w:rsidP="00FD476C">
      <w:pPr>
        <w:rPr>
          <w:rFonts w:ascii="Times New Roman" w:hAnsi="Times New Roman"/>
          <w:szCs w:val="24"/>
        </w:rPr>
      </w:pPr>
    </w:p>
    <w:p w14:paraId="2F3909D2" w14:textId="3A3A7CC1" w:rsidR="00506012" w:rsidRDefault="00506012" w:rsidP="00FD476C">
      <w:pPr>
        <w:rPr>
          <w:rFonts w:ascii="Times New Roman" w:hAnsi="Times New Roman"/>
          <w:szCs w:val="24"/>
        </w:rPr>
      </w:pPr>
    </w:p>
    <w:p w14:paraId="70D0CC2E" w14:textId="0EFC13DF" w:rsidR="000A2E8F" w:rsidRDefault="000A2E8F">
      <w:pPr>
        <w:rPr>
          <w:rFonts w:ascii="Times New Roman" w:hAnsi="Times New Roman"/>
          <w:szCs w:val="24"/>
        </w:rPr>
      </w:pPr>
      <w:r>
        <w:rPr>
          <w:rFonts w:ascii="Times New Roman" w:hAnsi="Times New Roman"/>
          <w:szCs w:val="24"/>
        </w:rPr>
        <w:br w:type="page"/>
      </w:r>
    </w:p>
    <w:p w14:paraId="4E8AF240" w14:textId="7CAAF768" w:rsidR="00506012" w:rsidRPr="00EE0E4A" w:rsidRDefault="00506012" w:rsidP="007722D6">
      <w:pPr>
        <w:tabs>
          <w:tab w:val="left" w:pos="284"/>
        </w:tabs>
        <w:spacing w:after="200"/>
        <w:jc w:val="right"/>
        <w:rPr>
          <w:rFonts w:asciiTheme="majorHAnsi" w:hAnsiTheme="majorHAnsi" w:cs="Arial"/>
          <w:b/>
        </w:rPr>
      </w:pPr>
      <w:r w:rsidRPr="00EE0E4A">
        <w:rPr>
          <w:rFonts w:asciiTheme="majorHAnsi" w:hAnsiTheme="majorHAnsi" w:cs="Arial"/>
          <w:b/>
        </w:rPr>
        <w:lastRenderedPageBreak/>
        <w:t>Attachment A</w:t>
      </w:r>
    </w:p>
    <w:p w14:paraId="437C5099" w14:textId="2316E9F8" w:rsidR="00506012" w:rsidRDefault="00506012" w:rsidP="000A44DC">
      <w:pPr>
        <w:spacing w:after="200"/>
        <w:rPr>
          <w:rFonts w:asciiTheme="majorHAnsi" w:hAnsiTheme="majorHAnsi" w:cs="Arial"/>
          <w:b/>
        </w:rPr>
      </w:pPr>
      <w:r w:rsidRPr="00EE0E4A">
        <w:rPr>
          <w:rFonts w:asciiTheme="majorHAnsi" w:hAnsiTheme="majorHAnsi" w:cs="Arial"/>
          <w:b/>
          <w:bCs/>
        </w:rPr>
        <w:t xml:space="preserve">Part 13A Conditions </w:t>
      </w:r>
      <w:r w:rsidRPr="00EE0E4A">
        <w:rPr>
          <w:rFonts w:asciiTheme="majorHAnsi" w:hAnsiTheme="majorHAnsi" w:cs="Arial"/>
          <w:b/>
        </w:rPr>
        <w:t xml:space="preserve">on </w:t>
      </w:r>
      <w:r w:rsidRPr="00EE0E4A">
        <w:rPr>
          <w:rFonts w:asciiTheme="majorHAnsi" w:hAnsiTheme="majorHAnsi" w:cs="Arial"/>
          <w:b/>
          <w:bCs/>
        </w:rPr>
        <w:t>the approved Wildlife Trade Operation declaration for the</w:t>
      </w:r>
      <w:r w:rsidR="00B33492" w:rsidRPr="008C434B">
        <w:rPr>
          <w:rFonts w:asciiTheme="majorHAnsi" w:hAnsiTheme="majorHAnsi"/>
        </w:rPr>
        <w:t xml:space="preserve"> </w:t>
      </w:r>
      <w:r w:rsidR="00815D9F" w:rsidRPr="008C434B">
        <w:rPr>
          <w:rFonts w:asciiTheme="majorHAnsi" w:hAnsiTheme="majorHAnsi" w:cs="Arial"/>
          <w:b/>
          <w:bCs/>
        </w:rPr>
        <w:t>Northern Territory</w:t>
      </w:r>
      <w:r w:rsidR="00B33492">
        <w:rPr>
          <w:rFonts w:asciiTheme="majorHAnsi" w:hAnsiTheme="majorHAnsi" w:cs="Arial"/>
          <w:b/>
          <w:bCs/>
        </w:rPr>
        <w:t xml:space="preserve"> </w:t>
      </w:r>
      <w:r w:rsidR="00B33492" w:rsidRPr="00B33492">
        <w:rPr>
          <w:rFonts w:asciiTheme="majorHAnsi" w:hAnsiTheme="majorHAnsi" w:cs="Arial"/>
          <w:b/>
          <w:bCs/>
        </w:rPr>
        <w:t xml:space="preserve">Offshore Net and Line Fishery </w:t>
      </w:r>
      <w:r w:rsidRPr="00EE0E4A">
        <w:rPr>
          <w:rFonts w:asciiTheme="majorHAnsi" w:hAnsiTheme="majorHAnsi" w:cs="Arial"/>
          <w:b/>
        </w:rPr>
        <w:t xml:space="preserve">– </w:t>
      </w:r>
      <w:r w:rsidR="00B33492">
        <w:rPr>
          <w:rFonts w:asciiTheme="majorHAnsi" w:hAnsiTheme="majorHAnsi" w:cs="Arial"/>
          <w:b/>
        </w:rPr>
        <w:t>March</w:t>
      </w:r>
      <w:r w:rsidRPr="00EE0E4A">
        <w:rPr>
          <w:rFonts w:asciiTheme="majorHAnsi" w:hAnsiTheme="majorHAnsi" w:cs="Arial"/>
          <w:b/>
        </w:rPr>
        <w:t xml:space="preserve"> 2022</w:t>
      </w:r>
    </w:p>
    <w:p w14:paraId="5DE22280" w14:textId="55CE109B" w:rsidR="000A2E8F" w:rsidRDefault="000A2E8F" w:rsidP="000A44DC">
      <w:pPr>
        <w:spacing w:after="200"/>
        <w:rPr>
          <w:rFonts w:asciiTheme="majorHAnsi" w:hAnsiTheme="majorHAnsi" w:cs="Arial"/>
          <w:i/>
        </w:rPr>
      </w:pPr>
      <w:r w:rsidRPr="00E03D6E">
        <w:rPr>
          <w:rFonts w:asciiTheme="majorHAnsi" w:hAnsiTheme="majorHAnsi" w:cs="Arial"/>
          <w:b/>
        </w:rPr>
        <w:t>Condition 1</w:t>
      </w:r>
      <w:r w:rsidRPr="00E03D6E">
        <w:rPr>
          <w:rFonts w:asciiTheme="majorHAnsi" w:hAnsiTheme="majorHAnsi" w:cs="Arial"/>
          <w:b/>
        </w:rPr>
        <w:br/>
      </w:r>
      <w:r w:rsidR="004C1353" w:rsidRPr="00E03D6E">
        <w:rPr>
          <w:rFonts w:asciiTheme="majorHAnsi" w:hAnsiTheme="majorHAnsi" w:cs="Arial"/>
        </w:rPr>
        <w:t xml:space="preserve">Operation of the Northern Territory Offshore Net and Line Fishery must be carried out in accordance with the Offshore Net and Line Fishery Management Framework and Harvest Strategy 2018 in force under the </w:t>
      </w:r>
      <w:bookmarkStart w:id="4" w:name="_Hlk97292867"/>
      <w:r w:rsidR="004C1353" w:rsidRPr="007118E9">
        <w:rPr>
          <w:rFonts w:asciiTheme="majorHAnsi" w:hAnsiTheme="majorHAnsi" w:cs="Arial"/>
          <w:i/>
          <w:iCs/>
        </w:rPr>
        <w:t>Fisheries Act 1988</w:t>
      </w:r>
      <w:r w:rsidR="00A7209B">
        <w:rPr>
          <w:rFonts w:asciiTheme="majorHAnsi" w:hAnsiTheme="majorHAnsi" w:cs="Arial"/>
        </w:rPr>
        <w:t xml:space="preserve"> (NT)</w:t>
      </w:r>
      <w:r w:rsidR="004C1353">
        <w:rPr>
          <w:rFonts w:asciiTheme="majorHAnsi" w:hAnsiTheme="majorHAnsi" w:cs="Arial"/>
          <w:i/>
          <w:iCs/>
        </w:rPr>
        <w:t xml:space="preserve"> </w:t>
      </w:r>
      <w:r w:rsidR="004C1353" w:rsidRPr="007118E9">
        <w:rPr>
          <w:rFonts w:asciiTheme="majorHAnsi" w:hAnsiTheme="majorHAnsi" w:cs="Arial"/>
        </w:rPr>
        <w:t>and the</w:t>
      </w:r>
      <w:r w:rsidR="004C1353">
        <w:rPr>
          <w:rFonts w:asciiTheme="majorHAnsi" w:hAnsiTheme="majorHAnsi" w:cs="Arial"/>
          <w:i/>
          <w:iCs/>
        </w:rPr>
        <w:t xml:space="preserve"> </w:t>
      </w:r>
      <w:r w:rsidR="004C1353" w:rsidRPr="00DA76BA">
        <w:rPr>
          <w:rFonts w:asciiTheme="majorHAnsi" w:hAnsiTheme="majorHAnsi" w:cs="Arial"/>
        </w:rPr>
        <w:t>Fisheries Regulations 1992</w:t>
      </w:r>
      <w:bookmarkEnd w:id="4"/>
      <w:r w:rsidR="00A7209B">
        <w:rPr>
          <w:rFonts w:asciiTheme="majorHAnsi" w:hAnsiTheme="majorHAnsi" w:cs="Arial"/>
        </w:rPr>
        <w:t xml:space="preserve"> (NT)</w:t>
      </w:r>
      <w:r w:rsidR="004C1353" w:rsidRPr="00E03D6E">
        <w:rPr>
          <w:rFonts w:asciiTheme="majorHAnsi" w:hAnsiTheme="majorHAnsi" w:cs="Arial"/>
          <w:i/>
        </w:rPr>
        <w:t>.</w:t>
      </w:r>
    </w:p>
    <w:p w14:paraId="1E941118" w14:textId="78FB252C" w:rsidR="000A2E8F" w:rsidRPr="00E03D6E" w:rsidRDefault="000A2E8F" w:rsidP="000A44DC">
      <w:pPr>
        <w:spacing w:after="200"/>
        <w:rPr>
          <w:rFonts w:asciiTheme="majorHAnsi" w:hAnsiTheme="majorHAnsi" w:cs="Arial"/>
        </w:rPr>
      </w:pPr>
      <w:r w:rsidRPr="00E03D6E">
        <w:rPr>
          <w:rFonts w:asciiTheme="majorHAnsi" w:hAnsiTheme="majorHAnsi" w:cs="Arial"/>
          <w:b/>
        </w:rPr>
        <w:t>Condition 2</w:t>
      </w:r>
      <w:r w:rsidRPr="00E03D6E">
        <w:rPr>
          <w:rFonts w:asciiTheme="majorHAnsi" w:hAnsiTheme="majorHAnsi" w:cs="Arial"/>
        </w:rPr>
        <w:br/>
      </w:r>
      <w:r w:rsidR="004C1353" w:rsidRPr="00E03D6E">
        <w:rPr>
          <w:rFonts w:asciiTheme="majorHAnsi" w:hAnsiTheme="majorHAnsi" w:cs="Arial"/>
        </w:rPr>
        <w:t xml:space="preserve">The Northern Territory </w:t>
      </w:r>
      <w:r w:rsidR="004C1353" w:rsidRPr="00E03D6E">
        <w:rPr>
          <w:rFonts w:asciiTheme="majorHAnsi" w:hAnsiTheme="majorHAnsi" w:cs="Arial"/>
          <w:noProof/>
        </w:rPr>
        <w:t>Department of Industry, Tourism and Trade</w:t>
      </w:r>
      <w:r w:rsidR="004C1353" w:rsidRPr="00E03D6E">
        <w:rPr>
          <w:rFonts w:asciiTheme="majorHAnsi" w:hAnsiTheme="majorHAnsi" w:cs="Arial"/>
        </w:rPr>
        <w:t xml:space="preserve"> must inform the Department of Agriculture, </w:t>
      </w:r>
      <w:proofErr w:type="gramStart"/>
      <w:r w:rsidR="004C1353" w:rsidRPr="00E03D6E">
        <w:rPr>
          <w:rFonts w:asciiTheme="majorHAnsi" w:hAnsiTheme="majorHAnsi" w:cs="Arial"/>
        </w:rPr>
        <w:t>Water</w:t>
      </w:r>
      <w:proofErr w:type="gramEnd"/>
      <w:r w:rsidR="004C1353" w:rsidRPr="00E03D6E">
        <w:rPr>
          <w:rFonts w:asciiTheme="majorHAnsi" w:hAnsiTheme="majorHAnsi" w:cs="Arial"/>
        </w:rPr>
        <w:t xml:space="preserve"> and the Environment of any intended material changes to Northern Territory Offshore Net and Line Fishery management arrangements that may affect the assessment against which </w:t>
      </w:r>
      <w:r w:rsidR="004C1353" w:rsidRPr="00E03D6E">
        <w:rPr>
          <w:rFonts w:asciiTheme="majorHAnsi" w:hAnsiTheme="majorHAnsi" w:cs="Arial"/>
          <w:i/>
          <w:iCs/>
        </w:rPr>
        <w:t>Environment Protection and Biodiversity Conservation Act 1999</w:t>
      </w:r>
      <w:r w:rsidR="004C1353" w:rsidRPr="00E03D6E">
        <w:rPr>
          <w:rFonts w:asciiTheme="majorHAnsi" w:hAnsiTheme="majorHAnsi" w:cs="Arial"/>
        </w:rPr>
        <w:t xml:space="preserve"> decisions are made.</w:t>
      </w:r>
    </w:p>
    <w:p w14:paraId="62898B5A" w14:textId="46C1197A" w:rsidR="000A2E8F" w:rsidRDefault="000A2E8F" w:rsidP="000A44DC">
      <w:pPr>
        <w:spacing w:after="200"/>
        <w:rPr>
          <w:rFonts w:asciiTheme="majorHAnsi" w:hAnsiTheme="majorHAnsi" w:cs="Arial"/>
        </w:rPr>
      </w:pPr>
      <w:r w:rsidRPr="00E03D6E">
        <w:rPr>
          <w:rFonts w:asciiTheme="majorHAnsi" w:hAnsiTheme="majorHAnsi" w:cs="Arial"/>
          <w:b/>
        </w:rPr>
        <w:t>Condition 3</w:t>
      </w:r>
      <w:r w:rsidRPr="00E03D6E">
        <w:rPr>
          <w:rFonts w:asciiTheme="majorHAnsi" w:hAnsiTheme="majorHAnsi" w:cs="Arial"/>
          <w:b/>
        </w:rPr>
        <w:br/>
      </w:r>
      <w:r w:rsidR="004C1353" w:rsidRPr="00E03D6E">
        <w:rPr>
          <w:rFonts w:asciiTheme="majorHAnsi" w:hAnsiTheme="majorHAnsi" w:cs="Arial"/>
        </w:rPr>
        <w:t xml:space="preserve">The Northern Territory </w:t>
      </w:r>
      <w:r w:rsidR="004C1353" w:rsidRPr="00E03D6E">
        <w:rPr>
          <w:rFonts w:asciiTheme="majorHAnsi" w:hAnsiTheme="majorHAnsi" w:cs="Arial"/>
          <w:noProof/>
        </w:rPr>
        <w:t>Department of Industry, Tourism and Trade</w:t>
      </w:r>
      <w:r w:rsidR="004C1353" w:rsidRPr="00E03D6E">
        <w:rPr>
          <w:rFonts w:asciiTheme="majorHAnsi" w:hAnsiTheme="majorHAnsi" w:cs="Arial"/>
        </w:rPr>
        <w:t xml:space="preserve"> must inform the Department of Agriculture, </w:t>
      </w:r>
      <w:proofErr w:type="gramStart"/>
      <w:r w:rsidR="004C1353" w:rsidRPr="00E03D6E">
        <w:rPr>
          <w:rFonts w:asciiTheme="majorHAnsi" w:hAnsiTheme="majorHAnsi" w:cs="Arial"/>
        </w:rPr>
        <w:t>Water</w:t>
      </w:r>
      <w:proofErr w:type="gramEnd"/>
      <w:r w:rsidR="004C1353" w:rsidRPr="00E03D6E">
        <w:rPr>
          <w:rFonts w:asciiTheme="majorHAnsi" w:hAnsiTheme="majorHAnsi" w:cs="Arial"/>
        </w:rPr>
        <w:t xml:space="preserve"> and the Environment of any intended changes to fisheries legislation that may affect the legislative instruments relevant to this approval.</w:t>
      </w:r>
    </w:p>
    <w:p w14:paraId="70C7005D" w14:textId="70E971D6" w:rsidR="000A2E8F" w:rsidRDefault="000A2E8F" w:rsidP="000A44DC">
      <w:pPr>
        <w:spacing w:after="200"/>
        <w:rPr>
          <w:rFonts w:asciiTheme="majorHAnsi" w:hAnsiTheme="majorHAnsi"/>
          <w:iCs/>
        </w:rPr>
      </w:pPr>
      <w:r w:rsidRPr="00E03D6E">
        <w:rPr>
          <w:rFonts w:asciiTheme="majorHAnsi" w:hAnsiTheme="majorHAnsi" w:cs="Arial"/>
          <w:b/>
          <w:bCs/>
        </w:rPr>
        <w:t>Condition 4</w:t>
      </w:r>
      <w:r w:rsidRPr="00E03D6E">
        <w:rPr>
          <w:rFonts w:asciiTheme="majorHAnsi" w:hAnsiTheme="majorHAnsi" w:cs="Arial"/>
          <w:b/>
        </w:rPr>
        <w:br/>
      </w:r>
      <w:r w:rsidR="004C1353" w:rsidRPr="00E03D6E">
        <w:rPr>
          <w:rFonts w:asciiTheme="majorHAnsi" w:hAnsiTheme="majorHAnsi"/>
        </w:rPr>
        <w:t xml:space="preserve">The </w:t>
      </w:r>
      <w:r w:rsidR="004C1353" w:rsidRPr="00E03D6E">
        <w:rPr>
          <w:rFonts w:asciiTheme="majorHAnsi" w:hAnsiTheme="majorHAnsi" w:cs="Arial"/>
        </w:rPr>
        <w:t xml:space="preserve">Northern Territory </w:t>
      </w:r>
      <w:r w:rsidR="004C1353" w:rsidRPr="00E03D6E">
        <w:rPr>
          <w:rFonts w:asciiTheme="majorHAnsi" w:hAnsiTheme="majorHAnsi" w:cs="Arial"/>
          <w:noProof/>
        </w:rPr>
        <w:t>Department of Industry, Tourism and Trade</w:t>
      </w:r>
      <w:r w:rsidR="004C1353" w:rsidRPr="00E03D6E">
        <w:rPr>
          <w:rFonts w:asciiTheme="majorHAnsi" w:hAnsiTheme="majorHAnsi" w:cs="Arial"/>
        </w:rPr>
        <w:t xml:space="preserve"> </w:t>
      </w:r>
      <w:r w:rsidR="004C1353" w:rsidRPr="00E03D6E">
        <w:rPr>
          <w:rFonts w:asciiTheme="majorHAnsi" w:hAnsiTheme="majorHAnsi"/>
        </w:rPr>
        <w:t xml:space="preserve">must produce and present reports on the </w:t>
      </w:r>
      <w:r w:rsidR="004C1353" w:rsidRPr="00E03D6E">
        <w:rPr>
          <w:rFonts w:asciiTheme="majorHAnsi" w:hAnsiTheme="majorHAnsi" w:cs="Arial"/>
        </w:rPr>
        <w:t>Northern Territory Offshore Net and Line Fishery</w:t>
      </w:r>
      <w:r w:rsidR="004C1353" w:rsidRPr="00E03D6E">
        <w:rPr>
          <w:rFonts w:asciiTheme="majorHAnsi" w:hAnsiTheme="majorHAnsi"/>
        </w:rPr>
        <w:t xml:space="preserve">, including progress against all Part 13A conditions, to the Department of Agriculture, </w:t>
      </w:r>
      <w:proofErr w:type="gramStart"/>
      <w:r w:rsidR="004C1353" w:rsidRPr="00E03D6E">
        <w:rPr>
          <w:rFonts w:asciiTheme="majorHAnsi" w:hAnsiTheme="majorHAnsi"/>
        </w:rPr>
        <w:t>Water</w:t>
      </w:r>
      <w:proofErr w:type="gramEnd"/>
      <w:r w:rsidR="004C1353" w:rsidRPr="00E03D6E">
        <w:rPr>
          <w:rFonts w:asciiTheme="majorHAnsi" w:hAnsiTheme="majorHAnsi"/>
        </w:rPr>
        <w:t xml:space="preserve"> and the Environment by 30 June annually, as per Appendix B of the </w:t>
      </w:r>
      <w:r w:rsidR="004C1353" w:rsidRPr="00E03D6E">
        <w:rPr>
          <w:rFonts w:asciiTheme="majorHAnsi" w:hAnsiTheme="majorHAnsi"/>
          <w:i/>
          <w:iCs/>
        </w:rPr>
        <w:t>Guidelines for the Ecologically Sustainable Management of Fisheries – 2nd Edition</w:t>
      </w:r>
      <w:r w:rsidR="004C1353" w:rsidRPr="00E03D6E">
        <w:rPr>
          <w:rFonts w:asciiTheme="majorHAnsi" w:hAnsiTheme="majorHAnsi"/>
          <w:iCs/>
        </w:rPr>
        <w:t>.</w:t>
      </w:r>
    </w:p>
    <w:p w14:paraId="4AEC4375" w14:textId="253B599C" w:rsidR="000A2E8F" w:rsidRPr="00720D34" w:rsidRDefault="000A2E8F" w:rsidP="000A44DC">
      <w:pPr>
        <w:spacing w:after="200" w:line="276" w:lineRule="auto"/>
        <w:contextualSpacing/>
        <w:rPr>
          <w:rFonts w:asciiTheme="majorHAnsi" w:hAnsiTheme="majorHAnsi" w:cs="Arial"/>
        </w:rPr>
      </w:pPr>
      <w:r w:rsidRPr="00720D34">
        <w:rPr>
          <w:rFonts w:asciiTheme="majorHAnsi" w:hAnsiTheme="majorHAnsi" w:cs="Arial"/>
          <w:b/>
          <w:bCs/>
        </w:rPr>
        <w:t>Condition 5</w:t>
      </w:r>
    </w:p>
    <w:p w14:paraId="39F15FE9" w14:textId="0CA09FAC" w:rsidR="000A2E8F" w:rsidRDefault="004C1353" w:rsidP="000A44DC">
      <w:pPr>
        <w:spacing w:after="200"/>
        <w:rPr>
          <w:rFonts w:asciiTheme="majorHAnsi" w:hAnsiTheme="majorHAnsi"/>
        </w:rPr>
      </w:pPr>
      <w:r w:rsidRPr="00B85ECC">
        <w:rPr>
          <w:rFonts w:asciiTheme="majorHAnsi" w:hAnsiTheme="majorHAnsi"/>
        </w:rPr>
        <w:t>By 1 December 2022 the Northern Territory Department of Industry, Tourism and Trade must ensure that data collection and data validation systems are in place, sufficient to ensure that all necessary fishery data, including retained and discarded catch, and protected species interaction data is accurately reported and available for management of the Offshore Net and Line Fishery.</w:t>
      </w:r>
    </w:p>
    <w:p w14:paraId="157151F1" w14:textId="7336D44A" w:rsidR="000A2E8F" w:rsidRPr="00B85ECC" w:rsidRDefault="000A2E8F" w:rsidP="000A44DC">
      <w:pPr>
        <w:spacing w:after="200" w:line="276" w:lineRule="auto"/>
        <w:contextualSpacing/>
        <w:rPr>
          <w:rFonts w:asciiTheme="majorHAnsi" w:hAnsiTheme="majorHAnsi" w:cs="Arial"/>
          <w:b/>
          <w:bCs/>
        </w:rPr>
      </w:pPr>
      <w:r w:rsidRPr="00B85ECC">
        <w:rPr>
          <w:rFonts w:asciiTheme="majorHAnsi" w:hAnsiTheme="majorHAnsi" w:cs="Arial"/>
          <w:b/>
          <w:bCs/>
        </w:rPr>
        <w:t>Condition 6</w:t>
      </w:r>
    </w:p>
    <w:p w14:paraId="1224C246" w14:textId="77777777" w:rsidR="00711D2B" w:rsidRPr="003578DC" w:rsidRDefault="00711D2B" w:rsidP="00711D2B">
      <w:pPr>
        <w:spacing w:before="60" w:after="60" w:line="276" w:lineRule="auto"/>
        <w:contextualSpacing/>
        <w:rPr>
          <w:b/>
          <w:bCs/>
        </w:rPr>
      </w:pPr>
      <w:r w:rsidRPr="003C62F3">
        <w:t>The Northern Territory Department of Industry, Tourism and Trade must:</w:t>
      </w:r>
    </w:p>
    <w:p w14:paraId="273DB8D8" w14:textId="77777777" w:rsidR="00711D2B" w:rsidRPr="00711D2B" w:rsidRDefault="00711D2B" w:rsidP="00711D2B">
      <w:pPr>
        <w:pStyle w:val="ListParagraph"/>
        <w:numPr>
          <w:ilvl w:val="0"/>
          <w:numId w:val="17"/>
        </w:numPr>
        <w:tabs>
          <w:tab w:val="left" w:pos="1096"/>
        </w:tabs>
        <w:spacing w:before="60" w:after="60"/>
        <w:rPr>
          <w:rFonts w:asciiTheme="majorHAnsi" w:hAnsiTheme="majorHAnsi"/>
        </w:rPr>
      </w:pPr>
      <w:r w:rsidRPr="00711D2B">
        <w:rPr>
          <w:rFonts w:asciiTheme="majorHAnsi" w:hAnsiTheme="majorHAnsi"/>
        </w:rPr>
        <w:t>By 1</w:t>
      </w:r>
      <w:r w:rsidRPr="00711D2B" w:rsidDel="001A1B5A">
        <w:rPr>
          <w:rFonts w:asciiTheme="majorHAnsi" w:hAnsiTheme="majorHAnsi"/>
        </w:rPr>
        <w:t xml:space="preserve"> </w:t>
      </w:r>
      <w:r w:rsidRPr="00711D2B">
        <w:rPr>
          <w:rFonts w:asciiTheme="majorHAnsi" w:hAnsiTheme="majorHAnsi"/>
        </w:rPr>
        <w:t>September 2022, develop precautionary, interim ecological risk mitigation strategies for any bycatch or protected species which have been caught or interacted with in numbers greater than those considered in the 2020 Ecological Risk Assessment (ERA) for the Offshore Net and Line Fishery. These ecological risk mitigation strategies must include, but are not limited to, plans for the Australian snubfin dolphin (</w:t>
      </w:r>
      <w:proofErr w:type="spellStart"/>
      <w:r w:rsidRPr="00711D2B">
        <w:rPr>
          <w:rFonts w:asciiTheme="majorHAnsi" w:hAnsiTheme="majorHAnsi"/>
          <w:i/>
          <w:iCs/>
        </w:rPr>
        <w:t>Orcaella</w:t>
      </w:r>
      <w:proofErr w:type="spellEnd"/>
      <w:r w:rsidRPr="00711D2B">
        <w:rPr>
          <w:rFonts w:asciiTheme="majorHAnsi" w:hAnsiTheme="majorHAnsi"/>
          <w:i/>
          <w:iCs/>
        </w:rPr>
        <w:t> </w:t>
      </w:r>
      <w:proofErr w:type="spellStart"/>
      <w:r w:rsidRPr="00711D2B">
        <w:rPr>
          <w:rFonts w:asciiTheme="majorHAnsi" w:hAnsiTheme="majorHAnsi"/>
          <w:i/>
          <w:iCs/>
        </w:rPr>
        <w:t>heinsohni</w:t>
      </w:r>
      <w:proofErr w:type="spellEnd"/>
      <w:r w:rsidRPr="00711D2B">
        <w:rPr>
          <w:rFonts w:asciiTheme="majorHAnsi" w:hAnsiTheme="majorHAnsi"/>
        </w:rPr>
        <w:t>), leatherback turtle (</w:t>
      </w:r>
      <w:r w:rsidRPr="00711D2B">
        <w:rPr>
          <w:rFonts w:asciiTheme="majorHAnsi" w:hAnsiTheme="majorHAnsi"/>
          <w:i/>
          <w:iCs/>
        </w:rPr>
        <w:t>Dermochelys coriacea</w:t>
      </w:r>
      <w:r w:rsidRPr="00711D2B">
        <w:rPr>
          <w:rFonts w:asciiTheme="majorHAnsi" w:hAnsiTheme="majorHAnsi"/>
        </w:rPr>
        <w:t>), dwarf sawfish (</w:t>
      </w:r>
      <w:proofErr w:type="spellStart"/>
      <w:r w:rsidRPr="00711D2B">
        <w:rPr>
          <w:rFonts w:asciiTheme="majorHAnsi" w:hAnsiTheme="majorHAnsi"/>
          <w:i/>
          <w:iCs/>
        </w:rPr>
        <w:t>Pristis</w:t>
      </w:r>
      <w:proofErr w:type="spellEnd"/>
      <w:r w:rsidRPr="00711D2B">
        <w:rPr>
          <w:rFonts w:asciiTheme="majorHAnsi" w:hAnsiTheme="majorHAnsi"/>
          <w:i/>
          <w:iCs/>
        </w:rPr>
        <w:t xml:space="preserve"> </w:t>
      </w:r>
      <w:proofErr w:type="spellStart"/>
      <w:r w:rsidRPr="00711D2B">
        <w:rPr>
          <w:rFonts w:asciiTheme="majorHAnsi" w:hAnsiTheme="majorHAnsi"/>
          <w:i/>
          <w:iCs/>
        </w:rPr>
        <w:t>clavata</w:t>
      </w:r>
      <w:proofErr w:type="spellEnd"/>
      <w:r w:rsidRPr="00711D2B">
        <w:rPr>
          <w:rFonts w:asciiTheme="majorHAnsi" w:hAnsiTheme="majorHAnsi"/>
        </w:rPr>
        <w:t>), dugong (</w:t>
      </w:r>
      <w:r w:rsidRPr="00711D2B">
        <w:rPr>
          <w:rFonts w:asciiTheme="majorHAnsi" w:hAnsiTheme="majorHAnsi"/>
          <w:i/>
          <w:iCs/>
        </w:rPr>
        <w:t>Dugong dugon</w:t>
      </w:r>
      <w:r w:rsidRPr="00711D2B">
        <w:rPr>
          <w:rFonts w:asciiTheme="majorHAnsi" w:hAnsiTheme="majorHAnsi"/>
        </w:rPr>
        <w:t>), giant manta rays (</w:t>
      </w:r>
      <w:proofErr w:type="spellStart"/>
      <w:r w:rsidRPr="00711D2B">
        <w:rPr>
          <w:rFonts w:asciiTheme="majorHAnsi" w:hAnsiTheme="majorHAnsi"/>
          <w:i/>
          <w:iCs/>
        </w:rPr>
        <w:t>Mobula</w:t>
      </w:r>
      <w:proofErr w:type="spellEnd"/>
      <w:r w:rsidRPr="00711D2B">
        <w:rPr>
          <w:rFonts w:asciiTheme="majorHAnsi" w:hAnsiTheme="majorHAnsi"/>
          <w:i/>
          <w:iCs/>
        </w:rPr>
        <w:t xml:space="preserve"> </w:t>
      </w:r>
      <w:proofErr w:type="spellStart"/>
      <w:r w:rsidRPr="00711D2B">
        <w:rPr>
          <w:rFonts w:asciiTheme="majorHAnsi" w:hAnsiTheme="majorHAnsi"/>
          <w:i/>
          <w:iCs/>
        </w:rPr>
        <w:t>birostris</w:t>
      </w:r>
      <w:proofErr w:type="spellEnd"/>
      <w:r w:rsidRPr="00711D2B">
        <w:rPr>
          <w:rFonts w:asciiTheme="majorHAnsi" w:hAnsiTheme="majorHAnsi"/>
        </w:rPr>
        <w:t xml:space="preserve">) and pygmy </w:t>
      </w:r>
      <w:proofErr w:type="spellStart"/>
      <w:r w:rsidRPr="00711D2B">
        <w:rPr>
          <w:rFonts w:asciiTheme="majorHAnsi" w:hAnsiTheme="majorHAnsi"/>
        </w:rPr>
        <w:t>devilrays</w:t>
      </w:r>
      <w:proofErr w:type="spellEnd"/>
      <w:r w:rsidRPr="00711D2B">
        <w:rPr>
          <w:rFonts w:asciiTheme="majorHAnsi" w:hAnsiTheme="majorHAnsi"/>
        </w:rPr>
        <w:t xml:space="preserve"> (</w:t>
      </w:r>
      <w:r w:rsidRPr="00711D2B">
        <w:rPr>
          <w:rFonts w:asciiTheme="majorHAnsi" w:hAnsiTheme="majorHAnsi"/>
          <w:i/>
          <w:iCs/>
        </w:rPr>
        <w:t xml:space="preserve">M. </w:t>
      </w:r>
      <w:proofErr w:type="spellStart"/>
      <w:r w:rsidRPr="00711D2B">
        <w:rPr>
          <w:rFonts w:asciiTheme="majorHAnsi" w:hAnsiTheme="majorHAnsi"/>
          <w:i/>
          <w:iCs/>
        </w:rPr>
        <w:t>eregoodoo</w:t>
      </w:r>
      <w:proofErr w:type="spellEnd"/>
      <w:r w:rsidRPr="00711D2B">
        <w:rPr>
          <w:rFonts w:asciiTheme="majorHAnsi" w:hAnsiTheme="majorHAnsi"/>
          <w:i/>
          <w:iCs/>
        </w:rPr>
        <w:t xml:space="preserve"> </w:t>
      </w:r>
      <w:r w:rsidRPr="00711D2B">
        <w:rPr>
          <w:rFonts w:asciiTheme="majorHAnsi" w:hAnsiTheme="majorHAnsi"/>
        </w:rPr>
        <w:t xml:space="preserve">and </w:t>
      </w:r>
      <w:r w:rsidRPr="00711D2B">
        <w:rPr>
          <w:rFonts w:asciiTheme="majorHAnsi" w:hAnsiTheme="majorHAnsi"/>
          <w:i/>
          <w:iCs/>
        </w:rPr>
        <w:t>M. </w:t>
      </w:r>
      <w:proofErr w:type="spellStart"/>
      <w:r w:rsidRPr="00711D2B">
        <w:rPr>
          <w:rFonts w:asciiTheme="majorHAnsi" w:hAnsiTheme="majorHAnsi"/>
          <w:i/>
          <w:iCs/>
        </w:rPr>
        <w:t>kuhlii</w:t>
      </w:r>
      <w:proofErr w:type="spellEnd"/>
      <w:r w:rsidRPr="00711D2B">
        <w:rPr>
          <w:rFonts w:asciiTheme="majorHAnsi" w:hAnsiTheme="majorHAnsi"/>
        </w:rPr>
        <w:t>). The ecological risk mitigation strategies must also be developed for winghead sharks, and any other taxa found to be at high risk or greater in the 2020 ERA.</w:t>
      </w:r>
    </w:p>
    <w:p w14:paraId="05E8FFE7" w14:textId="77777777" w:rsidR="00711D2B" w:rsidRPr="00711D2B" w:rsidRDefault="00711D2B" w:rsidP="00711D2B">
      <w:pPr>
        <w:pStyle w:val="ListParagraph"/>
        <w:numPr>
          <w:ilvl w:val="0"/>
          <w:numId w:val="17"/>
        </w:numPr>
        <w:tabs>
          <w:tab w:val="left" w:pos="1096"/>
        </w:tabs>
        <w:spacing w:before="60" w:after="60"/>
        <w:rPr>
          <w:rFonts w:asciiTheme="majorHAnsi" w:hAnsiTheme="majorHAnsi"/>
        </w:rPr>
      </w:pPr>
      <w:r w:rsidRPr="00711D2B">
        <w:rPr>
          <w:rFonts w:asciiTheme="majorHAnsi" w:hAnsiTheme="majorHAnsi"/>
        </w:rPr>
        <w:t>By 1 December 2022, implement the ecological risk mitigation strategies. These must remain in effect until it can be determined whether risks to these species from the operation of the fishery are sustainable. After that time, all reasonable steps must be taken to minimise future interactions and ensure impacts remain sustainable.</w:t>
      </w:r>
    </w:p>
    <w:p w14:paraId="305F99BF" w14:textId="3EBA7103" w:rsidR="004C1353" w:rsidRDefault="004C1353" w:rsidP="000A44DC">
      <w:pPr>
        <w:spacing w:after="200" w:line="276" w:lineRule="auto"/>
        <w:contextualSpacing/>
        <w:rPr>
          <w:rFonts w:asciiTheme="majorHAnsi" w:hAnsiTheme="majorHAnsi" w:cs="Arial"/>
          <w:b/>
          <w:bCs/>
        </w:rPr>
      </w:pPr>
    </w:p>
    <w:p w14:paraId="7D7A83D9" w14:textId="197B17DE" w:rsidR="00A23B0F" w:rsidRPr="004C1353" w:rsidRDefault="00A23B0F" w:rsidP="000A44DC">
      <w:pPr>
        <w:spacing w:after="200" w:line="276" w:lineRule="auto"/>
        <w:contextualSpacing/>
        <w:rPr>
          <w:rFonts w:asciiTheme="majorHAnsi" w:hAnsiTheme="majorHAnsi" w:cs="Arial"/>
          <w:b/>
          <w:bCs/>
        </w:rPr>
      </w:pPr>
      <w:r w:rsidRPr="004C1353">
        <w:rPr>
          <w:rFonts w:asciiTheme="majorHAnsi" w:hAnsiTheme="majorHAnsi" w:cs="Arial"/>
          <w:b/>
          <w:bCs/>
        </w:rPr>
        <w:t>Condition 7</w:t>
      </w:r>
    </w:p>
    <w:p w14:paraId="3ADE599F" w14:textId="088F6624" w:rsidR="000A2E8F" w:rsidRPr="006930EE" w:rsidRDefault="004C1353" w:rsidP="000A44DC">
      <w:pPr>
        <w:spacing w:after="200"/>
        <w:rPr>
          <w:rFonts w:asciiTheme="majorHAnsi" w:hAnsiTheme="majorHAnsi"/>
        </w:rPr>
      </w:pPr>
      <w:r w:rsidRPr="00B85ECC">
        <w:rPr>
          <w:rFonts w:asciiTheme="majorHAnsi" w:hAnsiTheme="majorHAnsi"/>
        </w:rPr>
        <w:t xml:space="preserve">By 27 June 2024, the Northern Territory Department of Industry, Tourism and Trade must provide an updated </w:t>
      </w:r>
      <w:r>
        <w:rPr>
          <w:rFonts w:asciiTheme="majorHAnsi" w:hAnsiTheme="majorHAnsi"/>
        </w:rPr>
        <w:t>Ecological</w:t>
      </w:r>
      <w:r w:rsidRPr="00B85ECC">
        <w:rPr>
          <w:rFonts w:asciiTheme="majorHAnsi" w:hAnsiTheme="majorHAnsi"/>
        </w:rPr>
        <w:t xml:space="preserve"> Risk Assessment to the Department of Agriculture, Water and Environment that considers all species interacted with by the Offshore Net and Line Fishery.</w:t>
      </w:r>
    </w:p>
    <w:p w14:paraId="35A41A0D" w14:textId="09CD502D" w:rsidR="00AA21BC" w:rsidRPr="00EE0E4A" w:rsidRDefault="00AA21BC" w:rsidP="000A44DC">
      <w:pPr>
        <w:spacing w:after="200"/>
        <w:jc w:val="right"/>
        <w:rPr>
          <w:rFonts w:asciiTheme="majorHAnsi" w:hAnsiTheme="majorHAnsi" w:cs="Arial"/>
          <w:b/>
          <w:bCs/>
        </w:rPr>
      </w:pPr>
      <w:r w:rsidRPr="00EE0E4A">
        <w:rPr>
          <w:rFonts w:asciiTheme="majorHAnsi" w:hAnsiTheme="majorHAnsi" w:cs="Arial"/>
          <w:b/>
          <w:bCs/>
        </w:rPr>
        <w:lastRenderedPageBreak/>
        <w:t>Attachment B</w:t>
      </w:r>
    </w:p>
    <w:p w14:paraId="73882B4D" w14:textId="7BF52105" w:rsidR="00AA21BC" w:rsidRPr="00EE0E4A" w:rsidRDefault="00AA21BC" w:rsidP="000A44DC">
      <w:pPr>
        <w:spacing w:after="200"/>
        <w:rPr>
          <w:rFonts w:asciiTheme="majorHAnsi" w:hAnsiTheme="majorHAnsi" w:cs="Arial"/>
          <w:b/>
          <w:bCs/>
          <w:lang w:val="en-US"/>
        </w:rPr>
      </w:pPr>
      <w:r w:rsidRPr="00EE0E4A">
        <w:rPr>
          <w:rFonts w:asciiTheme="majorHAnsi" w:hAnsiTheme="majorHAnsi" w:cs="Arial"/>
          <w:b/>
          <w:bCs/>
        </w:rPr>
        <w:t xml:space="preserve">Part 13 Conditions on the Accreditation of </w:t>
      </w:r>
      <w:r w:rsidR="00815D9F" w:rsidRPr="008C434B">
        <w:rPr>
          <w:rFonts w:asciiTheme="majorHAnsi" w:hAnsiTheme="majorHAnsi" w:cs="Arial"/>
          <w:b/>
          <w:bCs/>
        </w:rPr>
        <w:t xml:space="preserve">the </w:t>
      </w:r>
      <w:r w:rsidRPr="00EE0E4A">
        <w:rPr>
          <w:rFonts w:asciiTheme="majorHAnsi" w:hAnsiTheme="majorHAnsi" w:cs="Arial"/>
          <w:b/>
          <w:bCs/>
        </w:rPr>
        <w:t>Management Regime</w:t>
      </w:r>
      <w:r w:rsidR="00815D9F" w:rsidRPr="008C434B">
        <w:rPr>
          <w:rFonts w:asciiTheme="majorHAnsi" w:hAnsiTheme="majorHAnsi" w:cs="Arial"/>
          <w:b/>
          <w:bCs/>
        </w:rPr>
        <w:t xml:space="preserve"> for the Northern Territory Offshore Net and Line Fishery </w:t>
      </w:r>
      <w:r w:rsidR="00815D9F" w:rsidRPr="008C434B">
        <w:rPr>
          <w:rFonts w:asciiTheme="majorHAnsi" w:hAnsiTheme="majorHAnsi" w:cs="Arial"/>
          <w:b/>
        </w:rPr>
        <w:t>– March 2022</w:t>
      </w:r>
    </w:p>
    <w:p w14:paraId="685A82C2" w14:textId="7280CA9A" w:rsidR="00A23B0F" w:rsidRPr="008C434B" w:rsidRDefault="00A23B0F" w:rsidP="000A44DC">
      <w:pPr>
        <w:spacing w:after="200"/>
        <w:rPr>
          <w:rFonts w:asciiTheme="majorHAnsi" w:hAnsiTheme="majorHAnsi"/>
          <w:snapToGrid w:val="0"/>
        </w:rPr>
      </w:pPr>
      <w:r w:rsidRPr="008C434B">
        <w:rPr>
          <w:rFonts w:asciiTheme="majorHAnsi" w:hAnsiTheme="majorHAnsi"/>
          <w:b/>
        </w:rPr>
        <w:t>Condition A</w:t>
      </w:r>
      <w:r w:rsidR="000A44DC">
        <w:rPr>
          <w:rFonts w:asciiTheme="majorHAnsi" w:hAnsiTheme="majorHAnsi"/>
          <w:b/>
        </w:rPr>
        <w:br/>
      </w:r>
      <w:r w:rsidR="004C1353" w:rsidRPr="00E03D6E">
        <w:rPr>
          <w:rFonts w:asciiTheme="majorHAnsi" w:hAnsiTheme="majorHAnsi" w:cs="Arial"/>
        </w:rPr>
        <w:t xml:space="preserve">Operation of the Northern Territory Offshore Net and Line Fishery must be carried out in accordance with the Offshore Net and Line Fishery Management Framework and Harvest Strategy 2018 in force under the </w:t>
      </w:r>
      <w:r w:rsidR="004C1353" w:rsidRPr="007118E9">
        <w:rPr>
          <w:rFonts w:asciiTheme="majorHAnsi" w:hAnsiTheme="majorHAnsi" w:cs="Arial"/>
          <w:i/>
          <w:iCs/>
        </w:rPr>
        <w:t>Fisheries Act 1988</w:t>
      </w:r>
      <w:r w:rsidR="004D716F">
        <w:rPr>
          <w:rFonts w:asciiTheme="majorHAnsi" w:hAnsiTheme="majorHAnsi" w:cs="Arial"/>
        </w:rPr>
        <w:t xml:space="preserve"> (NT)</w:t>
      </w:r>
      <w:r w:rsidR="004C1353">
        <w:rPr>
          <w:rFonts w:asciiTheme="majorHAnsi" w:hAnsiTheme="majorHAnsi" w:cs="Arial"/>
          <w:i/>
          <w:iCs/>
        </w:rPr>
        <w:t xml:space="preserve"> </w:t>
      </w:r>
      <w:r w:rsidR="004C1353" w:rsidRPr="007118E9">
        <w:rPr>
          <w:rFonts w:asciiTheme="majorHAnsi" w:hAnsiTheme="majorHAnsi" w:cs="Arial"/>
        </w:rPr>
        <w:t>and the</w:t>
      </w:r>
      <w:r w:rsidR="004C1353">
        <w:rPr>
          <w:rFonts w:asciiTheme="majorHAnsi" w:hAnsiTheme="majorHAnsi" w:cs="Arial"/>
          <w:i/>
          <w:iCs/>
        </w:rPr>
        <w:t xml:space="preserve"> </w:t>
      </w:r>
      <w:r w:rsidR="004C1353" w:rsidRPr="00DA76BA">
        <w:rPr>
          <w:rFonts w:asciiTheme="majorHAnsi" w:hAnsiTheme="majorHAnsi" w:cs="Arial"/>
        </w:rPr>
        <w:t>Fisheries Regulations 1992</w:t>
      </w:r>
      <w:r w:rsidR="004D716F">
        <w:rPr>
          <w:rFonts w:asciiTheme="majorHAnsi" w:hAnsiTheme="majorHAnsi" w:cs="Arial"/>
        </w:rPr>
        <w:t xml:space="preserve"> (NT)</w:t>
      </w:r>
      <w:r w:rsidR="004C1353" w:rsidRPr="00E03D6E">
        <w:rPr>
          <w:rFonts w:asciiTheme="majorHAnsi" w:hAnsiTheme="majorHAnsi" w:cs="Arial"/>
          <w:i/>
        </w:rPr>
        <w:t>.</w:t>
      </w:r>
    </w:p>
    <w:p w14:paraId="60016864" w14:textId="51E95ADF" w:rsidR="00A23B0F" w:rsidRDefault="00A23B0F" w:rsidP="000A44DC">
      <w:pPr>
        <w:spacing w:after="200"/>
        <w:rPr>
          <w:rFonts w:asciiTheme="majorHAnsi" w:hAnsiTheme="majorHAnsi" w:cs="Arial"/>
        </w:rPr>
      </w:pPr>
      <w:r w:rsidRPr="008C434B">
        <w:rPr>
          <w:rFonts w:asciiTheme="majorHAnsi" w:hAnsiTheme="majorHAnsi"/>
          <w:b/>
        </w:rPr>
        <w:t>Condition B</w:t>
      </w:r>
      <w:r w:rsidR="000A44DC">
        <w:rPr>
          <w:rFonts w:asciiTheme="majorHAnsi" w:hAnsiTheme="majorHAnsi"/>
          <w:b/>
        </w:rPr>
        <w:br/>
      </w:r>
      <w:r w:rsidR="004C1353" w:rsidRPr="00E03D6E">
        <w:rPr>
          <w:rFonts w:asciiTheme="majorHAnsi" w:hAnsiTheme="majorHAnsi" w:cs="Arial"/>
        </w:rPr>
        <w:t xml:space="preserve">The Northern Territory </w:t>
      </w:r>
      <w:r w:rsidR="004C1353" w:rsidRPr="00E03D6E">
        <w:rPr>
          <w:rFonts w:asciiTheme="majorHAnsi" w:hAnsiTheme="majorHAnsi" w:cs="Arial"/>
          <w:noProof/>
        </w:rPr>
        <w:t>Department of Industry, Tourism and Trade</w:t>
      </w:r>
      <w:r w:rsidR="004C1353" w:rsidRPr="00E03D6E">
        <w:rPr>
          <w:rFonts w:asciiTheme="majorHAnsi" w:hAnsiTheme="majorHAnsi" w:cs="Arial"/>
        </w:rPr>
        <w:t xml:space="preserve"> must inform the Department of Agriculture, </w:t>
      </w:r>
      <w:proofErr w:type="gramStart"/>
      <w:r w:rsidR="004C1353" w:rsidRPr="00E03D6E">
        <w:rPr>
          <w:rFonts w:asciiTheme="majorHAnsi" w:hAnsiTheme="majorHAnsi" w:cs="Arial"/>
        </w:rPr>
        <w:t>Water</w:t>
      </w:r>
      <w:proofErr w:type="gramEnd"/>
      <w:r w:rsidR="004C1353" w:rsidRPr="00E03D6E">
        <w:rPr>
          <w:rFonts w:asciiTheme="majorHAnsi" w:hAnsiTheme="majorHAnsi" w:cs="Arial"/>
        </w:rPr>
        <w:t xml:space="preserve"> and the Environment of any intended material changes to Northern Territory Offshore Net and Line Fishery management arrangements that may affect the assessment against which </w:t>
      </w:r>
      <w:r w:rsidR="004C1353" w:rsidRPr="00E03D6E">
        <w:rPr>
          <w:rFonts w:asciiTheme="majorHAnsi" w:hAnsiTheme="majorHAnsi" w:cs="Arial"/>
          <w:i/>
          <w:iCs/>
        </w:rPr>
        <w:t>Environment Protection and Biodiversity Conservation Act 1999</w:t>
      </w:r>
      <w:r w:rsidR="004C1353" w:rsidRPr="00E03D6E">
        <w:rPr>
          <w:rFonts w:asciiTheme="majorHAnsi" w:hAnsiTheme="majorHAnsi" w:cs="Arial"/>
        </w:rPr>
        <w:t xml:space="preserve"> decisions are made.</w:t>
      </w:r>
    </w:p>
    <w:p w14:paraId="310EBBB1" w14:textId="005010A1" w:rsidR="00A23B0F" w:rsidRDefault="00A23B0F" w:rsidP="000A44DC">
      <w:pPr>
        <w:spacing w:after="200"/>
        <w:rPr>
          <w:rFonts w:asciiTheme="majorHAnsi" w:hAnsiTheme="majorHAnsi" w:cs="Arial"/>
        </w:rPr>
      </w:pPr>
      <w:r w:rsidRPr="008C434B">
        <w:rPr>
          <w:rFonts w:asciiTheme="majorHAnsi" w:hAnsiTheme="majorHAnsi"/>
          <w:b/>
        </w:rPr>
        <w:t>Condition C</w:t>
      </w:r>
      <w:r w:rsidR="000A44DC">
        <w:rPr>
          <w:rFonts w:asciiTheme="majorHAnsi" w:hAnsiTheme="majorHAnsi"/>
          <w:b/>
        </w:rPr>
        <w:br/>
      </w:r>
      <w:r w:rsidR="004C1353" w:rsidRPr="00E03D6E">
        <w:rPr>
          <w:rFonts w:asciiTheme="majorHAnsi" w:hAnsiTheme="majorHAnsi" w:cs="Arial"/>
        </w:rPr>
        <w:t xml:space="preserve">The Northern Territory </w:t>
      </w:r>
      <w:r w:rsidR="004C1353" w:rsidRPr="00E03D6E">
        <w:rPr>
          <w:rFonts w:asciiTheme="majorHAnsi" w:hAnsiTheme="majorHAnsi" w:cs="Arial"/>
          <w:noProof/>
        </w:rPr>
        <w:t>Department of Industry, Tourism and Trade</w:t>
      </w:r>
      <w:r w:rsidR="004C1353" w:rsidRPr="00E03D6E">
        <w:rPr>
          <w:rFonts w:asciiTheme="majorHAnsi" w:hAnsiTheme="majorHAnsi" w:cs="Arial"/>
        </w:rPr>
        <w:t xml:space="preserve"> must inform the Department of Agriculture, </w:t>
      </w:r>
      <w:proofErr w:type="gramStart"/>
      <w:r w:rsidR="004C1353" w:rsidRPr="00E03D6E">
        <w:rPr>
          <w:rFonts w:asciiTheme="majorHAnsi" w:hAnsiTheme="majorHAnsi" w:cs="Arial"/>
        </w:rPr>
        <w:t>Water</w:t>
      </w:r>
      <w:proofErr w:type="gramEnd"/>
      <w:r w:rsidR="004C1353" w:rsidRPr="00E03D6E">
        <w:rPr>
          <w:rFonts w:asciiTheme="majorHAnsi" w:hAnsiTheme="majorHAnsi" w:cs="Arial"/>
        </w:rPr>
        <w:t xml:space="preserve"> and the Environment of any intended changes to fisheries legislation that may affect the legislative instruments relevant to this approval.</w:t>
      </w:r>
    </w:p>
    <w:p w14:paraId="19912E69" w14:textId="1A9AAE62" w:rsidR="004C1353" w:rsidRPr="000A44DC" w:rsidRDefault="004C1353" w:rsidP="000A44DC">
      <w:pPr>
        <w:spacing w:after="200"/>
        <w:rPr>
          <w:rFonts w:asciiTheme="majorHAnsi" w:hAnsiTheme="majorHAnsi" w:cs="Arial"/>
          <w:b/>
          <w:bCs/>
        </w:rPr>
      </w:pPr>
      <w:r>
        <w:rPr>
          <w:rFonts w:asciiTheme="majorHAnsi" w:hAnsiTheme="majorHAnsi" w:cs="Arial"/>
          <w:b/>
          <w:bCs/>
        </w:rPr>
        <w:t>Condition D</w:t>
      </w:r>
      <w:r w:rsidR="000A44DC">
        <w:rPr>
          <w:rFonts w:asciiTheme="majorHAnsi" w:hAnsiTheme="majorHAnsi" w:cs="Arial"/>
          <w:b/>
          <w:bCs/>
        </w:rPr>
        <w:br/>
      </w:r>
      <w:r w:rsidRPr="00E03D6E">
        <w:rPr>
          <w:rFonts w:asciiTheme="majorHAnsi" w:hAnsiTheme="majorHAnsi"/>
        </w:rPr>
        <w:t xml:space="preserve">The </w:t>
      </w:r>
      <w:r w:rsidRPr="00E03D6E">
        <w:rPr>
          <w:rFonts w:asciiTheme="majorHAnsi" w:hAnsiTheme="majorHAnsi" w:cs="Arial"/>
        </w:rPr>
        <w:t xml:space="preserve">Northern Territory </w:t>
      </w:r>
      <w:r w:rsidRPr="00E03D6E">
        <w:rPr>
          <w:rFonts w:asciiTheme="majorHAnsi" w:hAnsiTheme="majorHAnsi" w:cs="Arial"/>
          <w:noProof/>
        </w:rPr>
        <w:t>Department of Industry, Tourism and Trade</w:t>
      </w:r>
      <w:r w:rsidRPr="00E03D6E">
        <w:rPr>
          <w:rFonts w:asciiTheme="majorHAnsi" w:hAnsiTheme="majorHAnsi" w:cs="Arial"/>
        </w:rPr>
        <w:t xml:space="preserve"> </w:t>
      </w:r>
      <w:r w:rsidRPr="00E03D6E">
        <w:rPr>
          <w:rFonts w:asciiTheme="majorHAnsi" w:hAnsiTheme="majorHAnsi"/>
        </w:rPr>
        <w:t xml:space="preserve">must produce and present reports on the </w:t>
      </w:r>
      <w:r w:rsidRPr="00E03D6E">
        <w:rPr>
          <w:rFonts w:asciiTheme="majorHAnsi" w:hAnsiTheme="majorHAnsi" w:cs="Arial"/>
        </w:rPr>
        <w:t>Northern Territory Offshore Net and Line Fishery</w:t>
      </w:r>
      <w:r w:rsidRPr="00E03D6E">
        <w:rPr>
          <w:rFonts w:asciiTheme="majorHAnsi" w:hAnsiTheme="majorHAnsi"/>
        </w:rPr>
        <w:t xml:space="preserve">, including progress against all Part 13 conditions, to the Department of Agriculture, </w:t>
      </w:r>
      <w:proofErr w:type="gramStart"/>
      <w:r w:rsidRPr="00E03D6E">
        <w:rPr>
          <w:rFonts w:asciiTheme="majorHAnsi" w:hAnsiTheme="majorHAnsi"/>
        </w:rPr>
        <w:t>Water</w:t>
      </w:r>
      <w:proofErr w:type="gramEnd"/>
      <w:r w:rsidRPr="00E03D6E">
        <w:rPr>
          <w:rFonts w:asciiTheme="majorHAnsi" w:hAnsiTheme="majorHAnsi"/>
        </w:rPr>
        <w:t xml:space="preserve"> and the Environment by 30 June annually, as per Appendix B of the </w:t>
      </w:r>
      <w:r w:rsidRPr="00E03D6E">
        <w:rPr>
          <w:rFonts w:asciiTheme="majorHAnsi" w:hAnsiTheme="majorHAnsi"/>
          <w:i/>
          <w:iCs/>
        </w:rPr>
        <w:t>Guidelines for the Ecologically Sustainable Management of Fisheries – 2nd Edition</w:t>
      </w:r>
      <w:r w:rsidRPr="00E03D6E">
        <w:rPr>
          <w:rFonts w:asciiTheme="majorHAnsi" w:hAnsiTheme="majorHAnsi"/>
          <w:iCs/>
        </w:rPr>
        <w:t>.</w:t>
      </w:r>
    </w:p>
    <w:p w14:paraId="70EA039D" w14:textId="3B209A6E" w:rsidR="004C1353" w:rsidRDefault="004C1353" w:rsidP="000A44DC">
      <w:pPr>
        <w:spacing w:after="200"/>
        <w:rPr>
          <w:rFonts w:asciiTheme="majorHAnsi" w:hAnsiTheme="majorHAnsi"/>
        </w:rPr>
      </w:pPr>
      <w:r w:rsidRPr="008C434B">
        <w:rPr>
          <w:rFonts w:asciiTheme="majorHAnsi" w:hAnsiTheme="majorHAnsi"/>
          <w:b/>
          <w:bCs/>
          <w:iCs/>
        </w:rPr>
        <w:t>Condition E</w:t>
      </w:r>
      <w:r w:rsidR="000A44DC">
        <w:rPr>
          <w:rFonts w:asciiTheme="majorHAnsi" w:hAnsiTheme="majorHAnsi"/>
          <w:b/>
          <w:bCs/>
          <w:iCs/>
        </w:rPr>
        <w:br/>
      </w:r>
      <w:r w:rsidRPr="00B85ECC">
        <w:rPr>
          <w:rFonts w:asciiTheme="majorHAnsi" w:hAnsiTheme="majorHAnsi"/>
        </w:rPr>
        <w:t>By 1 December 2022 the Northern Territory Department of Industry, Tourism and Trade must ensure that data collection and data validation systems are in place, sufficient to ensure that all necessary fishery data, including protected species interaction data is accurately reported and available for management of the Offshore Net and Line Fishery.</w:t>
      </w:r>
    </w:p>
    <w:p w14:paraId="145F9CEB" w14:textId="6CD131FA" w:rsidR="004C1353" w:rsidRDefault="004C1353" w:rsidP="000A44DC">
      <w:pPr>
        <w:spacing w:after="200"/>
        <w:rPr>
          <w:rFonts w:asciiTheme="majorHAnsi" w:hAnsiTheme="majorHAnsi"/>
        </w:rPr>
      </w:pPr>
      <w:r>
        <w:rPr>
          <w:rFonts w:asciiTheme="majorHAnsi" w:hAnsiTheme="majorHAnsi"/>
          <w:b/>
          <w:bCs/>
        </w:rPr>
        <w:t>Condition F</w:t>
      </w:r>
    </w:p>
    <w:p w14:paraId="519A3FC9" w14:textId="77777777" w:rsidR="00AD1BB1" w:rsidRPr="00CE787E" w:rsidRDefault="00AD1BB1" w:rsidP="00AD1BB1">
      <w:pPr>
        <w:spacing w:before="60" w:after="60" w:line="276" w:lineRule="auto"/>
        <w:contextualSpacing/>
        <w:rPr>
          <w:b/>
          <w:bCs/>
        </w:rPr>
      </w:pPr>
      <w:r w:rsidRPr="003C62F3">
        <w:t>The Northern Territory Department of Industry, Tourism and Trade must:</w:t>
      </w:r>
    </w:p>
    <w:p w14:paraId="258DDE09" w14:textId="77777777" w:rsidR="00AD1BB1" w:rsidRPr="00AD1BB1" w:rsidRDefault="00AD1BB1" w:rsidP="00AD1BB1">
      <w:pPr>
        <w:pStyle w:val="ListParagraph"/>
        <w:numPr>
          <w:ilvl w:val="0"/>
          <w:numId w:val="15"/>
        </w:numPr>
        <w:spacing w:before="0"/>
        <w:rPr>
          <w:rFonts w:asciiTheme="majorHAnsi" w:hAnsiTheme="majorHAnsi"/>
        </w:rPr>
      </w:pPr>
      <w:r w:rsidRPr="00AD1BB1">
        <w:rPr>
          <w:rFonts w:asciiTheme="majorHAnsi" w:hAnsiTheme="majorHAnsi"/>
        </w:rPr>
        <w:t>By 1</w:t>
      </w:r>
      <w:r w:rsidRPr="00AD1BB1" w:rsidDel="001A1B5A">
        <w:rPr>
          <w:rFonts w:asciiTheme="majorHAnsi" w:hAnsiTheme="majorHAnsi"/>
        </w:rPr>
        <w:t xml:space="preserve"> </w:t>
      </w:r>
      <w:r w:rsidRPr="00AD1BB1">
        <w:rPr>
          <w:rFonts w:asciiTheme="majorHAnsi" w:hAnsiTheme="majorHAnsi"/>
        </w:rPr>
        <w:t>September 2022, develop precautionary, interim ecological risk mitigation strategies for any bycatch or protected species which have been caught or interacted with in numbers greater than those considered in the 2020 Ecological Risk Assessment (ERA) for the Offshore Net and Line Fishery. These ecological risk mitigation strategies must include, but are not limited to, plans for the Australian snubfin dolphin (</w:t>
      </w:r>
      <w:proofErr w:type="spellStart"/>
      <w:r w:rsidRPr="00AD1BB1">
        <w:rPr>
          <w:rFonts w:asciiTheme="majorHAnsi" w:hAnsiTheme="majorHAnsi"/>
          <w:i/>
          <w:iCs/>
        </w:rPr>
        <w:t>Orcaella</w:t>
      </w:r>
      <w:proofErr w:type="spellEnd"/>
      <w:r w:rsidRPr="00AD1BB1">
        <w:rPr>
          <w:rFonts w:asciiTheme="majorHAnsi" w:hAnsiTheme="majorHAnsi"/>
          <w:i/>
          <w:iCs/>
        </w:rPr>
        <w:t> </w:t>
      </w:r>
      <w:proofErr w:type="spellStart"/>
      <w:r w:rsidRPr="00AD1BB1">
        <w:rPr>
          <w:rFonts w:asciiTheme="majorHAnsi" w:hAnsiTheme="majorHAnsi"/>
          <w:i/>
          <w:iCs/>
        </w:rPr>
        <w:t>heinsohni</w:t>
      </w:r>
      <w:proofErr w:type="spellEnd"/>
      <w:r w:rsidRPr="00AD1BB1">
        <w:rPr>
          <w:rFonts w:asciiTheme="majorHAnsi" w:hAnsiTheme="majorHAnsi"/>
        </w:rPr>
        <w:t>), leatherback turtle (</w:t>
      </w:r>
      <w:r w:rsidRPr="00AD1BB1">
        <w:rPr>
          <w:rFonts w:asciiTheme="majorHAnsi" w:hAnsiTheme="majorHAnsi"/>
          <w:i/>
          <w:iCs/>
        </w:rPr>
        <w:t>Dermochelys coriacea</w:t>
      </w:r>
      <w:r w:rsidRPr="00AD1BB1">
        <w:rPr>
          <w:rFonts w:asciiTheme="majorHAnsi" w:hAnsiTheme="majorHAnsi"/>
        </w:rPr>
        <w:t>), dwarf sawfish (</w:t>
      </w:r>
      <w:proofErr w:type="spellStart"/>
      <w:r w:rsidRPr="00AD1BB1">
        <w:rPr>
          <w:rFonts w:asciiTheme="majorHAnsi" w:hAnsiTheme="majorHAnsi"/>
          <w:i/>
          <w:iCs/>
        </w:rPr>
        <w:t>Pristis</w:t>
      </w:r>
      <w:proofErr w:type="spellEnd"/>
      <w:r w:rsidRPr="00AD1BB1">
        <w:rPr>
          <w:rFonts w:asciiTheme="majorHAnsi" w:hAnsiTheme="majorHAnsi"/>
          <w:i/>
          <w:iCs/>
        </w:rPr>
        <w:t xml:space="preserve"> </w:t>
      </w:r>
      <w:proofErr w:type="spellStart"/>
      <w:r w:rsidRPr="00AD1BB1">
        <w:rPr>
          <w:rFonts w:asciiTheme="majorHAnsi" w:hAnsiTheme="majorHAnsi"/>
          <w:i/>
          <w:iCs/>
        </w:rPr>
        <w:t>clavata</w:t>
      </w:r>
      <w:proofErr w:type="spellEnd"/>
      <w:r w:rsidRPr="00AD1BB1">
        <w:rPr>
          <w:rFonts w:asciiTheme="majorHAnsi" w:hAnsiTheme="majorHAnsi"/>
        </w:rPr>
        <w:t>), dugong (</w:t>
      </w:r>
      <w:r w:rsidRPr="00AD1BB1">
        <w:rPr>
          <w:rFonts w:asciiTheme="majorHAnsi" w:hAnsiTheme="majorHAnsi"/>
          <w:i/>
          <w:iCs/>
        </w:rPr>
        <w:t>Dugong dugon</w:t>
      </w:r>
      <w:r w:rsidRPr="00AD1BB1">
        <w:rPr>
          <w:rFonts w:asciiTheme="majorHAnsi" w:hAnsiTheme="majorHAnsi"/>
        </w:rPr>
        <w:t>), giant manta rays (</w:t>
      </w:r>
      <w:proofErr w:type="spellStart"/>
      <w:r w:rsidRPr="00AD1BB1">
        <w:rPr>
          <w:rFonts w:asciiTheme="majorHAnsi" w:hAnsiTheme="majorHAnsi"/>
          <w:i/>
          <w:iCs/>
        </w:rPr>
        <w:t>Mobula</w:t>
      </w:r>
      <w:proofErr w:type="spellEnd"/>
      <w:r w:rsidRPr="00AD1BB1">
        <w:rPr>
          <w:rFonts w:asciiTheme="majorHAnsi" w:hAnsiTheme="majorHAnsi"/>
          <w:i/>
          <w:iCs/>
        </w:rPr>
        <w:t xml:space="preserve"> </w:t>
      </w:r>
      <w:proofErr w:type="spellStart"/>
      <w:r w:rsidRPr="00AD1BB1">
        <w:rPr>
          <w:rFonts w:asciiTheme="majorHAnsi" w:hAnsiTheme="majorHAnsi"/>
          <w:i/>
          <w:iCs/>
        </w:rPr>
        <w:t>birostris</w:t>
      </w:r>
      <w:proofErr w:type="spellEnd"/>
      <w:r w:rsidRPr="00AD1BB1">
        <w:rPr>
          <w:rFonts w:asciiTheme="majorHAnsi" w:hAnsiTheme="majorHAnsi"/>
        </w:rPr>
        <w:t xml:space="preserve">) and pygmy </w:t>
      </w:r>
      <w:proofErr w:type="spellStart"/>
      <w:r w:rsidRPr="00AD1BB1">
        <w:rPr>
          <w:rFonts w:asciiTheme="majorHAnsi" w:hAnsiTheme="majorHAnsi"/>
        </w:rPr>
        <w:t>devilrays</w:t>
      </w:r>
      <w:proofErr w:type="spellEnd"/>
      <w:r w:rsidRPr="00AD1BB1">
        <w:rPr>
          <w:rFonts w:asciiTheme="majorHAnsi" w:hAnsiTheme="majorHAnsi"/>
        </w:rPr>
        <w:t xml:space="preserve"> (</w:t>
      </w:r>
      <w:r w:rsidRPr="00AD1BB1">
        <w:rPr>
          <w:rFonts w:asciiTheme="majorHAnsi" w:hAnsiTheme="majorHAnsi"/>
          <w:i/>
          <w:iCs/>
        </w:rPr>
        <w:t xml:space="preserve">M. </w:t>
      </w:r>
      <w:proofErr w:type="spellStart"/>
      <w:r w:rsidRPr="00AD1BB1">
        <w:rPr>
          <w:rFonts w:asciiTheme="majorHAnsi" w:hAnsiTheme="majorHAnsi"/>
          <w:i/>
          <w:iCs/>
        </w:rPr>
        <w:t>eregoodoo</w:t>
      </w:r>
      <w:proofErr w:type="spellEnd"/>
      <w:r w:rsidRPr="00AD1BB1">
        <w:rPr>
          <w:rFonts w:asciiTheme="majorHAnsi" w:hAnsiTheme="majorHAnsi"/>
          <w:i/>
          <w:iCs/>
        </w:rPr>
        <w:t xml:space="preserve"> </w:t>
      </w:r>
      <w:r w:rsidRPr="00AD1BB1">
        <w:rPr>
          <w:rFonts w:asciiTheme="majorHAnsi" w:hAnsiTheme="majorHAnsi"/>
        </w:rPr>
        <w:t xml:space="preserve">and </w:t>
      </w:r>
      <w:r w:rsidRPr="00AD1BB1">
        <w:rPr>
          <w:rFonts w:asciiTheme="majorHAnsi" w:hAnsiTheme="majorHAnsi"/>
          <w:i/>
          <w:iCs/>
        </w:rPr>
        <w:t>M. </w:t>
      </w:r>
      <w:proofErr w:type="spellStart"/>
      <w:r w:rsidRPr="00AD1BB1">
        <w:rPr>
          <w:rFonts w:asciiTheme="majorHAnsi" w:hAnsiTheme="majorHAnsi"/>
          <w:i/>
          <w:iCs/>
        </w:rPr>
        <w:t>kuhlii</w:t>
      </w:r>
      <w:proofErr w:type="spellEnd"/>
      <w:r w:rsidRPr="00AD1BB1">
        <w:rPr>
          <w:rFonts w:asciiTheme="majorHAnsi" w:hAnsiTheme="majorHAnsi"/>
        </w:rPr>
        <w:t>). The ecological risk mitigation strategies must also be developed for winghead sharks, and any other taxa found to be at high risk or greater in the 2020 ERA.</w:t>
      </w:r>
    </w:p>
    <w:p w14:paraId="0987FD1E" w14:textId="113972FB" w:rsidR="00815D9F" w:rsidRPr="006930EE" w:rsidRDefault="00AD1BB1" w:rsidP="006930EE">
      <w:pPr>
        <w:pStyle w:val="ListParagraph"/>
        <w:numPr>
          <w:ilvl w:val="0"/>
          <w:numId w:val="15"/>
        </w:numPr>
        <w:spacing w:before="0"/>
        <w:rPr>
          <w:rFonts w:asciiTheme="majorHAnsi" w:hAnsiTheme="majorHAnsi"/>
          <w:b/>
          <w:bCs/>
        </w:rPr>
      </w:pPr>
      <w:r w:rsidRPr="00AD1BB1">
        <w:rPr>
          <w:rFonts w:asciiTheme="majorHAnsi" w:hAnsiTheme="majorHAnsi"/>
        </w:rPr>
        <w:t>By 1 December 2022, implement the ecological risk mitigation strategies. These must remain in effect until it can be determined whether risks to these species from the operation of the fishery are sustainable. After that time, all reasonable steps must be taken to minimise future interactions and ensure impacts remain sustainable.</w:t>
      </w:r>
    </w:p>
    <w:p w14:paraId="1EE3EAC0" w14:textId="524415A4" w:rsidR="00A23B0F" w:rsidRPr="006930EE" w:rsidRDefault="004C1353" w:rsidP="000A44DC">
      <w:pPr>
        <w:spacing w:after="200"/>
        <w:rPr>
          <w:rFonts w:asciiTheme="majorHAnsi" w:hAnsiTheme="majorHAnsi"/>
          <w:b/>
        </w:rPr>
      </w:pPr>
      <w:r w:rsidRPr="008C434B">
        <w:rPr>
          <w:rFonts w:asciiTheme="majorHAnsi" w:hAnsiTheme="majorHAnsi"/>
          <w:b/>
        </w:rPr>
        <w:t>Condition G</w:t>
      </w:r>
      <w:r w:rsidR="000A44DC">
        <w:rPr>
          <w:rFonts w:asciiTheme="majorHAnsi" w:hAnsiTheme="majorHAnsi"/>
          <w:b/>
        </w:rPr>
        <w:br/>
      </w:r>
      <w:r w:rsidRPr="00B85ECC">
        <w:rPr>
          <w:rFonts w:asciiTheme="majorHAnsi" w:hAnsiTheme="majorHAnsi"/>
        </w:rPr>
        <w:t xml:space="preserve">By 27 June 2024, the Northern Territory Department of Industry, Tourism and Trade must provide an updated </w:t>
      </w:r>
      <w:r>
        <w:rPr>
          <w:rFonts w:asciiTheme="majorHAnsi" w:hAnsiTheme="majorHAnsi"/>
        </w:rPr>
        <w:t>Ecological</w:t>
      </w:r>
      <w:r w:rsidRPr="00B85ECC">
        <w:rPr>
          <w:rFonts w:asciiTheme="majorHAnsi" w:hAnsiTheme="majorHAnsi"/>
        </w:rPr>
        <w:t xml:space="preserve"> Risk Assessment to the Department of Agriculture, Water and Environment that considers all species interacted with by the Offshore Net and Line Fishery.</w:t>
      </w:r>
    </w:p>
    <w:p w14:paraId="5D54257B" w14:textId="142D09F6" w:rsidR="00DB2FDC" w:rsidRPr="00DB2FDC" w:rsidRDefault="00DB2FDC" w:rsidP="00DB2FDC">
      <w:pPr>
        <w:jc w:val="right"/>
        <w:rPr>
          <w:rFonts w:asciiTheme="majorHAnsi" w:hAnsiTheme="majorHAnsi" w:cs="Arial"/>
          <w:b/>
          <w:bCs/>
        </w:rPr>
      </w:pPr>
      <w:r w:rsidRPr="00DB2FDC">
        <w:rPr>
          <w:rFonts w:asciiTheme="majorHAnsi" w:hAnsiTheme="majorHAnsi" w:cs="Arial"/>
          <w:b/>
          <w:bCs/>
        </w:rPr>
        <w:lastRenderedPageBreak/>
        <w:t>Attachment C</w:t>
      </w:r>
    </w:p>
    <w:p w14:paraId="002EBC99" w14:textId="77777777" w:rsidR="00DB2FDC" w:rsidRPr="00DB2FDC" w:rsidRDefault="00DB2FDC" w:rsidP="00DB2FDC">
      <w:pPr>
        <w:spacing w:after="120"/>
        <w:rPr>
          <w:rFonts w:asciiTheme="majorHAnsi" w:hAnsiTheme="majorHAnsi"/>
          <w:b/>
          <w:bCs/>
        </w:rPr>
      </w:pPr>
    </w:p>
    <w:p w14:paraId="1C05F60D" w14:textId="77777777" w:rsidR="00DB2FDC" w:rsidRPr="00DB2FDC" w:rsidRDefault="00DB2FDC" w:rsidP="00DB2FDC">
      <w:pPr>
        <w:spacing w:after="120"/>
        <w:rPr>
          <w:rFonts w:asciiTheme="majorHAnsi" w:hAnsiTheme="majorHAnsi"/>
          <w:b/>
          <w:bCs/>
        </w:rPr>
      </w:pPr>
      <w:r w:rsidRPr="00DB2FDC">
        <w:rPr>
          <w:rFonts w:asciiTheme="majorHAnsi" w:hAnsiTheme="majorHAnsi"/>
          <w:b/>
          <w:bCs/>
        </w:rPr>
        <w:t>Notification of Reviewable Decisions and Rights of Review</w:t>
      </w:r>
      <w:r w:rsidRPr="00DB2FDC">
        <w:rPr>
          <w:rFonts w:asciiTheme="majorHAnsi" w:hAnsiTheme="majorHAnsi"/>
          <w:b/>
          <w:bCs/>
          <w:u w:val="single"/>
          <w:vertAlign w:val="superscript"/>
        </w:rPr>
        <w:footnoteReference w:id="2"/>
      </w:r>
    </w:p>
    <w:p w14:paraId="2BBD1A9B"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There is a right of review to the Administrative Appeals Tribunal (AAT) in relation to certain decisions/declarations made by the Minister, the Minister’s </w:t>
      </w:r>
      <w:proofErr w:type="gramStart"/>
      <w:r w:rsidRPr="00DB2FDC">
        <w:rPr>
          <w:rFonts w:asciiTheme="majorHAnsi" w:hAnsiTheme="majorHAnsi"/>
        </w:rPr>
        <w:t>delegate</w:t>
      </w:r>
      <w:proofErr w:type="gramEnd"/>
      <w:r w:rsidRPr="00DB2FDC">
        <w:rPr>
          <w:rFonts w:asciiTheme="majorHAnsi" w:hAnsiTheme="majorHAnsi"/>
        </w:rPr>
        <w:t xml:space="preserve"> or the Secretary under Part 13A of the </w:t>
      </w:r>
      <w:r w:rsidRPr="00DB2FDC">
        <w:rPr>
          <w:rFonts w:asciiTheme="majorHAnsi" w:hAnsiTheme="majorHAnsi"/>
          <w:i/>
        </w:rPr>
        <w:t xml:space="preserve">Environment Protection and Biodiversity Conservation Act 1999 </w:t>
      </w:r>
      <w:r w:rsidRPr="00DB2FDC">
        <w:rPr>
          <w:rFonts w:asciiTheme="majorHAnsi" w:hAnsiTheme="majorHAnsi"/>
        </w:rPr>
        <w:t>(EPBC Act).</w:t>
      </w:r>
    </w:p>
    <w:p w14:paraId="10B271EC" w14:textId="77777777" w:rsidR="00DB2FDC" w:rsidRPr="00DB2FDC" w:rsidRDefault="00DB2FDC" w:rsidP="00DB2FDC">
      <w:pPr>
        <w:spacing w:after="120"/>
        <w:rPr>
          <w:rFonts w:asciiTheme="majorHAnsi" w:hAnsiTheme="majorHAnsi"/>
        </w:rPr>
      </w:pPr>
      <w:r w:rsidRPr="00DB2FDC">
        <w:rPr>
          <w:rFonts w:asciiTheme="majorHAnsi" w:hAnsiTheme="majorHAnsi"/>
        </w:rPr>
        <w:t>Section 303</w:t>
      </w:r>
      <w:proofErr w:type="gramStart"/>
      <w:r w:rsidRPr="00DB2FDC">
        <w:rPr>
          <w:rFonts w:asciiTheme="majorHAnsi" w:hAnsiTheme="majorHAnsi"/>
        </w:rPr>
        <w:t>GJ(</w:t>
      </w:r>
      <w:proofErr w:type="gramEnd"/>
      <w:r w:rsidRPr="00DB2FDC">
        <w:rPr>
          <w:rFonts w:asciiTheme="majorHAnsi" w:hAnsiTheme="majorHAnsi"/>
        </w:rPr>
        <w:t xml:space="preserve">1) of the EPBC Act provides that applications may be made to the AAT for the review of the following decisions: </w:t>
      </w:r>
    </w:p>
    <w:p w14:paraId="28C91465"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(a) to issue or refuse a permit; or </w:t>
      </w:r>
    </w:p>
    <w:p w14:paraId="4520403B"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(b) to specify, vary or revoke a condition of a permit; or </w:t>
      </w:r>
    </w:p>
    <w:p w14:paraId="014CF399"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(c) to impose a further condition of a permit; or </w:t>
      </w:r>
    </w:p>
    <w:p w14:paraId="0029F819"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(d) to transfer or refuse to transfer a permit; or </w:t>
      </w:r>
    </w:p>
    <w:p w14:paraId="651F7D72"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(e) to suspend or cancel a permit; or </w:t>
      </w:r>
    </w:p>
    <w:p w14:paraId="041C63C2" w14:textId="77777777" w:rsidR="00DB2FDC" w:rsidRPr="00DB2FDC" w:rsidRDefault="00DB2FDC" w:rsidP="00DB2FDC">
      <w:pPr>
        <w:spacing w:after="120"/>
        <w:rPr>
          <w:rFonts w:asciiTheme="majorHAnsi" w:hAnsiTheme="majorHAnsi"/>
        </w:rPr>
      </w:pPr>
      <w:r w:rsidRPr="00DB2FDC">
        <w:rPr>
          <w:rFonts w:asciiTheme="majorHAnsi" w:hAnsiTheme="majorHAnsi"/>
        </w:rPr>
        <w:t>(f) to issue or refuse a certificate under subsection 303</w:t>
      </w:r>
      <w:proofErr w:type="gramStart"/>
      <w:r w:rsidRPr="00DB2FDC">
        <w:rPr>
          <w:rFonts w:asciiTheme="majorHAnsi" w:hAnsiTheme="majorHAnsi"/>
        </w:rPr>
        <w:t>CC(</w:t>
      </w:r>
      <w:proofErr w:type="gramEnd"/>
      <w:r w:rsidRPr="00DB2FDC">
        <w:rPr>
          <w:rFonts w:asciiTheme="majorHAnsi" w:hAnsiTheme="majorHAnsi"/>
        </w:rPr>
        <w:t xml:space="preserve">5); or </w:t>
      </w:r>
    </w:p>
    <w:p w14:paraId="502BAF51"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(g) of the Secretary under a determination in force under section 303EU; or </w:t>
      </w:r>
    </w:p>
    <w:p w14:paraId="36F185DA" w14:textId="77777777" w:rsidR="00DB2FDC" w:rsidRPr="00DB2FDC" w:rsidRDefault="00DB2FDC" w:rsidP="00DB2FDC">
      <w:pPr>
        <w:spacing w:after="120"/>
        <w:rPr>
          <w:rFonts w:asciiTheme="majorHAnsi" w:hAnsiTheme="majorHAnsi"/>
        </w:rPr>
      </w:pPr>
      <w:r w:rsidRPr="00DB2FDC">
        <w:rPr>
          <w:rFonts w:asciiTheme="majorHAnsi" w:hAnsiTheme="majorHAnsi"/>
        </w:rPr>
        <w:t>(h) to make or refuse a declaration under section 303FN, 303FO or 303FP; or</w:t>
      </w:r>
    </w:p>
    <w:p w14:paraId="6AA8C459" w14:textId="77777777" w:rsidR="00DB2FDC" w:rsidRPr="00DB2FDC" w:rsidRDefault="00DB2FDC" w:rsidP="00DB2FDC">
      <w:pPr>
        <w:spacing w:after="120"/>
        <w:rPr>
          <w:rFonts w:asciiTheme="majorHAnsi" w:hAnsiTheme="majorHAnsi"/>
        </w:rPr>
      </w:pPr>
      <w:r w:rsidRPr="00DB2FDC">
        <w:rPr>
          <w:rFonts w:asciiTheme="majorHAnsi" w:hAnsiTheme="majorHAnsi"/>
        </w:rPr>
        <w:t>(</w:t>
      </w:r>
      <w:proofErr w:type="spellStart"/>
      <w:r w:rsidRPr="00DB2FDC">
        <w:rPr>
          <w:rFonts w:asciiTheme="majorHAnsi" w:hAnsiTheme="majorHAnsi"/>
        </w:rPr>
        <w:t>i</w:t>
      </w:r>
      <w:proofErr w:type="spellEnd"/>
      <w:r w:rsidRPr="00DB2FDC">
        <w:rPr>
          <w:rFonts w:asciiTheme="majorHAnsi" w:hAnsiTheme="majorHAnsi"/>
        </w:rPr>
        <w:t>) to vary or revoke a declaration under section 303FN, 303FO or 303FP.</w:t>
      </w:r>
    </w:p>
    <w:p w14:paraId="67818776"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If you are dissatisfied with a decision of a type listed </w:t>
      </w:r>
      <w:proofErr w:type="gramStart"/>
      <w:r w:rsidRPr="00DB2FDC">
        <w:rPr>
          <w:rFonts w:asciiTheme="majorHAnsi" w:hAnsiTheme="majorHAnsi"/>
        </w:rPr>
        <w:t>above</w:t>
      </w:r>
      <w:proofErr w:type="gramEnd"/>
      <w:r w:rsidRPr="00DB2FDC">
        <w:rPr>
          <w:rFonts w:asciiTheme="majorHAnsi" w:hAnsiTheme="majorHAnsi"/>
        </w:rPr>
        <w:t xml:space="preserve"> you may:</w:t>
      </w:r>
    </w:p>
    <w:p w14:paraId="6F36A0BE" w14:textId="77777777" w:rsidR="00DB2FDC" w:rsidRPr="00DB2FDC" w:rsidRDefault="00DB2FDC" w:rsidP="00DB2FDC">
      <w:pPr>
        <w:numPr>
          <w:ilvl w:val="0"/>
          <w:numId w:val="6"/>
        </w:numPr>
        <w:spacing w:after="120" w:line="276" w:lineRule="auto"/>
        <w:rPr>
          <w:rFonts w:asciiTheme="majorHAnsi" w:hAnsiTheme="majorHAnsi"/>
        </w:rPr>
      </w:pPr>
      <w:r w:rsidRPr="00DB2FDC">
        <w:rPr>
          <w:rFonts w:asciiTheme="majorHAnsi" w:hAnsiTheme="majorHAnsi"/>
        </w:rPr>
        <w:t xml:space="preserve">by notice, provided in writing, request that the Minister or the Minister’s delegate give you a statement in writing setting out the reasons for the decision as per section 28 of the </w:t>
      </w:r>
      <w:r w:rsidRPr="00DB2FDC">
        <w:rPr>
          <w:rFonts w:asciiTheme="majorHAnsi" w:hAnsiTheme="majorHAnsi"/>
          <w:i/>
          <w:iCs/>
        </w:rPr>
        <w:t>Administrative Appeals Tribunal Act 1975</w:t>
      </w:r>
      <w:r w:rsidRPr="00DB2FDC">
        <w:rPr>
          <w:rFonts w:asciiTheme="majorHAnsi" w:hAnsiTheme="majorHAnsi"/>
        </w:rPr>
        <w:t xml:space="preserve">. The Minister, or Minister’s delegate may refuse to give you a statement of reasons if your application is made more than 28 days after the day on which you received this notice. </w:t>
      </w:r>
    </w:p>
    <w:p w14:paraId="1DC181ED" w14:textId="77777777" w:rsidR="00DB2FDC" w:rsidRPr="00DB2FDC" w:rsidRDefault="00DB2FDC" w:rsidP="00DB2FDC">
      <w:pPr>
        <w:numPr>
          <w:ilvl w:val="0"/>
          <w:numId w:val="6"/>
        </w:numPr>
        <w:spacing w:after="120" w:line="276" w:lineRule="auto"/>
        <w:rPr>
          <w:rFonts w:asciiTheme="majorHAnsi" w:hAnsiTheme="majorHAnsi"/>
        </w:rPr>
      </w:pPr>
      <w:r w:rsidRPr="00DB2FDC">
        <w:rPr>
          <w:rFonts w:asciiTheme="majorHAnsi" w:hAnsiTheme="majorHAnsi"/>
        </w:rPr>
        <w:t xml:space="preserve">apply to the AAT for independent merits review of the decision. The AAT undertakes </w:t>
      </w:r>
      <w:r w:rsidRPr="00DB2FDC">
        <w:rPr>
          <w:rFonts w:asciiTheme="majorHAnsi" w:hAnsiTheme="majorHAnsi"/>
          <w:i/>
        </w:rPr>
        <w:t>de novo</w:t>
      </w:r>
      <w:r w:rsidRPr="00DB2FDC">
        <w:rPr>
          <w:rFonts w:asciiTheme="majorHAnsi" w:hAnsiTheme="majorHAnsi"/>
        </w:rPr>
        <w:t xml:space="preserve"> merits review. This means they take a fresh look at the facts, law and policy relating to the decision and arrive at their own decision. They decide if the decision should stay the same or be changed. They are independent of the Department.</w:t>
      </w:r>
    </w:p>
    <w:p w14:paraId="23A21FF7"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Application for review of a decision must be made to the AAT within </w:t>
      </w:r>
      <w:r w:rsidRPr="00DB2FDC">
        <w:rPr>
          <w:rFonts w:asciiTheme="majorHAnsi" w:hAnsiTheme="majorHAnsi"/>
          <w:b/>
        </w:rPr>
        <w:t>28 days</w:t>
      </w:r>
      <w:r w:rsidRPr="00DB2FDC">
        <w:rPr>
          <w:rFonts w:asciiTheme="majorHAnsi" w:hAnsiTheme="majorHAnsi"/>
        </w:rPr>
        <w:t xml:space="preserve"> after the day on which you have received the reviewable decision. However, an extension of time for lodging an application may be granted by the AAT under certain circumstances. Please visit the AAT’s website at </w:t>
      </w:r>
      <w:hyperlink r:id="rId13" w:history="1">
        <w:r w:rsidRPr="00DB2FDC">
          <w:rPr>
            <w:rFonts w:asciiTheme="majorHAnsi" w:hAnsiTheme="majorHAnsi"/>
            <w:color w:val="0000FF"/>
            <w:u w:val="single"/>
          </w:rPr>
          <w:t>http://www.aat.gov.au/</w:t>
        </w:r>
      </w:hyperlink>
      <w:r w:rsidRPr="00DB2FDC">
        <w:rPr>
          <w:rFonts w:asciiTheme="majorHAnsi" w:hAnsiTheme="majorHAnsi"/>
        </w:rPr>
        <w:t xml:space="preserve"> or telephone 1800 228 333 for further information. The role of the AAT is to provide a review mechanism that is fair, just, economical, </w:t>
      </w:r>
      <w:proofErr w:type="gramStart"/>
      <w:r w:rsidRPr="00DB2FDC">
        <w:rPr>
          <w:rFonts w:asciiTheme="majorHAnsi" w:hAnsiTheme="majorHAnsi"/>
        </w:rPr>
        <w:t>informal</w:t>
      </w:r>
      <w:proofErr w:type="gramEnd"/>
      <w:r w:rsidRPr="00DB2FDC">
        <w:rPr>
          <w:rFonts w:asciiTheme="majorHAnsi" w:hAnsiTheme="majorHAnsi"/>
        </w:rPr>
        <w:t xml:space="preserve"> and quick.</w:t>
      </w:r>
    </w:p>
    <w:p w14:paraId="1DB1096B" w14:textId="77777777" w:rsidR="00DB2FDC" w:rsidRPr="00DB2FDC" w:rsidRDefault="00DB2FDC" w:rsidP="00DB2FDC">
      <w:pPr>
        <w:spacing w:after="120"/>
        <w:rPr>
          <w:rFonts w:asciiTheme="majorHAnsi" w:hAnsiTheme="majorHAnsi"/>
          <w:b/>
        </w:rPr>
      </w:pPr>
      <w:r w:rsidRPr="00DB2FDC">
        <w:rPr>
          <w:rFonts w:asciiTheme="majorHAnsi" w:hAnsiTheme="majorHAnsi"/>
          <w:b/>
        </w:rPr>
        <w:t xml:space="preserve">Applications &amp; Costs </w:t>
      </w:r>
    </w:p>
    <w:p w14:paraId="2BC31AAD"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Applications to the AAT are made by lodging an Application Form (Form 1). This can be found on the AAT’s website at </w:t>
      </w:r>
      <w:hyperlink r:id="rId14" w:history="1">
        <w:r w:rsidRPr="00DB2FDC">
          <w:rPr>
            <w:rFonts w:asciiTheme="majorHAnsi" w:hAnsiTheme="majorHAnsi"/>
            <w:color w:val="0000FF"/>
            <w:u w:val="single"/>
          </w:rPr>
          <w:t>http://www.aat.gov.au/</w:t>
        </w:r>
      </w:hyperlink>
      <w:r w:rsidRPr="00DB2FDC">
        <w:rPr>
          <w:rFonts w:asciiTheme="majorHAnsi" w:hAnsiTheme="majorHAnsi"/>
        </w:rPr>
        <w:t xml:space="preserve">. </w:t>
      </w:r>
    </w:p>
    <w:p w14:paraId="76E3194A" w14:textId="77777777" w:rsidR="00DB2FDC" w:rsidRPr="00DB2FDC" w:rsidRDefault="00DB2FDC" w:rsidP="00DB2FDC">
      <w:pPr>
        <w:spacing w:after="120"/>
        <w:rPr>
          <w:rFonts w:asciiTheme="majorHAnsi" w:hAnsiTheme="majorHAnsi"/>
        </w:rPr>
      </w:pPr>
      <w:r w:rsidRPr="00DB2FDC">
        <w:rPr>
          <w:rFonts w:asciiTheme="majorHAnsi" w:hAnsiTheme="majorHAnsi"/>
        </w:rPr>
        <w:t>There are no strict timelines in which the AAT must review the decision, however the first conference between the parties will usually be held within 6 to 10 weeks of the application being lodged. The time frame for review of certain decisions can be expedited in some circumstances.</w:t>
      </w:r>
    </w:p>
    <w:p w14:paraId="014E1FCD" w14:textId="77777777" w:rsidR="00DB2FDC" w:rsidRPr="00DB2FDC" w:rsidRDefault="00DB2FDC" w:rsidP="00DB2FDC">
      <w:pPr>
        <w:spacing w:after="120" w:line="480" w:lineRule="auto"/>
        <w:rPr>
          <w:rFonts w:asciiTheme="majorHAnsi" w:hAnsiTheme="majorHAnsi"/>
        </w:rPr>
      </w:pPr>
      <w:r w:rsidRPr="00DB2FDC">
        <w:rPr>
          <w:rFonts w:asciiTheme="majorHAnsi" w:hAnsiTheme="majorHAnsi"/>
        </w:rPr>
        <w:lastRenderedPageBreak/>
        <w:t xml:space="preserve">The cost of lodging an application for review is $962 (as of 16 December 2021) (GST inclusive). You may be eligible to pay a reduced fee of $100.00 if: </w:t>
      </w:r>
    </w:p>
    <w:p w14:paraId="2D26AEF3" w14:textId="77777777" w:rsidR="00DB2FDC" w:rsidRPr="00DB2FDC" w:rsidRDefault="00DB2FDC" w:rsidP="00DB2FDC">
      <w:pPr>
        <w:numPr>
          <w:ilvl w:val="0"/>
          <w:numId w:val="12"/>
        </w:numPr>
        <w:spacing w:after="120" w:line="276" w:lineRule="auto"/>
        <w:rPr>
          <w:rFonts w:asciiTheme="majorHAnsi" w:hAnsiTheme="majorHAnsi"/>
        </w:rPr>
      </w:pPr>
      <w:r w:rsidRPr="00DB2FDC">
        <w:rPr>
          <w:rFonts w:asciiTheme="majorHAnsi" w:hAnsiTheme="majorHAnsi"/>
        </w:rPr>
        <w:t xml:space="preserve">you are receiving legal aid for your </w:t>
      </w:r>
      <w:proofErr w:type="gramStart"/>
      <w:r w:rsidRPr="00DB2FDC">
        <w:rPr>
          <w:rFonts w:asciiTheme="majorHAnsi" w:hAnsiTheme="majorHAnsi"/>
        </w:rPr>
        <w:t>application;</w:t>
      </w:r>
      <w:proofErr w:type="gramEnd"/>
    </w:p>
    <w:p w14:paraId="401271F3" w14:textId="77777777" w:rsidR="00DB2FDC" w:rsidRPr="00DB2FDC" w:rsidRDefault="00DB2FDC" w:rsidP="00DB2FDC">
      <w:pPr>
        <w:numPr>
          <w:ilvl w:val="0"/>
          <w:numId w:val="12"/>
        </w:numPr>
        <w:spacing w:after="120" w:line="276" w:lineRule="auto"/>
        <w:rPr>
          <w:rFonts w:asciiTheme="majorHAnsi" w:hAnsiTheme="majorHAnsi"/>
        </w:rPr>
      </w:pPr>
      <w:r w:rsidRPr="00DB2FDC">
        <w:rPr>
          <w:rFonts w:asciiTheme="majorHAnsi" w:hAnsiTheme="majorHAnsi"/>
        </w:rPr>
        <w:t xml:space="preserve">you hold a health care card, a Commonwealth seniors health card or any other card issued by the Department of Social Services or the Department of Veteran’s Affairs that entitles the holder to Commonwealth health </w:t>
      </w:r>
      <w:proofErr w:type="gramStart"/>
      <w:r w:rsidRPr="00DB2FDC">
        <w:rPr>
          <w:rFonts w:asciiTheme="majorHAnsi" w:hAnsiTheme="majorHAnsi"/>
        </w:rPr>
        <w:t>concessions;</w:t>
      </w:r>
      <w:proofErr w:type="gramEnd"/>
    </w:p>
    <w:p w14:paraId="1EAA5C2C" w14:textId="77777777" w:rsidR="00DB2FDC" w:rsidRPr="00DB2FDC" w:rsidRDefault="00DB2FDC" w:rsidP="00DB2FDC">
      <w:pPr>
        <w:numPr>
          <w:ilvl w:val="0"/>
          <w:numId w:val="12"/>
        </w:numPr>
        <w:spacing w:after="120" w:line="276" w:lineRule="auto"/>
        <w:rPr>
          <w:rFonts w:asciiTheme="majorHAnsi" w:hAnsiTheme="majorHAnsi"/>
        </w:rPr>
      </w:pPr>
      <w:r w:rsidRPr="00DB2FDC">
        <w:rPr>
          <w:rFonts w:asciiTheme="majorHAnsi" w:hAnsiTheme="majorHAnsi"/>
        </w:rPr>
        <w:t xml:space="preserve">you are in prison or lawfully detained in a public </w:t>
      </w:r>
      <w:proofErr w:type="gramStart"/>
      <w:r w:rsidRPr="00DB2FDC">
        <w:rPr>
          <w:rFonts w:asciiTheme="majorHAnsi" w:hAnsiTheme="majorHAnsi"/>
        </w:rPr>
        <w:t>institution;</w:t>
      </w:r>
      <w:proofErr w:type="gramEnd"/>
    </w:p>
    <w:p w14:paraId="089EBA89" w14:textId="77777777" w:rsidR="00DB2FDC" w:rsidRPr="00DB2FDC" w:rsidRDefault="00DB2FDC" w:rsidP="00DB2FDC">
      <w:pPr>
        <w:numPr>
          <w:ilvl w:val="0"/>
          <w:numId w:val="12"/>
        </w:numPr>
        <w:spacing w:after="120" w:line="276" w:lineRule="auto"/>
        <w:rPr>
          <w:rFonts w:asciiTheme="majorHAnsi" w:hAnsiTheme="majorHAnsi"/>
        </w:rPr>
      </w:pPr>
      <w:r w:rsidRPr="00DB2FDC">
        <w:rPr>
          <w:rFonts w:asciiTheme="majorHAnsi" w:hAnsiTheme="majorHAnsi"/>
        </w:rPr>
        <w:t xml:space="preserve">you are under 18 years of age; or </w:t>
      </w:r>
    </w:p>
    <w:p w14:paraId="4C66D63C" w14:textId="77777777" w:rsidR="00DB2FDC" w:rsidRPr="00DB2FDC" w:rsidRDefault="00DB2FDC" w:rsidP="00DB2FDC">
      <w:pPr>
        <w:numPr>
          <w:ilvl w:val="0"/>
          <w:numId w:val="12"/>
        </w:numPr>
        <w:spacing w:after="120" w:line="276" w:lineRule="auto"/>
        <w:rPr>
          <w:rFonts w:asciiTheme="majorHAnsi" w:hAnsiTheme="majorHAnsi"/>
        </w:rPr>
      </w:pPr>
      <w:r w:rsidRPr="00DB2FDC">
        <w:rPr>
          <w:rFonts w:asciiTheme="majorHAnsi" w:hAnsiTheme="majorHAnsi"/>
        </w:rPr>
        <w:t xml:space="preserve">you are receiving youth allowance, </w:t>
      </w:r>
      <w:proofErr w:type="spellStart"/>
      <w:r w:rsidRPr="00DB2FDC">
        <w:rPr>
          <w:rFonts w:asciiTheme="majorHAnsi" w:hAnsiTheme="majorHAnsi"/>
        </w:rPr>
        <w:t>Austudy</w:t>
      </w:r>
      <w:proofErr w:type="spellEnd"/>
      <w:r w:rsidRPr="00DB2FDC">
        <w:rPr>
          <w:rFonts w:asciiTheme="majorHAnsi" w:hAnsiTheme="majorHAnsi"/>
        </w:rPr>
        <w:t xml:space="preserve"> or ABSTUDY. </w:t>
      </w:r>
    </w:p>
    <w:p w14:paraId="2035AC0B"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You may also be eligible for a reduced fee if you can demonstrate to the AAT that paying the full fee would cause you financial hardship. Further information can be found on the AAT’s website. Additionally, you can access information about legal assistance at </w:t>
      </w:r>
      <w:hyperlink r:id="rId15" w:history="1">
        <w:r w:rsidRPr="00DB2FDC">
          <w:rPr>
            <w:rFonts w:asciiTheme="majorHAnsi" w:hAnsiTheme="majorHAnsi"/>
            <w:color w:val="0000FF"/>
            <w:u w:val="single"/>
          </w:rPr>
          <w:t>https://www.ag.gov.au/LegalSystem/Legalaidprogrammes/Commonwealthlegalfinancialassistance/Documents/LegalFinancialAssistanceInformationSheet.pdf</w:t>
        </w:r>
      </w:hyperlink>
      <w:r w:rsidRPr="00DB2FDC">
        <w:rPr>
          <w:rFonts w:asciiTheme="majorHAnsi" w:hAnsiTheme="majorHAnsi"/>
        </w:rPr>
        <w:t xml:space="preserve">. </w:t>
      </w:r>
    </w:p>
    <w:p w14:paraId="4615D938" w14:textId="77777777" w:rsidR="00DB2FDC" w:rsidRPr="00DB2FDC" w:rsidRDefault="00DB2FDC" w:rsidP="00DB2FDC">
      <w:pPr>
        <w:spacing w:after="120"/>
        <w:rPr>
          <w:rFonts w:asciiTheme="majorHAnsi" w:hAnsiTheme="majorHAnsi"/>
        </w:rPr>
      </w:pPr>
      <w:r w:rsidRPr="00DB2FDC">
        <w:rPr>
          <w:rFonts w:asciiTheme="majorHAnsi" w:hAnsiTheme="majorHAnsi"/>
        </w:rPr>
        <w:t>If you pay a standard application fee, most of it will be refunded if the case is resolved in your favour. The refund amount is the difference between the fee you paid and $100. So, if you paid $962, you get back $862. There is no refund if you paid the lower application fee for certain taxation decisions or the reduced fee of $100.</w:t>
      </w:r>
    </w:p>
    <w:p w14:paraId="4F3B0E29" w14:textId="77777777" w:rsidR="00DB2FDC" w:rsidRPr="00DB2FDC" w:rsidRDefault="00DB2FDC" w:rsidP="00DB2FDC">
      <w:pPr>
        <w:spacing w:after="120"/>
        <w:rPr>
          <w:rFonts w:asciiTheme="majorHAnsi" w:hAnsiTheme="majorHAnsi"/>
          <w:b/>
        </w:rPr>
      </w:pPr>
      <w:r w:rsidRPr="00DB2FDC">
        <w:rPr>
          <w:rFonts w:asciiTheme="majorHAnsi" w:hAnsiTheme="majorHAnsi"/>
          <w:b/>
        </w:rPr>
        <w:t>Contact Details</w:t>
      </w:r>
    </w:p>
    <w:p w14:paraId="279B2C6A" w14:textId="77777777" w:rsidR="00DB2FDC" w:rsidRPr="00DB2FDC" w:rsidRDefault="00DB2FDC" w:rsidP="00DB2FDC">
      <w:pPr>
        <w:spacing w:after="120"/>
        <w:rPr>
          <w:rFonts w:asciiTheme="majorHAnsi" w:hAnsiTheme="majorHAnsi"/>
        </w:rPr>
      </w:pPr>
      <w:r w:rsidRPr="00DB2FDC">
        <w:rPr>
          <w:rFonts w:asciiTheme="majorHAnsi" w:hAnsiTheme="majorHAnsi"/>
        </w:rPr>
        <w:t>Further information or enquiries relating to the decision should be directed to:</w:t>
      </w:r>
    </w:p>
    <w:p w14:paraId="0703991B" w14:textId="77777777" w:rsidR="00DB2FDC" w:rsidRPr="00DB2FDC" w:rsidRDefault="00DB2FDC" w:rsidP="00DB2FDC">
      <w:pPr>
        <w:spacing w:after="120"/>
        <w:rPr>
          <w:rFonts w:asciiTheme="majorHAnsi" w:hAnsiTheme="majorHAnsi"/>
          <w:u w:val="single"/>
        </w:rPr>
      </w:pPr>
      <w:r w:rsidRPr="00DB2FDC">
        <w:rPr>
          <w:rFonts w:asciiTheme="majorHAnsi" w:hAnsiTheme="majorHAnsi"/>
        </w:rPr>
        <w:t>The Director</w:t>
      </w:r>
      <w:r w:rsidRPr="00DB2FDC">
        <w:rPr>
          <w:rFonts w:asciiTheme="majorHAnsi" w:hAnsiTheme="majorHAnsi"/>
        </w:rPr>
        <w:br/>
        <w:t>Sustainable Fisheries Section</w:t>
      </w:r>
      <w:r w:rsidRPr="00DB2FDC">
        <w:rPr>
          <w:rFonts w:asciiTheme="majorHAnsi" w:hAnsiTheme="majorHAnsi"/>
        </w:rPr>
        <w:br/>
        <w:t xml:space="preserve">Department of Agriculture, </w:t>
      </w:r>
      <w:proofErr w:type="gramStart"/>
      <w:r w:rsidRPr="00DB2FDC">
        <w:rPr>
          <w:rFonts w:asciiTheme="majorHAnsi" w:hAnsiTheme="majorHAnsi"/>
        </w:rPr>
        <w:t>Water</w:t>
      </w:r>
      <w:proofErr w:type="gramEnd"/>
      <w:r w:rsidRPr="00DB2FDC">
        <w:rPr>
          <w:rFonts w:asciiTheme="majorHAnsi" w:hAnsiTheme="majorHAnsi"/>
        </w:rPr>
        <w:t xml:space="preserve"> and the Environment</w:t>
      </w:r>
      <w:r w:rsidRPr="00DB2FDC">
        <w:rPr>
          <w:rFonts w:asciiTheme="majorHAnsi" w:hAnsiTheme="majorHAnsi"/>
        </w:rPr>
        <w:br/>
        <w:t>GPO Box 858</w:t>
      </w:r>
      <w:r w:rsidRPr="00DB2FDC">
        <w:rPr>
          <w:rFonts w:asciiTheme="majorHAnsi" w:hAnsiTheme="majorHAnsi"/>
        </w:rPr>
        <w:br/>
        <w:t>Canberra ACT 2601</w:t>
      </w:r>
      <w:r w:rsidRPr="00DB2FDC">
        <w:rPr>
          <w:rFonts w:asciiTheme="majorHAnsi" w:hAnsiTheme="majorHAnsi"/>
        </w:rPr>
        <w:br/>
      </w:r>
      <w:r w:rsidRPr="00DB2FDC">
        <w:rPr>
          <w:rFonts w:asciiTheme="majorHAnsi" w:hAnsiTheme="majorHAnsi"/>
          <w:b/>
          <w:bCs/>
        </w:rPr>
        <w:t>Email:</w:t>
      </w:r>
      <w:r w:rsidRPr="00DB2FDC">
        <w:rPr>
          <w:rFonts w:asciiTheme="majorHAnsi" w:hAnsiTheme="majorHAnsi"/>
        </w:rPr>
        <w:t xml:space="preserve"> </w:t>
      </w:r>
      <w:r w:rsidRPr="008C434B">
        <w:rPr>
          <w:rFonts w:asciiTheme="majorHAnsi" w:hAnsiTheme="majorHAnsi"/>
          <w:color w:val="0000FF"/>
          <w:u w:val="single"/>
        </w:rPr>
        <w:t>sustainablefisheries@awe.gov.au</w:t>
      </w:r>
    </w:p>
    <w:p w14:paraId="301555EF" w14:textId="77777777" w:rsidR="00DB2FDC" w:rsidRPr="00DB2FDC" w:rsidRDefault="00DB2FDC" w:rsidP="00DB2FDC">
      <w:pPr>
        <w:spacing w:after="120"/>
        <w:rPr>
          <w:rFonts w:asciiTheme="majorHAnsi" w:hAnsiTheme="majorHAnsi"/>
        </w:rPr>
      </w:pPr>
      <w:proofErr w:type="gramStart"/>
      <w:r w:rsidRPr="00DB2FDC">
        <w:rPr>
          <w:rFonts w:asciiTheme="majorHAnsi" w:hAnsiTheme="majorHAnsi"/>
        </w:rPr>
        <w:t>Alternatively</w:t>
      </w:r>
      <w:proofErr w:type="gramEnd"/>
      <w:r w:rsidRPr="00DB2FDC">
        <w:rPr>
          <w:rFonts w:asciiTheme="majorHAnsi" w:hAnsiTheme="majorHAnsi"/>
        </w:rPr>
        <w:t xml:space="preserve"> you may contact the AAT at their Principal Registry or the Deputy Registrar, Administrative Appeals Tribunal in your Capital City or Territory. </w:t>
      </w:r>
    </w:p>
    <w:p w14:paraId="3D8E8359" w14:textId="77777777" w:rsidR="00DB2FDC" w:rsidRPr="00DB2FDC" w:rsidRDefault="00DB2FDC" w:rsidP="00DB2FDC">
      <w:pPr>
        <w:spacing w:after="120"/>
        <w:rPr>
          <w:rFonts w:asciiTheme="majorHAnsi" w:hAnsiTheme="majorHAnsi"/>
        </w:rPr>
      </w:pPr>
      <w:r w:rsidRPr="00DB2FDC">
        <w:rPr>
          <w:rFonts w:asciiTheme="majorHAnsi" w:hAnsiTheme="majorHAnsi"/>
        </w:rPr>
        <w:t>Administrative Appeals Tribunal</w:t>
      </w:r>
      <w:r w:rsidRPr="00DB2FDC">
        <w:rPr>
          <w:rFonts w:asciiTheme="majorHAnsi" w:hAnsiTheme="majorHAnsi"/>
        </w:rPr>
        <w:br/>
        <w:t>Street address: Level 6, 83 Clarence Street, Sydney</w:t>
      </w:r>
      <w:r w:rsidRPr="00DB2FDC">
        <w:rPr>
          <w:rFonts w:asciiTheme="majorHAnsi" w:hAnsiTheme="majorHAnsi"/>
        </w:rPr>
        <w:br/>
        <w:t>Mailing address: GPO Box 9955, Sydney, NSW 2001</w:t>
      </w:r>
      <w:r w:rsidRPr="00DB2FDC">
        <w:rPr>
          <w:rFonts w:asciiTheme="majorHAnsi" w:hAnsiTheme="majorHAnsi"/>
        </w:rPr>
        <w:br/>
        <w:t xml:space="preserve">T: 1800 228 333 and (02) 9276 5000 </w:t>
      </w:r>
      <w:r w:rsidRPr="00DB2FDC">
        <w:rPr>
          <w:rFonts w:asciiTheme="majorHAnsi" w:hAnsiTheme="majorHAnsi"/>
        </w:rPr>
        <w:br/>
        <w:t>F: (02) 9276 5599</w:t>
      </w:r>
      <w:r w:rsidRPr="00DB2FDC">
        <w:rPr>
          <w:rFonts w:asciiTheme="majorHAnsi" w:hAnsiTheme="majorHAnsi"/>
        </w:rPr>
        <w:br/>
        <w:t xml:space="preserve">E: </w:t>
      </w:r>
      <w:hyperlink r:id="rId16" w:history="1">
        <w:r w:rsidRPr="00DB2FDC">
          <w:rPr>
            <w:rFonts w:asciiTheme="majorHAnsi" w:hAnsiTheme="majorHAnsi"/>
            <w:color w:val="0000FF"/>
            <w:u w:val="single"/>
          </w:rPr>
          <w:t>generalreviews@aat.gov.au</w:t>
        </w:r>
      </w:hyperlink>
      <w:r w:rsidRPr="00DB2FDC">
        <w:rPr>
          <w:rFonts w:asciiTheme="majorHAnsi" w:hAnsiTheme="majorHAnsi"/>
        </w:rPr>
        <w:t xml:space="preserve"> </w:t>
      </w:r>
      <w:r w:rsidRPr="00DB2FDC">
        <w:rPr>
          <w:rFonts w:asciiTheme="majorHAnsi" w:hAnsiTheme="majorHAnsi"/>
        </w:rPr>
        <w:br/>
        <w:t xml:space="preserve">W: </w:t>
      </w:r>
      <w:hyperlink r:id="rId17" w:history="1">
        <w:r w:rsidRPr="00DB2FDC">
          <w:rPr>
            <w:rFonts w:asciiTheme="majorHAnsi" w:hAnsiTheme="majorHAnsi"/>
            <w:color w:val="0000FF"/>
            <w:u w:val="single"/>
          </w:rPr>
          <w:t>http://www.aat.gov.au</w:t>
        </w:r>
      </w:hyperlink>
      <w:r w:rsidRPr="00DB2FDC">
        <w:rPr>
          <w:rFonts w:asciiTheme="majorHAnsi" w:hAnsiTheme="majorHAnsi"/>
        </w:rPr>
        <w:t xml:space="preserve"> </w:t>
      </w:r>
    </w:p>
    <w:p w14:paraId="1F51B8CA" w14:textId="77777777" w:rsidR="00DB2FDC" w:rsidRPr="00DB2FDC" w:rsidRDefault="00DB2FDC" w:rsidP="00DB2FDC">
      <w:pPr>
        <w:spacing w:after="120"/>
        <w:rPr>
          <w:rFonts w:asciiTheme="majorHAnsi" w:hAnsiTheme="majorHAnsi"/>
          <w:b/>
        </w:rPr>
      </w:pPr>
      <w:r w:rsidRPr="00DB2FDC">
        <w:rPr>
          <w:rFonts w:asciiTheme="majorHAnsi" w:hAnsiTheme="majorHAnsi"/>
          <w:b/>
        </w:rPr>
        <w:t>Freedom of Information Request</w:t>
      </w:r>
    </w:p>
    <w:p w14:paraId="1D2ACD7D" w14:textId="77777777" w:rsidR="00DB2FDC" w:rsidRPr="00DB2FDC" w:rsidRDefault="00DB2FDC" w:rsidP="00DB2FDC">
      <w:pPr>
        <w:spacing w:after="120"/>
        <w:rPr>
          <w:rFonts w:asciiTheme="majorHAnsi" w:hAnsiTheme="majorHAnsi"/>
        </w:rPr>
      </w:pPr>
      <w:r w:rsidRPr="00DB2FDC">
        <w:rPr>
          <w:rFonts w:asciiTheme="majorHAnsi" w:hAnsiTheme="majorHAnsi"/>
        </w:rPr>
        <w:t xml:space="preserve">You may make an application under the </w:t>
      </w:r>
      <w:r w:rsidRPr="00DB2FDC">
        <w:rPr>
          <w:rFonts w:asciiTheme="majorHAnsi" w:hAnsiTheme="majorHAnsi"/>
          <w:i/>
          <w:iCs/>
        </w:rPr>
        <w:t>Freedom of Information Act 1982</w:t>
      </w:r>
      <w:r w:rsidRPr="00DB2FDC">
        <w:rPr>
          <w:rFonts w:asciiTheme="majorHAnsi" w:hAnsiTheme="majorHAnsi"/>
        </w:rPr>
        <w:t xml:space="preserve"> (FOI Act) to access documents. Further information can be found at </w:t>
      </w:r>
      <w:hyperlink r:id="rId18" w:history="1">
        <w:r w:rsidRPr="00DB2FDC">
          <w:rPr>
            <w:rFonts w:asciiTheme="majorHAnsi" w:hAnsiTheme="majorHAnsi"/>
            <w:color w:val="0000FF"/>
            <w:u w:val="single"/>
          </w:rPr>
          <w:t>https://www.awe.gov.au/about/reporting/freedom-of-information</w:t>
        </w:r>
      </w:hyperlink>
      <w:r w:rsidRPr="00DB2FDC">
        <w:rPr>
          <w:rFonts w:asciiTheme="majorHAnsi" w:hAnsiTheme="majorHAnsi"/>
        </w:rPr>
        <w:t xml:space="preserve">. Please contact the Freedom of Information Contact Officer at </w:t>
      </w:r>
      <w:hyperlink r:id="rId19" w:history="1">
        <w:r w:rsidRPr="00DB2FDC">
          <w:rPr>
            <w:rFonts w:asciiTheme="majorHAnsi" w:hAnsiTheme="majorHAnsi"/>
            <w:color w:val="0000FF"/>
            <w:u w:val="single"/>
          </w:rPr>
          <w:t>foi@awe.gov.au</w:t>
        </w:r>
      </w:hyperlink>
      <w:r w:rsidRPr="00DB2FDC">
        <w:rPr>
          <w:rFonts w:asciiTheme="majorHAnsi" w:hAnsiTheme="majorHAnsi"/>
        </w:rPr>
        <w:t xml:space="preserve"> for more information.</w:t>
      </w:r>
    </w:p>
    <w:p w14:paraId="465829D4" w14:textId="77777777" w:rsidR="001E7629" w:rsidRDefault="001E7629" w:rsidP="00506012">
      <w:pPr>
        <w:spacing w:after="200"/>
        <w:rPr>
          <w:rFonts w:asciiTheme="majorHAnsi" w:hAnsiTheme="majorHAnsi" w:cs="Arial"/>
          <w:b/>
          <w:bCs/>
        </w:rPr>
      </w:pPr>
    </w:p>
    <w:sectPr w:rsidR="001E7629" w:rsidSect="006930EE">
      <w:headerReference w:type="even" r:id="rId20"/>
      <w:footerReference w:type="default" r:id="rId21"/>
      <w:headerReference w:type="first" r:id="rId22"/>
      <w:footerReference w:type="first" r:id="rId23"/>
      <w:pgSz w:w="11906" w:h="16838"/>
      <w:pgMar w:top="1440" w:right="1080" w:bottom="1440" w:left="1080"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43C7" w14:textId="77777777" w:rsidR="00BF76BA" w:rsidRDefault="00BF76BA" w:rsidP="00A60185">
      <w:r>
        <w:separator/>
      </w:r>
    </w:p>
  </w:endnote>
  <w:endnote w:type="continuationSeparator" w:id="0">
    <w:p w14:paraId="1AB56F1C" w14:textId="77777777" w:rsidR="00BF76BA" w:rsidRDefault="00BF76BA" w:rsidP="00A60185">
      <w:r>
        <w:continuationSeparator/>
      </w:r>
    </w:p>
  </w:endnote>
  <w:endnote w:type="continuationNotice" w:id="1">
    <w:p w14:paraId="2F0FC595" w14:textId="77777777" w:rsidR="00BF76BA" w:rsidRDefault="00BF7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830"/>
      <w:docPartObj>
        <w:docPartGallery w:val="Page Numbers (Bottom of Page)"/>
        <w:docPartUnique/>
      </w:docPartObj>
    </w:sdtPr>
    <w:sdtEndPr/>
    <w:sdtContent>
      <w:p w14:paraId="563BD9DD" w14:textId="77777777" w:rsidR="00B00BAC" w:rsidRDefault="00410D32">
        <w:pPr>
          <w:pStyle w:val="Footer"/>
        </w:pPr>
        <w:r>
          <w:fldChar w:fldCharType="begin"/>
        </w:r>
        <w:r>
          <w:instrText xml:space="preserve"> PAGE   \* MERGEFORMAT </w:instrText>
        </w:r>
        <w:r>
          <w:fldChar w:fldCharType="separate"/>
        </w:r>
        <w:r w:rsidR="00B00BA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5"/>
      <w:gridCol w:w="2435"/>
      <w:gridCol w:w="2435"/>
    </w:tblGrid>
    <w:tr w:rsidR="00B00BAC" w:rsidRPr="00E85EED" w14:paraId="0C9701F7" w14:textId="77777777" w:rsidTr="00C33BC1">
      <w:tc>
        <w:tcPr>
          <w:tcW w:w="1250" w:type="pct"/>
          <w:tcBorders>
            <w:left w:val="single" w:sz="4" w:space="0" w:color="auto"/>
            <w:right w:val="single" w:sz="4" w:space="0" w:color="auto"/>
          </w:tcBorders>
        </w:tcPr>
        <w:p w14:paraId="567DAF1C" w14:textId="77777777" w:rsidR="00B00BAC" w:rsidRPr="00E85EED" w:rsidRDefault="00B00BAC" w:rsidP="00E85EED">
          <w:pPr>
            <w:tabs>
              <w:tab w:val="center" w:pos="4320"/>
              <w:tab w:val="right" w:pos="8640"/>
            </w:tabs>
            <w:rPr>
              <w:rFonts w:ascii="Calibri" w:hAnsi="Calibri"/>
              <w:sz w:val="16"/>
            </w:rPr>
          </w:pPr>
          <w:r w:rsidRPr="00E85EED">
            <w:rPr>
              <w:rFonts w:ascii="Calibri" w:hAnsi="Calibri"/>
              <w:b/>
              <w:sz w:val="16"/>
            </w:rPr>
            <w:t>T</w:t>
          </w:r>
          <w:r w:rsidRPr="00E85EED">
            <w:rPr>
              <w:rFonts w:ascii="Calibri" w:hAnsi="Calibri"/>
              <w:sz w:val="16"/>
            </w:rPr>
            <w:t xml:space="preserve"> +61 2 6272 3933</w:t>
          </w:r>
        </w:p>
        <w:p w14:paraId="2EB3A0A9" w14:textId="77777777" w:rsidR="00B00BAC" w:rsidRPr="00E85EED" w:rsidRDefault="00B00BAC" w:rsidP="00E85EED">
          <w:pPr>
            <w:tabs>
              <w:tab w:val="center" w:pos="4320"/>
              <w:tab w:val="right" w:pos="8640"/>
            </w:tabs>
            <w:rPr>
              <w:rFonts w:ascii="Calibri" w:hAnsi="Calibri"/>
              <w:sz w:val="16"/>
            </w:rPr>
          </w:pPr>
          <w:r w:rsidRPr="00E85EED">
            <w:rPr>
              <w:rFonts w:ascii="Calibri" w:hAnsi="Calibri"/>
              <w:b/>
              <w:sz w:val="16"/>
            </w:rPr>
            <w:t>F</w:t>
          </w:r>
          <w:r w:rsidRPr="00E85EED">
            <w:rPr>
              <w:rFonts w:ascii="Calibri" w:hAnsi="Calibri"/>
              <w:sz w:val="16"/>
            </w:rPr>
            <w:t xml:space="preserve"> +61 2 6272 5161</w:t>
          </w:r>
        </w:p>
      </w:tc>
      <w:tc>
        <w:tcPr>
          <w:tcW w:w="1250" w:type="pct"/>
          <w:tcBorders>
            <w:left w:val="single" w:sz="4" w:space="0" w:color="auto"/>
            <w:right w:val="single" w:sz="4" w:space="0" w:color="auto"/>
          </w:tcBorders>
        </w:tcPr>
        <w:p w14:paraId="3C2744EB"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18 Marcus Clarke Street</w:t>
          </w:r>
        </w:p>
        <w:p w14:paraId="498BB6D3"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Canberra City ACT 2601</w:t>
          </w:r>
        </w:p>
      </w:tc>
      <w:tc>
        <w:tcPr>
          <w:tcW w:w="1250" w:type="pct"/>
          <w:tcBorders>
            <w:left w:val="single" w:sz="4" w:space="0" w:color="auto"/>
            <w:right w:val="single" w:sz="4" w:space="0" w:color="auto"/>
          </w:tcBorders>
        </w:tcPr>
        <w:p w14:paraId="0FF1931F"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GPO Box 858</w:t>
          </w:r>
        </w:p>
        <w:p w14:paraId="41A5D744"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Canberra ACT 2601</w:t>
          </w:r>
        </w:p>
      </w:tc>
      <w:tc>
        <w:tcPr>
          <w:tcW w:w="1250" w:type="pct"/>
          <w:tcBorders>
            <w:left w:val="single" w:sz="4" w:space="0" w:color="auto"/>
          </w:tcBorders>
        </w:tcPr>
        <w:p w14:paraId="12401EBA" w14:textId="77777777" w:rsidR="00B00BAC" w:rsidRPr="00E85EED" w:rsidRDefault="00854C7C" w:rsidP="00E85EED">
          <w:pPr>
            <w:tabs>
              <w:tab w:val="center" w:pos="4320"/>
              <w:tab w:val="right" w:pos="8640"/>
            </w:tabs>
            <w:rPr>
              <w:rFonts w:ascii="Calibri" w:hAnsi="Calibri"/>
              <w:b/>
              <w:sz w:val="16"/>
            </w:rPr>
          </w:pPr>
          <w:r>
            <w:rPr>
              <w:rFonts w:ascii="Calibri" w:hAnsi="Calibri"/>
              <w:b/>
              <w:sz w:val="16"/>
            </w:rPr>
            <w:t>awe</w:t>
          </w:r>
          <w:r w:rsidR="00B00BAC" w:rsidRPr="00E85EED">
            <w:rPr>
              <w:rFonts w:ascii="Calibri" w:hAnsi="Calibri"/>
              <w:b/>
              <w:sz w:val="16"/>
            </w:rPr>
            <w:t>.gov.au</w:t>
          </w:r>
        </w:p>
        <w:p w14:paraId="40E782F0"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 xml:space="preserve">ABN </w:t>
          </w:r>
          <w:r w:rsidR="004F569C" w:rsidRPr="004F569C">
            <w:rPr>
              <w:rFonts w:ascii="Calibri" w:hAnsi="Calibri"/>
              <w:sz w:val="16"/>
            </w:rPr>
            <w:t>34 190 894 983</w:t>
          </w:r>
        </w:p>
      </w:tc>
    </w:tr>
  </w:tbl>
  <w:p w14:paraId="18330CDE" w14:textId="77777777" w:rsidR="00B00BAC" w:rsidRDefault="00B00BAC" w:rsidP="00E85EED">
    <w:pPr>
      <w:pStyle w:val="Footer"/>
    </w:pPr>
  </w:p>
  <w:p w14:paraId="79815399" w14:textId="77777777" w:rsidR="00AE396D" w:rsidRPr="002D1227" w:rsidRDefault="00557256" w:rsidP="00AE396D">
    <w:pPr>
      <w:pStyle w:val="Header"/>
      <w:rPr>
        <w:color w:val="FF0000"/>
      </w:rPr>
    </w:pPr>
    <w:sdt>
      <w:sdtPr>
        <w:rPr>
          <w:color w:val="FF0000"/>
        </w:rPr>
        <w:alias w:val="DLM"/>
        <w:tag w:val="DLM"/>
        <w:id w:val="-1695298647"/>
        <w:showingPlcHdr/>
        <w:dropDownList>
          <w:listItem w:value="Choose an item."/>
          <w:listItem w:displayText="OFFICIAL: Sensitive Legislative Secrecy" w:value="OFFICIAL: Sensitive Legislative Secrecy"/>
          <w:listItem w:displayText="OFFICIAL: Sensitive Personal Privacy" w:value="OFFICIAL: Sensitive Personal Privacy"/>
          <w:listItem w:displayText="OFFICIAL: Sensitive Legal Privilege" w:value="OFFICIAL: Sensitive Legal Privilege"/>
          <w:listItem w:displayText="OFFICIAL: Sensitive" w:value="OFFICIAL: Sensitive"/>
          <w:listItem w:displayText="OFFICIAL" w:value="OFFICIAL"/>
        </w:dropDownList>
      </w:sdtPr>
      <w:sdtEndPr/>
      <w:sdtContent>
        <w:r w:rsidR="00AE396D">
          <w:rPr>
            <w:color w:val="FF000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DBC7" w14:textId="77777777" w:rsidR="00BF76BA" w:rsidRDefault="00BF76BA" w:rsidP="00A60185">
      <w:r>
        <w:separator/>
      </w:r>
    </w:p>
  </w:footnote>
  <w:footnote w:type="continuationSeparator" w:id="0">
    <w:p w14:paraId="15490B34" w14:textId="77777777" w:rsidR="00BF76BA" w:rsidRDefault="00BF76BA" w:rsidP="00A60185">
      <w:r>
        <w:continuationSeparator/>
      </w:r>
    </w:p>
  </w:footnote>
  <w:footnote w:type="continuationNotice" w:id="1">
    <w:p w14:paraId="58906497" w14:textId="77777777" w:rsidR="00BF76BA" w:rsidRDefault="00BF76BA"/>
  </w:footnote>
  <w:footnote w:id="2">
    <w:p w14:paraId="0E19FF6B" w14:textId="77777777" w:rsidR="00DB2FDC" w:rsidRDefault="00DB2FDC" w:rsidP="00DB2FDC">
      <w:pPr>
        <w:pStyle w:val="FootnoteText"/>
      </w:pPr>
      <w:r>
        <w:rPr>
          <w:rStyle w:val="FootnoteReference"/>
        </w:rPr>
        <w:footnoteRef/>
      </w:r>
      <w:r>
        <w:t xml:space="preserve"> In accordance with the </w:t>
      </w:r>
      <w:r w:rsidRPr="007932B1">
        <w:rPr>
          <w:i/>
        </w:rPr>
        <w:t>Administrative Appeals Tribunal Act 1975</w:t>
      </w:r>
      <w:r>
        <w:t xml:space="preserve"> Code of Practice for Notification of Reviewable Decisions and Rights of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662B" w14:textId="16A49DC4" w:rsidR="00B00BAC" w:rsidRDefault="00B00BAC" w:rsidP="00E45765">
    <w:pPr>
      <w:pStyle w:val="Classification"/>
    </w:pPr>
    <w:r>
      <w:fldChar w:fldCharType="begin"/>
    </w:r>
    <w:r>
      <w:instrText xml:space="preserve"> DOCPROPERTY SecurityClassification \* MERGEFORMAT </w:instrText>
    </w:r>
    <w:r>
      <w:fldChar w:fldCharType="separate"/>
    </w:r>
    <w:r w:rsidR="00EF303F">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alias w:val="DLM"/>
      <w:tag w:val="DLM"/>
      <w:id w:val="1633132111"/>
      <w:showingPlcHdr/>
      <w:dropDownList>
        <w:listItem w:value="Choose an item."/>
        <w:listItem w:displayText="OFFICIAL: Sensitive Legislative Secrecy" w:value="OFFICIAL: Sensitive Legislative Secrecy"/>
        <w:listItem w:displayText="OFFICIAL: Sensitive Personal Privacy" w:value="OFFICIAL: Sensitive Personal Privacy"/>
        <w:listItem w:displayText="OFFICIAL: Sensitive Legal Privilege" w:value="OFFICIAL: Sensitive Legal Privilege"/>
        <w:listItem w:displayText="OFFICIAL: Sensitive" w:value="OFFICIAL: Sensitive"/>
        <w:listItem w:displayText="OFFICIAL" w:value="OFFICIAL"/>
      </w:dropDownList>
    </w:sdtPr>
    <w:sdtEndPr/>
    <w:sdtContent>
      <w:p w14:paraId="1BE3527A" w14:textId="77777777" w:rsidR="00410D32" w:rsidRPr="002D1227" w:rsidRDefault="00AE396D" w:rsidP="002D1227">
        <w:pPr>
          <w:pStyle w:val="Header"/>
          <w:rPr>
            <w:color w:val="FF0000"/>
          </w:rPr>
        </w:pPr>
        <w:r>
          <w:rPr>
            <w:color w:val="FF0000"/>
          </w:rPr>
          <w:t xml:space="preserve"> </w:t>
        </w:r>
      </w:p>
    </w:sdtContent>
  </w:sdt>
  <w:p w14:paraId="7ADFCEB6" w14:textId="77777777" w:rsidR="00B00BAC" w:rsidRDefault="00854C7C" w:rsidP="005E35DC">
    <w:pPr>
      <w:pStyle w:val="Header"/>
      <w:jc w:val="left"/>
    </w:pPr>
    <w:r>
      <w:rPr>
        <w:noProof/>
        <w:lang w:eastAsia="en-AU"/>
      </w:rPr>
      <w:drawing>
        <wp:inline distT="0" distB="0" distL="0" distR="0" wp14:anchorId="7EB98EBF" wp14:editId="2FA64301">
          <wp:extent cx="2417064" cy="72542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2010155"/>
    <w:multiLevelType w:val="hybridMultilevel"/>
    <w:tmpl w:val="04FEF732"/>
    <w:lvl w:ilvl="0" w:tplc="0C09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16469"/>
    <w:multiLevelType w:val="hybridMultilevel"/>
    <w:tmpl w:val="AE0C73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A77A6"/>
    <w:multiLevelType w:val="hybridMultilevel"/>
    <w:tmpl w:val="B89CCAC0"/>
    <w:lvl w:ilvl="0" w:tplc="BF360950">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5" w15:restartNumberingAfterBreak="0">
    <w:nsid w:val="1F745BC2"/>
    <w:multiLevelType w:val="multilevel"/>
    <w:tmpl w:val="E5E89F92"/>
    <w:numStyleLink w:val="BulletList"/>
  </w:abstractNum>
  <w:abstractNum w:abstractNumId="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8852E0"/>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5456429"/>
    <w:multiLevelType w:val="multilevel"/>
    <w:tmpl w:val="B5E0C928"/>
    <w:lvl w:ilvl="0">
      <w:start w:val="1"/>
      <w:numFmt w:val="decimal"/>
      <w:pStyle w:val="ListNumber"/>
      <w:lvlText w:val="%1."/>
      <w:lvlJc w:val="left"/>
      <w:pPr>
        <w:ind w:left="369" w:hanging="369"/>
      </w:pPr>
      <w:rPr>
        <w:rFonts w:ascii="Cambria" w:hAnsi="Cambria"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0"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085278"/>
    <w:multiLevelType w:val="hybridMultilevel"/>
    <w:tmpl w:val="C01EE2CA"/>
    <w:lvl w:ilvl="0" w:tplc="13B68882">
      <w:start w:val="1"/>
      <w:numFmt w:val="lowerLetter"/>
      <w:lvlText w:val="%1)"/>
      <w:lvlJc w:val="left"/>
      <w:pPr>
        <w:ind w:left="720" w:hanging="360"/>
      </w:pPr>
      <w:rPr>
        <w:rFonts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13"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14"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4"/>
  </w:num>
  <w:num w:numId="2">
    <w:abstractNumId w:val="0"/>
  </w:num>
  <w:num w:numId="3">
    <w:abstractNumId w:val="12"/>
  </w:num>
  <w:num w:numId="4">
    <w:abstractNumId w:val="10"/>
  </w:num>
  <w:num w:numId="5">
    <w:abstractNumId w:val="7"/>
  </w:num>
  <w:num w:numId="6">
    <w:abstractNumId w:val="6"/>
  </w:num>
  <w:num w:numId="7">
    <w:abstractNumId w:val="9"/>
  </w:num>
  <w:num w:numId="8">
    <w:abstractNumId w:val="5"/>
  </w:num>
  <w:num w:numId="9">
    <w:abstractNumId w:val="4"/>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0af63eb2-762a-44a1-9bc7-38085c7189e5"/>
    <w:docVar w:name="SecurityClassificationInHeader" w:val="False"/>
  </w:docVars>
  <w:rsids>
    <w:rsidRoot w:val="003F6005"/>
    <w:rsid w:val="00000E5A"/>
    <w:rsid w:val="00004AEE"/>
    <w:rsid w:val="00004DAD"/>
    <w:rsid w:val="00005CAA"/>
    <w:rsid w:val="00010210"/>
    <w:rsid w:val="00014060"/>
    <w:rsid w:val="00015ADA"/>
    <w:rsid w:val="00017BB8"/>
    <w:rsid w:val="00020C99"/>
    <w:rsid w:val="000260F8"/>
    <w:rsid w:val="0002707B"/>
    <w:rsid w:val="00031219"/>
    <w:rsid w:val="000466B3"/>
    <w:rsid w:val="0005148E"/>
    <w:rsid w:val="0005270A"/>
    <w:rsid w:val="00053EAC"/>
    <w:rsid w:val="00063AF2"/>
    <w:rsid w:val="000642C0"/>
    <w:rsid w:val="000759E5"/>
    <w:rsid w:val="00080377"/>
    <w:rsid w:val="00080A47"/>
    <w:rsid w:val="0008356A"/>
    <w:rsid w:val="0008410F"/>
    <w:rsid w:val="00084AC6"/>
    <w:rsid w:val="00085C49"/>
    <w:rsid w:val="00086A4A"/>
    <w:rsid w:val="00087B76"/>
    <w:rsid w:val="00091608"/>
    <w:rsid w:val="0009257B"/>
    <w:rsid w:val="0009333C"/>
    <w:rsid w:val="0009704F"/>
    <w:rsid w:val="000A0F11"/>
    <w:rsid w:val="000A125A"/>
    <w:rsid w:val="000A2E8F"/>
    <w:rsid w:val="000A44DC"/>
    <w:rsid w:val="000A4D95"/>
    <w:rsid w:val="000A57CD"/>
    <w:rsid w:val="000B3758"/>
    <w:rsid w:val="000B7681"/>
    <w:rsid w:val="000B7B42"/>
    <w:rsid w:val="000C02B7"/>
    <w:rsid w:val="000C5342"/>
    <w:rsid w:val="000C5DFC"/>
    <w:rsid w:val="000C63ED"/>
    <w:rsid w:val="000C706A"/>
    <w:rsid w:val="000D2887"/>
    <w:rsid w:val="000D61D0"/>
    <w:rsid w:val="000D6D63"/>
    <w:rsid w:val="000E0081"/>
    <w:rsid w:val="000E07CF"/>
    <w:rsid w:val="000E0B31"/>
    <w:rsid w:val="0011498E"/>
    <w:rsid w:val="00115BF1"/>
    <w:rsid w:val="00117A45"/>
    <w:rsid w:val="001219EE"/>
    <w:rsid w:val="00122471"/>
    <w:rsid w:val="001224AE"/>
    <w:rsid w:val="00124D19"/>
    <w:rsid w:val="00130725"/>
    <w:rsid w:val="001337D4"/>
    <w:rsid w:val="001430DA"/>
    <w:rsid w:val="00143480"/>
    <w:rsid w:val="00147C12"/>
    <w:rsid w:val="001527A1"/>
    <w:rsid w:val="001530DC"/>
    <w:rsid w:val="00154989"/>
    <w:rsid w:val="00155A9F"/>
    <w:rsid w:val="00160262"/>
    <w:rsid w:val="00160AD3"/>
    <w:rsid w:val="0016616A"/>
    <w:rsid w:val="0016780A"/>
    <w:rsid w:val="00173EBF"/>
    <w:rsid w:val="00177BF2"/>
    <w:rsid w:val="00177F02"/>
    <w:rsid w:val="0018112F"/>
    <w:rsid w:val="001842A2"/>
    <w:rsid w:val="00187FA8"/>
    <w:rsid w:val="00191C5D"/>
    <w:rsid w:val="00192F5E"/>
    <w:rsid w:val="00193033"/>
    <w:rsid w:val="00197772"/>
    <w:rsid w:val="001A51C8"/>
    <w:rsid w:val="001A6852"/>
    <w:rsid w:val="001A76BB"/>
    <w:rsid w:val="001B4CA8"/>
    <w:rsid w:val="001C1D95"/>
    <w:rsid w:val="001C4F3D"/>
    <w:rsid w:val="001C53E1"/>
    <w:rsid w:val="001D0CDC"/>
    <w:rsid w:val="001D1B03"/>
    <w:rsid w:val="001D1D82"/>
    <w:rsid w:val="001E0274"/>
    <w:rsid w:val="001E1182"/>
    <w:rsid w:val="001E1CE4"/>
    <w:rsid w:val="001E25B3"/>
    <w:rsid w:val="001E7629"/>
    <w:rsid w:val="001F4075"/>
    <w:rsid w:val="00202C90"/>
    <w:rsid w:val="002121BC"/>
    <w:rsid w:val="00212E75"/>
    <w:rsid w:val="00213DE8"/>
    <w:rsid w:val="00214B4E"/>
    <w:rsid w:val="00216118"/>
    <w:rsid w:val="002209AB"/>
    <w:rsid w:val="00224D4E"/>
    <w:rsid w:val="002251E3"/>
    <w:rsid w:val="00227A95"/>
    <w:rsid w:val="0023654A"/>
    <w:rsid w:val="002473FC"/>
    <w:rsid w:val="00252E3C"/>
    <w:rsid w:val="00261931"/>
    <w:rsid w:val="00261EFE"/>
    <w:rsid w:val="00262198"/>
    <w:rsid w:val="00285F1B"/>
    <w:rsid w:val="00292B81"/>
    <w:rsid w:val="002A11A4"/>
    <w:rsid w:val="002B18AE"/>
    <w:rsid w:val="002B3674"/>
    <w:rsid w:val="002C1C93"/>
    <w:rsid w:val="002C2FB1"/>
    <w:rsid w:val="002C4ABA"/>
    <w:rsid w:val="002C5066"/>
    <w:rsid w:val="002D022C"/>
    <w:rsid w:val="002D1227"/>
    <w:rsid w:val="002D419A"/>
    <w:rsid w:val="002D4AAC"/>
    <w:rsid w:val="002D5702"/>
    <w:rsid w:val="002E0815"/>
    <w:rsid w:val="002E3BAF"/>
    <w:rsid w:val="002E4601"/>
    <w:rsid w:val="002E5D24"/>
    <w:rsid w:val="002E7914"/>
    <w:rsid w:val="002F045A"/>
    <w:rsid w:val="002F18F8"/>
    <w:rsid w:val="0030039D"/>
    <w:rsid w:val="0030171F"/>
    <w:rsid w:val="00302B2F"/>
    <w:rsid w:val="0030326F"/>
    <w:rsid w:val="00310701"/>
    <w:rsid w:val="00315980"/>
    <w:rsid w:val="00316F7F"/>
    <w:rsid w:val="00320DFB"/>
    <w:rsid w:val="003218E8"/>
    <w:rsid w:val="0032311B"/>
    <w:rsid w:val="00330DCE"/>
    <w:rsid w:val="00331E11"/>
    <w:rsid w:val="00334761"/>
    <w:rsid w:val="00335A95"/>
    <w:rsid w:val="00341DCD"/>
    <w:rsid w:val="00342C4A"/>
    <w:rsid w:val="003438E4"/>
    <w:rsid w:val="00344897"/>
    <w:rsid w:val="0034563E"/>
    <w:rsid w:val="003518D6"/>
    <w:rsid w:val="0035460C"/>
    <w:rsid w:val="003556BD"/>
    <w:rsid w:val="00363F52"/>
    <w:rsid w:val="00365147"/>
    <w:rsid w:val="0037016E"/>
    <w:rsid w:val="00371AAE"/>
    <w:rsid w:val="00372908"/>
    <w:rsid w:val="003764B0"/>
    <w:rsid w:val="00377900"/>
    <w:rsid w:val="00383020"/>
    <w:rsid w:val="00390691"/>
    <w:rsid w:val="003968BA"/>
    <w:rsid w:val="00396D6E"/>
    <w:rsid w:val="003975FD"/>
    <w:rsid w:val="003A0F88"/>
    <w:rsid w:val="003B6068"/>
    <w:rsid w:val="003B60CC"/>
    <w:rsid w:val="003B6EE4"/>
    <w:rsid w:val="003C09B7"/>
    <w:rsid w:val="003C2443"/>
    <w:rsid w:val="003C5DA3"/>
    <w:rsid w:val="003D4BCD"/>
    <w:rsid w:val="003D5140"/>
    <w:rsid w:val="003E2100"/>
    <w:rsid w:val="003E3994"/>
    <w:rsid w:val="003F6005"/>
    <w:rsid w:val="003F6F5B"/>
    <w:rsid w:val="0040342D"/>
    <w:rsid w:val="00410D32"/>
    <w:rsid w:val="0041192D"/>
    <w:rsid w:val="0041258C"/>
    <w:rsid w:val="004125FC"/>
    <w:rsid w:val="00413819"/>
    <w:rsid w:val="00413D8E"/>
    <w:rsid w:val="00413EE1"/>
    <w:rsid w:val="0042128E"/>
    <w:rsid w:val="00421FEC"/>
    <w:rsid w:val="00430252"/>
    <w:rsid w:val="00432B60"/>
    <w:rsid w:val="00434A49"/>
    <w:rsid w:val="00440698"/>
    <w:rsid w:val="004540E2"/>
    <w:rsid w:val="00455A78"/>
    <w:rsid w:val="0046116B"/>
    <w:rsid w:val="004616B6"/>
    <w:rsid w:val="0046173C"/>
    <w:rsid w:val="00464930"/>
    <w:rsid w:val="00470438"/>
    <w:rsid w:val="004712A5"/>
    <w:rsid w:val="0047266F"/>
    <w:rsid w:val="00476D6B"/>
    <w:rsid w:val="004855B2"/>
    <w:rsid w:val="00485FF0"/>
    <w:rsid w:val="00492C16"/>
    <w:rsid w:val="00497D8C"/>
    <w:rsid w:val="004A0678"/>
    <w:rsid w:val="004A4393"/>
    <w:rsid w:val="004A48A3"/>
    <w:rsid w:val="004A7BC5"/>
    <w:rsid w:val="004B0D92"/>
    <w:rsid w:val="004B0EC0"/>
    <w:rsid w:val="004B4500"/>
    <w:rsid w:val="004B66F1"/>
    <w:rsid w:val="004C1353"/>
    <w:rsid w:val="004C2D49"/>
    <w:rsid w:val="004C3EA0"/>
    <w:rsid w:val="004C4C0E"/>
    <w:rsid w:val="004D2555"/>
    <w:rsid w:val="004D42A8"/>
    <w:rsid w:val="004D716F"/>
    <w:rsid w:val="004F569C"/>
    <w:rsid w:val="004F60AC"/>
    <w:rsid w:val="004F7169"/>
    <w:rsid w:val="00500D66"/>
    <w:rsid w:val="00506012"/>
    <w:rsid w:val="00506F1B"/>
    <w:rsid w:val="00514C8E"/>
    <w:rsid w:val="00521C1F"/>
    <w:rsid w:val="00522537"/>
    <w:rsid w:val="00525EF4"/>
    <w:rsid w:val="0052681E"/>
    <w:rsid w:val="00527851"/>
    <w:rsid w:val="00531DBF"/>
    <w:rsid w:val="00540052"/>
    <w:rsid w:val="00543215"/>
    <w:rsid w:val="00545759"/>
    <w:rsid w:val="00545BE0"/>
    <w:rsid w:val="00553F2A"/>
    <w:rsid w:val="00557256"/>
    <w:rsid w:val="00562E85"/>
    <w:rsid w:val="0056332F"/>
    <w:rsid w:val="00566906"/>
    <w:rsid w:val="005675AE"/>
    <w:rsid w:val="00581C39"/>
    <w:rsid w:val="00585198"/>
    <w:rsid w:val="00586CB3"/>
    <w:rsid w:val="005903B6"/>
    <w:rsid w:val="005931E7"/>
    <w:rsid w:val="005A0247"/>
    <w:rsid w:val="005B0747"/>
    <w:rsid w:val="005B140D"/>
    <w:rsid w:val="005C1FEA"/>
    <w:rsid w:val="005C2672"/>
    <w:rsid w:val="005C3495"/>
    <w:rsid w:val="005C5DA7"/>
    <w:rsid w:val="005D1643"/>
    <w:rsid w:val="005D2AF2"/>
    <w:rsid w:val="005D4BC6"/>
    <w:rsid w:val="005D616F"/>
    <w:rsid w:val="005E35DC"/>
    <w:rsid w:val="005E3DFC"/>
    <w:rsid w:val="005E5D52"/>
    <w:rsid w:val="005E60AF"/>
    <w:rsid w:val="005F026B"/>
    <w:rsid w:val="005F1DEA"/>
    <w:rsid w:val="005F24DF"/>
    <w:rsid w:val="0060462F"/>
    <w:rsid w:val="0060602D"/>
    <w:rsid w:val="00607FC9"/>
    <w:rsid w:val="0061002D"/>
    <w:rsid w:val="00610D5E"/>
    <w:rsid w:val="00620961"/>
    <w:rsid w:val="00622FE1"/>
    <w:rsid w:val="0062521C"/>
    <w:rsid w:val="00630A2B"/>
    <w:rsid w:val="00632DC7"/>
    <w:rsid w:val="006357FB"/>
    <w:rsid w:val="00635C5E"/>
    <w:rsid w:val="006406FC"/>
    <w:rsid w:val="00643B47"/>
    <w:rsid w:val="00645CB8"/>
    <w:rsid w:val="00653E16"/>
    <w:rsid w:val="00653F7B"/>
    <w:rsid w:val="00657220"/>
    <w:rsid w:val="0066104B"/>
    <w:rsid w:val="0066485C"/>
    <w:rsid w:val="006655EE"/>
    <w:rsid w:val="00667C10"/>
    <w:rsid w:val="00667EF4"/>
    <w:rsid w:val="00670006"/>
    <w:rsid w:val="00671A63"/>
    <w:rsid w:val="00674AAE"/>
    <w:rsid w:val="00676FCA"/>
    <w:rsid w:val="00677177"/>
    <w:rsid w:val="0068612E"/>
    <w:rsid w:val="00687C92"/>
    <w:rsid w:val="006930EE"/>
    <w:rsid w:val="0069534E"/>
    <w:rsid w:val="0069669C"/>
    <w:rsid w:val="00697065"/>
    <w:rsid w:val="006A074A"/>
    <w:rsid w:val="006A1200"/>
    <w:rsid w:val="006A19D6"/>
    <w:rsid w:val="006A1AE4"/>
    <w:rsid w:val="006A4F4E"/>
    <w:rsid w:val="006B14DB"/>
    <w:rsid w:val="006B1612"/>
    <w:rsid w:val="006B1FFD"/>
    <w:rsid w:val="006B21C4"/>
    <w:rsid w:val="006B4FD2"/>
    <w:rsid w:val="006B6B0E"/>
    <w:rsid w:val="006C1A92"/>
    <w:rsid w:val="006C4A1A"/>
    <w:rsid w:val="006D0393"/>
    <w:rsid w:val="006D1A83"/>
    <w:rsid w:val="006D3B30"/>
    <w:rsid w:val="006E1CFE"/>
    <w:rsid w:val="006E3EB2"/>
    <w:rsid w:val="006E6B38"/>
    <w:rsid w:val="006F10C4"/>
    <w:rsid w:val="006F5051"/>
    <w:rsid w:val="006F5603"/>
    <w:rsid w:val="00701400"/>
    <w:rsid w:val="007019B4"/>
    <w:rsid w:val="007037CF"/>
    <w:rsid w:val="00711D2B"/>
    <w:rsid w:val="00713FA2"/>
    <w:rsid w:val="0071623C"/>
    <w:rsid w:val="00716663"/>
    <w:rsid w:val="007167C0"/>
    <w:rsid w:val="00720481"/>
    <w:rsid w:val="00720E46"/>
    <w:rsid w:val="00721885"/>
    <w:rsid w:val="0073057B"/>
    <w:rsid w:val="00733193"/>
    <w:rsid w:val="007336D5"/>
    <w:rsid w:val="00734867"/>
    <w:rsid w:val="007432CE"/>
    <w:rsid w:val="00744429"/>
    <w:rsid w:val="007470BF"/>
    <w:rsid w:val="007478AE"/>
    <w:rsid w:val="00751C97"/>
    <w:rsid w:val="00753A80"/>
    <w:rsid w:val="0075732A"/>
    <w:rsid w:val="00757539"/>
    <w:rsid w:val="00760262"/>
    <w:rsid w:val="0076310C"/>
    <w:rsid w:val="0076744F"/>
    <w:rsid w:val="00767BCE"/>
    <w:rsid w:val="007707DE"/>
    <w:rsid w:val="00770B5D"/>
    <w:rsid w:val="007722D6"/>
    <w:rsid w:val="007752F1"/>
    <w:rsid w:val="00775583"/>
    <w:rsid w:val="00775DF7"/>
    <w:rsid w:val="00776768"/>
    <w:rsid w:val="007953DA"/>
    <w:rsid w:val="00795EA3"/>
    <w:rsid w:val="007A2573"/>
    <w:rsid w:val="007A570A"/>
    <w:rsid w:val="007A6A1A"/>
    <w:rsid w:val="007B106C"/>
    <w:rsid w:val="007B1A4E"/>
    <w:rsid w:val="007B3617"/>
    <w:rsid w:val="007B3D05"/>
    <w:rsid w:val="007C0C81"/>
    <w:rsid w:val="007C114B"/>
    <w:rsid w:val="007C1328"/>
    <w:rsid w:val="007D14B4"/>
    <w:rsid w:val="007D2191"/>
    <w:rsid w:val="007D2FC3"/>
    <w:rsid w:val="007D5962"/>
    <w:rsid w:val="007D7674"/>
    <w:rsid w:val="007E24F6"/>
    <w:rsid w:val="007F2EED"/>
    <w:rsid w:val="00800F64"/>
    <w:rsid w:val="00802F0B"/>
    <w:rsid w:val="00805E7A"/>
    <w:rsid w:val="00810A67"/>
    <w:rsid w:val="00815D9F"/>
    <w:rsid w:val="00821A31"/>
    <w:rsid w:val="00821AC5"/>
    <w:rsid w:val="00831030"/>
    <w:rsid w:val="008316C6"/>
    <w:rsid w:val="00833CF7"/>
    <w:rsid w:val="008351A3"/>
    <w:rsid w:val="008360CB"/>
    <w:rsid w:val="00836622"/>
    <w:rsid w:val="00837D61"/>
    <w:rsid w:val="00841B92"/>
    <w:rsid w:val="00843089"/>
    <w:rsid w:val="00845601"/>
    <w:rsid w:val="00853978"/>
    <w:rsid w:val="00854C7C"/>
    <w:rsid w:val="00855C5C"/>
    <w:rsid w:val="0086185F"/>
    <w:rsid w:val="0086686F"/>
    <w:rsid w:val="00882459"/>
    <w:rsid w:val="0089105C"/>
    <w:rsid w:val="008A2B4A"/>
    <w:rsid w:val="008A3C96"/>
    <w:rsid w:val="008B4019"/>
    <w:rsid w:val="008B413F"/>
    <w:rsid w:val="008B65C9"/>
    <w:rsid w:val="008C2D4A"/>
    <w:rsid w:val="008C434B"/>
    <w:rsid w:val="008C49DA"/>
    <w:rsid w:val="008D3900"/>
    <w:rsid w:val="008D6E1D"/>
    <w:rsid w:val="008E4A26"/>
    <w:rsid w:val="008E611A"/>
    <w:rsid w:val="008F39B4"/>
    <w:rsid w:val="008F4162"/>
    <w:rsid w:val="00903E02"/>
    <w:rsid w:val="00904DDC"/>
    <w:rsid w:val="009120E4"/>
    <w:rsid w:val="00913175"/>
    <w:rsid w:val="00916EDB"/>
    <w:rsid w:val="009240A6"/>
    <w:rsid w:val="009242EF"/>
    <w:rsid w:val="00932291"/>
    <w:rsid w:val="0093408E"/>
    <w:rsid w:val="0094172A"/>
    <w:rsid w:val="00943102"/>
    <w:rsid w:val="0094682D"/>
    <w:rsid w:val="00947CBC"/>
    <w:rsid w:val="00952DDF"/>
    <w:rsid w:val="009611B7"/>
    <w:rsid w:val="0096170E"/>
    <w:rsid w:val="009700F2"/>
    <w:rsid w:val="00976E4A"/>
    <w:rsid w:val="00990922"/>
    <w:rsid w:val="00992454"/>
    <w:rsid w:val="009B38BE"/>
    <w:rsid w:val="009C333F"/>
    <w:rsid w:val="009C3D0F"/>
    <w:rsid w:val="009D00A2"/>
    <w:rsid w:val="009D2FDC"/>
    <w:rsid w:val="009E2913"/>
    <w:rsid w:val="009E6872"/>
    <w:rsid w:val="009F35E2"/>
    <w:rsid w:val="009F5BEB"/>
    <w:rsid w:val="009F65F9"/>
    <w:rsid w:val="009F68BA"/>
    <w:rsid w:val="009F7C99"/>
    <w:rsid w:val="00A05947"/>
    <w:rsid w:val="00A061A8"/>
    <w:rsid w:val="00A06277"/>
    <w:rsid w:val="00A079DC"/>
    <w:rsid w:val="00A105F0"/>
    <w:rsid w:val="00A111C2"/>
    <w:rsid w:val="00A17D0F"/>
    <w:rsid w:val="00A23425"/>
    <w:rsid w:val="00A23B0F"/>
    <w:rsid w:val="00A27314"/>
    <w:rsid w:val="00A338E7"/>
    <w:rsid w:val="00A343B2"/>
    <w:rsid w:val="00A35CAA"/>
    <w:rsid w:val="00A36E7F"/>
    <w:rsid w:val="00A37E9D"/>
    <w:rsid w:val="00A41E65"/>
    <w:rsid w:val="00A43E0A"/>
    <w:rsid w:val="00A45659"/>
    <w:rsid w:val="00A47107"/>
    <w:rsid w:val="00A539B1"/>
    <w:rsid w:val="00A55F5B"/>
    <w:rsid w:val="00A57FB9"/>
    <w:rsid w:val="00A60185"/>
    <w:rsid w:val="00A62C88"/>
    <w:rsid w:val="00A65959"/>
    <w:rsid w:val="00A661EA"/>
    <w:rsid w:val="00A6706F"/>
    <w:rsid w:val="00A70809"/>
    <w:rsid w:val="00A7209B"/>
    <w:rsid w:val="00A76E17"/>
    <w:rsid w:val="00A830E5"/>
    <w:rsid w:val="00A86618"/>
    <w:rsid w:val="00A87135"/>
    <w:rsid w:val="00A919A4"/>
    <w:rsid w:val="00A93280"/>
    <w:rsid w:val="00AA21BC"/>
    <w:rsid w:val="00AA2548"/>
    <w:rsid w:val="00AA58C4"/>
    <w:rsid w:val="00AB11C8"/>
    <w:rsid w:val="00AB60CF"/>
    <w:rsid w:val="00AC08A8"/>
    <w:rsid w:val="00AC73E5"/>
    <w:rsid w:val="00AD1BB1"/>
    <w:rsid w:val="00AD56C8"/>
    <w:rsid w:val="00AD58F2"/>
    <w:rsid w:val="00AD5BA0"/>
    <w:rsid w:val="00AE02CA"/>
    <w:rsid w:val="00AE05B4"/>
    <w:rsid w:val="00AE396D"/>
    <w:rsid w:val="00AE59C4"/>
    <w:rsid w:val="00AE70CF"/>
    <w:rsid w:val="00AF3EC2"/>
    <w:rsid w:val="00AF482A"/>
    <w:rsid w:val="00B00313"/>
    <w:rsid w:val="00B00BAC"/>
    <w:rsid w:val="00B01599"/>
    <w:rsid w:val="00B0197B"/>
    <w:rsid w:val="00B01FD6"/>
    <w:rsid w:val="00B03A27"/>
    <w:rsid w:val="00B0529F"/>
    <w:rsid w:val="00B1418B"/>
    <w:rsid w:val="00B14B15"/>
    <w:rsid w:val="00B21195"/>
    <w:rsid w:val="00B24B22"/>
    <w:rsid w:val="00B25310"/>
    <w:rsid w:val="00B321EC"/>
    <w:rsid w:val="00B32F8F"/>
    <w:rsid w:val="00B33492"/>
    <w:rsid w:val="00B404DC"/>
    <w:rsid w:val="00B41D3C"/>
    <w:rsid w:val="00B54DE9"/>
    <w:rsid w:val="00B553EC"/>
    <w:rsid w:val="00B62B98"/>
    <w:rsid w:val="00B65E27"/>
    <w:rsid w:val="00B66EBE"/>
    <w:rsid w:val="00B70ED4"/>
    <w:rsid w:val="00B748DF"/>
    <w:rsid w:val="00B774CD"/>
    <w:rsid w:val="00B93DD0"/>
    <w:rsid w:val="00B97732"/>
    <w:rsid w:val="00BA65A8"/>
    <w:rsid w:val="00BA6D19"/>
    <w:rsid w:val="00BA7461"/>
    <w:rsid w:val="00BA7DA9"/>
    <w:rsid w:val="00BC295D"/>
    <w:rsid w:val="00BC3696"/>
    <w:rsid w:val="00BC4215"/>
    <w:rsid w:val="00BC473A"/>
    <w:rsid w:val="00BD1A6F"/>
    <w:rsid w:val="00BD5DB8"/>
    <w:rsid w:val="00BD5F54"/>
    <w:rsid w:val="00BE033E"/>
    <w:rsid w:val="00BE4871"/>
    <w:rsid w:val="00BE6D3C"/>
    <w:rsid w:val="00BE7852"/>
    <w:rsid w:val="00BE7E91"/>
    <w:rsid w:val="00BF1664"/>
    <w:rsid w:val="00BF3F7C"/>
    <w:rsid w:val="00BF671B"/>
    <w:rsid w:val="00BF76BA"/>
    <w:rsid w:val="00BF7CEE"/>
    <w:rsid w:val="00C03880"/>
    <w:rsid w:val="00C078BC"/>
    <w:rsid w:val="00C132E3"/>
    <w:rsid w:val="00C135CF"/>
    <w:rsid w:val="00C173B0"/>
    <w:rsid w:val="00C17F88"/>
    <w:rsid w:val="00C22E15"/>
    <w:rsid w:val="00C2683F"/>
    <w:rsid w:val="00C3184D"/>
    <w:rsid w:val="00C320B0"/>
    <w:rsid w:val="00C33BC1"/>
    <w:rsid w:val="00C41A88"/>
    <w:rsid w:val="00C43020"/>
    <w:rsid w:val="00C4714E"/>
    <w:rsid w:val="00C47506"/>
    <w:rsid w:val="00C5366B"/>
    <w:rsid w:val="00C5504F"/>
    <w:rsid w:val="00C63376"/>
    <w:rsid w:val="00C634DE"/>
    <w:rsid w:val="00C653A5"/>
    <w:rsid w:val="00C67453"/>
    <w:rsid w:val="00C74F97"/>
    <w:rsid w:val="00C8276E"/>
    <w:rsid w:val="00C83DEB"/>
    <w:rsid w:val="00C842AC"/>
    <w:rsid w:val="00C85444"/>
    <w:rsid w:val="00C86D62"/>
    <w:rsid w:val="00C86DC8"/>
    <w:rsid w:val="00C90E71"/>
    <w:rsid w:val="00C91088"/>
    <w:rsid w:val="00CA0723"/>
    <w:rsid w:val="00CA16EE"/>
    <w:rsid w:val="00CB1690"/>
    <w:rsid w:val="00CC1AE6"/>
    <w:rsid w:val="00CC4365"/>
    <w:rsid w:val="00CD11B0"/>
    <w:rsid w:val="00CD3A95"/>
    <w:rsid w:val="00CD7E72"/>
    <w:rsid w:val="00CE5812"/>
    <w:rsid w:val="00CE71C2"/>
    <w:rsid w:val="00CF42D5"/>
    <w:rsid w:val="00CF4EDA"/>
    <w:rsid w:val="00D021CB"/>
    <w:rsid w:val="00D0237F"/>
    <w:rsid w:val="00D034CA"/>
    <w:rsid w:val="00D0562E"/>
    <w:rsid w:val="00D05A2D"/>
    <w:rsid w:val="00D10ACD"/>
    <w:rsid w:val="00D10F1A"/>
    <w:rsid w:val="00D116F8"/>
    <w:rsid w:val="00D14BE2"/>
    <w:rsid w:val="00D17596"/>
    <w:rsid w:val="00D213F1"/>
    <w:rsid w:val="00D2323D"/>
    <w:rsid w:val="00D23DB8"/>
    <w:rsid w:val="00D26D3A"/>
    <w:rsid w:val="00D278D7"/>
    <w:rsid w:val="00D31545"/>
    <w:rsid w:val="00D33350"/>
    <w:rsid w:val="00D3449C"/>
    <w:rsid w:val="00D3508B"/>
    <w:rsid w:val="00D374CF"/>
    <w:rsid w:val="00D40655"/>
    <w:rsid w:val="00D45EE3"/>
    <w:rsid w:val="00D50618"/>
    <w:rsid w:val="00D509E9"/>
    <w:rsid w:val="00D50A8A"/>
    <w:rsid w:val="00D53B1C"/>
    <w:rsid w:val="00D5575B"/>
    <w:rsid w:val="00D6399A"/>
    <w:rsid w:val="00D64914"/>
    <w:rsid w:val="00D80F3B"/>
    <w:rsid w:val="00DA1B12"/>
    <w:rsid w:val="00DA3946"/>
    <w:rsid w:val="00DA54C9"/>
    <w:rsid w:val="00DA6739"/>
    <w:rsid w:val="00DA6CAE"/>
    <w:rsid w:val="00DB1A9E"/>
    <w:rsid w:val="00DB2FDC"/>
    <w:rsid w:val="00DB31D6"/>
    <w:rsid w:val="00DB4005"/>
    <w:rsid w:val="00DC2ACF"/>
    <w:rsid w:val="00DC34EB"/>
    <w:rsid w:val="00DC781A"/>
    <w:rsid w:val="00DD0B04"/>
    <w:rsid w:val="00DE633A"/>
    <w:rsid w:val="00DF1E5B"/>
    <w:rsid w:val="00DF2275"/>
    <w:rsid w:val="00DF3F5E"/>
    <w:rsid w:val="00DF6211"/>
    <w:rsid w:val="00DF7BCD"/>
    <w:rsid w:val="00E0596E"/>
    <w:rsid w:val="00E06F66"/>
    <w:rsid w:val="00E136BA"/>
    <w:rsid w:val="00E138B9"/>
    <w:rsid w:val="00E22AD5"/>
    <w:rsid w:val="00E30583"/>
    <w:rsid w:val="00E33BF8"/>
    <w:rsid w:val="00E35436"/>
    <w:rsid w:val="00E356E5"/>
    <w:rsid w:val="00E36F81"/>
    <w:rsid w:val="00E44648"/>
    <w:rsid w:val="00E452FA"/>
    <w:rsid w:val="00E45765"/>
    <w:rsid w:val="00E45E10"/>
    <w:rsid w:val="00E5098C"/>
    <w:rsid w:val="00E50DC9"/>
    <w:rsid w:val="00E522C6"/>
    <w:rsid w:val="00E60213"/>
    <w:rsid w:val="00E74D29"/>
    <w:rsid w:val="00E83C74"/>
    <w:rsid w:val="00E83CEE"/>
    <w:rsid w:val="00E85EED"/>
    <w:rsid w:val="00E86DB3"/>
    <w:rsid w:val="00E8776C"/>
    <w:rsid w:val="00E9226D"/>
    <w:rsid w:val="00E923D6"/>
    <w:rsid w:val="00EA337A"/>
    <w:rsid w:val="00EA5941"/>
    <w:rsid w:val="00EB02BE"/>
    <w:rsid w:val="00EB4974"/>
    <w:rsid w:val="00EB4DFB"/>
    <w:rsid w:val="00EB60CE"/>
    <w:rsid w:val="00EB7D53"/>
    <w:rsid w:val="00EC24FD"/>
    <w:rsid w:val="00ED2725"/>
    <w:rsid w:val="00EE1E28"/>
    <w:rsid w:val="00EE2A2B"/>
    <w:rsid w:val="00EE3146"/>
    <w:rsid w:val="00EF303F"/>
    <w:rsid w:val="00EF50BB"/>
    <w:rsid w:val="00EF746E"/>
    <w:rsid w:val="00EF7DAD"/>
    <w:rsid w:val="00F00192"/>
    <w:rsid w:val="00F01DF6"/>
    <w:rsid w:val="00F02BA9"/>
    <w:rsid w:val="00F0340D"/>
    <w:rsid w:val="00F03B90"/>
    <w:rsid w:val="00F101B2"/>
    <w:rsid w:val="00F17623"/>
    <w:rsid w:val="00F23756"/>
    <w:rsid w:val="00F25178"/>
    <w:rsid w:val="00F2523A"/>
    <w:rsid w:val="00F25FFA"/>
    <w:rsid w:val="00F310D2"/>
    <w:rsid w:val="00F34091"/>
    <w:rsid w:val="00F35B89"/>
    <w:rsid w:val="00F35F6C"/>
    <w:rsid w:val="00F36F3D"/>
    <w:rsid w:val="00F3797F"/>
    <w:rsid w:val="00F4246E"/>
    <w:rsid w:val="00F46E92"/>
    <w:rsid w:val="00F477BD"/>
    <w:rsid w:val="00F52AB6"/>
    <w:rsid w:val="00F52EB7"/>
    <w:rsid w:val="00F53491"/>
    <w:rsid w:val="00F571C5"/>
    <w:rsid w:val="00F60329"/>
    <w:rsid w:val="00F6067F"/>
    <w:rsid w:val="00F63C71"/>
    <w:rsid w:val="00F65A1C"/>
    <w:rsid w:val="00F66F50"/>
    <w:rsid w:val="00F82FF8"/>
    <w:rsid w:val="00F8330D"/>
    <w:rsid w:val="00F84305"/>
    <w:rsid w:val="00F8485C"/>
    <w:rsid w:val="00F87149"/>
    <w:rsid w:val="00F87239"/>
    <w:rsid w:val="00F87998"/>
    <w:rsid w:val="00F87FFE"/>
    <w:rsid w:val="00F91335"/>
    <w:rsid w:val="00F9206D"/>
    <w:rsid w:val="00F940DB"/>
    <w:rsid w:val="00F954C9"/>
    <w:rsid w:val="00F970B5"/>
    <w:rsid w:val="00F977DD"/>
    <w:rsid w:val="00FA61AA"/>
    <w:rsid w:val="00FA62B5"/>
    <w:rsid w:val="00FA69A4"/>
    <w:rsid w:val="00FB1279"/>
    <w:rsid w:val="00FB1495"/>
    <w:rsid w:val="00FB6171"/>
    <w:rsid w:val="00FC64AE"/>
    <w:rsid w:val="00FC779B"/>
    <w:rsid w:val="00FD1694"/>
    <w:rsid w:val="00FD26AA"/>
    <w:rsid w:val="00FD2FE0"/>
    <w:rsid w:val="00FD476C"/>
    <w:rsid w:val="00FD7636"/>
    <w:rsid w:val="00FE3229"/>
    <w:rsid w:val="00FE4477"/>
    <w:rsid w:val="00FE74C3"/>
    <w:rsid w:val="00FF215C"/>
    <w:rsid w:val="00FF31E2"/>
    <w:rsid w:val="00FF49E8"/>
    <w:rsid w:val="00FF4C20"/>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E599"/>
  <w15:docId w15:val="{91FC954B-27C0-4CB1-B127-C07D2DFB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A3"/>
    <w:rPr>
      <w:rFonts w:ascii="Cambria" w:hAnsi="Cambria"/>
      <w:lang w:eastAsia="en-US"/>
    </w:rPr>
  </w:style>
  <w:style w:type="paragraph" w:styleId="Heading1">
    <w:name w:val="heading 1"/>
    <w:next w:val="Normal"/>
    <w:link w:val="Heading1Char"/>
    <w:autoRedefine/>
    <w:uiPriority w:val="9"/>
    <w:qFormat/>
    <w:rsid w:val="00721885"/>
    <w:pPr>
      <w:keepNext/>
      <w:spacing w:after="200"/>
      <w:outlineLvl w:val="0"/>
    </w:pPr>
    <w:rPr>
      <w:rFonts w:ascii="Calibri" w:hAnsi="Calibri" w:cs="Arial"/>
      <w:b/>
      <w:caps/>
      <w:sz w:val="24"/>
      <w:lang w:eastAsia="en-US"/>
    </w:rPr>
  </w:style>
  <w:style w:type="paragraph" w:styleId="Heading2">
    <w:name w:val="heading 2"/>
    <w:basedOn w:val="Normal"/>
    <w:next w:val="Normal"/>
    <w:link w:val="Heading2Char"/>
    <w:autoRedefine/>
    <w:uiPriority w:val="9"/>
    <w:qFormat/>
    <w:rsid w:val="00721885"/>
    <w:pPr>
      <w:keepNext/>
      <w:spacing w:after="200"/>
      <w:outlineLvl w:val="1"/>
    </w:pPr>
    <w:rPr>
      <w:rFonts w:cs="Arial"/>
      <w:b/>
    </w:rPr>
  </w:style>
  <w:style w:type="paragraph" w:styleId="Heading3">
    <w:name w:val="heading 3"/>
    <w:basedOn w:val="Normal"/>
    <w:next w:val="Normal"/>
    <w:link w:val="Heading3Char"/>
    <w:autoRedefine/>
    <w:uiPriority w:val="9"/>
    <w:qFormat/>
    <w:rsid w:val="00721885"/>
    <w:pPr>
      <w:keepNext/>
      <w:spacing w:after="200"/>
      <w:outlineLvl w:val="2"/>
    </w:pPr>
    <w:rPr>
      <w:rFonts w:cs="Arial"/>
      <w:b/>
      <w:i/>
    </w:rPr>
  </w:style>
  <w:style w:type="paragraph" w:styleId="Heading4">
    <w:name w:val="heading 4"/>
    <w:basedOn w:val="Normal"/>
    <w:next w:val="Normal"/>
    <w:link w:val="Heading4Char"/>
    <w:uiPriority w:val="9"/>
    <w:qFormat/>
    <w:rsid w:val="00C33BC1"/>
    <w:pPr>
      <w:keepNext/>
      <w:spacing w:after="200" w:line="276" w:lineRule="auto"/>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Normal"/>
    <w:uiPriority w:val="99"/>
    <w:semiHidden/>
    <w:rsid w:val="00506F1B"/>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rFonts w:eastAsia="Times New Roman"/>
      <w:szCs w:val="20"/>
      <w:lang w:eastAsia="en-AU"/>
    </w:rPr>
  </w:style>
  <w:style w:type="character" w:customStyle="1" w:styleId="Heading1Char">
    <w:name w:val="Heading 1 Char"/>
    <w:basedOn w:val="DefaultParagraphFont"/>
    <w:link w:val="Heading1"/>
    <w:uiPriority w:val="9"/>
    <w:rsid w:val="00721885"/>
    <w:rPr>
      <w:rFonts w:ascii="Calibri" w:hAnsi="Calibri" w:cs="Arial"/>
      <w:b/>
      <w:caps/>
      <w:sz w:val="24"/>
      <w:lang w:eastAsia="en-US"/>
    </w:rPr>
  </w:style>
  <w:style w:type="character" w:customStyle="1" w:styleId="Heading2Char">
    <w:name w:val="Heading 2 Char"/>
    <w:basedOn w:val="DefaultParagraphFont"/>
    <w:link w:val="Heading2"/>
    <w:uiPriority w:val="9"/>
    <w:rsid w:val="00721885"/>
    <w:rPr>
      <w:rFonts w:ascii="Cambria" w:hAnsi="Cambria" w:cs="Arial"/>
      <w:b/>
      <w:lang w:eastAsia="en-US"/>
    </w:rPr>
  </w:style>
  <w:style w:type="character" w:customStyle="1" w:styleId="Heading3Char">
    <w:name w:val="Heading 3 Char"/>
    <w:basedOn w:val="DefaultParagraphFont"/>
    <w:link w:val="Heading3"/>
    <w:uiPriority w:val="9"/>
    <w:rsid w:val="00721885"/>
    <w:rPr>
      <w:rFonts w:ascii="Cambria" w:hAnsi="Cambria" w:cs="Arial"/>
      <w:b/>
      <w:i/>
      <w:lang w:eastAsia="en-US"/>
    </w:rPr>
  </w:style>
  <w:style w:type="character" w:customStyle="1" w:styleId="Heading4Char">
    <w:name w:val="Heading 4 Char"/>
    <w:basedOn w:val="DefaultParagraphFont"/>
    <w:link w:val="Heading4"/>
    <w:uiPriority w:val="9"/>
    <w:rsid w:val="00C33BC1"/>
    <w:rPr>
      <w:rFonts w:ascii="Cambria" w:hAnsi="Cambria" w:cs="Arial"/>
      <w:i/>
      <w:lang w:eastAsia="en-US"/>
    </w:rPr>
  </w:style>
  <w:style w:type="paragraph" w:styleId="ListBullet">
    <w:name w:val="List Bullet"/>
    <w:basedOn w:val="Normal"/>
    <w:autoRedefine/>
    <w:uiPriority w:val="99"/>
    <w:unhideWhenUsed/>
    <w:qFormat/>
    <w:rsid w:val="00721885"/>
    <w:pPr>
      <w:numPr>
        <w:numId w:val="8"/>
      </w:numPr>
      <w:spacing w:after="200"/>
    </w:pPr>
  </w:style>
  <w:style w:type="paragraph" w:styleId="ListBullet2">
    <w:name w:val="List Bullet 2"/>
    <w:basedOn w:val="Normal"/>
    <w:autoRedefine/>
    <w:uiPriority w:val="99"/>
    <w:unhideWhenUsed/>
    <w:rsid w:val="00721885"/>
    <w:pPr>
      <w:numPr>
        <w:ilvl w:val="1"/>
        <w:numId w:val="8"/>
      </w:numPr>
      <w:spacing w:after="200"/>
      <w:ind w:left="738" w:hanging="369"/>
    </w:pPr>
  </w:style>
  <w:style w:type="paragraph" w:styleId="ListBullet3">
    <w:name w:val="List Bullet 3"/>
    <w:basedOn w:val="Normal"/>
    <w:autoRedefine/>
    <w:uiPriority w:val="99"/>
    <w:unhideWhenUsed/>
    <w:rsid w:val="00160AD3"/>
    <w:pPr>
      <w:numPr>
        <w:ilvl w:val="2"/>
        <w:numId w:val="8"/>
      </w:numPr>
      <w:spacing w:after="200"/>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autoRedefine/>
    <w:uiPriority w:val="10"/>
    <w:qFormat/>
    <w:rsid w:val="00124D19"/>
    <w:pPr>
      <w:tabs>
        <w:tab w:val="center" w:pos="4536"/>
        <w:tab w:val="center" w:pos="4819"/>
        <w:tab w:val="right" w:pos="9356"/>
      </w:tabs>
      <w:jc w:val="center"/>
    </w:pPr>
    <w:rPr>
      <w:rFonts w:eastAsia="Times New Roman" w:cs="Arial"/>
      <w:color w:val="FF0000"/>
      <w:sz w:val="28"/>
      <w:szCs w:val="28"/>
    </w:rPr>
  </w:style>
  <w:style w:type="paragraph" w:styleId="ListNumber">
    <w:name w:val="List Number"/>
    <w:basedOn w:val="Normal"/>
    <w:autoRedefine/>
    <w:uiPriority w:val="99"/>
    <w:qFormat/>
    <w:rsid w:val="00721885"/>
    <w:pPr>
      <w:numPr>
        <w:numId w:val="7"/>
      </w:numPr>
      <w:spacing w:after="200"/>
    </w:pPr>
  </w:style>
  <w:style w:type="paragraph" w:styleId="ListNumber2">
    <w:name w:val="List Number 2"/>
    <w:basedOn w:val="Normal"/>
    <w:autoRedefine/>
    <w:uiPriority w:val="99"/>
    <w:rsid w:val="00C33BC1"/>
    <w:pPr>
      <w:numPr>
        <w:ilvl w:val="1"/>
        <w:numId w:val="7"/>
      </w:numPr>
      <w:spacing w:after="200" w:line="276" w:lineRule="auto"/>
    </w:pPr>
  </w:style>
  <w:style w:type="paragraph" w:styleId="ListNumber3">
    <w:name w:val="List Number 3"/>
    <w:basedOn w:val="Normal"/>
    <w:autoRedefine/>
    <w:uiPriority w:val="99"/>
    <w:rsid w:val="00160AD3"/>
    <w:pPr>
      <w:numPr>
        <w:ilvl w:val="2"/>
        <w:numId w:val="7"/>
      </w:numPr>
      <w:spacing w:after="200"/>
      <w:ind w:left="1106"/>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pPr>
  </w:style>
  <w:style w:type="paragraph" w:customStyle="1" w:styleId="Refnumber">
    <w:name w:val="Ref number"/>
    <w:basedOn w:val="Normal"/>
    <w:next w:val="Normal"/>
    <w:uiPriority w:val="14"/>
    <w:rsid w:val="00371AAE"/>
    <w:pPr>
      <w:spacing w:before="360" w:after="840"/>
      <w:jc w:val="right"/>
    </w:pPr>
  </w:style>
  <w:style w:type="table" w:styleId="TableGrid">
    <w:name w:val="Table Grid"/>
    <w:basedOn w:val="TableNormal"/>
    <w:uiPriority w:val="5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style>
  <w:style w:type="table" w:customStyle="1" w:styleId="TableGrid1">
    <w:name w:val="Table Grid1"/>
    <w:basedOn w:val="TableNormal"/>
    <w:next w:val="TableGrid"/>
    <w:uiPriority w:val="59"/>
    <w:rsid w:val="00E85EED"/>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1227"/>
    <w:rPr>
      <w:color w:val="808080"/>
    </w:rPr>
  </w:style>
  <w:style w:type="paragraph" w:styleId="FootnoteText">
    <w:name w:val="footnote text"/>
    <w:basedOn w:val="Normal"/>
    <w:link w:val="FootnoteTextChar"/>
    <w:uiPriority w:val="99"/>
    <w:semiHidden/>
    <w:unhideWhenUsed/>
    <w:rsid w:val="00D278D7"/>
    <w:rPr>
      <w:sz w:val="20"/>
      <w:szCs w:val="20"/>
    </w:rPr>
  </w:style>
  <w:style w:type="character" w:customStyle="1" w:styleId="FootnoteTextChar">
    <w:name w:val="Footnote Text Char"/>
    <w:basedOn w:val="DefaultParagraphFont"/>
    <w:link w:val="FootnoteText"/>
    <w:uiPriority w:val="99"/>
    <w:semiHidden/>
    <w:rsid w:val="00D278D7"/>
    <w:rPr>
      <w:rFonts w:ascii="Cambria" w:hAnsi="Cambria"/>
      <w:sz w:val="20"/>
      <w:szCs w:val="20"/>
      <w:lang w:eastAsia="en-US"/>
    </w:rPr>
  </w:style>
  <w:style w:type="character" w:styleId="FootnoteReference">
    <w:name w:val="footnote reference"/>
    <w:basedOn w:val="DefaultParagraphFont"/>
    <w:uiPriority w:val="99"/>
    <w:semiHidden/>
    <w:rsid w:val="00D278D7"/>
    <w:rPr>
      <w:vertAlign w:val="superscript"/>
    </w:rPr>
  </w:style>
  <w:style w:type="character" w:styleId="Hyperlink">
    <w:name w:val="Hyperlink"/>
    <w:basedOn w:val="DefaultParagraphFont"/>
    <w:uiPriority w:val="99"/>
    <w:unhideWhenUsed/>
    <w:rsid w:val="00D278D7"/>
    <w:rPr>
      <w:color w:val="0000FF" w:themeColor="hyperlink"/>
      <w:u w:val="single"/>
    </w:rPr>
  </w:style>
  <w:style w:type="character" w:styleId="UnresolvedMention">
    <w:name w:val="Unresolved Mention"/>
    <w:basedOn w:val="DefaultParagraphFont"/>
    <w:uiPriority w:val="99"/>
    <w:semiHidden/>
    <w:unhideWhenUsed/>
    <w:rsid w:val="00D278D7"/>
    <w:rPr>
      <w:color w:val="605E5C"/>
      <w:shd w:val="clear" w:color="auto" w:fill="E1DFDD"/>
    </w:rPr>
  </w:style>
  <w:style w:type="character" w:styleId="CommentReference">
    <w:name w:val="annotation reference"/>
    <w:basedOn w:val="DefaultParagraphFont"/>
    <w:semiHidden/>
    <w:unhideWhenUsed/>
    <w:rsid w:val="00177F02"/>
    <w:rPr>
      <w:sz w:val="16"/>
      <w:szCs w:val="16"/>
    </w:rPr>
  </w:style>
  <w:style w:type="paragraph" w:styleId="CommentText">
    <w:name w:val="annotation text"/>
    <w:basedOn w:val="Normal"/>
    <w:link w:val="CommentTextChar"/>
    <w:semiHidden/>
    <w:unhideWhenUsed/>
    <w:rsid w:val="00177F02"/>
    <w:rPr>
      <w:sz w:val="20"/>
      <w:szCs w:val="20"/>
    </w:rPr>
  </w:style>
  <w:style w:type="character" w:customStyle="1" w:styleId="CommentTextChar">
    <w:name w:val="Comment Text Char"/>
    <w:basedOn w:val="DefaultParagraphFont"/>
    <w:link w:val="CommentText"/>
    <w:semiHidden/>
    <w:rsid w:val="00177F02"/>
    <w:rPr>
      <w:rFonts w:ascii="Cambria" w:hAnsi="Cambria"/>
      <w:sz w:val="20"/>
      <w:szCs w:val="20"/>
      <w:lang w:eastAsia="en-US"/>
    </w:rPr>
  </w:style>
  <w:style w:type="paragraph" w:styleId="CommentSubject">
    <w:name w:val="annotation subject"/>
    <w:basedOn w:val="CommentText"/>
    <w:next w:val="CommentText"/>
    <w:link w:val="CommentSubjectChar"/>
    <w:uiPriority w:val="99"/>
    <w:semiHidden/>
    <w:unhideWhenUsed/>
    <w:rsid w:val="00177F02"/>
    <w:rPr>
      <w:b/>
      <w:bCs/>
    </w:rPr>
  </w:style>
  <w:style w:type="character" w:customStyle="1" w:styleId="CommentSubjectChar">
    <w:name w:val="Comment Subject Char"/>
    <w:basedOn w:val="CommentTextChar"/>
    <w:link w:val="CommentSubject"/>
    <w:uiPriority w:val="99"/>
    <w:semiHidden/>
    <w:rsid w:val="00177F02"/>
    <w:rPr>
      <w:rFonts w:ascii="Cambria" w:hAnsi="Cambria"/>
      <w:b/>
      <w:bCs/>
      <w:sz w:val="20"/>
      <w:szCs w:val="20"/>
      <w:lang w:eastAsia="en-US"/>
    </w:rPr>
  </w:style>
  <w:style w:type="paragraph" w:styleId="Revision">
    <w:name w:val="Revision"/>
    <w:hidden/>
    <w:uiPriority w:val="99"/>
    <w:semiHidden/>
    <w:rsid w:val="00177F02"/>
    <w:rPr>
      <w:rFonts w:ascii="Cambria" w:hAnsi="Cambria"/>
      <w:lang w:eastAsia="en-US"/>
    </w:rPr>
  </w:style>
  <w:style w:type="paragraph" w:styleId="ListParagraph">
    <w:name w:val="List Paragraph"/>
    <w:basedOn w:val="Normal"/>
    <w:link w:val="ListParagraphChar"/>
    <w:uiPriority w:val="34"/>
    <w:qFormat/>
    <w:rsid w:val="000A2E8F"/>
    <w:pPr>
      <w:spacing w:before="120" w:after="120"/>
      <w:ind w:left="369" w:hanging="369"/>
    </w:pPr>
    <w:rPr>
      <w:rFonts w:ascii="Arial" w:hAnsi="Arial"/>
    </w:rPr>
  </w:style>
  <w:style w:type="character" w:customStyle="1" w:styleId="ListParagraphChar">
    <w:name w:val="List Paragraph Char"/>
    <w:link w:val="ListParagraph"/>
    <w:uiPriority w:val="34"/>
    <w:rsid w:val="00711D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0825">
      <w:bodyDiv w:val="1"/>
      <w:marLeft w:val="0"/>
      <w:marRight w:val="0"/>
      <w:marTop w:val="0"/>
      <w:marBottom w:val="0"/>
      <w:divBdr>
        <w:top w:val="none" w:sz="0" w:space="0" w:color="auto"/>
        <w:left w:val="none" w:sz="0" w:space="0" w:color="auto"/>
        <w:bottom w:val="none" w:sz="0" w:space="0" w:color="auto"/>
        <w:right w:val="none" w:sz="0" w:space="0" w:color="auto"/>
      </w:divBdr>
    </w:div>
    <w:div w:id="346175376">
      <w:bodyDiv w:val="1"/>
      <w:marLeft w:val="0"/>
      <w:marRight w:val="0"/>
      <w:marTop w:val="0"/>
      <w:marBottom w:val="0"/>
      <w:divBdr>
        <w:top w:val="none" w:sz="0" w:space="0" w:color="auto"/>
        <w:left w:val="none" w:sz="0" w:space="0" w:color="auto"/>
        <w:bottom w:val="none" w:sz="0" w:space="0" w:color="auto"/>
        <w:right w:val="none" w:sz="0" w:space="0" w:color="auto"/>
      </w:divBdr>
    </w:div>
    <w:div w:id="459348683">
      <w:bodyDiv w:val="1"/>
      <w:marLeft w:val="0"/>
      <w:marRight w:val="0"/>
      <w:marTop w:val="0"/>
      <w:marBottom w:val="0"/>
      <w:divBdr>
        <w:top w:val="none" w:sz="0" w:space="0" w:color="auto"/>
        <w:left w:val="none" w:sz="0" w:space="0" w:color="auto"/>
        <w:bottom w:val="none" w:sz="0" w:space="0" w:color="auto"/>
        <w:right w:val="none" w:sz="0" w:space="0" w:color="auto"/>
      </w:divBdr>
    </w:div>
    <w:div w:id="740367160">
      <w:bodyDiv w:val="1"/>
      <w:marLeft w:val="0"/>
      <w:marRight w:val="0"/>
      <w:marTop w:val="0"/>
      <w:marBottom w:val="0"/>
      <w:divBdr>
        <w:top w:val="none" w:sz="0" w:space="0" w:color="auto"/>
        <w:left w:val="none" w:sz="0" w:space="0" w:color="auto"/>
        <w:bottom w:val="none" w:sz="0" w:space="0" w:color="auto"/>
        <w:right w:val="none" w:sz="0" w:space="0" w:color="auto"/>
      </w:divBdr>
    </w:div>
    <w:div w:id="1531646664">
      <w:bodyDiv w:val="1"/>
      <w:marLeft w:val="0"/>
      <w:marRight w:val="0"/>
      <w:marTop w:val="0"/>
      <w:marBottom w:val="0"/>
      <w:divBdr>
        <w:top w:val="none" w:sz="0" w:space="0" w:color="auto"/>
        <w:left w:val="none" w:sz="0" w:space="0" w:color="auto"/>
        <w:bottom w:val="none" w:sz="0" w:space="0" w:color="auto"/>
        <w:right w:val="none" w:sz="0" w:space="0" w:color="auto"/>
      </w:divBdr>
    </w:div>
    <w:div w:id="16092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at.gov.au/" TargetMode="External"/><Relationship Id="rId18" Type="http://schemas.openxmlformats.org/officeDocument/2006/relationships/hyperlink" Target="https://www.awe.gov.au/about/reporting/freedom-of-inform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at.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eneralreviews@aat.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https://www.ag.gov.au/LegalSystem/Legalaidprogrammes/Commonwealthlegalfinancialassistance/Documents/LegalFinancialAssistanceInformationSheet.pdf" TargetMode="External"/><Relationship Id="rId10" Type="http://schemas.openxmlformats.org/officeDocument/2006/relationships/webSettings" Target="webSettings.xml"/><Relationship Id="rId19" Type="http://schemas.openxmlformats.org/officeDocument/2006/relationships/hyperlink" Target="mailto:foi@awe.gov.au" TargetMode="External"/><Relationship Id="rId22" Type="http://schemas.openxmlformats.org/officeDocument/2006/relationships/header" Target="header2.xml"/><Relationship Id="rId9" Type="http://schemas.openxmlformats.org/officeDocument/2006/relationships/settings" Target="settings.xml"/><Relationship Id="rId14" Type="http://schemas.openxmlformats.org/officeDocument/2006/relationships/hyperlink" Target="http://www.aa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usgovenvironment.sharepoint.com/sites/intranet/Office%20templates/Department%20correspondence/DAWE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Embargoed xmlns="ac7ce04e-ea5d-4d46-bab0-39b1fa6a6f36">false</Embargo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6445C-DA4E-47BB-B750-940F669DDC4C}">
  <ds:schemaRefs>
    <ds:schemaRef ds:uri="http://schemas.microsoft.com/sharepoint/v4"/>
    <ds:schemaRef ds:uri="http://purl.org/dc/terms/"/>
    <ds:schemaRef ds:uri="344c6e69-c594-4ca4-b341-09ae9dfc14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9E0CBA-2723-47D4-8CDC-30C05C658FD9}">
  <ds:schemaRefs>
    <ds:schemaRef ds:uri="http://schemas.microsoft.com/sharepoint/v3/contenttype/forms"/>
  </ds:schemaRefs>
</ds:datastoreItem>
</file>

<file path=customXml/itemProps3.xml><?xml version="1.0" encoding="utf-8"?>
<ds:datastoreItem xmlns:ds="http://schemas.openxmlformats.org/officeDocument/2006/customXml" ds:itemID="{7D266660-EDDD-4A44-9401-01BDA3C1F0B9}">
  <ds:schemaRefs>
    <ds:schemaRef ds:uri="http://schemas.openxmlformats.org/officeDocument/2006/bibliography"/>
  </ds:schemaRefs>
</ds:datastoreItem>
</file>

<file path=customXml/itemProps4.xml><?xml version="1.0" encoding="utf-8"?>
<ds:datastoreItem xmlns:ds="http://schemas.openxmlformats.org/officeDocument/2006/customXml" ds:itemID="{3F04D409-572D-4D18-B212-35051C6C5F4F}">
  <ds:schemaRefs>
    <ds:schemaRef ds:uri="http://schemas.microsoft.com/office/2006/metadata/customXsn"/>
  </ds:schemaRefs>
</ds:datastoreItem>
</file>

<file path=customXml/itemProps5.xml><?xml version="1.0" encoding="utf-8"?>
<ds:datastoreItem xmlns:ds="http://schemas.openxmlformats.org/officeDocument/2006/customXml" ds:itemID="{C9C1F66E-C181-46D3-AB36-C73D7D3B12C6}">
  <ds:schemaRefs>
    <ds:schemaRef ds:uri="http://schemas.microsoft.com/sharepoint/events"/>
  </ds:schemaRefs>
</ds:datastoreItem>
</file>

<file path=customXml/itemProps6.xml><?xml version="1.0" encoding="utf-8"?>
<ds:datastoreItem xmlns:ds="http://schemas.openxmlformats.org/officeDocument/2006/customXml" ds:itemID="{105F4AAD-199F-448F-AE07-41416038CAA1}"/>
</file>

<file path=docProps/app.xml><?xml version="1.0" encoding="utf-8"?>
<Properties xmlns="http://schemas.openxmlformats.org/officeDocument/2006/extended-properties" xmlns:vt="http://schemas.openxmlformats.org/officeDocument/2006/docPropsVTypes">
  <Template>DAWE_letterhead_template.dotx</Template>
  <TotalTime>0</TotalTime>
  <Pages>5</Pages>
  <Words>2048</Words>
  <Characters>11679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Letter to Ian Curnow - Northern Territory Department of Industry, Tourism and Trade</vt:lpstr>
    </vt:vector>
  </TitlesOfParts>
  <Company>Department of Agriculture, Water and the Environment</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Ian Curnow - Northern Territory Department of Industry, Tourism and Trade</dc:title>
  <dc:creator>Department of Agriculture, Water and the Environment</dc:creator>
  <dc:description/>
  <cp:lastModifiedBy>Bec Durack</cp:lastModifiedBy>
  <cp:revision>2</cp:revision>
  <cp:lastPrinted>2022-03-29T02:56:00Z</cp:lastPrinted>
  <dcterms:created xsi:type="dcterms:W3CDTF">2022-03-31T06:57:00Z</dcterms:created>
  <dcterms:modified xsi:type="dcterms:W3CDTF">2022-03-31T06:57:00Z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Publishing Section">
    <vt:lpwstr>Information Management Division</vt:lpwstr>
  </property>
  <property fmtid="{D5CDD505-2E9C-101B-9397-08002B2CF9AE}" pid="4" name="Sub-topic">
    <vt:lpwstr/>
  </property>
  <property fmtid="{D5CDD505-2E9C-101B-9397-08002B2CF9AE}" pid="5" name="Topic">
    <vt:lpwstr/>
  </property>
  <property fmtid="{D5CDD505-2E9C-101B-9397-08002B2CF9AE}" pid="6" name="DocType">
    <vt:lpwstr>Office</vt:lpwstr>
  </property>
  <property fmtid="{D5CDD505-2E9C-101B-9397-08002B2CF9AE}" pid="7" name="Order">
    <vt:r8>2300</vt:r8>
  </property>
  <property fmtid="{D5CDD505-2E9C-101B-9397-08002B2CF9AE}" pid="8" name="Purpose">
    <vt:lpwstr>Template</vt:lpwstr>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Status">
    <vt:lpwstr>Final</vt:lpwstr>
  </property>
  <property fmtid="{D5CDD505-2E9C-101B-9397-08002B2CF9AE}" pid="13" name="ComplianceAssetId">
    <vt:lpwstr/>
  </property>
  <property fmtid="{D5CDD505-2E9C-101B-9397-08002B2CF9AE}" pid="14" name="TemplateUrl">
    <vt:lpwstr/>
  </property>
  <property fmtid="{D5CDD505-2E9C-101B-9397-08002B2CF9AE}" pid="15" name="RecordPoint_WorkflowType">
    <vt:lpwstr>ActiveSubmitStub</vt:lpwstr>
  </property>
  <property fmtid="{D5CDD505-2E9C-101B-9397-08002B2CF9AE}" pid="16" name="RecordPoint_ActiveItemSiteId">
    <vt:lpwstr>{8003c3b3-d20c-4e9a-bee9-0e2243d810ee}</vt:lpwstr>
  </property>
  <property fmtid="{D5CDD505-2E9C-101B-9397-08002B2CF9AE}" pid="17" name="RecordPoint_ActiveItemListId">
    <vt:lpwstr>{1e6972ed-ffb6-46ac-aa83-9a9ed43e9fad}</vt:lpwstr>
  </property>
  <property fmtid="{D5CDD505-2E9C-101B-9397-08002B2CF9AE}" pid="18" name="RecordPoint_ActiveItemUniqueId">
    <vt:lpwstr>{174d1db7-fbe8-40ec-b088-778f1ca8044a}</vt:lpwstr>
  </property>
  <property fmtid="{D5CDD505-2E9C-101B-9397-08002B2CF9AE}" pid="19" name="RecordPoint_ActiveItemWebId">
    <vt:lpwstr>{ce0940a8-fbdd-4d61-aa5f-5fccf7e3a693}</vt:lpwstr>
  </property>
</Properties>
</file>